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C0406" w14:textId="77777777" w:rsidR="00A33FD0" w:rsidRPr="005E3B43" w:rsidRDefault="00A33FD0" w:rsidP="00763BCF">
      <w:r w:rsidRPr="005E3B43">
        <w:object w:dxaOrig="2146" w:dyaOrig="1561" w14:anchorId="11B90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75pt" o:ole="" fillcolor="window">
            <v:imagedata r:id="rId8" o:title=""/>
          </v:shape>
          <o:OLEObject Type="Embed" ProgID="Word.Picture.8" ShapeID="_x0000_i1025" DrawAspect="Content" ObjectID="_1797749325" r:id="rId9"/>
        </w:object>
      </w:r>
    </w:p>
    <w:p w14:paraId="1E930BDC" w14:textId="00F1D457" w:rsidR="00A33FD0" w:rsidRPr="005E3B43" w:rsidRDefault="00A33FD0" w:rsidP="00763BCF">
      <w:pPr>
        <w:pStyle w:val="ShortT"/>
        <w:spacing w:before="240"/>
      </w:pPr>
      <w:r w:rsidRPr="005E3B43">
        <w:t xml:space="preserve">Therapeutic Goods </w:t>
      </w:r>
      <w:r w:rsidR="007C3215">
        <w:t>Regulations 1</w:t>
      </w:r>
      <w:r w:rsidRPr="005E3B43">
        <w:t>990</w:t>
      </w:r>
    </w:p>
    <w:p w14:paraId="0A3ABACF" w14:textId="77777777" w:rsidR="00A33FD0" w:rsidRPr="005E3B43" w:rsidRDefault="00A33FD0" w:rsidP="00763BCF">
      <w:pPr>
        <w:pStyle w:val="CompiledActNo"/>
        <w:spacing w:before="240"/>
      </w:pPr>
      <w:r w:rsidRPr="005E3B43">
        <w:t>Statutory Rules No.</w:t>
      </w:r>
      <w:r w:rsidR="004E6D00" w:rsidRPr="005E3B43">
        <w:t> </w:t>
      </w:r>
      <w:r w:rsidRPr="005E3B43">
        <w:t>394, 1990</w:t>
      </w:r>
    </w:p>
    <w:p w14:paraId="0A1D6068" w14:textId="77777777" w:rsidR="00A33FD0" w:rsidRPr="005E3B43" w:rsidRDefault="00A33FD0" w:rsidP="00763BCF">
      <w:pPr>
        <w:pStyle w:val="MadeunderText"/>
      </w:pPr>
      <w:r w:rsidRPr="005E3B43">
        <w:t>made under the</w:t>
      </w:r>
    </w:p>
    <w:p w14:paraId="24083B04" w14:textId="77777777" w:rsidR="00A33FD0" w:rsidRPr="005E3B43" w:rsidRDefault="00A33FD0" w:rsidP="00763BCF">
      <w:pPr>
        <w:pStyle w:val="CompiledMadeUnder"/>
        <w:spacing w:before="240"/>
      </w:pPr>
      <w:r w:rsidRPr="005E3B43">
        <w:t>Therapeutic Goods Act 1989</w:t>
      </w:r>
    </w:p>
    <w:p w14:paraId="6ACCDBFF" w14:textId="088C36DB" w:rsidR="00A33FD0" w:rsidRPr="005E3B43" w:rsidRDefault="00A33FD0" w:rsidP="00763BCF">
      <w:pPr>
        <w:spacing w:before="1000"/>
        <w:rPr>
          <w:rFonts w:cs="Arial"/>
          <w:b/>
          <w:sz w:val="32"/>
          <w:szCs w:val="32"/>
        </w:rPr>
      </w:pPr>
      <w:r w:rsidRPr="005E3B43">
        <w:rPr>
          <w:rFonts w:cs="Arial"/>
          <w:b/>
          <w:sz w:val="32"/>
          <w:szCs w:val="32"/>
        </w:rPr>
        <w:t>Compilation No.</w:t>
      </w:r>
      <w:r w:rsidR="004E6D00" w:rsidRPr="005E3B43">
        <w:rPr>
          <w:rFonts w:cs="Arial"/>
          <w:b/>
          <w:sz w:val="32"/>
          <w:szCs w:val="32"/>
        </w:rPr>
        <w:t> </w:t>
      </w:r>
      <w:r w:rsidRPr="005E3B43">
        <w:rPr>
          <w:rFonts w:cs="Arial"/>
          <w:b/>
          <w:sz w:val="32"/>
          <w:szCs w:val="32"/>
        </w:rPr>
        <w:fldChar w:fldCharType="begin"/>
      </w:r>
      <w:r w:rsidRPr="005E3B43">
        <w:rPr>
          <w:rFonts w:cs="Arial"/>
          <w:b/>
          <w:sz w:val="32"/>
          <w:szCs w:val="32"/>
        </w:rPr>
        <w:instrText xml:space="preserve"> DOCPROPERTY  CompilationNumber </w:instrText>
      </w:r>
      <w:r w:rsidRPr="005E3B43">
        <w:rPr>
          <w:rFonts w:cs="Arial"/>
          <w:b/>
          <w:sz w:val="32"/>
          <w:szCs w:val="32"/>
        </w:rPr>
        <w:fldChar w:fldCharType="separate"/>
      </w:r>
      <w:r w:rsidR="002D450C">
        <w:rPr>
          <w:rFonts w:cs="Arial"/>
          <w:b/>
          <w:sz w:val="32"/>
          <w:szCs w:val="32"/>
        </w:rPr>
        <w:t>123</w:t>
      </w:r>
      <w:r w:rsidRPr="005E3B43">
        <w:rPr>
          <w:rFonts w:cs="Arial"/>
          <w:b/>
          <w:sz w:val="32"/>
          <w:szCs w:val="32"/>
        </w:rPr>
        <w:fldChar w:fldCharType="end"/>
      </w:r>
    </w:p>
    <w:p w14:paraId="5020B3C8" w14:textId="47E4AEF6" w:rsidR="00276552" w:rsidRPr="005E3B43" w:rsidRDefault="00276552" w:rsidP="008F33A1">
      <w:pPr>
        <w:tabs>
          <w:tab w:val="left" w:pos="2551"/>
        </w:tabs>
        <w:spacing w:before="480"/>
        <w:rPr>
          <w:rFonts w:cs="Arial"/>
          <w:sz w:val="24"/>
        </w:rPr>
      </w:pPr>
      <w:r w:rsidRPr="005E3B43">
        <w:rPr>
          <w:rFonts w:cs="Arial"/>
          <w:b/>
          <w:sz w:val="24"/>
        </w:rPr>
        <w:t>Compilation date:</w:t>
      </w:r>
      <w:r w:rsidR="00F50AC2" w:rsidRPr="005E3B43">
        <w:rPr>
          <w:rFonts w:cs="Arial"/>
          <w:sz w:val="24"/>
        </w:rPr>
        <w:tab/>
      </w:r>
      <w:r w:rsidRPr="002D450C">
        <w:rPr>
          <w:rFonts w:cs="Arial"/>
          <w:sz w:val="24"/>
        </w:rPr>
        <w:fldChar w:fldCharType="begin"/>
      </w:r>
      <w:r w:rsidR="00224626" w:rsidRPr="002D450C">
        <w:rPr>
          <w:rFonts w:cs="Arial"/>
          <w:sz w:val="24"/>
        </w:rPr>
        <w:instrText>DOCPROPERTY StartDate \@ "d MMMM yyyy" \* MERGEFORMAT</w:instrText>
      </w:r>
      <w:r w:rsidRPr="002D450C">
        <w:rPr>
          <w:rFonts w:cs="Arial"/>
          <w:sz w:val="24"/>
        </w:rPr>
        <w:fldChar w:fldCharType="separate"/>
      </w:r>
      <w:r w:rsidR="007C3215">
        <w:rPr>
          <w:rFonts w:cs="Arial"/>
          <w:bCs/>
          <w:sz w:val="24"/>
        </w:rPr>
        <w:t>14 December</w:t>
      </w:r>
      <w:r w:rsidR="002D450C" w:rsidRPr="002D450C">
        <w:rPr>
          <w:rFonts w:cs="Arial"/>
          <w:sz w:val="24"/>
        </w:rPr>
        <w:t xml:space="preserve"> 2024</w:t>
      </w:r>
      <w:r w:rsidRPr="002D450C">
        <w:rPr>
          <w:rFonts w:cs="Arial"/>
          <w:sz w:val="24"/>
        </w:rPr>
        <w:fldChar w:fldCharType="end"/>
      </w:r>
    </w:p>
    <w:p w14:paraId="119DDA19" w14:textId="0710B84D" w:rsidR="00A33FD0" w:rsidRPr="005E3B43" w:rsidRDefault="008F33A1" w:rsidP="00224626">
      <w:pPr>
        <w:tabs>
          <w:tab w:val="left" w:pos="2551"/>
        </w:tabs>
        <w:spacing w:before="240" w:after="240"/>
        <w:ind w:left="2552" w:hanging="2552"/>
        <w:rPr>
          <w:rFonts w:cs="Arial"/>
          <w:sz w:val="24"/>
        </w:rPr>
      </w:pPr>
      <w:r w:rsidRPr="005E3B43">
        <w:rPr>
          <w:rFonts w:cs="Arial"/>
          <w:b/>
          <w:sz w:val="24"/>
        </w:rPr>
        <w:t>Includes amendments:</w:t>
      </w:r>
      <w:r w:rsidR="00A33FD0" w:rsidRPr="005E3B43">
        <w:rPr>
          <w:rFonts w:cs="Arial"/>
          <w:sz w:val="24"/>
        </w:rPr>
        <w:tab/>
      </w:r>
      <w:r w:rsidR="00A33FD0" w:rsidRPr="002D450C">
        <w:rPr>
          <w:rFonts w:cs="Arial"/>
          <w:sz w:val="24"/>
        </w:rPr>
        <w:fldChar w:fldCharType="begin"/>
      </w:r>
      <w:r w:rsidR="00A33FD0" w:rsidRPr="002D450C">
        <w:rPr>
          <w:rFonts w:cs="Arial"/>
          <w:sz w:val="24"/>
        </w:rPr>
        <w:instrText xml:space="preserve"> DOCPROPERTY IncludesUpTo </w:instrText>
      </w:r>
      <w:r w:rsidR="00A33FD0" w:rsidRPr="002D450C">
        <w:rPr>
          <w:rFonts w:cs="Arial"/>
          <w:sz w:val="24"/>
        </w:rPr>
        <w:fldChar w:fldCharType="separate"/>
      </w:r>
      <w:r w:rsidR="002D450C" w:rsidRPr="002D450C">
        <w:rPr>
          <w:rFonts w:cs="Arial"/>
          <w:sz w:val="24"/>
        </w:rPr>
        <w:t>F2024L01673</w:t>
      </w:r>
      <w:r w:rsidR="00A33FD0" w:rsidRPr="002D450C">
        <w:rPr>
          <w:rFonts w:cs="Arial"/>
          <w:sz w:val="24"/>
        </w:rPr>
        <w:fldChar w:fldCharType="end"/>
      </w:r>
    </w:p>
    <w:p w14:paraId="6FC4ADC5" w14:textId="77777777" w:rsidR="00A33FD0" w:rsidRPr="005E3B43" w:rsidRDefault="00A33FD0" w:rsidP="00763BCF">
      <w:pPr>
        <w:pageBreakBefore/>
        <w:rPr>
          <w:rFonts w:cs="Arial"/>
          <w:b/>
          <w:sz w:val="32"/>
          <w:szCs w:val="32"/>
        </w:rPr>
      </w:pPr>
      <w:r w:rsidRPr="005E3B43">
        <w:rPr>
          <w:rFonts w:cs="Arial"/>
          <w:b/>
          <w:sz w:val="32"/>
          <w:szCs w:val="32"/>
        </w:rPr>
        <w:lastRenderedPageBreak/>
        <w:t>About this compilation</w:t>
      </w:r>
    </w:p>
    <w:p w14:paraId="674B63B6" w14:textId="77777777" w:rsidR="00A33FD0" w:rsidRPr="005E3B43" w:rsidRDefault="00A33FD0" w:rsidP="00763BCF">
      <w:pPr>
        <w:spacing w:before="240"/>
        <w:rPr>
          <w:rFonts w:cs="Arial"/>
        </w:rPr>
      </w:pPr>
      <w:r w:rsidRPr="005E3B43">
        <w:rPr>
          <w:rFonts w:cs="Arial"/>
          <w:b/>
          <w:szCs w:val="22"/>
        </w:rPr>
        <w:t>This compilation</w:t>
      </w:r>
    </w:p>
    <w:p w14:paraId="523D34C7" w14:textId="3D78A03C" w:rsidR="00A33FD0" w:rsidRPr="005E3B43" w:rsidRDefault="00A33FD0" w:rsidP="00763BCF">
      <w:pPr>
        <w:spacing w:before="120" w:after="120"/>
        <w:rPr>
          <w:rFonts w:cs="Arial"/>
          <w:szCs w:val="22"/>
        </w:rPr>
      </w:pPr>
      <w:r w:rsidRPr="005E3B43">
        <w:rPr>
          <w:rFonts w:cs="Arial"/>
          <w:szCs w:val="22"/>
        </w:rPr>
        <w:t xml:space="preserve">This is a compilation of the </w:t>
      </w:r>
      <w:r w:rsidRPr="005E3B43">
        <w:rPr>
          <w:rFonts w:cs="Arial"/>
          <w:i/>
          <w:szCs w:val="22"/>
        </w:rPr>
        <w:fldChar w:fldCharType="begin"/>
      </w:r>
      <w:r w:rsidRPr="005E3B43">
        <w:rPr>
          <w:rFonts w:cs="Arial"/>
          <w:i/>
          <w:szCs w:val="22"/>
        </w:rPr>
        <w:instrText xml:space="preserve"> STYLEREF  ShortT </w:instrText>
      </w:r>
      <w:r w:rsidRPr="005E3B43">
        <w:rPr>
          <w:rFonts w:cs="Arial"/>
          <w:i/>
          <w:szCs w:val="22"/>
        </w:rPr>
        <w:fldChar w:fldCharType="separate"/>
      </w:r>
      <w:r w:rsidR="002D450C">
        <w:rPr>
          <w:rFonts w:cs="Arial"/>
          <w:i/>
          <w:noProof/>
          <w:szCs w:val="22"/>
        </w:rPr>
        <w:t xml:space="preserve">Therapeutic Goods </w:t>
      </w:r>
      <w:r w:rsidR="007C3215">
        <w:rPr>
          <w:rFonts w:cs="Arial"/>
          <w:i/>
          <w:noProof/>
          <w:szCs w:val="22"/>
        </w:rPr>
        <w:t>Regulations 1</w:t>
      </w:r>
      <w:r w:rsidR="002D450C">
        <w:rPr>
          <w:rFonts w:cs="Arial"/>
          <w:i/>
          <w:noProof/>
          <w:szCs w:val="22"/>
        </w:rPr>
        <w:t>990</w:t>
      </w:r>
      <w:r w:rsidRPr="005E3B43">
        <w:rPr>
          <w:rFonts w:cs="Arial"/>
          <w:i/>
          <w:szCs w:val="22"/>
        </w:rPr>
        <w:fldChar w:fldCharType="end"/>
      </w:r>
      <w:r w:rsidRPr="005E3B43">
        <w:rPr>
          <w:rFonts w:cs="Arial"/>
          <w:szCs w:val="22"/>
        </w:rPr>
        <w:t xml:space="preserve"> that shows the text of the law as amended and in force on </w:t>
      </w:r>
      <w:r w:rsidR="009B41F8" w:rsidRPr="002D450C">
        <w:rPr>
          <w:rFonts w:cs="Arial"/>
          <w:szCs w:val="22"/>
        </w:rPr>
        <w:fldChar w:fldCharType="begin"/>
      </w:r>
      <w:r w:rsidR="00224626" w:rsidRPr="002D450C">
        <w:rPr>
          <w:rFonts w:cs="Arial"/>
          <w:szCs w:val="22"/>
        </w:rPr>
        <w:instrText>DOCPROPERTY StartDate \@ "d MMMM yyyy" \* MERGEFORMAT</w:instrText>
      </w:r>
      <w:r w:rsidR="009B41F8" w:rsidRPr="002D450C">
        <w:rPr>
          <w:rFonts w:cs="Arial"/>
          <w:szCs w:val="22"/>
        </w:rPr>
        <w:fldChar w:fldCharType="separate"/>
      </w:r>
      <w:r w:rsidR="007C3215">
        <w:rPr>
          <w:rFonts w:cs="Arial"/>
          <w:szCs w:val="22"/>
        </w:rPr>
        <w:t>14 December</w:t>
      </w:r>
      <w:r w:rsidR="002D450C" w:rsidRPr="002D450C">
        <w:rPr>
          <w:rFonts w:cs="Arial"/>
          <w:szCs w:val="22"/>
        </w:rPr>
        <w:t xml:space="preserve"> 2024</w:t>
      </w:r>
      <w:r w:rsidR="009B41F8" w:rsidRPr="002D450C">
        <w:rPr>
          <w:rFonts w:cs="Arial"/>
          <w:szCs w:val="22"/>
        </w:rPr>
        <w:fldChar w:fldCharType="end"/>
      </w:r>
      <w:r w:rsidRPr="005E3B43">
        <w:rPr>
          <w:rFonts w:cs="Arial"/>
          <w:szCs w:val="22"/>
        </w:rPr>
        <w:t xml:space="preserve"> (the </w:t>
      </w:r>
      <w:r w:rsidRPr="005E3B43">
        <w:rPr>
          <w:rFonts w:cs="Arial"/>
          <w:b/>
          <w:i/>
          <w:szCs w:val="22"/>
        </w:rPr>
        <w:t>compilation date</w:t>
      </w:r>
      <w:r w:rsidRPr="005E3B43">
        <w:rPr>
          <w:rFonts w:cs="Arial"/>
          <w:szCs w:val="22"/>
        </w:rPr>
        <w:t>).</w:t>
      </w:r>
    </w:p>
    <w:p w14:paraId="111E9335" w14:textId="77777777" w:rsidR="00A33FD0" w:rsidRPr="005E3B43" w:rsidRDefault="00A33FD0" w:rsidP="00763BCF">
      <w:pPr>
        <w:spacing w:after="120"/>
        <w:rPr>
          <w:rFonts w:cs="Arial"/>
          <w:szCs w:val="22"/>
        </w:rPr>
      </w:pPr>
      <w:r w:rsidRPr="005E3B43">
        <w:rPr>
          <w:rFonts w:cs="Arial"/>
          <w:szCs w:val="22"/>
        </w:rPr>
        <w:t xml:space="preserve">The notes at the end of this compilation (the </w:t>
      </w:r>
      <w:r w:rsidRPr="005E3B43">
        <w:rPr>
          <w:rFonts w:cs="Arial"/>
          <w:b/>
          <w:i/>
          <w:szCs w:val="22"/>
        </w:rPr>
        <w:t>endnotes</w:t>
      </w:r>
      <w:r w:rsidRPr="005E3B43">
        <w:rPr>
          <w:rFonts w:cs="Arial"/>
          <w:szCs w:val="22"/>
        </w:rPr>
        <w:t>) include information about amending laws and the amendment history of provisions of the compiled law.</w:t>
      </w:r>
    </w:p>
    <w:p w14:paraId="5D0214B8" w14:textId="77777777" w:rsidR="00A33FD0" w:rsidRPr="005E3B43" w:rsidRDefault="00A33FD0" w:rsidP="00763BCF">
      <w:pPr>
        <w:tabs>
          <w:tab w:val="left" w:pos="5640"/>
        </w:tabs>
        <w:spacing w:before="120" w:after="120"/>
        <w:rPr>
          <w:rFonts w:cs="Arial"/>
          <w:b/>
          <w:szCs w:val="22"/>
        </w:rPr>
      </w:pPr>
      <w:r w:rsidRPr="005E3B43">
        <w:rPr>
          <w:rFonts w:cs="Arial"/>
          <w:b/>
          <w:szCs w:val="22"/>
        </w:rPr>
        <w:t>Uncommenced amendments</w:t>
      </w:r>
    </w:p>
    <w:p w14:paraId="33E1C716" w14:textId="77777777" w:rsidR="00A33FD0" w:rsidRPr="005E3B43" w:rsidRDefault="00A33FD0" w:rsidP="00763BCF">
      <w:pPr>
        <w:spacing w:after="120"/>
        <w:rPr>
          <w:rFonts w:cs="Arial"/>
          <w:szCs w:val="22"/>
        </w:rPr>
      </w:pPr>
      <w:r w:rsidRPr="005E3B43">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779F7493" w14:textId="77777777" w:rsidR="00A33FD0" w:rsidRPr="005E3B43" w:rsidRDefault="00A33FD0" w:rsidP="00763BCF">
      <w:pPr>
        <w:spacing w:before="120" w:after="120"/>
        <w:rPr>
          <w:rFonts w:cs="Arial"/>
          <w:b/>
          <w:szCs w:val="22"/>
        </w:rPr>
      </w:pPr>
      <w:r w:rsidRPr="005E3B43">
        <w:rPr>
          <w:rFonts w:cs="Arial"/>
          <w:b/>
          <w:szCs w:val="22"/>
        </w:rPr>
        <w:t>Application, saving and transitional provisions for provisions and amendments</w:t>
      </w:r>
    </w:p>
    <w:p w14:paraId="3B482696" w14:textId="77777777" w:rsidR="00A33FD0" w:rsidRPr="005E3B43" w:rsidRDefault="00A33FD0" w:rsidP="00763BCF">
      <w:pPr>
        <w:spacing w:after="120"/>
        <w:rPr>
          <w:rFonts w:cs="Arial"/>
          <w:szCs w:val="22"/>
        </w:rPr>
      </w:pPr>
      <w:r w:rsidRPr="005E3B43">
        <w:rPr>
          <w:rFonts w:cs="Arial"/>
          <w:szCs w:val="22"/>
        </w:rPr>
        <w:t>If the operation of a provision or amendment of the compiled law is affected by an application, saving or transitional provision that is not included in this compilation, details are included in the endnotes.</w:t>
      </w:r>
    </w:p>
    <w:p w14:paraId="59FD13A5" w14:textId="77777777" w:rsidR="00A33FD0" w:rsidRPr="005E3B43" w:rsidRDefault="00A33FD0" w:rsidP="00763BCF">
      <w:pPr>
        <w:spacing w:after="120"/>
        <w:rPr>
          <w:rFonts w:cs="Arial"/>
          <w:b/>
          <w:szCs w:val="22"/>
        </w:rPr>
      </w:pPr>
      <w:r w:rsidRPr="005E3B43">
        <w:rPr>
          <w:rFonts w:cs="Arial"/>
          <w:b/>
          <w:szCs w:val="22"/>
        </w:rPr>
        <w:t>Editorial changes</w:t>
      </w:r>
    </w:p>
    <w:p w14:paraId="5CE781E6" w14:textId="77777777" w:rsidR="00A33FD0" w:rsidRPr="005E3B43" w:rsidRDefault="00A33FD0" w:rsidP="00763BCF">
      <w:pPr>
        <w:spacing w:after="120"/>
        <w:rPr>
          <w:rFonts w:cs="Arial"/>
          <w:szCs w:val="22"/>
        </w:rPr>
      </w:pPr>
      <w:r w:rsidRPr="005E3B43">
        <w:rPr>
          <w:rFonts w:cs="Arial"/>
          <w:szCs w:val="22"/>
        </w:rPr>
        <w:t>For more information about any editorial changes made in this compilation, see the endnotes.</w:t>
      </w:r>
    </w:p>
    <w:p w14:paraId="386F300B" w14:textId="77777777" w:rsidR="00A33FD0" w:rsidRPr="005E3B43" w:rsidRDefault="00A33FD0" w:rsidP="00763BCF">
      <w:pPr>
        <w:spacing w:before="120" w:after="120"/>
        <w:rPr>
          <w:rFonts w:cs="Arial"/>
          <w:b/>
          <w:szCs w:val="22"/>
        </w:rPr>
      </w:pPr>
      <w:r w:rsidRPr="005E3B43">
        <w:rPr>
          <w:rFonts w:cs="Arial"/>
          <w:b/>
          <w:szCs w:val="22"/>
        </w:rPr>
        <w:t>Modifications</w:t>
      </w:r>
    </w:p>
    <w:p w14:paraId="1C92E785" w14:textId="77777777" w:rsidR="00A33FD0" w:rsidRPr="005E3B43" w:rsidRDefault="00A33FD0" w:rsidP="00763BCF">
      <w:pPr>
        <w:spacing w:after="120"/>
        <w:rPr>
          <w:rFonts w:cs="Arial"/>
          <w:szCs w:val="22"/>
        </w:rPr>
      </w:pPr>
      <w:r w:rsidRPr="005E3B4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4AC8A4C5" w14:textId="0688D1C6" w:rsidR="00A33FD0" w:rsidRPr="005E3B43" w:rsidRDefault="00A33FD0" w:rsidP="00763BCF">
      <w:pPr>
        <w:spacing w:before="80" w:after="120"/>
        <w:rPr>
          <w:rFonts w:cs="Arial"/>
          <w:b/>
          <w:szCs w:val="22"/>
        </w:rPr>
      </w:pPr>
      <w:r w:rsidRPr="005E3B43">
        <w:rPr>
          <w:rFonts w:cs="Arial"/>
          <w:b/>
          <w:szCs w:val="22"/>
        </w:rPr>
        <w:t>Self</w:t>
      </w:r>
      <w:r w:rsidR="007C3215">
        <w:rPr>
          <w:rFonts w:cs="Arial"/>
          <w:b/>
          <w:szCs w:val="22"/>
        </w:rPr>
        <w:noBreakHyphen/>
      </w:r>
      <w:r w:rsidRPr="005E3B43">
        <w:rPr>
          <w:rFonts w:cs="Arial"/>
          <w:b/>
          <w:szCs w:val="22"/>
        </w:rPr>
        <w:t>repealing provisions</w:t>
      </w:r>
    </w:p>
    <w:p w14:paraId="0E65F009" w14:textId="77777777" w:rsidR="00A33FD0" w:rsidRPr="005E3B43" w:rsidRDefault="00A33FD0" w:rsidP="00763BCF">
      <w:pPr>
        <w:spacing w:after="120"/>
        <w:rPr>
          <w:rFonts w:cs="Arial"/>
          <w:szCs w:val="22"/>
        </w:rPr>
      </w:pPr>
      <w:r w:rsidRPr="005E3B43">
        <w:rPr>
          <w:rFonts w:cs="Arial"/>
          <w:szCs w:val="22"/>
        </w:rPr>
        <w:t>If a provision of the compiled law has been repealed in accordance with a provision of the law, details are included in the endnotes.</w:t>
      </w:r>
    </w:p>
    <w:p w14:paraId="77B65445" w14:textId="77777777" w:rsidR="00A33FD0" w:rsidRPr="005E3B43" w:rsidRDefault="00A33FD0" w:rsidP="00763BCF">
      <w:pPr>
        <w:pStyle w:val="Header"/>
        <w:tabs>
          <w:tab w:val="clear" w:pos="4150"/>
          <w:tab w:val="clear" w:pos="8307"/>
        </w:tabs>
      </w:pPr>
      <w:r w:rsidRPr="005E3B43">
        <w:rPr>
          <w:rStyle w:val="CharChapNo"/>
        </w:rPr>
        <w:t xml:space="preserve"> </w:t>
      </w:r>
      <w:r w:rsidRPr="005E3B43">
        <w:rPr>
          <w:rStyle w:val="CharChapText"/>
        </w:rPr>
        <w:t xml:space="preserve"> </w:t>
      </w:r>
    </w:p>
    <w:p w14:paraId="28CBD474" w14:textId="77777777" w:rsidR="00A33FD0" w:rsidRPr="005E3B43" w:rsidRDefault="00A33FD0" w:rsidP="00763BCF">
      <w:pPr>
        <w:pStyle w:val="Header"/>
        <w:tabs>
          <w:tab w:val="clear" w:pos="4150"/>
          <w:tab w:val="clear" w:pos="8307"/>
        </w:tabs>
      </w:pPr>
      <w:r w:rsidRPr="005E3B43">
        <w:rPr>
          <w:rStyle w:val="CharPartNo"/>
        </w:rPr>
        <w:t xml:space="preserve"> </w:t>
      </w:r>
      <w:r w:rsidRPr="005E3B43">
        <w:rPr>
          <w:rStyle w:val="CharPartText"/>
        </w:rPr>
        <w:t xml:space="preserve"> </w:t>
      </w:r>
    </w:p>
    <w:p w14:paraId="2EA22382" w14:textId="77777777" w:rsidR="00A33FD0" w:rsidRPr="005E3B43" w:rsidRDefault="00A33FD0" w:rsidP="00763BCF">
      <w:pPr>
        <w:pStyle w:val="Header"/>
        <w:tabs>
          <w:tab w:val="clear" w:pos="4150"/>
          <w:tab w:val="clear" w:pos="8307"/>
        </w:tabs>
      </w:pPr>
      <w:r w:rsidRPr="005E3B43">
        <w:rPr>
          <w:rStyle w:val="CharDivNo"/>
        </w:rPr>
        <w:t xml:space="preserve"> </w:t>
      </w:r>
      <w:r w:rsidRPr="005E3B43">
        <w:rPr>
          <w:rStyle w:val="CharDivText"/>
        </w:rPr>
        <w:t xml:space="preserve"> </w:t>
      </w:r>
    </w:p>
    <w:p w14:paraId="1D390300" w14:textId="77777777" w:rsidR="00A33FD0" w:rsidRPr="005E3B43" w:rsidRDefault="00A33FD0" w:rsidP="00763BCF">
      <w:pPr>
        <w:sectPr w:rsidR="00A33FD0" w:rsidRPr="005E3B43" w:rsidSect="001444B1">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2F34E97F" w14:textId="77777777" w:rsidR="00E20BA4" w:rsidRPr="005E3B43" w:rsidRDefault="00E20BA4" w:rsidP="00763BCF">
      <w:pPr>
        <w:ind w:right="1792"/>
        <w:rPr>
          <w:sz w:val="36"/>
        </w:rPr>
      </w:pPr>
      <w:r w:rsidRPr="005E3B43">
        <w:rPr>
          <w:sz w:val="36"/>
        </w:rPr>
        <w:lastRenderedPageBreak/>
        <w:t>Contents</w:t>
      </w:r>
    </w:p>
    <w:p w14:paraId="4AF63C93" w14:textId="28D1E2C7" w:rsidR="00F008F6" w:rsidRDefault="00EA14A2" w:rsidP="00EF338C">
      <w:pPr>
        <w:pStyle w:val="TOC2"/>
        <w:keepNext w:val="0"/>
        <w:keepLines w:val="0"/>
        <w:rPr>
          <w:rFonts w:asciiTheme="minorHAnsi" w:eastAsiaTheme="minorEastAsia" w:hAnsiTheme="minorHAnsi" w:cstheme="minorBidi"/>
          <w:b w:val="0"/>
          <w:noProof/>
          <w:kern w:val="2"/>
          <w:szCs w:val="24"/>
          <w14:ligatures w14:val="standardContextual"/>
        </w:rPr>
      </w:pPr>
      <w:r w:rsidRPr="005E3B43">
        <w:fldChar w:fldCharType="begin"/>
      </w:r>
      <w:r w:rsidRPr="005E3B43">
        <w:instrText xml:space="preserve"> TOC \o "1-9" </w:instrText>
      </w:r>
      <w:r w:rsidRPr="005E3B43">
        <w:fldChar w:fldCharType="separate"/>
      </w:r>
      <w:r w:rsidR="00F008F6">
        <w:rPr>
          <w:noProof/>
        </w:rPr>
        <w:t>Part 1—Preliminary</w:t>
      </w:r>
      <w:r w:rsidR="00F008F6" w:rsidRPr="00F008F6">
        <w:rPr>
          <w:b w:val="0"/>
          <w:noProof/>
          <w:sz w:val="18"/>
        </w:rPr>
        <w:tab/>
      </w:r>
      <w:r w:rsidR="00F008F6" w:rsidRPr="00F008F6">
        <w:rPr>
          <w:b w:val="0"/>
          <w:noProof/>
          <w:sz w:val="18"/>
        </w:rPr>
        <w:fldChar w:fldCharType="begin"/>
      </w:r>
      <w:r w:rsidR="00F008F6" w:rsidRPr="00F008F6">
        <w:rPr>
          <w:b w:val="0"/>
          <w:noProof/>
          <w:sz w:val="18"/>
        </w:rPr>
        <w:instrText xml:space="preserve"> PAGEREF _Toc187135595 \h </w:instrText>
      </w:r>
      <w:r w:rsidR="00F008F6" w:rsidRPr="00F008F6">
        <w:rPr>
          <w:b w:val="0"/>
          <w:noProof/>
          <w:sz w:val="18"/>
        </w:rPr>
      </w:r>
      <w:r w:rsidR="00F008F6" w:rsidRPr="00F008F6">
        <w:rPr>
          <w:b w:val="0"/>
          <w:noProof/>
          <w:sz w:val="18"/>
        </w:rPr>
        <w:fldChar w:fldCharType="separate"/>
      </w:r>
      <w:r w:rsidR="00F008F6" w:rsidRPr="00F008F6">
        <w:rPr>
          <w:b w:val="0"/>
          <w:noProof/>
          <w:sz w:val="18"/>
        </w:rPr>
        <w:t>1</w:t>
      </w:r>
      <w:r w:rsidR="00F008F6" w:rsidRPr="00F008F6">
        <w:rPr>
          <w:b w:val="0"/>
          <w:noProof/>
          <w:sz w:val="18"/>
        </w:rPr>
        <w:fldChar w:fldCharType="end"/>
      </w:r>
    </w:p>
    <w:p w14:paraId="637EA273" w14:textId="46FE606C"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w:t>
      </w:r>
      <w:r>
        <w:rPr>
          <w:noProof/>
        </w:rPr>
        <w:tab/>
        <w:t>Name of Regulations</w:t>
      </w:r>
      <w:r w:rsidRPr="00F008F6">
        <w:rPr>
          <w:noProof/>
        </w:rPr>
        <w:tab/>
      </w:r>
      <w:r w:rsidRPr="00F008F6">
        <w:rPr>
          <w:noProof/>
        </w:rPr>
        <w:fldChar w:fldCharType="begin"/>
      </w:r>
      <w:r w:rsidRPr="00F008F6">
        <w:rPr>
          <w:noProof/>
        </w:rPr>
        <w:instrText xml:space="preserve"> PAGEREF _Toc187135596 \h </w:instrText>
      </w:r>
      <w:r w:rsidRPr="00F008F6">
        <w:rPr>
          <w:noProof/>
        </w:rPr>
      </w:r>
      <w:r w:rsidRPr="00F008F6">
        <w:rPr>
          <w:noProof/>
        </w:rPr>
        <w:fldChar w:fldCharType="separate"/>
      </w:r>
      <w:r w:rsidRPr="00F008F6">
        <w:rPr>
          <w:noProof/>
        </w:rPr>
        <w:t>1</w:t>
      </w:r>
      <w:r w:rsidRPr="00F008F6">
        <w:rPr>
          <w:noProof/>
        </w:rPr>
        <w:fldChar w:fldCharType="end"/>
      </w:r>
    </w:p>
    <w:p w14:paraId="0C2B07D2" w14:textId="6EE46B90"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2</w:t>
      </w:r>
      <w:r>
        <w:rPr>
          <w:noProof/>
        </w:rPr>
        <w:tab/>
        <w:t>Interpretation</w:t>
      </w:r>
      <w:r w:rsidRPr="00F008F6">
        <w:rPr>
          <w:noProof/>
        </w:rPr>
        <w:tab/>
      </w:r>
      <w:r w:rsidRPr="00F008F6">
        <w:rPr>
          <w:noProof/>
        </w:rPr>
        <w:fldChar w:fldCharType="begin"/>
      </w:r>
      <w:r w:rsidRPr="00F008F6">
        <w:rPr>
          <w:noProof/>
        </w:rPr>
        <w:instrText xml:space="preserve"> PAGEREF _Toc187135597 \h </w:instrText>
      </w:r>
      <w:r w:rsidRPr="00F008F6">
        <w:rPr>
          <w:noProof/>
        </w:rPr>
      </w:r>
      <w:r w:rsidRPr="00F008F6">
        <w:rPr>
          <w:noProof/>
        </w:rPr>
        <w:fldChar w:fldCharType="separate"/>
      </w:r>
      <w:r w:rsidRPr="00F008F6">
        <w:rPr>
          <w:noProof/>
        </w:rPr>
        <w:t>1</w:t>
      </w:r>
      <w:r w:rsidRPr="00F008F6">
        <w:rPr>
          <w:noProof/>
        </w:rPr>
        <w:fldChar w:fldCharType="end"/>
      </w:r>
    </w:p>
    <w:p w14:paraId="69D7C84C" w14:textId="20085742"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2A</w:t>
      </w:r>
      <w:r>
        <w:rPr>
          <w:noProof/>
        </w:rPr>
        <w:tab/>
        <w:t>Authorised officers</w:t>
      </w:r>
      <w:r w:rsidRPr="00F008F6">
        <w:rPr>
          <w:noProof/>
        </w:rPr>
        <w:tab/>
      </w:r>
      <w:r w:rsidRPr="00F008F6">
        <w:rPr>
          <w:noProof/>
        </w:rPr>
        <w:fldChar w:fldCharType="begin"/>
      </w:r>
      <w:r w:rsidRPr="00F008F6">
        <w:rPr>
          <w:noProof/>
        </w:rPr>
        <w:instrText xml:space="preserve"> PAGEREF _Toc187135598 \h </w:instrText>
      </w:r>
      <w:r w:rsidRPr="00F008F6">
        <w:rPr>
          <w:noProof/>
        </w:rPr>
      </w:r>
      <w:r w:rsidRPr="00F008F6">
        <w:rPr>
          <w:noProof/>
        </w:rPr>
        <w:fldChar w:fldCharType="separate"/>
      </w:r>
      <w:r w:rsidRPr="00F008F6">
        <w:rPr>
          <w:noProof/>
        </w:rPr>
        <w:t>14</w:t>
      </w:r>
      <w:r w:rsidRPr="00F008F6">
        <w:rPr>
          <w:noProof/>
        </w:rPr>
        <w:fldChar w:fldCharType="end"/>
      </w:r>
    </w:p>
    <w:p w14:paraId="162BF09E" w14:textId="090AC9B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w:t>
      </w:r>
      <w:r>
        <w:rPr>
          <w:noProof/>
        </w:rPr>
        <w:tab/>
        <w:t>Corresponding State law</w:t>
      </w:r>
      <w:r w:rsidRPr="00F008F6">
        <w:rPr>
          <w:noProof/>
        </w:rPr>
        <w:tab/>
      </w:r>
      <w:r w:rsidRPr="00F008F6">
        <w:rPr>
          <w:noProof/>
        </w:rPr>
        <w:fldChar w:fldCharType="begin"/>
      </w:r>
      <w:r w:rsidRPr="00F008F6">
        <w:rPr>
          <w:noProof/>
        </w:rPr>
        <w:instrText xml:space="preserve"> PAGEREF _Toc187135599 \h </w:instrText>
      </w:r>
      <w:r w:rsidRPr="00F008F6">
        <w:rPr>
          <w:noProof/>
        </w:rPr>
      </w:r>
      <w:r w:rsidRPr="00F008F6">
        <w:rPr>
          <w:noProof/>
        </w:rPr>
        <w:fldChar w:fldCharType="separate"/>
      </w:r>
      <w:r w:rsidRPr="00F008F6">
        <w:rPr>
          <w:noProof/>
        </w:rPr>
        <w:t>14</w:t>
      </w:r>
      <w:r w:rsidRPr="00F008F6">
        <w:rPr>
          <w:noProof/>
        </w:rPr>
        <w:fldChar w:fldCharType="end"/>
      </w:r>
    </w:p>
    <w:p w14:paraId="2EBA8B2E" w14:textId="5B81F97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3AA</w:t>
      </w:r>
      <w:r>
        <w:rPr>
          <w:noProof/>
        </w:rPr>
        <w:tab/>
        <w:t>Unacceptable presentation of therapeutic goods—prescribed class of medicine</w:t>
      </w:r>
      <w:r w:rsidRPr="00F008F6">
        <w:rPr>
          <w:noProof/>
        </w:rPr>
        <w:tab/>
      </w:r>
      <w:r w:rsidRPr="00F008F6">
        <w:rPr>
          <w:noProof/>
        </w:rPr>
        <w:fldChar w:fldCharType="begin"/>
      </w:r>
      <w:r w:rsidRPr="00F008F6">
        <w:rPr>
          <w:noProof/>
        </w:rPr>
        <w:instrText xml:space="preserve"> PAGEREF _Toc187135600 \h </w:instrText>
      </w:r>
      <w:r w:rsidRPr="00F008F6">
        <w:rPr>
          <w:noProof/>
        </w:rPr>
      </w:r>
      <w:r w:rsidRPr="00F008F6">
        <w:rPr>
          <w:noProof/>
        </w:rPr>
        <w:fldChar w:fldCharType="separate"/>
      </w:r>
      <w:r w:rsidRPr="00F008F6">
        <w:rPr>
          <w:noProof/>
        </w:rPr>
        <w:t>15</w:t>
      </w:r>
      <w:r w:rsidRPr="00F008F6">
        <w:rPr>
          <w:noProof/>
        </w:rPr>
        <w:fldChar w:fldCharType="end"/>
      </w:r>
    </w:p>
    <w:p w14:paraId="457A3CE0" w14:textId="041F7DE6"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3A</w:t>
      </w:r>
      <w:r>
        <w:rPr>
          <w:noProof/>
        </w:rPr>
        <w:tab/>
        <w:t>Unacceptable presentations</w:t>
      </w:r>
      <w:r w:rsidRPr="00F008F6">
        <w:rPr>
          <w:noProof/>
        </w:rPr>
        <w:tab/>
      </w:r>
      <w:r w:rsidRPr="00F008F6">
        <w:rPr>
          <w:noProof/>
        </w:rPr>
        <w:fldChar w:fldCharType="begin"/>
      </w:r>
      <w:r w:rsidRPr="00F008F6">
        <w:rPr>
          <w:noProof/>
        </w:rPr>
        <w:instrText xml:space="preserve"> PAGEREF _Toc187135601 \h </w:instrText>
      </w:r>
      <w:r w:rsidRPr="00F008F6">
        <w:rPr>
          <w:noProof/>
        </w:rPr>
      </w:r>
      <w:r w:rsidRPr="00F008F6">
        <w:rPr>
          <w:noProof/>
        </w:rPr>
        <w:fldChar w:fldCharType="separate"/>
      </w:r>
      <w:r w:rsidRPr="00F008F6">
        <w:rPr>
          <w:noProof/>
        </w:rPr>
        <w:t>15</w:t>
      </w:r>
      <w:r w:rsidRPr="00F008F6">
        <w:rPr>
          <w:noProof/>
        </w:rPr>
        <w:fldChar w:fldCharType="end"/>
      </w:r>
    </w:p>
    <w:p w14:paraId="7D7E3D0E" w14:textId="394197D7"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3B</w:t>
      </w:r>
      <w:r>
        <w:rPr>
          <w:noProof/>
        </w:rPr>
        <w:tab/>
        <w:t>Definitions relating to goods comprising etc. human cells and tissues</w:t>
      </w:r>
      <w:r w:rsidRPr="00F008F6">
        <w:rPr>
          <w:noProof/>
        </w:rPr>
        <w:tab/>
      </w:r>
      <w:r w:rsidRPr="00F008F6">
        <w:rPr>
          <w:noProof/>
        </w:rPr>
        <w:fldChar w:fldCharType="begin"/>
      </w:r>
      <w:r w:rsidRPr="00F008F6">
        <w:rPr>
          <w:noProof/>
        </w:rPr>
        <w:instrText xml:space="preserve"> PAGEREF _Toc187135602 \h </w:instrText>
      </w:r>
      <w:r w:rsidRPr="00F008F6">
        <w:rPr>
          <w:noProof/>
        </w:rPr>
      </w:r>
      <w:r w:rsidRPr="00F008F6">
        <w:rPr>
          <w:noProof/>
        </w:rPr>
        <w:fldChar w:fldCharType="separate"/>
      </w:r>
      <w:r w:rsidRPr="00F008F6">
        <w:rPr>
          <w:noProof/>
        </w:rPr>
        <w:t>16</w:t>
      </w:r>
      <w:r w:rsidRPr="00F008F6">
        <w:rPr>
          <w:noProof/>
        </w:rPr>
        <w:fldChar w:fldCharType="end"/>
      </w:r>
    </w:p>
    <w:p w14:paraId="6EF94090" w14:textId="332267D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3C</w:t>
      </w:r>
      <w:r>
        <w:rPr>
          <w:noProof/>
        </w:rPr>
        <w:tab/>
        <w:t>Classes of biologicals</w:t>
      </w:r>
      <w:r w:rsidRPr="00F008F6">
        <w:rPr>
          <w:noProof/>
        </w:rPr>
        <w:tab/>
      </w:r>
      <w:r w:rsidRPr="00F008F6">
        <w:rPr>
          <w:noProof/>
        </w:rPr>
        <w:fldChar w:fldCharType="begin"/>
      </w:r>
      <w:r w:rsidRPr="00F008F6">
        <w:rPr>
          <w:noProof/>
        </w:rPr>
        <w:instrText xml:space="preserve"> PAGEREF _Toc187135603 \h </w:instrText>
      </w:r>
      <w:r w:rsidRPr="00F008F6">
        <w:rPr>
          <w:noProof/>
        </w:rPr>
      </w:r>
      <w:r w:rsidRPr="00F008F6">
        <w:rPr>
          <w:noProof/>
        </w:rPr>
        <w:fldChar w:fldCharType="separate"/>
      </w:r>
      <w:r w:rsidRPr="00F008F6">
        <w:rPr>
          <w:noProof/>
        </w:rPr>
        <w:t>16</w:t>
      </w:r>
      <w:r w:rsidRPr="00F008F6">
        <w:rPr>
          <w:noProof/>
        </w:rPr>
        <w:fldChar w:fldCharType="end"/>
      </w:r>
    </w:p>
    <w:p w14:paraId="6B2EC587" w14:textId="49684703"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2—Advertisements</w:t>
      </w:r>
      <w:r w:rsidRPr="00F008F6">
        <w:rPr>
          <w:b w:val="0"/>
          <w:noProof/>
          <w:sz w:val="18"/>
        </w:rPr>
        <w:tab/>
      </w:r>
      <w:r w:rsidRPr="00F008F6">
        <w:rPr>
          <w:b w:val="0"/>
          <w:noProof/>
          <w:sz w:val="18"/>
        </w:rPr>
        <w:fldChar w:fldCharType="begin"/>
      </w:r>
      <w:r w:rsidRPr="00F008F6">
        <w:rPr>
          <w:b w:val="0"/>
          <w:noProof/>
          <w:sz w:val="18"/>
        </w:rPr>
        <w:instrText xml:space="preserve"> PAGEREF _Toc187135604 \h </w:instrText>
      </w:r>
      <w:r w:rsidRPr="00F008F6">
        <w:rPr>
          <w:b w:val="0"/>
          <w:noProof/>
          <w:sz w:val="18"/>
        </w:rPr>
      </w:r>
      <w:r w:rsidRPr="00F008F6">
        <w:rPr>
          <w:b w:val="0"/>
          <w:noProof/>
          <w:sz w:val="18"/>
        </w:rPr>
        <w:fldChar w:fldCharType="separate"/>
      </w:r>
      <w:r w:rsidRPr="00F008F6">
        <w:rPr>
          <w:b w:val="0"/>
          <w:noProof/>
          <w:sz w:val="18"/>
        </w:rPr>
        <w:t>17</w:t>
      </w:r>
      <w:r w:rsidRPr="00F008F6">
        <w:rPr>
          <w:b w:val="0"/>
          <w:noProof/>
          <w:sz w:val="18"/>
        </w:rPr>
        <w:fldChar w:fldCharType="end"/>
      </w:r>
    </w:p>
    <w:p w14:paraId="7C5CB790" w14:textId="5C82640F"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1—Application of Part</w:t>
      </w:r>
      <w:r w:rsidRPr="00F008F6">
        <w:rPr>
          <w:b w:val="0"/>
          <w:noProof/>
          <w:sz w:val="18"/>
        </w:rPr>
        <w:tab/>
      </w:r>
      <w:r w:rsidRPr="00F008F6">
        <w:rPr>
          <w:b w:val="0"/>
          <w:noProof/>
          <w:sz w:val="18"/>
        </w:rPr>
        <w:fldChar w:fldCharType="begin"/>
      </w:r>
      <w:r w:rsidRPr="00F008F6">
        <w:rPr>
          <w:b w:val="0"/>
          <w:noProof/>
          <w:sz w:val="18"/>
        </w:rPr>
        <w:instrText xml:space="preserve"> PAGEREF _Toc187135605 \h </w:instrText>
      </w:r>
      <w:r w:rsidRPr="00F008F6">
        <w:rPr>
          <w:b w:val="0"/>
          <w:noProof/>
          <w:sz w:val="18"/>
        </w:rPr>
      </w:r>
      <w:r w:rsidRPr="00F008F6">
        <w:rPr>
          <w:b w:val="0"/>
          <w:noProof/>
          <w:sz w:val="18"/>
        </w:rPr>
        <w:fldChar w:fldCharType="separate"/>
      </w:r>
      <w:r w:rsidRPr="00F008F6">
        <w:rPr>
          <w:b w:val="0"/>
          <w:noProof/>
          <w:sz w:val="18"/>
        </w:rPr>
        <w:t>17</w:t>
      </w:r>
      <w:r w:rsidRPr="00F008F6">
        <w:rPr>
          <w:b w:val="0"/>
          <w:noProof/>
          <w:sz w:val="18"/>
        </w:rPr>
        <w:fldChar w:fldCharType="end"/>
      </w:r>
    </w:p>
    <w:p w14:paraId="0BFB0255" w14:textId="0191097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w:t>
      </w:r>
      <w:r>
        <w:rPr>
          <w:noProof/>
        </w:rPr>
        <w:tab/>
        <w:t>Application of Part 2</w:t>
      </w:r>
      <w:r w:rsidRPr="00F008F6">
        <w:rPr>
          <w:noProof/>
        </w:rPr>
        <w:tab/>
      </w:r>
      <w:r w:rsidRPr="00F008F6">
        <w:rPr>
          <w:noProof/>
        </w:rPr>
        <w:fldChar w:fldCharType="begin"/>
      </w:r>
      <w:r w:rsidRPr="00F008F6">
        <w:rPr>
          <w:noProof/>
        </w:rPr>
        <w:instrText xml:space="preserve"> PAGEREF _Toc187135606 \h </w:instrText>
      </w:r>
      <w:r w:rsidRPr="00F008F6">
        <w:rPr>
          <w:noProof/>
        </w:rPr>
      </w:r>
      <w:r w:rsidRPr="00F008F6">
        <w:rPr>
          <w:noProof/>
        </w:rPr>
        <w:fldChar w:fldCharType="separate"/>
      </w:r>
      <w:r w:rsidRPr="00F008F6">
        <w:rPr>
          <w:noProof/>
        </w:rPr>
        <w:t>17</w:t>
      </w:r>
      <w:r w:rsidRPr="00F008F6">
        <w:rPr>
          <w:noProof/>
        </w:rPr>
        <w:fldChar w:fldCharType="end"/>
      </w:r>
    </w:p>
    <w:p w14:paraId="37952376" w14:textId="74221522"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4A</w:t>
      </w:r>
      <w:r>
        <w:rPr>
          <w:noProof/>
        </w:rPr>
        <w:tab/>
        <w:t>Interpretation</w:t>
      </w:r>
      <w:r w:rsidRPr="00F008F6">
        <w:rPr>
          <w:noProof/>
        </w:rPr>
        <w:tab/>
      </w:r>
      <w:r w:rsidRPr="00F008F6">
        <w:rPr>
          <w:noProof/>
        </w:rPr>
        <w:fldChar w:fldCharType="begin"/>
      </w:r>
      <w:r w:rsidRPr="00F008F6">
        <w:rPr>
          <w:noProof/>
        </w:rPr>
        <w:instrText xml:space="preserve"> PAGEREF _Toc187135607 \h </w:instrText>
      </w:r>
      <w:r w:rsidRPr="00F008F6">
        <w:rPr>
          <w:noProof/>
        </w:rPr>
      </w:r>
      <w:r w:rsidRPr="00F008F6">
        <w:rPr>
          <w:noProof/>
        </w:rPr>
        <w:fldChar w:fldCharType="separate"/>
      </w:r>
      <w:r w:rsidRPr="00F008F6">
        <w:rPr>
          <w:noProof/>
        </w:rPr>
        <w:t>17</w:t>
      </w:r>
      <w:r w:rsidRPr="00F008F6">
        <w:rPr>
          <w:noProof/>
        </w:rPr>
        <w:fldChar w:fldCharType="end"/>
      </w:r>
    </w:p>
    <w:p w14:paraId="6F7E42A0" w14:textId="04400143"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3—General provisions about advertising therapeutic goods</w:t>
      </w:r>
      <w:r w:rsidRPr="00F008F6">
        <w:rPr>
          <w:b w:val="0"/>
          <w:noProof/>
          <w:sz w:val="18"/>
        </w:rPr>
        <w:tab/>
      </w:r>
      <w:r w:rsidRPr="00F008F6">
        <w:rPr>
          <w:b w:val="0"/>
          <w:noProof/>
          <w:sz w:val="18"/>
        </w:rPr>
        <w:fldChar w:fldCharType="begin"/>
      </w:r>
      <w:r w:rsidRPr="00F008F6">
        <w:rPr>
          <w:b w:val="0"/>
          <w:noProof/>
          <w:sz w:val="18"/>
        </w:rPr>
        <w:instrText xml:space="preserve"> PAGEREF _Toc187135608 \h </w:instrText>
      </w:r>
      <w:r w:rsidRPr="00F008F6">
        <w:rPr>
          <w:b w:val="0"/>
          <w:noProof/>
          <w:sz w:val="18"/>
        </w:rPr>
      </w:r>
      <w:r w:rsidRPr="00F008F6">
        <w:rPr>
          <w:b w:val="0"/>
          <w:noProof/>
          <w:sz w:val="18"/>
        </w:rPr>
        <w:fldChar w:fldCharType="separate"/>
      </w:r>
      <w:r w:rsidRPr="00F008F6">
        <w:rPr>
          <w:b w:val="0"/>
          <w:noProof/>
          <w:sz w:val="18"/>
        </w:rPr>
        <w:t>18</w:t>
      </w:r>
      <w:r w:rsidRPr="00F008F6">
        <w:rPr>
          <w:b w:val="0"/>
          <w:noProof/>
          <w:sz w:val="18"/>
        </w:rPr>
        <w:fldChar w:fldCharType="end"/>
      </w:r>
    </w:p>
    <w:p w14:paraId="59CEEF61" w14:textId="240558B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6AA</w:t>
      </w:r>
      <w:r>
        <w:rPr>
          <w:noProof/>
        </w:rPr>
        <w:tab/>
        <w:t>Prescribed committees</w:t>
      </w:r>
      <w:r w:rsidRPr="00F008F6">
        <w:rPr>
          <w:noProof/>
        </w:rPr>
        <w:tab/>
      </w:r>
      <w:r w:rsidRPr="00F008F6">
        <w:rPr>
          <w:noProof/>
        </w:rPr>
        <w:fldChar w:fldCharType="begin"/>
      </w:r>
      <w:r w:rsidRPr="00F008F6">
        <w:rPr>
          <w:noProof/>
        </w:rPr>
        <w:instrText xml:space="preserve"> PAGEREF _Toc187135609 \h </w:instrText>
      </w:r>
      <w:r w:rsidRPr="00F008F6">
        <w:rPr>
          <w:noProof/>
        </w:rPr>
      </w:r>
      <w:r w:rsidRPr="00F008F6">
        <w:rPr>
          <w:noProof/>
        </w:rPr>
        <w:fldChar w:fldCharType="separate"/>
      </w:r>
      <w:r w:rsidRPr="00F008F6">
        <w:rPr>
          <w:noProof/>
        </w:rPr>
        <w:t>18</w:t>
      </w:r>
      <w:r w:rsidRPr="00F008F6">
        <w:rPr>
          <w:noProof/>
        </w:rPr>
        <w:fldChar w:fldCharType="end"/>
      </w:r>
    </w:p>
    <w:p w14:paraId="72C254CC" w14:textId="00E80B09"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6B</w:t>
      </w:r>
      <w:r>
        <w:rPr>
          <w:noProof/>
        </w:rPr>
        <w:tab/>
        <w:t>Prohibited and required representations</w:t>
      </w:r>
      <w:r w:rsidRPr="00F008F6">
        <w:rPr>
          <w:noProof/>
        </w:rPr>
        <w:tab/>
      </w:r>
      <w:r w:rsidRPr="00F008F6">
        <w:rPr>
          <w:noProof/>
        </w:rPr>
        <w:fldChar w:fldCharType="begin"/>
      </w:r>
      <w:r w:rsidRPr="00F008F6">
        <w:rPr>
          <w:noProof/>
        </w:rPr>
        <w:instrText xml:space="preserve"> PAGEREF _Toc187135610 \h </w:instrText>
      </w:r>
      <w:r w:rsidRPr="00F008F6">
        <w:rPr>
          <w:noProof/>
        </w:rPr>
      </w:r>
      <w:r w:rsidRPr="00F008F6">
        <w:rPr>
          <w:noProof/>
        </w:rPr>
        <w:fldChar w:fldCharType="separate"/>
      </w:r>
      <w:r w:rsidRPr="00F008F6">
        <w:rPr>
          <w:noProof/>
        </w:rPr>
        <w:t>18</w:t>
      </w:r>
      <w:r w:rsidRPr="00F008F6">
        <w:rPr>
          <w:noProof/>
        </w:rPr>
        <w:fldChar w:fldCharType="end"/>
      </w:r>
    </w:p>
    <w:p w14:paraId="243BF9EA" w14:textId="3E6186D2"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7</w:t>
      </w:r>
      <w:r>
        <w:rPr>
          <w:noProof/>
        </w:rPr>
        <w:tab/>
        <w:t>Prescribed goods for advertising offence and civil penalty</w:t>
      </w:r>
      <w:r w:rsidRPr="00F008F6">
        <w:rPr>
          <w:noProof/>
        </w:rPr>
        <w:tab/>
      </w:r>
      <w:r w:rsidRPr="00F008F6">
        <w:rPr>
          <w:noProof/>
        </w:rPr>
        <w:fldChar w:fldCharType="begin"/>
      </w:r>
      <w:r w:rsidRPr="00F008F6">
        <w:rPr>
          <w:noProof/>
        </w:rPr>
        <w:instrText xml:space="preserve"> PAGEREF _Toc187135611 \h </w:instrText>
      </w:r>
      <w:r w:rsidRPr="00F008F6">
        <w:rPr>
          <w:noProof/>
        </w:rPr>
      </w:r>
      <w:r w:rsidRPr="00F008F6">
        <w:rPr>
          <w:noProof/>
        </w:rPr>
        <w:fldChar w:fldCharType="separate"/>
      </w:r>
      <w:r w:rsidRPr="00F008F6">
        <w:rPr>
          <w:noProof/>
        </w:rPr>
        <w:t>18</w:t>
      </w:r>
      <w:r w:rsidRPr="00F008F6">
        <w:rPr>
          <w:noProof/>
        </w:rPr>
        <w:fldChar w:fldCharType="end"/>
      </w:r>
    </w:p>
    <w:p w14:paraId="2BEF5DC0" w14:textId="03F456DC"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7A</w:t>
      </w:r>
      <w:r>
        <w:rPr>
          <w:noProof/>
        </w:rPr>
        <w:tab/>
        <w:t>Publisher exception for civil penalty provisions</w:t>
      </w:r>
      <w:r w:rsidRPr="00F008F6">
        <w:rPr>
          <w:noProof/>
        </w:rPr>
        <w:tab/>
      </w:r>
      <w:r w:rsidRPr="00F008F6">
        <w:rPr>
          <w:noProof/>
        </w:rPr>
        <w:fldChar w:fldCharType="begin"/>
      </w:r>
      <w:r w:rsidRPr="00F008F6">
        <w:rPr>
          <w:noProof/>
        </w:rPr>
        <w:instrText xml:space="preserve"> PAGEREF _Toc187135612 \h </w:instrText>
      </w:r>
      <w:r w:rsidRPr="00F008F6">
        <w:rPr>
          <w:noProof/>
        </w:rPr>
      </w:r>
      <w:r w:rsidRPr="00F008F6">
        <w:rPr>
          <w:noProof/>
        </w:rPr>
        <w:fldChar w:fldCharType="separate"/>
      </w:r>
      <w:r w:rsidRPr="00F008F6">
        <w:rPr>
          <w:noProof/>
        </w:rPr>
        <w:t>19</w:t>
      </w:r>
      <w:r w:rsidRPr="00F008F6">
        <w:rPr>
          <w:noProof/>
        </w:rPr>
        <w:fldChar w:fldCharType="end"/>
      </w:r>
    </w:p>
    <w:p w14:paraId="18EC5D21" w14:textId="2EEA3D54"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4—Generic information about ingredients or components of therapeutic goods</w:t>
      </w:r>
      <w:r w:rsidRPr="00F008F6">
        <w:rPr>
          <w:b w:val="0"/>
          <w:noProof/>
          <w:sz w:val="18"/>
        </w:rPr>
        <w:tab/>
      </w:r>
      <w:r w:rsidRPr="00F008F6">
        <w:rPr>
          <w:b w:val="0"/>
          <w:noProof/>
          <w:sz w:val="18"/>
        </w:rPr>
        <w:fldChar w:fldCharType="begin"/>
      </w:r>
      <w:r w:rsidRPr="00F008F6">
        <w:rPr>
          <w:b w:val="0"/>
          <w:noProof/>
          <w:sz w:val="18"/>
        </w:rPr>
        <w:instrText xml:space="preserve"> PAGEREF _Toc187135613 \h </w:instrText>
      </w:r>
      <w:r w:rsidRPr="00F008F6">
        <w:rPr>
          <w:b w:val="0"/>
          <w:noProof/>
          <w:sz w:val="18"/>
        </w:rPr>
      </w:r>
      <w:r w:rsidRPr="00F008F6">
        <w:rPr>
          <w:b w:val="0"/>
          <w:noProof/>
          <w:sz w:val="18"/>
        </w:rPr>
        <w:fldChar w:fldCharType="separate"/>
      </w:r>
      <w:r w:rsidRPr="00F008F6">
        <w:rPr>
          <w:b w:val="0"/>
          <w:noProof/>
          <w:sz w:val="18"/>
        </w:rPr>
        <w:t>20</w:t>
      </w:r>
      <w:r w:rsidRPr="00F008F6">
        <w:rPr>
          <w:b w:val="0"/>
          <w:noProof/>
          <w:sz w:val="18"/>
        </w:rPr>
        <w:fldChar w:fldCharType="end"/>
      </w:r>
    </w:p>
    <w:p w14:paraId="3EBD6E51" w14:textId="6C730851"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8</w:t>
      </w:r>
      <w:r>
        <w:rPr>
          <w:noProof/>
        </w:rPr>
        <w:tab/>
        <w:t>Compliance with the Code</w:t>
      </w:r>
      <w:r w:rsidRPr="00F008F6">
        <w:rPr>
          <w:noProof/>
        </w:rPr>
        <w:tab/>
      </w:r>
      <w:r w:rsidRPr="00F008F6">
        <w:rPr>
          <w:noProof/>
        </w:rPr>
        <w:fldChar w:fldCharType="begin"/>
      </w:r>
      <w:r w:rsidRPr="00F008F6">
        <w:rPr>
          <w:noProof/>
        </w:rPr>
        <w:instrText xml:space="preserve"> PAGEREF _Toc187135614 \h </w:instrText>
      </w:r>
      <w:r w:rsidRPr="00F008F6">
        <w:rPr>
          <w:noProof/>
        </w:rPr>
      </w:r>
      <w:r w:rsidRPr="00F008F6">
        <w:rPr>
          <w:noProof/>
        </w:rPr>
        <w:fldChar w:fldCharType="separate"/>
      </w:r>
      <w:r w:rsidRPr="00F008F6">
        <w:rPr>
          <w:noProof/>
        </w:rPr>
        <w:t>20</w:t>
      </w:r>
      <w:r w:rsidRPr="00F008F6">
        <w:rPr>
          <w:noProof/>
        </w:rPr>
        <w:fldChar w:fldCharType="end"/>
      </w:r>
    </w:p>
    <w:p w14:paraId="043DDD2A" w14:textId="3C3397AC"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2A—Patient information</w:t>
      </w:r>
      <w:r w:rsidRPr="00F008F6">
        <w:rPr>
          <w:b w:val="0"/>
          <w:noProof/>
          <w:sz w:val="18"/>
        </w:rPr>
        <w:tab/>
      </w:r>
      <w:r w:rsidRPr="00F008F6">
        <w:rPr>
          <w:b w:val="0"/>
          <w:noProof/>
          <w:sz w:val="18"/>
        </w:rPr>
        <w:fldChar w:fldCharType="begin"/>
      </w:r>
      <w:r w:rsidRPr="00F008F6">
        <w:rPr>
          <w:b w:val="0"/>
          <w:noProof/>
          <w:sz w:val="18"/>
        </w:rPr>
        <w:instrText xml:space="preserve"> PAGEREF _Toc187135615 \h </w:instrText>
      </w:r>
      <w:r w:rsidRPr="00F008F6">
        <w:rPr>
          <w:b w:val="0"/>
          <w:noProof/>
          <w:sz w:val="18"/>
        </w:rPr>
      </w:r>
      <w:r w:rsidRPr="00F008F6">
        <w:rPr>
          <w:b w:val="0"/>
          <w:noProof/>
          <w:sz w:val="18"/>
        </w:rPr>
        <w:fldChar w:fldCharType="separate"/>
      </w:r>
      <w:r w:rsidRPr="00F008F6">
        <w:rPr>
          <w:b w:val="0"/>
          <w:noProof/>
          <w:sz w:val="18"/>
        </w:rPr>
        <w:t>21</w:t>
      </w:r>
      <w:r w:rsidRPr="00F008F6">
        <w:rPr>
          <w:b w:val="0"/>
          <w:noProof/>
          <w:sz w:val="18"/>
        </w:rPr>
        <w:fldChar w:fldCharType="end"/>
      </w:r>
    </w:p>
    <w:p w14:paraId="545A4F86" w14:textId="37142F72"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9A</w:t>
      </w:r>
      <w:r>
        <w:rPr>
          <w:noProof/>
        </w:rPr>
        <w:tab/>
        <w:t>Information about certain therapeutic goods to be supplied</w:t>
      </w:r>
      <w:r w:rsidRPr="00F008F6">
        <w:rPr>
          <w:noProof/>
        </w:rPr>
        <w:tab/>
      </w:r>
      <w:r w:rsidRPr="00F008F6">
        <w:rPr>
          <w:noProof/>
        </w:rPr>
        <w:fldChar w:fldCharType="begin"/>
      </w:r>
      <w:r w:rsidRPr="00F008F6">
        <w:rPr>
          <w:noProof/>
        </w:rPr>
        <w:instrText xml:space="preserve"> PAGEREF _Toc187135616 \h </w:instrText>
      </w:r>
      <w:r w:rsidRPr="00F008F6">
        <w:rPr>
          <w:noProof/>
        </w:rPr>
      </w:r>
      <w:r w:rsidRPr="00F008F6">
        <w:rPr>
          <w:noProof/>
        </w:rPr>
        <w:fldChar w:fldCharType="separate"/>
      </w:r>
      <w:r w:rsidRPr="00F008F6">
        <w:rPr>
          <w:noProof/>
        </w:rPr>
        <w:t>21</w:t>
      </w:r>
      <w:r w:rsidRPr="00F008F6">
        <w:rPr>
          <w:noProof/>
        </w:rPr>
        <w:fldChar w:fldCharType="end"/>
      </w:r>
    </w:p>
    <w:p w14:paraId="27A9BB85" w14:textId="196D1249"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9B</w:t>
      </w:r>
      <w:r>
        <w:rPr>
          <w:noProof/>
        </w:rPr>
        <w:tab/>
        <w:t>Information about therapeutic goods manufactured using human embryos</w:t>
      </w:r>
      <w:r w:rsidRPr="00F008F6">
        <w:rPr>
          <w:noProof/>
        </w:rPr>
        <w:tab/>
      </w:r>
      <w:r w:rsidRPr="00F008F6">
        <w:rPr>
          <w:noProof/>
        </w:rPr>
        <w:fldChar w:fldCharType="begin"/>
      </w:r>
      <w:r w:rsidRPr="00F008F6">
        <w:rPr>
          <w:noProof/>
        </w:rPr>
        <w:instrText xml:space="preserve"> PAGEREF _Toc187135617 \h </w:instrText>
      </w:r>
      <w:r w:rsidRPr="00F008F6">
        <w:rPr>
          <w:noProof/>
        </w:rPr>
      </w:r>
      <w:r w:rsidRPr="00F008F6">
        <w:rPr>
          <w:noProof/>
        </w:rPr>
        <w:fldChar w:fldCharType="separate"/>
      </w:r>
      <w:r w:rsidRPr="00F008F6">
        <w:rPr>
          <w:noProof/>
        </w:rPr>
        <w:t>22</w:t>
      </w:r>
      <w:r w:rsidRPr="00F008F6">
        <w:rPr>
          <w:noProof/>
        </w:rPr>
        <w:fldChar w:fldCharType="end"/>
      </w:r>
    </w:p>
    <w:p w14:paraId="358BB01D" w14:textId="77EF1BEE"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2C—Australian Register of Therapeutic Goods</w:t>
      </w:r>
      <w:r w:rsidRPr="00F008F6">
        <w:rPr>
          <w:b w:val="0"/>
          <w:noProof/>
          <w:sz w:val="18"/>
        </w:rPr>
        <w:tab/>
      </w:r>
      <w:r w:rsidRPr="00F008F6">
        <w:rPr>
          <w:b w:val="0"/>
          <w:noProof/>
          <w:sz w:val="18"/>
        </w:rPr>
        <w:fldChar w:fldCharType="begin"/>
      </w:r>
      <w:r w:rsidRPr="00F008F6">
        <w:rPr>
          <w:b w:val="0"/>
          <w:noProof/>
          <w:sz w:val="18"/>
        </w:rPr>
        <w:instrText xml:space="preserve"> PAGEREF _Toc187135618 \h </w:instrText>
      </w:r>
      <w:r w:rsidRPr="00F008F6">
        <w:rPr>
          <w:b w:val="0"/>
          <w:noProof/>
          <w:sz w:val="18"/>
        </w:rPr>
      </w:r>
      <w:r w:rsidRPr="00F008F6">
        <w:rPr>
          <w:b w:val="0"/>
          <w:noProof/>
          <w:sz w:val="18"/>
        </w:rPr>
        <w:fldChar w:fldCharType="separate"/>
      </w:r>
      <w:r w:rsidRPr="00F008F6">
        <w:rPr>
          <w:b w:val="0"/>
          <w:noProof/>
          <w:sz w:val="18"/>
        </w:rPr>
        <w:t>23</w:t>
      </w:r>
      <w:r w:rsidRPr="00F008F6">
        <w:rPr>
          <w:b w:val="0"/>
          <w:noProof/>
          <w:sz w:val="18"/>
        </w:rPr>
        <w:fldChar w:fldCharType="end"/>
      </w:r>
    </w:p>
    <w:p w14:paraId="4AF0175C" w14:textId="56FC4CF3"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2C.1—Registered and listed therapeutic goods</w:t>
      </w:r>
      <w:r w:rsidRPr="00F008F6">
        <w:rPr>
          <w:b w:val="0"/>
          <w:noProof/>
          <w:sz w:val="18"/>
        </w:rPr>
        <w:tab/>
      </w:r>
      <w:r w:rsidRPr="00F008F6">
        <w:rPr>
          <w:b w:val="0"/>
          <w:noProof/>
          <w:sz w:val="18"/>
        </w:rPr>
        <w:fldChar w:fldCharType="begin"/>
      </w:r>
      <w:r w:rsidRPr="00F008F6">
        <w:rPr>
          <w:b w:val="0"/>
          <w:noProof/>
          <w:sz w:val="18"/>
        </w:rPr>
        <w:instrText xml:space="preserve"> PAGEREF _Toc187135619 \h </w:instrText>
      </w:r>
      <w:r w:rsidRPr="00F008F6">
        <w:rPr>
          <w:b w:val="0"/>
          <w:noProof/>
          <w:sz w:val="18"/>
        </w:rPr>
      </w:r>
      <w:r w:rsidRPr="00F008F6">
        <w:rPr>
          <w:b w:val="0"/>
          <w:noProof/>
          <w:sz w:val="18"/>
        </w:rPr>
        <w:fldChar w:fldCharType="separate"/>
      </w:r>
      <w:r w:rsidRPr="00F008F6">
        <w:rPr>
          <w:b w:val="0"/>
          <w:noProof/>
          <w:sz w:val="18"/>
        </w:rPr>
        <w:t>23</w:t>
      </w:r>
      <w:r w:rsidRPr="00F008F6">
        <w:rPr>
          <w:b w:val="0"/>
          <w:noProof/>
          <w:sz w:val="18"/>
        </w:rPr>
        <w:fldChar w:fldCharType="end"/>
      </w:r>
    </w:p>
    <w:p w14:paraId="77BD018E" w14:textId="6024BE97"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w:t>
      </w:r>
      <w:r>
        <w:rPr>
          <w:noProof/>
        </w:rPr>
        <w:tab/>
        <w:t>Goods to be included in parts of the Register (Act s 9A)</w:t>
      </w:r>
      <w:r w:rsidRPr="00F008F6">
        <w:rPr>
          <w:noProof/>
        </w:rPr>
        <w:tab/>
      </w:r>
      <w:r w:rsidRPr="00F008F6">
        <w:rPr>
          <w:noProof/>
        </w:rPr>
        <w:fldChar w:fldCharType="begin"/>
      </w:r>
      <w:r w:rsidRPr="00F008F6">
        <w:rPr>
          <w:noProof/>
        </w:rPr>
        <w:instrText xml:space="preserve"> PAGEREF _Toc187135620 \h </w:instrText>
      </w:r>
      <w:r w:rsidRPr="00F008F6">
        <w:rPr>
          <w:noProof/>
        </w:rPr>
      </w:r>
      <w:r w:rsidRPr="00F008F6">
        <w:rPr>
          <w:noProof/>
        </w:rPr>
        <w:fldChar w:fldCharType="separate"/>
      </w:r>
      <w:r w:rsidRPr="00F008F6">
        <w:rPr>
          <w:noProof/>
        </w:rPr>
        <w:t>23</w:t>
      </w:r>
      <w:r w:rsidRPr="00F008F6">
        <w:rPr>
          <w:noProof/>
        </w:rPr>
        <w:fldChar w:fldCharType="end"/>
      </w:r>
    </w:p>
    <w:p w14:paraId="28F19C53" w14:textId="1E7BEDD7"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10AAA</w:t>
      </w:r>
      <w:r>
        <w:rPr>
          <w:noProof/>
        </w:rPr>
        <w:tab/>
        <w:t>Variation of entries in Register—registered complementary medicines and registered OTC medicines</w:t>
      </w:r>
      <w:r w:rsidRPr="00F008F6">
        <w:rPr>
          <w:noProof/>
        </w:rPr>
        <w:tab/>
      </w:r>
      <w:r w:rsidRPr="00F008F6">
        <w:rPr>
          <w:noProof/>
        </w:rPr>
        <w:fldChar w:fldCharType="begin"/>
      </w:r>
      <w:r w:rsidRPr="00F008F6">
        <w:rPr>
          <w:noProof/>
        </w:rPr>
        <w:instrText xml:space="preserve"> PAGEREF _Toc187135621 \h </w:instrText>
      </w:r>
      <w:r w:rsidRPr="00F008F6">
        <w:rPr>
          <w:noProof/>
        </w:rPr>
      </w:r>
      <w:r w:rsidRPr="00F008F6">
        <w:rPr>
          <w:noProof/>
        </w:rPr>
        <w:fldChar w:fldCharType="separate"/>
      </w:r>
      <w:r w:rsidRPr="00F008F6">
        <w:rPr>
          <w:noProof/>
        </w:rPr>
        <w:t>23</w:t>
      </w:r>
      <w:r w:rsidRPr="00F008F6">
        <w:rPr>
          <w:noProof/>
        </w:rPr>
        <w:fldChar w:fldCharType="end"/>
      </w:r>
    </w:p>
    <w:p w14:paraId="5806D9D1" w14:textId="69AD2AFC"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10AAB</w:t>
      </w:r>
      <w:r>
        <w:rPr>
          <w:noProof/>
        </w:rPr>
        <w:tab/>
        <w:t>Variation of entries in Register—prescription medicines other than biological medicines</w:t>
      </w:r>
      <w:r w:rsidRPr="00F008F6">
        <w:rPr>
          <w:noProof/>
        </w:rPr>
        <w:tab/>
      </w:r>
      <w:r w:rsidRPr="00F008F6">
        <w:rPr>
          <w:noProof/>
        </w:rPr>
        <w:fldChar w:fldCharType="begin"/>
      </w:r>
      <w:r w:rsidRPr="00F008F6">
        <w:rPr>
          <w:noProof/>
        </w:rPr>
        <w:instrText xml:space="preserve"> PAGEREF _Toc187135622 \h </w:instrText>
      </w:r>
      <w:r w:rsidRPr="00F008F6">
        <w:rPr>
          <w:noProof/>
        </w:rPr>
      </w:r>
      <w:r w:rsidRPr="00F008F6">
        <w:rPr>
          <w:noProof/>
        </w:rPr>
        <w:fldChar w:fldCharType="separate"/>
      </w:r>
      <w:r w:rsidRPr="00F008F6">
        <w:rPr>
          <w:noProof/>
        </w:rPr>
        <w:t>26</w:t>
      </w:r>
      <w:r w:rsidRPr="00F008F6">
        <w:rPr>
          <w:noProof/>
        </w:rPr>
        <w:fldChar w:fldCharType="end"/>
      </w:r>
    </w:p>
    <w:p w14:paraId="19DF1393" w14:textId="275A23EA"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10AAC</w:t>
      </w:r>
      <w:r>
        <w:rPr>
          <w:noProof/>
        </w:rPr>
        <w:tab/>
        <w:t>Variation of entries in Register—biological medicines</w:t>
      </w:r>
      <w:r w:rsidRPr="00F008F6">
        <w:rPr>
          <w:noProof/>
        </w:rPr>
        <w:tab/>
      </w:r>
      <w:r w:rsidRPr="00F008F6">
        <w:rPr>
          <w:noProof/>
        </w:rPr>
        <w:fldChar w:fldCharType="begin"/>
      </w:r>
      <w:r w:rsidRPr="00F008F6">
        <w:rPr>
          <w:noProof/>
        </w:rPr>
        <w:instrText xml:space="preserve"> PAGEREF _Toc187135623 \h </w:instrText>
      </w:r>
      <w:r w:rsidRPr="00F008F6">
        <w:rPr>
          <w:noProof/>
        </w:rPr>
      </w:r>
      <w:r w:rsidRPr="00F008F6">
        <w:rPr>
          <w:noProof/>
        </w:rPr>
        <w:fldChar w:fldCharType="separate"/>
      </w:r>
      <w:r w:rsidRPr="00F008F6">
        <w:rPr>
          <w:noProof/>
        </w:rPr>
        <w:t>33</w:t>
      </w:r>
      <w:r w:rsidRPr="00F008F6">
        <w:rPr>
          <w:noProof/>
        </w:rPr>
        <w:fldChar w:fldCharType="end"/>
      </w:r>
    </w:p>
    <w:p w14:paraId="1DFEB06B" w14:textId="237E3B1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10AAD</w:t>
      </w:r>
      <w:r>
        <w:rPr>
          <w:noProof/>
        </w:rPr>
        <w:tab/>
        <w:t>Variation of entries in Register—biologicals</w:t>
      </w:r>
      <w:r w:rsidRPr="00F008F6">
        <w:rPr>
          <w:noProof/>
        </w:rPr>
        <w:tab/>
      </w:r>
      <w:r w:rsidRPr="00F008F6">
        <w:rPr>
          <w:noProof/>
        </w:rPr>
        <w:fldChar w:fldCharType="begin"/>
      </w:r>
      <w:r w:rsidRPr="00F008F6">
        <w:rPr>
          <w:noProof/>
        </w:rPr>
        <w:instrText xml:space="preserve"> PAGEREF _Toc187135624 \h </w:instrText>
      </w:r>
      <w:r w:rsidRPr="00F008F6">
        <w:rPr>
          <w:noProof/>
        </w:rPr>
      </w:r>
      <w:r w:rsidRPr="00F008F6">
        <w:rPr>
          <w:noProof/>
        </w:rPr>
        <w:fldChar w:fldCharType="separate"/>
      </w:r>
      <w:r w:rsidRPr="00F008F6">
        <w:rPr>
          <w:noProof/>
        </w:rPr>
        <w:t>36</w:t>
      </w:r>
      <w:r w:rsidRPr="00F008F6">
        <w:rPr>
          <w:noProof/>
        </w:rPr>
        <w:fldChar w:fldCharType="end"/>
      </w:r>
    </w:p>
    <w:p w14:paraId="4EC2AD52" w14:textId="5DE50ECA"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10AA</w:t>
      </w:r>
      <w:r>
        <w:rPr>
          <w:noProof/>
        </w:rPr>
        <w:tab/>
        <w:t>Prescribed requests for variations of entries in Register</w:t>
      </w:r>
      <w:r w:rsidRPr="00F008F6">
        <w:rPr>
          <w:noProof/>
        </w:rPr>
        <w:tab/>
      </w:r>
      <w:r w:rsidRPr="00F008F6">
        <w:rPr>
          <w:noProof/>
        </w:rPr>
        <w:fldChar w:fldCharType="begin"/>
      </w:r>
      <w:r w:rsidRPr="00F008F6">
        <w:rPr>
          <w:noProof/>
        </w:rPr>
        <w:instrText xml:space="preserve"> PAGEREF _Toc187135625 \h </w:instrText>
      </w:r>
      <w:r w:rsidRPr="00F008F6">
        <w:rPr>
          <w:noProof/>
        </w:rPr>
      </w:r>
      <w:r w:rsidRPr="00F008F6">
        <w:rPr>
          <w:noProof/>
        </w:rPr>
        <w:fldChar w:fldCharType="separate"/>
      </w:r>
      <w:r w:rsidRPr="00F008F6">
        <w:rPr>
          <w:noProof/>
        </w:rPr>
        <w:t>37</w:t>
      </w:r>
      <w:r w:rsidRPr="00F008F6">
        <w:rPr>
          <w:noProof/>
        </w:rPr>
        <w:fldChar w:fldCharType="end"/>
      </w:r>
    </w:p>
    <w:p w14:paraId="1D800253" w14:textId="2AAF2D8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10AB</w:t>
      </w:r>
      <w:r>
        <w:rPr>
          <w:noProof/>
        </w:rPr>
        <w:tab/>
        <w:t>Change of person in whose name goods are listed or registered</w:t>
      </w:r>
      <w:r w:rsidRPr="00F008F6">
        <w:rPr>
          <w:noProof/>
        </w:rPr>
        <w:tab/>
      </w:r>
      <w:r w:rsidRPr="00F008F6">
        <w:rPr>
          <w:noProof/>
        </w:rPr>
        <w:fldChar w:fldCharType="begin"/>
      </w:r>
      <w:r w:rsidRPr="00F008F6">
        <w:rPr>
          <w:noProof/>
        </w:rPr>
        <w:instrText xml:space="preserve"> PAGEREF _Toc187135626 \h </w:instrText>
      </w:r>
      <w:r w:rsidRPr="00F008F6">
        <w:rPr>
          <w:noProof/>
        </w:rPr>
      </w:r>
      <w:r w:rsidRPr="00F008F6">
        <w:rPr>
          <w:noProof/>
        </w:rPr>
        <w:fldChar w:fldCharType="separate"/>
      </w:r>
      <w:r w:rsidRPr="00F008F6">
        <w:rPr>
          <w:noProof/>
        </w:rPr>
        <w:t>38</w:t>
      </w:r>
      <w:r w:rsidRPr="00F008F6">
        <w:rPr>
          <w:noProof/>
        </w:rPr>
        <w:fldChar w:fldCharType="end"/>
      </w:r>
    </w:p>
    <w:p w14:paraId="52E5F455" w14:textId="4B52B8BD"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10AC</w:t>
      </w:r>
      <w:r>
        <w:rPr>
          <w:noProof/>
        </w:rPr>
        <w:tab/>
        <w:t>Change of name of person</w:t>
      </w:r>
      <w:r w:rsidRPr="00F008F6">
        <w:rPr>
          <w:noProof/>
        </w:rPr>
        <w:tab/>
      </w:r>
      <w:r w:rsidRPr="00F008F6">
        <w:rPr>
          <w:noProof/>
        </w:rPr>
        <w:fldChar w:fldCharType="begin"/>
      </w:r>
      <w:r w:rsidRPr="00F008F6">
        <w:rPr>
          <w:noProof/>
        </w:rPr>
        <w:instrText xml:space="preserve"> PAGEREF _Toc187135627 \h </w:instrText>
      </w:r>
      <w:r w:rsidRPr="00F008F6">
        <w:rPr>
          <w:noProof/>
        </w:rPr>
      </w:r>
      <w:r w:rsidRPr="00F008F6">
        <w:rPr>
          <w:noProof/>
        </w:rPr>
        <w:fldChar w:fldCharType="separate"/>
      </w:r>
      <w:r w:rsidRPr="00F008F6">
        <w:rPr>
          <w:noProof/>
        </w:rPr>
        <w:t>39</w:t>
      </w:r>
      <w:r w:rsidRPr="00F008F6">
        <w:rPr>
          <w:noProof/>
        </w:rPr>
        <w:fldChar w:fldCharType="end"/>
      </w:r>
    </w:p>
    <w:p w14:paraId="5ADB33F9" w14:textId="117ECA29"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10B</w:t>
      </w:r>
      <w:r>
        <w:rPr>
          <w:noProof/>
        </w:rPr>
        <w:tab/>
        <w:t>Transfers within the Register</w:t>
      </w:r>
      <w:r w:rsidRPr="00F008F6">
        <w:rPr>
          <w:noProof/>
        </w:rPr>
        <w:tab/>
      </w:r>
      <w:r w:rsidRPr="00F008F6">
        <w:rPr>
          <w:noProof/>
        </w:rPr>
        <w:fldChar w:fldCharType="begin"/>
      </w:r>
      <w:r w:rsidRPr="00F008F6">
        <w:rPr>
          <w:noProof/>
        </w:rPr>
        <w:instrText xml:space="preserve"> PAGEREF _Toc187135628 \h </w:instrText>
      </w:r>
      <w:r w:rsidRPr="00F008F6">
        <w:rPr>
          <w:noProof/>
        </w:rPr>
      </w:r>
      <w:r w:rsidRPr="00F008F6">
        <w:rPr>
          <w:noProof/>
        </w:rPr>
        <w:fldChar w:fldCharType="separate"/>
      </w:r>
      <w:r w:rsidRPr="00F008F6">
        <w:rPr>
          <w:noProof/>
        </w:rPr>
        <w:t>40</w:t>
      </w:r>
      <w:r w:rsidRPr="00F008F6">
        <w:rPr>
          <w:noProof/>
        </w:rPr>
        <w:fldChar w:fldCharType="end"/>
      </w:r>
    </w:p>
    <w:p w14:paraId="2665C228" w14:textId="4C220FA1"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10C</w:t>
      </w:r>
      <w:r>
        <w:rPr>
          <w:noProof/>
        </w:rPr>
        <w:tab/>
        <w:t>Re</w:t>
      </w:r>
      <w:r>
        <w:rPr>
          <w:noProof/>
        </w:rPr>
        <w:noBreakHyphen/>
        <w:t>assignment of registration or listing numbers</w:t>
      </w:r>
      <w:r w:rsidRPr="00F008F6">
        <w:rPr>
          <w:noProof/>
        </w:rPr>
        <w:tab/>
      </w:r>
      <w:r w:rsidRPr="00F008F6">
        <w:rPr>
          <w:noProof/>
        </w:rPr>
        <w:fldChar w:fldCharType="begin"/>
      </w:r>
      <w:r w:rsidRPr="00F008F6">
        <w:rPr>
          <w:noProof/>
        </w:rPr>
        <w:instrText xml:space="preserve"> PAGEREF _Toc187135629 \h </w:instrText>
      </w:r>
      <w:r w:rsidRPr="00F008F6">
        <w:rPr>
          <w:noProof/>
        </w:rPr>
      </w:r>
      <w:r w:rsidRPr="00F008F6">
        <w:rPr>
          <w:noProof/>
        </w:rPr>
        <w:fldChar w:fldCharType="separate"/>
      </w:r>
      <w:r w:rsidRPr="00F008F6">
        <w:rPr>
          <w:noProof/>
        </w:rPr>
        <w:t>42</w:t>
      </w:r>
      <w:r w:rsidRPr="00F008F6">
        <w:rPr>
          <w:noProof/>
        </w:rPr>
        <w:fldChar w:fldCharType="end"/>
      </w:r>
    </w:p>
    <w:p w14:paraId="28D6452F" w14:textId="12D3B16A"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10D</w:t>
      </w:r>
      <w:r>
        <w:rPr>
          <w:noProof/>
        </w:rPr>
        <w:tab/>
        <w:t>Notice of reassignment of registration or listing numbers</w:t>
      </w:r>
      <w:r w:rsidRPr="00F008F6">
        <w:rPr>
          <w:noProof/>
        </w:rPr>
        <w:tab/>
      </w:r>
      <w:r w:rsidRPr="00F008F6">
        <w:rPr>
          <w:noProof/>
        </w:rPr>
        <w:fldChar w:fldCharType="begin"/>
      </w:r>
      <w:r w:rsidRPr="00F008F6">
        <w:rPr>
          <w:noProof/>
        </w:rPr>
        <w:instrText xml:space="preserve"> PAGEREF _Toc187135630 \h </w:instrText>
      </w:r>
      <w:r w:rsidRPr="00F008F6">
        <w:rPr>
          <w:noProof/>
        </w:rPr>
      </w:r>
      <w:r w:rsidRPr="00F008F6">
        <w:rPr>
          <w:noProof/>
        </w:rPr>
        <w:fldChar w:fldCharType="separate"/>
      </w:r>
      <w:r w:rsidRPr="00F008F6">
        <w:rPr>
          <w:noProof/>
        </w:rPr>
        <w:t>42</w:t>
      </w:r>
      <w:r w:rsidRPr="00F008F6">
        <w:rPr>
          <w:noProof/>
        </w:rPr>
        <w:fldChar w:fldCharType="end"/>
      </w:r>
    </w:p>
    <w:p w14:paraId="3F28EEF2" w14:textId="2E7AE272"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2C.2—Medical devices included in the Register under Chapter 4</w:t>
      </w:r>
      <w:r w:rsidRPr="00F008F6">
        <w:rPr>
          <w:b w:val="0"/>
          <w:noProof/>
          <w:sz w:val="18"/>
        </w:rPr>
        <w:tab/>
      </w:r>
      <w:r w:rsidRPr="00F008F6">
        <w:rPr>
          <w:b w:val="0"/>
          <w:noProof/>
          <w:sz w:val="18"/>
        </w:rPr>
        <w:fldChar w:fldCharType="begin"/>
      </w:r>
      <w:r w:rsidRPr="00F008F6">
        <w:rPr>
          <w:b w:val="0"/>
          <w:noProof/>
          <w:sz w:val="18"/>
        </w:rPr>
        <w:instrText xml:space="preserve"> PAGEREF _Toc187135631 \h </w:instrText>
      </w:r>
      <w:r w:rsidRPr="00F008F6">
        <w:rPr>
          <w:b w:val="0"/>
          <w:noProof/>
          <w:sz w:val="18"/>
        </w:rPr>
      </w:r>
      <w:r w:rsidRPr="00F008F6">
        <w:rPr>
          <w:b w:val="0"/>
          <w:noProof/>
          <w:sz w:val="18"/>
        </w:rPr>
        <w:fldChar w:fldCharType="separate"/>
      </w:r>
      <w:r w:rsidRPr="00F008F6">
        <w:rPr>
          <w:b w:val="0"/>
          <w:noProof/>
          <w:sz w:val="18"/>
        </w:rPr>
        <w:t>43</w:t>
      </w:r>
      <w:r w:rsidRPr="00F008F6">
        <w:rPr>
          <w:b w:val="0"/>
          <w:noProof/>
          <w:sz w:val="18"/>
        </w:rPr>
        <w:fldChar w:fldCharType="end"/>
      </w:r>
    </w:p>
    <w:p w14:paraId="20638FB6" w14:textId="52E936FA"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10E</w:t>
      </w:r>
      <w:r>
        <w:rPr>
          <w:noProof/>
        </w:rPr>
        <w:tab/>
        <w:t>Goods to be included in part of the Register for medical devices (Act s 9A)</w:t>
      </w:r>
      <w:r w:rsidRPr="00F008F6">
        <w:rPr>
          <w:noProof/>
        </w:rPr>
        <w:tab/>
      </w:r>
      <w:r w:rsidRPr="00F008F6">
        <w:rPr>
          <w:noProof/>
        </w:rPr>
        <w:fldChar w:fldCharType="begin"/>
      </w:r>
      <w:r w:rsidRPr="00F008F6">
        <w:rPr>
          <w:noProof/>
        </w:rPr>
        <w:instrText xml:space="preserve"> PAGEREF _Toc187135632 \h </w:instrText>
      </w:r>
      <w:r w:rsidRPr="00F008F6">
        <w:rPr>
          <w:noProof/>
        </w:rPr>
      </w:r>
      <w:r w:rsidRPr="00F008F6">
        <w:rPr>
          <w:noProof/>
        </w:rPr>
        <w:fldChar w:fldCharType="separate"/>
      </w:r>
      <w:r w:rsidRPr="00F008F6">
        <w:rPr>
          <w:noProof/>
        </w:rPr>
        <w:t>43</w:t>
      </w:r>
      <w:r w:rsidRPr="00F008F6">
        <w:rPr>
          <w:noProof/>
        </w:rPr>
        <w:fldChar w:fldCharType="end"/>
      </w:r>
    </w:p>
    <w:p w14:paraId="268CEBC5" w14:textId="06C4BE5C"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lastRenderedPageBreak/>
        <w:t>10F</w:t>
      </w:r>
      <w:r>
        <w:rPr>
          <w:noProof/>
        </w:rPr>
        <w:tab/>
        <w:t>Change of person in relation to whom a medical device is included in the Register under Chapter 4 of the Act</w:t>
      </w:r>
      <w:r w:rsidRPr="00F008F6">
        <w:rPr>
          <w:noProof/>
        </w:rPr>
        <w:tab/>
      </w:r>
      <w:r w:rsidRPr="00F008F6">
        <w:rPr>
          <w:noProof/>
        </w:rPr>
        <w:fldChar w:fldCharType="begin"/>
      </w:r>
      <w:r w:rsidRPr="00F008F6">
        <w:rPr>
          <w:noProof/>
        </w:rPr>
        <w:instrText xml:space="preserve"> PAGEREF _Toc187135633 \h </w:instrText>
      </w:r>
      <w:r w:rsidRPr="00F008F6">
        <w:rPr>
          <w:noProof/>
        </w:rPr>
      </w:r>
      <w:r w:rsidRPr="00F008F6">
        <w:rPr>
          <w:noProof/>
        </w:rPr>
        <w:fldChar w:fldCharType="separate"/>
      </w:r>
      <w:r w:rsidRPr="00F008F6">
        <w:rPr>
          <w:noProof/>
        </w:rPr>
        <w:t>43</w:t>
      </w:r>
      <w:r w:rsidRPr="00F008F6">
        <w:rPr>
          <w:noProof/>
        </w:rPr>
        <w:fldChar w:fldCharType="end"/>
      </w:r>
    </w:p>
    <w:p w14:paraId="073DB651" w14:textId="35C479EA"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10FA</w:t>
      </w:r>
      <w:r>
        <w:rPr>
          <w:noProof/>
        </w:rPr>
        <w:tab/>
        <w:t>Change of name of person</w:t>
      </w:r>
      <w:r w:rsidRPr="00F008F6">
        <w:rPr>
          <w:noProof/>
        </w:rPr>
        <w:tab/>
      </w:r>
      <w:r w:rsidRPr="00F008F6">
        <w:rPr>
          <w:noProof/>
        </w:rPr>
        <w:fldChar w:fldCharType="begin"/>
      </w:r>
      <w:r w:rsidRPr="00F008F6">
        <w:rPr>
          <w:noProof/>
        </w:rPr>
        <w:instrText xml:space="preserve"> PAGEREF _Toc187135634 \h </w:instrText>
      </w:r>
      <w:r w:rsidRPr="00F008F6">
        <w:rPr>
          <w:noProof/>
        </w:rPr>
      </w:r>
      <w:r w:rsidRPr="00F008F6">
        <w:rPr>
          <w:noProof/>
        </w:rPr>
        <w:fldChar w:fldCharType="separate"/>
      </w:r>
      <w:r w:rsidRPr="00F008F6">
        <w:rPr>
          <w:noProof/>
        </w:rPr>
        <w:t>44</w:t>
      </w:r>
      <w:r w:rsidRPr="00F008F6">
        <w:rPr>
          <w:noProof/>
        </w:rPr>
        <w:fldChar w:fldCharType="end"/>
      </w:r>
    </w:p>
    <w:p w14:paraId="6587FB6B" w14:textId="5AFF26E3"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2C.3—Biologicals included in the Register</w:t>
      </w:r>
      <w:r w:rsidRPr="00F008F6">
        <w:rPr>
          <w:b w:val="0"/>
          <w:noProof/>
          <w:sz w:val="18"/>
        </w:rPr>
        <w:tab/>
      </w:r>
      <w:r w:rsidRPr="00F008F6">
        <w:rPr>
          <w:b w:val="0"/>
          <w:noProof/>
          <w:sz w:val="18"/>
        </w:rPr>
        <w:fldChar w:fldCharType="begin"/>
      </w:r>
      <w:r w:rsidRPr="00F008F6">
        <w:rPr>
          <w:b w:val="0"/>
          <w:noProof/>
          <w:sz w:val="18"/>
        </w:rPr>
        <w:instrText xml:space="preserve"> PAGEREF _Toc187135635 \h </w:instrText>
      </w:r>
      <w:r w:rsidRPr="00F008F6">
        <w:rPr>
          <w:b w:val="0"/>
          <w:noProof/>
          <w:sz w:val="18"/>
        </w:rPr>
      </w:r>
      <w:r w:rsidRPr="00F008F6">
        <w:rPr>
          <w:b w:val="0"/>
          <w:noProof/>
          <w:sz w:val="18"/>
        </w:rPr>
        <w:fldChar w:fldCharType="separate"/>
      </w:r>
      <w:r w:rsidRPr="00F008F6">
        <w:rPr>
          <w:b w:val="0"/>
          <w:noProof/>
          <w:sz w:val="18"/>
        </w:rPr>
        <w:t>46</w:t>
      </w:r>
      <w:r w:rsidRPr="00F008F6">
        <w:rPr>
          <w:b w:val="0"/>
          <w:noProof/>
          <w:sz w:val="18"/>
        </w:rPr>
        <w:fldChar w:fldCharType="end"/>
      </w:r>
    </w:p>
    <w:p w14:paraId="2CC52857" w14:textId="255F08B2"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10G</w:t>
      </w:r>
      <w:r>
        <w:rPr>
          <w:noProof/>
        </w:rPr>
        <w:tab/>
        <w:t>Goods to be included in the part of the Register for biologicals</w:t>
      </w:r>
      <w:r w:rsidRPr="00F008F6">
        <w:rPr>
          <w:noProof/>
        </w:rPr>
        <w:tab/>
      </w:r>
      <w:r w:rsidRPr="00F008F6">
        <w:rPr>
          <w:noProof/>
        </w:rPr>
        <w:fldChar w:fldCharType="begin"/>
      </w:r>
      <w:r w:rsidRPr="00F008F6">
        <w:rPr>
          <w:noProof/>
        </w:rPr>
        <w:instrText xml:space="preserve"> PAGEREF _Toc187135636 \h </w:instrText>
      </w:r>
      <w:r w:rsidRPr="00F008F6">
        <w:rPr>
          <w:noProof/>
        </w:rPr>
      </w:r>
      <w:r w:rsidRPr="00F008F6">
        <w:rPr>
          <w:noProof/>
        </w:rPr>
        <w:fldChar w:fldCharType="separate"/>
      </w:r>
      <w:r w:rsidRPr="00F008F6">
        <w:rPr>
          <w:noProof/>
        </w:rPr>
        <w:t>46</w:t>
      </w:r>
      <w:r w:rsidRPr="00F008F6">
        <w:rPr>
          <w:noProof/>
        </w:rPr>
        <w:fldChar w:fldCharType="end"/>
      </w:r>
    </w:p>
    <w:p w14:paraId="22A95DBC" w14:textId="4947DD3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10H</w:t>
      </w:r>
      <w:r>
        <w:rPr>
          <w:noProof/>
        </w:rPr>
        <w:tab/>
        <w:t>Change of person for whom a biological is included in the Register under Part 3</w:t>
      </w:r>
      <w:r>
        <w:rPr>
          <w:noProof/>
        </w:rPr>
        <w:noBreakHyphen/>
        <w:t>2A of the Act</w:t>
      </w:r>
      <w:r w:rsidRPr="00F008F6">
        <w:rPr>
          <w:noProof/>
        </w:rPr>
        <w:tab/>
      </w:r>
      <w:r w:rsidRPr="00F008F6">
        <w:rPr>
          <w:noProof/>
        </w:rPr>
        <w:fldChar w:fldCharType="begin"/>
      </w:r>
      <w:r w:rsidRPr="00F008F6">
        <w:rPr>
          <w:noProof/>
        </w:rPr>
        <w:instrText xml:space="preserve"> PAGEREF _Toc187135637 \h </w:instrText>
      </w:r>
      <w:r w:rsidRPr="00F008F6">
        <w:rPr>
          <w:noProof/>
        </w:rPr>
      </w:r>
      <w:r w:rsidRPr="00F008F6">
        <w:rPr>
          <w:noProof/>
        </w:rPr>
        <w:fldChar w:fldCharType="separate"/>
      </w:r>
      <w:r w:rsidRPr="00F008F6">
        <w:rPr>
          <w:noProof/>
        </w:rPr>
        <w:t>46</w:t>
      </w:r>
      <w:r w:rsidRPr="00F008F6">
        <w:rPr>
          <w:noProof/>
        </w:rPr>
        <w:fldChar w:fldCharType="end"/>
      </w:r>
    </w:p>
    <w:p w14:paraId="567DBDC0" w14:textId="751B86BC"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10HA</w:t>
      </w:r>
      <w:r>
        <w:rPr>
          <w:noProof/>
        </w:rPr>
        <w:tab/>
        <w:t>Change of name of person</w:t>
      </w:r>
      <w:r w:rsidRPr="00F008F6">
        <w:rPr>
          <w:noProof/>
        </w:rPr>
        <w:tab/>
      </w:r>
      <w:r w:rsidRPr="00F008F6">
        <w:rPr>
          <w:noProof/>
        </w:rPr>
        <w:fldChar w:fldCharType="begin"/>
      </w:r>
      <w:r w:rsidRPr="00F008F6">
        <w:rPr>
          <w:noProof/>
        </w:rPr>
        <w:instrText xml:space="preserve"> PAGEREF _Toc187135638 \h </w:instrText>
      </w:r>
      <w:r w:rsidRPr="00F008F6">
        <w:rPr>
          <w:noProof/>
        </w:rPr>
      </w:r>
      <w:r w:rsidRPr="00F008F6">
        <w:rPr>
          <w:noProof/>
        </w:rPr>
        <w:fldChar w:fldCharType="separate"/>
      </w:r>
      <w:r w:rsidRPr="00F008F6">
        <w:rPr>
          <w:noProof/>
        </w:rPr>
        <w:t>47</w:t>
      </w:r>
      <w:r w:rsidRPr="00F008F6">
        <w:rPr>
          <w:noProof/>
        </w:rPr>
        <w:fldChar w:fldCharType="end"/>
      </w:r>
    </w:p>
    <w:p w14:paraId="30E56164" w14:textId="51755149"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10I</w:t>
      </w:r>
      <w:r>
        <w:rPr>
          <w:noProof/>
        </w:rPr>
        <w:tab/>
        <w:t>Re</w:t>
      </w:r>
      <w:r>
        <w:rPr>
          <w:noProof/>
        </w:rPr>
        <w:noBreakHyphen/>
        <w:t>assignment of biological numbers</w:t>
      </w:r>
      <w:r w:rsidRPr="00F008F6">
        <w:rPr>
          <w:noProof/>
        </w:rPr>
        <w:tab/>
      </w:r>
      <w:r w:rsidRPr="00F008F6">
        <w:rPr>
          <w:noProof/>
        </w:rPr>
        <w:fldChar w:fldCharType="begin"/>
      </w:r>
      <w:r w:rsidRPr="00F008F6">
        <w:rPr>
          <w:noProof/>
        </w:rPr>
        <w:instrText xml:space="preserve"> PAGEREF _Toc187135639 \h </w:instrText>
      </w:r>
      <w:r w:rsidRPr="00F008F6">
        <w:rPr>
          <w:noProof/>
        </w:rPr>
      </w:r>
      <w:r w:rsidRPr="00F008F6">
        <w:rPr>
          <w:noProof/>
        </w:rPr>
        <w:fldChar w:fldCharType="separate"/>
      </w:r>
      <w:r w:rsidRPr="00F008F6">
        <w:rPr>
          <w:noProof/>
        </w:rPr>
        <w:t>48</w:t>
      </w:r>
      <w:r w:rsidRPr="00F008F6">
        <w:rPr>
          <w:noProof/>
        </w:rPr>
        <w:fldChar w:fldCharType="end"/>
      </w:r>
    </w:p>
    <w:p w14:paraId="6AD60FB8" w14:textId="7B5CB95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10J</w:t>
      </w:r>
      <w:r>
        <w:rPr>
          <w:noProof/>
        </w:rPr>
        <w:tab/>
        <w:t>Notice of reassignment of biological numbers</w:t>
      </w:r>
      <w:r w:rsidRPr="00F008F6">
        <w:rPr>
          <w:noProof/>
        </w:rPr>
        <w:tab/>
      </w:r>
      <w:r w:rsidRPr="00F008F6">
        <w:rPr>
          <w:noProof/>
        </w:rPr>
        <w:fldChar w:fldCharType="begin"/>
      </w:r>
      <w:r w:rsidRPr="00F008F6">
        <w:rPr>
          <w:noProof/>
        </w:rPr>
        <w:instrText xml:space="preserve"> PAGEREF _Toc187135640 \h </w:instrText>
      </w:r>
      <w:r w:rsidRPr="00F008F6">
        <w:rPr>
          <w:noProof/>
        </w:rPr>
      </w:r>
      <w:r w:rsidRPr="00F008F6">
        <w:rPr>
          <w:noProof/>
        </w:rPr>
        <w:fldChar w:fldCharType="separate"/>
      </w:r>
      <w:r w:rsidRPr="00F008F6">
        <w:rPr>
          <w:noProof/>
        </w:rPr>
        <w:t>48</w:t>
      </w:r>
      <w:r w:rsidRPr="00F008F6">
        <w:rPr>
          <w:noProof/>
        </w:rPr>
        <w:fldChar w:fldCharType="end"/>
      </w:r>
    </w:p>
    <w:p w14:paraId="3125F03E" w14:textId="318C0547"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2CA—Prohibition on import, export or manufacture of certain therapeutic goods—international agreements</w:t>
      </w:r>
      <w:r w:rsidRPr="00F008F6">
        <w:rPr>
          <w:b w:val="0"/>
          <w:noProof/>
          <w:sz w:val="18"/>
        </w:rPr>
        <w:tab/>
      </w:r>
      <w:r w:rsidRPr="00F008F6">
        <w:rPr>
          <w:b w:val="0"/>
          <w:noProof/>
          <w:sz w:val="18"/>
        </w:rPr>
        <w:fldChar w:fldCharType="begin"/>
      </w:r>
      <w:r w:rsidRPr="00F008F6">
        <w:rPr>
          <w:b w:val="0"/>
          <w:noProof/>
          <w:sz w:val="18"/>
        </w:rPr>
        <w:instrText xml:space="preserve"> PAGEREF _Toc187135641 \h </w:instrText>
      </w:r>
      <w:r w:rsidRPr="00F008F6">
        <w:rPr>
          <w:b w:val="0"/>
          <w:noProof/>
          <w:sz w:val="18"/>
        </w:rPr>
      </w:r>
      <w:r w:rsidRPr="00F008F6">
        <w:rPr>
          <w:b w:val="0"/>
          <w:noProof/>
          <w:sz w:val="18"/>
        </w:rPr>
        <w:fldChar w:fldCharType="separate"/>
      </w:r>
      <w:r w:rsidRPr="00F008F6">
        <w:rPr>
          <w:b w:val="0"/>
          <w:noProof/>
          <w:sz w:val="18"/>
        </w:rPr>
        <w:t>49</w:t>
      </w:r>
      <w:r w:rsidRPr="00F008F6">
        <w:rPr>
          <w:b w:val="0"/>
          <w:noProof/>
          <w:sz w:val="18"/>
        </w:rPr>
        <w:fldChar w:fldCharType="end"/>
      </w:r>
    </w:p>
    <w:p w14:paraId="177E51AB" w14:textId="1CF1B21B"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1—Prescribed international agreements</w:t>
      </w:r>
      <w:r w:rsidRPr="00F008F6">
        <w:rPr>
          <w:b w:val="0"/>
          <w:noProof/>
          <w:sz w:val="18"/>
        </w:rPr>
        <w:tab/>
      </w:r>
      <w:r w:rsidRPr="00F008F6">
        <w:rPr>
          <w:b w:val="0"/>
          <w:noProof/>
          <w:sz w:val="18"/>
        </w:rPr>
        <w:fldChar w:fldCharType="begin"/>
      </w:r>
      <w:r w:rsidRPr="00F008F6">
        <w:rPr>
          <w:b w:val="0"/>
          <w:noProof/>
          <w:sz w:val="18"/>
        </w:rPr>
        <w:instrText xml:space="preserve"> PAGEREF _Toc187135642 \h </w:instrText>
      </w:r>
      <w:r w:rsidRPr="00F008F6">
        <w:rPr>
          <w:b w:val="0"/>
          <w:noProof/>
          <w:sz w:val="18"/>
        </w:rPr>
      </w:r>
      <w:r w:rsidRPr="00F008F6">
        <w:rPr>
          <w:b w:val="0"/>
          <w:noProof/>
          <w:sz w:val="18"/>
        </w:rPr>
        <w:fldChar w:fldCharType="separate"/>
      </w:r>
      <w:r w:rsidRPr="00F008F6">
        <w:rPr>
          <w:b w:val="0"/>
          <w:noProof/>
          <w:sz w:val="18"/>
        </w:rPr>
        <w:t>49</w:t>
      </w:r>
      <w:r w:rsidRPr="00F008F6">
        <w:rPr>
          <w:b w:val="0"/>
          <w:noProof/>
          <w:sz w:val="18"/>
        </w:rPr>
        <w:fldChar w:fldCharType="end"/>
      </w:r>
    </w:p>
    <w:p w14:paraId="640FCA1C" w14:textId="0F7A5B5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10JA</w:t>
      </w:r>
      <w:r>
        <w:rPr>
          <w:noProof/>
        </w:rPr>
        <w:tab/>
        <w:t>Prescribed international agreements</w:t>
      </w:r>
      <w:r w:rsidRPr="00F008F6">
        <w:rPr>
          <w:noProof/>
        </w:rPr>
        <w:tab/>
      </w:r>
      <w:r w:rsidRPr="00F008F6">
        <w:rPr>
          <w:noProof/>
        </w:rPr>
        <w:fldChar w:fldCharType="begin"/>
      </w:r>
      <w:r w:rsidRPr="00F008F6">
        <w:rPr>
          <w:noProof/>
        </w:rPr>
        <w:instrText xml:space="preserve"> PAGEREF _Toc187135643 \h </w:instrText>
      </w:r>
      <w:r w:rsidRPr="00F008F6">
        <w:rPr>
          <w:noProof/>
        </w:rPr>
      </w:r>
      <w:r w:rsidRPr="00F008F6">
        <w:rPr>
          <w:noProof/>
        </w:rPr>
        <w:fldChar w:fldCharType="separate"/>
      </w:r>
      <w:r w:rsidRPr="00F008F6">
        <w:rPr>
          <w:noProof/>
        </w:rPr>
        <w:t>49</w:t>
      </w:r>
      <w:r w:rsidRPr="00F008F6">
        <w:rPr>
          <w:noProof/>
        </w:rPr>
        <w:fldChar w:fldCharType="end"/>
      </w:r>
    </w:p>
    <w:p w14:paraId="4CC98ED4" w14:textId="04BF85F4"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2—Prohibition on importation of mercury</w:t>
      </w:r>
      <w:r w:rsidRPr="00F008F6">
        <w:rPr>
          <w:b w:val="0"/>
          <w:noProof/>
          <w:sz w:val="18"/>
        </w:rPr>
        <w:tab/>
      </w:r>
      <w:r w:rsidRPr="00F008F6">
        <w:rPr>
          <w:b w:val="0"/>
          <w:noProof/>
          <w:sz w:val="18"/>
        </w:rPr>
        <w:fldChar w:fldCharType="begin"/>
      </w:r>
      <w:r w:rsidRPr="00F008F6">
        <w:rPr>
          <w:b w:val="0"/>
          <w:noProof/>
          <w:sz w:val="18"/>
        </w:rPr>
        <w:instrText xml:space="preserve"> PAGEREF _Toc187135644 \h </w:instrText>
      </w:r>
      <w:r w:rsidRPr="00F008F6">
        <w:rPr>
          <w:b w:val="0"/>
          <w:noProof/>
          <w:sz w:val="18"/>
        </w:rPr>
      </w:r>
      <w:r w:rsidRPr="00F008F6">
        <w:rPr>
          <w:b w:val="0"/>
          <w:noProof/>
          <w:sz w:val="18"/>
        </w:rPr>
        <w:fldChar w:fldCharType="separate"/>
      </w:r>
      <w:r w:rsidRPr="00F008F6">
        <w:rPr>
          <w:b w:val="0"/>
          <w:noProof/>
          <w:sz w:val="18"/>
        </w:rPr>
        <w:t>50</w:t>
      </w:r>
      <w:r w:rsidRPr="00F008F6">
        <w:rPr>
          <w:b w:val="0"/>
          <w:noProof/>
          <w:sz w:val="18"/>
        </w:rPr>
        <w:fldChar w:fldCharType="end"/>
      </w:r>
    </w:p>
    <w:p w14:paraId="6B79421D" w14:textId="1ACE3C8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10JB</w:t>
      </w:r>
      <w:r>
        <w:rPr>
          <w:noProof/>
        </w:rPr>
        <w:tab/>
        <w:t>Importation of a therapeutic good that is mercury from a non</w:t>
      </w:r>
      <w:r>
        <w:rPr>
          <w:noProof/>
        </w:rPr>
        <w:noBreakHyphen/>
        <w:t>party to the Minamata Convention is prohibited unless approved by the Secretary before importation</w:t>
      </w:r>
      <w:r w:rsidRPr="00F008F6">
        <w:rPr>
          <w:noProof/>
        </w:rPr>
        <w:tab/>
      </w:r>
      <w:r w:rsidRPr="00F008F6">
        <w:rPr>
          <w:noProof/>
        </w:rPr>
        <w:fldChar w:fldCharType="begin"/>
      </w:r>
      <w:r w:rsidRPr="00F008F6">
        <w:rPr>
          <w:noProof/>
        </w:rPr>
        <w:instrText xml:space="preserve"> PAGEREF _Toc187135645 \h </w:instrText>
      </w:r>
      <w:r w:rsidRPr="00F008F6">
        <w:rPr>
          <w:noProof/>
        </w:rPr>
      </w:r>
      <w:r w:rsidRPr="00F008F6">
        <w:rPr>
          <w:noProof/>
        </w:rPr>
        <w:fldChar w:fldCharType="separate"/>
      </w:r>
      <w:r w:rsidRPr="00F008F6">
        <w:rPr>
          <w:noProof/>
        </w:rPr>
        <w:t>50</w:t>
      </w:r>
      <w:r w:rsidRPr="00F008F6">
        <w:rPr>
          <w:noProof/>
        </w:rPr>
        <w:fldChar w:fldCharType="end"/>
      </w:r>
    </w:p>
    <w:p w14:paraId="25EA5057" w14:textId="196072A5"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3—Prohibition on export of mercury</w:t>
      </w:r>
      <w:r w:rsidRPr="00F008F6">
        <w:rPr>
          <w:b w:val="0"/>
          <w:noProof/>
          <w:sz w:val="18"/>
        </w:rPr>
        <w:tab/>
      </w:r>
      <w:r w:rsidRPr="00F008F6">
        <w:rPr>
          <w:b w:val="0"/>
          <w:noProof/>
          <w:sz w:val="18"/>
        </w:rPr>
        <w:fldChar w:fldCharType="begin"/>
      </w:r>
      <w:r w:rsidRPr="00F008F6">
        <w:rPr>
          <w:b w:val="0"/>
          <w:noProof/>
          <w:sz w:val="18"/>
        </w:rPr>
        <w:instrText xml:space="preserve"> PAGEREF _Toc187135646 \h </w:instrText>
      </w:r>
      <w:r w:rsidRPr="00F008F6">
        <w:rPr>
          <w:b w:val="0"/>
          <w:noProof/>
          <w:sz w:val="18"/>
        </w:rPr>
      </w:r>
      <w:r w:rsidRPr="00F008F6">
        <w:rPr>
          <w:b w:val="0"/>
          <w:noProof/>
          <w:sz w:val="18"/>
        </w:rPr>
        <w:fldChar w:fldCharType="separate"/>
      </w:r>
      <w:r w:rsidRPr="00F008F6">
        <w:rPr>
          <w:b w:val="0"/>
          <w:noProof/>
          <w:sz w:val="18"/>
        </w:rPr>
        <w:t>51</w:t>
      </w:r>
      <w:r w:rsidRPr="00F008F6">
        <w:rPr>
          <w:b w:val="0"/>
          <w:noProof/>
          <w:sz w:val="18"/>
        </w:rPr>
        <w:fldChar w:fldCharType="end"/>
      </w:r>
    </w:p>
    <w:p w14:paraId="2918F28C" w14:textId="5FEE38E0"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10JC</w:t>
      </w:r>
      <w:r>
        <w:rPr>
          <w:noProof/>
        </w:rPr>
        <w:tab/>
        <w:t>Export of a therapeutic good that is mercury is prohibited unless approved by the Secretary before exportation</w:t>
      </w:r>
      <w:r w:rsidRPr="00F008F6">
        <w:rPr>
          <w:noProof/>
        </w:rPr>
        <w:tab/>
      </w:r>
      <w:r w:rsidRPr="00F008F6">
        <w:rPr>
          <w:noProof/>
        </w:rPr>
        <w:fldChar w:fldCharType="begin"/>
      </w:r>
      <w:r w:rsidRPr="00F008F6">
        <w:rPr>
          <w:noProof/>
        </w:rPr>
        <w:instrText xml:space="preserve"> PAGEREF _Toc187135647 \h </w:instrText>
      </w:r>
      <w:r w:rsidRPr="00F008F6">
        <w:rPr>
          <w:noProof/>
        </w:rPr>
      </w:r>
      <w:r w:rsidRPr="00F008F6">
        <w:rPr>
          <w:noProof/>
        </w:rPr>
        <w:fldChar w:fldCharType="separate"/>
      </w:r>
      <w:r w:rsidRPr="00F008F6">
        <w:rPr>
          <w:noProof/>
        </w:rPr>
        <w:t>51</w:t>
      </w:r>
      <w:r w:rsidRPr="00F008F6">
        <w:rPr>
          <w:noProof/>
        </w:rPr>
        <w:fldChar w:fldCharType="end"/>
      </w:r>
    </w:p>
    <w:p w14:paraId="3D1DAFA3" w14:textId="69F9F5EE"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4—Applications to import or export mercury</w:t>
      </w:r>
      <w:r w:rsidRPr="00F008F6">
        <w:rPr>
          <w:b w:val="0"/>
          <w:noProof/>
          <w:sz w:val="18"/>
        </w:rPr>
        <w:tab/>
      </w:r>
      <w:r w:rsidRPr="00F008F6">
        <w:rPr>
          <w:b w:val="0"/>
          <w:noProof/>
          <w:sz w:val="18"/>
        </w:rPr>
        <w:fldChar w:fldCharType="begin"/>
      </w:r>
      <w:r w:rsidRPr="00F008F6">
        <w:rPr>
          <w:b w:val="0"/>
          <w:noProof/>
          <w:sz w:val="18"/>
        </w:rPr>
        <w:instrText xml:space="preserve"> PAGEREF _Toc187135648 \h </w:instrText>
      </w:r>
      <w:r w:rsidRPr="00F008F6">
        <w:rPr>
          <w:b w:val="0"/>
          <w:noProof/>
          <w:sz w:val="18"/>
        </w:rPr>
      </w:r>
      <w:r w:rsidRPr="00F008F6">
        <w:rPr>
          <w:b w:val="0"/>
          <w:noProof/>
          <w:sz w:val="18"/>
        </w:rPr>
        <w:fldChar w:fldCharType="separate"/>
      </w:r>
      <w:r w:rsidRPr="00F008F6">
        <w:rPr>
          <w:b w:val="0"/>
          <w:noProof/>
          <w:sz w:val="18"/>
        </w:rPr>
        <w:t>52</w:t>
      </w:r>
      <w:r w:rsidRPr="00F008F6">
        <w:rPr>
          <w:b w:val="0"/>
          <w:noProof/>
          <w:sz w:val="18"/>
        </w:rPr>
        <w:fldChar w:fldCharType="end"/>
      </w:r>
    </w:p>
    <w:p w14:paraId="36E7E4B2" w14:textId="5863E49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10JD</w:t>
      </w:r>
      <w:r>
        <w:rPr>
          <w:noProof/>
        </w:rPr>
        <w:tab/>
        <w:t>Applications to import or export mercury</w:t>
      </w:r>
      <w:r w:rsidRPr="00F008F6">
        <w:rPr>
          <w:noProof/>
        </w:rPr>
        <w:tab/>
      </w:r>
      <w:r w:rsidRPr="00F008F6">
        <w:rPr>
          <w:noProof/>
        </w:rPr>
        <w:fldChar w:fldCharType="begin"/>
      </w:r>
      <w:r w:rsidRPr="00F008F6">
        <w:rPr>
          <w:noProof/>
        </w:rPr>
        <w:instrText xml:space="preserve"> PAGEREF _Toc187135649 \h </w:instrText>
      </w:r>
      <w:r w:rsidRPr="00F008F6">
        <w:rPr>
          <w:noProof/>
        </w:rPr>
      </w:r>
      <w:r w:rsidRPr="00F008F6">
        <w:rPr>
          <w:noProof/>
        </w:rPr>
        <w:fldChar w:fldCharType="separate"/>
      </w:r>
      <w:r w:rsidRPr="00F008F6">
        <w:rPr>
          <w:noProof/>
        </w:rPr>
        <w:t>52</w:t>
      </w:r>
      <w:r w:rsidRPr="00F008F6">
        <w:rPr>
          <w:noProof/>
        </w:rPr>
        <w:fldChar w:fldCharType="end"/>
      </w:r>
    </w:p>
    <w:p w14:paraId="793D4A64" w14:textId="72F606EA"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10JE</w:t>
      </w:r>
      <w:r>
        <w:rPr>
          <w:noProof/>
        </w:rPr>
        <w:tab/>
        <w:t>When approval may be granted—importation</w:t>
      </w:r>
      <w:r w:rsidRPr="00F008F6">
        <w:rPr>
          <w:noProof/>
        </w:rPr>
        <w:tab/>
      </w:r>
      <w:r w:rsidRPr="00F008F6">
        <w:rPr>
          <w:noProof/>
        </w:rPr>
        <w:fldChar w:fldCharType="begin"/>
      </w:r>
      <w:r w:rsidRPr="00F008F6">
        <w:rPr>
          <w:noProof/>
        </w:rPr>
        <w:instrText xml:space="preserve"> PAGEREF _Toc187135650 \h </w:instrText>
      </w:r>
      <w:r w:rsidRPr="00F008F6">
        <w:rPr>
          <w:noProof/>
        </w:rPr>
      </w:r>
      <w:r w:rsidRPr="00F008F6">
        <w:rPr>
          <w:noProof/>
        </w:rPr>
        <w:fldChar w:fldCharType="separate"/>
      </w:r>
      <w:r w:rsidRPr="00F008F6">
        <w:rPr>
          <w:noProof/>
        </w:rPr>
        <w:t>52</w:t>
      </w:r>
      <w:r w:rsidRPr="00F008F6">
        <w:rPr>
          <w:noProof/>
        </w:rPr>
        <w:fldChar w:fldCharType="end"/>
      </w:r>
    </w:p>
    <w:p w14:paraId="3F5BD457" w14:textId="7E9B417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10JF</w:t>
      </w:r>
      <w:r>
        <w:rPr>
          <w:noProof/>
        </w:rPr>
        <w:tab/>
        <w:t>When approval may be granted—export</w:t>
      </w:r>
      <w:r w:rsidRPr="00F008F6">
        <w:rPr>
          <w:noProof/>
        </w:rPr>
        <w:tab/>
      </w:r>
      <w:r w:rsidRPr="00F008F6">
        <w:rPr>
          <w:noProof/>
        </w:rPr>
        <w:fldChar w:fldCharType="begin"/>
      </w:r>
      <w:r w:rsidRPr="00F008F6">
        <w:rPr>
          <w:noProof/>
        </w:rPr>
        <w:instrText xml:space="preserve"> PAGEREF _Toc187135651 \h </w:instrText>
      </w:r>
      <w:r w:rsidRPr="00F008F6">
        <w:rPr>
          <w:noProof/>
        </w:rPr>
      </w:r>
      <w:r w:rsidRPr="00F008F6">
        <w:rPr>
          <w:noProof/>
        </w:rPr>
        <w:fldChar w:fldCharType="separate"/>
      </w:r>
      <w:r w:rsidRPr="00F008F6">
        <w:rPr>
          <w:noProof/>
        </w:rPr>
        <w:t>52</w:t>
      </w:r>
      <w:r w:rsidRPr="00F008F6">
        <w:rPr>
          <w:noProof/>
        </w:rPr>
        <w:fldChar w:fldCharType="end"/>
      </w:r>
    </w:p>
    <w:p w14:paraId="40EDEABE" w14:textId="654DD5CE"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5—Mercury</w:t>
      </w:r>
      <w:r>
        <w:rPr>
          <w:noProof/>
        </w:rPr>
        <w:noBreakHyphen/>
        <w:t>added products</w:t>
      </w:r>
      <w:r w:rsidRPr="00F008F6">
        <w:rPr>
          <w:b w:val="0"/>
          <w:noProof/>
          <w:sz w:val="18"/>
        </w:rPr>
        <w:tab/>
      </w:r>
      <w:r w:rsidRPr="00F008F6">
        <w:rPr>
          <w:b w:val="0"/>
          <w:noProof/>
          <w:sz w:val="18"/>
        </w:rPr>
        <w:fldChar w:fldCharType="begin"/>
      </w:r>
      <w:r w:rsidRPr="00F008F6">
        <w:rPr>
          <w:b w:val="0"/>
          <w:noProof/>
          <w:sz w:val="18"/>
        </w:rPr>
        <w:instrText xml:space="preserve"> PAGEREF _Toc187135652 \h </w:instrText>
      </w:r>
      <w:r w:rsidRPr="00F008F6">
        <w:rPr>
          <w:b w:val="0"/>
          <w:noProof/>
          <w:sz w:val="18"/>
        </w:rPr>
      </w:r>
      <w:r w:rsidRPr="00F008F6">
        <w:rPr>
          <w:b w:val="0"/>
          <w:noProof/>
          <w:sz w:val="18"/>
        </w:rPr>
        <w:fldChar w:fldCharType="separate"/>
      </w:r>
      <w:r w:rsidRPr="00F008F6">
        <w:rPr>
          <w:b w:val="0"/>
          <w:noProof/>
          <w:sz w:val="18"/>
        </w:rPr>
        <w:t>54</w:t>
      </w:r>
      <w:r w:rsidRPr="00F008F6">
        <w:rPr>
          <w:b w:val="0"/>
          <w:noProof/>
          <w:sz w:val="18"/>
        </w:rPr>
        <w:fldChar w:fldCharType="end"/>
      </w:r>
    </w:p>
    <w:p w14:paraId="02534C66" w14:textId="3DA762BA"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10JG</w:t>
      </w:r>
      <w:r>
        <w:rPr>
          <w:noProof/>
        </w:rPr>
        <w:tab/>
        <w:t>Import, export and manufacture of therapeutic goods that are mercury</w:t>
      </w:r>
      <w:r>
        <w:rPr>
          <w:noProof/>
        </w:rPr>
        <w:noBreakHyphen/>
        <w:t>added products</w:t>
      </w:r>
      <w:r w:rsidRPr="00F008F6">
        <w:rPr>
          <w:noProof/>
        </w:rPr>
        <w:tab/>
      </w:r>
      <w:r w:rsidRPr="00F008F6">
        <w:rPr>
          <w:noProof/>
        </w:rPr>
        <w:fldChar w:fldCharType="begin"/>
      </w:r>
      <w:r w:rsidRPr="00F008F6">
        <w:rPr>
          <w:noProof/>
        </w:rPr>
        <w:instrText xml:space="preserve"> PAGEREF _Toc187135653 \h </w:instrText>
      </w:r>
      <w:r w:rsidRPr="00F008F6">
        <w:rPr>
          <w:noProof/>
        </w:rPr>
      </w:r>
      <w:r w:rsidRPr="00F008F6">
        <w:rPr>
          <w:noProof/>
        </w:rPr>
        <w:fldChar w:fldCharType="separate"/>
      </w:r>
      <w:r w:rsidRPr="00F008F6">
        <w:rPr>
          <w:noProof/>
        </w:rPr>
        <w:t>54</w:t>
      </w:r>
      <w:r w:rsidRPr="00F008F6">
        <w:rPr>
          <w:noProof/>
        </w:rPr>
        <w:fldChar w:fldCharType="end"/>
      </w:r>
    </w:p>
    <w:p w14:paraId="50A6A292" w14:textId="1FD5C14A"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10JH</w:t>
      </w:r>
      <w:r>
        <w:rPr>
          <w:noProof/>
        </w:rPr>
        <w:tab/>
        <w:t>Manufacture of therapeutic goods containing mercury</w:t>
      </w:r>
      <w:r>
        <w:rPr>
          <w:noProof/>
        </w:rPr>
        <w:noBreakHyphen/>
        <w:t>added products</w:t>
      </w:r>
      <w:r w:rsidRPr="00F008F6">
        <w:rPr>
          <w:noProof/>
        </w:rPr>
        <w:tab/>
      </w:r>
      <w:r w:rsidRPr="00F008F6">
        <w:rPr>
          <w:noProof/>
        </w:rPr>
        <w:fldChar w:fldCharType="begin"/>
      </w:r>
      <w:r w:rsidRPr="00F008F6">
        <w:rPr>
          <w:noProof/>
        </w:rPr>
        <w:instrText xml:space="preserve"> PAGEREF _Toc187135654 \h </w:instrText>
      </w:r>
      <w:r w:rsidRPr="00F008F6">
        <w:rPr>
          <w:noProof/>
        </w:rPr>
      </w:r>
      <w:r w:rsidRPr="00F008F6">
        <w:rPr>
          <w:noProof/>
        </w:rPr>
        <w:fldChar w:fldCharType="separate"/>
      </w:r>
      <w:r w:rsidRPr="00F008F6">
        <w:rPr>
          <w:noProof/>
        </w:rPr>
        <w:t>54</w:t>
      </w:r>
      <w:r w:rsidRPr="00F008F6">
        <w:rPr>
          <w:noProof/>
        </w:rPr>
        <w:fldChar w:fldCharType="end"/>
      </w:r>
    </w:p>
    <w:p w14:paraId="23B799C1" w14:textId="49375084"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2D—Provisional determinations for medicine</w:t>
      </w:r>
      <w:r w:rsidRPr="00F008F6">
        <w:rPr>
          <w:b w:val="0"/>
          <w:noProof/>
          <w:sz w:val="18"/>
        </w:rPr>
        <w:tab/>
      </w:r>
      <w:r w:rsidRPr="00F008F6">
        <w:rPr>
          <w:b w:val="0"/>
          <w:noProof/>
          <w:sz w:val="18"/>
        </w:rPr>
        <w:fldChar w:fldCharType="begin"/>
      </w:r>
      <w:r w:rsidRPr="00F008F6">
        <w:rPr>
          <w:b w:val="0"/>
          <w:noProof/>
          <w:sz w:val="18"/>
        </w:rPr>
        <w:instrText xml:space="preserve"> PAGEREF _Toc187135655 \h </w:instrText>
      </w:r>
      <w:r w:rsidRPr="00F008F6">
        <w:rPr>
          <w:b w:val="0"/>
          <w:noProof/>
          <w:sz w:val="18"/>
        </w:rPr>
      </w:r>
      <w:r w:rsidRPr="00F008F6">
        <w:rPr>
          <w:b w:val="0"/>
          <w:noProof/>
          <w:sz w:val="18"/>
        </w:rPr>
        <w:fldChar w:fldCharType="separate"/>
      </w:r>
      <w:r w:rsidRPr="00F008F6">
        <w:rPr>
          <w:b w:val="0"/>
          <w:noProof/>
          <w:sz w:val="18"/>
        </w:rPr>
        <w:t>55</w:t>
      </w:r>
      <w:r w:rsidRPr="00F008F6">
        <w:rPr>
          <w:b w:val="0"/>
          <w:noProof/>
          <w:sz w:val="18"/>
        </w:rPr>
        <w:fldChar w:fldCharType="end"/>
      </w:r>
    </w:p>
    <w:p w14:paraId="55923C02" w14:textId="4C76334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10K</w:t>
      </w:r>
      <w:r>
        <w:rPr>
          <w:noProof/>
        </w:rPr>
        <w:tab/>
        <w:t>Applications for provisional determinations</w:t>
      </w:r>
      <w:r w:rsidRPr="00F008F6">
        <w:rPr>
          <w:noProof/>
        </w:rPr>
        <w:tab/>
      </w:r>
      <w:r w:rsidRPr="00F008F6">
        <w:rPr>
          <w:noProof/>
        </w:rPr>
        <w:fldChar w:fldCharType="begin"/>
      </w:r>
      <w:r w:rsidRPr="00F008F6">
        <w:rPr>
          <w:noProof/>
        </w:rPr>
        <w:instrText xml:space="preserve"> PAGEREF _Toc187135656 \h </w:instrText>
      </w:r>
      <w:r w:rsidRPr="00F008F6">
        <w:rPr>
          <w:noProof/>
        </w:rPr>
      </w:r>
      <w:r w:rsidRPr="00F008F6">
        <w:rPr>
          <w:noProof/>
        </w:rPr>
        <w:fldChar w:fldCharType="separate"/>
      </w:r>
      <w:r w:rsidRPr="00F008F6">
        <w:rPr>
          <w:noProof/>
        </w:rPr>
        <w:t>55</w:t>
      </w:r>
      <w:r w:rsidRPr="00F008F6">
        <w:rPr>
          <w:noProof/>
        </w:rPr>
        <w:fldChar w:fldCharType="end"/>
      </w:r>
    </w:p>
    <w:p w14:paraId="6614E9B9" w14:textId="3BE0C016"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10L</w:t>
      </w:r>
      <w:r>
        <w:rPr>
          <w:noProof/>
        </w:rPr>
        <w:tab/>
        <w:t>Provisional determinations</w:t>
      </w:r>
      <w:r w:rsidRPr="00F008F6">
        <w:rPr>
          <w:noProof/>
        </w:rPr>
        <w:tab/>
      </w:r>
      <w:r w:rsidRPr="00F008F6">
        <w:rPr>
          <w:noProof/>
        </w:rPr>
        <w:fldChar w:fldCharType="begin"/>
      </w:r>
      <w:r w:rsidRPr="00F008F6">
        <w:rPr>
          <w:noProof/>
        </w:rPr>
        <w:instrText xml:space="preserve"> PAGEREF _Toc187135657 \h </w:instrText>
      </w:r>
      <w:r w:rsidRPr="00F008F6">
        <w:rPr>
          <w:noProof/>
        </w:rPr>
      </w:r>
      <w:r w:rsidRPr="00F008F6">
        <w:rPr>
          <w:noProof/>
        </w:rPr>
        <w:fldChar w:fldCharType="separate"/>
      </w:r>
      <w:r w:rsidRPr="00F008F6">
        <w:rPr>
          <w:noProof/>
        </w:rPr>
        <w:t>55</w:t>
      </w:r>
      <w:r w:rsidRPr="00F008F6">
        <w:rPr>
          <w:noProof/>
        </w:rPr>
        <w:fldChar w:fldCharType="end"/>
      </w:r>
    </w:p>
    <w:p w14:paraId="4B57459C" w14:textId="19D47831"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2E—Scientific advice about aspects of quality, safety or efficacy of medicine</w:t>
      </w:r>
      <w:r w:rsidRPr="00F008F6">
        <w:rPr>
          <w:b w:val="0"/>
          <w:noProof/>
          <w:sz w:val="18"/>
        </w:rPr>
        <w:tab/>
      </w:r>
      <w:r w:rsidRPr="00F008F6">
        <w:rPr>
          <w:b w:val="0"/>
          <w:noProof/>
          <w:sz w:val="18"/>
        </w:rPr>
        <w:fldChar w:fldCharType="begin"/>
      </w:r>
      <w:r w:rsidRPr="00F008F6">
        <w:rPr>
          <w:b w:val="0"/>
          <w:noProof/>
          <w:sz w:val="18"/>
        </w:rPr>
        <w:instrText xml:space="preserve"> PAGEREF _Toc187135658 \h </w:instrText>
      </w:r>
      <w:r w:rsidRPr="00F008F6">
        <w:rPr>
          <w:b w:val="0"/>
          <w:noProof/>
          <w:sz w:val="18"/>
        </w:rPr>
      </w:r>
      <w:r w:rsidRPr="00F008F6">
        <w:rPr>
          <w:b w:val="0"/>
          <w:noProof/>
          <w:sz w:val="18"/>
        </w:rPr>
        <w:fldChar w:fldCharType="separate"/>
      </w:r>
      <w:r w:rsidRPr="00F008F6">
        <w:rPr>
          <w:b w:val="0"/>
          <w:noProof/>
          <w:sz w:val="18"/>
        </w:rPr>
        <w:t>56</w:t>
      </w:r>
      <w:r w:rsidRPr="00F008F6">
        <w:rPr>
          <w:b w:val="0"/>
          <w:noProof/>
          <w:sz w:val="18"/>
        </w:rPr>
        <w:fldChar w:fldCharType="end"/>
      </w:r>
    </w:p>
    <w:p w14:paraId="6E163E9F" w14:textId="04354B4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10M</w:t>
      </w:r>
      <w:r>
        <w:rPr>
          <w:noProof/>
        </w:rPr>
        <w:tab/>
        <w:t>Scientific advice about aspects of quality, safety or efficacy of medicine</w:t>
      </w:r>
      <w:r w:rsidRPr="00F008F6">
        <w:rPr>
          <w:noProof/>
        </w:rPr>
        <w:tab/>
      </w:r>
      <w:r w:rsidRPr="00F008F6">
        <w:rPr>
          <w:noProof/>
        </w:rPr>
        <w:fldChar w:fldCharType="begin"/>
      </w:r>
      <w:r w:rsidRPr="00F008F6">
        <w:rPr>
          <w:noProof/>
        </w:rPr>
        <w:instrText xml:space="preserve"> PAGEREF _Toc187135659 \h </w:instrText>
      </w:r>
      <w:r w:rsidRPr="00F008F6">
        <w:rPr>
          <w:noProof/>
        </w:rPr>
      </w:r>
      <w:r w:rsidRPr="00F008F6">
        <w:rPr>
          <w:noProof/>
        </w:rPr>
        <w:fldChar w:fldCharType="separate"/>
      </w:r>
      <w:r w:rsidRPr="00F008F6">
        <w:rPr>
          <w:noProof/>
        </w:rPr>
        <w:t>56</w:t>
      </w:r>
      <w:r w:rsidRPr="00F008F6">
        <w:rPr>
          <w:noProof/>
        </w:rPr>
        <w:fldChar w:fldCharType="end"/>
      </w:r>
    </w:p>
    <w:p w14:paraId="666D4881" w14:textId="6854699B"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2F—Vaping goods</w:t>
      </w:r>
      <w:r w:rsidRPr="00F008F6">
        <w:rPr>
          <w:b w:val="0"/>
          <w:noProof/>
          <w:sz w:val="18"/>
        </w:rPr>
        <w:tab/>
      </w:r>
      <w:r w:rsidRPr="00F008F6">
        <w:rPr>
          <w:b w:val="0"/>
          <w:noProof/>
          <w:sz w:val="18"/>
        </w:rPr>
        <w:fldChar w:fldCharType="begin"/>
      </w:r>
      <w:r w:rsidRPr="00F008F6">
        <w:rPr>
          <w:b w:val="0"/>
          <w:noProof/>
          <w:sz w:val="18"/>
        </w:rPr>
        <w:instrText xml:space="preserve"> PAGEREF _Toc187135660 \h </w:instrText>
      </w:r>
      <w:r w:rsidRPr="00F008F6">
        <w:rPr>
          <w:b w:val="0"/>
          <w:noProof/>
          <w:sz w:val="18"/>
        </w:rPr>
      </w:r>
      <w:r w:rsidRPr="00F008F6">
        <w:rPr>
          <w:b w:val="0"/>
          <w:noProof/>
          <w:sz w:val="18"/>
        </w:rPr>
        <w:fldChar w:fldCharType="separate"/>
      </w:r>
      <w:r w:rsidRPr="00F008F6">
        <w:rPr>
          <w:b w:val="0"/>
          <w:noProof/>
          <w:sz w:val="18"/>
        </w:rPr>
        <w:t>57</w:t>
      </w:r>
      <w:r w:rsidRPr="00F008F6">
        <w:rPr>
          <w:b w:val="0"/>
          <w:noProof/>
          <w:sz w:val="18"/>
        </w:rPr>
        <w:fldChar w:fldCharType="end"/>
      </w:r>
    </w:p>
    <w:p w14:paraId="098368B0" w14:textId="0BF952F0"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10N</w:t>
      </w:r>
      <w:r>
        <w:rPr>
          <w:noProof/>
        </w:rPr>
        <w:tab/>
        <w:t>Commercial quantity of vaping goods</w:t>
      </w:r>
      <w:r w:rsidRPr="00F008F6">
        <w:rPr>
          <w:noProof/>
        </w:rPr>
        <w:tab/>
      </w:r>
      <w:r w:rsidRPr="00F008F6">
        <w:rPr>
          <w:noProof/>
        </w:rPr>
        <w:fldChar w:fldCharType="begin"/>
      </w:r>
      <w:r w:rsidRPr="00F008F6">
        <w:rPr>
          <w:noProof/>
        </w:rPr>
        <w:instrText xml:space="preserve"> PAGEREF _Toc187135661 \h </w:instrText>
      </w:r>
      <w:r w:rsidRPr="00F008F6">
        <w:rPr>
          <w:noProof/>
        </w:rPr>
      </w:r>
      <w:r w:rsidRPr="00F008F6">
        <w:rPr>
          <w:noProof/>
        </w:rPr>
        <w:fldChar w:fldCharType="separate"/>
      </w:r>
      <w:r w:rsidRPr="00F008F6">
        <w:rPr>
          <w:noProof/>
        </w:rPr>
        <w:t>57</w:t>
      </w:r>
      <w:r w:rsidRPr="00F008F6">
        <w:rPr>
          <w:noProof/>
        </w:rPr>
        <w:fldChar w:fldCharType="end"/>
      </w:r>
    </w:p>
    <w:p w14:paraId="1153EA07" w14:textId="5D891657"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10P</w:t>
      </w:r>
      <w:r>
        <w:rPr>
          <w:noProof/>
        </w:rPr>
        <w:tab/>
        <w:t>Unit of vaping goods</w:t>
      </w:r>
      <w:r w:rsidRPr="00F008F6">
        <w:rPr>
          <w:noProof/>
        </w:rPr>
        <w:tab/>
      </w:r>
      <w:r w:rsidRPr="00F008F6">
        <w:rPr>
          <w:noProof/>
        </w:rPr>
        <w:fldChar w:fldCharType="begin"/>
      </w:r>
      <w:r w:rsidRPr="00F008F6">
        <w:rPr>
          <w:noProof/>
        </w:rPr>
        <w:instrText xml:space="preserve"> PAGEREF _Toc187135662 \h </w:instrText>
      </w:r>
      <w:r w:rsidRPr="00F008F6">
        <w:rPr>
          <w:noProof/>
        </w:rPr>
      </w:r>
      <w:r w:rsidRPr="00F008F6">
        <w:rPr>
          <w:noProof/>
        </w:rPr>
        <w:fldChar w:fldCharType="separate"/>
      </w:r>
      <w:r w:rsidRPr="00F008F6">
        <w:rPr>
          <w:noProof/>
        </w:rPr>
        <w:t>57</w:t>
      </w:r>
      <w:r w:rsidRPr="00F008F6">
        <w:rPr>
          <w:noProof/>
        </w:rPr>
        <w:fldChar w:fldCharType="end"/>
      </w:r>
    </w:p>
    <w:p w14:paraId="5B45C9F6" w14:textId="5BF21A41"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10Q</w:t>
      </w:r>
      <w:r>
        <w:rPr>
          <w:noProof/>
        </w:rPr>
        <w:tab/>
        <w:t>Permitted quantity</w:t>
      </w:r>
      <w:r w:rsidRPr="00F008F6">
        <w:rPr>
          <w:noProof/>
        </w:rPr>
        <w:tab/>
      </w:r>
      <w:r w:rsidRPr="00F008F6">
        <w:rPr>
          <w:noProof/>
        </w:rPr>
        <w:fldChar w:fldCharType="begin"/>
      </w:r>
      <w:r w:rsidRPr="00F008F6">
        <w:rPr>
          <w:noProof/>
        </w:rPr>
        <w:instrText xml:space="preserve"> PAGEREF _Toc187135663 \h </w:instrText>
      </w:r>
      <w:r w:rsidRPr="00F008F6">
        <w:rPr>
          <w:noProof/>
        </w:rPr>
      </w:r>
      <w:r w:rsidRPr="00F008F6">
        <w:rPr>
          <w:noProof/>
        </w:rPr>
        <w:fldChar w:fldCharType="separate"/>
      </w:r>
      <w:r w:rsidRPr="00F008F6">
        <w:rPr>
          <w:noProof/>
        </w:rPr>
        <w:t>57</w:t>
      </w:r>
      <w:r w:rsidRPr="00F008F6">
        <w:rPr>
          <w:noProof/>
        </w:rPr>
        <w:fldChar w:fldCharType="end"/>
      </w:r>
    </w:p>
    <w:p w14:paraId="1F61BDC8" w14:textId="39A5EB0E"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3—Registration, inclusion, listing and exemption of therapeutic goods</w:t>
      </w:r>
      <w:r w:rsidRPr="00F008F6">
        <w:rPr>
          <w:b w:val="0"/>
          <w:noProof/>
          <w:sz w:val="18"/>
        </w:rPr>
        <w:tab/>
      </w:r>
      <w:r w:rsidRPr="00F008F6">
        <w:rPr>
          <w:b w:val="0"/>
          <w:noProof/>
          <w:sz w:val="18"/>
        </w:rPr>
        <w:fldChar w:fldCharType="begin"/>
      </w:r>
      <w:r w:rsidRPr="00F008F6">
        <w:rPr>
          <w:b w:val="0"/>
          <w:noProof/>
          <w:sz w:val="18"/>
        </w:rPr>
        <w:instrText xml:space="preserve"> PAGEREF _Toc187135664 \h </w:instrText>
      </w:r>
      <w:r w:rsidRPr="00F008F6">
        <w:rPr>
          <w:b w:val="0"/>
          <w:noProof/>
          <w:sz w:val="18"/>
        </w:rPr>
      </w:r>
      <w:r w:rsidRPr="00F008F6">
        <w:rPr>
          <w:b w:val="0"/>
          <w:noProof/>
          <w:sz w:val="18"/>
        </w:rPr>
        <w:fldChar w:fldCharType="separate"/>
      </w:r>
      <w:r w:rsidRPr="00F008F6">
        <w:rPr>
          <w:b w:val="0"/>
          <w:noProof/>
          <w:sz w:val="18"/>
        </w:rPr>
        <w:t>59</w:t>
      </w:r>
      <w:r w:rsidRPr="00F008F6">
        <w:rPr>
          <w:b w:val="0"/>
          <w:noProof/>
          <w:sz w:val="18"/>
        </w:rPr>
        <w:fldChar w:fldCharType="end"/>
      </w:r>
    </w:p>
    <w:p w14:paraId="03BA6C37" w14:textId="25C841FB"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11</w:t>
      </w:r>
      <w:r>
        <w:rPr>
          <w:noProof/>
        </w:rPr>
        <w:tab/>
        <w:t>Characteristics that separate and distinguish certain medicines from other therapeutic goods</w:t>
      </w:r>
      <w:r w:rsidRPr="00F008F6">
        <w:rPr>
          <w:noProof/>
        </w:rPr>
        <w:tab/>
      </w:r>
      <w:r w:rsidRPr="00F008F6">
        <w:rPr>
          <w:noProof/>
        </w:rPr>
        <w:fldChar w:fldCharType="begin"/>
      </w:r>
      <w:r w:rsidRPr="00F008F6">
        <w:rPr>
          <w:noProof/>
        </w:rPr>
        <w:instrText xml:space="preserve"> PAGEREF _Toc187135665 \h </w:instrText>
      </w:r>
      <w:r w:rsidRPr="00F008F6">
        <w:rPr>
          <w:noProof/>
        </w:rPr>
      </w:r>
      <w:r w:rsidRPr="00F008F6">
        <w:rPr>
          <w:noProof/>
        </w:rPr>
        <w:fldChar w:fldCharType="separate"/>
      </w:r>
      <w:r w:rsidRPr="00F008F6">
        <w:rPr>
          <w:noProof/>
        </w:rPr>
        <w:t>59</w:t>
      </w:r>
      <w:r w:rsidRPr="00F008F6">
        <w:rPr>
          <w:noProof/>
        </w:rPr>
        <w:fldChar w:fldCharType="end"/>
      </w:r>
    </w:p>
    <w:p w14:paraId="21D62331" w14:textId="7814A09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11A</w:t>
      </w:r>
      <w:r>
        <w:rPr>
          <w:noProof/>
        </w:rPr>
        <w:tab/>
        <w:t>Characteristics that separate and distinguish certain biologicals from other biologicals</w:t>
      </w:r>
      <w:r w:rsidRPr="00F008F6">
        <w:rPr>
          <w:noProof/>
        </w:rPr>
        <w:tab/>
      </w:r>
      <w:r w:rsidRPr="00F008F6">
        <w:rPr>
          <w:noProof/>
        </w:rPr>
        <w:fldChar w:fldCharType="begin"/>
      </w:r>
      <w:r w:rsidRPr="00F008F6">
        <w:rPr>
          <w:noProof/>
        </w:rPr>
        <w:instrText xml:space="preserve"> PAGEREF _Toc187135666 \h </w:instrText>
      </w:r>
      <w:r w:rsidRPr="00F008F6">
        <w:rPr>
          <w:noProof/>
        </w:rPr>
      </w:r>
      <w:r w:rsidRPr="00F008F6">
        <w:rPr>
          <w:noProof/>
        </w:rPr>
        <w:fldChar w:fldCharType="separate"/>
      </w:r>
      <w:r w:rsidRPr="00F008F6">
        <w:rPr>
          <w:noProof/>
        </w:rPr>
        <w:t>59</w:t>
      </w:r>
      <w:r w:rsidRPr="00F008F6">
        <w:rPr>
          <w:noProof/>
        </w:rPr>
        <w:fldChar w:fldCharType="end"/>
      </w:r>
    </w:p>
    <w:p w14:paraId="2F10E4E5" w14:textId="0F135636"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lastRenderedPageBreak/>
        <w:t>12</w:t>
      </w:r>
      <w:r>
        <w:rPr>
          <w:noProof/>
        </w:rPr>
        <w:tab/>
        <w:t>Exempt goods</w:t>
      </w:r>
      <w:r w:rsidRPr="00F008F6">
        <w:rPr>
          <w:noProof/>
        </w:rPr>
        <w:tab/>
      </w:r>
      <w:r w:rsidRPr="00F008F6">
        <w:rPr>
          <w:noProof/>
        </w:rPr>
        <w:fldChar w:fldCharType="begin"/>
      </w:r>
      <w:r w:rsidRPr="00F008F6">
        <w:rPr>
          <w:noProof/>
        </w:rPr>
        <w:instrText xml:space="preserve"> PAGEREF _Toc187135667 \h </w:instrText>
      </w:r>
      <w:r w:rsidRPr="00F008F6">
        <w:rPr>
          <w:noProof/>
        </w:rPr>
      </w:r>
      <w:r w:rsidRPr="00F008F6">
        <w:rPr>
          <w:noProof/>
        </w:rPr>
        <w:fldChar w:fldCharType="separate"/>
      </w:r>
      <w:r w:rsidRPr="00F008F6">
        <w:rPr>
          <w:noProof/>
        </w:rPr>
        <w:t>60</w:t>
      </w:r>
      <w:r w:rsidRPr="00F008F6">
        <w:rPr>
          <w:noProof/>
        </w:rPr>
        <w:fldChar w:fldCharType="end"/>
      </w:r>
    </w:p>
    <w:p w14:paraId="3629F3B8" w14:textId="4DC3170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12A</w:t>
      </w:r>
      <w:r>
        <w:rPr>
          <w:noProof/>
        </w:rPr>
        <w:tab/>
        <w:t>Unapproved medicines and biological—exemption in life</w:t>
      </w:r>
      <w:r>
        <w:rPr>
          <w:noProof/>
        </w:rPr>
        <w:noBreakHyphen/>
        <w:t>threatening cases</w:t>
      </w:r>
      <w:r w:rsidRPr="00F008F6">
        <w:rPr>
          <w:noProof/>
        </w:rPr>
        <w:tab/>
      </w:r>
      <w:r w:rsidRPr="00F008F6">
        <w:rPr>
          <w:noProof/>
        </w:rPr>
        <w:fldChar w:fldCharType="begin"/>
      </w:r>
      <w:r w:rsidRPr="00F008F6">
        <w:rPr>
          <w:noProof/>
        </w:rPr>
        <w:instrText xml:space="preserve"> PAGEREF _Toc187135668 \h </w:instrText>
      </w:r>
      <w:r w:rsidRPr="00F008F6">
        <w:rPr>
          <w:noProof/>
        </w:rPr>
      </w:r>
      <w:r w:rsidRPr="00F008F6">
        <w:rPr>
          <w:noProof/>
        </w:rPr>
        <w:fldChar w:fldCharType="separate"/>
      </w:r>
      <w:r w:rsidRPr="00F008F6">
        <w:rPr>
          <w:noProof/>
        </w:rPr>
        <w:t>61</w:t>
      </w:r>
      <w:r w:rsidRPr="00F008F6">
        <w:rPr>
          <w:noProof/>
        </w:rPr>
        <w:fldChar w:fldCharType="end"/>
      </w:r>
    </w:p>
    <w:p w14:paraId="02779B1C" w14:textId="34D78CFA"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12AAB</w:t>
      </w:r>
      <w:r>
        <w:rPr>
          <w:noProof/>
        </w:rPr>
        <w:tab/>
        <w:t>Disposal of unused emergency goods and unused emergency biologicals</w:t>
      </w:r>
      <w:r w:rsidRPr="00F008F6">
        <w:rPr>
          <w:noProof/>
        </w:rPr>
        <w:tab/>
      </w:r>
      <w:r w:rsidRPr="00F008F6">
        <w:rPr>
          <w:noProof/>
        </w:rPr>
        <w:fldChar w:fldCharType="begin"/>
      </w:r>
      <w:r w:rsidRPr="00F008F6">
        <w:rPr>
          <w:noProof/>
        </w:rPr>
        <w:instrText xml:space="preserve"> PAGEREF _Toc187135669 \h </w:instrText>
      </w:r>
      <w:r w:rsidRPr="00F008F6">
        <w:rPr>
          <w:noProof/>
        </w:rPr>
      </w:r>
      <w:r w:rsidRPr="00F008F6">
        <w:rPr>
          <w:noProof/>
        </w:rPr>
        <w:fldChar w:fldCharType="separate"/>
      </w:r>
      <w:r w:rsidRPr="00F008F6">
        <w:rPr>
          <w:noProof/>
        </w:rPr>
        <w:t>62</w:t>
      </w:r>
      <w:r w:rsidRPr="00F008F6">
        <w:rPr>
          <w:noProof/>
        </w:rPr>
        <w:fldChar w:fldCharType="end"/>
      </w:r>
    </w:p>
    <w:p w14:paraId="41863CAA" w14:textId="078FE4F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12AA</w:t>
      </w:r>
      <w:r>
        <w:rPr>
          <w:noProof/>
        </w:rPr>
        <w:tab/>
        <w:t>Applications for special and experimental uses</w:t>
      </w:r>
      <w:r w:rsidRPr="00F008F6">
        <w:rPr>
          <w:noProof/>
        </w:rPr>
        <w:tab/>
      </w:r>
      <w:r w:rsidRPr="00F008F6">
        <w:rPr>
          <w:noProof/>
        </w:rPr>
        <w:fldChar w:fldCharType="begin"/>
      </w:r>
      <w:r w:rsidRPr="00F008F6">
        <w:rPr>
          <w:noProof/>
        </w:rPr>
        <w:instrText xml:space="preserve"> PAGEREF _Toc187135670 \h </w:instrText>
      </w:r>
      <w:r w:rsidRPr="00F008F6">
        <w:rPr>
          <w:noProof/>
        </w:rPr>
      </w:r>
      <w:r w:rsidRPr="00F008F6">
        <w:rPr>
          <w:noProof/>
        </w:rPr>
        <w:fldChar w:fldCharType="separate"/>
      </w:r>
      <w:r w:rsidRPr="00F008F6">
        <w:rPr>
          <w:noProof/>
        </w:rPr>
        <w:t>63</w:t>
      </w:r>
      <w:r w:rsidRPr="00F008F6">
        <w:rPr>
          <w:noProof/>
        </w:rPr>
        <w:fldChar w:fldCharType="end"/>
      </w:r>
    </w:p>
    <w:p w14:paraId="55D22824" w14:textId="0ED3BCD2"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12AB</w:t>
      </w:r>
      <w:r>
        <w:rPr>
          <w:noProof/>
        </w:rPr>
        <w:tab/>
        <w:t>Goods imported etc for experimental uses</w:t>
      </w:r>
      <w:r w:rsidRPr="00F008F6">
        <w:rPr>
          <w:noProof/>
        </w:rPr>
        <w:tab/>
      </w:r>
      <w:r w:rsidRPr="00F008F6">
        <w:rPr>
          <w:noProof/>
        </w:rPr>
        <w:fldChar w:fldCharType="begin"/>
      </w:r>
      <w:r w:rsidRPr="00F008F6">
        <w:rPr>
          <w:noProof/>
        </w:rPr>
        <w:instrText xml:space="preserve"> PAGEREF _Toc187135671 \h </w:instrText>
      </w:r>
      <w:r w:rsidRPr="00F008F6">
        <w:rPr>
          <w:noProof/>
        </w:rPr>
      </w:r>
      <w:r w:rsidRPr="00F008F6">
        <w:rPr>
          <w:noProof/>
        </w:rPr>
        <w:fldChar w:fldCharType="separate"/>
      </w:r>
      <w:r w:rsidRPr="00F008F6">
        <w:rPr>
          <w:noProof/>
        </w:rPr>
        <w:t>63</w:t>
      </w:r>
      <w:r w:rsidRPr="00F008F6">
        <w:rPr>
          <w:noProof/>
        </w:rPr>
        <w:fldChar w:fldCharType="end"/>
      </w:r>
    </w:p>
    <w:p w14:paraId="7A5ACA83" w14:textId="44DB924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12AC</w:t>
      </w:r>
      <w:r>
        <w:rPr>
          <w:noProof/>
        </w:rPr>
        <w:tab/>
        <w:t>Powers of authorised officers in relation to goods imported etc for experimental uses</w:t>
      </w:r>
      <w:r w:rsidRPr="00F008F6">
        <w:rPr>
          <w:noProof/>
        </w:rPr>
        <w:tab/>
      </w:r>
      <w:r w:rsidRPr="00F008F6">
        <w:rPr>
          <w:noProof/>
        </w:rPr>
        <w:fldChar w:fldCharType="begin"/>
      </w:r>
      <w:r w:rsidRPr="00F008F6">
        <w:rPr>
          <w:noProof/>
        </w:rPr>
        <w:instrText xml:space="preserve"> PAGEREF _Toc187135672 \h </w:instrText>
      </w:r>
      <w:r w:rsidRPr="00F008F6">
        <w:rPr>
          <w:noProof/>
        </w:rPr>
      </w:r>
      <w:r w:rsidRPr="00F008F6">
        <w:rPr>
          <w:noProof/>
        </w:rPr>
        <w:fldChar w:fldCharType="separate"/>
      </w:r>
      <w:r w:rsidRPr="00F008F6">
        <w:rPr>
          <w:noProof/>
        </w:rPr>
        <w:t>63</w:t>
      </w:r>
      <w:r w:rsidRPr="00F008F6">
        <w:rPr>
          <w:noProof/>
        </w:rPr>
        <w:fldChar w:fldCharType="end"/>
      </w:r>
    </w:p>
    <w:p w14:paraId="0817F0D7" w14:textId="7B4DBA9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12AD</w:t>
      </w:r>
      <w:r>
        <w:rPr>
          <w:noProof/>
        </w:rPr>
        <w:tab/>
        <w:t>Use of goods for experimental purposes—specified conditions</w:t>
      </w:r>
      <w:r w:rsidRPr="00F008F6">
        <w:rPr>
          <w:noProof/>
        </w:rPr>
        <w:tab/>
      </w:r>
      <w:r w:rsidRPr="00F008F6">
        <w:rPr>
          <w:noProof/>
        </w:rPr>
        <w:fldChar w:fldCharType="begin"/>
      </w:r>
      <w:r w:rsidRPr="00F008F6">
        <w:rPr>
          <w:noProof/>
        </w:rPr>
        <w:instrText xml:space="preserve"> PAGEREF _Toc187135673 \h </w:instrText>
      </w:r>
      <w:r w:rsidRPr="00F008F6">
        <w:rPr>
          <w:noProof/>
        </w:rPr>
      </w:r>
      <w:r w:rsidRPr="00F008F6">
        <w:rPr>
          <w:noProof/>
        </w:rPr>
        <w:fldChar w:fldCharType="separate"/>
      </w:r>
      <w:r w:rsidRPr="00F008F6">
        <w:rPr>
          <w:noProof/>
        </w:rPr>
        <w:t>64</w:t>
      </w:r>
      <w:r w:rsidRPr="00F008F6">
        <w:rPr>
          <w:noProof/>
        </w:rPr>
        <w:fldChar w:fldCharType="end"/>
      </w:r>
    </w:p>
    <w:p w14:paraId="197F154A" w14:textId="1F21850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12B</w:t>
      </w:r>
      <w:r>
        <w:rPr>
          <w:noProof/>
        </w:rPr>
        <w:tab/>
        <w:t>Exemptions for certain uses—medicines</w:t>
      </w:r>
      <w:r w:rsidRPr="00F008F6">
        <w:rPr>
          <w:noProof/>
        </w:rPr>
        <w:tab/>
      </w:r>
      <w:r w:rsidRPr="00F008F6">
        <w:rPr>
          <w:noProof/>
        </w:rPr>
        <w:fldChar w:fldCharType="begin"/>
      </w:r>
      <w:r w:rsidRPr="00F008F6">
        <w:rPr>
          <w:noProof/>
        </w:rPr>
        <w:instrText xml:space="preserve"> PAGEREF _Toc187135674 \h </w:instrText>
      </w:r>
      <w:r w:rsidRPr="00F008F6">
        <w:rPr>
          <w:noProof/>
        </w:rPr>
      </w:r>
      <w:r w:rsidRPr="00F008F6">
        <w:rPr>
          <w:noProof/>
        </w:rPr>
        <w:fldChar w:fldCharType="separate"/>
      </w:r>
      <w:r w:rsidRPr="00F008F6">
        <w:rPr>
          <w:noProof/>
        </w:rPr>
        <w:t>64</w:t>
      </w:r>
      <w:r w:rsidRPr="00F008F6">
        <w:rPr>
          <w:noProof/>
        </w:rPr>
        <w:fldChar w:fldCharType="end"/>
      </w:r>
    </w:p>
    <w:p w14:paraId="3B607FAA" w14:textId="4E43850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12BA</w:t>
      </w:r>
      <w:r>
        <w:rPr>
          <w:noProof/>
        </w:rPr>
        <w:tab/>
        <w:t>Authorities for certain uses—therapeutic vaping substances that are not medicines</w:t>
      </w:r>
      <w:r w:rsidRPr="00F008F6">
        <w:rPr>
          <w:noProof/>
        </w:rPr>
        <w:tab/>
      </w:r>
      <w:r w:rsidRPr="00F008F6">
        <w:rPr>
          <w:noProof/>
        </w:rPr>
        <w:fldChar w:fldCharType="begin"/>
      </w:r>
      <w:r w:rsidRPr="00F008F6">
        <w:rPr>
          <w:noProof/>
        </w:rPr>
        <w:instrText xml:space="preserve"> PAGEREF _Toc187135675 \h </w:instrText>
      </w:r>
      <w:r w:rsidRPr="00F008F6">
        <w:rPr>
          <w:noProof/>
        </w:rPr>
      </w:r>
      <w:r w:rsidRPr="00F008F6">
        <w:rPr>
          <w:noProof/>
        </w:rPr>
        <w:fldChar w:fldCharType="separate"/>
      </w:r>
      <w:r w:rsidRPr="00F008F6">
        <w:rPr>
          <w:noProof/>
        </w:rPr>
        <w:t>77</w:t>
      </w:r>
      <w:r w:rsidRPr="00F008F6">
        <w:rPr>
          <w:noProof/>
        </w:rPr>
        <w:fldChar w:fldCharType="end"/>
      </w:r>
    </w:p>
    <w:p w14:paraId="000E770D" w14:textId="7B517D1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12C</w:t>
      </w:r>
      <w:r>
        <w:rPr>
          <w:noProof/>
        </w:rPr>
        <w:tab/>
        <w:t>Exemptions for health practitioners—biologicals</w:t>
      </w:r>
      <w:r w:rsidRPr="00F008F6">
        <w:rPr>
          <w:noProof/>
        </w:rPr>
        <w:tab/>
      </w:r>
      <w:r w:rsidRPr="00F008F6">
        <w:rPr>
          <w:noProof/>
        </w:rPr>
        <w:fldChar w:fldCharType="begin"/>
      </w:r>
      <w:r w:rsidRPr="00F008F6">
        <w:rPr>
          <w:noProof/>
        </w:rPr>
        <w:instrText xml:space="preserve"> PAGEREF _Toc187135676 \h </w:instrText>
      </w:r>
      <w:r w:rsidRPr="00F008F6">
        <w:rPr>
          <w:noProof/>
        </w:rPr>
      </w:r>
      <w:r w:rsidRPr="00F008F6">
        <w:rPr>
          <w:noProof/>
        </w:rPr>
        <w:fldChar w:fldCharType="separate"/>
      </w:r>
      <w:r w:rsidRPr="00F008F6">
        <w:rPr>
          <w:noProof/>
        </w:rPr>
        <w:t>77</w:t>
      </w:r>
      <w:r w:rsidRPr="00F008F6">
        <w:rPr>
          <w:noProof/>
        </w:rPr>
        <w:fldChar w:fldCharType="end"/>
      </w:r>
    </w:p>
    <w:p w14:paraId="45F9DC7A" w14:textId="0EEFD6A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15</w:t>
      </w:r>
      <w:r>
        <w:rPr>
          <w:noProof/>
        </w:rPr>
        <w:tab/>
        <w:t>Application of registration or listing number to goods</w:t>
      </w:r>
      <w:r w:rsidRPr="00F008F6">
        <w:rPr>
          <w:noProof/>
        </w:rPr>
        <w:tab/>
      </w:r>
      <w:r w:rsidRPr="00F008F6">
        <w:rPr>
          <w:noProof/>
        </w:rPr>
        <w:fldChar w:fldCharType="begin"/>
      </w:r>
      <w:r w:rsidRPr="00F008F6">
        <w:rPr>
          <w:noProof/>
        </w:rPr>
        <w:instrText xml:space="preserve"> PAGEREF _Toc187135677 \h </w:instrText>
      </w:r>
      <w:r w:rsidRPr="00F008F6">
        <w:rPr>
          <w:noProof/>
        </w:rPr>
      </w:r>
      <w:r w:rsidRPr="00F008F6">
        <w:rPr>
          <w:noProof/>
        </w:rPr>
        <w:fldChar w:fldCharType="separate"/>
      </w:r>
      <w:r w:rsidRPr="00F008F6">
        <w:rPr>
          <w:noProof/>
        </w:rPr>
        <w:t>78</w:t>
      </w:r>
      <w:r w:rsidRPr="00F008F6">
        <w:rPr>
          <w:noProof/>
        </w:rPr>
        <w:fldChar w:fldCharType="end"/>
      </w:r>
    </w:p>
    <w:p w14:paraId="1D8C1B5A" w14:textId="71185C2C"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15AA</w:t>
      </w:r>
      <w:r>
        <w:rPr>
          <w:noProof/>
        </w:rPr>
        <w:tab/>
        <w:t>Clinical trial registries</w:t>
      </w:r>
      <w:r w:rsidRPr="00F008F6">
        <w:rPr>
          <w:noProof/>
        </w:rPr>
        <w:tab/>
      </w:r>
      <w:r w:rsidRPr="00F008F6">
        <w:rPr>
          <w:noProof/>
        </w:rPr>
        <w:fldChar w:fldCharType="begin"/>
      </w:r>
      <w:r w:rsidRPr="00F008F6">
        <w:rPr>
          <w:noProof/>
        </w:rPr>
        <w:instrText xml:space="preserve"> PAGEREF _Toc187135678 \h </w:instrText>
      </w:r>
      <w:r w:rsidRPr="00F008F6">
        <w:rPr>
          <w:noProof/>
        </w:rPr>
      </w:r>
      <w:r w:rsidRPr="00F008F6">
        <w:rPr>
          <w:noProof/>
        </w:rPr>
        <w:fldChar w:fldCharType="separate"/>
      </w:r>
      <w:r w:rsidRPr="00F008F6">
        <w:rPr>
          <w:noProof/>
        </w:rPr>
        <w:t>79</w:t>
      </w:r>
      <w:r w:rsidRPr="00F008F6">
        <w:rPr>
          <w:noProof/>
        </w:rPr>
        <w:fldChar w:fldCharType="end"/>
      </w:r>
    </w:p>
    <w:p w14:paraId="23020372" w14:textId="43BD8EFB"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15A</w:t>
      </w:r>
      <w:r>
        <w:rPr>
          <w:noProof/>
        </w:rPr>
        <w:tab/>
        <w:t>Conditions of registration and listing of medicines</w:t>
      </w:r>
      <w:r w:rsidRPr="00F008F6">
        <w:rPr>
          <w:noProof/>
        </w:rPr>
        <w:tab/>
      </w:r>
      <w:r w:rsidRPr="00F008F6">
        <w:rPr>
          <w:noProof/>
        </w:rPr>
        <w:fldChar w:fldCharType="begin"/>
      </w:r>
      <w:r w:rsidRPr="00F008F6">
        <w:rPr>
          <w:noProof/>
        </w:rPr>
        <w:instrText xml:space="preserve"> PAGEREF _Toc187135679 \h </w:instrText>
      </w:r>
      <w:r w:rsidRPr="00F008F6">
        <w:rPr>
          <w:noProof/>
        </w:rPr>
      </w:r>
      <w:r w:rsidRPr="00F008F6">
        <w:rPr>
          <w:noProof/>
        </w:rPr>
        <w:fldChar w:fldCharType="separate"/>
      </w:r>
      <w:r w:rsidRPr="00F008F6">
        <w:rPr>
          <w:noProof/>
        </w:rPr>
        <w:t>79</w:t>
      </w:r>
      <w:r w:rsidRPr="00F008F6">
        <w:rPr>
          <w:noProof/>
        </w:rPr>
        <w:fldChar w:fldCharType="end"/>
      </w:r>
    </w:p>
    <w:p w14:paraId="1F4AE549" w14:textId="0D58951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16AA</w:t>
      </w:r>
      <w:r>
        <w:rPr>
          <w:noProof/>
        </w:rPr>
        <w:tab/>
        <w:t>Information or documents that Secretary may require</w:t>
      </w:r>
      <w:r w:rsidRPr="00F008F6">
        <w:rPr>
          <w:noProof/>
        </w:rPr>
        <w:tab/>
      </w:r>
      <w:r w:rsidRPr="00F008F6">
        <w:rPr>
          <w:noProof/>
        </w:rPr>
        <w:fldChar w:fldCharType="begin"/>
      </w:r>
      <w:r w:rsidRPr="00F008F6">
        <w:rPr>
          <w:noProof/>
        </w:rPr>
        <w:instrText xml:space="preserve"> PAGEREF _Toc187135680 \h </w:instrText>
      </w:r>
      <w:r w:rsidRPr="00F008F6">
        <w:rPr>
          <w:noProof/>
        </w:rPr>
      </w:r>
      <w:r w:rsidRPr="00F008F6">
        <w:rPr>
          <w:noProof/>
        </w:rPr>
        <w:fldChar w:fldCharType="separate"/>
      </w:r>
      <w:r w:rsidRPr="00F008F6">
        <w:rPr>
          <w:noProof/>
        </w:rPr>
        <w:t>79</w:t>
      </w:r>
      <w:r w:rsidRPr="00F008F6">
        <w:rPr>
          <w:noProof/>
        </w:rPr>
        <w:fldChar w:fldCharType="end"/>
      </w:r>
    </w:p>
    <w:p w14:paraId="174AF631" w14:textId="1224D607"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16AB</w:t>
      </w:r>
      <w:r>
        <w:rPr>
          <w:noProof/>
        </w:rPr>
        <w:tab/>
        <w:t>Specified periods</w:t>
      </w:r>
      <w:r w:rsidRPr="00F008F6">
        <w:rPr>
          <w:noProof/>
        </w:rPr>
        <w:tab/>
      </w:r>
      <w:r w:rsidRPr="00F008F6">
        <w:rPr>
          <w:noProof/>
        </w:rPr>
        <w:fldChar w:fldCharType="begin"/>
      </w:r>
      <w:r w:rsidRPr="00F008F6">
        <w:rPr>
          <w:noProof/>
        </w:rPr>
        <w:instrText xml:space="preserve"> PAGEREF _Toc187135681 \h </w:instrText>
      </w:r>
      <w:r w:rsidRPr="00F008F6">
        <w:rPr>
          <w:noProof/>
        </w:rPr>
      </w:r>
      <w:r w:rsidRPr="00F008F6">
        <w:rPr>
          <w:noProof/>
        </w:rPr>
        <w:fldChar w:fldCharType="separate"/>
      </w:r>
      <w:r w:rsidRPr="00F008F6">
        <w:rPr>
          <w:noProof/>
        </w:rPr>
        <w:t>80</w:t>
      </w:r>
      <w:r w:rsidRPr="00F008F6">
        <w:rPr>
          <w:noProof/>
        </w:rPr>
        <w:fldChar w:fldCharType="end"/>
      </w:r>
    </w:p>
    <w:p w14:paraId="31D37305" w14:textId="363E3426"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3A—Applications for evaluation</w:t>
      </w:r>
      <w:r w:rsidRPr="00F008F6">
        <w:rPr>
          <w:b w:val="0"/>
          <w:noProof/>
          <w:sz w:val="18"/>
        </w:rPr>
        <w:tab/>
      </w:r>
      <w:r w:rsidRPr="00F008F6">
        <w:rPr>
          <w:b w:val="0"/>
          <w:noProof/>
          <w:sz w:val="18"/>
        </w:rPr>
        <w:fldChar w:fldCharType="begin"/>
      </w:r>
      <w:r w:rsidRPr="00F008F6">
        <w:rPr>
          <w:b w:val="0"/>
          <w:noProof/>
          <w:sz w:val="18"/>
        </w:rPr>
        <w:instrText xml:space="preserve"> PAGEREF _Toc187135682 \h </w:instrText>
      </w:r>
      <w:r w:rsidRPr="00F008F6">
        <w:rPr>
          <w:b w:val="0"/>
          <w:noProof/>
          <w:sz w:val="18"/>
        </w:rPr>
      </w:r>
      <w:r w:rsidRPr="00F008F6">
        <w:rPr>
          <w:b w:val="0"/>
          <w:noProof/>
          <w:sz w:val="18"/>
        </w:rPr>
        <w:fldChar w:fldCharType="separate"/>
      </w:r>
      <w:r w:rsidRPr="00F008F6">
        <w:rPr>
          <w:b w:val="0"/>
          <w:noProof/>
          <w:sz w:val="18"/>
        </w:rPr>
        <w:t>81</w:t>
      </w:r>
      <w:r w:rsidRPr="00F008F6">
        <w:rPr>
          <w:b w:val="0"/>
          <w:noProof/>
          <w:sz w:val="18"/>
        </w:rPr>
        <w:fldChar w:fldCharType="end"/>
      </w:r>
    </w:p>
    <w:p w14:paraId="17F049A8" w14:textId="538ADDC5"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1—Preliminary</w:t>
      </w:r>
      <w:r w:rsidRPr="00F008F6">
        <w:rPr>
          <w:b w:val="0"/>
          <w:noProof/>
          <w:sz w:val="18"/>
        </w:rPr>
        <w:tab/>
      </w:r>
      <w:r w:rsidRPr="00F008F6">
        <w:rPr>
          <w:b w:val="0"/>
          <w:noProof/>
          <w:sz w:val="18"/>
        </w:rPr>
        <w:fldChar w:fldCharType="begin"/>
      </w:r>
      <w:r w:rsidRPr="00F008F6">
        <w:rPr>
          <w:b w:val="0"/>
          <w:noProof/>
          <w:sz w:val="18"/>
        </w:rPr>
        <w:instrText xml:space="preserve"> PAGEREF _Toc187135683 \h </w:instrText>
      </w:r>
      <w:r w:rsidRPr="00F008F6">
        <w:rPr>
          <w:b w:val="0"/>
          <w:noProof/>
          <w:sz w:val="18"/>
        </w:rPr>
      </w:r>
      <w:r w:rsidRPr="00F008F6">
        <w:rPr>
          <w:b w:val="0"/>
          <w:noProof/>
          <w:sz w:val="18"/>
        </w:rPr>
        <w:fldChar w:fldCharType="separate"/>
      </w:r>
      <w:r w:rsidRPr="00F008F6">
        <w:rPr>
          <w:b w:val="0"/>
          <w:noProof/>
          <w:sz w:val="18"/>
        </w:rPr>
        <w:t>81</w:t>
      </w:r>
      <w:r w:rsidRPr="00F008F6">
        <w:rPr>
          <w:b w:val="0"/>
          <w:noProof/>
          <w:sz w:val="18"/>
        </w:rPr>
        <w:fldChar w:fldCharType="end"/>
      </w:r>
    </w:p>
    <w:p w14:paraId="78466667" w14:textId="1844CBA6"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16A</w:t>
      </w:r>
      <w:r>
        <w:rPr>
          <w:noProof/>
        </w:rPr>
        <w:tab/>
        <w:t>Interpretation—</w:t>
      </w:r>
      <w:r w:rsidRPr="002B7A09">
        <w:rPr>
          <w:i/>
          <w:noProof/>
        </w:rPr>
        <w:t>working day</w:t>
      </w:r>
      <w:r w:rsidRPr="00F008F6">
        <w:rPr>
          <w:noProof/>
        </w:rPr>
        <w:tab/>
      </w:r>
      <w:r w:rsidRPr="00F008F6">
        <w:rPr>
          <w:noProof/>
        </w:rPr>
        <w:fldChar w:fldCharType="begin"/>
      </w:r>
      <w:r w:rsidRPr="00F008F6">
        <w:rPr>
          <w:noProof/>
        </w:rPr>
        <w:instrText xml:space="preserve"> PAGEREF _Toc187135684 \h </w:instrText>
      </w:r>
      <w:r w:rsidRPr="00F008F6">
        <w:rPr>
          <w:noProof/>
        </w:rPr>
      </w:r>
      <w:r w:rsidRPr="00F008F6">
        <w:rPr>
          <w:noProof/>
        </w:rPr>
        <w:fldChar w:fldCharType="separate"/>
      </w:r>
      <w:r w:rsidRPr="00F008F6">
        <w:rPr>
          <w:noProof/>
        </w:rPr>
        <w:t>81</w:t>
      </w:r>
      <w:r w:rsidRPr="00F008F6">
        <w:rPr>
          <w:noProof/>
        </w:rPr>
        <w:fldChar w:fldCharType="end"/>
      </w:r>
    </w:p>
    <w:p w14:paraId="3FD37C59" w14:textId="42766AEE"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1A—Goods mentioned in Part 1 of Schedule 10</w:t>
      </w:r>
      <w:r w:rsidRPr="00F008F6">
        <w:rPr>
          <w:b w:val="0"/>
          <w:noProof/>
          <w:sz w:val="18"/>
        </w:rPr>
        <w:tab/>
      </w:r>
      <w:r w:rsidRPr="00F008F6">
        <w:rPr>
          <w:b w:val="0"/>
          <w:noProof/>
          <w:sz w:val="18"/>
        </w:rPr>
        <w:fldChar w:fldCharType="begin"/>
      </w:r>
      <w:r w:rsidRPr="00F008F6">
        <w:rPr>
          <w:b w:val="0"/>
          <w:noProof/>
          <w:sz w:val="18"/>
        </w:rPr>
        <w:instrText xml:space="preserve"> PAGEREF _Toc187135685 \h </w:instrText>
      </w:r>
      <w:r w:rsidRPr="00F008F6">
        <w:rPr>
          <w:b w:val="0"/>
          <w:noProof/>
          <w:sz w:val="18"/>
        </w:rPr>
      </w:r>
      <w:r w:rsidRPr="00F008F6">
        <w:rPr>
          <w:b w:val="0"/>
          <w:noProof/>
          <w:sz w:val="18"/>
        </w:rPr>
        <w:fldChar w:fldCharType="separate"/>
      </w:r>
      <w:r w:rsidRPr="00F008F6">
        <w:rPr>
          <w:b w:val="0"/>
          <w:noProof/>
          <w:sz w:val="18"/>
        </w:rPr>
        <w:t>82</w:t>
      </w:r>
      <w:r w:rsidRPr="00F008F6">
        <w:rPr>
          <w:b w:val="0"/>
          <w:noProof/>
          <w:sz w:val="18"/>
        </w:rPr>
        <w:fldChar w:fldCharType="end"/>
      </w:r>
    </w:p>
    <w:p w14:paraId="2F5630C9" w14:textId="5BCFCE6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16C</w:t>
      </w:r>
      <w:r>
        <w:rPr>
          <w:noProof/>
        </w:rPr>
        <w:tab/>
        <w:t>Applications for registration—notification of effectiveness and period for completing evaluations—general</w:t>
      </w:r>
      <w:r w:rsidRPr="00F008F6">
        <w:rPr>
          <w:noProof/>
        </w:rPr>
        <w:tab/>
      </w:r>
      <w:r w:rsidRPr="00F008F6">
        <w:rPr>
          <w:noProof/>
        </w:rPr>
        <w:fldChar w:fldCharType="begin"/>
      </w:r>
      <w:r w:rsidRPr="00F008F6">
        <w:rPr>
          <w:noProof/>
        </w:rPr>
        <w:instrText xml:space="preserve"> PAGEREF _Toc187135686 \h </w:instrText>
      </w:r>
      <w:r w:rsidRPr="00F008F6">
        <w:rPr>
          <w:noProof/>
        </w:rPr>
      </w:r>
      <w:r w:rsidRPr="00F008F6">
        <w:rPr>
          <w:noProof/>
        </w:rPr>
        <w:fldChar w:fldCharType="separate"/>
      </w:r>
      <w:r w:rsidRPr="00F008F6">
        <w:rPr>
          <w:noProof/>
        </w:rPr>
        <w:t>82</w:t>
      </w:r>
      <w:r w:rsidRPr="00F008F6">
        <w:rPr>
          <w:noProof/>
        </w:rPr>
        <w:fldChar w:fldCharType="end"/>
      </w:r>
    </w:p>
    <w:p w14:paraId="189A4951" w14:textId="0B63E4EC"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16D</w:t>
      </w:r>
      <w:r>
        <w:rPr>
          <w:noProof/>
        </w:rPr>
        <w:tab/>
        <w:t>Applications for variations—notification of effectiveness and period for deciding applications—general</w:t>
      </w:r>
      <w:r w:rsidRPr="00F008F6">
        <w:rPr>
          <w:noProof/>
        </w:rPr>
        <w:tab/>
      </w:r>
      <w:r w:rsidRPr="00F008F6">
        <w:rPr>
          <w:noProof/>
        </w:rPr>
        <w:fldChar w:fldCharType="begin"/>
      </w:r>
      <w:r w:rsidRPr="00F008F6">
        <w:rPr>
          <w:noProof/>
        </w:rPr>
        <w:instrText xml:space="preserve"> PAGEREF _Toc187135687 \h </w:instrText>
      </w:r>
      <w:r w:rsidRPr="00F008F6">
        <w:rPr>
          <w:noProof/>
        </w:rPr>
      </w:r>
      <w:r w:rsidRPr="00F008F6">
        <w:rPr>
          <w:noProof/>
        </w:rPr>
        <w:fldChar w:fldCharType="separate"/>
      </w:r>
      <w:r w:rsidRPr="00F008F6">
        <w:rPr>
          <w:noProof/>
        </w:rPr>
        <w:t>82</w:t>
      </w:r>
      <w:r w:rsidRPr="00F008F6">
        <w:rPr>
          <w:noProof/>
        </w:rPr>
        <w:fldChar w:fldCharType="end"/>
      </w:r>
    </w:p>
    <w:p w14:paraId="71FB680A" w14:textId="694F0BB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16DA</w:t>
      </w:r>
      <w:r>
        <w:rPr>
          <w:noProof/>
        </w:rPr>
        <w:tab/>
        <w:t>Conditions for periods for regulations 16C and 16D</w:t>
      </w:r>
      <w:r w:rsidRPr="00F008F6">
        <w:rPr>
          <w:noProof/>
        </w:rPr>
        <w:tab/>
      </w:r>
      <w:r w:rsidRPr="00F008F6">
        <w:rPr>
          <w:noProof/>
        </w:rPr>
        <w:fldChar w:fldCharType="begin"/>
      </w:r>
      <w:r w:rsidRPr="00F008F6">
        <w:rPr>
          <w:noProof/>
        </w:rPr>
        <w:instrText xml:space="preserve"> PAGEREF _Toc187135688 \h </w:instrText>
      </w:r>
      <w:r w:rsidRPr="00F008F6">
        <w:rPr>
          <w:noProof/>
        </w:rPr>
      </w:r>
      <w:r w:rsidRPr="00F008F6">
        <w:rPr>
          <w:noProof/>
        </w:rPr>
        <w:fldChar w:fldCharType="separate"/>
      </w:r>
      <w:r w:rsidRPr="00F008F6">
        <w:rPr>
          <w:noProof/>
        </w:rPr>
        <w:t>83</w:t>
      </w:r>
      <w:r w:rsidRPr="00F008F6">
        <w:rPr>
          <w:noProof/>
        </w:rPr>
        <w:fldChar w:fldCharType="end"/>
      </w:r>
    </w:p>
    <w:p w14:paraId="54D329A3" w14:textId="631C9A4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16E</w:t>
      </w:r>
      <w:r>
        <w:rPr>
          <w:noProof/>
        </w:rPr>
        <w:tab/>
        <w:t>Applications for variations—effect of failure to decide applications within specified period</w:t>
      </w:r>
      <w:r w:rsidRPr="00F008F6">
        <w:rPr>
          <w:noProof/>
        </w:rPr>
        <w:tab/>
      </w:r>
      <w:r w:rsidRPr="00F008F6">
        <w:rPr>
          <w:noProof/>
        </w:rPr>
        <w:fldChar w:fldCharType="begin"/>
      </w:r>
      <w:r w:rsidRPr="00F008F6">
        <w:rPr>
          <w:noProof/>
        </w:rPr>
        <w:instrText xml:space="preserve"> PAGEREF _Toc187135689 \h </w:instrText>
      </w:r>
      <w:r w:rsidRPr="00F008F6">
        <w:rPr>
          <w:noProof/>
        </w:rPr>
      </w:r>
      <w:r w:rsidRPr="00F008F6">
        <w:rPr>
          <w:noProof/>
        </w:rPr>
        <w:fldChar w:fldCharType="separate"/>
      </w:r>
      <w:r w:rsidRPr="00F008F6">
        <w:rPr>
          <w:noProof/>
        </w:rPr>
        <w:t>85</w:t>
      </w:r>
      <w:r w:rsidRPr="00F008F6">
        <w:rPr>
          <w:noProof/>
        </w:rPr>
        <w:fldChar w:fldCharType="end"/>
      </w:r>
    </w:p>
    <w:p w14:paraId="43F14288" w14:textId="4A4787A1"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16F</w:t>
      </w:r>
      <w:r>
        <w:rPr>
          <w:noProof/>
        </w:rPr>
        <w:tab/>
        <w:t>Applications for variations—shorter period for deciding applications</w:t>
      </w:r>
      <w:r w:rsidRPr="00F008F6">
        <w:rPr>
          <w:noProof/>
        </w:rPr>
        <w:tab/>
      </w:r>
      <w:r w:rsidRPr="00F008F6">
        <w:rPr>
          <w:noProof/>
        </w:rPr>
        <w:fldChar w:fldCharType="begin"/>
      </w:r>
      <w:r w:rsidRPr="00F008F6">
        <w:rPr>
          <w:noProof/>
        </w:rPr>
        <w:instrText xml:space="preserve"> PAGEREF _Toc187135690 \h </w:instrText>
      </w:r>
      <w:r w:rsidRPr="00F008F6">
        <w:rPr>
          <w:noProof/>
        </w:rPr>
      </w:r>
      <w:r w:rsidRPr="00F008F6">
        <w:rPr>
          <w:noProof/>
        </w:rPr>
        <w:fldChar w:fldCharType="separate"/>
      </w:r>
      <w:r w:rsidRPr="00F008F6">
        <w:rPr>
          <w:noProof/>
        </w:rPr>
        <w:t>85</w:t>
      </w:r>
      <w:r w:rsidRPr="00F008F6">
        <w:rPr>
          <w:noProof/>
        </w:rPr>
        <w:fldChar w:fldCharType="end"/>
      </w:r>
    </w:p>
    <w:p w14:paraId="19923FF6" w14:textId="4C1F7437"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16G</w:t>
      </w:r>
      <w:r>
        <w:rPr>
          <w:noProof/>
        </w:rPr>
        <w:tab/>
        <w:t>Applications for registration—shorter period for completing evaluations</w:t>
      </w:r>
      <w:r w:rsidRPr="00F008F6">
        <w:rPr>
          <w:noProof/>
        </w:rPr>
        <w:tab/>
      </w:r>
      <w:r w:rsidRPr="00F008F6">
        <w:rPr>
          <w:noProof/>
        </w:rPr>
        <w:fldChar w:fldCharType="begin"/>
      </w:r>
      <w:r w:rsidRPr="00F008F6">
        <w:rPr>
          <w:noProof/>
        </w:rPr>
        <w:instrText xml:space="preserve"> PAGEREF _Toc187135691 \h </w:instrText>
      </w:r>
      <w:r w:rsidRPr="00F008F6">
        <w:rPr>
          <w:noProof/>
        </w:rPr>
      </w:r>
      <w:r w:rsidRPr="00F008F6">
        <w:rPr>
          <w:noProof/>
        </w:rPr>
        <w:fldChar w:fldCharType="separate"/>
      </w:r>
      <w:r w:rsidRPr="00F008F6">
        <w:rPr>
          <w:noProof/>
        </w:rPr>
        <w:t>86</w:t>
      </w:r>
      <w:r w:rsidRPr="00F008F6">
        <w:rPr>
          <w:noProof/>
        </w:rPr>
        <w:fldChar w:fldCharType="end"/>
      </w:r>
    </w:p>
    <w:p w14:paraId="1AAC9111" w14:textId="6D0BF2AA"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2—Applications for evaluation of substances</w:t>
      </w:r>
      <w:r w:rsidRPr="00F008F6">
        <w:rPr>
          <w:b w:val="0"/>
          <w:noProof/>
          <w:sz w:val="18"/>
        </w:rPr>
        <w:tab/>
      </w:r>
      <w:r w:rsidRPr="00F008F6">
        <w:rPr>
          <w:b w:val="0"/>
          <w:noProof/>
          <w:sz w:val="18"/>
        </w:rPr>
        <w:fldChar w:fldCharType="begin"/>
      </w:r>
      <w:r w:rsidRPr="00F008F6">
        <w:rPr>
          <w:b w:val="0"/>
          <w:noProof/>
          <w:sz w:val="18"/>
        </w:rPr>
        <w:instrText xml:space="preserve"> PAGEREF _Toc187135692 \h </w:instrText>
      </w:r>
      <w:r w:rsidRPr="00F008F6">
        <w:rPr>
          <w:b w:val="0"/>
          <w:noProof/>
          <w:sz w:val="18"/>
        </w:rPr>
      </w:r>
      <w:r w:rsidRPr="00F008F6">
        <w:rPr>
          <w:b w:val="0"/>
          <w:noProof/>
          <w:sz w:val="18"/>
        </w:rPr>
        <w:fldChar w:fldCharType="separate"/>
      </w:r>
      <w:r w:rsidRPr="00F008F6">
        <w:rPr>
          <w:b w:val="0"/>
          <w:noProof/>
          <w:sz w:val="18"/>
        </w:rPr>
        <w:t>87</w:t>
      </w:r>
      <w:r w:rsidRPr="00F008F6">
        <w:rPr>
          <w:b w:val="0"/>
          <w:noProof/>
          <w:sz w:val="18"/>
        </w:rPr>
        <w:fldChar w:fldCharType="end"/>
      </w:r>
    </w:p>
    <w:p w14:paraId="694604B4" w14:textId="1F1C7BDD"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16GA</w:t>
      </w:r>
      <w:r>
        <w:rPr>
          <w:noProof/>
        </w:rPr>
        <w:tab/>
        <w:t>Evaluation other than evaluation under subsection 9D(1), (2) or (3) or section 25 of the Act</w:t>
      </w:r>
      <w:r w:rsidRPr="00F008F6">
        <w:rPr>
          <w:noProof/>
        </w:rPr>
        <w:tab/>
      </w:r>
      <w:r w:rsidRPr="00F008F6">
        <w:rPr>
          <w:noProof/>
        </w:rPr>
        <w:fldChar w:fldCharType="begin"/>
      </w:r>
      <w:r w:rsidRPr="00F008F6">
        <w:rPr>
          <w:noProof/>
        </w:rPr>
        <w:instrText xml:space="preserve"> PAGEREF _Toc187135693 \h </w:instrText>
      </w:r>
      <w:r w:rsidRPr="00F008F6">
        <w:rPr>
          <w:noProof/>
        </w:rPr>
      </w:r>
      <w:r w:rsidRPr="00F008F6">
        <w:rPr>
          <w:noProof/>
        </w:rPr>
        <w:fldChar w:fldCharType="separate"/>
      </w:r>
      <w:r w:rsidRPr="00F008F6">
        <w:rPr>
          <w:noProof/>
        </w:rPr>
        <w:t>87</w:t>
      </w:r>
      <w:r w:rsidRPr="00F008F6">
        <w:rPr>
          <w:noProof/>
        </w:rPr>
        <w:fldChar w:fldCharType="end"/>
      </w:r>
    </w:p>
    <w:p w14:paraId="3E2F4AD4" w14:textId="3823EFA4"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3—Class 2, Class 3 and Class 4 biologicals</w:t>
      </w:r>
      <w:r w:rsidRPr="00F008F6">
        <w:rPr>
          <w:b w:val="0"/>
          <w:noProof/>
          <w:sz w:val="18"/>
        </w:rPr>
        <w:tab/>
      </w:r>
      <w:r w:rsidRPr="00F008F6">
        <w:rPr>
          <w:b w:val="0"/>
          <w:noProof/>
          <w:sz w:val="18"/>
        </w:rPr>
        <w:fldChar w:fldCharType="begin"/>
      </w:r>
      <w:r w:rsidRPr="00F008F6">
        <w:rPr>
          <w:b w:val="0"/>
          <w:noProof/>
          <w:sz w:val="18"/>
        </w:rPr>
        <w:instrText xml:space="preserve"> PAGEREF _Toc187135694 \h </w:instrText>
      </w:r>
      <w:r w:rsidRPr="00F008F6">
        <w:rPr>
          <w:b w:val="0"/>
          <w:noProof/>
          <w:sz w:val="18"/>
        </w:rPr>
      </w:r>
      <w:r w:rsidRPr="00F008F6">
        <w:rPr>
          <w:b w:val="0"/>
          <w:noProof/>
          <w:sz w:val="18"/>
        </w:rPr>
        <w:fldChar w:fldCharType="separate"/>
      </w:r>
      <w:r w:rsidRPr="00F008F6">
        <w:rPr>
          <w:b w:val="0"/>
          <w:noProof/>
          <w:sz w:val="18"/>
        </w:rPr>
        <w:t>88</w:t>
      </w:r>
      <w:r w:rsidRPr="00F008F6">
        <w:rPr>
          <w:b w:val="0"/>
          <w:noProof/>
          <w:sz w:val="18"/>
        </w:rPr>
        <w:fldChar w:fldCharType="end"/>
      </w:r>
    </w:p>
    <w:p w14:paraId="37566DE6" w14:textId="05B7D43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16GC</w:t>
      </w:r>
      <w:r>
        <w:rPr>
          <w:noProof/>
        </w:rPr>
        <w:tab/>
        <w:t>Notification of preliminary assessment of applications and periods within which certain evaluations must be made</w:t>
      </w:r>
      <w:r w:rsidRPr="00F008F6">
        <w:rPr>
          <w:noProof/>
        </w:rPr>
        <w:tab/>
      </w:r>
      <w:r w:rsidRPr="00F008F6">
        <w:rPr>
          <w:noProof/>
        </w:rPr>
        <w:fldChar w:fldCharType="begin"/>
      </w:r>
      <w:r w:rsidRPr="00F008F6">
        <w:rPr>
          <w:noProof/>
        </w:rPr>
        <w:instrText xml:space="preserve"> PAGEREF _Toc187135695 \h </w:instrText>
      </w:r>
      <w:r w:rsidRPr="00F008F6">
        <w:rPr>
          <w:noProof/>
        </w:rPr>
      </w:r>
      <w:r w:rsidRPr="00F008F6">
        <w:rPr>
          <w:noProof/>
        </w:rPr>
        <w:fldChar w:fldCharType="separate"/>
      </w:r>
      <w:r w:rsidRPr="00F008F6">
        <w:rPr>
          <w:noProof/>
        </w:rPr>
        <w:t>88</w:t>
      </w:r>
      <w:r w:rsidRPr="00F008F6">
        <w:rPr>
          <w:noProof/>
        </w:rPr>
        <w:fldChar w:fldCharType="end"/>
      </w:r>
    </w:p>
    <w:p w14:paraId="09C2E3F4" w14:textId="569CAC92"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16GD</w:t>
      </w:r>
      <w:r>
        <w:rPr>
          <w:noProof/>
        </w:rPr>
        <w:tab/>
        <w:t>Notification of effective request and period within which certain applications must be decided</w:t>
      </w:r>
      <w:r w:rsidRPr="00F008F6">
        <w:rPr>
          <w:noProof/>
        </w:rPr>
        <w:tab/>
      </w:r>
      <w:r w:rsidRPr="00F008F6">
        <w:rPr>
          <w:noProof/>
        </w:rPr>
        <w:fldChar w:fldCharType="begin"/>
      </w:r>
      <w:r w:rsidRPr="00F008F6">
        <w:rPr>
          <w:noProof/>
        </w:rPr>
        <w:instrText xml:space="preserve"> PAGEREF _Toc187135696 \h </w:instrText>
      </w:r>
      <w:r w:rsidRPr="00F008F6">
        <w:rPr>
          <w:noProof/>
        </w:rPr>
      </w:r>
      <w:r w:rsidRPr="00F008F6">
        <w:rPr>
          <w:noProof/>
        </w:rPr>
        <w:fldChar w:fldCharType="separate"/>
      </w:r>
      <w:r w:rsidRPr="00F008F6">
        <w:rPr>
          <w:noProof/>
        </w:rPr>
        <w:t>88</w:t>
      </w:r>
      <w:r w:rsidRPr="00F008F6">
        <w:rPr>
          <w:noProof/>
        </w:rPr>
        <w:fldChar w:fldCharType="end"/>
      </w:r>
    </w:p>
    <w:p w14:paraId="14AFC17D" w14:textId="1EDA223D"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16GE</w:t>
      </w:r>
      <w:r>
        <w:rPr>
          <w:noProof/>
        </w:rPr>
        <w:tab/>
        <w:t>Failure to decide an application within specified time</w:t>
      </w:r>
      <w:r w:rsidRPr="00F008F6">
        <w:rPr>
          <w:noProof/>
        </w:rPr>
        <w:tab/>
      </w:r>
      <w:r w:rsidRPr="00F008F6">
        <w:rPr>
          <w:noProof/>
        </w:rPr>
        <w:fldChar w:fldCharType="begin"/>
      </w:r>
      <w:r w:rsidRPr="00F008F6">
        <w:rPr>
          <w:noProof/>
        </w:rPr>
        <w:instrText xml:space="preserve"> PAGEREF _Toc187135697 \h </w:instrText>
      </w:r>
      <w:r w:rsidRPr="00F008F6">
        <w:rPr>
          <w:noProof/>
        </w:rPr>
      </w:r>
      <w:r w:rsidRPr="00F008F6">
        <w:rPr>
          <w:noProof/>
        </w:rPr>
        <w:fldChar w:fldCharType="separate"/>
      </w:r>
      <w:r w:rsidRPr="00F008F6">
        <w:rPr>
          <w:noProof/>
        </w:rPr>
        <w:t>88</w:t>
      </w:r>
      <w:r w:rsidRPr="00F008F6">
        <w:rPr>
          <w:noProof/>
        </w:rPr>
        <w:fldChar w:fldCharType="end"/>
      </w:r>
    </w:p>
    <w:p w14:paraId="359E9494" w14:textId="56569E1B"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16GF</w:t>
      </w:r>
      <w:r>
        <w:rPr>
          <w:noProof/>
        </w:rPr>
        <w:tab/>
        <w:t>Evaluation, other than evaluation under subsection 9D(3A) or (3AA) or section 32DE of the Act</w:t>
      </w:r>
      <w:r w:rsidRPr="00F008F6">
        <w:rPr>
          <w:noProof/>
        </w:rPr>
        <w:tab/>
      </w:r>
      <w:r w:rsidRPr="00F008F6">
        <w:rPr>
          <w:noProof/>
        </w:rPr>
        <w:fldChar w:fldCharType="begin"/>
      </w:r>
      <w:r w:rsidRPr="00F008F6">
        <w:rPr>
          <w:noProof/>
        </w:rPr>
        <w:instrText xml:space="preserve"> PAGEREF _Toc187135698 \h </w:instrText>
      </w:r>
      <w:r w:rsidRPr="00F008F6">
        <w:rPr>
          <w:noProof/>
        </w:rPr>
      </w:r>
      <w:r w:rsidRPr="00F008F6">
        <w:rPr>
          <w:noProof/>
        </w:rPr>
        <w:fldChar w:fldCharType="separate"/>
      </w:r>
      <w:r w:rsidRPr="00F008F6">
        <w:rPr>
          <w:noProof/>
        </w:rPr>
        <w:t>88</w:t>
      </w:r>
      <w:r w:rsidRPr="00F008F6">
        <w:rPr>
          <w:noProof/>
        </w:rPr>
        <w:fldChar w:fldCharType="end"/>
      </w:r>
    </w:p>
    <w:p w14:paraId="1FB6C623" w14:textId="4B37A368"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4—Complementary medicines and certain other listed medicines</w:t>
      </w:r>
      <w:r w:rsidRPr="00F008F6">
        <w:rPr>
          <w:b w:val="0"/>
          <w:noProof/>
          <w:sz w:val="18"/>
        </w:rPr>
        <w:tab/>
      </w:r>
      <w:r w:rsidRPr="00F008F6">
        <w:rPr>
          <w:b w:val="0"/>
          <w:noProof/>
          <w:sz w:val="18"/>
        </w:rPr>
        <w:fldChar w:fldCharType="begin"/>
      </w:r>
      <w:r w:rsidRPr="00F008F6">
        <w:rPr>
          <w:b w:val="0"/>
          <w:noProof/>
          <w:sz w:val="18"/>
        </w:rPr>
        <w:instrText xml:space="preserve"> PAGEREF _Toc187135699 \h </w:instrText>
      </w:r>
      <w:r w:rsidRPr="00F008F6">
        <w:rPr>
          <w:b w:val="0"/>
          <w:noProof/>
          <w:sz w:val="18"/>
        </w:rPr>
      </w:r>
      <w:r w:rsidRPr="00F008F6">
        <w:rPr>
          <w:b w:val="0"/>
          <w:noProof/>
          <w:sz w:val="18"/>
        </w:rPr>
        <w:fldChar w:fldCharType="separate"/>
      </w:r>
      <w:r w:rsidRPr="00F008F6">
        <w:rPr>
          <w:b w:val="0"/>
          <w:noProof/>
          <w:sz w:val="18"/>
        </w:rPr>
        <w:t>90</w:t>
      </w:r>
      <w:r w:rsidRPr="00F008F6">
        <w:rPr>
          <w:b w:val="0"/>
          <w:noProof/>
          <w:sz w:val="18"/>
        </w:rPr>
        <w:fldChar w:fldCharType="end"/>
      </w:r>
    </w:p>
    <w:p w14:paraId="41DBF46C" w14:textId="10B57391"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16GG</w:t>
      </w:r>
      <w:r>
        <w:rPr>
          <w:noProof/>
        </w:rPr>
        <w:tab/>
        <w:t>Variation of certain entries in the Register—notification of effective requests and period within which decisions must be made</w:t>
      </w:r>
      <w:r w:rsidRPr="00F008F6">
        <w:rPr>
          <w:noProof/>
        </w:rPr>
        <w:tab/>
      </w:r>
      <w:r w:rsidRPr="00F008F6">
        <w:rPr>
          <w:noProof/>
        </w:rPr>
        <w:fldChar w:fldCharType="begin"/>
      </w:r>
      <w:r w:rsidRPr="00F008F6">
        <w:rPr>
          <w:noProof/>
        </w:rPr>
        <w:instrText xml:space="preserve"> PAGEREF _Toc187135700 \h </w:instrText>
      </w:r>
      <w:r w:rsidRPr="00F008F6">
        <w:rPr>
          <w:noProof/>
        </w:rPr>
      </w:r>
      <w:r w:rsidRPr="00F008F6">
        <w:rPr>
          <w:noProof/>
        </w:rPr>
        <w:fldChar w:fldCharType="separate"/>
      </w:r>
      <w:r w:rsidRPr="00F008F6">
        <w:rPr>
          <w:noProof/>
        </w:rPr>
        <w:t>90</w:t>
      </w:r>
      <w:r w:rsidRPr="00F008F6">
        <w:rPr>
          <w:noProof/>
        </w:rPr>
        <w:fldChar w:fldCharType="end"/>
      </w:r>
    </w:p>
    <w:p w14:paraId="2E3CA68E" w14:textId="751021C9"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lastRenderedPageBreak/>
        <w:t>16GH</w:t>
      </w:r>
      <w:r>
        <w:rPr>
          <w:noProof/>
        </w:rPr>
        <w:tab/>
        <w:t>Registration and listing of certain medicines—notification of preliminary assessment of applications and period within which evaluations must be completed</w:t>
      </w:r>
      <w:r w:rsidRPr="00F008F6">
        <w:rPr>
          <w:noProof/>
        </w:rPr>
        <w:tab/>
      </w:r>
      <w:r w:rsidRPr="00F008F6">
        <w:rPr>
          <w:noProof/>
        </w:rPr>
        <w:fldChar w:fldCharType="begin"/>
      </w:r>
      <w:r w:rsidRPr="00F008F6">
        <w:rPr>
          <w:noProof/>
        </w:rPr>
        <w:instrText xml:space="preserve"> PAGEREF _Toc187135701 \h </w:instrText>
      </w:r>
      <w:r w:rsidRPr="00F008F6">
        <w:rPr>
          <w:noProof/>
        </w:rPr>
      </w:r>
      <w:r w:rsidRPr="00F008F6">
        <w:rPr>
          <w:noProof/>
        </w:rPr>
        <w:fldChar w:fldCharType="separate"/>
      </w:r>
      <w:r w:rsidRPr="00F008F6">
        <w:rPr>
          <w:noProof/>
        </w:rPr>
        <w:t>91</w:t>
      </w:r>
      <w:r w:rsidRPr="00F008F6">
        <w:rPr>
          <w:noProof/>
        </w:rPr>
        <w:fldChar w:fldCharType="end"/>
      </w:r>
    </w:p>
    <w:p w14:paraId="67CE6ED3" w14:textId="4E52ABA1"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16GI</w:t>
      </w:r>
      <w:r>
        <w:rPr>
          <w:noProof/>
        </w:rPr>
        <w:tab/>
        <w:t>Registration and listing of certain medicines—notification of preliminary assessment of applications and period within which decisions on recommendations must be made</w:t>
      </w:r>
      <w:r w:rsidRPr="00F008F6">
        <w:rPr>
          <w:noProof/>
        </w:rPr>
        <w:tab/>
      </w:r>
      <w:r w:rsidRPr="00F008F6">
        <w:rPr>
          <w:noProof/>
        </w:rPr>
        <w:fldChar w:fldCharType="begin"/>
      </w:r>
      <w:r w:rsidRPr="00F008F6">
        <w:rPr>
          <w:noProof/>
        </w:rPr>
        <w:instrText xml:space="preserve"> PAGEREF _Toc187135702 \h </w:instrText>
      </w:r>
      <w:r w:rsidRPr="00F008F6">
        <w:rPr>
          <w:noProof/>
        </w:rPr>
      </w:r>
      <w:r w:rsidRPr="00F008F6">
        <w:rPr>
          <w:noProof/>
        </w:rPr>
        <w:fldChar w:fldCharType="separate"/>
      </w:r>
      <w:r w:rsidRPr="00F008F6">
        <w:rPr>
          <w:noProof/>
        </w:rPr>
        <w:t>92</w:t>
      </w:r>
      <w:r w:rsidRPr="00F008F6">
        <w:rPr>
          <w:noProof/>
        </w:rPr>
        <w:fldChar w:fldCharType="end"/>
      </w:r>
    </w:p>
    <w:p w14:paraId="757E7B4D" w14:textId="1307837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16GIA</w:t>
      </w:r>
      <w:r>
        <w:rPr>
          <w:noProof/>
        </w:rPr>
        <w:tab/>
        <w:t>Period for paying evaluation fee for application under subsection 26BD(1) of the Act</w:t>
      </w:r>
      <w:r w:rsidRPr="00F008F6">
        <w:rPr>
          <w:noProof/>
        </w:rPr>
        <w:tab/>
      </w:r>
      <w:r w:rsidRPr="00F008F6">
        <w:rPr>
          <w:noProof/>
        </w:rPr>
        <w:fldChar w:fldCharType="begin"/>
      </w:r>
      <w:r w:rsidRPr="00F008F6">
        <w:rPr>
          <w:noProof/>
        </w:rPr>
        <w:instrText xml:space="preserve"> PAGEREF _Toc187135703 \h </w:instrText>
      </w:r>
      <w:r w:rsidRPr="00F008F6">
        <w:rPr>
          <w:noProof/>
        </w:rPr>
      </w:r>
      <w:r w:rsidRPr="00F008F6">
        <w:rPr>
          <w:noProof/>
        </w:rPr>
        <w:fldChar w:fldCharType="separate"/>
      </w:r>
      <w:r w:rsidRPr="00F008F6">
        <w:rPr>
          <w:noProof/>
        </w:rPr>
        <w:t>94</w:t>
      </w:r>
      <w:r w:rsidRPr="00F008F6">
        <w:rPr>
          <w:noProof/>
        </w:rPr>
        <w:fldChar w:fldCharType="end"/>
      </w:r>
    </w:p>
    <w:p w14:paraId="104D3355" w14:textId="2950B29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16GJ</w:t>
      </w:r>
      <w:r>
        <w:rPr>
          <w:noProof/>
        </w:rPr>
        <w:tab/>
        <w:t>Determination of competent regulatory authority of a foreign country or foreign jurisdiction in relation to evaluation of applications</w:t>
      </w:r>
      <w:r w:rsidRPr="00F008F6">
        <w:rPr>
          <w:noProof/>
        </w:rPr>
        <w:tab/>
      </w:r>
      <w:r w:rsidRPr="00F008F6">
        <w:rPr>
          <w:noProof/>
        </w:rPr>
        <w:fldChar w:fldCharType="begin"/>
      </w:r>
      <w:r w:rsidRPr="00F008F6">
        <w:rPr>
          <w:noProof/>
        </w:rPr>
        <w:instrText xml:space="preserve"> PAGEREF _Toc187135704 \h </w:instrText>
      </w:r>
      <w:r w:rsidRPr="00F008F6">
        <w:rPr>
          <w:noProof/>
        </w:rPr>
      </w:r>
      <w:r w:rsidRPr="00F008F6">
        <w:rPr>
          <w:noProof/>
        </w:rPr>
        <w:fldChar w:fldCharType="separate"/>
      </w:r>
      <w:r w:rsidRPr="00F008F6">
        <w:rPr>
          <w:noProof/>
        </w:rPr>
        <w:t>94</w:t>
      </w:r>
      <w:r w:rsidRPr="00F008F6">
        <w:rPr>
          <w:noProof/>
        </w:rPr>
        <w:fldChar w:fldCharType="end"/>
      </w:r>
    </w:p>
    <w:p w14:paraId="7CB70F2E" w14:textId="5E2BAFB2"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3B—Designated orphan drugs</w:t>
      </w:r>
      <w:r w:rsidRPr="00F008F6">
        <w:rPr>
          <w:b w:val="0"/>
          <w:noProof/>
          <w:sz w:val="18"/>
        </w:rPr>
        <w:tab/>
      </w:r>
      <w:r w:rsidRPr="00F008F6">
        <w:rPr>
          <w:b w:val="0"/>
          <w:noProof/>
          <w:sz w:val="18"/>
        </w:rPr>
        <w:fldChar w:fldCharType="begin"/>
      </w:r>
      <w:r w:rsidRPr="00F008F6">
        <w:rPr>
          <w:b w:val="0"/>
          <w:noProof/>
          <w:sz w:val="18"/>
        </w:rPr>
        <w:instrText xml:space="preserve"> PAGEREF _Toc187135705 \h </w:instrText>
      </w:r>
      <w:r w:rsidRPr="00F008F6">
        <w:rPr>
          <w:b w:val="0"/>
          <w:noProof/>
          <w:sz w:val="18"/>
        </w:rPr>
      </w:r>
      <w:r w:rsidRPr="00F008F6">
        <w:rPr>
          <w:b w:val="0"/>
          <w:noProof/>
          <w:sz w:val="18"/>
        </w:rPr>
        <w:fldChar w:fldCharType="separate"/>
      </w:r>
      <w:r w:rsidRPr="00F008F6">
        <w:rPr>
          <w:b w:val="0"/>
          <w:noProof/>
          <w:sz w:val="18"/>
        </w:rPr>
        <w:t>96</w:t>
      </w:r>
      <w:r w:rsidRPr="00F008F6">
        <w:rPr>
          <w:b w:val="0"/>
          <w:noProof/>
          <w:sz w:val="18"/>
        </w:rPr>
        <w:fldChar w:fldCharType="end"/>
      </w:r>
    </w:p>
    <w:p w14:paraId="15CE469C" w14:textId="0F061A2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16H</w:t>
      </w:r>
      <w:r>
        <w:rPr>
          <w:noProof/>
        </w:rPr>
        <w:tab/>
        <w:t>Application to designate medicine as orphan drug</w:t>
      </w:r>
      <w:r w:rsidRPr="00F008F6">
        <w:rPr>
          <w:noProof/>
        </w:rPr>
        <w:tab/>
      </w:r>
      <w:r w:rsidRPr="00F008F6">
        <w:rPr>
          <w:noProof/>
        </w:rPr>
        <w:fldChar w:fldCharType="begin"/>
      </w:r>
      <w:r w:rsidRPr="00F008F6">
        <w:rPr>
          <w:noProof/>
        </w:rPr>
        <w:instrText xml:space="preserve"> PAGEREF _Toc187135706 \h </w:instrText>
      </w:r>
      <w:r w:rsidRPr="00F008F6">
        <w:rPr>
          <w:noProof/>
        </w:rPr>
      </w:r>
      <w:r w:rsidRPr="00F008F6">
        <w:rPr>
          <w:noProof/>
        </w:rPr>
        <w:fldChar w:fldCharType="separate"/>
      </w:r>
      <w:r w:rsidRPr="00F008F6">
        <w:rPr>
          <w:noProof/>
        </w:rPr>
        <w:t>96</w:t>
      </w:r>
      <w:r w:rsidRPr="00F008F6">
        <w:rPr>
          <w:noProof/>
        </w:rPr>
        <w:fldChar w:fldCharType="end"/>
      </w:r>
    </w:p>
    <w:p w14:paraId="25777B8E" w14:textId="69AD98FE"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16J</w:t>
      </w:r>
      <w:r>
        <w:rPr>
          <w:noProof/>
        </w:rPr>
        <w:tab/>
        <w:t>Designation of medicine as orphan drug</w:t>
      </w:r>
      <w:r w:rsidRPr="00F008F6">
        <w:rPr>
          <w:noProof/>
        </w:rPr>
        <w:tab/>
      </w:r>
      <w:r w:rsidRPr="00F008F6">
        <w:rPr>
          <w:noProof/>
        </w:rPr>
        <w:fldChar w:fldCharType="begin"/>
      </w:r>
      <w:r w:rsidRPr="00F008F6">
        <w:rPr>
          <w:noProof/>
        </w:rPr>
        <w:instrText xml:space="preserve"> PAGEREF _Toc187135707 \h </w:instrText>
      </w:r>
      <w:r w:rsidRPr="00F008F6">
        <w:rPr>
          <w:noProof/>
        </w:rPr>
      </w:r>
      <w:r w:rsidRPr="00F008F6">
        <w:rPr>
          <w:noProof/>
        </w:rPr>
        <w:fldChar w:fldCharType="separate"/>
      </w:r>
      <w:r w:rsidRPr="00F008F6">
        <w:rPr>
          <w:noProof/>
        </w:rPr>
        <w:t>96</w:t>
      </w:r>
      <w:r w:rsidRPr="00F008F6">
        <w:rPr>
          <w:noProof/>
        </w:rPr>
        <w:fldChar w:fldCharType="end"/>
      </w:r>
    </w:p>
    <w:p w14:paraId="73CBC8DB" w14:textId="1882652C"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16K</w:t>
      </w:r>
      <w:r>
        <w:rPr>
          <w:noProof/>
        </w:rPr>
        <w:tab/>
        <w:t>Period during which designation is in force</w:t>
      </w:r>
      <w:r w:rsidRPr="00F008F6">
        <w:rPr>
          <w:noProof/>
        </w:rPr>
        <w:tab/>
      </w:r>
      <w:r w:rsidRPr="00F008F6">
        <w:rPr>
          <w:noProof/>
        </w:rPr>
        <w:fldChar w:fldCharType="begin"/>
      </w:r>
      <w:r w:rsidRPr="00F008F6">
        <w:rPr>
          <w:noProof/>
        </w:rPr>
        <w:instrText xml:space="preserve"> PAGEREF _Toc187135708 \h </w:instrText>
      </w:r>
      <w:r w:rsidRPr="00F008F6">
        <w:rPr>
          <w:noProof/>
        </w:rPr>
      </w:r>
      <w:r w:rsidRPr="00F008F6">
        <w:rPr>
          <w:noProof/>
        </w:rPr>
        <w:fldChar w:fldCharType="separate"/>
      </w:r>
      <w:r w:rsidRPr="00F008F6">
        <w:rPr>
          <w:noProof/>
        </w:rPr>
        <w:t>98</w:t>
      </w:r>
      <w:r w:rsidRPr="00F008F6">
        <w:rPr>
          <w:noProof/>
        </w:rPr>
        <w:fldChar w:fldCharType="end"/>
      </w:r>
    </w:p>
    <w:p w14:paraId="6BE56454" w14:textId="2D65BED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16L</w:t>
      </w:r>
      <w:r>
        <w:rPr>
          <w:noProof/>
        </w:rPr>
        <w:tab/>
        <w:t>Extension of designation</w:t>
      </w:r>
      <w:r w:rsidRPr="00F008F6">
        <w:rPr>
          <w:noProof/>
        </w:rPr>
        <w:tab/>
      </w:r>
      <w:r w:rsidRPr="00F008F6">
        <w:rPr>
          <w:noProof/>
        </w:rPr>
        <w:fldChar w:fldCharType="begin"/>
      </w:r>
      <w:r w:rsidRPr="00F008F6">
        <w:rPr>
          <w:noProof/>
        </w:rPr>
        <w:instrText xml:space="preserve"> PAGEREF _Toc187135709 \h </w:instrText>
      </w:r>
      <w:r w:rsidRPr="00F008F6">
        <w:rPr>
          <w:noProof/>
        </w:rPr>
      </w:r>
      <w:r w:rsidRPr="00F008F6">
        <w:rPr>
          <w:noProof/>
        </w:rPr>
        <w:fldChar w:fldCharType="separate"/>
      </w:r>
      <w:r w:rsidRPr="00F008F6">
        <w:rPr>
          <w:noProof/>
        </w:rPr>
        <w:t>98</w:t>
      </w:r>
      <w:r w:rsidRPr="00F008F6">
        <w:rPr>
          <w:noProof/>
        </w:rPr>
        <w:fldChar w:fldCharType="end"/>
      </w:r>
    </w:p>
    <w:p w14:paraId="5A46E493" w14:textId="21748F66"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16M</w:t>
      </w:r>
      <w:r>
        <w:rPr>
          <w:noProof/>
        </w:rPr>
        <w:tab/>
        <w:t>Revocation of designation</w:t>
      </w:r>
      <w:r w:rsidRPr="00F008F6">
        <w:rPr>
          <w:noProof/>
        </w:rPr>
        <w:tab/>
      </w:r>
      <w:r w:rsidRPr="00F008F6">
        <w:rPr>
          <w:noProof/>
        </w:rPr>
        <w:fldChar w:fldCharType="begin"/>
      </w:r>
      <w:r w:rsidRPr="00F008F6">
        <w:rPr>
          <w:noProof/>
        </w:rPr>
        <w:instrText xml:space="preserve"> PAGEREF _Toc187135710 \h </w:instrText>
      </w:r>
      <w:r w:rsidRPr="00F008F6">
        <w:rPr>
          <w:noProof/>
        </w:rPr>
      </w:r>
      <w:r w:rsidRPr="00F008F6">
        <w:rPr>
          <w:noProof/>
        </w:rPr>
        <w:fldChar w:fldCharType="separate"/>
      </w:r>
      <w:r w:rsidRPr="00F008F6">
        <w:rPr>
          <w:noProof/>
        </w:rPr>
        <w:t>99</w:t>
      </w:r>
      <w:r w:rsidRPr="00F008F6">
        <w:rPr>
          <w:noProof/>
        </w:rPr>
        <w:fldChar w:fldCharType="end"/>
      </w:r>
    </w:p>
    <w:p w14:paraId="6CBBB131" w14:textId="1CD2EFFF"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3C—Therapeutic goods (priority applicant) determinations</w:t>
      </w:r>
      <w:r w:rsidRPr="00F008F6">
        <w:rPr>
          <w:b w:val="0"/>
          <w:noProof/>
          <w:sz w:val="18"/>
        </w:rPr>
        <w:tab/>
      </w:r>
      <w:r w:rsidRPr="00F008F6">
        <w:rPr>
          <w:b w:val="0"/>
          <w:noProof/>
          <w:sz w:val="18"/>
        </w:rPr>
        <w:fldChar w:fldCharType="begin"/>
      </w:r>
      <w:r w:rsidRPr="00F008F6">
        <w:rPr>
          <w:b w:val="0"/>
          <w:noProof/>
          <w:sz w:val="18"/>
        </w:rPr>
        <w:instrText xml:space="preserve"> PAGEREF _Toc187135711 \h </w:instrText>
      </w:r>
      <w:r w:rsidRPr="00F008F6">
        <w:rPr>
          <w:b w:val="0"/>
          <w:noProof/>
          <w:sz w:val="18"/>
        </w:rPr>
      </w:r>
      <w:r w:rsidRPr="00F008F6">
        <w:rPr>
          <w:b w:val="0"/>
          <w:noProof/>
          <w:sz w:val="18"/>
        </w:rPr>
        <w:fldChar w:fldCharType="separate"/>
      </w:r>
      <w:r w:rsidRPr="00F008F6">
        <w:rPr>
          <w:b w:val="0"/>
          <w:noProof/>
          <w:sz w:val="18"/>
        </w:rPr>
        <w:t>100</w:t>
      </w:r>
      <w:r w:rsidRPr="00F008F6">
        <w:rPr>
          <w:b w:val="0"/>
          <w:noProof/>
          <w:sz w:val="18"/>
        </w:rPr>
        <w:fldChar w:fldCharType="end"/>
      </w:r>
    </w:p>
    <w:p w14:paraId="7789A42D" w14:textId="23FB0A5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16P</w:t>
      </w:r>
      <w:r>
        <w:rPr>
          <w:noProof/>
        </w:rPr>
        <w:tab/>
        <w:t>Application of Part</w:t>
      </w:r>
      <w:r w:rsidRPr="00F008F6">
        <w:rPr>
          <w:noProof/>
        </w:rPr>
        <w:tab/>
      </w:r>
      <w:r w:rsidRPr="00F008F6">
        <w:rPr>
          <w:noProof/>
        </w:rPr>
        <w:fldChar w:fldCharType="begin"/>
      </w:r>
      <w:r w:rsidRPr="00F008F6">
        <w:rPr>
          <w:noProof/>
        </w:rPr>
        <w:instrText xml:space="preserve"> PAGEREF _Toc187135712 \h </w:instrText>
      </w:r>
      <w:r w:rsidRPr="00F008F6">
        <w:rPr>
          <w:noProof/>
        </w:rPr>
      </w:r>
      <w:r w:rsidRPr="00F008F6">
        <w:rPr>
          <w:noProof/>
        </w:rPr>
        <w:fldChar w:fldCharType="separate"/>
      </w:r>
      <w:r w:rsidRPr="00F008F6">
        <w:rPr>
          <w:noProof/>
        </w:rPr>
        <w:t>100</w:t>
      </w:r>
      <w:r w:rsidRPr="00F008F6">
        <w:rPr>
          <w:noProof/>
        </w:rPr>
        <w:fldChar w:fldCharType="end"/>
      </w:r>
    </w:p>
    <w:p w14:paraId="766C4A74" w14:textId="4885E6E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16Q</w:t>
      </w:r>
      <w:r>
        <w:rPr>
          <w:noProof/>
        </w:rPr>
        <w:tab/>
        <w:t>Application for therapeutic goods (priority applicant) determination</w:t>
      </w:r>
      <w:r w:rsidRPr="00F008F6">
        <w:rPr>
          <w:noProof/>
        </w:rPr>
        <w:tab/>
      </w:r>
      <w:r w:rsidRPr="00F008F6">
        <w:rPr>
          <w:noProof/>
        </w:rPr>
        <w:fldChar w:fldCharType="begin"/>
      </w:r>
      <w:r w:rsidRPr="00F008F6">
        <w:rPr>
          <w:noProof/>
        </w:rPr>
        <w:instrText xml:space="preserve"> PAGEREF _Toc187135713 \h </w:instrText>
      </w:r>
      <w:r w:rsidRPr="00F008F6">
        <w:rPr>
          <w:noProof/>
        </w:rPr>
      </w:r>
      <w:r w:rsidRPr="00F008F6">
        <w:rPr>
          <w:noProof/>
        </w:rPr>
        <w:fldChar w:fldCharType="separate"/>
      </w:r>
      <w:r w:rsidRPr="00F008F6">
        <w:rPr>
          <w:noProof/>
        </w:rPr>
        <w:t>100</w:t>
      </w:r>
      <w:r w:rsidRPr="00F008F6">
        <w:rPr>
          <w:noProof/>
        </w:rPr>
        <w:fldChar w:fldCharType="end"/>
      </w:r>
    </w:p>
    <w:p w14:paraId="33714AF0" w14:textId="1C4D146E"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16R</w:t>
      </w:r>
      <w:r>
        <w:rPr>
          <w:noProof/>
        </w:rPr>
        <w:tab/>
        <w:t>Making of therapeutic goods (priority applicant) determination</w:t>
      </w:r>
      <w:r w:rsidRPr="00F008F6">
        <w:rPr>
          <w:noProof/>
        </w:rPr>
        <w:tab/>
      </w:r>
      <w:r w:rsidRPr="00F008F6">
        <w:rPr>
          <w:noProof/>
        </w:rPr>
        <w:fldChar w:fldCharType="begin"/>
      </w:r>
      <w:r w:rsidRPr="00F008F6">
        <w:rPr>
          <w:noProof/>
        </w:rPr>
        <w:instrText xml:space="preserve"> PAGEREF _Toc187135714 \h </w:instrText>
      </w:r>
      <w:r w:rsidRPr="00F008F6">
        <w:rPr>
          <w:noProof/>
        </w:rPr>
      </w:r>
      <w:r w:rsidRPr="00F008F6">
        <w:rPr>
          <w:noProof/>
        </w:rPr>
        <w:fldChar w:fldCharType="separate"/>
      </w:r>
      <w:r w:rsidRPr="00F008F6">
        <w:rPr>
          <w:noProof/>
        </w:rPr>
        <w:t>100</w:t>
      </w:r>
      <w:r w:rsidRPr="00F008F6">
        <w:rPr>
          <w:noProof/>
        </w:rPr>
        <w:fldChar w:fldCharType="end"/>
      </w:r>
    </w:p>
    <w:p w14:paraId="1C54AA56" w14:textId="59027E71"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16S</w:t>
      </w:r>
      <w:r>
        <w:rPr>
          <w:noProof/>
        </w:rPr>
        <w:tab/>
        <w:t>Period during which therapeutic goods (priority applicant) determination is in force</w:t>
      </w:r>
      <w:r w:rsidRPr="00F008F6">
        <w:rPr>
          <w:noProof/>
        </w:rPr>
        <w:tab/>
      </w:r>
      <w:r w:rsidRPr="00F008F6">
        <w:rPr>
          <w:noProof/>
        </w:rPr>
        <w:fldChar w:fldCharType="begin"/>
      </w:r>
      <w:r w:rsidRPr="00F008F6">
        <w:rPr>
          <w:noProof/>
        </w:rPr>
        <w:instrText xml:space="preserve"> PAGEREF _Toc187135715 \h </w:instrText>
      </w:r>
      <w:r w:rsidRPr="00F008F6">
        <w:rPr>
          <w:noProof/>
        </w:rPr>
      </w:r>
      <w:r w:rsidRPr="00F008F6">
        <w:rPr>
          <w:noProof/>
        </w:rPr>
        <w:fldChar w:fldCharType="separate"/>
      </w:r>
      <w:r w:rsidRPr="00F008F6">
        <w:rPr>
          <w:noProof/>
        </w:rPr>
        <w:t>101</w:t>
      </w:r>
      <w:r w:rsidRPr="00F008F6">
        <w:rPr>
          <w:noProof/>
        </w:rPr>
        <w:fldChar w:fldCharType="end"/>
      </w:r>
    </w:p>
    <w:p w14:paraId="77177437" w14:textId="1C949389"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16T</w:t>
      </w:r>
      <w:r>
        <w:rPr>
          <w:noProof/>
        </w:rPr>
        <w:tab/>
        <w:t>Revocation of therapeutic goods (priority applicant) determination</w:t>
      </w:r>
      <w:r w:rsidRPr="00F008F6">
        <w:rPr>
          <w:noProof/>
        </w:rPr>
        <w:tab/>
      </w:r>
      <w:r w:rsidRPr="00F008F6">
        <w:rPr>
          <w:noProof/>
        </w:rPr>
        <w:fldChar w:fldCharType="begin"/>
      </w:r>
      <w:r w:rsidRPr="00F008F6">
        <w:rPr>
          <w:noProof/>
        </w:rPr>
        <w:instrText xml:space="preserve"> PAGEREF _Toc187135716 \h </w:instrText>
      </w:r>
      <w:r w:rsidRPr="00F008F6">
        <w:rPr>
          <w:noProof/>
        </w:rPr>
      </w:r>
      <w:r w:rsidRPr="00F008F6">
        <w:rPr>
          <w:noProof/>
        </w:rPr>
        <w:fldChar w:fldCharType="separate"/>
      </w:r>
      <w:r w:rsidRPr="00F008F6">
        <w:rPr>
          <w:noProof/>
        </w:rPr>
        <w:t>102</w:t>
      </w:r>
      <w:r w:rsidRPr="00F008F6">
        <w:rPr>
          <w:noProof/>
        </w:rPr>
        <w:fldChar w:fldCharType="end"/>
      </w:r>
    </w:p>
    <w:p w14:paraId="59D24D0D" w14:textId="411AC67B"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3D—Biologicals (priority applicant) determinations</w:t>
      </w:r>
      <w:r w:rsidRPr="00F008F6">
        <w:rPr>
          <w:b w:val="0"/>
          <w:noProof/>
          <w:sz w:val="18"/>
        </w:rPr>
        <w:tab/>
      </w:r>
      <w:r w:rsidRPr="00F008F6">
        <w:rPr>
          <w:b w:val="0"/>
          <w:noProof/>
          <w:sz w:val="18"/>
        </w:rPr>
        <w:fldChar w:fldCharType="begin"/>
      </w:r>
      <w:r w:rsidRPr="00F008F6">
        <w:rPr>
          <w:b w:val="0"/>
          <w:noProof/>
          <w:sz w:val="18"/>
        </w:rPr>
        <w:instrText xml:space="preserve"> PAGEREF _Toc187135717 \h </w:instrText>
      </w:r>
      <w:r w:rsidRPr="00F008F6">
        <w:rPr>
          <w:b w:val="0"/>
          <w:noProof/>
          <w:sz w:val="18"/>
        </w:rPr>
      </w:r>
      <w:r w:rsidRPr="00F008F6">
        <w:rPr>
          <w:b w:val="0"/>
          <w:noProof/>
          <w:sz w:val="18"/>
        </w:rPr>
        <w:fldChar w:fldCharType="separate"/>
      </w:r>
      <w:r w:rsidRPr="00F008F6">
        <w:rPr>
          <w:b w:val="0"/>
          <w:noProof/>
          <w:sz w:val="18"/>
        </w:rPr>
        <w:t>103</w:t>
      </w:r>
      <w:r w:rsidRPr="00F008F6">
        <w:rPr>
          <w:b w:val="0"/>
          <w:noProof/>
          <w:sz w:val="18"/>
        </w:rPr>
        <w:fldChar w:fldCharType="end"/>
      </w:r>
    </w:p>
    <w:p w14:paraId="73E2DB4A" w14:textId="37F8A46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16U</w:t>
      </w:r>
      <w:r>
        <w:rPr>
          <w:noProof/>
        </w:rPr>
        <w:tab/>
        <w:t>Application of Part</w:t>
      </w:r>
      <w:r w:rsidRPr="00F008F6">
        <w:rPr>
          <w:noProof/>
        </w:rPr>
        <w:tab/>
      </w:r>
      <w:r w:rsidRPr="00F008F6">
        <w:rPr>
          <w:noProof/>
        </w:rPr>
        <w:fldChar w:fldCharType="begin"/>
      </w:r>
      <w:r w:rsidRPr="00F008F6">
        <w:rPr>
          <w:noProof/>
        </w:rPr>
        <w:instrText xml:space="preserve"> PAGEREF _Toc187135718 \h </w:instrText>
      </w:r>
      <w:r w:rsidRPr="00F008F6">
        <w:rPr>
          <w:noProof/>
        </w:rPr>
      </w:r>
      <w:r w:rsidRPr="00F008F6">
        <w:rPr>
          <w:noProof/>
        </w:rPr>
        <w:fldChar w:fldCharType="separate"/>
      </w:r>
      <w:r w:rsidRPr="00F008F6">
        <w:rPr>
          <w:noProof/>
        </w:rPr>
        <w:t>103</w:t>
      </w:r>
      <w:r w:rsidRPr="00F008F6">
        <w:rPr>
          <w:noProof/>
        </w:rPr>
        <w:fldChar w:fldCharType="end"/>
      </w:r>
    </w:p>
    <w:p w14:paraId="6103917A" w14:textId="30DA96D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16V</w:t>
      </w:r>
      <w:r>
        <w:rPr>
          <w:noProof/>
        </w:rPr>
        <w:tab/>
        <w:t>Application for biologicals (priority applicant) determination</w:t>
      </w:r>
      <w:r w:rsidRPr="00F008F6">
        <w:rPr>
          <w:noProof/>
        </w:rPr>
        <w:tab/>
      </w:r>
      <w:r w:rsidRPr="00F008F6">
        <w:rPr>
          <w:noProof/>
        </w:rPr>
        <w:fldChar w:fldCharType="begin"/>
      </w:r>
      <w:r w:rsidRPr="00F008F6">
        <w:rPr>
          <w:noProof/>
        </w:rPr>
        <w:instrText xml:space="preserve"> PAGEREF _Toc187135719 \h </w:instrText>
      </w:r>
      <w:r w:rsidRPr="00F008F6">
        <w:rPr>
          <w:noProof/>
        </w:rPr>
      </w:r>
      <w:r w:rsidRPr="00F008F6">
        <w:rPr>
          <w:noProof/>
        </w:rPr>
        <w:fldChar w:fldCharType="separate"/>
      </w:r>
      <w:r w:rsidRPr="00F008F6">
        <w:rPr>
          <w:noProof/>
        </w:rPr>
        <w:t>103</w:t>
      </w:r>
      <w:r w:rsidRPr="00F008F6">
        <w:rPr>
          <w:noProof/>
        </w:rPr>
        <w:fldChar w:fldCharType="end"/>
      </w:r>
    </w:p>
    <w:p w14:paraId="60F0EF3A" w14:textId="44C3DAB9"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16W</w:t>
      </w:r>
      <w:r>
        <w:rPr>
          <w:noProof/>
        </w:rPr>
        <w:tab/>
        <w:t>Making of biologicals (priority applicant) determination</w:t>
      </w:r>
      <w:r w:rsidRPr="00F008F6">
        <w:rPr>
          <w:noProof/>
        </w:rPr>
        <w:tab/>
      </w:r>
      <w:r w:rsidRPr="00F008F6">
        <w:rPr>
          <w:noProof/>
        </w:rPr>
        <w:fldChar w:fldCharType="begin"/>
      </w:r>
      <w:r w:rsidRPr="00F008F6">
        <w:rPr>
          <w:noProof/>
        </w:rPr>
        <w:instrText xml:space="preserve"> PAGEREF _Toc187135720 \h </w:instrText>
      </w:r>
      <w:r w:rsidRPr="00F008F6">
        <w:rPr>
          <w:noProof/>
        </w:rPr>
      </w:r>
      <w:r w:rsidRPr="00F008F6">
        <w:rPr>
          <w:noProof/>
        </w:rPr>
        <w:fldChar w:fldCharType="separate"/>
      </w:r>
      <w:r w:rsidRPr="00F008F6">
        <w:rPr>
          <w:noProof/>
        </w:rPr>
        <w:t>103</w:t>
      </w:r>
      <w:r w:rsidRPr="00F008F6">
        <w:rPr>
          <w:noProof/>
        </w:rPr>
        <w:fldChar w:fldCharType="end"/>
      </w:r>
    </w:p>
    <w:p w14:paraId="16167238" w14:textId="3C7E163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16X</w:t>
      </w:r>
      <w:r>
        <w:rPr>
          <w:noProof/>
        </w:rPr>
        <w:tab/>
        <w:t>Period during which biologicals (priority applicant) determination is in force</w:t>
      </w:r>
      <w:r w:rsidRPr="00F008F6">
        <w:rPr>
          <w:noProof/>
        </w:rPr>
        <w:tab/>
      </w:r>
      <w:r w:rsidRPr="00F008F6">
        <w:rPr>
          <w:noProof/>
        </w:rPr>
        <w:fldChar w:fldCharType="begin"/>
      </w:r>
      <w:r w:rsidRPr="00F008F6">
        <w:rPr>
          <w:noProof/>
        </w:rPr>
        <w:instrText xml:space="preserve"> PAGEREF _Toc187135721 \h </w:instrText>
      </w:r>
      <w:r w:rsidRPr="00F008F6">
        <w:rPr>
          <w:noProof/>
        </w:rPr>
      </w:r>
      <w:r w:rsidRPr="00F008F6">
        <w:rPr>
          <w:noProof/>
        </w:rPr>
        <w:fldChar w:fldCharType="separate"/>
      </w:r>
      <w:r w:rsidRPr="00F008F6">
        <w:rPr>
          <w:noProof/>
        </w:rPr>
        <w:t>104</w:t>
      </w:r>
      <w:r w:rsidRPr="00F008F6">
        <w:rPr>
          <w:noProof/>
        </w:rPr>
        <w:fldChar w:fldCharType="end"/>
      </w:r>
    </w:p>
    <w:p w14:paraId="76288244" w14:textId="7D949BC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16Y</w:t>
      </w:r>
      <w:r>
        <w:rPr>
          <w:noProof/>
        </w:rPr>
        <w:tab/>
        <w:t>Revocation of biologicals (priority applicant) determination</w:t>
      </w:r>
      <w:r w:rsidRPr="00F008F6">
        <w:rPr>
          <w:noProof/>
        </w:rPr>
        <w:tab/>
      </w:r>
      <w:r w:rsidRPr="00F008F6">
        <w:rPr>
          <w:noProof/>
        </w:rPr>
        <w:fldChar w:fldCharType="begin"/>
      </w:r>
      <w:r w:rsidRPr="00F008F6">
        <w:rPr>
          <w:noProof/>
        </w:rPr>
        <w:instrText xml:space="preserve"> PAGEREF _Toc187135722 \h </w:instrText>
      </w:r>
      <w:r w:rsidRPr="00F008F6">
        <w:rPr>
          <w:noProof/>
        </w:rPr>
      </w:r>
      <w:r w:rsidRPr="00F008F6">
        <w:rPr>
          <w:noProof/>
        </w:rPr>
        <w:fldChar w:fldCharType="separate"/>
      </w:r>
      <w:r w:rsidRPr="00F008F6">
        <w:rPr>
          <w:noProof/>
        </w:rPr>
        <w:t>105</w:t>
      </w:r>
      <w:r w:rsidRPr="00F008F6">
        <w:rPr>
          <w:noProof/>
        </w:rPr>
        <w:fldChar w:fldCharType="end"/>
      </w:r>
    </w:p>
    <w:p w14:paraId="0B1A6630" w14:textId="5AC4042C"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4—Licensing of manufacturers</w:t>
      </w:r>
      <w:r w:rsidRPr="00F008F6">
        <w:rPr>
          <w:b w:val="0"/>
          <w:noProof/>
          <w:sz w:val="18"/>
        </w:rPr>
        <w:tab/>
      </w:r>
      <w:r w:rsidRPr="00F008F6">
        <w:rPr>
          <w:b w:val="0"/>
          <w:noProof/>
          <w:sz w:val="18"/>
        </w:rPr>
        <w:fldChar w:fldCharType="begin"/>
      </w:r>
      <w:r w:rsidRPr="00F008F6">
        <w:rPr>
          <w:b w:val="0"/>
          <w:noProof/>
          <w:sz w:val="18"/>
        </w:rPr>
        <w:instrText xml:space="preserve"> PAGEREF _Toc187135723 \h </w:instrText>
      </w:r>
      <w:r w:rsidRPr="00F008F6">
        <w:rPr>
          <w:b w:val="0"/>
          <w:noProof/>
          <w:sz w:val="18"/>
        </w:rPr>
      </w:r>
      <w:r w:rsidRPr="00F008F6">
        <w:rPr>
          <w:b w:val="0"/>
          <w:noProof/>
          <w:sz w:val="18"/>
        </w:rPr>
        <w:fldChar w:fldCharType="separate"/>
      </w:r>
      <w:r w:rsidRPr="00F008F6">
        <w:rPr>
          <w:b w:val="0"/>
          <w:noProof/>
          <w:sz w:val="18"/>
        </w:rPr>
        <w:t>106</w:t>
      </w:r>
      <w:r w:rsidRPr="00F008F6">
        <w:rPr>
          <w:b w:val="0"/>
          <w:noProof/>
          <w:sz w:val="18"/>
        </w:rPr>
        <w:fldChar w:fldCharType="end"/>
      </w:r>
    </w:p>
    <w:p w14:paraId="0ECF001B" w14:textId="33035F3A"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17</w:t>
      </w:r>
      <w:r>
        <w:rPr>
          <w:noProof/>
        </w:rPr>
        <w:tab/>
        <w:t>Exempt goods for the purposes of subsection 34(1) of the Act</w:t>
      </w:r>
      <w:r w:rsidRPr="00F008F6">
        <w:rPr>
          <w:noProof/>
        </w:rPr>
        <w:tab/>
      </w:r>
      <w:r w:rsidRPr="00F008F6">
        <w:rPr>
          <w:noProof/>
        </w:rPr>
        <w:fldChar w:fldCharType="begin"/>
      </w:r>
      <w:r w:rsidRPr="00F008F6">
        <w:rPr>
          <w:noProof/>
        </w:rPr>
        <w:instrText xml:space="preserve"> PAGEREF _Toc187135724 \h </w:instrText>
      </w:r>
      <w:r w:rsidRPr="00F008F6">
        <w:rPr>
          <w:noProof/>
        </w:rPr>
      </w:r>
      <w:r w:rsidRPr="00F008F6">
        <w:rPr>
          <w:noProof/>
        </w:rPr>
        <w:fldChar w:fldCharType="separate"/>
      </w:r>
      <w:r w:rsidRPr="00F008F6">
        <w:rPr>
          <w:noProof/>
        </w:rPr>
        <w:t>106</w:t>
      </w:r>
      <w:r w:rsidRPr="00F008F6">
        <w:rPr>
          <w:noProof/>
        </w:rPr>
        <w:fldChar w:fldCharType="end"/>
      </w:r>
    </w:p>
    <w:p w14:paraId="3643B5EB" w14:textId="0EC9268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18</w:t>
      </w:r>
      <w:r>
        <w:rPr>
          <w:noProof/>
        </w:rPr>
        <w:tab/>
        <w:t>Exempt Persons</w:t>
      </w:r>
      <w:r w:rsidRPr="00F008F6">
        <w:rPr>
          <w:noProof/>
        </w:rPr>
        <w:tab/>
      </w:r>
      <w:r w:rsidRPr="00F008F6">
        <w:rPr>
          <w:noProof/>
        </w:rPr>
        <w:fldChar w:fldCharType="begin"/>
      </w:r>
      <w:r w:rsidRPr="00F008F6">
        <w:rPr>
          <w:noProof/>
        </w:rPr>
        <w:instrText xml:space="preserve"> PAGEREF _Toc187135725 \h </w:instrText>
      </w:r>
      <w:r w:rsidRPr="00F008F6">
        <w:rPr>
          <w:noProof/>
        </w:rPr>
      </w:r>
      <w:r w:rsidRPr="00F008F6">
        <w:rPr>
          <w:noProof/>
        </w:rPr>
        <w:fldChar w:fldCharType="separate"/>
      </w:r>
      <w:r w:rsidRPr="00F008F6">
        <w:rPr>
          <w:noProof/>
        </w:rPr>
        <w:t>106</w:t>
      </w:r>
      <w:r w:rsidRPr="00F008F6">
        <w:rPr>
          <w:noProof/>
        </w:rPr>
        <w:fldChar w:fldCharType="end"/>
      </w:r>
    </w:p>
    <w:p w14:paraId="5EA6D55B" w14:textId="467DDE2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19</w:t>
      </w:r>
      <w:r>
        <w:rPr>
          <w:noProof/>
        </w:rPr>
        <w:tab/>
        <w:t>Requirements for licence holders</w:t>
      </w:r>
      <w:r w:rsidRPr="00F008F6">
        <w:rPr>
          <w:noProof/>
        </w:rPr>
        <w:tab/>
      </w:r>
      <w:r w:rsidRPr="00F008F6">
        <w:rPr>
          <w:noProof/>
        </w:rPr>
        <w:fldChar w:fldCharType="begin"/>
      </w:r>
      <w:r w:rsidRPr="00F008F6">
        <w:rPr>
          <w:noProof/>
        </w:rPr>
        <w:instrText xml:space="preserve"> PAGEREF _Toc187135726 \h </w:instrText>
      </w:r>
      <w:r w:rsidRPr="00F008F6">
        <w:rPr>
          <w:noProof/>
        </w:rPr>
      </w:r>
      <w:r w:rsidRPr="00F008F6">
        <w:rPr>
          <w:noProof/>
        </w:rPr>
        <w:fldChar w:fldCharType="separate"/>
      </w:r>
      <w:r w:rsidRPr="00F008F6">
        <w:rPr>
          <w:noProof/>
        </w:rPr>
        <w:t>106</w:t>
      </w:r>
      <w:r w:rsidRPr="00F008F6">
        <w:rPr>
          <w:noProof/>
        </w:rPr>
        <w:fldChar w:fldCharType="end"/>
      </w:r>
    </w:p>
    <w:p w14:paraId="4153EDDC" w14:textId="4C122F2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20</w:t>
      </w:r>
      <w:r>
        <w:rPr>
          <w:noProof/>
        </w:rPr>
        <w:tab/>
        <w:t>Conditions of licences</w:t>
      </w:r>
      <w:r w:rsidRPr="00F008F6">
        <w:rPr>
          <w:noProof/>
        </w:rPr>
        <w:tab/>
      </w:r>
      <w:r w:rsidRPr="00F008F6">
        <w:rPr>
          <w:noProof/>
        </w:rPr>
        <w:fldChar w:fldCharType="begin"/>
      </w:r>
      <w:r w:rsidRPr="00F008F6">
        <w:rPr>
          <w:noProof/>
        </w:rPr>
        <w:instrText xml:space="preserve"> PAGEREF _Toc187135727 \h </w:instrText>
      </w:r>
      <w:r w:rsidRPr="00F008F6">
        <w:rPr>
          <w:noProof/>
        </w:rPr>
      </w:r>
      <w:r w:rsidRPr="00F008F6">
        <w:rPr>
          <w:noProof/>
        </w:rPr>
        <w:fldChar w:fldCharType="separate"/>
      </w:r>
      <w:r w:rsidRPr="00F008F6">
        <w:rPr>
          <w:noProof/>
        </w:rPr>
        <w:t>106</w:t>
      </w:r>
      <w:r w:rsidRPr="00F008F6">
        <w:rPr>
          <w:noProof/>
        </w:rPr>
        <w:fldChar w:fldCharType="end"/>
      </w:r>
    </w:p>
    <w:p w14:paraId="4BD8D6AE" w14:textId="733461BE"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21</w:t>
      </w:r>
      <w:r>
        <w:rPr>
          <w:noProof/>
        </w:rPr>
        <w:tab/>
        <w:t>Persons having control of production etc to be named</w:t>
      </w:r>
      <w:r w:rsidRPr="00F008F6">
        <w:rPr>
          <w:noProof/>
        </w:rPr>
        <w:tab/>
      </w:r>
      <w:r w:rsidRPr="00F008F6">
        <w:rPr>
          <w:noProof/>
        </w:rPr>
        <w:fldChar w:fldCharType="begin"/>
      </w:r>
      <w:r w:rsidRPr="00F008F6">
        <w:rPr>
          <w:noProof/>
        </w:rPr>
        <w:instrText xml:space="preserve"> PAGEREF _Toc187135728 \h </w:instrText>
      </w:r>
      <w:r w:rsidRPr="00F008F6">
        <w:rPr>
          <w:noProof/>
        </w:rPr>
      </w:r>
      <w:r w:rsidRPr="00F008F6">
        <w:rPr>
          <w:noProof/>
        </w:rPr>
        <w:fldChar w:fldCharType="separate"/>
      </w:r>
      <w:r w:rsidRPr="00F008F6">
        <w:rPr>
          <w:noProof/>
        </w:rPr>
        <w:t>107</w:t>
      </w:r>
      <w:r w:rsidRPr="00F008F6">
        <w:rPr>
          <w:noProof/>
        </w:rPr>
        <w:fldChar w:fldCharType="end"/>
      </w:r>
    </w:p>
    <w:p w14:paraId="58B0AF2B" w14:textId="20411C2A"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22</w:t>
      </w:r>
      <w:r>
        <w:rPr>
          <w:noProof/>
        </w:rPr>
        <w:tab/>
        <w:t>Transfer of licences</w:t>
      </w:r>
      <w:r w:rsidRPr="00F008F6">
        <w:rPr>
          <w:noProof/>
        </w:rPr>
        <w:tab/>
      </w:r>
      <w:r w:rsidRPr="00F008F6">
        <w:rPr>
          <w:noProof/>
        </w:rPr>
        <w:fldChar w:fldCharType="begin"/>
      </w:r>
      <w:r w:rsidRPr="00F008F6">
        <w:rPr>
          <w:noProof/>
        </w:rPr>
        <w:instrText xml:space="preserve"> PAGEREF _Toc187135729 \h </w:instrText>
      </w:r>
      <w:r w:rsidRPr="00F008F6">
        <w:rPr>
          <w:noProof/>
        </w:rPr>
      </w:r>
      <w:r w:rsidRPr="00F008F6">
        <w:rPr>
          <w:noProof/>
        </w:rPr>
        <w:fldChar w:fldCharType="separate"/>
      </w:r>
      <w:r w:rsidRPr="00F008F6">
        <w:rPr>
          <w:noProof/>
        </w:rPr>
        <w:t>108</w:t>
      </w:r>
      <w:r w:rsidRPr="00F008F6">
        <w:rPr>
          <w:noProof/>
        </w:rPr>
        <w:fldChar w:fldCharType="end"/>
      </w:r>
    </w:p>
    <w:p w14:paraId="0D3CFC49" w14:textId="6946208B"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5—Examination, testing and analysis of goods</w:t>
      </w:r>
      <w:r w:rsidRPr="00F008F6">
        <w:rPr>
          <w:b w:val="0"/>
          <w:noProof/>
          <w:sz w:val="18"/>
        </w:rPr>
        <w:tab/>
      </w:r>
      <w:r w:rsidRPr="00F008F6">
        <w:rPr>
          <w:b w:val="0"/>
          <w:noProof/>
          <w:sz w:val="18"/>
        </w:rPr>
        <w:fldChar w:fldCharType="begin"/>
      </w:r>
      <w:r w:rsidRPr="00F008F6">
        <w:rPr>
          <w:b w:val="0"/>
          <w:noProof/>
          <w:sz w:val="18"/>
        </w:rPr>
        <w:instrText xml:space="preserve"> PAGEREF _Toc187135730 \h </w:instrText>
      </w:r>
      <w:r w:rsidRPr="00F008F6">
        <w:rPr>
          <w:b w:val="0"/>
          <w:noProof/>
          <w:sz w:val="18"/>
        </w:rPr>
      </w:r>
      <w:r w:rsidRPr="00F008F6">
        <w:rPr>
          <w:b w:val="0"/>
          <w:noProof/>
          <w:sz w:val="18"/>
        </w:rPr>
        <w:fldChar w:fldCharType="separate"/>
      </w:r>
      <w:r w:rsidRPr="00F008F6">
        <w:rPr>
          <w:b w:val="0"/>
          <w:noProof/>
          <w:sz w:val="18"/>
        </w:rPr>
        <w:t>110</w:t>
      </w:r>
      <w:r w:rsidRPr="00F008F6">
        <w:rPr>
          <w:b w:val="0"/>
          <w:noProof/>
          <w:sz w:val="18"/>
        </w:rPr>
        <w:fldChar w:fldCharType="end"/>
      </w:r>
    </w:p>
    <w:p w14:paraId="77A73310" w14:textId="0D4BCBED"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23</w:t>
      </w:r>
      <w:r>
        <w:rPr>
          <w:noProof/>
        </w:rPr>
        <w:tab/>
        <w:t>Interpretation</w:t>
      </w:r>
      <w:r w:rsidRPr="00F008F6">
        <w:rPr>
          <w:noProof/>
        </w:rPr>
        <w:tab/>
      </w:r>
      <w:r w:rsidRPr="00F008F6">
        <w:rPr>
          <w:noProof/>
        </w:rPr>
        <w:fldChar w:fldCharType="begin"/>
      </w:r>
      <w:r w:rsidRPr="00F008F6">
        <w:rPr>
          <w:noProof/>
        </w:rPr>
        <w:instrText xml:space="preserve"> PAGEREF _Toc187135731 \h </w:instrText>
      </w:r>
      <w:r w:rsidRPr="00F008F6">
        <w:rPr>
          <w:noProof/>
        </w:rPr>
      </w:r>
      <w:r w:rsidRPr="00F008F6">
        <w:rPr>
          <w:noProof/>
        </w:rPr>
        <w:fldChar w:fldCharType="separate"/>
      </w:r>
      <w:r w:rsidRPr="00F008F6">
        <w:rPr>
          <w:noProof/>
        </w:rPr>
        <w:t>110</w:t>
      </w:r>
      <w:r w:rsidRPr="00F008F6">
        <w:rPr>
          <w:noProof/>
        </w:rPr>
        <w:fldChar w:fldCharType="end"/>
      </w:r>
    </w:p>
    <w:p w14:paraId="645EF601" w14:textId="0026609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24</w:t>
      </w:r>
      <w:r>
        <w:rPr>
          <w:noProof/>
        </w:rPr>
        <w:tab/>
        <w:t>Authorised officer—powers and duties</w:t>
      </w:r>
      <w:r w:rsidRPr="00F008F6">
        <w:rPr>
          <w:noProof/>
        </w:rPr>
        <w:tab/>
      </w:r>
      <w:r w:rsidRPr="00F008F6">
        <w:rPr>
          <w:noProof/>
        </w:rPr>
        <w:fldChar w:fldCharType="begin"/>
      </w:r>
      <w:r w:rsidRPr="00F008F6">
        <w:rPr>
          <w:noProof/>
        </w:rPr>
        <w:instrText xml:space="preserve"> PAGEREF _Toc187135732 \h </w:instrText>
      </w:r>
      <w:r w:rsidRPr="00F008F6">
        <w:rPr>
          <w:noProof/>
        </w:rPr>
      </w:r>
      <w:r w:rsidRPr="00F008F6">
        <w:rPr>
          <w:noProof/>
        </w:rPr>
        <w:fldChar w:fldCharType="separate"/>
      </w:r>
      <w:r w:rsidRPr="00F008F6">
        <w:rPr>
          <w:noProof/>
        </w:rPr>
        <w:t>110</w:t>
      </w:r>
      <w:r w:rsidRPr="00F008F6">
        <w:rPr>
          <w:noProof/>
        </w:rPr>
        <w:fldChar w:fldCharType="end"/>
      </w:r>
    </w:p>
    <w:p w14:paraId="2A1074AF" w14:textId="331E67C1"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25</w:t>
      </w:r>
      <w:r>
        <w:rPr>
          <w:noProof/>
        </w:rPr>
        <w:tab/>
        <w:t>Appointment of analysts and official analysts and powers of official analysts</w:t>
      </w:r>
      <w:r w:rsidRPr="00F008F6">
        <w:rPr>
          <w:noProof/>
        </w:rPr>
        <w:tab/>
      </w:r>
      <w:r w:rsidRPr="00F008F6">
        <w:rPr>
          <w:noProof/>
        </w:rPr>
        <w:fldChar w:fldCharType="begin"/>
      </w:r>
      <w:r w:rsidRPr="00F008F6">
        <w:rPr>
          <w:noProof/>
        </w:rPr>
        <w:instrText xml:space="preserve"> PAGEREF _Toc187135733 \h </w:instrText>
      </w:r>
      <w:r w:rsidRPr="00F008F6">
        <w:rPr>
          <w:noProof/>
        </w:rPr>
      </w:r>
      <w:r w:rsidRPr="00F008F6">
        <w:rPr>
          <w:noProof/>
        </w:rPr>
        <w:fldChar w:fldCharType="separate"/>
      </w:r>
      <w:r w:rsidRPr="00F008F6">
        <w:rPr>
          <w:noProof/>
        </w:rPr>
        <w:t>110</w:t>
      </w:r>
      <w:r w:rsidRPr="00F008F6">
        <w:rPr>
          <w:noProof/>
        </w:rPr>
        <w:fldChar w:fldCharType="end"/>
      </w:r>
    </w:p>
    <w:p w14:paraId="54591BC4" w14:textId="1AB98FFD"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26</w:t>
      </w:r>
      <w:r>
        <w:rPr>
          <w:noProof/>
        </w:rPr>
        <w:tab/>
        <w:t>Taking of samples for testing</w:t>
      </w:r>
      <w:r w:rsidRPr="00F008F6">
        <w:rPr>
          <w:noProof/>
        </w:rPr>
        <w:tab/>
      </w:r>
      <w:r w:rsidRPr="00F008F6">
        <w:rPr>
          <w:noProof/>
        </w:rPr>
        <w:fldChar w:fldCharType="begin"/>
      </w:r>
      <w:r w:rsidRPr="00F008F6">
        <w:rPr>
          <w:noProof/>
        </w:rPr>
        <w:instrText xml:space="preserve"> PAGEREF _Toc187135734 \h </w:instrText>
      </w:r>
      <w:r w:rsidRPr="00F008F6">
        <w:rPr>
          <w:noProof/>
        </w:rPr>
      </w:r>
      <w:r w:rsidRPr="00F008F6">
        <w:rPr>
          <w:noProof/>
        </w:rPr>
        <w:fldChar w:fldCharType="separate"/>
      </w:r>
      <w:r w:rsidRPr="00F008F6">
        <w:rPr>
          <w:noProof/>
        </w:rPr>
        <w:t>111</w:t>
      </w:r>
      <w:r w:rsidRPr="00F008F6">
        <w:rPr>
          <w:noProof/>
        </w:rPr>
        <w:fldChar w:fldCharType="end"/>
      </w:r>
    </w:p>
    <w:p w14:paraId="798AFEE6" w14:textId="2B61740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26A</w:t>
      </w:r>
      <w:r>
        <w:rPr>
          <w:noProof/>
        </w:rPr>
        <w:tab/>
        <w:t>Receiving samples for testing</w:t>
      </w:r>
      <w:r w:rsidRPr="00F008F6">
        <w:rPr>
          <w:noProof/>
        </w:rPr>
        <w:tab/>
      </w:r>
      <w:r w:rsidRPr="00F008F6">
        <w:rPr>
          <w:noProof/>
        </w:rPr>
        <w:fldChar w:fldCharType="begin"/>
      </w:r>
      <w:r w:rsidRPr="00F008F6">
        <w:rPr>
          <w:noProof/>
        </w:rPr>
        <w:instrText xml:space="preserve"> PAGEREF _Toc187135735 \h </w:instrText>
      </w:r>
      <w:r w:rsidRPr="00F008F6">
        <w:rPr>
          <w:noProof/>
        </w:rPr>
      </w:r>
      <w:r w:rsidRPr="00F008F6">
        <w:rPr>
          <w:noProof/>
        </w:rPr>
        <w:fldChar w:fldCharType="separate"/>
      </w:r>
      <w:r w:rsidRPr="00F008F6">
        <w:rPr>
          <w:noProof/>
        </w:rPr>
        <w:t>111</w:t>
      </w:r>
      <w:r w:rsidRPr="00F008F6">
        <w:rPr>
          <w:noProof/>
        </w:rPr>
        <w:fldChar w:fldCharType="end"/>
      </w:r>
    </w:p>
    <w:p w14:paraId="6461AF72" w14:textId="7C182B3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27</w:t>
      </w:r>
      <w:r>
        <w:rPr>
          <w:noProof/>
        </w:rPr>
        <w:tab/>
        <w:t>Examination and testing of sample</w:t>
      </w:r>
      <w:r w:rsidRPr="00F008F6">
        <w:rPr>
          <w:noProof/>
        </w:rPr>
        <w:tab/>
      </w:r>
      <w:r w:rsidRPr="00F008F6">
        <w:rPr>
          <w:noProof/>
        </w:rPr>
        <w:fldChar w:fldCharType="begin"/>
      </w:r>
      <w:r w:rsidRPr="00F008F6">
        <w:rPr>
          <w:noProof/>
        </w:rPr>
        <w:instrText xml:space="preserve"> PAGEREF _Toc187135736 \h </w:instrText>
      </w:r>
      <w:r w:rsidRPr="00F008F6">
        <w:rPr>
          <w:noProof/>
        </w:rPr>
      </w:r>
      <w:r w:rsidRPr="00F008F6">
        <w:rPr>
          <w:noProof/>
        </w:rPr>
        <w:fldChar w:fldCharType="separate"/>
      </w:r>
      <w:r w:rsidRPr="00F008F6">
        <w:rPr>
          <w:noProof/>
        </w:rPr>
        <w:t>112</w:t>
      </w:r>
      <w:r w:rsidRPr="00F008F6">
        <w:rPr>
          <w:noProof/>
        </w:rPr>
        <w:fldChar w:fldCharType="end"/>
      </w:r>
    </w:p>
    <w:p w14:paraId="129485DA" w14:textId="6994A61C"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28</w:t>
      </w:r>
      <w:r>
        <w:rPr>
          <w:noProof/>
        </w:rPr>
        <w:tab/>
        <w:t>Tests for determining conformity with a standard or compliance with essential principles</w:t>
      </w:r>
      <w:r w:rsidRPr="00F008F6">
        <w:rPr>
          <w:noProof/>
        </w:rPr>
        <w:tab/>
      </w:r>
      <w:r w:rsidRPr="00F008F6">
        <w:rPr>
          <w:noProof/>
        </w:rPr>
        <w:fldChar w:fldCharType="begin"/>
      </w:r>
      <w:r w:rsidRPr="00F008F6">
        <w:rPr>
          <w:noProof/>
        </w:rPr>
        <w:instrText xml:space="preserve"> PAGEREF _Toc187135737 \h </w:instrText>
      </w:r>
      <w:r w:rsidRPr="00F008F6">
        <w:rPr>
          <w:noProof/>
        </w:rPr>
      </w:r>
      <w:r w:rsidRPr="00F008F6">
        <w:rPr>
          <w:noProof/>
        </w:rPr>
        <w:fldChar w:fldCharType="separate"/>
      </w:r>
      <w:r w:rsidRPr="00F008F6">
        <w:rPr>
          <w:noProof/>
        </w:rPr>
        <w:t>112</w:t>
      </w:r>
      <w:r w:rsidRPr="00F008F6">
        <w:rPr>
          <w:noProof/>
        </w:rPr>
        <w:fldChar w:fldCharType="end"/>
      </w:r>
    </w:p>
    <w:p w14:paraId="66DFC313" w14:textId="7A80E64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29</w:t>
      </w:r>
      <w:r>
        <w:rPr>
          <w:noProof/>
        </w:rPr>
        <w:tab/>
        <w:t>Certificate of responsible analyst</w:t>
      </w:r>
      <w:r w:rsidRPr="00F008F6">
        <w:rPr>
          <w:noProof/>
        </w:rPr>
        <w:tab/>
      </w:r>
      <w:r w:rsidRPr="00F008F6">
        <w:rPr>
          <w:noProof/>
        </w:rPr>
        <w:fldChar w:fldCharType="begin"/>
      </w:r>
      <w:r w:rsidRPr="00F008F6">
        <w:rPr>
          <w:noProof/>
        </w:rPr>
        <w:instrText xml:space="preserve"> PAGEREF _Toc187135738 \h </w:instrText>
      </w:r>
      <w:r w:rsidRPr="00F008F6">
        <w:rPr>
          <w:noProof/>
        </w:rPr>
      </w:r>
      <w:r w:rsidRPr="00F008F6">
        <w:rPr>
          <w:noProof/>
        </w:rPr>
        <w:fldChar w:fldCharType="separate"/>
      </w:r>
      <w:r w:rsidRPr="00F008F6">
        <w:rPr>
          <w:noProof/>
        </w:rPr>
        <w:t>113</w:t>
      </w:r>
      <w:r w:rsidRPr="00F008F6">
        <w:rPr>
          <w:noProof/>
        </w:rPr>
        <w:fldChar w:fldCharType="end"/>
      </w:r>
    </w:p>
    <w:p w14:paraId="314BA9A9" w14:textId="4F4CD1B2"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lastRenderedPageBreak/>
        <w:t>30</w:t>
      </w:r>
      <w:r>
        <w:rPr>
          <w:noProof/>
        </w:rPr>
        <w:tab/>
        <w:t>Review of results of examination and analysis</w:t>
      </w:r>
      <w:r w:rsidRPr="00F008F6">
        <w:rPr>
          <w:noProof/>
        </w:rPr>
        <w:tab/>
      </w:r>
      <w:r w:rsidRPr="00F008F6">
        <w:rPr>
          <w:noProof/>
        </w:rPr>
        <w:fldChar w:fldCharType="begin"/>
      </w:r>
      <w:r w:rsidRPr="00F008F6">
        <w:rPr>
          <w:noProof/>
        </w:rPr>
        <w:instrText xml:space="preserve"> PAGEREF _Toc187135739 \h </w:instrText>
      </w:r>
      <w:r w:rsidRPr="00F008F6">
        <w:rPr>
          <w:noProof/>
        </w:rPr>
      </w:r>
      <w:r w:rsidRPr="00F008F6">
        <w:rPr>
          <w:noProof/>
        </w:rPr>
        <w:fldChar w:fldCharType="separate"/>
      </w:r>
      <w:r w:rsidRPr="00F008F6">
        <w:rPr>
          <w:noProof/>
        </w:rPr>
        <w:t>114</w:t>
      </w:r>
      <w:r w:rsidRPr="00F008F6">
        <w:rPr>
          <w:noProof/>
        </w:rPr>
        <w:fldChar w:fldCharType="end"/>
      </w:r>
    </w:p>
    <w:p w14:paraId="3EB8989A" w14:textId="40307FB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31</w:t>
      </w:r>
      <w:r>
        <w:rPr>
          <w:noProof/>
        </w:rPr>
        <w:tab/>
        <w:t>Payment for samples</w:t>
      </w:r>
      <w:r w:rsidRPr="00F008F6">
        <w:rPr>
          <w:noProof/>
        </w:rPr>
        <w:tab/>
      </w:r>
      <w:r w:rsidRPr="00F008F6">
        <w:rPr>
          <w:noProof/>
        </w:rPr>
        <w:fldChar w:fldCharType="begin"/>
      </w:r>
      <w:r w:rsidRPr="00F008F6">
        <w:rPr>
          <w:noProof/>
        </w:rPr>
        <w:instrText xml:space="preserve"> PAGEREF _Toc187135740 \h </w:instrText>
      </w:r>
      <w:r w:rsidRPr="00F008F6">
        <w:rPr>
          <w:noProof/>
        </w:rPr>
      </w:r>
      <w:r w:rsidRPr="00F008F6">
        <w:rPr>
          <w:noProof/>
        </w:rPr>
        <w:fldChar w:fldCharType="separate"/>
      </w:r>
      <w:r w:rsidRPr="00F008F6">
        <w:rPr>
          <w:noProof/>
        </w:rPr>
        <w:t>116</w:t>
      </w:r>
      <w:r w:rsidRPr="00F008F6">
        <w:rPr>
          <w:noProof/>
        </w:rPr>
        <w:fldChar w:fldCharType="end"/>
      </w:r>
    </w:p>
    <w:p w14:paraId="4AC32E7A" w14:textId="4E0DCAD1"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32</w:t>
      </w:r>
      <w:r>
        <w:rPr>
          <w:noProof/>
        </w:rPr>
        <w:tab/>
        <w:t>Offences relating to analysis etc</w:t>
      </w:r>
      <w:r w:rsidRPr="00F008F6">
        <w:rPr>
          <w:noProof/>
        </w:rPr>
        <w:tab/>
      </w:r>
      <w:r w:rsidRPr="00F008F6">
        <w:rPr>
          <w:noProof/>
        </w:rPr>
        <w:fldChar w:fldCharType="begin"/>
      </w:r>
      <w:r w:rsidRPr="00F008F6">
        <w:rPr>
          <w:noProof/>
        </w:rPr>
        <w:instrText xml:space="preserve"> PAGEREF _Toc187135741 \h </w:instrText>
      </w:r>
      <w:r w:rsidRPr="00F008F6">
        <w:rPr>
          <w:noProof/>
        </w:rPr>
      </w:r>
      <w:r w:rsidRPr="00F008F6">
        <w:rPr>
          <w:noProof/>
        </w:rPr>
        <w:fldChar w:fldCharType="separate"/>
      </w:r>
      <w:r w:rsidRPr="00F008F6">
        <w:rPr>
          <w:noProof/>
        </w:rPr>
        <w:t>116</w:t>
      </w:r>
      <w:r w:rsidRPr="00F008F6">
        <w:rPr>
          <w:noProof/>
        </w:rPr>
        <w:fldChar w:fldCharType="end"/>
      </w:r>
    </w:p>
    <w:p w14:paraId="3CDAD2B1" w14:textId="3476966C"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33</w:t>
      </w:r>
      <w:r>
        <w:rPr>
          <w:noProof/>
        </w:rPr>
        <w:tab/>
        <w:t>Production of identity card</w:t>
      </w:r>
      <w:r w:rsidRPr="00F008F6">
        <w:rPr>
          <w:noProof/>
        </w:rPr>
        <w:tab/>
      </w:r>
      <w:r w:rsidRPr="00F008F6">
        <w:rPr>
          <w:noProof/>
        </w:rPr>
        <w:fldChar w:fldCharType="begin"/>
      </w:r>
      <w:r w:rsidRPr="00F008F6">
        <w:rPr>
          <w:noProof/>
        </w:rPr>
        <w:instrText xml:space="preserve"> PAGEREF _Toc187135742 \h </w:instrText>
      </w:r>
      <w:r w:rsidRPr="00F008F6">
        <w:rPr>
          <w:noProof/>
        </w:rPr>
      </w:r>
      <w:r w:rsidRPr="00F008F6">
        <w:rPr>
          <w:noProof/>
        </w:rPr>
        <w:fldChar w:fldCharType="separate"/>
      </w:r>
      <w:r w:rsidRPr="00F008F6">
        <w:rPr>
          <w:noProof/>
        </w:rPr>
        <w:t>117</w:t>
      </w:r>
      <w:r w:rsidRPr="00F008F6">
        <w:rPr>
          <w:noProof/>
        </w:rPr>
        <w:fldChar w:fldCharType="end"/>
      </w:r>
    </w:p>
    <w:p w14:paraId="31D19802" w14:textId="0371AC13"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5A—Exceptional release</w:t>
      </w:r>
      <w:r w:rsidRPr="00F008F6">
        <w:rPr>
          <w:b w:val="0"/>
          <w:noProof/>
          <w:sz w:val="18"/>
        </w:rPr>
        <w:tab/>
      </w:r>
      <w:r w:rsidRPr="00F008F6">
        <w:rPr>
          <w:b w:val="0"/>
          <w:noProof/>
          <w:sz w:val="18"/>
        </w:rPr>
        <w:fldChar w:fldCharType="begin"/>
      </w:r>
      <w:r w:rsidRPr="00F008F6">
        <w:rPr>
          <w:b w:val="0"/>
          <w:noProof/>
          <w:sz w:val="18"/>
        </w:rPr>
        <w:instrText xml:space="preserve"> PAGEREF _Toc187135743 \h </w:instrText>
      </w:r>
      <w:r w:rsidRPr="00F008F6">
        <w:rPr>
          <w:b w:val="0"/>
          <w:noProof/>
          <w:sz w:val="18"/>
        </w:rPr>
      </w:r>
      <w:r w:rsidRPr="00F008F6">
        <w:rPr>
          <w:b w:val="0"/>
          <w:noProof/>
          <w:sz w:val="18"/>
        </w:rPr>
        <w:fldChar w:fldCharType="separate"/>
      </w:r>
      <w:r w:rsidRPr="00F008F6">
        <w:rPr>
          <w:b w:val="0"/>
          <w:noProof/>
          <w:sz w:val="18"/>
        </w:rPr>
        <w:t>118</w:t>
      </w:r>
      <w:r w:rsidRPr="00F008F6">
        <w:rPr>
          <w:b w:val="0"/>
          <w:noProof/>
          <w:sz w:val="18"/>
        </w:rPr>
        <w:fldChar w:fldCharType="end"/>
      </w:r>
    </w:p>
    <w:p w14:paraId="50C1580C" w14:textId="6864D3C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33A</w:t>
      </w:r>
      <w:r>
        <w:rPr>
          <w:noProof/>
        </w:rPr>
        <w:tab/>
        <w:t>Prescribed circumstances under which biologicals may be imported, exported or supplied</w:t>
      </w:r>
      <w:r w:rsidRPr="00F008F6">
        <w:rPr>
          <w:noProof/>
        </w:rPr>
        <w:tab/>
      </w:r>
      <w:r w:rsidRPr="00F008F6">
        <w:rPr>
          <w:noProof/>
        </w:rPr>
        <w:fldChar w:fldCharType="begin"/>
      </w:r>
      <w:r w:rsidRPr="00F008F6">
        <w:rPr>
          <w:noProof/>
        </w:rPr>
        <w:instrText xml:space="preserve"> PAGEREF _Toc187135744 \h </w:instrText>
      </w:r>
      <w:r w:rsidRPr="00F008F6">
        <w:rPr>
          <w:noProof/>
        </w:rPr>
      </w:r>
      <w:r w:rsidRPr="00F008F6">
        <w:rPr>
          <w:noProof/>
        </w:rPr>
        <w:fldChar w:fldCharType="separate"/>
      </w:r>
      <w:r w:rsidRPr="00F008F6">
        <w:rPr>
          <w:noProof/>
        </w:rPr>
        <w:t>118</w:t>
      </w:r>
      <w:r w:rsidRPr="00F008F6">
        <w:rPr>
          <w:noProof/>
        </w:rPr>
        <w:fldChar w:fldCharType="end"/>
      </w:r>
    </w:p>
    <w:p w14:paraId="245B9D9A" w14:textId="0DC6C5F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33B</w:t>
      </w:r>
      <w:r>
        <w:rPr>
          <w:noProof/>
        </w:rPr>
        <w:tab/>
        <w:t>Conditions for supply of biologicals</w:t>
      </w:r>
      <w:r w:rsidRPr="00F008F6">
        <w:rPr>
          <w:noProof/>
        </w:rPr>
        <w:tab/>
      </w:r>
      <w:r w:rsidRPr="00F008F6">
        <w:rPr>
          <w:noProof/>
        </w:rPr>
        <w:fldChar w:fldCharType="begin"/>
      </w:r>
      <w:r w:rsidRPr="00F008F6">
        <w:rPr>
          <w:noProof/>
        </w:rPr>
        <w:instrText xml:space="preserve"> PAGEREF _Toc187135745 \h </w:instrText>
      </w:r>
      <w:r w:rsidRPr="00F008F6">
        <w:rPr>
          <w:noProof/>
        </w:rPr>
      </w:r>
      <w:r w:rsidRPr="00F008F6">
        <w:rPr>
          <w:noProof/>
        </w:rPr>
        <w:fldChar w:fldCharType="separate"/>
      </w:r>
      <w:r w:rsidRPr="00F008F6">
        <w:rPr>
          <w:noProof/>
        </w:rPr>
        <w:t>118</w:t>
      </w:r>
      <w:r w:rsidRPr="00F008F6">
        <w:rPr>
          <w:noProof/>
        </w:rPr>
        <w:fldChar w:fldCharType="end"/>
      </w:r>
    </w:p>
    <w:p w14:paraId="69B9DD3B" w14:textId="711F0B39"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33C</w:t>
      </w:r>
      <w:r>
        <w:rPr>
          <w:noProof/>
        </w:rPr>
        <w:tab/>
        <w:t>Report on release of nonconforming biological</w:t>
      </w:r>
      <w:r w:rsidRPr="00F008F6">
        <w:rPr>
          <w:noProof/>
        </w:rPr>
        <w:tab/>
      </w:r>
      <w:r w:rsidRPr="00F008F6">
        <w:rPr>
          <w:noProof/>
        </w:rPr>
        <w:fldChar w:fldCharType="begin"/>
      </w:r>
      <w:r w:rsidRPr="00F008F6">
        <w:rPr>
          <w:noProof/>
        </w:rPr>
        <w:instrText xml:space="preserve"> PAGEREF _Toc187135746 \h </w:instrText>
      </w:r>
      <w:r w:rsidRPr="00F008F6">
        <w:rPr>
          <w:noProof/>
        </w:rPr>
      </w:r>
      <w:r w:rsidRPr="00F008F6">
        <w:rPr>
          <w:noProof/>
        </w:rPr>
        <w:fldChar w:fldCharType="separate"/>
      </w:r>
      <w:r w:rsidRPr="00F008F6">
        <w:rPr>
          <w:noProof/>
        </w:rPr>
        <w:t>119</w:t>
      </w:r>
      <w:r w:rsidRPr="00F008F6">
        <w:rPr>
          <w:noProof/>
        </w:rPr>
        <w:fldChar w:fldCharType="end"/>
      </w:r>
    </w:p>
    <w:p w14:paraId="1A691ACB" w14:textId="6F321963"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6—Committees</w:t>
      </w:r>
      <w:r w:rsidRPr="00F008F6">
        <w:rPr>
          <w:b w:val="0"/>
          <w:noProof/>
          <w:sz w:val="18"/>
        </w:rPr>
        <w:tab/>
      </w:r>
      <w:r w:rsidRPr="00F008F6">
        <w:rPr>
          <w:b w:val="0"/>
          <w:noProof/>
          <w:sz w:val="18"/>
        </w:rPr>
        <w:fldChar w:fldCharType="begin"/>
      </w:r>
      <w:r w:rsidRPr="00F008F6">
        <w:rPr>
          <w:b w:val="0"/>
          <w:noProof/>
          <w:sz w:val="18"/>
        </w:rPr>
        <w:instrText xml:space="preserve"> PAGEREF _Toc187135747 \h </w:instrText>
      </w:r>
      <w:r w:rsidRPr="00F008F6">
        <w:rPr>
          <w:b w:val="0"/>
          <w:noProof/>
          <w:sz w:val="18"/>
        </w:rPr>
      </w:r>
      <w:r w:rsidRPr="00F008F6">
        <w:rPr>
          <w:b w:val="0"/>
          <w:noProof/>
          <w:sz w:val="18"/>
        </w:rPr>
        <w:fldChar w:fldCharType="separate"/>
      </w:r>
      <w:r w:rsidRPr="00F008F6">
        <w:rPr>
          <w:b w:val="0"/>
          <w:noProof/>
          <w:sz w:val="18"/>
        </w:rPr>
        <w:t>120</w:t>
      </w:r>
      <w:r w:rsidRPr="00F008F6">
        <w:rPr>
          <w:b w:val="0"/>
          <w:noProof/>
          <w:sz w:val="18"/>
        </w:rPr>
        <w:fldChar w:fldCharType="end"/>
      </w:r>
    </w:p>
    <w:p w14:paraId="4D35A8F9" w14:textId="0073474D"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1A—Advisory Committee on Medicines</w:t>
      </w:r>
      <w:r w:rsidRPr="00F008F6">
        <w:rPr>
          <w:b w:val="0"/>
          <w:noProof/>
          <w:sz w:val="18"/>
        </w:rPr>
        <w:tab/>
      </w:r>
      <w:r w:rsidRPr="00F008F6">
        <w:rPr>
          <w:b w:val="0"/>
          <w:noProof/>
          <w:sz w:val="18"/>
        </w:rPr>
        <w:fldChar w:fldCharType="begin"/>
      </w:r>
      <w:r w:rsidRPr="00F008F6">
        <w:rPr>
          <w:b w:val="0"/>
          <w:noProof/>
          <w:sz w:val="18"/>
        </w:rPr>
        <w:instrText xml:space="preserve"> PAGEREF _Toc187135748 \h </w:instrText>
      </w:r>
      <w:r w:rsidRPr="00F008F6">
        <w:rPr>
          <w:b w:val="0"/>
          <w:noProof/>
          <w:sz w:val="18"/>
        </w:rPr>
      </w:r>
      <w:r w:rsidRPr="00F008F6">
        <w:rPr>
          <w:b w:val="0"/>
          <w:noProof/>
          <w:sz w:val="18"/>
        </w:rPr>
        <w:fldChar w:fldCharType="separate"/>
      </w:r>
      <w:r w:rsidRPr="00F008F6">
        <w:rPr>
          <w:b w:val="0"/>
          <w:noProof/>
          <w:sz w:val="18"/>
        </w:rPr>
        <w:t>120</w:t>
      </w:r>
      <w:r w:rsidRPr="00F008F6">
        <w:rPr>
          <w:b w:val="0"/>
          <w:noProof/>
          <w:sz w:val="18"/>
        </w:rPr>
        <w:fldChar w:fldCharType="end"/>
      </w:r>
    </w:p>
    <w:p w14:paraId="1EA04063" w14:textId="1317E2C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35</w:t>
      </w:r>
      <w:r>
        <w:rPr>
          <w:noProof/>
        </w:rPr>
        <w:tab/>
        <w:t>Establishment</w:t>
      </w:r>
      <w:r w:rsidRPr="00F008F6">
        <w:rPr>
          <w:noProof/>
        </w:rPr>
        <w:tab/>
      </w:r>
      <w:r w:rsidRPr="00F008F6">
        <w:rPr>
          <w:noProof/>
        </w:rPr>
        <w:fldChar w:fldCharType="begin"/>
      </w:r>
      <w:r w:rsidRPr="00F008F6">
        <w:rPr>
          <w:noProof/>
        </w:rPr>
        <w:instrText xml:space="preserve"> PAGEREF _Toc187135749 \h </w:instrText>
      </w:r>
      <w:r w:rsidRPr="00F008F6">
        <w:rPr>
          <w:noProof/>
        </w:rPr>
      </w:r>
      <w:r w:rsidRPr="00F008F6">
        <w:rPr>
          <w:noProof/>
        </w:rPr>
        <w:fldChar w:fldCharType="separate"/>
      </w:r>
      <w:r w:rsidRPr="00F008F6">
        <w:rPr>
          <w:noProof/>
        </w:rPr>
        <w:t>120</w:t>
      </w:r>
      <w:r w:rsidRPr="00F008F6">
        <w:rPr>
          <w:noProof/>
        </w:rPr>
        <w:fldChar w:fldCharType="end"/>
      </w:r>
    </w:p>
    <w:p w14:paraId="04D2C6F9" w14:textId="6F4C8ABA"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35A</w:t>
      </w:r>
      <w:r>
        <w:rPr>
          <w:noProof/>
        </w:rPr>
        <w:tab/>
        <w:t>Functions</w:t>
      </w:r>
      <w:r w:rsidRPr="00F008F6">
        <w:rPr>
          <w:noProof/>
        </w:rPr>
        <w:tab/>
      </w:r>
      <w:r w:rsidRPr="00F008F6">
        <w:rPr>
          <w:noProof/>
        </w:rPr>
        <w:fldChar w:fldCharType="begin"/>
      </w:r>
      <w:r w:rsidRPr="00F008F6">
        <w:rPr>
          <w:noProof/>
        </w:rPr>
        <w:instrText xml:space="preserve"> PAGEREF _Toc187135750 \h </w:instrText>
      </w:r>
      <w:r w:rsidRPr="00F008F6">
        <w:rPr>
          <w:noProof/>
        </w:rPr>
      </w:r>
      <w:r w:rsidRPr="00F008F6">
        <w:rPr>
          <w:noProof/>
        </w:rPr>
        <w:fldChar w:fldCharType="separate"/>
      </w:r>
      <w:r w:rsidRPr="00F008F6">
        <w:rPr>
          <w:noProof/>
        </w:rPr>
        <w:t>120</w:t>
      </w:r>
      <w:r w:rsidRPr="00F008F6">
        <w:rPr>
          <w:noProof/>
        </w:rPr>
        <w:fldChar w:fldCharType="end"/>
      </w:r>
    </w:p>
    <w:p w14:paraId="2527E9FE" w14:textId="6138275E"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35B</w:t>
      </w:r>
      <w:r>
        <w:rPr>
          <w:noProof/>
        </w:rPr>
        <w:tab/>
        <w:t>Membership</w:t>
      </w:r>
      <w:r w:rsidRPr="00F008F6">
        <w:rPr>
          <w:noProof/>
        </w:rPr>
        <w:tab/>
      </w:r>
      <w:r w:rsidRPr="00F008F6">
        <w:rPr>
          <w:noProof/>
        </w:rPr>
        <w:fldChar w:fldCharType="begin"/>
      </w:r>
      <w:r w:rsidRPr="00F008F6">
        <w:rPr>
          <w:noProof/>
        </w:rPr>
        <w:instrText xml:space="preserve"> PAGEREF _Toc187135751 \h </w:instrText>
      </w:r>
      <w:r w:rsidRPr="00F008F6">
        <w:rPr>
          <w:noProof/>
        </w:rPr>
      </w:r>
      <w:r w:rsidRPr="00F008F6">
        <w:rPr>
          <w:noProof/>
        </w:rPr>
        <w:fldChar w:fldCharType="separate"/>
      </w:r>
      <w:r w:rsidRPr="00F008F6">
        <w:rPr>
          <w:noProof/>
        </w:rPr>
        <w:t>120</w:t>
      </w:r>
      <w:r w:rsidRPr="00F008F6">
        <w:rPr>
          <w:noProof/>
        </w:rPr>
        <w:fldChar w:fldCharType="end"/>
      </w:r>
    </w:p>
    <w:p w14:paraId="07487D35" w14:textId="2B61D55A"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1D—Advisory Committee on Medical Devices</w:t>
      </w:r>
      <w:r w:rsidRPr="00F008F6">
        <w:rPr>
          <w:b w:val="0"/>
          <w:noProof/>
          <w:sz w:val="18"/>
        </w:rPr>
        <w:tab/>
      </w:r>
      <w:r w:rsidRPr="00F008F6">
        <w:rPr>
          <w:b w:val="0"/>
          <w:noProof/>
          <w:sz w:val="18"/>
        </w:rPr>
        <w:fldChar w:fldCharType="begin"/>
      </w:r>
      <w:r w:rsidRPr="00F008F6">
        <w:rPr>
          <w:b w:val="0"/>
          <w:noProof/>
          <w:sz w:val="18"/>
        </w:rPr>
        <w:instrText xml:space="preserve"> PAGEREF _Toc187135752 \h </w:instrText>
      </w:r>
      <w:r w:rsidRPr="00F008F6">
        <w:rPr>
          <w:b w:val="0"/>
          <w:noProof/>
          <w:sz w:val="18"/>
        </w:rPr>
      </w:r>
      <w:r w:rsidRPr="00F008F6">
        <w:rPr>
          <w:b w:val="0"/>
          <w:noProof/>
          <w:sz w:val="18"/>
        </w:rPr>
        <w:fldChar w:fldCharType="separate"/>
      </w:r>
      <w:r w:rsidRPr="00F008F6">
        <w:rPr>
          <w:b w:val="0"/>
          <w:noProof/>
          <w:sz w:val="18"/>
        </w:rPr>
        <w:t>122</w:t>
      </w:r>
      <w:r w:rsidRPr="00F008F6">
        <w:rPr>
          <w:b w:val="0"/>
          <w:noProof/>
          <w:sz w:val="18"/>
        </w:rPr>
        <w:fldChar w:fldCharType="end"/>
      </w:r>
    </w:p>
    <w:p w14:paraId="02F81C1F" w14:textId="58B5B24B"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38</w:t>
      </w:r>
      <w:r>
        <w:rPr>
          <w:noProof/>
        </w:rPr>
        <w:tab/>
        <w:t>Establishment</w:t>
      </w:r>
      <w:r w:rsidRPr="00F008F6">
        <w:rPr>
          <w:noProof/>
        </w:rPr>
        <w:tab/>
      </w:r>
      <w:r w:rsidRPr="00F008F6">
        <w:rPr>
          <w:noProof/>
        </w:rPr>
        <w:fldChar w:fldCharType="begin"/>
      </w:r>
      <w:r w:rsidRPr="00F008F6">
        <w:rPr>
          <w:noProof/>
        </w:rPr>
        <w:instrText xml:space="preserve"> PAGEREF _Toc187135753 \h </w:instrText>
      </w:r>
      <w:r w:rsidRPr="00F008F6">
        <w:rPr>
          <w:noProof/>
        </w:rPr>
      </w:r>
      <w:r w:rsidRPr="00F008F6">
        <w:rPr>
          <w:noProof/>
        </w:rPr>
        <w:fldChar w:fldCharType="separate"/>
      </w:r>
      <w:r w:rsidRPr="00F008F6">
        <w:rPr>
          <w:noProof/>
        </w:rPr>
        <w:t>122</w:t>
      </w:r>
      <w:r w:rsidRPr="00F008F6">
        <w:rPr>
          <w:noProof/>
        </w:rPr>
        <w:fldChar w:fldCharType="end"/>
      </w:r>
    </w:p>
    <w:p w14:paraId="035B77C7" w14:textId="2127855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38A</w:t>
      </w:r>
      <w:r>
        <w:rPr>
          <w:noProof/>
        </w:rPr>
        <w:tab/>
        <w:t>Functions</w:t>
      </w:r>
      <w:r w:rsidRPr="00F008F6">
        <w:rPr>
          <w:noProof/>
        </w:rPr>
        <w:tab/>
      </w:r>
      <w:r w:rsidRPr="00F008F6">
        <w:rPr>
          <w:noProof/>
        </w:rPr>
        <w:fldChar w:fldCharType="begin"/>
      </w:r>
      <w:r w:rsidRPr="00F008F6">
        <w:rPr>
          <w:noProof/>
        </w:rPr>
        <w:instrText xml:space="preserve"> PAGEREF _Toc187135754 \h </w:instrText>
      </w:r>
      <w:r w:rsidRPr="00F008F6">
        <w:rPr>
          <w:noProof/>
        </w:rPr>
      </w:r>
      <w:r w:rsidRPr="00F008F6">
        <w:rPr>
          <w:noProof/>
        </w:rPr>
        <w:fldChar w:fldCharType="separate"/>
      </w:r>
      <w:r w:rsidRPr="00F008F6">
        <w:rPr>
          <w:noProof/>
        </w:rPr>
        <w:t>122</w:t>
      </w:r>
      <w:r w:rsidRPr="00F008F6">
        <w:rPr>
          <w:noProof/>
        </w:rPr>
        <w:fldChar w:fldCharType="end"/>
      </w:r>
    </w:p>
    <w:p w14:paraId="670ECEB5" w14:textId="25F4E27D"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38B</w:t>
      </w:r>
      <w:r>
        <w:rPr>
          <w:noProof/>
        </w:rPr>
        <w:tab/>
        <w:t>Membership</w:t>
      </w:r>
      <w:r w:rsidRPr="00F008F6">
        <w:rPr>
          <w:noProof/>
        </w:rPr>
        <w:tab/>
      </w:r>
      <w:r w:rsidRPr="00F008F6">
        <w:rPr>
          <w:noProof/>
        </w:rPr>
        <w:fldChar w:fldCharType="begin"/>
      </w:r>
      <w:r w:rsidRPr="00F008F6">
        <w:rPr>
          <w:noProof/>
        </w:rPr>
        <w:instrText xml:space="preserve"> PAGEREF _Toc187135755 \h </w:instrText>
      </w:r>
      <w:r w:rsidRPr="00F008F6">
        <w:rPr>
          <w:noProof/>
        </w:rPr>
      </w:r>
      <w:r w:rsidRPr="00F008F6">
        <w:rPr>
          <w:noProof/>
        </w:rPr>
        <w:fldChar w:fldCharType="separate"/>
      </w:r>
      <w:r w:rsidRPr="00F008F6">
        <w:rPr>
          <w:noProof/>
        </w:rPr>
        <w:t>122</w:t>
      </w:r>
      <w:r w:rsidRPr="00F008F6">
        <w:rPr>
          <w:noProof/>
        </w:rPr>
        <w:fldChar w:fldCharType="end"/>
      </w:r>
    </w:p>
    <w:p w14:paraId="3E1CD62D" w14:textId="33D66439"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1E—Advisory Committee on Complementary Medicines</w:t>
      </w:r>
      <w:r w:rsidRPr="00F008F6">
        <w:rPr>
          <w:b w:val="0"/>
          <w:noProof/>
          <w:sz w:val="18"/>
        </w:rPr>
        <w:tab/>
      </w:r>
      <w:r w:rsidRPr="00F008F6">
        <w:rPr>
          <w:b w:val="0"/>
          <w:noProof/>
          <w:sz w:val="18"/>
        </w:rPr>
        <w:fldChar w:fldCharType="begin"/>
      </w:r>
      <w:r w:rsidRPr="00F008F6">
        <w:rPr>
          <w:b w:val="0"/>
          <w:noProof/>
          <w:sz w:val="18"/>
        </w:rPr>
        <w:instrText xml:space="preserve"> PAGEREF _Toc187135756 \h </w:instrText>
      </w:r>
      <w:r w:rsidRPr="00F008F6">
        <w:rPr>
          <w:b w:val="0"/>
          <w:noProof/>
          <w:sz w:val="18"/>
        </w:rPr>
      </w:r>
      <w:r w:rsidRPr="00F008F6">
        <w:rPr>
          <w:b w:val="0"/>
          <w:noProof/>
          <w:sz w:val="18"/>
        </w:rPr>
        <w:fldChar w:fldCharType="separate"/>
      </w:r>
      <w:r w:rsidRPr="00F008F6">
        <w:rPr>
          <w:b w:val="0"/>
          <w:noProof/>
          <w:sz w:val="18"/>
        </w:rPr>
        <w:t>124</w:t>
      </w:r>
      <w:r w:rsidRPr="00F008F6">
        <w:rPr>
          <w:b w:val="0"/>
          <w:noProof/>
          <w:sz w:val="18"/>
        </w:rPr>
        <w:fldChar w:fldCharType="end"/>
      </w:r>
    </w:p>
    <w:p w14:paraId="7351647F" w14:textId="58D8FDE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39</w:t>
      </w:r>
      <w:r>
        <w:rPr>
          <w:noProof/>
        </w:rPr>
        <w:tab/>
        <w:t>Establishment</w:t>
      </w:r>
      <w:r w:rsidRPr="00F008F6">
        <w:rPr>
          <w:noProof/>
        </w:rPr>
        <w:tab/>
      </w:r>
      <w:r w:rsidRPr="00F008F6">
        <w:rPr>
          <w:noProof/>
        </w:rPr>
        <w:fldChar w:fldCharType="begin"/>
      </w:r>
      <w:r w:rsidRPr="00F008F6">
        <w:rPr>
          <w:noProof/>
        </w:rPr>
        <w:instrText xml:space="preserve"> PAGEREF _Toc187135757 \h </w:instrText>
      </w:r>
      <w:r w:rsidRPr="00F008F6">
        <w:rPr>
          <w:noProof/>
        </w:rPr>
      </w:r>
      <w:r w:rsidRPr="00F008F6">
        <w:rPr>
          <w:noProof/>
        </w:rPr>
        <w:fldChar w:fldCharType="separate"/>
      </w:r>
      <w:r w:rsidRPr="00F008F6">
        <w:rPr>
          <w:noProof/>
        </w:rPr>
        <w:t>124</w:t>
      </w:r>
      <w:r w:rsidRPr="00F008F6">
        <w:rPr>
          <w:noProof/>
        </w:rPr>
        <w:fldChar w:fldCharType="end"/>
      </w:r>
    </w:p>
    <w:p w14:paraId="14894869" w14:textId="6E99428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39A</w:t>
      </w:r>
      <w:r>
        <w:rPr>
          <w:noProof/>
        </w:rPr>
        <w:tab/>
        <w:t>Functions</w:t>
      </w:r>
      <w:r w:rsidRPr="00F008F6">
        <w:rPr>
          <w:noProof/>
        </w:rPr>
        <w:tab/>
      </w:r>
      <w:r w:rsidRPr="00F008F6">
        <w:rPr>
          <w:noProof/>
        </w:rPr>
        <w:fldChar w:fldCharType="begin"/>
      </w:r>
      <w:r w:rsidRPr="00F008F6">
        <w:rPr>
          <w:noProof/>
        </w:rPr>
        <w:instrText xml:space="preserve"> PAGEREF _Toc187135758 \h </w:instrText>
      </w:r>
      <w:r w:rsidRPr="00F008F6">
        <w:rPr>
          <w:noProof/>
        </w:rPr>
      </w:r>
      <w:r w:rsidRPr="00F008F6">
        <w:rPr>
          <w:noProof/>
        </w:rPr>
        <w:fldChar w:fldCharType="separate"/>
      </w:r>
      <w:r w:rsidRPr="00F008F6">
        <w:rPr>
          <w:noProof/>
        </w:rPr>
        <w:t>124</w:t>
      </w:r>
      <w:r w:rsidRPr="00F008F6">
        <w:rPr>
          <w:noProof/>
        </w:rPr>
        <w:fldChar w:fldCharType="end"/>
      </w:r>
    </w:p>
    <w:p w14:paraId="71ABA9C0" w14:textId="122F76DD"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39B</w:t>
      </w:r>
      <w:r>
        <w:rPr>
          <w:noProof/>
        </w:rPr>
        <w:tab/>
        <w:t>Membership</w:t>
      </w:r>
      <w:r w:rsidRPr="00F008F6">
        <w:rPr>
          <w:noProof/>
        </w:rPr>
        <w:tab/>
      </w:r>
      <w:r w:rsidRPr="00F008F6">
        <w:rPr>
          <w:noProof/>
        </w:rPr>
        <w:fldChar w:fldCharType="begin"/>
      </w:r>
      <w:r w:rsidRPr="00F008F6">
        <w:rPr>
          <w:noProof/>
        </w:rPr>
        <w:instrText xml:space="preserve"> PAGEREF _Toc187135759 \h </w:instrText>
      </w:r>
      <w:r w:rsidRPr="00F008F6">
        <w:rPr>
          <w:noProof/>
        </w:rPr>
      </w:r>
      <w:r w:rsidRPr="00F008F6">
        <w:rPr>
          <w:noProof/>
        </w:rPr>
        <w:fldChar w:fldCharType="separate"/>
      </w:r>
      <w:r w:rsidRPr="00F008F6">
        <w:rPr>
          <w:noProof/>
        </w:rPr>
        <w:t>124</w:t>
      </w:r>
      <w:r w:rsidRPr="00F008F6">
        <w:rPr>
          <w:noProof/>
        </w:rPr>
        <w:fldChar w:fldCharType="end"/>
      </w:r>
    </w:p>
    <w:p w14:paraId="619C2123" w14:textId="3EE62F8A"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1EA—Advisory Committee on Biologicals</w:t>
      </w:r>
      <w:r w:rsidRPr="00F008F6">
        <w:rPr>
          <w:b w:val="0"/>
          <w:noProof/>
          <w:sz w:val="18"/>
        </w:rPr>
        <w:tab/>
      </w:r>
      <w:r w:rsidRPr="00F008F6">
        <w:rPr>
          <w:b w:val="0"/>
          <w:noProof/>
          <w:sz w:val="18"/>
        </w:rPr>
        <w:fldChar w:fldCharType="begin"/>
      </w:r>
      <w:r w:rsidRPr="00F008F6">
        <w:rPr>
          <w:b w:val="0"/>
          <w:noProof/>
          <w:sz w:val="18"/>
        </w:rPr>
        <w:instrText xml:space="preserve"> PAGEREF _Toc187135760 \h </w:instrText>
      </w:r>
      <w:r w:rsidRPr="00F008F6">
        <w:rPr>
          <w:b w:val="0"/>
          <w:noProof/>
          <w:sz w:val="18"/>
        </w:rPr>
      </w:r>
      <w:r w:rsidRPr="00F008F6">
        <w:rPr>
          <w:b w:val="0"/>
          <w:noProof/>
          <w:sz w:val="18"/>
        </w:rPr>
        <w:fldChar w:fldCharType="separate"/>
      </w:r>
      <w:r w:rsidRPr="00F008F6">
        <w:rPr>
          <w:b w:val="0"/>
          <w:noProof/>
          <w:sz w:val="18"/>
        </w:rPr>
        <w:t>126</w:t>
      </w:r>
      <w:r w:rsidRPr="00F008F6">
        <w:rPr>
          <w:b w:val="0"/>
          <w:noProof/>
          <w:sz w:val="18"/>
        </w:rPr>
        <w:fldChar w:fldCharType="end"/>
      </w:r>
    </w:p>
    <w:p w14:paraId="3DB01541" w14:textId="252DA6E2"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39C</w:t>
      </w:r>
      <w:r>
        <w:rPr>
          <w:noProof/>
        </w:rPr>
        <w:tab/>
        <w:t>Establishment</w:t>
      </w:r>
      <w:r w:rsidRPr="00F008F6">
        <w:rPr>
          <w:noProof/>
        </w:rPr>
        <w:tab/>
      </w:r>
      <w:r w:rsidRPr="00F008F6">
        <w:rPr>
          <w:noProof/>
        </w:rPr>
        <w:fldChar w:fldCharType="begin"/>
      </w:r>
      <w:r w:rsidRPr="00F008F6">
        <w:rPr>
          <w:noProof/>
        </w:rPr>
        <w:instrText xml:space="preserve"> PAGEREF _Toc187135761 \h </w:instrText>
      </w:r>
      <w:r w:rsidRPr="00F008F6">
        <w:rPr>
          <w:noProof/>
        </w:rPr>
      </w:r>
      <w:r w:rsidRPr="00F008F6">
        <w:rPr>
          <w:noProof/>
        </w:rPr>
        <w:fldChar w:fldCharType="separate"/>
      </w:r>
      <w:r w:rsidRPr="00F008F6">
        <w:rPr>
          <w:noProof/>
        </w:rPr>
        <w:t>126</w:t>
      </w:r>
      <w:r w:rsidRPr="00F008F6">
        <w:rPr>
          <w:noProof/>
        </w:rPr>
        <w:fldChar w:fldCharType="end"/>
      </w:r>
    </w:p>
    <w:p w14:paraId="272C3AC7" w14:textId="240FD5E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39D</w:t>
      </w:r>
      <w:r>
        <w:rPr>
          <w:noProof/>
        </w:rPr>
        <w:tab/>
        <w:t>Functions</w:t>
      </w:r>
      <w:r w:rsidRPr="00F008F6">
        <w:rPr>
          <w:noProof/>
        </w:rPr>
        <w:tab/>
      </w:r>
      <w:r w:rsidRPr="00F008F6">
        <w:rPr>
          <w:noProof/>
        </w:rPr>
        <w:fldChar w:fldCharType="begin"/>
      </w:r>
      <w:r w:rsidRPr="00F008F6">
        <w:rPr>
          <w:noProof/>
        </w:rPr>
        <w:instrText xml:space="preserve"> PAGEREF _Toc187135762 \h </w:instrText>
      </w:r>
      <w:r w:rsidRPr="00F008F6">
        <w:rPr>
          <w:noProof/>
        </w:rPr>
      </w:r>
      <w:r w:rsidRPr="00F008F6">
        <w:rPr>
          <w:noProof/>
        </w:rPr>
        <w:fldChar w:fldCharType="separate"/>
      </w:r>
      <w:r w:rsidRPr="00F008F6">
        <w:rPr>
          <w:noProof/>
        </w:rPr>
        <w:t>126</w:t>
      </w:r>
      <w:r w:rsidRPr="00F008F6">
        <w:rPr>
          <w:noProof/>
        </w:rPr>
        <w:fldChar w:fldCharType="end"/>
      </w:r>
    </w:p>
    <w:p w14:paraId="66D7A7CD" w14:textId="64C69D2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39E</w:t>
      </w:r>
      <w:r>
        <w:rPr>
          <w:noProof/>
        </w:rPr>
        <w:tab/>
        <w:t>Membership</w:t>
      </w:r>
      <w:r w:rsidRPr="00F008F6">
        <w:rPr>
          <w:noProof/>
        </w:rPr>
        <w:tab/>
      </w:r>
      <w:r w:rsidRPr="00F008F6">
        <w:rPr>
          <w:noProof/>
        </w:rPr>
        <w:fldChar w:fldCharType="begin"/>
      </w:r>
      <w:r w:rsidRPr="00F008F6">
        <w:rPr>
          <w:noProof/>
        </w:rPr>
        <w:instrText xml:space="preserve"> PAGEREF _Toc187135763 \h </w:instrText>
      </w:r>
      <w:r w:rsidRPr="00F008F6">
        <w:rPr>
          <w:noProof/>
        </w:rPr>
      </w:r>
      <w:r w:rsidRPr="00F008F6">
        <w:rPr>
          <w:noProof/>
        </w:rPr>
        <w:fldChar w:fldCharType="separate"/>
      </w:r>
      <w:r w:rsidRPr="00F008F6">
        <w:rPr>
          <w:noProof/>
        </w:rPr>
        <w:t>126</w:t>
      </w:r>
      <w:r w:rsidRPr="00F008F6">
        <w:rPr>
          <w:noProof/>
        </w:rPr>
        <w:fldChar w:fldCharType="end"/>
      </w:r>
    </w:p>
    <w:p w14:paraId="7A4D568F" w14:textId="1DF15251"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1EB—Advisory Committee on Vaccines</w:t>
      </w:r>
      <w:r w:rsidRPr="00F008F6">
        <w:rPr>
          <w:b w:val="0"/>
          <w:noProof/>
          <w:sz w:val="18"/>
        </w:rPr>
        <w:tab/>
      </w:r>
      <w:r w:rsidRPr="00F008F6">
        <w:rPr>
          <w:b w:val="0"/>
          <w:noProof/>
          <w:sz w:val="18"/>
        </w:rPr>
        <w:fldChar w:fldCharType="begin"/>
      </w:r>
      <w:r w:rsidRPr="00F008F6">
        <w:rPr>
          <w:b w:val="0"/>
          <w:noProof/>
          <w:sz w:val="18"/>
        </w:rPr>
        <w:instrText xml:space="preserve"> PAGEREF _Toc187135764 \h </w:instrText>
      </w:r>
      <w:r w:rsidRPr="00F008F6">
        <w:rPr>
          <w:b w:val="0"/>
          <w:noProof/>
          <w:sz w:val="18"/>
        </w:rPr>
      </w:r>
      <w:r w:rsidRPr="00F008F6">
        <w:rPr>
          <w:b w:val="0"/>
          <w:noProof/>
          <w:sz w:val="18"/>
        </w:rPr>
        <w:fldChar w:fldCharType="separate"/>
      </w:r>
      <w:r w:rsidRPr="00F008F6">
        <w:rPr>
          <w:b w:val="0"/>
          <w:noProof/>
          <w:sz w:val="18"/>
        </w:rPr>
        <w:t>127</w:t>
      </w:r>
      <w:r w:rsidRPr="00F008F6">
        <w:rPr>
          <w:b w:val="0"/>
          <w:noProof/>
          <w:sz w:val="18"/>
        </w:rPr>
        <w:fldChar w:fldCharType="end"/>
      </w:r>
    </w:p>
    <w:p w14:paraId="03FEAC28" w14:textId="260DFAF2"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39F</w:t>
      </w:r>
      <w:r>
        <w:rPr>
          <w:noProof/>
        </w:rPr>
        <w:tab/>
        <w:t>Establishment</w:t>
      </w:r>
      <w:r w:rsidRPr="00F008F6">
        <w:rPr>
          <w:noProof/>
        </w:rPr>
        <w:tab/>
      </w:r>
      <w:r w:rsidRPr="00F008F6">
        <w:rPr>
          <w:noProof/>
        </w:rPr>
        <w:fldChar w:fldCharType="begin"/>
      </w:r>
      <w:r w:rsidRPr="00F008F6">
        <w:rPr>
          <w:noProof/>
        </w:rPr>
        <w:instrText xml:space="preserve"> PAGEREF _Toc187135765 \h </w:instrText>
      </w:r>
      <w:r w:rsidRPr="00F008F6">
        <w:rPr>
          <w:noProof/>
        </w:rPr>
      </w:r>
      <w:r w:rsidRPr="00F008F6">
        <w:rPr>
          <w:noProof/>
        </w:rPr>
        <w:fldChar w:fldCharType="separate"/>
      </w:r>
      <w:r w:rsidRPr="00F008F6">
        <w:rPr>
          <w:noProof/>
        </w:rPr>
        <w:t>127</w:t>
      </w:r>
      <w:r w:rsidRPr="00F008F6">
        <w:rPr>
          <w:noProof/>
        </w:rPr>
        <w:fldChar w:fldCharType="end"/>
      </w:r>
    </w:p>
    <w:p w14:paraId="5C1F25EA" w14:textId="7E64B616"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39G</w:t>
      </w:r>
      <w:r>
        <w:rPr>
          <w:noProof/>
        </w:rPr>
        <w:tab/>
        <w:t>Functions</w:t>
      </w:r>
      <w:r w:rsidRPr="00F008F6">
        <w:rPr>
          <w:noProof/>
        </w:rPr>
        <w:tab/>
      </w:r>
      <w:r w:rsidRPr="00F008F6">
        <w:rPr>
          <w:noProof/>
        </w:rPr>
        <w:fldChar w:fldCharType="begin"/>
      </w:r>
      <w:r w:rsidRPr="00F008F6">
        <w:rPr>
          <w:noProof/>
        </w:rPr>
        <w:instrText xml:space="preserve"> PAGEREF _Toc187135766 \h </w:instrText>
      </w:r>
      <w:r w:rsidRPr="00F008F6">
        <w:rPr>
          <w:noProof/>
        </w:rPr>
      </w:r>
      <w:r w:rsidRPr="00F008F6">
        <w:rPr>
          <w:noProof/>
        </w:rPr>
        <w:fldChar w:fldCharType="separate"/>
      </w:r>
      <w:r w:rsidRPr="00F008F6">
        <w:rPr>
          <w:noProof/>
        </w:rPr>
        <w:t>127</w:t>
      </w:r>
      <w:r w:rsidRPr="00F008F6">
        <w:rPr>
          <w:noProof/>
        </w:rPr>
        <w:fldChar w:fldCharType="end"/>
      </w:r>
    </w:p>
    <w:p w14:paraId="31FE625E" w14:textId="393AE599"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39H</w:t>
      </w:r>
      <w:r>
        <w:rPr>
          <w:noProof/>
        </w:rPr>
        <w:tab/>
        <w:t>Membership</w:t>
      </w:r>
      <w:r w:rsidRPr="00F008F6">
        <w:rPr>
          <w:noProof/>
        </w:rPr>
        <w:tab/>
      </w:r>
      <w:r w:rsidRPr="00F008F6">
        <w:rPr>
          <w:noProof/>
        </w:rPr>
        <w:fldChar w:fldCharType="begin"/>
      </w:r>
      <w:r w:rsidRPr="00F008F6">
        <w:rPr>
          <w:noProof/>
        </w:rPr>
        <w:instrText xml:space="preserve"> PAGEREF _Toc187135767 \h </w:instrText>
      </w:r>
      <w:r w:rsidRPr="00F008F6">
        <w:rPr>
          <w:noProof/>
        </w:rPr>
      </w:r>
      <w:r w:rsidRPr="00F008F6">
        <w:rPr>
          <w:noProof/>
        </w:rPr>
        <w:fldChar w:fldCharType="separate"/>
      </w:r>
      <w:r w:rsidRPr="00F008F6">
        <w:rPr>
          <w:noProof/>
        </w:rPr>
        <w:t>127</w:t>
      </w:r>
      <w:r w:rsidRPr="00F008F6">
        <w:rPr>
          <w:noProof/>
        </w:rPr>
        <w:fldChar w:fldCharType="end"/>
      </w:r>
    </w:p>
    <w:p w14:paraId="07107A42" w14:textId="4ACF59D1"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1F—General</w:t>
      </w:r>
      <w:r w:rsidRPr="00F008F6">
        <w:rPr>
          <w:b w:val="0"/>
          <w:noProof/>
          <w:sz w:val="18"/>
        </w:rPr>
        <w:tab/>
      </w:r>
      <w:r w:rsidRPr="00F008F6">
        <w:rPr>
          <w:b w:val="0"/>
          <w:noProof/>
          <w:sz w:val="18"/>
        </w:rPr>
        <w:fldChar w:fldCharType="begin"/>
      </w:r>
      <w:r w:rsidRPr="00F008F6">
        <w:rPr>
          <w:b w:val="0"/>
          <w:noProof/>
          <w:sz w:val="18"/>
        </w:rPr>
        <w:instrText xml:space="preserve"> PAGEREF _Toc187135768 \h </w:instrText>
      </w:r>
      <w:r w:rsidRPr="00F008F6">
        <w:rPr>
          <w:b w:val="0"/>
          <w:noProof/>
          <w:sz w:val="18"/>
        </w:rPr>
      </w:r>
      <w:r w:rsidRPr="00F008F6">
        <w:rPr>
          <w:b w:val="0"/>
          <w:noProof/>
          <w:sz w:val="18"/>
        </w:rPr>
        <w:fldChar w:fldCharType="separate"/>
      </w:r>
      <w:r w:rsidRPr="00F008F6">
        <w:rPr>
          <w:b w:val="0"/>
          <w:noProof/>
          <w:sz w:val="18"/>
        </w:rPr>
        <w:t>129</w:t>
      </w:r>
      <w:r w:rsidRPr="00F008F6">
        <w:rPr>
          <w:b w:val="0"/>
          <w:noProof/>
          <w:sz w:val="18"/>
        </w:rPr>
        <w:fldChar w:fldCharType="end"/>
      </w:r>
    </w:p>
    <w:p w14:paraId="1E2EDBBE" w14:textId="0857828E"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40</w:t>
      </w:r>
      <w:r>
        <w:rPr>
          <w:noProof/>
        </w:rPr>
        <w:tab/>
        <w:t>Application of this Division</w:t>
      </w:r>
      <w:r w:rsidRPr="00F008F6">
        <w:rPr>
          <w:noProof/>
        </w:rPr>
        <w:tab/>
      </w:r>
      <w:r w:rsidRPr="00F008F6">
        <w:rPr>
          <w:noProof/>
        </w:rPr>
        <w:fldChar w:fldCharType="begin"/>
      </w:r>
      <w:r w:rsidRPr="00F008F6">
        <w:rPr>
          <w:noProof/>
        </w:rPr>
        <w:instrText xml:space="preserve"> PAGEREF _Toc187135769 \h </w:instrText>
      </w:r>
      <w:r w:rsidRPr="00F008F6">
        <w:rPr>
          <w:noProof/>
        </w:rPr>
      </w:r>
      <w:r w:rsidRPr="00F008F6">
        <w:rPr>
          <w:noProof/>
        </w:rPr>
        <w:fldChar w:fldCharType="separate"/>
      </w:r>
      <w:r w:rsidRPr="00F008F6">
        <w:rPr>
          <w:noProof/>
        </w:rPr>
        <w:t>129</w:t>
      </w:r>
      <w:r w:rsidRPr="00F008F6">
        <w:rPr>
          <w:noProof/>
        </w:rPr>
        <w:fldChar w:fldCharType="end"/>
      </w:r>
    </w:p>
    <w:p w14:paraId="06B0D07C" w14:textId="24EB946C"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41</w:t>
      </w:r>
      <w:r>
        <w:rPr>
          <w:noProof/>
        </w:rPr>
        <w:tab/>
        <w:t>Appointment of members</w:t>
      </w:r>
      <w:r w:rsidRPr="00F008F6">
        <w:rPr>
          <w:noProof/>
        </w:rPr>
        <w:tab/>
      </w:r>
      <w:r w:rsidRPr="00F008F6">
        <w:rPr>
          <w:noProof/>
        </w:rPr>
        <w:fldChar w:fldCharType="begin"/>
      </w:r>
      <w:r w:rsidRPr="00F008F6">
        <w:rPr>
          <w:noProof/>
        </w:rPr>
        <w:instrText xml:space="preserve"> PAGEREF _Toc187135770 \h </w:instrText>
      </w:r>
      <w:r w:rsidRPr="00F008F6">
        <w:rPr>
          <w:noProof/>
        </w:rPr>
      </w:r>
      <w:r w:rsidRPr="00F008F6">
        <w:rPr>
          <w:noProof/>
        </w:rPr>
        <w:fldChar w:fldCharType="separate"/>
      </w:r>
      <w:r w:rsidRPr="00F008F6">
        <w:rPr>
          <w:noProof/>
        </w:rPr>
        <w:t>129</w:t>
      </w:r>
      <w:r w:rsidRPr="00F008F6">
        <w:rPr>
          <w:noProof/>
        </w:rPr>
        <w:fldChar w:fldCharType="end"/>
      </w:r>
    </w:p>
    <w:p w14:paraId="483ACAF6" w14:textId="1487191E"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41A</w:t>
      </w:r>
      <w:r>
        <w:rPr>
          <w:noProof/>
        </w:rPr>
        <w:tab/>
        <w:t>Appointment of the chair</w:t>
      </w:r>
      <w:r w:rsidRPr="00F008F6">
        <w:rPr>
          <w:noProof/>
        </w:rPr>
        <w:tab/>
      </w:r>
      <w:r w:rsidRPr="00F008F6">
        <w:rPr>
          <w:noProof/>
        </w:rPr>
        <w:fldChar w:fldCharType="begin"/>
      </w:r>
      <w:r w:rsidRPr="00F008F6">
        <w:rPr>
          <w:noProof/>
        </w:rPr>
        <w:instrText xml:space="preserve"> PAGEREF _Toc187135771 \h </w:instrText>
      </w:r>
      <w:r w:rsidRPr="00F008F6">
        <w:rPr>
          <w:noProof/>
        </w:rPr>
      </w:r>
      <w:r w:rsidRPr="00F008F6">
        <w:rPr>
          <w:noProof/>
        </w:rPr>
        <w:fldChar w:fldCharType="separate"/>
      </w:r>
      <w:r w:rsidRPr="00F008F6">
        <w:rPr>
          <w:noProof/>
        </w:rPr>
        <w:t>129</w:t>
      </w:r>
      <w:r w:rsidRPr="00F008F6">
        <w:rPr>
          <w:noProof/>
        </w:rPr>
        <w:fldChar w:fldCharType="end"/>
      </w:r>
    </w:p>
    <w:p w14:paraId="128915C3" w14:textId="02F4610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41B</w:t>
      </w:r>
      <w:r>
        <w:rPr>
          <w:noProof/>
        </w:rPr>
        <w:tab/>
        <w:t>Resignation or vacancy</w:t>
      </w:r>
      <w:r w:rsidRPr="00F008F6">
        <w:rPr>
          <w:noProof/>
        </w:rPr>
        <w:tab/>
      </w:r>
      <w:r w:rsidRPr="00F008F6">
        <w:rPr>
          <w:noProof/>
        </w:rPr>
        <w:fldChar w:fldCharType="begin"/>
      </w:r>
      <w:r w:rsidRPr="00F008F6">
        <w:rPr>
          <w:noProof/>
        </w:rPr>
        <w:instrText xml:space="preserve"> PAGEREF _Toc187135772 \h </w:instrText>
      </w:r>
      <w:r w:rsidRPr="00F008F6">
        <w:rPr>
          <w:noProof/>
        </w:rPr>
      </w:r>
      <w:r w:rsidRPr="00F008F6">
        <w:rPr>
          <w:noProof/>
        </w:rPr>
        <w:fldChar w:fldCharType="separate"/>
      </w:r>
      <w:r w:rsidRPr="00F008F6">
        <w:rPr>
          <w:noProof/>
        </w:rPr>
        <w:t>129</w:t>
      </w:r>
      <w:r w:rsidRPr="00F008F6">
        <w:rPr>
          <w:noProof/>
        </w:rPr>
        <w:fldChar w:fldCharType="end"/>
      </w:r>
    </w:p>
    <w:p w14:paraId="30149DE0" w14:textId="19B2905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41C</w:t>
      </w:r>
      <w:r>
        <w:rPr>
          <w:noProof/>
        </w:rPr>
        <w:tab/>
        <w:t>Termination of appointment</w:t>
      </w:r>
      <w:r w:rsidRPr="00F008F6">
        <w:rPr>
          <w:noProof/>
        </w:rPr>
        <w:tab/>
      </w:r>
      <w:r w:rsidRPr="00F008F6">
        <w:rPr>
          <w:noProof/>
        </w:rPr>
        <w:fldChar w:fldCharType="begin"/>
      </w:r>
      <w:r w:rsidRPr="00F008F6">
        <w:rPr>
          <w:noProof/>
        </w:rPr>
        <w:instrText xml:space="preserve"> PAGEREF _Toc187135773 \h </w:instrText>
      </w:r>
      <w:r w:rsidRPr="00F008F6">
        <w:rPr>
          <w:noProof/>
        </w:rPr>
      </w:r>
      <w:r w:rsidRPr="00F008F6">
        <w:rPr>
          <w:noProof/>
        </w:rPr>
        <w:fldChar w:fldCharType="separate"/>
      </w:r>
      <w:r w:rsidRPr="00F008F6">
        <w:rPr>
          <w:noProof/>
        </w:rPr>
        <w:t>129</w:t>
      </w:r>
      <w:r w:rsidRPr="00F008F6">
        <w:rPr>
          <w:noProof/>
        </w:rPr>
        <w:fldChar w:fldCharType="end"/>
      </w:r>
    </w:p>
    <w:p w14:paraId="21F97185" w14:textId="2EC28EF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41D</w:t>
      </w:r>
      <w:r>
        <w:rPr>
          <w:noProof/>
        </w:rPr>
        <w:tab/>
        <w:t>Leave of absence</w:t>
      </w:r>
      <w:r w:rsidRPr="00F008F6">
        <w:rPr>
          <w:noProof/>
        </w:rPr>
        <w:tab/>
      </w:r>
      <w:r w:rsidRPr="00F008F6">
        <w:rPr>
          <w:noProof/>
        </w:rPr>
        <w:fldChar w:fldCharType="begin"/>
      </w:r>
      <w:r w:rsidRPr="00F008F6">
        <w:rPr>
          <w:noProof/>
        </w:rPr>
        <w:instrText xml:space="preserve"> PAGEREF _Toc187135774 \h </w:instrText>
      </w:r>
      <w:r w:rsidRPr="00F008F6">
        <w:rPr>
          <w:noProof/>
        </w:rPr>
      </w:r>
      <w:r w:rsidRPr="00F008F6">
        <w:rPr>
          <w:noProof/>
        </w:rPr>
        <w:fldChar w:fldCharType="separate"/>
      </w:r>
      <w:r w:rsidRPr="00F008F6">
        <w:rPr>
          <w:noProof/>
        </w:rPr>
        <w:t>130</w:t>
      </w:r>
      <w:r w:rsidRPr="00F008F6">
        <w:rPr>
          <w:noProof/>
        </w:rPr>
        <w:fldChar w:fldCharType="end"/>
      </w:r>
    </w:p>
    <w:p w14:paraId="7984B84E" w14:textId="323D505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41E</w:t>
      </w:r>
      <w:r>
        <w:rPr>
          <w:noProof/>
        </w:rPr>
        <w:tab/>
        <w:t>Acting members</w:t>
      </w:r>
      <w:r w:rsidRPr="00F008F6">
        <w:rPr>
          <w:noProof/>
        </w:rPr>
        <w:tab/>
      </w:r>
      <w:r w:rsidRPr="00F008F6">
        <w:rPr>
          <w:noProof/>
        </w:rPr>
        <w:fldChar w:fldCharType="begin"/>
      </w:r>
      <w:r w:rsidRPr="00F008F6">
        <w:rPr>
          <w:noProof/>
        </w:rPr>
        <w:instrText xml:space="preserve"> PAGEREF _Toc187135775 \h </w:instrText>
      </w:r>
      <w:r w:rsidRPr="00F008F6">
        <w:rPr>
          <w:noProof/>
        </w:rPr>
      </w:r>
      <w:r w:rsidRPr="00F008F6">
        <w:rPr>
          <w:noProof/>
        </w:rPr>
        <w:fldChar w:fldCharType="separate"/>
      </w:r>
      <w:r w:rsidRPr="00F008F6">
        <w:rPr>
          <w:noProof/>
        </w:rPr>
        <w:t>130</w:t>
      </w:r>
      <w:r w:rsidRPr="00F008F6">
        <w:rPr>
          <w:noProof/>
        </w:rPr>
        <w:fldChar w:fldCharType="end"/>
      </w:r>
    </w:p>
    <w:p w14:paraId="739F82FE" w14:textId="1DF88E1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41F</w:t>
      </w:r>
      <w:r>
        <w:rPr>
          <w:noProof/>
        </w:rPr>
        <w:tab/>
        <w:t>Committee procedures</w:t>
      </w:r>
      <w:r w:rsidRPr="00F008F6">
        <w:rPr>
          <w:noProof/>
        </w:rPr>
        <w:tab/>
      </w:r>
      <w:r w:rsidRPr="00F008F6">
        <w:rPr>
          <w:noProof/>
        </w:rPr>
        <w:fldChar w:fldCharType="begin"/>
      </w:r>
      <w:r w:rsidRPr="00F008F6">
        <w:rPr>
          <w:noProof/>
        </w:rPr>
        <w:instrText xml:space="preserve"> PAGEREF _Toc187135776 \h </w:instrText>
      </w:r>
      <w:r w:rsidRPr="00F008F6">
        <w:rPr>
          <w:noProof/>
        </w:rPr>
      </w:r>
      <w:r w:rsidRPr="00F008F6">
        <w:rPr>
          <w:noProof/>
        </w:rPr>
        <w:fldChar w:fldCharType="separate"/>
      </w:r>
      <w:r w:rsidRPr="00F008F6">
        <w:rPr>
          <w:noProof/>
        </w:rPr>
        <w:t>130</w:t>
      </w:r>
      <w:r w:rsidRPr="00F008F6">
        <w:rPr>
          <w:noProof/>
        </w:rPr>
        <w:fldChar w:fldCharType="end"/>
      </w:r>
    </w:p>
    <w:p w14:paraId="49713173" w14:textId="454B2D60"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41G</w:t>
      </w:r>
      <w:r>
        <w:rPr>
          <w:noProof/>
        </w:rPr>
        <w:tab/>
        <w:t>Meetings</w:t>
      </w:r>
      <w:r w:rsidRPr="00F008F6">
        <w:rPr>
          <w:noProof/>
        </w:rPr>
        <w:tab/>
      </w:r>
      <w:r w:rsidRPr="00F008F6">
        <w:rPr>
          <w:noProof/>
        </w:rPr>
        <w:fldChar w:fldCharType="begin"/>
      </w:r>
      <w:r w:rsidRPr="00F008F6">
        <w:rPr>
          <w:noProof/>
        </w:rPr>
        <w:instrText xml:space="preserve"> PAGEREF _Toc187135777 \h </w:instrText>
      </w:r>
      <w:r w:rsidRPr="00F008F6">
        <w:rPr>
          <w:noProof/>
        </w:rPr>
      </w:r>
      <w:r w:rsidRPr="00F008F6">
        <w:rPr>
          <w:noProof/>
        </w:rPr>
        <w:fldChar w:fldCharType="separate"/>
      </w:r>
      <w:r w:rsidRPr="00F008F6">
        <w:rPr>
          <w:noProof/>
        </w:rPr>
        <w:t>130</w:t>
      </w:r>
      <w:r w:rsidRPr="00F008F6">
        <w:rPr>
          <w:noProof/>
        </w:rPr>
        <w:fldChar w:fldCharType="end"/>
      </w:r>
    </w:p>
    <w:p w14:paraId="1682E744" w14:textId="7C9003FE"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41H</w:t>
      </w:r>
      <w:r>
        <w:rPr>
          <w:noProof/>
        </w:rPr>
        <w:tab/>
        <w:t>Presiding member</w:t>
      </w:r>
      <w:r w:rsidRPr="00F008F6">
        <w:rPr>
          <w:noProof/>
        </w:rPr>
        <w:tab/>
      </w:r>
      <w:r w:rsidRPr="00F008F6">
        <w:rPr>
          <w:noProof/>
        </w:rPr>
        <w:fldChar w:fldCharType="begin"/>
      </w:r>
      <w:r w:rsidRPr="00F008F6">
        <w:rPr>
          <w:noProof/>
        </w:rPr>
        <w:instrText xml:space="preserve"> PAGEREF _Toc187135778 \h </w:instrText>
      </w:r>
      <w:r w:rsidRPr="00F008F6">
        <w:rPr>
          <w:noProof/>
        </w:rPr>
      </w:r>
      <w:r w:rsidRPr="00F008F6">
        <w:rPr>
          <w:noProof/>
        </w:rPr>
        <w:fldChar w:fldCharType="separate"/>
      </w:r>
      <w:r w:rsidRPr="00F008F6">
        <w:rPr>
          <w:noProof/>
        </w:rPr>
        <w:t>131</w:t>
      </w:r>
      <w:r w:rsidRPr="00F008F6">
        <w:rPr>
          <w:noProof/>
        </w:rPr>
        <w:fldChar w:fldCharType="end"/>
      </w:r>
    </w:p>
    <w:p w14:paraId="36EED10E" w14:textId="6A0DEAD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41I</w:t>
      </w:r>
      <w:r>
        <w:rPr>
          <w:noProof/>
        </w:rPr>
        <w:tab/>
        <w:t>Quorum</w:t>
      </w:r>
      <w:r w:rsidRPr="00F008F6">
        <w:rPr>
          <w:noProof/>
        </w:rPr>
        <w:tab/>
      </w:r>
      <w:r w:rsidRPr="00F008F6">
        <w:rPr>
          <w:noProof/>
        </w:rPr>
        <w:fldChar w:fldCharType="begin"/>
      </w:r>
      <w:r w:rsidRPr="00F008F6">
        <w:rPr>
          <w:noProof/>
        </w:rPr>
        <w:instrText xml:space="preserve"> PAGEREF _Toc187135779 \h </w:instrText>
      </w:r>
      <w:r w:rsidRPr="00F008F6">
        <w:rPr>
          <w:noProof/>
        </w:rPr>
      </w:r>
      <w:r w:rsidRPr="00F008F6">
        <w:rPr>
          <w:noProof/>
        </w:rPr>
        <w:fldChar w:fldCharType="separate"/>
      </w:r>
      <w:r w:rsidRPr="00F008F6">
        <w:rPr>
          <w:noProof/>
        </w:rPr>
        <w:t>131</w:t>
      </w:r>
      <w:r w:rsidRPr="00F008F6">
        <w:rPr>
          <w:noProof/>
        </w:rPr>
        <w:fldChar w:fldCharType="end"/>
      </w:r>
    </w:p>
    <w:p w14:paraId="02D6C627" w14:textId="3D9C3FAB"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41J</w:t>
      </w:r>
      <w:r>
        <w:rPr>
          <w:noProof/>
        </w:rPr>
        <w:tab/>
        <w:t>Voting</w:t>
      </w:r>
      <w:r w:rsidRPr="00F008F6">
        <w:rPr>
          <w:noProof/>
        </w:rPr>
        <w:tab/>
      </w:r>
      <w:r w:rsidRPr="00F008F6">
        <w:rPr>
          <w:noProof/>
        </w:rPr>
        <w:fldChar w:fldCharType="begin"/>
      </w:r>
      <w:r w:rsidRPr="00F008F6">
        <w:rPr>
          <w:noProof/>
        </w:rPr>
        <w:instrText xml:space="preserve"> PAGEREF _Toc187135780 \h </w:instrText>
      </w:r>
      <w:r w:rsidRPr="00F008F6">
        <w:rPr>
          <w:noProof/>
        </w:rPr>
      </w:r>
      <w:r w:rsidRPr="00F008F6">
        <w:rPr>
          <w:noProof/>
        </w:rPr>
        <w:fldChar w:fldCharType="separate"/>
      </w:r>
      <w:r w:rsidRPr="00F008F6">
        <w:rPr>
          <w:noProof/>
        </w:rPr>
        <w:t>131</w:t>
      </w:r>
      <w:r w:rsidRPr="00F008F6">
        <w:rPr>
          <w:noProof/>
        </w:rPr>
        <w:fldChar w:fldCharType="end"/>
      </w:r>
    </w:p>
    <w:p w14:paraId="047C8543" w14:textId="66249FA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w:t>
      </w:r>
      <w:r>
        <w:rPr>
          <w:noProof/>
        </w:rPr>
        <w:tab/>
        <w:t>Miscellaneous</w:t>
      </w:r>
      <w:r w:rsidRPr="00F008F6">
        <w:rPr>
          <w:noProof/>
        </w:rPr>
        <w:tab/>
      </w:r>
      <w:r w:rsidRPr="00F008F6">
        <w:rPr>
          <w:noProof/>
        </w:rPr>
        <w:fldChar w:fldCharType="begin"/>
      </w:r>
      <w:r w:rsidRPr="00F008F6">
        <w:rPr>
          <w:noProof/>
        </w:rPr>
        <w:instrText xml:space="preserve"> PAGEREF _Toc187135781 \h </w:instrText>
      </w:r>
      <w:r w:rsidRPr="00F008F6">
        <w:rPr>
          <w:noProof/>
        </w:rPr>
      </w:r>
      <w:r w:rsidRPr="00F008F6">
        <w:rPr>
          <w:noProof/>
        </w:rPr>
        <w:fldChar w:fldCharType="separate"/>
      </w:r>
      <w:r w:rsidRPr="00F008F6">
        <w:rPr>
          <w:noProof/>
        </w:rPr>
        <w:t>131</w:t>
      </w:r>
      <w:r w:rsidRPr="00F008F6">
        <w:rPr>
          <w:noProof/>
        </w:rPr>
        <w:fldChar w:fldCharType="end"/>
      </w:r>
    </w:p>
    <w:p w14:paraId="38110C92" w14:textId="29FD6ADE" w:rsidR="00F008F6" w:rsidRDefault="00F008F6" w:rsidP="00EF338C">
      <w:pPr>
        <w:pStyle w:val="TOC3"/>
        <w:keepLines w:val="0"/>
        <w:rPr>
          <w:rFonts w:asciiTheme="minorHAnsi" w:eastAsiaTheme="minorEastAsia" w:hAnsiTheme="minorHAnsi" w:cstheme="minorBidi"/>
          <w:b w:val="0"/>
          <w:noProof/>
          <w:kern w:val="2"/>
          <w:sz w:val="24"/>
          <w:szCs w:val="24"/>
          <w14:ligatures w14:val="standardContextual"/>
        </w:rPr>
      </w:pPr>
      <w:r>
        <w:rPr>
          <w:noProof/>
        </w:rPr>
        <w:lastRenderedPageBreak/>
        <w:t>Division 3A—Advisory Committee on Medicines Scheduling</w:t>
      </w:r>
      <w:r w:rsidRPr="00F008F6">
        <w:rPr>
          <w:b w:val="0"/>
          <w:noProof/>
          <w:sz w:val="18"/>
        </w:rPr>
        <w:tab/>
      </w:r>
      <w:r w:rsidRPr="00F008F6">
        <w:rPr>
          <w:b w:val="0"/>
          <w:noProof/>
          <w:sz w:val="18"/>
        </w:rPr>
        <w:fldChar w:fldCharType="begin"/>
      </w:r>
      <w:r w:rsidRPr="00F008F6">
        <w:rPr>
          <w:b w:val="0"/>
          <w:noProof/>
          <w:sz w:val="18"/>
        </w:rPr>
        <w:instrText xml:space="preserve"> PAGEREF _Toc187135782 \h </w:instrText>
      </w:r>
      <w:r w:rsidRPr="00F008F6">
        <w:rPr>
          <w:b w:val="0"/>
          <w:noProof/>
          <w:sz w:val="18"/>
        </w:rPr>
      </w:r>
      <w:r w:rsidRPr="00F008F6">
        <w:rPr>
          <w:b w:val="0"/>
          <w:noProof/>
          <w:sz w:val="18"/>
        </w:rPr>
        <w:fldChar w:fldCharType="separate"/>
      </w:r>
      <w:r w:rsidRPr="00F008F6">
        <w:rPr>
          <w:b w:val="0"/>
          <w:noProof/>
          <w:sz w:val="18"/>
        </w:rPr>
        <w:t>133</w:t>
      </w:r>
      <w:r w:rsidRPr="00F008F6">
        <w:rPr>
          <w:b w:val="0"/>
          <w:noProof/>
          <w:sz w:val="18"/>
        </w:rPr>
        <w:fldChar w:fldCharType="end"/>
      </w:r>
    </w:p>
    <w:p w14:paraId="011C147A" w14:textId="566015DF" w:rsidR="00F008F6" w:rsidRDefault="00F008F6" w:rsidP="00EF338C">
      <w:pPr>
        <w:pStyle w:val="TOC4"/>
        <w:keepNext/>
        <w:keepLines w:val="0"/>
        <w:rPr>
          <w:rFonts w:asciiTheme="minorHAnsi" w:eastAsiaTheme="minorEastAsia" w:hAnsiTheme="minorHAnsi" w:cstheme="minorBidi"/>
          <w:b w:val="0"/>
          <w:noProof/>
          <w:kern w:val="2"/>
          <w:sz w:val="24"/>
          <w:szCs w:val="24"/>
          <w14:ligatures w14:val="standardContextual"/>
        </w:rPr>
      </w:pPr>
      <w:r>
        <w:rPr>
          <w:noProof/>
        </w:rPr>
        <w:t>Subdivision 3A.1—Preliminary</w:t>
      </w:r>
      <w:r w:rsidRPr="00F008F6">
        <w:rPr>
          <w:b w:val="0"/>
          <w:noProof/>
          <w:sz w:val="18"/>
        </w:rPr>
        <w:tab/>
      </w:r>
      <w:r w:rsidRPr="00F008F6">
        <w:rPr>
          <w:b w:val="0"/>
          <w:noProof/>
          <w:sz w:val="18"/>
        </w:rPr>
        <w:fldChar w:fldCharType="begin"/>
      </w:r>
      <w:r w:rsidRPr="00F008F6">
        <w:rPr>
          <w:b w:val="0"/>
          <w:noProof/>
          <w:sz w:val="18"/>
        </w:rPr>
        <w:instrText xml:space="preserve"> PAGEREF _Toc187135783 \h </w:instrText>
      </w:r>
      <w:r w:rsidRPr="00F008F6">
        <w:rPr>
          <w:b w:val="0"/>
          <w:noProof/>
          <w:sz w:val="18"/>
        </w:rPr>
      </w:r>
      <w:r w:rsidRPr="00F008F6">
        <w:rPr>
          <w:b w:val="0"/>
          <w:noProof/>
          <w:sz w:val="18"/>
        </w:rPr>
        <w:fldChar w:fldCharType="separate"/>
      </w:r>
      <w:r w:rsidRPr="00F008F6">
        <w:rPr>
          <w:b w:val="0"/>
          <w:noProof/>
          <w:sz w:val="18"/>
        </w:rPr>
        <w:t>133</w:t>
      </w:r>
      <w:r w:rsidRPr="00F008F6">
        <w:rPr>
          <w:b w:val="0"/>
          <w:noProof/>
          <w:sz w:val="18"/>
        </w:rPr>
        <w:fldChar w:fldCharType="end"/>
      </w:r>
    </w:p>
    <w:p w14:paraId="2D4A2F8A" w14:textId="5F83930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42ZCA</w:t>
      </w:r>
      <w:r>
        <w:rPr>
          <w:noProof/>
        </w:rPr>
        <w:tab/>
        <w:t>Definitions for Division 3A</w:t>
      </w:r>
      <w:r w:rsidRPr="00F008F6">
        <w:rPr>
          <w:noProof/>
        </w:rPr>
        <w:tab/>
      </w:r>
      <w:r w:rsidRPr="00F008F6">
        <w:rPr>
          <w:noProof/>
        </w:rPr>
        <w:fldChar w:fldCharType="begin"/>
      </w:r>
      <w:r w:rsidRPr="00F008F6">
        <w:rPr>
          <w:noProof/>
        </w:rPr>
        <w:instrText xml:space="preserve"> PAGEREF _Toc187135784 \h </w:instrText>
      </w:r>
      <w:r w:rsidRPr="00F008F6">
        <w:rPr>
          <w:noProof/>
        </w:rPr>
      </w:r>
      <w:r w:rsidRPr="00F008F6">
        <w:rPr>
          <w:noProof/>
        </w:rPr>
        <w:fldChar w:fldCharType="separate"/>
      </w:r>
      <w:r w:rsidRPr="00F008F6">
        <w:rPr>
          <w:noProof/>
        </w:rPr>
        <w:t>133</w:t>
      </w:r>
      <w:r w:rsidRPr="00F008F6">
        <w:rPr>
          <w:noProof/>
        </w:rPr>
        <w:fldChar w:fldCharType="end"/>
      </w:r>
    </w:p>
    <w:p w14:paraId="120E82D9" w14:textId="5ECDE872" w:rsidR="00F008F6" w:rsidRDefault="00F008F6" w:rsidP="00EF338C">
      <w:pPr>
        <w:pStyle w:val="TOC4"/>
        <w:keepLines w:val="0"/>
        <w:rPr>
          <w:rFonts w:asciiTheme="minorHAnsi" w:eastAsiaTheme="minorEastAsia" w:hAnsiTheme="minorHAnsi" w:cstheme="minorBidi"/>
          <w:b w:val="0"/>
          <w:noProof/>
          <w:kern w:val="2"/>
          <w:sz w:val="24"/>
          <w:szCs w:val="24"/>
          <w14:ligatures w14:val="standardContextual"/>
        </w:rPr>
      </w:pPr>
      <w:r>
        <w:rPr>
          <w:noProof/>
        </w:rPr>
        <w:t>Subdivision 3A.2—Constitution of Committee</w:t>
      </w:r>
      <w:r w:rsidRPr="00F008F6">
        <w:rPr>
          <w:b w:val="0"/>
          <w:noProof/>
          <w:sz w:val="18"/>
        </w:rPr>
        <w:tab/>
      </w:r>
      <w:r w:rsidRPr="00F008F6">
        <w:rPr>
          <w:b w:val="0"/>
          <w:noProof/>
          <w:sz w:val="18"/>
        </w:rPr>
        <w:fldChar w:fldCharType="begin"/>
      </w:r>
      <w:r w:rsidRPr="00F008F6">
        <w:rPr>
          <w:b w:val="0"/>
          <w:noProof/>
          <w:sz w:val="18"/>
        </w:rPr>
        <w:instrText xml:space="preserve"> PAGEREF _Toc187135785 \h </w:instrText>
      </w:r>
      <w:r w:rsidRPr="00F008F6">
        <w:rPr>
          <w:b w:val="0"/>
          <w:noProof/>
          <w:sz w:val="18"/>
        </w:rPr>
      </w:r>
      <w:r w:rsidRPr="00F008F6">
        <w:rPr>
          <w:b w:val="0"/>
          <w:noProof/>
          <w:sz w:val="18"/>
        </w:rPr>
        <w:fldChar w:fldCharType="separate"/>
      </w:r>
      <w:r w:rsidRPr="00F008F6">
        <w:rPr>
          <w:b w:val="0"/>
          <w:noProof/>
          <w:sz w:val="18"/>
        </w:rPr>
        <w:t>133</w:t>
      </w:r>
      <w:r w:rsidRPr="00F008F6">
        <w:rPr>
          <w:b w:val="0"/>
          <w:noProof/>
          <w:sz w:val="18"/>
        </w:rPr>
        <w:fldChar w:fldCharType="end"/>
      </w:r>
    </w:p>
    <w:p w14:paraId="51BE8946" w14:textId="4625B639"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42ZCB</w:t>
      </w:r>
      <w:r>
        <w:rPr>
          <w:noProof/>
        </w:rPr>
        <w:tab/>
        <w:t>Membership of Committee</w:t>
      </w:r>
      <w:r w:rsidRPr="00F008F6">
        <w:rPr>
          <w:noProof/>
        </w:rPr>
        <w:tab/>
      </w:r>
      <w:r w:rsidRPr="00F008F6">
        <w:rPr>
          <w:noProof/>
        </w:rPr>
        <w:fldChar w:fldCharType="begin"/>
      </w:r>
      <w:r w:rsidRPr="00F008F6">
        <w:rPr>
          <w:noProof/>
        </w:rPr>
        <w:instrText xml:space="preserve"> PAGEREF _Toc187135786 \h </w:instrText>
      </w:r>
      <w:r w:rsidRPr="00F008F6">
        <w:rPr>
          <w:noProof/>
        </w:rPr>
      </w:r>
      <w:r w:rsidRPr="00F008F6">
        <w:rPr>
          <w:noProof/>
        </w:rPr>
        <w:fldChar w:fldCharType="separate"/>
      </w:r>
      <w:r w:rsidRPr="00F008F6">
        <w:rPr>
          <w:noProof/>
        </w:rPr>
        <w:t>133</w:t>
      </w:r>
      <w:r w:rsidRPr="00F008F6">
        <w:rPr>
          <w:noProof/>
        </w:rPr>
        <w:fldChar w:fldCharType="end"/>
      </w:r>
    </w:p>
    <w:p w14:paraId="15A51ABC" w14:textId="55D28E59"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42ZCC</w:t>
      </w:r>
      <w:r>
        <w:rPr>
          <w:noProof/>
        </w:rPr>
        <w:tab/>
        <w:t>Committee members</w:t>
      </w:r>
      <w:r w:rsidRPr="00F008F6">
        <w:rPr>
          <w:noProof/>
        </w:rPr>
        <w:tab/>
      </w:r>
      <w:r w:rsidRPr="00F008F6">
        <w:rPr>
          <w:noProof/>
        </w:rPr>
        <w:fldChar w:fldCharType="begin"/>
      </w:r>
      <w:r w:rsidRPr="00F008F6">
        <w:rPr>
          <w:noProof/>
        </w:rPr>
        <w:instrText xml:space="preserve"> PAGEREF _Toc187135787 \h </w:instrText>
      </w:r>
      <w:r w:rsidRPr="00F008F6">
        <w:rPr>
          <w:noProof/>
        </w:rPr>
      </w:r>
      <w:r w:rsidRPr="00F008F6">
        <w:rPr>
          <w:noProof/>
        </w:rPr>
        <w:fldChar w:fldCharType="separate"/>
      </w:r>
      <w:r w:rsidRPr="00F008F6">
        <w:rPr>
          <w:noProof/>
        </w:rPr>
        <w:t>133</w:t>
      </w:r>
      <w:r w:rsidRPr="00F008F6">
        <w:rPr>
          <w:noProof/>
        </w:rPr>
        <w:fldChar w:fldCharType="end"/>
      </w:r>
    </w:p>
    <w:p w14:paraId="79FF676C" w14:textId="1D4BBE41"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42ZCD</w:t>
      </w:r>
      <w:r>
        <w:rPr>
          <w:noProof/>
        </w:rPr>
        <w:tab/>
        <w:t>Appointed members</w:t>
      </w:r>
      <w:r w:rsidRPr="00F008F6">
        <w:rPr>
          <w:noProof/>
        </w:rPr>
        <w:tab/>
      </w:r>
      <w:r w:rsidRPr="00F008F6">
        <w:rPr>
          <w:noProof/>
        </w:rPr>
        <w:fldChar w:fldCharType="begin"/>
      </w:r>
      <w:r w:rsidRPr="00F008F6">
        <w:rPr>
          <w:noProof/>
        </w:rPr>
        <w:instrText xml:space="preserve"> PAGEREF _Toc187135788 \h </w:instrText>
      </w:r>
      <w:r w:rsidRPr="00F008F6">
        <w:rPr>
          <w:noProof/>
        </w:rPr>
      </w:r>
      <w:r w:rsidRPr="00F008F6">
        <w:rPr>
          <w:noProof/>
        </w:rPr>
        <w:fldChar w:fldCharType="separate"/>
      </w:r>
      <w:r w:rsidRPr="00F008F6">
        <w:rPr>
          <w:noProof/>
        </w:rPr>
        <w:t>133</w:t>
      </w:r>
      <w:r w:rsidRPr="00F008F6">
        <w:rPr>
          <w:noProof/>
        </w:rPr>
        <w:fldChar w:fldCharType="end"/>
      </w:r>
    </w:p>
    <w:p w14:paraId="562FA53A" w14:textId="776A801E"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42ZCE</w:t>
      </w:r>
      <w:r>
        <w:rPr>
          <w:noProof/>
        </w:rPr>
        <w:tab/>
        <w:t>Nominated members</w:t>
      </w:r>
      <w:r w:rsidRPr="00F008F6">
        <w:rPr>
          <w:noProof/>
        </w:rPr>
        <w:tab/>
      </w:r>
      <w:r w:rsidRPr="00F008F6">
        <w:rPr>
          <w:noProof/>
        </w:rPr>
        <w:fldChar w:fldCharType="begin"/>
      </w:r>
      <w:r w:rsidRPr="00F008F6">
        <w:rPr>
          <w:noProof/>
        </w:rPr>
        <w:instrText xml:space="preserve"> PAGEREF _Toc187135789 \h </w:instrText>
      </w:r>
      <w:r w:rsidRPr="00F008F6">
        <w:rPr>
          <w:noProof/>
        </w:rPr>
      </w:r>
      <w:r w:rsidRPr="00F008F6">
        <w:rPr>
          <w:noProof/>
        </w:rPr>
        <w:fldChar w:fldCharType="separate"/>
      </w:r>
      <w:r w:rsidRPr="00F008F6">
        <w:rPr>
          <w:noProof/>
        </w:rPr>
        <w:t>134</w:t>
      </w:r>
      <w:r w:rsidRPr="00F008F6">
        <w:rPr>
          <w:noProof/>
        </w:rPr>
        <w:fldChar w:fldCharType="end"/>
      </w:r>
    </w:p>
    <w:p w14:paraId="7CE279CF" w14:textId="6876477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42ZCF</w:t>
      </w:r>
      <w:r>
        <w:rPr>
          <w:noProof/>
        </w:rPr>
        <w:tab/>
        <w:t>Appointment of the Chair and acting Chair</w:t>
      </w:r>
      <w:r w:rsidRPr="00F008F6">
        <w:rPr>
          <w:noProof/>
        </w:rPr>
        <w:tab/>
      </w:r>
      <w:r w:rsidRPr="00F008F6">
        <w:rPr>
          <w:noProof/>
        </w:rPr>
        <w:fldChar w:fldCharType="begin"/>
      </w:r>
      <w:r w:rsidRPr="00F008F6">
        <w:rPr>
          <w:noProof/>
        </w:rPr>
        <w:instrText xml:space="preserve"> PAGEREF _Toc187135790 \h </w:instrText>
      </w:r>
      <w:r w:rsidRPr="00F008F6">
        <w:rPr>
          <w:noProof/>
        </w:rPr>
      </w:r>
      <w:r w:rsidRPr="00F008F6">
        <w:rPr>
          <w:noProof/>
        </w:rPr>
        <w:fldChar w:fldCharType="separate"/>
      </w:r>
      <w:r w:rsidRPr="00F008F6">
        <w:rPr>
          <w:noProof/>
        </w:rPr>
        <w:t>134</w:t>
      </w:r>
      <w:r w:rsidRPr="00F008F6">
        <w:rPr>
          <w:noProof/>
        </w:rPr>
        <w:fldChar w:fldCharType="end"/>
      </w:r>
    </w:p>
    <w:p w14:paraId="1767EEF1" w14:textId="46A24A0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42ZCG</w:t>
      </w:r>
      <w:r>
        <w:rPr>
          <w:noProof/>
        </w:rPr>
        <w:tab/>
        <w:t>Resignation or vacancy</w:t>
      </w:r>
      <w:r w:rsidRPr="00F008F6">
        <w:rPr>
          <w:noProof/>
        </w:rPr>
        <w:tab/>
      </w:r>
      <w:r w:rsidRPr="00F008F6">
        <w:rPr>
          <w:noProof/>
        </w:rPr>
        <w:fldChar w:fldCharType="begin"/>
      </w:r>
      <w:r w:rsidRPr="00F008F6">
        <w:rPr>
          <w:noProof/>
        </w:rPr>
        <w:instrText xml:space="preserve"> PAGEREF _Toc187135791 \h </w:instrText>
      </w:r>
      <w:r w:rsidRPr="00F008F6">
        <w:rPr>
          <w:noProof/>
        </w:rPr>
      </w:r>
      <w:r w:rsidRPr="00F008F6">
        <w:rPr>
          <w:noProof/>
        </w:rPr>
        <w:fldChar w:fldCharType="separate"/>
      </w:r>
      <w:r w:rsidRPr="00F008F6">
        <w:rPr>
          <w:noProof/>
        </w:rPr>
        <w:t>135</w:t>
      </w:r>
      <w:r w:rsidRPr="00F008F6">
        <w:rPr>
          <w:noProof/>
        </w:rPr>
        <w:fldChar w:fldCharType="end"/>
      </w:r>
    </w:p>
    <w:p w14:paraId="09464708" w14:textId="7FC99630"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42ZCH</w:t>
      </w:r>
      <w:r>
        <w:rPr>
          <w:noProof/>
        </w:rPr>
        <w:tab/>
        <w:t>Termination of appointment</w:t>
      </w:r>
      <w:r w:rsidRPr="00F008F6">
        <w:rPr>
          <w:noProof/>
        </w:rPr>
        <w:tab/>
      </w:r>
      <w:r w:rsidRPr="00F008F6">
        <w:rPr>
          <w:noProof/>
        </w:rPr>
        <w:fldChar w:fldCharType="begin"/>
      </w:r>
      <w:r w:rsidRPr="00F008F6">
        <w:rPr>
          <w:noProof/>
        </w:rPr>
        <w:instrText xml:space="preserve"> PAGEREF _Toc187135792 \h </w:instrText>
      </w:r>
      <w:r w:rsidRPr="00F008F6">
        <w:rPr>
          <w:noProof/>
        </w:rPr>
      </w:r>
      <w:r w:rsidRPr="00F008F6">
        <w:rPr>
          <w:noProof/>
        </w:rPr>
        <w:fldChar w:fldCharType="separate"/>
      </w:r>
      <w:r w:rsidRPr="00F008F6">
        <w:rPr>
          <w:noProof/>
        </w:rPr>
        <w:t>135</w:t>
      </w:r>
      <w:r w:rsidRPr="00F008F6">
        <w:rPr>
          <w:noProof/>
        </w:rPr>
        <w:fldChar w:fldCharType="end"/>
      </w:r>
    </w:p>
    <w:p w14:paraId="681FA936" w14:textId="0139759C"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42ZCI</w:t>
      </w:r>
      <w:r>
        <w:rPr>
          <w:noProof/>
        </w:rPr>
        <w:tab/>
        <w:t>Leave of absence</w:t>
      </w:r>
      <w:r w:rsidRPr="00F008F6">
        <w:rPr>
          <w:noProof/>
        </w:rPr>
        <w:tab/>
      </w:r>
      <w:r w:rsidRPr="00F008F6">
        <w:rPr>
          <w:noProof/>
        </w:rPr>
        <w:fldChar w:fldCharType="begin"/>
      </w:r>
      <w:r w:rsidRPr="00F008F6">
        <w:rPr>
          <w:noProof/>
        </w:rPr>
        <w:instrText xml:space="preserve"> PAGEREF _Toc187135793 \h </w:instrText>
      </w:r>
      <w:r w:rsidRPr="00F008F6">
        <w:rPr>
          <w:noProof/>
        </w:rPr>
      </w:r>
      <w:r w:rsidRPr="00F008F6">
        <w:rPr>
          <w:noProof/>
        </w:rPr>
        <w:fldChar w:fldCharType="separate"/>
      </w:r>
      <w:r w:rsidRPr="00F008F6">
        <w:rPr>
          <w:noProof/>
        </w:rPr>
        <w:t>135</w:t>
      </w:r>
      <w:r w:rsidRPr="00F008F6">
        <w:rPr>
          <w:noProof/>
        </w:rPr>
        <w:fldChar w:fldCharType="end"/>
      </w:r>
    </w:p>
    <w:p w14:paraId="21AB7C5F" w14:textId="00CB8BA7"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42ZCJ</w:t>
      </w:r>
      <w:r>
        <w:rPr>
          <w:noProof/>
        </w:rPr>
        <w:tab/>
        <w:t>Acting members</w:t>
      </w:r>
      <w:r w:rsidRPr="00F008F6">
        <w:rPr>
          <w:noProof/>
        </w:rPr>
        <w:tab/>
      </w:r>
      <w:r w:rsidRPr="00F008F6">
        <w:rPr>
          <w:noProof/>
        </w:rPr>
        <w:fldChar w:fldCharType="begin"/>
      </w:r>
      <w:r w:rsidRPr="00F008F6">
        <w:rPr>
          <w:noProof/>
        </w:rPr>
        <w:instrText xml:space="preserve"> PAGEREF _Toc187135794 \h </w:instrText>
      </w:r>
      <w:r w:rsidRPr="00F008F6">
        <w:rPr>
          <w:noProof/>
        </w:rPr>
      </w:r>
      <w:r w:rsidRPr="00F008F6">
        <w:rPr>
          <w:noProof/>
        </w:rPr>
        <w:fldChar w:fldCharType="separate"/>
      </w:r>
      <w:r w:rsidRPr="00F008F6">
        <w:rPr>
          <w:noProof/>
        </w:rPr>
        <w:t>135</w:t>
      </w:r>
      <w:r w:rsidRPr="00F008F6">
        <w:rPr>
          <w:noProof/>
        </w:rPr>
        <w:fldChar w:fldCharType="end"/>
      </w:r>
    </w:p>
    <w:p w14:paraId="4ACF16BD" w14:textId="04C29B31" w:rsidR="00F008F6" w:rsidRDefault="00F008F6" w:rsidP="00EF338C">
      <w:pPr>
        <w:pStyle w:val="TOC4"/>
        <w:keepLines w:val="0"/>
        <w:rPr>
          <w:rFonts w:asciiTheme="minorHAnsi" w:eastAsiaTheme="minorEastAsia" w:hAnsiTheme="minorHAnsi" w:cstheme="minorBidi"/>
          <w:b w:val="0"/>
          <w:noProof/>
          <w:kern w:val="2"/>
          <w:sz w:val="24"/>
          <w:szCs w:val="24"/>
          <w14:ligatures w14:val="standardContextual"/>
        </w:rPr>
      </w:pPr>
      <w:r>
        <w:rPr>
          <w:noProof/>
        </w:rPr>
        <w:t>Subdivision 3A.3—Committee meetings</w:t>
      </w:r>
      <w:r w:rsidRPr="00F008F6">
        <w:rPr>
          <w:b w:val="0"/>
          <w:noProof/>
          <w:sz w:val="18"/>
        </w:rPr>
        <w:tab/>
      </w:r>
      <w:r w:rsidRPr="00F008F6">
        <w:rPr>
          <w:b w:val="0"/>
          <w:noProof/>
          <w:sz w:val="18"/>
        </w:rPr>
        <w:fldChar w:fldCharType="begin"/>
      </w:r>
      <w:r w:rsidRPr="00F008F6">
        <w:rPr>
          <w:b w:val="0"/>
          <w:noProof/>
          <w:sz w:val="18"/>
        </w:rPr>
        <w:instrText xml:space="preserve"> PAGEREF _Toc187135795 \h </w:instrText>
      </w:r>
      <w:r w:rsidRPr="00F008F6">
        <w:rPr>
          <w:b w:val="0"/>
          <w:noProof/>
          <w:sz w:val="18"/>
        </w:rPr>
      </w:r>
      <w:r w:rsidRPr="00F008F6">
        <w:rPr>
          <w:b w:val="0"/>
          <w:noProof/>
          <w:sz w:val="18"/>
        </w:rPr>
        <w:fldChar w:fldCharType="separate"/>
      </w:r>
      <w:r w:rsidRPr="00F008F6">
        <w:rPr>
          <w:b w:val="0"/>
          <w:noProof/>
          <w:sz w:val="18"/>
        </w:rPr>
        <w:t>136</w:t>
      </w:r>
      <w:r w:rsidRPr="00F008F6">
        <w:rPr>
          <w:b w:val="0"/>
          <w:noProof/>
          <w:sz w:val="18"/>
        </w:rPr>
        <w:fldChar w:fldCharType="end"/>
      </w:r>
    </w:p>
    <w:p w14:paraId="05A81C6B" w14:textId="29E2386D"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42ZCK</w:t>
      </w:r>
      <w:r>
        <w:rPr>
          <w:noProof/>
        </w:rPr>
        <w:tab/>
        <w:t>Committee meetings</w:t>
      </w:r>
      <w:r w:rsidRPr="00F008F6">
        <w:rPr>
          <w:noProof/>
        </w:rPr>
        <w:tab/>
      </w:r>
      <w:r w:rsidRPr="00F008F6">
        <w:rPr>
          <w:noProof/>
        </w:rPr>
        <w:fldChar w:fldCharType="begin"/>
      </w:r>
      <w:r w:rsidRPr="00F008F6">
        <w:rPr>
          <w:noProof/>
        </w:rPr>
        <w:instrText xml:space="preserve"> PAGEREF _Toc187135796 \h </w:instrText>
      </w:r>
      <w:r w:rsidRPr="00F008F6">
        <w:rPr>
          <w:noProof/>
        </w:rPr>
      </w:r>
      <w:r w:rsidRPr="00F008F6">
        <w:rPr>
          <w:noProof/>
        </w:rPr>
        <w:fldChar w:fldCharType="separate"/>
      </w:r>
      <w:r w:rsidRPr="00F008F6">
        <w:rPr>
          <w:noProof/>
        </w:rPr>
        <w:t>136</w:t>
      </w:r>
      <w:r w:rsidRPr="00F008F6">
        <w:rPr>
          <w:noProof/>
        </w:rPr>
        <w:fldChar w:fldCharType="end"/>
      </w:r>
    </w:p>
    <w:p w14:paraId="1D56DA7D" w14:textId="73BC727E"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42ZCL</w:t>
      </w:r>
      <w:r>
        <w:rPr>
          <w:noProof/>
        </w:rPr>
        <w:tab/>
        <w:t>Meeting procedure</w:t>
      </w:r>
      <w:r w:rsidRPr="00F008F6">
        <w:rPr>
          <w:noProof/>
        </w:rPr>
        <w:tab/>
      </w:r>
      <w:r w:rsidRPr="00F008F6">
        <w:rPr>
          <w:noProof/>
        </w:rPr>
        <w:fldChar w:fldCharType="begin"/>
      </w:r>
      <w:r w:rsidRPr="00F008F6">
        <w:rPr>
          <w:noProof/>
        </w:rPr>
        <w:instrText xml:space="preserve"> PAGEREF _Toc187135797 \h </w:instrText>
      </w:r>
      <w:r w:rsidRPr="00F008F6">
        <w:rPr>
          <w:noProof/>
        </w:rPr>
      </w:r>
      <w:r w:rsidRPr="00F008F6">
        <w:rPr>
          <w:noProof/>
        </w:rPr>
        <w:fldChar w:fldCharType="separate"/>
      </w:r>
      <w:r w:rsidRPr="00F008F6">
        <w:rPr>
          <w:noProof/>
        </w:rPr>
        <w:t>136</w:t>
      </w:r>
      <w:r w:rsidRPr="00F008F6">
        <w:rPr>
          <w:noProof/>
        </w:rPr>
        <w:fldChar w:fldCharType="end"/>
      </w:r>
    </w:p>
    <w:p w14:paraId="2808A7EE" w14:textId="3B4D0A06"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42ZCM</w:t>
      </w:r>
      <w:r>
        <w:rPr>
          <w:noProof/>
        </w:rPr>
        <w:tab/>
        <w:t>Presiding member</w:t>
      </w:r>
      <w:r w:rsidRPr="00F008F6">
        <w:rPr>
          <w:noProof/>
        </w:rPr>
        <w:tab/>
      </w:r>
      <w:r w:rsidRPr="00F008F6">
        <w:rPr>
          <w:noProof/>
        </w:rPr>
        <w:fldChar w:fldCharType="begin"/>
      </w:r>
      <w:r w:rsidRPr="00F008F6">
        <w:rPr>
          <w:noProof/>
        </w:rPr>
        <w:instrText xml:space="preserve"> PAGEREF _Toc187135798 \h </w:instrText>
      </w:r>
      <w:r w:rsidRPr="00F008F6">
        <w:rPr>
          <w:noProof/>
        </w:rPr>
      </w:r>
      <w:r w:rsidRPr="00F008F6">
        <w:rPr>
          <w:noProof/>
        </w:rPr>
        <w:fldChar w:fldCharType="separate"/>
      </w:r>
      <w:r w:rsidRPr="00F008F6">
        <w:rPr>
          <w:noProof/>
        </w:rPr>
        <w:t>136</w:t>
      </w:r>
      <w:r w:rsidRPr="00F008F6">
        <w:rPr>
          <w:noProof/>
        </w:rPr>
        <w:fldChar w:fldCharType="end"/>
      </w:r>
    </w:p>
    <w:p w14:paraId="6F1F29FA" w14:textId="5D85615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42ZCN</w:t>
      </w:r>
      <w:r>
        <w:rPr>
          <w:noProof/>
        </w:rPr>
        <w:tab/>
        <w:t>Quorum</w:t>
      </w:r>
      <w:r w:rsidRPr="00F008F6">
        <w:rPr>
          <w:noProof/>
        </w:rPr>
        <w:tab/>
      </w:r>
      <w:r w:rsidRPr="00F008F6">
        <w:rPr>
          <w:noProof/>
        </w:rPr>
        <w:fldChar w:fldCharType="begin"/>
      </w:r>
      <w:r w:rsidRPr="00F008F6">
        <w:rPr>
          <w:noProof/>
        </w:rPr>
        <w:instrText xml:space="preserve"> PAGEREF _Toc187135799 \h </w:instrText>
      </w:r>
      <w:r w:rsidRPr="00F008F6">
        <w:rPr>
          <w:noProof/>
        </w:rPr>
      </w:r>
      <w:r w:rsidRPr="00F008F6">
        <w:rPr>
          <w:noProof/>
        </w:rPr>
        <w:fldChar w:fldCharType="separate"/>
      </w:r>
      <w:r w:rsidRPr="00F008F6">
        <w:rPr>
          <w:noProof/>
        </w:rPr>
        <w:t>137</w:t>
      </w:r>
      <w:r w:rsidRPr="00F008F6">
        <w:rPr>
          <w:noProof/>
        </w:rPr>
        <w:fldChar w:fldCharType="end"/>
      </w:r>
    </w:p>
    <w:p w14:paraId="199A57D4" w14:textId="171F1B6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42ZCO</w:t>
      </w:r>
      <w:r>
        <w:rPr>
          <w:noProof/>
        </w:rPr>
        <w:tab/>
        <w:t>Voting</w:t>
      </w:r>
      <w:r w:rsidRPr="00F008F6">
        <w:rPr>
          <w:noProof/>
        </w:rPr>
        <w:tab/>
      </w:r>
      <w:r w:rsidRPr="00F008F6">
        <w:rPr>
          <w:noProof/>
        </w:rPr>
        <w:fldChar w:fldCharType="begin"/>
      </w:r>
      <w:r w:rsidRPr="00F008F6">
        <w:rPr>
          <w:noProof/>
        </w:rPr>
        <w:instrText xml:space="preserve"> PAGEREF _Toc187135800 \h </w:instrText>
      </w:r>
      <w:r w:rsidRPr="00F008F6">
        <w:rPr>
          <w:noProof/>
        </w:rPr>
      </w:r>
      <w:r w:rsidRPr="00F008F6">
        <w:rPr>
          <w:noProof/>
        </w:rPr>
        <w:fldChar w:fldCharType="separate"/>
      </w:r>
      <w:r w:rsidRPr="00F008F6">
        <w:rPr>
          <w:noProof/>
        </w:rPr>
        <w:t>137</w:t>
      </w:r>
      <w:r w:rsidRPr="00F008F6">
        <w:rPr>
          <w:noProof/>
        </w:rPr>
        <w:fldChar w:fldCharType="end"/>
      </w:r>
    </w:p>
    <w:p w14:paraId="51282B2B" w14:textId="13A4347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42ZCP</w:t>
      </w:r>
      <w:r>
        <w:rPr>
          <w:noProof/>
        </w:rPr>
        <w:tab/>
        <w:t>Miscellaneous</w:t>
      </w:r>
      <w:r w:rsidRPr="00F008F6">
        <w:rPr>
          <w:noProof/>
        </w:rPr>
        <w:tab/>
      </w:r>
      <w:r w:rsidRPr="00F008F6">
        <w:rPr>
          <w:noProof/>
        </w:rPr>
        <w:fldChar w:fldCharType="begin"/>
      </w:r>
      <w:r w:rsidRPr="00F008F6">
        <w:rPr>
          <w:noProof/>
        </w:rPr>
        <w:instrText xml:space="preserve"> PAGEREF _Toc187135801 \h </w:instrText>
      </w:r>
      <w:r w:rsidRPr="00F008F6">
        <w:rPr>
          <w:noProof/>
        </w:rPr>
      </w:r>
      <w:r w:rsidRPr="00F008F6">
        <w:rPr>
          <w:noProof/>
        </w:rPr>
        <w:fldChar w:fldCharType="separate"/>
      </w:r>
      <w:r w:rsidRPr="00F008F6">
        <w:rPr>
          <w:noProof/>
        </w:rPr>
        <w:t>137</w:t>
      </w:r>
      <w:r w:rsidRPr="00F008F6">
        <w:rPr>
          <w:noProof/>
        </w:rPr>
        <w:fldChar w:fldCharType="end"/>
      </w:r>
    </w:p>
    <w:p w14:paraId="0D0CF195" w14:textId="31675DCE"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3B—Advisory Committee on Chemicals Scheduling</w:t>
      </w:r>
      <w:r w:rsidRPr="00F008F6">
        <w:rPr>
          <w:b w:val="0"/>
          <w:noProof/>
          <w:sz w:val="18"/>
        </w:rPr>
        <w:tab/>
      </w:r>
      <w:r w:rsidRPr="00F008F6">
        <w:rPr>
          <w:b w:val="0"/>
          <w:noProof/>
          <w:sz w:val="18"/>
        </w:rPr>
        <w:fldChar w:fldCharType="begin"/>
      </w:r>
      <w:r w:rsidRPr="00F008F6">
        <w:rPr>
          <w:b w:val="0"/>
          <w:noProof/>
          <w:sz w:val="18"/>
        </w:rPr>
        <w:instrText xml:space="preserve"> PAGEREF _Toc187135802 \h </w:instrText>
      </w:r>
      <w:r w:rsidRPr="00F008F6">
        <w:rPr>
          <w:b w:val="0"/>
          <w:noProof/>
          <w:sz w:val="18"/>
        </w:rPr>
      </w:r>
      <w:r w:rsidRPr="00F008F6">
        <w:rPr>
          <w:b w:val="0"/>
          <w:noProof/>
          <w:sz w:val="18"/>
        </w:rPr>
        <w:fldChar w:fldCharType="separate"/>
      </w:r>
      <w:r w:rsidRPr="00F008F6">
        <w:rPr>
          <w:b w:val="0"/>
          <w:noProof/>
          <w:sz w:val="18"/>
        </w:rPr>
        <w:t>139</w:t>
      </w:r>
      <w:r w:rsidRPr="00F008F6">
        <w:rPr>
          <w:b w:val="0"/>
          <w:noProof/>
          <w:sz w:val="18"/>
        </w:rPr>
        <w:fldChar w:fldCharType="end"/>
      </w:r>
    </w:p>
    <w:p w14:paraId="449C9641" w14:textId="6B8C81C4" w:rsidR="00F008F6" w:rsidRDefault="00F008F6" w:rsidP="00EF338C">
      <w:pPr>
        <w:pStyle w:val="TOC4"/>
        <w:keepLines w:val="0"/>
        <w:rPr>
          <w:rFonts w:asciiTheme="minorHAnsi" w:eastAsiaTheme="minorEastAsia" w:hAnsiTheme="minorHAnsi" w:cstheme="minorBidi"/>
          <w:b w:val="0"/>
          <w:noProof/>
          <w:kern w:val="2"/>
          <w:sz w:val="24"/>
          <w:szCs w:val="24"/>
          <w14:ligatures w14:val="standardContextual"/>
        </w:rPr>
      </w:pPr>
      <w:r>
        <w:rPr>
          <w:noProof/>
        </w:rPr>
        <w:t>Subdivision 3B.1—Preliminary</w:t>
      </w:r>
      <w:r w:rsidRPr="00F008F6">
        <w:rPr>
          <w:b w:val="0"/>
          <w:noProof/>
          <w:sz w:val="18"/>
        </w:rPr>
        <w:tab/>
      </w:r>
      <w:r w:rsidRPr="00F008F6">
        <w:rPr>
          <w:b w:val="0"/>
          <w:noProof/>
          <w:sz w:val="18"/>
        </w:rPr>
        <w:fldChar w:fldCharType="begin"/>
      </w:r>
      <w:r w:rsidRPr="00F008F6">
        <w:rPr>
          <w:b w:val="0"/>
          <w:noProof/>
          <w:sz w:val="18"/>
        </w:rPr>
        <w:instrText xml:space="preserve"> PAGEREF _Toc187135803 \h </w:instrText>
      </w:r>
      <w:r w:rsidRPr="00F008F6">
        <w:rPr>
          <w:b w:val="0"/>
          <w:noProof/>
          <w:sz w:val="18"/>
        </w:rPr>
      </w:r>
      <w:r w:rsidRPr="00F008F6">
        <w:rPr>
          <w:b w:val="0"/>
          <w:noProof/>
          <w:sz w:val="18"/>
        </w:rPr>
        <w:fldChar w:fldCharType="separate"/>
      </w:r>
      <w:r w:rsidRPr="00F008F6">
        <w:rPr>
          <w:b w:val="0"/>
          <w:noProof/>
          <w:sz w:val="18"/>
        </w:rPr>
        <w:t>139</w:t>
      </w:r>
      <w:r w:rsidRPr="00F008F6">
        <w:rPr>
          <w:b w:val="0"/>
          <w:noProof/>
          <w:sz w:val="18"/>
        </w:rPr>
        <w:fldChar w:fldCharType="end"/>
      </w:r>
    </w:p>
    <w:p w14:paraId="463D0D23" w14:textId="585C9AC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42ZCQ</w:t>
      </w:r>
      <w:r>
        <w:rPr>
          <w:noProof/>
        </w:rPr>
        <w:tab/>
        <w:t>Definitions for Division 3B</w:t>
      </w:r>
      <w:r w:rsidRPr="00F008F6">
        <w:rPr>
          <w:noProof/>
        </w:rPr>
        <w:tab/>
      </w:r>
      <w:r w:rsidRPr="00F008F6">
        <w:rPr>
          <w:noProof/>
        </w:rPr>
        <w:fldChar w:fldCharType="begin"/>
      </w:r>
      <w:r w:rsidRPr="00F008F6">
        <w:rPr>
          <w:noProof/>
        </w:rPr>
        <w:instrText xml:space="preserve"> PAGEREF _Toc187135804 \h </w:instrText>
      </w:r>
      <w:r w:rsidRPr="00F008F6">
        <w:rPr>
          <w:noProof/>
        </w:rPr>
      </w:r>
      <w:r w:rsidRPr="00F008F6">
        <w:rPr>
          <w:noProof/>
        </w:rPr>
        <w:fldChar w:fldCharType="separate"/>
      </w:r>
      <w:r w:rsidRPr="00F008F6">
        <w:rPr>
          <w:noProof/>
        </w:rPr>
        <w:t>139</w:t>
      </w:r>
      <w:r w:rsidRPr="00F008F6">
        <w:rPr>
          <w:noProof/>
        </w:rPr>
        <w:fldChar w:fldCharType="end"/>
      </w:r>
    </w:p>
    <w:p w14:paraId="2F2DC32B" w14:textId="720F4229" w:rsidR="00F008F6" w:rsidRDefault="00F008F6" w:rsidP="00EF338C">
      <w:pPr>
        <w:pStyle w:val="TOC4"/>
        <w:keepLines w:val="0"/>
        <w:rPr>
          <w:rFonts w:asciiTheme="minorHAnsi" w:eastAsiaTheme="minorEastAsia" w:hAnsiTheme="minorHAnsi" w:cstheme="minorBidi"/>
          <w:b w:val="0"/>
          <w:noProof/>
          <w:kern w:val="2"/>
          <w:sz w:val="24"/>
          <w:szCs w:val="24"/>
          <w14:ligatures w14:val="standardContextual"/>
        </w:rPr>
      </w:pPr>
      <w:r>
        <w:rPr>
          <w:noProof/>
        </w:rPr>
        <w:t>Subdivision 3B.2—Constitution of Committee</w:t>
      </w:r>
      <w:r w:rsidRPr="00F008F6">
        <w:rPr>
          <w:b w:val="0"/>
          <w:noProof/>
          <w:sz w:val="18"/>
        </w:rPr>
        <w:tab/>
      </w:r>
      <w:r w:rsidRPr="00F008F6">
        <w:rPr>
          <w:b w:val="0"/>
          <w:noProof/>
          <w:sz w:val="18"/>
        </w:rPr>
        <w:fldChar w:fldCharType="begin"/>
      </w:r>
      <w:r w:rsidRPr="00F008F6">
        <w:rPr>
          <w:b w:val="0"/>
          <w:noProof/>
          <w:sz w:val="18"/>
        </w:rPr>
        <w:instrText xml:space="preserve"> PAGEREF _Toc187135805 \h </w:instrText>
      </w:r>
      <w:r w:rsidRPr="00F008F6">
        <w:rPr>
          <w:b w:val="0"/>
          <w:noProof/>
          <w:sz w:val="18"/>
        </w:rPr>
      </w:r>
      <w:r w:rsidRPr="00F008F6">
        <w:rPr>
          <w:b w:val="0"/>
          <w:noProof/>
          <w:sz w:val="18"/>
        </w:rPr>
        <w:fldChar w:fldCharType="separate"/>
      </w:r>
      <w:r w:rsidRPr="00F008F6">
        <w:rPr>
          <w:b w:val="0"/>
          <w:noProof/>
          <w:sz w:val="18"/>
        </w:rPr>
        <w:t>139</w:t>
      </w:r>
      <w:r w:rsidRPr="00F008F6">
        <w:rPr>
          <w:b w:val="0"/>
          <w:noProof/>
          <w:sz w:val="18"/>
        </w:rPr>
        <w:fldChar w:fldCharType="end"/>
      </w:r>
    </w:p>
    <w:p w14:paraId="09A51F18" w14:textId="25CC2CC6"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42ZCR</w:t>
      </w:r>
      <w:r>
        <w:rPr>
          <w:noProof/>
        </w:rPr>
        <w:tab/>
        <w:t>Membership of Committee</w:t>
      </w:r>
      <w:r w:rsidRPr="00F008F6">
        <w:rPr>
          <w:noProof/>
        </w:rPr>
        <w:tab/>
      </w:r>
      <w:r w:rsidRPr="00F008F6">
        <w:rPr>
          <w:noProof/>
        </w:rPr>
        <w:fldChar w:fldCharType="begin"/>
      </w:r>
      <w:r w:rsidRPr="00F008F6">
        <w:rPr>
          <w:noProof/>
        </w:rPr>
        <w:instrText xml:space="preserve"> PAGEREF _Toc187135806 \h </w:instrText>
      </w:r>
      <w:r w:rsidRPr="00F008F6">
        <w:rPr>
          <w:noProof/>
        </w:rPr>
      </w:r>
      <w:r w:rsidRPr="00F008F6">
        <w:rPr>
          <w:noProof/>
        </w:rPr>
        <w:fldChar w:fldCharType="separate"/>
      </w:r>
      <w:r w:rsidRPr="00F008F6">
        <w:rPr>
          <w:noProof/>
        </w:rPr>
        <w:t>139</w:t>
      </w:r>
      <w:r w:rsidRPr="00F008F6">
        <w:rPr>
          <w:noProof/>
        </w:rPr>
        <w:fldChar w:fldCharType="end"/>
      </w:r>
    </w:p>
    <w:p w14:paraId="1EA6805C" w14:textId="0644FE5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42ZCS</w:t>
      </w:r>
      <w:r>
        <w:rPr>
          <w:noProof/>
        </w:rPr>
        <w:tab/>
        <w:t>Committee members</w:t>
      </w:r>
      <w:r w:rsidRPr="00F008F6">
        <w:rPr>
          <w:noProof/>
        </w:rPr>
        <w:tab/>
      </w:r>
      <w:r w:rsidRPr="00F008F6">
        <w:rPr>
          <w:noProof/>
        </w:rPr>
        <w:fldChar w:fldCharType="begin"/>
      </w:r>
      <w:r w:rsidRPr="00F008F6">
        <w:rPr>
          <w:noProof/>
        </w:rPr>
        <w:instrText xml:space="preserve"> PAGEREF _Toc187135807 \h </w:instrText>
      </w:r>
      <w:r w:rsidRPr="00F008F6">
        <w:rPr>
          <w:noProof/>
        </w:rPr>
      </w:r>
      <w:r w:rsidRPr="00F008F6">
        <w:rPr>
          <w:noProof/>
        </w:rPr>
        <w:fldChar w:fldCharType="separate"/>
      </w:r>
      <w:r w:rsidRPr="00F008F6">
        <w:rPr>
          <w:noProof/>
        </w:rPr>
        <w:t>139</w:t>
      </w:r>
      <w:r w:rsidRPr="00F008F6">
        <w:rPr>
          <w:noProof/>
        </w:rPr>
        <w:fldChar w:fldCharType="end"/>
      </w:r>
    </w:p>
    <w:p w14:paraId="74971C71" w14:textId="14063CA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42ZCT</w:t>
      </w:r>
      <w:r>
        <w:rPr>
          <w:noProof/>
        </w:rPr>
        <w:tab/>
        <w:t>Appointed members</w:t>
      </w:r>
      <w:r w:rsidRPr="00F008F6">
        <w:rPr>
          <w:noProof/>
        </w:rPr>
        <w:tab/>
      </w:r>
      <w:r w:rsidRPr="00F008F6">
        <w:rPr>
          <w:noProof/>
        </w:rPr>
        <w:fldChar w:fldCharType="begin"/>
      </w:r>
      <w:r w:rsidRPr="00F008F6">
        <w:rPr>
          <w:noProof/>
        </w:rPr>
        <w:instrText xml:space="preserve"> PAGEREF _Toc187135808 \h </w:instrText>
      </w:r>
      <w:r w:rsidRPr="00F008F6">
        <w:rPr>
          <w:noProof/>
        </w:rPr>
      </w:r>
      <w:r w:rsidRPr="00F008F6">
        <w:rPr>
          <w:noProof/>
        </w:rPr>
        <w:fldChar w:fldCharType="separate"/>
      </w:r>
      <w:r w:rsidRPr="00F008F6">
        <w:rPr>
          <w:noProof/>
        </w:rPr>
        <w:t>139</w:t>
      </w:r>
      <w:r w:rsidRPr="00F008F6">
        <w:rPr>
          <w:noProof/>
        </w:rPr>
        <w:fldChar w:fldCharType="end"/>
      </w:r>
    </w:p>
    <w:p w14:paraId="642AFEC7" w14:textId="106461A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42ZCU</w:t>
      </w:r>
      <w:r>
        <w:rPr>
          <w:noProof/>
        </w:rPr>
        <w:tab/>
        <w:t>Nominated members</w:t>
      </w:r>
      <w:r w:rsidRPr="00F008F6">
        <w:rPr>
          <w:noProof/>
        </w:rPr>
        <w:tab/>
      </w:r>
      <w:r w:rsidRPr="00F008F6">
        <w:rPr>
          <w:noProof/>
        </w:rPr>
        <w:fldChar w:fldCharType="begin"/>
      </w:r>
      <w:r w:rsidRPr="00F008F6">
        <w:rPr>
          <w:noProof/>
        </w:rPr>
        <w:instrText xml:space="preserve"> PAGEREF _Toc187135809 \h </w:instrText>
      </w:r>
      <w:r w:rsidRPr="00F008F6">
        <w:rPr>
          <w:noProof/>
        </w:rPr>
      </w:r>
      <w:r w:rsidRPr="00F008F6">
        <w:rPr>
          <w:noProof/>
        </w:rPr>
        <w:fldChar w:fldCharType="separate"/>
      </w:r>
      <w:r w:rsidRPr="00F008F6">
        <w:rPr>
          <w:noProof/>
        </w:rPr>
        <w:t>140</w:t>
      </w:r>
      <w:r w:rsidRPr="00F008F6">
        <w:rPr>
          <w:noProof/>
        </w:rPr>
        <w:fldChar w:fldCharType="end"/>
      </w:r>
    </w:p>
    <w:p w14:paraId="607D0F81" w14:textId="1AF5ED91"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42ZCV</w:t>
      </w:r>
      <w:r>
        <w:rPr>
          <w:noProof/>
        </w:rPr>
        <w:tab/>
        <w:t>Appointment of the Chair and acting Chair</w:t>
      </w:r>
      <w:r w:rsidRPr="00F008F6">
        <w:rPr>
          <w:noProof/>
        </w:rPr>
        <w:tab/>
      </w:r>
      <w:r w:rsidRPr="00F008F6">
        <w:rPr>
          <w:noProof/>
        </w:rPr>
        <w:fldChar w:fldCharType="begin"/>
      </w:r>
      <w:r w:rsidRPr="00F008F6">
        <w:rPr>
          <w:noProof/>
        </w:rPr>
        <w:instrText xml:space="preserve"> PAGEREF _Toc187135810 \h </w:instrText>
      </w:r>
      <w:r w:rsidRPr="00F008F6">
        <w:rPr>
          <w:noProof/>
        </w:rPr>
      </w:r>
      <w:r w:rsidRPr="00F008F6">
        <w:rPr>
          <w:noProof/>
        </w:rPr>
        <w:fldChar w:fldCharType="separate"/>
      </w:r>
      <w:r w:rsidRPr="00F008F6">
        <w:rPr>
          <w:noProof/>
        </w:rPr>
        <w:t>140</w:t>
      </w:r>
      <w:r w:rsidRPr="00F008F6">
        <w:rPr>
          <w:noProof/>
        </w:rPr>
        <w:fldChar w:fldCharType="end"/>
      </w:r>
    </w:p>
    <w:p w14:paraId="38C8A154" w14:textId="23151C87"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42ZCW</w:t>
      </w:r>
      <w:r>
        <w:rPr>
          <w:noProof/>
        </w:rPr>
        <w:tab/>
        <w:t>Resignation or vacancy</w:t>
      </w:r>
      <w:r w:rsidRPr="00F008F6">
        <w:rPr>
          <w:noProof/>
        </w:rPr>
        <w:tab/>
      </w:r>
      <w:r w:rsidRPr="00F008F6">
        <w:rPr>
          <w:noProof/>
        </w:rPr>
        <w:fldChar w:fldCharType="begin"/>
      </w:r>
      <w:r w:rsidRPr="00F008F6">
        <w:rPr>
          <w:noProof/>
        </w:rPr>
        <w:instrText xml:space="preserve"> PAGEREF _Toc187135811 \h </w:instrText>
      </w:r>
      <w:r w:rsidRPr="00F008F6">
        <w:rPr>
          <w:noProof/>
        </w:rPr>
      </w:r>
      <w:r w:rsidRPr="00F008F6">
        <w:rPr>
          <w:noProof/>
        </w:rPr>
        <w:fldChar w:fldCharType="separate"/>
      </w:r>
      <w:r w:rsidRPr="00F008F6">
        <w:rPr>
          <w:noProof/>
        </w:rPr>
        <w:t>141</w:t>
      </w:r>
      <w:r w:rsidRPr="00F008F6">
        <w:rPr>
          <w:noProof/>
        </w:rPr>
        <w:fldChar w:fldCharType="end"/>
      </w:r>
    </w:p>
    <w:p w14:paraId="03E1E8B7" w14:textId="63393D7B"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42ZCX</w:t>
      </w:r>
      <w:r>
        <w:rPr>
          <w:noProof/>
        </w:rPr>
        <w:tab/>
        <w:t>Termination of appointment</w:t>
      </w:r>
      <w:r w:rsidRPr="00F008F6">
        <w:rPr>
          <w:noProof/>
        </w:rPr>
        <w:tab/>
      </w:r>
      <w:r w:rsidRPr="00F008F6">
        <w:rPr>
          <w:noProof/>
        </w:rPr>
        <w:fldChar w:fldCharType="begin"/>
      </w:r>
      <w:r w:rsidRPr="00F008F6">
        <w:rPr>
          <w:noProof/>
        </w:rPr>
        <w:instrText xml:space="preserve"> PAGEREF _Toc187135812 \h </w:instrText>
      </w:r>
      <w:r w:rsidRPr="00F008F6">
        <w:rPr>
          <w:noProof/>
        </w:rPr>
      </w:r>
      <w:r w:rsidRPr="00F008F6">
        <w:rPr>
          <w:noProof/>
        </w:rPr>
        <w:fldChar w:fldCharType="separate"/>
      </w:r>
      <w:r w:rsidRPr="00F008F6">
        <w:rPr>
          <w:noProof/>
        </w:rPr>
        <w:t>141</w:t>
      </w:r>
      <w:r w:rsidRPr="00F008F6">
        <w:rPr>
          <w:noProof/>
        </w:rPr>
        <w:fldChar w:fldCharType="end"/>
      </w:r>
    </w:p>
    <w:p w14:paraId="0CA955C1" w14:textId="494FDA8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42ZCY</w:t>
      </w:r>
      <w:r>
        <w:rPr>
          <w:noProof/>
        </w:rPr>
        <w:tab/>
        <w:t>Leave of absence</w:t>
      </w:r>
      <w:r w:rsidRPr="00F008F6">
        <w:rPr>
          <w:noProof/>
        </w:rPr>
        <w:tab/>
      </w:r>
      <w:r w:rsidRPr="00F008F6">
        <w:rPr>
          <w:noProof/>
        </w:rPr>
        <w:fldChar w:fldCharType="begin"/>
      </w:r>
      <w:r w:rsidRPr="00F008F6">
        <w:rPr>
          <w:noProof/>
        </w:rPr>
        <w:instrText xml:space="preserve"> PAGEREF _Toc187135813 \h </w:instrText>
      </w:r>
      <w:r w:rsidRPr="00F008F6">
        <w:rPr>
          <w:noProof/>
        </w:rPr>
      </w:r>
      <w:r w:rsidRPr="00F008F6">
        <w:rPr>
          <w:noProof/>
        </w:rPr>
        <w:fldChar w:fldCharType="separate"/>
      </w:r>
      <w:r w:rsidRPr="00F008F6">
        <w:rPr>
          <w:noProof/>
        </w:rPr>
        <w:t>141</w:t>
      </w:r>
      <w:r w:rsidRPr="00F008F6">
        <w:rPr>
          <w:noProof/>
        </w:rPr>
        <w:fldChar w:fldCharType="end"/>
      </w:r>
    </w:p>
    <w:p w14:paraId="574B731A" w14:textId="7F664A2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w:t>
      </w:r>
      <w:r>
        <w:rPr>
          <w:noProof/>
        </w:rPr>
        <w:tab/>
        <w:t>Acting members</w:t>
      </w:r>
      <w:r w:rsidRPr="00F008F6">
        <w:rPr>
          <w:noProof/>
        </w:rPr>
        <w:tab/>
      </w:r>
      <w:r w:rsidRPr="00F008F6">
        <w:rPr>
          <w:noProof/>
        </w:rPr>
        <w:fldChar w:fldCharType="begin"/>
      </w:r>
      <w:r w:rsidRPr="00F008F6">
        <w:rPr>
          <w:noProof/>
        </w:rPr>
        <w:instrText xml:space="preserve"> PAGEREF _Toc187135814 \h </w:instrText>
      </w:r>
      <w:r w:rsidRPr="00F008F6">
        <w:rPr>
          <w:noProof/>
        </w:rPr>
      </w:r>
      <w:r w:rsidRPr="00F008F6">
        <w:rPr>
          <w:noProof/>
        </w:rPr>
        <w:fldChar w:fldCharType="separate"/>
      </w:r>
      <w:r w:rsidRPr="00F008F6">
        <w:rPr>
          <w:noProof/>
        </w:rPr>
        <w:t>141</w:t>
      </w:r>
      <w:r w:rsidRPr="00F008F6">
        <w:rPr>
          <w:noProof/>
        </w:rPr>
        <w:fldChar w:fldCharType="end"/>
      </w:r>
    </w:p>
    <w:p w14:paraId="048B89CF" w14:textId="73941CF1" w:rsidR="00F008F6" w:rsidRDefault="00F008F6" w:rsidP="00EF338C">
      <w:pPr>
        <w:pStyle w:val="TOC4"/>
        <w:keepLines w:val="0"/>
        <w:rPr>
          <w:rFonts w:asciiTheme="minorHAnsi" w:eastAsiaTheme="minorEastAsia" w:hAnsiTheme="minorHAnsi" w:cstheme="minorBidi"/>
          <w:b w:val="0"/>
          <w:noProof/>
          <w:kern w:val="2"/>
          <w:sz w:val="24"/>
          <w:szCs w:val="24"/>
          <w14:ligatures w14:val="standardContextual"/>
        </w:rPr>
      </w:pPr>
      <w:r>
        <w:rPr>
          <w:noProof/>
        </w:rPr>
        <w:t>Subdivision 3B.3—Committee meetings</w:t>
      </w:r>
      <w:r w:rsidRPr="00F008F6">
        <w:rPr>
          <w:b w:val="0"/>
          <w:noProof/>
          <w:sz w:val="18"/>
        </w:rPr>
        <w:tab/>
      </w:r>
      <w:r w:rsidRPr="00F008F6">
        <w:rPr>
          <w:b w:val="0"/>
          <w:noProof/>
          <w:sz w:val="18"/>
        </w:rPr>
        <w:fldChar w:fldCharType="begin"/>
      </w:r>
      <w:r w:rsidRPr="00F008F6">
        <w:rPr>
          <w:b w:val="0"/>
          <w:noProof/>
          <w:sz w:val="18"/>
        </w:rPr>
        <w:instrText xml:space="preserve"> PAGEREF _Toc187135815 \h </w:instrText>
      </w:r>
      <w:r w:rsidRPr="00F008F6">
        <w:rPr>
          <w:b w:val="0"/>
          <w:noProof/>
          <w:sz w:val="18"/>
        </w:rPr>
      </w:r>
      <w:r w:rsidRPr="00F008F6">
        <w:rPr>
          <w:b w:val="0"/>
          <w:noProof/>
          <w:sz w:val="18"/>
        </w:rPr>
        <w:fldChar w:fldCharType="separate"/>
      </w:r>
      <w:r w:rsidRPr="00F008F6">
        <w:rPr>
          <w:b w:val="0"/>
          <w:noProof/>
          <w:sz w:val="18"/>
        </w:rPr>
        <w:t>142</w:t>
      </w:r>
      <w:r w:rsidRPr="00F008F6">
        <w:rPr>
          <w:b w:val="0"/>
          <w:noProof/>
          <w:sz w:val="18"/>
        </w:rPr>
        <w:fldChar w:fldCharType="end"/>
      </w:r>
    </w:p>
    <w:p w14:paraId="78328A1C" w14:textId="7381A42B"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42ZCZA</w:t>
      </w:r>
      <w:r>
        <w:rPr>
          <w:noProof/>
        </w:rPr>
        <w:tab/>
        <w:t>Committee meetings</w:t>
      </w:r>
      <w:r w:rsidRPr="00F008F6">
        <w:rPr>
          <w:noProof/>
        </w:rPr>
        <w:tab/>
      </w:r>
      <w:r w:rsidRPr="00F008F6">
        <w:rPr>
          <w:noProof/>
        </w:rPr>
        <w:fldChar w:fldCharType="begin"/>
      </w:r>
      <w:r w:rsidRPr="00F008F6">
        <w:rPr>
          <w:noProof/>
        </w:rPr>
        <w:instrText xml:space="preserve"> PAGEREF _Toc187135816 \h </w:instrText>
      </w:r>
      <w:r w:rsidRPr="00F008F6">
        <w:rPr>
          <w:noProof/>
        </w:rPr>
      </w:r>
      <w:r w:rsidRPr="00F008F6">
        <w:rPr>
          <w:noProof/>
        </w:rPr>
        <w:fldChar w:fldCharType="separate"/>
      </w:r>
      <w:r w:rsidRPr="00F008F6">
        <w:rPr>
          <w:noProof/>
        </w:rPr>
        <w:t>142</w:t>
      </w:r>
      <w:r w:rsidRPr="00F008F6">
        <w:rPr>
          <w:noProof/>
        </w:rPr>
        <w:fldChar w:fldCharType="end"/>
      </w:r>
    </w:p>
    <w:p w14:paraId="45E9520D" w14:textId="1561F2AD"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42ZCZB</w:t>
      </w:r>
      <w:r>
        <w:rPr>
          <w:noProof/>
        </w:rPr>
        <w:tab/>
        <w:t>Meeting procedure—general</w:t>
      </w:r>
      <w:r w:rsidRPr="00F008F6">
        <w:rPr>
          <w:noProof/>
        </w:rPr>
        <w:tab/>
      </w:r>
      <w:r w:rsidRPr="00F008F6">
        <w:rPr>
          <w:noProof/>
        </w:rPr>
        <w:fldChar w:fldCharType="begin"/>
      </w:r>
      <w:r w:rsidRPr="00F008F6">
        <w:rPr>
          <w:noProof/>
        </w:rPr>
        <w:instrText xml:space="preserve"> PAGEREF _Toc187135817 \h </w:instrText>
      </w:r>
      <w:r w:rsidRPr="00F008F6">
        <w:rPr>
          <w:noProof/>
        </w:rPr>
      </w:r>
      <w:r w:rsidRPr="00F008F6">
        <w:rPr>
          <w:noProof/>
        </w:rPr>
        <w:fldChar w:fldCharType="separate"/>
      </w:r>
      <w:r w:rsidRPr="00F008F6">
        <w:rPr>
          <w:noProof/>
        </w:rPr>
        <w:t>142</w:t>
      </w:r>
      <w:r w:rsidRPr="00F008F6">
        <w:rPr>
          <w:noProof/>
        </w:rPr>
        <w:fldChar w:fldCharType="end"/>
      </w:r>
    </w:p>
    <w:p w14:paraId="22FD9C8F" w14:textId="5F1E598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42ZCZC</w:t>
      </w:r>
      <w:r>
        <w:rPr>
          <w:noProof/>
        </w:rPr>
        <w:tab/>
        <w:t>Presiding member</w:t>
      </w:r>
      <w:r w:rsidRPr="00F008F6">
        <w:rPr>
          <w:noProof/>
        </w:rPr>
        <w:tab/>
      </w:r>
      <w:r w:rsidRPr="00F008F6">
        <w:rPr>
          <w:noProof/>
        </w:rPr>
        <w:fldChar w:fldCharType="begin"/>
      </w:r>
      <w:r w:rsidRPr="00F008F6">
        <w:rPr>
          <w:noProof/>
        </w:rPr>
        <w:instrText xml:space="preserve"> PAGEREF _Toc187135818 \h </w:instrText>
      </w:r>
      <w:r w:rsidRPr="00F008F6">
        <w:rPr>
          <w:noProof/>
        </w:rPr>
      </w:r>
      <w:r w:rsidRPr="00F008F6">
        <w:rPr>
          <w:noProof/>
        </w:rPr>
        <w:fldChar w:fldCharType="separate"/>
      </w:r>
      <w:r w:rsidRPr="00F008F6">
        <w:rPr>
          <w:noProof/>
        </w:rPr>
        <w:t>142</w:t>
      </w:r>
      <w:r w:rsidRPr="00F008F6">
        <w:rPr>
          <w:noProof/>
        </w:rPr>
        <w:fldChar w:fldCharType="end"/>
      </w:r>
    </w:p>
    <w:p w14:paraId="766BD9A3" w14:textId="67673986"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42ZCZD</w:t>
      </w:r>
      <w:r>
        <w:rPr>
          <w:noProof/>
        </w:rPr>
        <w:tab/>
        <w:t>Quorum</w:t>
      </w:r>
      <w:r w:rsidRPr="00F008F6">
        <w:rPr>
          <w:noProof/>
        </w:rPr>
        <w:tab/>
      </w:r>
      <w:r w:rsidRPr="00F008F6">
        <w:rPr>
          <w:noProof/>
        </w:rPr>
        <w:fldChar w:fldCharType="begin"/>
      </w:r>
      <w:r w:rsidRPr="00F008F6">
        <w:rPr>
          <w:noProof/>
        </w:rPr>
        <w:instrText xml:space="preserve"> PAGEREF _Toc187135819 \h </w:instrText>
      </w:r>
      <w:r w:rsidRPr="00F008F6">
        <w:rPr>
          <w:noProof/>
        </w:rPr>
      </w:r>
      <w:r w:rsidRPr="00F008F6">
        <w:rPr>
          <w:noProof/>
        </w:rPr>
        <w:fldChar w:fldCharType="separate"/>
      </w:r>
      <w:r w:rsidRPr="00F008F6">
        <w:rPr>
          <w:noProof/>
        </w:rPr>
        <w:t>143</w:t>
      </w:r>
      <w:r w:rsidRPr="00F008F6">
        <w:rPr>
          <w:noProof/>
        </w:rPr>
        <w:fldChar w:fldCharType="end"/>
      </w:r>
    </w:p>
    <w:p w14:paraId="22892B31" w14:textId="49156E40"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42ZCZE</w:t>
      </w:r>
      <w:r>
        <w:rPr>
          <w:noProof/>
        </w:rPr>
        <w:tab/>
        <w:t>Voting</w:t>
      </w:r>
      <w:r w:rsidRPr="00F008F6">
        <w:rPr>
          <w:noProof/>
        </w:rPr>
        <w:tab/>
      </w:r>
      <w:r w:rsidRPr="00F008F6">
        <w:rPr>
          <w:noProof/>
        </w:rPr>
        <w:fldChar w:fldCharType="begin"/>
      </w:r>
      <w:r w:rsidRPr="00F008F6">
        <w:rPr>
          <w:noProof/>
        </w:rPr>
        <w:instrText xml:space="preserve"> PAGEREF _Toc187135820 \h </w:instrText>
      </w:r>
      <w:r w:rsidRPr="00F008F6">
        <w:rPr>
          <w:noProof/>
        </w:rPr>
      </w:r>
      <w:r w:rsidRPr="00F008F6">
        <w:rPr>
          <w:noProof/>
        </w:rPr>
        <w:fldChar w:fldCharType="separate"/>
      </w:r>
      <w:r w:rsidRPr="00F008F6">
        <w:rPr>
          <w:noProof/>
        </w:rPr>
        <w:t>143</w:t>
      </w:r>
      <w:r w:rsidRPr="00F008F6">
        <w:rPr>
          <w:noProof/>
        </w:rPr>
        <w:fldChar w:fldCharType="end"/>
      </w:r>
    </w:p>
    <w:p w14:paraId="034ABCB7" w14:textId="0DE6E4F1"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42ZCZF</w:t>
      </w:r>
      <w:r>
        <w:rPr>
          <w:noProof/>
        </w:rPr>
        <w:tab/>
        <w:t>Miscellaneous</w:t>
      </w:r>
      <w:r w:rsidRPr="00F008F6">
        <w:rPr>
          <w:noProof/>
        </w:rPr>
        <w:tab/>
      </w:r>
      <w:r w:rsidRPr="00F008F6">
        <w:rPr>
          <w:noProof/>
        </w:rPr>
        <w:fldChar w:fldCharType="begin"/>
      </w:r>
      <w:r w:rsidRPr="00F008F6">
        <w:rPr>
          <w:noProof/>
        </w:rPr>
        <w:instrText xml:space="preserve"> PAGEREF _Toc187135821 \h </w:instrText>
      </w:r>
      <w:r w:rsidRPr="00F008F6">
        <w:rPr>
          <w:noProof/>
        </w:rPr>
      </w:r>
      <w:r w:rsidRPr="00F008F6">
        <w:rPr>
          <w:noProof/>
        </w:rPr>
        <w:fldChar w:fldCharType="separate"/>
      </w:r>
      <w:r w:rsidRPr="00F008F6">
        <w:rPr>
          <w:noProof/>
        </w:rPr>
        <w:t>143</w:t>
      </w:r>
      <w:r w:rsidRPr="00F008F6">
        <w:rPr>
          <w:noProof/>
        </w:rPr>
        <w:fldChar w:fldCharType="end"/>
      </w:r>
    </w:p>
    <w:p w14:paraId="653657A6" w14:textId="6A6130EF"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3C—Joint meetings</w:t>
      </w:r>
      <w:r w:rsidRPr="00F008F6">
        <w:rPr>
          <w:b w:val="0"/>
          <w:noProof/>
          <w:sz w:val="18"/>
        </w:rPr>
        <w:tab/>
      </w:r>
      <w:r w:rsidRPr="00F008F6">
        <w:rPr>
          <w:b w:val="0"/>
          <w:noProof/>
          <w:sz w:val="18"/>
        </w:rPr>
        <w:fldChar w:fldCharType="begin"/>
      </w:r>
      <w:r w:rsidRPr="00F008F6">
        <w:rPr>
          <w:b w:val="0"/>
          <w:noProof/>
          <w:sz w:val="18"/>
        </w:rPr>
        <w:instrText xml:space="preserve"> PAGEREF _Toc187135822 \h </w:instrText>
      </w:r>
      <w:r w:rsidRPr="00F008F6">
        <w:rPr>
          <w:b w:val="0"/>
          <w:noProof/>
          <w:sz w:val="18"/>
        </w:rPr>
      </w:r>
      <w:r w:rsidRPr="00F008F6">
        <w:rPr>
          <w:b w:val="0"/>
          <w:noProof/>
          <w:sz w:val="18"/>
        </w:rPr>
        <w:fldChar w:fldCharType="separate"/>
      </w:r>
      <w:r w:rsidRPr="00F008F6">
        <w:rPr>
          <w:b w:val="0"/>
          <w:noProof/>
          <w:sz w:val="18"/>
        </w:rPr>
        <w:t>145</w:t>
      </w:r>
      <w:r w:rsidRPr="00F008F6">
        <w:rPr>
          <w:b w:val="0"/>
          <w:noProof/>
          <w:sz w:val="18"/>
        </w:rPr>
        <w:fldChar w:fldCharType="end"/>
      </w:r>
    </w:p>
    <w:p w14:paraId="70CD6AB9" w14:textId="3AEDA6DE"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42ZCZG</w:t>
      </w:r>
      <w:r>
        <w:rPr>
          <w:noProof/>
        </w:rPr>
        <w:tab/>
        <w:t>Joint meetings</w:t>
      </w:r>
      <w:r w:rsidRPr="00F008F6">
        <w:rPr>
          <w:noProof/>
        </w:rPr>
        <w:tab/>
      </w:r>
      <w:r w:rsidRPr="00F008F6">
        <w:rPr>
          <w:noProof/>
        </w:rPr>
        <w:fldChar w:fldCharType="begin"/>
      </w:r>
      <w:r w:rsidRPr="00F008F6">
        <w:rPr>
          <w:noProof/>
        </w:rPr>
        <w:instrText xml:space="preserve"> PAGEREF _Toc187135823 \h </w:instrText>
      </w:r>
      <w:r w:rsidRPr="00F008F6">
        <w:rPr>
          <w:noProof/>
        </w:rPr>
      </w:r>
      <w:r w:rsidRPr="00F008F6">
        <w:rPr>
          <w:noProof/>
        </w:rPr>
        <w:fldChar w:fldCharType="separate"/>
      </w:r>
      <w:r w:rsidRPr="00F008F6">
        <w:rPr>
          <w:noProof/>
        </w:rPr>
        <w:t>145</w:t>
      </w:r>
      <w:r w:rsidRPr="00F008F6">
        <w:rPr>
          <w:noProof/>
        </w:rPr>
        <w:fldChar w:fldCharType="end"/>
      </w:r>
    </w:p>
    <w:p w14:paraId="13842FE0" w14:textId="62776BBD"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42ZCZH</w:t>
      </w:r>
      <w:r>
        <w:rPr>
          <w:noProof/>
        </w:rPr>
        <w:tab/>
        <w:t>Procedure for joint meetings</w:t>
      </w:r>
      <w:r w:rsidRPr="00F008F6">
        <w:rPr>
          <w:noProof/>
        </w:rPr>
        <w:tab/>
      </w:r>
      <w:r w:rsidRPr="00F008F6">
        <w:rPr>
          <w:noProof/>
        </w:rPr>
        <w:fldChar w:fldCharType="begin"/>
      </w:r>
      <w:r w:rsidRPr="00F008F6">
        <w:rPr>
          <w:noProof/>
        </w:rPr>
        <w:instrText xml:space="preserve"> PAGEREF _Toc187135824 \h </w:instrText>
      </w:r>
      <w:r w:rsidRPr="00F008F6">
        <w:rPr>
          <w:noProof/>
        </w:rPr>
      </w:r>
      <w:r w:rsidRPr="00F008F6">
        <w:rPr>
          <w:noProof/>
        </w:rPr>
        <w:fldChar w:fldCharType="separate"/>
      </w:r>
      <w:r w:rsidRPr="00F008F6">
        <w:rPr>
          <w:noProof/>
        </w:rPr>
        <w:t>145</w:t>
      </w:r>
      <w:r w:rsidRPr="00F008F6">
        <w:rPr>
          <w:noProof/>
        </w:rPr>
        <w:fldChar w:fldCharType="end"/>
      </w:r>
    </w:p>
    <w:p w14:paraId="512D50CF" w14:textId="0C644DC1"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3D—Procedure for amending the current Poisons Standard</w:t>
      </w:r>
      <w:r w:rsidRPr="00F008F6">
        <w:rPr>
          <w:b w:val="0"/>
          <w:noProof/>
          <w:sz w:val="18"/>
        </w:rPr>
        <w:tab/>
      </w:r>
      <w:r w:rsidRPr="00F008F6">
        <w:rPr>
          <w:b w:val="0"/>
          <w:noProof/>
          <w:sz w:val="18"/>
        </w:rPr>
        <w:fldChar w:fldCharType="begin"/>
      </w:r>
      <w:r w:rsidRPr="00F008F6">
        <w:rPr>
          <w:b w:val="0"/>
          <w:noProof/>
          <w:sz w:val="18"/>
        </w:rPr>
        <w:instrText xml:space="preserve"> PAGEREF _Toc187135825 \h </w:instrText>
      </w:r>
      <w:r w:rsidRPr="00F008F6">
        <w:rPr>
          <w:b w:val="0"/>
          <w:noProof/>
          <w:sz w:val="18"/>
        </w:rPr>
      </w:r>
      <w:r w:rsidRPr="00F008F6">
        <w:rPr>
          <w:b w:val="0"/>
          <w:noProof/>
          <w:sz w:val="18"/>
        </w:rPr>
        <w:fldChar w:fldCharType="separate"/>
      </w:r>
      <w:r w:rsidRPr="00F008F6">
        <w:rPr>
          <w:b w:val="0"/>
          <w:noProof/>
          <w:sz w:val="18"/>
        </w:rPr>
        <w:t>146</w:t>
      </w:r>
      <w:r w:rsidRPr="00F008F6">
        <w:rPr>
          <w:b w:val="0"/>
          <w:noProof/>
          <w:sz w:val="18"/>
        </w:rPr>
        <w:fldChar w:fldCharType="end"/>
      </w:r>
    </w:p>
    <w:p w14:paraId="5281E406" w14:textId="3AF02B6F" w:rsidR="00F008F6" w:rsidRDefault="00F008F6" w:rsidP="00EF338C">
      <w:pPr>
        <w:pStyle w:val="TOC4"/>
        <w:keepLines w:val="0"/>
        <w:rPr>
          <w:rFonts w:asciiTheme="minorHAnsi" w:eastAsiaTheme="minorEastAsia" w:hAnsiTheme="minorHAnsi" w:cstheme="minorBidi"/>
          <w:b w:val="0"/>
          <w:noProof/>
          <w:kern w:val="2"/>
          <w:sz w:val="24"/>
          <w:szCs w:val="24"/>
          <w14:ligatures w14:val="standardContextual"/>
        </w:rPr>
      </w:pPr>
      <w:r>
        <w:rPr>
          <w:noProof/>
        </w:rPr>
        <w:t>Subdivision 3D.1—Preliminary</w:t>
      </w:r>
      <w:r w:rsidRPr="00F008F6">
        <w:rPr>
          <w:b w:val="0"/>
          <w:noProof/>
          <w:sz w:val="18"/>
        </w:rPr>
        <w:tab/>
      </w:r>
      <w:r w:rsidRPr="00F008F6">
        <w:rPr>
          <w:b w:val="0"/>
          <w:noProof/>
          <w:sz w:val="18"/>
        </w:rPr>
        <w:fldChar w:fldCharType="begin"/>
      </w:r>
      <w:r w:rsidRPr="00F008F6">
        <w:rPr>
          <w:b w:val="0"/>
          <w:noProof/>
          <w:sz w:val="18"/>
        </w:rPr>
        <w:instrText xml:space="preserve"> PAGEREF _Toc187135826 \h </w:instrText>
      </w:r>
      <w:r w:rsidRPr="00F008F6">
        <w:rPr>
          <w:b w:val="0"/>
          <w:noProof/>
          <w:sz w:val="18"/>
        </w:rPr>
      </w:r>
      <w:r w:rsidRPr="00F008F6">
        <w:rPr>
          <w:b w:val="0"/>
          <w:noProof/>
          <w:sz w:val="18"/>
        </w:rPr>
        <w:fldChar w:fldCharType="separate"/>
      </w:r>
      <w:r w:rsidRPr="00F008F6">
        <w:rPr>
          <w:b w:val="0"/>
          <w:noProof/>
          <w:sz w:val="18"/>
        </w:rPr>
        <w:t>146</w:t>
      </w:r>
      <w:r w:rsidRPr="00F008F6">
        <w:rPr>
          <w:b w:val="0"/>
          <w:noProof/>
          <w:sz w:val="18"/>
        </w:rPr>
        <w:fldChar w:fldCharType="end"/>
      </w:r>
    </w:p>
    <w:p w14:paraId="5C159750" w14:textId="68D70BB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42ZCZI</w:t>
      </w:r>
      <w:r>
        <w:rPr>
          <w:noProof/>
        </w:rPr>
        <w:tab/>
        <w:t>Definitions for Division 3D</w:t>
      </w:r>
      <w:r w:rsidRPr="00F008F6">
        <w:rPr>
          <w:noProof/>
        </w:rPr>
        <w:tab/>
      </w:r>
      <w:r w:rsidRPr="00F008F6">
        <w:rPr>
          <w:noProof/>
        </w:rPr>
        <w:fldChar w:fldCharType="begin"/>
      </w:r>
      <w:r w:rsidRPr="00F008F6">
        <w:rPr>
          <w:noProof/>
        </w:rPr>
        <w:instrText xml:space="preserve"> PAGEREF _Toc187135827 \h </w:instrText>
      </w:r>
      <w:r w:rsidRPr="00F008F6">
        <w:rPr>
          <w:noProof/>
        </w:rPr>
      </w:r>
      <w:r w:rsidRPr="00F008F6">
        <w:rPr>
          <w:noProof/>
        </w:rPr>
        <w:fldChar w:fldCharType="separate"/>
      </w:r>
      <w:r w:rsidRPr="00F008F6">
        <w:rPr>
          <w:noProof/>
        </w:rPr>
        <w:t>146</w:t>
      </w:r>
      <w:r w:rsidRPr="00F008F6">
        <w:rPr>
          <w:noProof/>
        </w:rPr>
        <w:fldChar w:fldCharType="end"/>
      </w:r>
    </w:p>
    <w:p w14:paraId="435ACFCC" w14:textId="4DD0388B" w:rsidR="00F008F6" w:rsidRDefault="00F008F6" w:rsidP="00EF338C">
      <w:pPr>
        <w:pStyle w:val="TOC4"/>
        <w:keepLines w:val="0"/>
        <w:rPr>
          <w:rFonts w:asciiTheme="minorHAnsi" w:eastAsiaTheme="minorEastAsia" w:hAnsiTheme="minorHAnsi" w:cstheme="minorBidi"/>
          <w:b w:val="0"/>
          <w:noProof/>
          <w:kern w:val="2"/>
          <w:sz w:val="24"/>
          <w:szCs w:val="24"/>
          <w14:ligatures w14:val="standardContextual"/>
        </w:rPr>
      </w:pPr>
      <w:r>
        <w:rPr>
          <w:noProof/>
        </w:rPr>
        <w:lastRenderedPageBreak/>
        <w:t>Subdivision 3D.2—Procedure if proposed amendment referred to expert advisory committee</w:t>
      </w:r>
      <w:r w:rsidRPr="00F008F6">
        <w:rPr>
          <w:b w:val="0"/>
          <w:noProof/>
          <w:sz w:val="18"/>
        </w:rPr>
        <w:tab/>
      </w:r>
      <w:r w:rsidRPr="00F008F6">
        <w:rPr>
          <w:b w:val="0"/>
          <w:noProof/>
          <w:sz w:val="18"/>
        </w:rPr>
        <w:fldChar w:fldCharType="begin"/>
      </w:r>
      <w:r w:rsidRPr="00F008F6">
        <w:rPr>
          <w:b w:val="0"/>
          <w:noProof/>
          <w:sz w:val="18"/>
        </w:rPr>
        <w:instrText xml:space="preserve"> PAGEREF _Toc187135828 \h </w:instrText>
      </w:r>
      <w:r w:rsidRPr="00F008F6">
        <w:rPr>
          <w:b w:val="0"/>
          <w:noProof/>
          <w:sz w:val="18"/>
        </w:rPr>
      </w:r>
      <w:r w:rsidRPr="00F008F6">
        <w:rPr>
          <w:b w:val="0"/>
          <w:noProof/>
          <w:sz w:val="18"/>
        </w:rPr>
        <w:fldChar w:fldCharType="separate"/>
      </w:r>
      <w:r w:rsidRPr="00F008F6">
        <w:rPr>
          <w:b w:val="0"/>
          <w:noProof/>
          <w:sz w:val="18"/>
        </w:rPr>
        <w:t>146</w:t>
      </w:r>
      <w:r w:rsidRPr="00F008F6">
        <w:rPr>
          <w:b w:val="0"/>
          <w:noProof/>
          <w:sz w:val="18"/>
        </w:rPr>
        <w:fldChar w:fldCharType="end"/>
      </w:r>
    </w:p>
    <w:p w14:paraId="0DE2A8FE" w14:textId="266F25CE"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42ZCZJ</w:t>
      </w:r>
      <w:r>
        <w:rPr>
          <w:noProof/>
        </w:rPr>
        <w:tab/>
        <w:t>Application</w:t>
      </w:r>
      <w:r w:rsidRPr="00F008F6">
        <w:rPr>
          <w:noProof/>
        </w:rPr>
        <w:tab/>
      </w:r>
      <w:r w:rsidRPr="00F008F6">
        <w:rPr>
          <w:noProof/>
        </w:rPr>
        <w:fldChar w:fldCharType="begin"/>
      </w:r>
      <w:r w:rsidRPr="00F008F6">
        <w:rPr>
          <w:noProof/>
        </w:rPr>
        <w:instrText xml:space="preserve"> PAGEREF _Toc187135829 \h </w:instrText>
      </w:r>
      <w:r w:rsidRPr="00F008F6">
        <w:rPr>
          <w:noProof/>
        </w:rPr>
      </w:r>
      <w:r w:rsidRPr="00F008F6">
        <w:rPr>
          <w:noProof/>
        </w:rPr>
        <w:fldChar w:fldCharType="separate"/>
      </w:r>
      <w:r w:rsidRPr="00F008F6">
        <w:rPr>
          <w:noProof/>
        </w:rPr>
        <w:t>146</w:t>
      </w:r>
      <w:r w:rsidRPr="00F008F6">
        <w:rPr>
          <w:noProof/>
        </w:rPr>
        <w:fldChar w:fldCharType="end"/>
      </w:r>
    </w:p>
    <w:p w14:paraId="4B79D09F" w14:textId="48BD9F4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42ZCZK</w:t>
      </w:r>
      <w:r>
        <w:rPr>
          <w:noProof/>
        </w:rPr>
        <w:tab/>
        <w:t>Proposed amendment to be referred to expert advisory committee</w:t>
      </w:r>
      <w:r w:rsidRPr="00F008F6">
        <w:rPr>
          <w:noProof/>
        </w:rPr>
        <w:tab/>
      </w:r>
      <w:r w:rsidRPr="00F008F6">
        <w:rPr>
          <w:noProof/>
        </w:rPr>
        <w:fldChar w:fldCharType="begin"/>
      </w:r>
      <w:r w:rsidRPr="00F008F6">
        <w:rPr>
          <w:noProof/>
        </w:rPr>
        <w:instrText xml:space="preserve"> PAGEREF _Toc187135830 \h </w:instrText>
      </w:r>
      <w:r w:rsidRPr="00F008F6">
        <w:rPr>
          <w:noProof/>
        </w:rPr>
      </w:r>
      <w:r w:rsidRPr="00F008F6">
        <w:rPr>
          <w:noProof/>
        </w:rPr>
        <w:fldChar w:fldCharType="separate"/>
      </w:r>
      <w:r w:rsidRPr="00F008F6">
        <w:rPr>
          <w:noProof/>
        </w:rPr>
        <w:t>147</w:t>
      </w:r>
      <w:r w:rsidRPr="00F008F6">
        <w:rPr>
          <w:noProof/>
        </w:rPr>
        <w:fldChar w:fldCharType="end"/>
      </w:r>
    </w:p>
    <w:p w14:paraId="1B452E05" w14:textId="1DCD764E"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42ZCZL</w:t>
      </w:r>
      <w:r>
        <w:rPr>
          <w:noProof/>
        </w:rPr>
        <w:tab/>
        <w:t>Consideration of public submissions</w:t>
      </w:r>
      <w:r w:rsidRPr="00F008F6">
        <w:rPr>
          <w:noProof/>
        </w:rPr>
        <w:tab/>
      </w:r>
      <w:r w:rsidRPr="00F008F6">
        <w:rPr>
          <w:noProof/>
        </w:rPr>
        <w:fldChar w:fldCharType="begin"/>
      </w:r>
      <w:r w:rsidRPr="00F008F6">
        <w:rPr>
          <w:noProof/>
        </w:rPr>
        <w:instrText xml:space="preserve"> PAGEREF _Toc187135831 \h </w:instrText>
      </w:r>
      <w:r w:rsidRPr="00F008F6">
        <w:rPr>
          <w:noProof/>
        </w:rPr>
      </w:r>
      <w:r w:rsidRPr="00F008F6">
        <w:rPr>
          <w:noProof/>
        </w:rPr>
        <w:fldChar w:fldCharType="separate"/>
      </w:r>
      <w:r w:rsidRPr="00F008F6">
        <w:rPr>
          <w:noProof/>
        </w:rPr>
        <w:t>147</w:t>
      </w:r>
      <w:r w:rsidRPr="00F008F6">
        <w:rPr>
          <w:noProof/>
        </w:rPr>
        <w:fldChar w:fldCharType="end"/>
      </w:r>
    </w:p>
    <w:p w14:paraId="48032984" w14:textId="3268D76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42ZCZM</w:t>
      </w:r>
      <w:r>
        <w:rPr>
          <w:noProof/>
        </w:rPr>
        <w:tab/>
        <w:t>Committee to advise Secretary</w:t>
      </w:r>
      <w:r w:rsidRPr="00F008F6">
        <w:rPr>
          <w:noProof/>
        </w:rPr>
        <w:tab/>
      </w:r>
      <w:r w:rsidRPr="00F008F6">
        <w:rPr>
          <w:noProof/>
        </w:rPr>
        <w:fldChar w:fldCharType="begin"/>
      </w:r>
      <w:r w:rsidRPr="00F008F6">
        <w:rPr>
          <w:noProof/>
        </w:rPr>
        <w:instrText xml:space="preserve"> PAGEREF _Toc187135832 \h </w:instrText>
      </w:r>
      <w:r w:rsidRPr="00F008F6">
        <w:rPr>
          <w:noProof/>
        </w:rPr>
      </w:r>
      <w:r w:rsidRPr="00F008F6">
        <w:rPr>
          <w:noProof/>
        </w:rPr>
        <w:fldChar w:fldCharType="separate"/>
      </w:r>
      <w:r w:rsidRPr="00F008F6">
        <w:rPr>
          <w:noProof/>
        </w:rPr>
        <w:t>148</w:t>
      </w:r>
      <w:r w:rsidRPr="00F008F6">
        <w:rPr>
          <w:noProof/>
        </w:rPr>
        <w:fldChar w:fldCharType="end"/>
      </w:r>
    </w:p>
    <w:p w14:paraId="3C5C9388" w14:textId="77D7E91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42ZCZN</w:t>
      </w:r>
      <w:r>
        <w:rPr>
          <w:noProof/>
        </w:rPr>
        <w:tab/>
        <w:t>Interim decision of Secretary</w:t>
      </w:r>
      <w:r w:rsidRPr="00F008F6">
        <w:rPr>
          <w:noProof/>
        </w:rPr>
        <w:tab/>
      </w:r>
      <w:r w:rsidRPr="00F008F6">
        <w:rPr>
          <w:noProof/>
        </w:rPr>
        <w:fldChar w:fldCharType="begin"/>
      </w:r>
      <w:r w:rsidRPr="00F008F6">
        <w:rPr>
          <w:noProof/>
        </w:rPr>
        <w:instrText xml:space="preserve"> PAGEREF _Toc187135833 \h </w:instrText>
      </w:r>
      <w:r w:rsidRPr="00F008F6">
        <w:rPr>
          <w:noProof/>
        </w:rPr>
      </w:r>
      <w:r w:rsidRPr="00F008F6">
        <w:rPr>
          <w:noProof/>
        </w:rPr>
        <w:fldChar w:fldCharType="separate"/>
      </w:r>
      <w:r w:rsidRPr="00F008F6">
        <w:rPr>
          <w:noProof/>
        </w:rPr>
        <w:t>148</w:t>
      </w:r>
      <w:r w:rsidRPr="00F008F6">
        <w:rPr>
          <w:noProof/>
        </w:rPr>
        <w:fldChar w:fldCharType="end"/>
      </w:r>
    </w:p>
    <w:p w14:paraId="4694956F" w14:textId="635D225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42ZCZO</w:t>
      </w:r>
      <w:r>
        <w:rPr>
          <w:noProof/>
        </w:rPr>
        <w:tab/>
        <w:t>Secretary may make final decision if no interim decision required</w:t>
      </w:r>
      <w:r w:rsidRPr="00F008F6">
        <w:rPr>
          <w:noProof/>
        </w:rPr>
        <w:tab/>
      </w:r>
      <w:r w:rsidRPr="00F008F6">
        <w:rPr>
          <w:noProof/>
        </w:rPr>
        <w:fldChar w:fldCharType="begin"/>
      </w:r>
      <w:r w:rsidRPr="00F008F6">
        <w:rPr>
          <w:noProof/>
        </w:rPr>
        <w:instrText xml:space="preserve"> PAGEREF _Toc187135834 \h </w:instrText>
      </w:r>
      <w:r w:rsidRPr="00F008F6">
        <w:rPr>
          <w:noProof/>
        </w:rPr>
      </w:r>
      <w:r w:rsidRPr="00F008F6">
        <w:rPr>
          <w:noProof/>
        </w:rPr>
        <w:fldChar w:fldCharType="separate"/>
      </w:r>
      <w:r w:rsidRPr="00F008F6">
        <w:rPr>
          <w:noProof/>
        </w:rPr>
        <w:t>148</w:t>
      </w:r>
      <w:r w:rsidRPr="00F008F6">
        <w:rPr>
          <w:noProof/>
        </w:rPr>
        <w:fldChar w:fldCharType="end"/>
      </w:r>
    </w:p>
    <w:p w14:paraId="4D3592AC" w14:textId="59BCAA12"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42ZCZP</w:t>
      </w:r>
      <w:r>
        <w:rPr>
          <w:noProof/>
        </w:rPr>
        <w:tab/>
        <w:t>Call for further submissions</w:t>
      </w:r>
      <w:r w:rsidRPr="00F008F6">
        <w:rPr>
          <w:noProof/>
        </w:rPr>
        <w:tab/>
      </w:r>
      <w:r w:rsidRPr="00F008F6">
        <w:rPr>
          <w:noProof/>
        </w:rPr>
        <w:fldChar w:fldCharType="begin"/>
      </w:r>
      <w:r w:rsidRPr="00F008F6">
        <w:rPr>
          <w:noProof/>
        </w:rPr>
        <w:instrText xml:space="preserve"> PAGEREF _Toc187135835 \h </w:instrText>
      </w:r>
      <w:r w:rsidRPr="00F008F6">
        <w:rPr>
          <w:noProof/>
        </w:rPr>
      </w:r>
      <w:r w:rsidRPr="00F008F6">
        <w:rPr>
          <w:noProof/>
        </w:rPr>
        <w:fldChar w:fldCharType="separate"/>
      </w:r>
      <w:r w:rsidRPr="00F008F6">
        <w:rPr>
          <w:noProof/>
        </w:rPr>
        <w:t>148</w:t>
      </w:r>
      <w:r w:rsidRPr="00F008F6">
        <w:rPr>
          <w:noProof/>
        </w:rPr>
        <w:fldChar w:fldCharType="end"/>
      </w:r>
    </w:p>
    <w:p w14:paraId="1B48B80A" w14:textId="56D2E6E1"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42ZCZQ</w:t>
      </w:r>
      <w:r>
        <w:rPr>
          <w:noProof/>
        </w:rPr>
        <w:tab/>
        <w:t>Reconsideration of interim decision</w:t>
      </w:r>
      <w:r w:rsidRPr="00F008F6">
        <w:rPr>
          <w:noProof/>
        </w:rPr>
        <w:tab/>
      </w:r>
      <w:r w:rsidRPr="00F008F6">
        <w:rPr>
          <w:noProof/>
        </w:rPr>
        <w:fldChar w:fldCharType="begin"/>
      </w:r>
      <w:r w:rsidRPr="00F008F6">
        <w:rPr>
          <w:noProof/>
        </w:rPr>
        <w:instrText xml:space="preserve"> PAGEREF _Toc187135836 \h </w:instrText>
      </w:r>
      <w:r w:rsidRPr="00F008F6">
        <w:rPr>
          <w:noProof/>
        </w:rPr>
      </w:r>
      <w:r w:rsidRPr="00F008F6">
        <w:rPr>
          <w:noProof/>
        </w:rPr>
        <w:fldChar w:fldCharType="separate"/>
      </w:r>
      <w:r w:rsidRPr="00F008F6">
        <w:rPr>
          <w:noProof/>
        </w:rPr>
        <w:t>148</w:t>
      </w:r>
      <w:r w:rsidRPr="00F008F6">
        <w:rPr>
          <w:noProof/>
        </w:rPr>
        <w:fldChar w:fldCharType="end"/>
      </w:r>
    </w:p>
    <w:p w14:paraId="4FC90C28" w14:textId="5E685D6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42ZCZR</w:t>
      </w:r>
      <w:r>
        <w:rPr>
          <w:noProof/>
        </w:rPr>
        <w:tab/>
        <w:t>Final decision if there is an interim decision</w:t>
      </w:r>
      <w:r w:rsidRPr="00F008F6">
        <w:rPr>
          <w:noProof/>
        </w:rPr>
        <w:tab/>
      </w:r>
      <w:r w:rsidRPr="00F008F6">
        <w:rPr>
          <w:noProof/>
        </w:rPr>
        <w:fldChar w:fldCharType="begin"/>
      </w:r>
      <w:r w:rsidRPr="00F008F6">
        <w:rPr>
          <w:noProof/>
        </w:rPr>
        <w:instrText xml:space="preserve"> PAGEREF _Toc187135837 \h </w:instrText>
      </w:r>
      <w:r w:rsidRPr="00F008F6">
        <w:rPr>
          <w:noProof/>
        </w:rPr>
      </w:r>
      <w:r w:rsidRPr="00F008F6">
        <w:rPr>
          <w:noProof/>
        </w:rPr>
        <w:fldChar w:fldCharType="separate"/>
      </w:r>
      <w:r w:rsidRPr="00F008F6">
        <w:rPr>
          <w:noProof/>
        </w:rPr>
        <w:t>149</w:t>
      </w:r>
      <w:r w:rsidRPr="00F008F6">
        <w:rPr>
          <w:noProof/>
        </w:rPr>
        <w:fldChar w:fldCharType="end"/>
      </w:r>
    </w:p>
    <w:p w14:paraId="6EE44108" w14:textId="2A28914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42ZCZS</w:t>
      </w:r>
      <w:r>
        <w:rPr>
          <w:noProof/>
        </w:rPr>
        <w:tab/>
        <w:t>Publication of final decision</w:t>
      </w:r>
      <w:r w:rsidRPr="00F008F6">
        <w:rPr>
          <w:noProof/>
        </w:rPr>
        <w:tab/>
      </w:r>
      <w:r w:rsidRPr="00F008F6">
        <w:rPr>
          <w:noProof/>
        </w:rPr>
        <w:fldChar w:fldCharType="begin"/>
      </w:r>
      <w:r w:rsidRPr="00F008F6">
        <w:rPr>
          <w:noProof/>
        </w:rPr>
        <w:instrText xml:space="preserve"> PAGEREF _Toc187135838 \h </w:instrText>
      </w:r>
      <w:r w:rsidRPr="00F008F6">
        <w:rPr>
          <w:noProof/>
        </w:rPr>
      </w:r>
      <w:r w:rsidRPr="00F008F6">
        <w:rPr>
          <w:noProof/>
        </w:rPr>
        <w:fldChar w:fldCharType="separate"/>
      </w:r>
      <w:r w:rsidRPr="00F008F6">
        <w:rPr>
          <w:noProof/>
        </w:rPr>
        <w:t>149</w:t>
      </w:r>
      <w:r w:rsidRPr="00F008F6">
        <w:rPr>
          <w:noProof/>
        </w:rPr>
        <w:fldChar w:fldCharType="end"/>
      </w:r>
    </w:p>
    <w:p w14:paraId="459FBC54" w14:textId="683CAFF7" w:rsidR="00F008F6" w:rsidRDefault="00F008F6" w:rsidP="00EF338C">
      <w:pPr>
        <w:pStyle w:val="TOC4"/>
        <w:keepLines w:val="0"/>
        <w:rPr>
          <w:rFonts w:asciiTheme="minorHAnsi" w:eastAsiaTheme="minorEastAsia" w:hAnsiTheme="minorHAnsi" w:cstheme="minorBidi"/>
          <w:b w:val="0"/>
          <w:noProof/>
          <w:kern w:val="2"/>
          <w:sz w:val="24"/>
          <w:szCs w:val="24"/>
          <w14:ligatures w14:val="standardContextual"/>
        </w:rPr>
      </w:pPr>
      <w:r>
        <w:rPr>
          <w:noProof/>
        </w:rPr>
        <w:t>Subdivision 3D.3—Procedure if proposed amendments not referred to expert advisory committee</w:t>
      </w:r>
      <w:r w:rsidRPr="00F008F6">
        <w:rPr>
          <w:b w:val="0"/>
          <w:noProof/>
          <w:sz w:val="18"/>
        </w:rPr>
        <w:tab/>
      </w:r>
      <w:r w:rsidRPr="00F008F6">
        <w:rPr>
          <w:b w:val="0"/>
          <w:noProof/>
          <w:sz w:val="18"/>
        </w:rPr>
        <w:fldChar w:fldCharType="begin"/>
      </w:r>
      <w:r w:rsidRPr="00F008F6">
        <w:rPr>
          <w:b w:val="0"/>
          <w:noProof/>
          <w:sz w:val="18"/>
        </w:rPr>
        <w:instrText xml:space="preserve"> PAGEREF _Toc187135839 \h </w:instrText>
      </w:r>
      <w:r w:rsidRPr="00F008F6">
        <w:rPr>
          <w:b w:val="0"/>
          <w:noProof/>
          <w:sz w:val="18"/>
        </w:rPr>
      </w:r>
      <w:r w:rsidRPr="00F008F6">
        <w:rPr>
          <w:b w:val="0"/>
          <w:noProof/>
          <w:sz w:val="18"/>
        </w:rPr>
        <w:fldChar w:fldCharType="separate"/>
      </w:r>
      <w:r w:rsidRPr="00F008F6">
        <w:rPr>
          <w:b w:val="0"/>
          <w:noProof/>
          <w:sz w:val="18"/>
        </w:rPr>
        <w:t>149</w:t>
      </w:r>
      <w:r w:rsidRPr="00F008F6">
        <w:rPr>
          <w:b w:val="0"/>
          <w:noProof/>
          <w:sz w:val="18"/>
        </w:rPr>
        <w:fldChar w:fldCharType="end"/>
      </w:r>
    </w:p>
    <w:p w14:paraId="1C08B610" w14:textId="1F52629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42ZCZT</w:t>
      </w:r>
      <w:r>
        <w:rPr>
          <w:noProof/>
        </w:rPr>
        <w:tab/>
        <w:t>Application</w:t>
      </w:r>
      <w:r w:rsidRPr="00F008F6">
        <w:rPr>
          <w:noProof/>
        </w:rPr>
        <w:tab/>
      </w:r>
      <w:r w:rsidRPr="00F008F6">
        <w:rPr>
          <w:noProof/>
        </w:rPr>
        <w:fldChar w:fldCharType="begin"/>
      </w:r>
      <w:r w:rsidRPr="00F008F6">
        <w:rPr>
          <w:noProof/>
        </w:rPr>
        <w:instrText xml:space="preserve"> PAGEREF _Toc187135840 \h </w:instrText>
      </w:r>
      <w:r w:rsidRPr="00F008F6">
        <w:rPr>
          <w:noProof/>
        </w:rPr>
      </w:r>
      <w:r w:rsidRPr="00F008F6">
        <w:rPr>
          <w:noProof/>
        </w:rPr>
        <w:fldChar w:fldCharType="separate"/>
      </w:r>
      <w:r w:rsidRPr="00F008F6">
        <w:rPr>
          <w:noProof/>
        </w:rPr>
        <w:t>149</w:t>
      </w:r>
      <w:r w:rsidRPr="00F008F6">
        <w:rPr>
          <w:noProof/>
        </w:rPr>
        <w:fldChar w:fldCharType="end"/>
      </w:r>
    </w:p>
    <w:p w14:paraId="153D4B99" w14:textId="2C30CB32"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42ZCZU</w:t>
      </w:r>
      <w:r>
        <w:rPr>
          <w:noProof/>
        </w:rPr>
        <w:tab/>
        <w:t>Final decision without interim decision</w:t>
      </w:r>
      <w:r w:rsidRPr="00F008F6">
        <w:rPr>
          <w:noProof/>
        </w:rPr>
        <w:tab/>
      </w:r>
      <w:r w:rsidRPr="00F008F6">
        <w:rPr>
          <w:noProof/>
        </w:rPr>
        <w:fldChar w:fldCharType="begin"/>
      </w:r>
      <w:r w:rsidRPr="00F008F6">
        <w:rPr>
          <w:noProof/>
        </w:rPr>
        <w:instrText xml:space="preserve"> PAGEREF _Toc187135841 \h </w:instrText>
      </w:r>
      <w:r w:rsidRPr="00F008F6">
        <w:rPr>
          <w:noProof/>
        </w:rPr>
      </w:r>
      <w:r w:rsidRPr="00F008F6">
        <w:rPr>
          <w:noProof/>
        </w:rPr>
        <w:fldChar w:fldCharType="separate"/>
      </w:r>
      <w:r w:rsidRPr="00F008F6">
        <w:rPr>
          <w:noProof/>
        </w:rPr>
        <w:t>150</w:t>
      </w:r>
      <w:r w:rsidRPr="00F008F6">
        <w:rPr>
          <w:noProof/>
        </w:rPr>
        <w:fldChar w:fldCharType="end"/>
      </w:r>
    </w:p>
    <w:p w14:paraId="6B89E081" w14:textId="239E13D0"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42ZCZV</w:t>
      </w:r>
      <w:r>
        <w:rPr>
          <w:noProof/>
        </w:rPr>
        <w:tab/>
        <w:t>Interim decision required if Secretary decides not to amend as requested</w:t>
      </w:r>
      <w:r w:rsidRPr="00F008F6">
        <w:rPr>
          <w:noProof/>
        </w:rPr>
        <w:tab/>
      </w:r>
      <w:r w:rsidRPr="00F008F6">
        <w:rPr>
          <w:noProof/>
        </w:rPr>
        <w:fldChar w:fldCharType="begin"/>
      </w:r>
      <w:r w:rsidRPr="00F008F6">
        <w:rPr>
          <w:noProof/>
        </w:rPr>
        <w:instrText xml:space="preserve"> PAGEREF _Toc187135842 \h </w:instrText>
      </w:r>
      <w:r w:rsidRPr="00F008F6">
        <w:rPr>
          <w:noProof/>
        </w:rPr>
      </w:r>
      <w:r w:rsidRPr="00F008F6">
        <w:rPr>
          <w:noProof/>
        </w:rPr>
        <w:fldChar w:fldCharType="separate"/>
      </w:r>
      <w:r w:rsidRPr="00F008F6">
        <w:rPr>
          <w:noProof/>
        </w:rPr>
        <w:t>150</w:t>
      </w:r>
      <w:r w:rsidRPr="00F008F6">
        <w:rPr>
          <w:noProof/>
        </w:rPr>
        <w:fldChar w:fldCharType="end"/>
      </w:r>
    </w:p>
    <w:p w14:paraId="2376B059" w14:textId="58DF9567"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42ZCZW</w:t>
      </w:r>
      <w:r>
        <w:rPr>
          <w:noProof/>
        </w:rPr>
        <w:tab/>
        <w:t>Final decision if there is interim decision</w:t>
      </w:r>
      <w:r w:rsidRPr="00F008F6">
        <w:rPr>
          <w:noProof/>
        </w:rPr>
        <w:tab/>
      </w:r>
      <w:r w:rsidRPr="00F008F6">
        <w:rPr>
          <w:noProof/>
        </w:rPr>
        <w:fldChar w:fldCharType="begin"/>
      </w:r>
      <w:r w:rsidRPr="00F008F6">
        <w:rPr>
          <w:noProof/>
        </w:rPr>
        <w:instrText xml:space="preserve"> PAGEREF _Toc187135843 \h </w:instrText>
      </w:r>
      <w:r w:rsidRPr="00F008F6">
        <w:rPr>
          <w:noProof/>
        </w:rPr>
      </w:r>
      <w:r w:rsidRPr="00F008F6">
        <w:rPr>
          <w:noProof/>
        </w:rPr>
        <w:fldChar w:fldCharType="separate"/>
      </w:r>
      <w:r w:rsidRPr="00F008F6">
        <w:rPr>
          <w:noProof/>
        </w:rPr>
        <w:t>150</w:t>
      </w:r>
      <w:r w:rsidRPr="00F008F6">
        <w:rPr>
          <w:noProof/>
        </w:rPr>
        <w:fldChar w:fldCharType="end"/>
      </w:r>
    </w:p>
    <w:p w14:paraId="1B5806FF" w14:textId="2BCE827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42ZCZX</w:t>
      </w:r>
      <w:r>
        <w:rPr>
          <w:noProof/>
        </w:rPr>
        <w:tab/>
        <w:t>Publication of final decision</w:t>
      </w:r>
      <w:r w:rsidRPr="00F008F6">
        <w:rPr>
          <w:noProof/>
        </w:rPr>
        <w:tab/>
      </w:r>
      <w:r w:rsidRPr="00F008F6">
        <w:rPr>
          <w:noProof/>
        </w:rPr>
        <w:fldChar w:fldCharType="begin"/>
      </w:r>
      <w:r w:rsidRPr="00F008F6">
        <w:rPr>
          <w:noProof/>
        </w:rPr>
        <w:instrText xml:space="preserve"> PAGEREF _Toc187135844 \h </w:instrText>
      </w:r>
      <w:r w:rsidRPr="00F008F6">
        <w:rPr>
          <w:noProof/>
        </w:rPr>
      </w:r>
      <w:r w:rsidRPr="00F008F6">
        <w:rPr>
          <w:noProof/>
        </w:rPr>
        <w:fldChar w:fldCharType="separate"/>
      </w:r>
      <w:r w:rsidRPr="00F008F6">
        <w:rPr>
          <w:noProof/>
        </w:rPr>
        <w:t>150</w:t>
      </w:r>
      <w:r w:rsidRPr="00F008F6">
        <w:rPr>
          <w:noProof/>
        </w:rPr>
        <w:fldChar w:fldCharType="end"/>
      </w:r>
    </w:p>
    <w:p w14:paraId="1B11351D" w14:textId="679ED959"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7—Charges for registration, listing and inclusion, licences, exemptions, costs and fees</w:t>
      </w:r>
      <w:r w:rsidRPr="00F008F6">
        <w:rPr>
          <w:b w:val="0"/>
          <w:noProof/>
          <w:sz w:val="18"/>
        </w:rPr>
        <w:tab/>
      </w:r>
      <w:r w:rsidRPr="00F008F6">
        <w:rPr>
          <w:b w:val="0"/>
          <w:noProof/>
          <w:sz w:val="18"/>
        </w:rPr>
        <w:fldChar w:fldCharType="begin"/>
      </w:r>
      <w:r w:rsidRPr="00F008F6">
        <w:rPr>
          <w:b w:val="0"/>
          <w:noProof/>
          <w:sz w:val="18"/>
        </w:rPr>
        <w:instrText xml:space="preserve"> PAGEREF _Toc187135845 \h </w:instrText>
      </w:r>
      <w:r w:rsidRPr="00F008F6">
        <w:rPr>
          <w:b w:val="0"/>
          <w:noProof/>
          <w:sz w:val="18"/>
        </w:rPr>
      </w:r>
      <w:r w:rsidRPr="00F008F6">
        <w:rPr>
          <w:b w:val="0"/>
          <w:noProof/>
          <w:sz w:val="18"/>
        </w:rPr>
        <w:fldChar w:fldCharType="separate"/>
      </w:r>
      <w:r w:rsidRPr="00F008F6">
        <w:rPr>
          <w:b w:val="0"/>
          <w:noProof/>
          <w:sz w:val="18"/>
        </w:rPr>
        <w:t>151</w:t>
      </w:r>
      <w:r w:rsidRPr="00F008F6">
        <w:rPr>
          <w:b w:val="0"/>
          <w:noProof/>
          <w:sz w:val="18"/>
        </w:rPr>
        <w:fldChar w:fldCharType="end"/>
      </w:r>
    </w:p>
    <w:p w14:paraId="7E2F5028" w14:textId="2E854B9C"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1—Charges for registration, listing and inclusion of therapeutic goods, exemptions and licences</w:t>
      </w:r>
      <w:r w:rsidRPr="00F008F6">
        <w:rPr>
          <w:b w:val="0"/>
          <w:noProof/>
          <w:sz w:val="18"/>
        </w:rPr>
        <w:tab/>
      </w:r>
      <w:r w:rsidRPr="00F008F6">
        <w:rPr>
          <w:b w:val="0"/>
          <w:noProof/>
          <w:sz w:val="18"/>
        </w:rPr>
        <w:fldChar w:fldCharType="begin"/>
      </w:r>
      <w:r w:rsidRPr="00F008F6">
        <w:rPr>
          <w:b w:val="0"/>
          <w:noProof/>
          <w:sz w:val="18"/>
        </w:rPr>
        <w:instrText xml:space="preserve"> PAGEREF _Toc187135846 \h </w:instrText>
      </w:r>
      <w:r w:rsidRPr="00F008F6">
        <w:rPr>
          <w:b w:val="0"/>
          <w:noProof/>
          <w:sz w:val="18"/>
        </w:rPr>
      </w:r>
      <w:r w:rsidRPr="00F008F6">
        <w:rPr>
          <w:b w:val="0"/>
          <w:noProof/>
          <w:sz w:val="18"/>
        </w:rPr>
        <w:fldChar w:fldCharType="separate"/>
      </w:r>
      <w:r w:rsidRPr="00F008F6">
        <w:rPr>
          <w:b w:val="0"/>
          <w:noProof/>
          <w:sz w:val="18"/>
        </w:rPr>
        <w:t>151</w:t>
      </w:r>
      <w:r w:rsidRPr="00F008F6">
        <w:rPr>
          <w:b w:val="0"/>
          <w:noProof/>
          <w:sz w:val="18"/>
        </w:rPr>
        <w:fldChar w:fldCharType="end"/>
      </w:r>
    </w:p>
    <w:p w14:paraId="7822F854" w14:textId="77498E9F" w:rsidR="00F008F6" w:rsidRDefault="00F008F6" w:rsidP="00EF338C">
      <w:pPr>
        <w:pStyle w:val="TOC4"/>
        <w:keepLines w:val="0"/>
        <w:rPr>
          <w:rFonts w:asciiTheme="minorHAnsi" w:eastAsiaTheme="minorEastAsia" w:hAnsiTheme="minorHAnsi" w:cstheme="minorBidi"/>
          <w:b w:val="0"/>
          <w:noProof/>
          <w:kern w:val="2"/>
          <w:sz w:val="24"/>
          <w:szCs w:val="24"/>
          <w14:ligatures w14:val="standardContextual"/>
        </w:rPr>
      </w:pPr>
      <w:r>
        <w:rPr>
          <w:noProof/>
        </w:rPr>
        <w:t>Subdivision 1—Preliminary</w:t>
      </w:r>
      <w:r w:rsidRPr="00F008F6">
        <w:rPr>
          <w:b w:val="0"/>
          <w:noProof/>
          <w:sz w:val="18"/>
        </w:rPr>
        <w:tab/>
      </w:r>
      <w:r w:rsidRPr="00F008F6">
        <w:rPr>
          <w:b w:val="0"/>
          <w:noProof/>
          <w:sz w:val="18"/>
        </w:rPr>
        <w:fldChar w:fldCharType="begin"/>
      </w:r>
      <w:r w:rsidRPr="00F008F6">
        <w:rPr>
          <w:b w:val="0"/>
          <w:noProof/>
          <w:sz w:val="18"/>
        </w:rPr>
        <w:instrText xml:space="preserve"> PAGEREF _Toc187135847 \h </w:instrText>
      </w:r>
      <w:r w:rsidRPr="00F008F6">
        <w:rPr>
          <w:b w:val="0"/>
          <w:noProof/>
          <w:sz w:val="18"/>
        </w:rPr>
      </w:r>
      <w:r w:rsidRPr="00F008F6">
        <w:rPr>
          <w:b w:val="0"/>
          <w:noProof/>
          <w:sz w:val="18"/>
        </w:rPr>
        <w:fldChar w:fldCharType="separate"/>
      </w:r>
      <w:r w:rsidRPr="00F008F6">
        <w:rPr>
          <w:b w:val="0"/>
          <w:noProof/>
          <w:sz w:val="18"/>
        </w:rPr>
        <w:t>151</w:t>
      </w:r>
      <w:r w:rsidRPr="00F008F6">
        <w:rPr>
          <w:b w:val="0"/>
          <w:noProof/>
          <w:sz w:val="18"/>
        </w:rPr>
        <w:fldChar w:fldCharType="end"/>
      </w:r>
    </w:p>
    <w:p w14:paraId="709D9AA2" w14:textId="084E4E6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43AAA</w:t>
      </w:r>
      <w:r>
        <w:rPr>
          <w:noProof/>
        </w:rPr>
        <w:tab/>
        <w:t>Meaning of turnover and when turnover is of low value</w:t>
      </w:r>
      <w:r w:rsidRPr="00F008F6">
        <w:rPr>
          <w:noProof/>
        </w:rPr>
        <w:tab/>
      </w:r>
      <w:r w:rsidRPr="00F008F6">
        <w:rPr>
          <w:noProof/>
        </w:rPr>
        <w:fldChar w:fldCharType="begin"/>
      </w:r>
      <w:r w:rsidRPr="00F008F6">
        <w:rPr>
          <w:noProof/>
        </w:rPr>
        <w:instrText xml:space="preserve"> PAGEREF _Toc187135848 \h </w:instrText>
      </w:r>
      <w:r w:rsidRPr="00F008F6">
        <w:rPr>
          <w:noProof/>
        </w:rPr>
      </w:r>
      <w:r w:rsidRPr="00F008F6">
        <w:rPr>
          <w:noProof/>
        </w:rPr>
        <w:fldChar w:fldCharType="separate"/>
      </w:r>
      <w:r w:rsidRPr="00F008F6">
        <w:rPr>
          <w:noProof/>
        </w:rPr>
        <w:t>151</w:t>
      </w:r>
      <w:r w:rsidRPr="00F008F6">
        <w:rPr>
          <w:noProof/>
        </w:rPr>
        <w:fldChar w:fldCharType="end"/>
      </w:r>
    </w:p>
    <w:p w14:paraId="69423D3F" w14:textId="5091E80A" w:rsidR="00F008F6" w:rsidRDefault="00F008F6" w:rsidP="00EF338C">
      <w:pPr>
        <w:pStyle w:val="TOC4"/>
        <w:keepLines w:val="0"/>
        <w:rPr>
          <w:rFonts w:asciiTheme="minorHAnsi" w:eastAsiaTheme="minorEastAsia" w:hAnsiTheme="minorHAnsi" w:cstheme="minorBidi"/>
          <w:b w:val="0"/>
          <w:noProof/>
          <w:kern w:val="2"/>
          <w:sz w:val="24"/>
          <w:szCs w:val="24"/>
          <w14:ligatures w14:val="standardContextual"/>
        </w:rPr>
      </w:pPr>
      <w:r>
        <w:rPr>
          <w:noProof/>
        </w:rPr>
        <w:t>Subdivision 1A—Time for payment of certain annual charges</w:t>
      </w:r>
      <w:r w:rsidRPr="00F008F6">
        <w:rPr>
          <w:b w:val="0"/>
          <w:noProof/>
          <w:sz w:val="18"/>
        </w:rPr>
        <w:tab/>
      </w:r>
      <w:r w:rsidRPr="00F008F6">
        <w:rPr>
          <w:b w:val="0"/>
          <w:noProof/>
          <w:sz w:val="18"/>
        </w:rPr>
        <w:fldChar w:fldCharType="begin"/>
      </w:r>
      <w:r w:rsidRPr="00F008F6">
        <w:rPr>
          <w:b w:val="0"/>
          <w:noProof/>
          <w:sz w:val="18"/>
        </w:rPr>
        <w:instrText xml:space="preserve"> PAGEREF _Toc187135849 \h </w:instrText>
      </w:r>
      <w:r w:rsidRPr="00F008F6">
        <w:rPr>
          <w:b w:val="0"/>
          <w:noProof/>
          <w:sz w:val="18"/>
        </w:rPr>
      </w:r>
      <w:r w:rsidRPr="00F008F6">
        <w:rPr>
          <w:b w:val="0"/>
          <w:noProof/>
          <w:sz w:val="18"/>
        </w:rPr>
        <w:fldChar w:fldCharType="separate"/>
      </w:r>
      <w:r w:rsidRPr="00F008F6">
        <w:rPr>
          <w:b w:val="0"/>
          <w:noProof/>
          <w:sz w:val="18"/>
        </w:rPr>
        <w:t>151</w:t>
      </w:r>
      <w:r w:rsidRPr="00F008F6">
        <w:rPr>
          <w:b w:val="0"/>
          <w:noProof/>
          <w:sz w:val="18"/>
        </w:rPr>
        <w:fldChar w:fldCharType="end"/>
      </w:r>
    </w:p>
    <w:p w14:paraId="2D349898" w14:textId="1188A399"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43AAB</w:t>
      </w:r>
      <w:r>
        <w:rPr>
          <w:noProof/>
        </w:rPr>
        <w:tab/>
        <w:t>Time for payment of certain annual charges</w:t>
      </w:r>
      <w:r w:rsidRPr="00F008F6">
        <w:rPr>
          <w:noProof/>
        </w:rPr>
        <w:tab/>
      </w:r>
      <w:r w:rsidRPr="00F008F6">
        <w:rPr>
          <w:noProof/>
        </w:rPr>
        <w:fldChar w:fldCharType="begin"/>
      </w:r>
      <w:r w:rsidRPr="00F008F6">
        <w:rPr>
          <w:noProof/>
        </w:rPr>
        <w:instrText xml:space="preserve"> PAGEREF _Toc187135850 \h </w:instrText>
      </w:r>
      <w:r w:rsidRPr="00F008F6">
        <w:rPr>
          <w:noProof/>
        </w:rPr>
      </w:r>
      <w:r w:rsidRPr="00F008F6">
        <w:rPr>
          <w:noProof/>
        </w:rPr>
        <w:fldChar w:fldCharType="separate"/>
      </w:r>
      <w:r w:rsidRPr="00F008F6">
        <w:rPr>
          <w:noProof/>
        </w:rPr>
        <w:t>151</w:t>
      </w:r>
      <w:r w:rsidRPr="00F008F6">
        <w:rPr>
          <w:noProof/>
        </w:rPr>
        <w:fldChar w:fldCharType="end"/>
      </w:r>
    </w:p>
    <w:p w14:paraId="55CEB89D" w14:textId="4C911F6C" w:rsidR="00F008F6" w:rsidRDefault="00F008F6" w:rsidP="00EF338C">
      <w:pPr>
        <w:pStyle w:val="TOC4"/>
        <w:keepLines w:val="0"/>
        <w:rPr>
          <w:rFonts w:asciiTheme="minorHAnsi" w:eastAsiaTheme="minorEastAsia" w:hAnsiTheme="minorHAnsi" w:cstheme="minorBidi"/>
          <w:b w:val="0"/>
          <w:noProof/>
          <w:kern w:val="2"/>
          <w:sz w:val="24"/>
          <w:szCs w:val="24"/>
          <w14:ligatures w14:val="standardContextual"/>
        </w:rPr>
      </w:pPr>
      <w:r>
        <w:rPr>
          <w:noProof/>
        </w:rPr>
        <w:t>Subdivision 2—Exemption from liability to pay certain annual charges—therapeutic goods other than IVD devices</w:t>
      </w:r>
      <w:r w:rsidRPr="00F008F6">
        <w:rPr>
          <w:b w:val="0"/>
          <w:noProof/>
          <w:sz w:val="18"/>
        </w:rPr>
        <w:tab/>
      </w:r>
      <w:r w:rsidRPr="00F008F6">
        <w:rPr>
          <w:b w:val="0"/>
          <w:noProof/>
          <w:sz w:val="18"/>
        </w:rPr>
        <w:fldChar w:fldCharType="begin"/>
      </w:r>
      <w:r w:rsidRPr="00F008F6">
        <w:rPr>
          <w:b w:val="0"/>
          <w:noProof/>
          <w:sz w:val="18"/>
        </w:rPr>
        <w:instrText xml:space="preserve"> PAGEREF _Toc187135851 \h </w:instrText>
      </w:r>
      <w:r w:rsidRPr="00F008F6">
        <w:rPr>
          <w:b w:val="0"/>
          <w:noProof/>
          <w:sz w:val="18"/>
        </w:rPr>
      </w:r>
      <w:r w:rsidRPr="00F008F6">
        <w:rPr>
          <w:b w:val="0"/>
          <w:noProof/>
          <w:sz w:val="18"/>
        </w:rPr>
        <w:fldChar w:fldCharType="separate"/>
      </w:r>
      <w:r w:rsidRPr="00F008F6">
        <w:rPr>
          <w:b w:val="0"/>
          <w:noProof/>
          <w:sz w:val="18"/>
        </w:rPr>
        <w:t>152</w:t>
      </w:r>
      <w:r w:rsidRPr="00F008F6">
        <w:rPr>
          <w:b w:val="0"/>
          <w:noProof/>
          <w:sz w:val="18"/>
        </w:rPr>
        <w:fldChar w:fldCharType="end"/>
      </w:r>
    </w:p>
    <w:p w14:paraId="768D3E1E" w14:textId="01D6310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43AAAA</w:t>
      </w:r>
      <w:r>
        <w:rPr>
          <w:noProof/>
        </w:rPr>
        <w:tab/>
        <w:t>Application</w:t>
      </w:r>
      <w:r w:rsidRPr="00F008F6">
        <w:rPr>
          <w:noProof/>
        </w:rPr>
        <w:tab/>
      </w:r>
      <w:r w:rsidRPr="00F008F6">
        <w:rPr>
          <w:noProof/>
        </w:rPr>
        <w:fldChar w:fldCharType="begin"/>
      </w:r>
      <w:r w:rsidRPr="00F008F6">
        <w:rPr>
          <w:noProof/>
        </w:rPr>
        <w:instrText xml:space="preserve"> PAGEREF _Toc187135852 \h </w:instrText>
      </w:r>
      <w:r w:rsidRPr="00F008F6">
        <w:rPr>
          <w:noProof/>
        </w:rPr>
      </w:r>
      <w:r w:rsidRPr="00F008F6">
        <w:rPr>
          <w:noProof/>
        </w:rPr>
        <w:fldChar w:fldCharType="separate"/>
      </w:r>
      <w:r w:rsidRPr="00F008F6">
        <w:rPr>
          <w:noProof/>
        </w:rPr>
        <w:t>152</w:t>
      </w:r>
      <w:r w:rsidRPr="00F008F6">
        <w:rPr>
          <w:noProof/>
        </w:rPr>
        <w:fldChar w:fldCharType="end"/>
      </w:r>
    </w:p>
    <w:p w14:paraId="2394F1FF" w14:textId="08030F8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43AABA</w:t>
      </w:r>
      <w:r>
        <w:rPr>
          <w:noProof/>
        </w:rPr>
        <w:tab/>
        <w:t>Purpose of this Subdivision</w:t>
      </w:r>
      <w:r w:rsidRPr="00F008F6">
        <w:rPr>
          <w:noProof/>
        </w:rPr>
        <w:tab/>
      </w:r>
      <w:r w:rsidRPr="00F008F6">
        <w:rPr>
          <w:noProof/>
        </w:rPr>
        <w:fldChar w:fldCharType="begin"/>
      </w:r>
      <w:r w:rsidRPr="00F008F6">
        <w:rPr>
          <w:noProof/>
        </w:rPr>
        <w:instrText xml:space="preserve"> PAGEREF _Toc187135853 \h </w:instrText>
      </w:r>
      <w:r w:rsidRPr="00F008F6">
        <w:rPr>
          <w:noProof/>
        </w:rPr>
      </w:r>
      <w:r w:rsidRPr="00F008F6">
        <w:rPr>
          <w:noProof/>
        </w:rPr>
        <w:fldChar w:fldCharType="separate"/>
      </w:r>
      <w:r w:rsidRPr="00F008F6">
        <w:rPr>
          <w:noProof/>
        </w:rPr>
        <w:t>152</w:t>
      </w:r>
      <w:r w:rsidRPr="00F008F6">
        <w:rPr>
          <w:noProof/>
        </w:rPr>
        <w:fldChar w:fldCharType="end"/>
      </w:r>
    </w:p>
    <w:p w14:paraId="24148919" w14:textId="1BAD85E6"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43AABB</w:t>
      </w:r>
      <w:r>
        <w:rPr>
          <w:noProof/>
        </w:rPr>
        <w:tab/>
        <w:t>Exemption from liability to pay certain annual charges—2014</w:t>
      </w:r>
      <w:r>
        <w:rPr>
          <w:noProof/>
        </w:rPr>
        <w:noBreakHyphen/>
        <w:t>15 financial year—goods entered on Register on or after 1 May 2015 and on or before 30 June 2015</w:t>
      </w:r>
      <w:r w:rsidRPr="00F008F6">
        <w:rPr>
          <w:noProof/>
        </w:rPr>
        <w:tab/>
      </w:r>
      <w:r w:rsidRPr="00F008F6">
        <w:rPr>
          <w:noProof/>
        </w:rPr>
        <w:fldChar w:fldCharType="begin"/>
      </w:r>
      <w:r w:rsidRPr="00F008F6">
        <w:rPr>
          <w:noProof/>
        </w:rPr>
        <w:instrText xml:space="preserve"> PAGEREF _Toc187135854 \h </w:instrText>
      </w:r>
      <w:r w:rsidRPr="00F008F6">
        <w:rPr>
          <w:noProof/>
        </w:rPr>
      </w:r>
      <w:r w:rsidRPr="00F008F6">
        <w:rPr>
          <w:noProof/>
        </w:rPr>
        <w:fldChar w:fldCharType="separate"/>
      </w:r>
      <w:r w:rsidRPr="00F008F6">
        <w:rPr>
          <w:noProof/>
        </w:rPr>
        <w:t>152</w:t>
      </w:r>
      <w:r w:rsidRPr="00F008F6">
        <w:rPr>
          <w:noProof/>
        </w:rPr>
        <w:fldChar w:fldCharType="end"/>
      </w:r>
    </w:p>
    <w:p w14:paraId="42DC462B" w14:textId="0E4E819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43AAC</w:t>
      </w:r>
      <w:r>
        <w:rPr>
          <w:noProof/>
        </w:rPr>
        <w:tab/>
        <w:t>Exemption from liability to pay certain annual charges—2015</w:t>
      </w:r>
      <w:r>
        <w:rPr>
          <w:noProof/>
        </w:rPr>
        <w:noBreakHyphen/>
        <w:t>16 financial year</w:t>
      </w:r>
      <w:r w:rsidRPr="00F008F6">
        <w:rPr>
          <w:noProof/>
        </w:rPr>
        <w:tab/>
      </w:r>
      <w:r w:rsidRPr="00F008F6">
        <w:rPr>
          <w:noProof/>
        </w:rPr>
        <w:fldChar w:fldCharType="begin"/>
      </w:r>
      <w:r w:rsidRPr="00F008F6">
        <w:rPr>
          <w:noProof/>
        </w:rPr>
        <w:instrText xml:space="preserve"> PAGEREF _Toc187135855 \h </w:instrText>
      </w:r>
      <w:r w:rsidRPr="00F008F6">
        <w:rPr>
          <w:noProof/>
        </w:rPr>
      </w:r>
      <w:r w:rsidRPr="00F008F6">
        <w:rPr>
          <w:noProof/>
        </w:rPr>
        <w:fldChar w:fldCharType="separate"/>
      </w:r>
      <w:r w:rsidRPr="00F008F6">
        <w:rPr>
          <w:noProof/>
        </w:rPr>
        <w:t>153</w:t>
      </w:r>
      <w:r w:rsidRPr="00F008F6">
        <w:rPr>
          <w:noProof/>
        </w:rPr>
        <w:fldChar w:fldCharType="end"/>
      </w:r>
    </w:p>
    <w:p w14:paraId="177CC168" w14:textId="1715FF0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43AAD</w:t>
      </w:r>
      <w:r>
        <w:rPr>
          <w:noProof/>
        </w:rPr>
        <w:tab/>
        <w:t>Exemption from liability to pay certain annual charges—financial years commencing on or after 1 July 2016</w:t>
      </w:r>
      <w:r w:rsidRPr="00F008F6">
        <w:rPr>
          <w:noProof/>
        </w:rPr>
        <w:tab/>
      </w:r>
      <w:r w:rsidRPr="00F008F6">
        <w:rPr>
          <w:noProof/>
        </w:rPr>
        <w:fldChar w:fldCharType="begin"/>
      </w:r>
      <w:r w:rsidRPr="00F008F6">
        <w:rPr>
          <w:noProof/>
        </w:rPr>
        <w:instrText xml:space="preserve"> PAGEREF _Toc187135856 \h </w:instrText>
      </w:r>
      <w:r w:rsidRPr="00F008F6">
        <w:rPr>
          <w:noProof/>
        </w:rPr>
      </w:r>
      <w:r w:rsidRPr="00F008F6">
        <w:rPr>
          <w:noProof/>
        </w:rPr>
        <w:fldChar w:fldCharType="separate"/>
      </w:r>
      <w:r w:rsidRPr="00F008F6">
        <w:rPr>
          <w:noProof/>
        </w:rPr>
        <w:t>157</w:t>
      </w:r>
      <w:r w:rsidRPr="00F008F6">
        <w:rPr>
          <w:noProof/>
        </w:rPr>
        <w:fldChar w:fldCharType="end"/>
      </w:r>
    </w:p>
    <w:p w14:paraId="281467D5" w14:textId="110759B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43AAE</w:t>
      </w:r>
      <w:r>
        <w:rPr>
          <w:noProof/>
        </w:rPr>
        <w:tab/>
        <w:t>Exemption from liability to pay certain annual charges—late notice that turnover was of low value</w:t>
      </w:r>
      <w:r w:rsidRPr="00F008F6">
        <w:rPr>
          <w:noProof/>
        </w:rPr>
        <w:tab/>
      </w:r>
      <w:r w:rsidRPr="00F008F6">
        <w:rPr>
          <w:noProof/>
        </w:rPr>
        <w:fldChar w:fldCharType="begin"/>
      </w:r>
      <w:r w:rsidRPr="00F008F6">
        <w:rPr>
          <w:noProof/>
        </w:rPr>
        <w:instrText xml:space="preserve"> PAGEREF _Toc187135857 \h </w:instrText>
      </w:r>
      <w:r w:rsidRPr="00F008F6">
        <w:rPr>
          <w:noProof/>
        </w:rPr>
      </w:r>
      <w:r w:rsidRPr="00F008F6">
        <w:rPr>
          <w:noProof/>
        </w:rPr>
        <w:fldChar w:fldCharType="separate"/>
      </w:r>
      <w:r w:rsidRPr="00F008F6">
        <w:rPr>
          <w:noProof/>
        </w:rPr>
        <w:t>157</w:t>
      </w:r>
      <w:r w:rsidRPr="00F008F6">
        <w:rPr>
          <w:noProof/>
        </w:rPr>
        <w:fldChar w:fldCharType="end"/>
      </w:r>
    </w:p>
    <w:p w14:paraId="31E020EF" w14:textId="16EE535D"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43AAF</w:t>
      </w:r>
      <w:r>
        <w:rPr>
          <w:noProof/>
        </w:rPr>
        <w:tab/>
        <w:t>Person may notify Secretary that turnover of goods for financial year will not be of low value</w:t>
      </w:r>
      <w:r w:rsidRPr="00F008F6">
        <w:rPr>
          <w:noProof/>
        </w:rPr>
        <w:tab/>
      </w:r>
      <w:r w:rsidRPr="00F008F6">
        <w:rPr>
          <w:noProof/>
        </w:rPr>
        <w:fldChar w:fldCharType="begin"/>
      </w:r>
      <w:r w:rsidRPr="00F008F6">
        <w:rPr>
          <w:noProof/>
        </w:rPr>
        <w:instrText xml:space="preserve"> PAGEREF _Toc187135858 \h </w:instrText>
      </w:r>
      <w:r w:rsidRPr="00F008F6">
        <w:rPr>
          <w:noProof/>
        </w:rPr>
      </w:r>
      <w:r w:rsidRPr="00F008F6">
        <w:rPr>
          <w:noProof/>
        </w:rPr>
        <w:fldChar w:fldCharType="separate"/>
      </w:r>
      <w:r w:rsidRPr="00F008F6">
        <w:rPr>
          <w:noProof/>
        </w:rPr>
        <w:t>159</w:t>
      </w:r>
      <w:r w:rsidRPr="00F008F6">
        <w:rPr>
          <w:noProof/>
        </w:rPr>
        <w:fldChar w:fldCharType="end"/>
      </w:r>
    </w:p>
    <w:p w14:paraId="7E5C4065" w14:textId="4AFA2B6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43AAG</w:t>
      </w:r>
      <w:r>
        <w:rPr>
          <w:noProof/>
        </w:rPr>
        <w:tab/>
        <w:t>Secretary may notify person that annual charge is payable if turnover is not of low value</w:t>
      </w:r>
      <w:r w:rsidRPr="00F008F6">
        <w:rPr>
          <w:noProof/>
        </w:rPr>
        <w:tab/>
      </w:r>
      <w:r w:rsidRPr="00F008F6">
        <w:rPr>
          <w:noProof/>
        </w:rPr>
        <w:fldChar w:fldCharType="begin"/>
      </w:r>
      <w:r w:rsidRPr="00F008F6">
        <w:rPr>
          <w:noProof/>
        </w:rPr>
        <w:instrText xml:space="preserve"> PAGEREF _Toc187135859 \h </w:instrText>
      </w:r>
      <w:r w:rsidRPr="00F008F6">
        <w:rPr>
          <w:noProof/>
        </w:rPr>
      </w:r>
      <w:r w:rsidRPr="00F008F6">
        <w:rPr>
          <w:noProof/>
        </w:rPr>
        <w:fldChar w:fldCharType="separate"/>
      </w:r>
      <w:r w:rsidRPr="00F008F6">
        <w:rPr>
          <w:noProof/>
        </w:rPr>
        <w:t>159</w:t>
      </w:r>
      <w:r w:rsidRPr="00F008F6">
        <w:rPr>
          <w:noProof/>
        </w:rPr>
        <w:fldChar w:fldCharType="end"/>
      </w:r>
    </w:p>
    <w:p w14:paraId="341F5F26" w14:textId="5F22589A" w:rsidR="00F008F6" w:rsidRDefault="00F008F6" w:rsidP="00EF338C">
      <w:pPr>
        <w:pStyle w:val="TOC4"/>
        <w:keepLines w:val="0"/>
        <w:rPr>
          <w:rFonts w:asciiTheme="minorHAnsi" w:eastAsiaTheme="minorEastAsia" w:hAnsiTheme="minorHAnsi" w:cstheme="minorBidi"/>
          <w:b w:val="0"/>
          <w:noProof/>
          <w:kern w:val="2"/>
          <w:sz w:val="24"/>
          <w:szCs w:val="24"/>
          <w14:ligatures w14:val="standardContextual"/>
        </w:rPr>
      </w:pPr>
      <w:r>
        <w:rPr>
          <w:noProof/>
        </w:rPr>
        <w:t>Subdivision 2A—Exemption from liability to pay annual charge—IVD devices</w:t>
      </w:r>
      <w:r w:rsidRPr="00F008F6">
        <w:rPr>
          <w:b w:val="0"/>
          <w:noProof/>
          <w:sz w:val="18"/>
        </w:rPr>
        <w:tab/>
      </w:r>
      <w:r w:rsidRPr="00F008F6">
        <w:rPr>
          <w:b w:val="0"/>
          <w:noProof/>
          <w:sz w:val="18"/>
        </w:rPr>
        <w:fldChar w:fldCharType="begin"/>
      </w:r>
      <w:r w:rsidRPr="00F008F6">
        <w:rPr>
          <w:b w:val="0"/>
          <w:noProof/>
          <w:sz w:val="18"/>
        </w:rPr>
        <w:instrText xml:space="preserve"> PAGEREF _Toc187135860 \h </w:instrText>
      </w:r>
      <w:r w:rsidRPr="00F008F6">
        <w:rPr>
          <w:b w:val="0"/>
          <w:noProof/>
          <w:sz w:val="18"/>
        </w:rPr>
      </w:r>
      <w:r w:rsidRPr="00F008F6">
        <w:rPr>
          <w:b w:val="0"/>
          <w:noProof/>
          <w:sz w:val="18"/>
        </w:rPr>
        <w:fldChar w:fldCharType="separate"/>
      </w:r>
      <w:r w:rsidRPr="00F008F6">
        <w:rPr>
          <w:b w:val="0"/>
          <w:noProof/>
          <w:sz w:val="18"/>
        </w:rPr>
        <w:t>161</w:t>
      </w:r>
      <w:r w:rsidRPr="00F008F6">
        <w:rPr>
          <w:b w:val="0"/>
          <w:noProof/>
          <w:sz w:val="18"/>
        </w:rPr>
        <w:fldChar w:fldCharType="end"/>
      </w:r>
    </w:p>
    <w:p w14:paraId="32920368" w14:textId="385BA41C"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43AAGA</w:t>
      </w:r>
      <w:r>
        <w:rPr>
          <w:noProof/>
        </w:rPr>
        <w:tab/>
        <w:t>Purpose of this Subdivision</w:t>
      </w:r>
      <w:r w:rsidRPr="00F008F6">
        <w:rPr>
          <w:noProof/>
        </w:rPr>
        <w:tab/>
      </w:r>
      <w:r w:rsidRPr="00F008F6">
        <w:rPr>
          <w:noProof/>
        </w:rPr>
        <w:fldChar w:fldCharType="begin"/>
      </w:r>
      <w:r w:rsidRPr="00F008F6">
        <w:rPr>
          <w:noProof/>
        </w:rPr>
        <w:instrText xml:space="preserve"> PAGEREF _Toc187135861 \h </w:instrText>
      </w:r>
      <w:r w:rsidRPr="00F008F6">
        <w:rPr>
          <w:noProof/>
        </w:rPr>
      </w:r>
      <w:r w:rsidRPr="00F008F6">
        <w:rPr>
          <w:noProof/>
        </w:rPr>
        <w:fldChar w:fldCharType="separate"/>
      </w:r>
      <w:r w:rsidRPr="00F008F6">
        <w:rPr>
          <w:noProof/>
        </w:rPr>
        <w:t>161</w:t>
      </w:r>
      <w:r w:rsidRPr="00F008F6">
        <w:rPr>
          <w:noProof/>
        </w:rPr>
        <w:fldChar w:fldCharType="end"/>
      </w:r>
    </w:p>
    <w:p w14:paraId="26997504" w14:textId="38B00B8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43AAGB</w:t>
      </w:r>
      <w:r>
        <w:rPr>
          <w:noProof/>
        </w:rPr>
        <w:tab/>
        <w:t>Exemption from liability to pay annual charge—2017</w:t>
      </w:r>
      <w:r>
        <w:rPr>
          <w:noProof/>
        </w:rPr>
        <w:noBreakHyphen/>
        <w:t>18 financial year</w:t>
      </w:r>
      <w:r w:rsidRPr="00F008F6">
        <w:rPr>
          <w:noProof/>
        </w:rPr>
        <w:tab/>
      </w:r>
      <w:r w:rsidRPr="00F008F6">
        <w:rPr>
          <w:noProof/>
        </w:rPr>
        <w:fldChar w:fldCharType="begin"/>
      </w:r>
      <w:r w:rsidRPr="00F008F6">
        <w:rPr>
          <w:noProof/>
        </w:rPr>
        <w:instrText xml:space="preserve"> PAGEREF _Toc187135862 \h </w:instrText>
      </w:r>
      <w:r w:rsidRPr="00F008F6">
        <w:rPr>
          <w:noProof/>
        </w:rPr>
      </w:r>
      <w:r w:rsidRPr="00F008F6">
        <w:rPr>
          <w:noProof/>
        </w:rPr>
        <w:fldChar w:fldCharType="separate"/>
      </w:r>
      <w:r w:rsidRPr="00F008F6">
        <w:rPr>
          <w:noProof/>
        </w:rPr>
        <w:t>161</w:t>
      </w:r>
      <w:r w:rsidRPr="00F008F6">
        <w:rPr>
          <w:noProof/>
        </w:rPr>
        <w:fldChar w:fldCharType="end"/>
      </w:r>
    </w:p>
    <w:p w14:paraId="682AD1D3" w14:textId="3DBCB6D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lastRenderedPageBreak/>
        <w:t>43AAGC</w:t>
      </w:r>
      <w:r>
        <w:rPr>
          <w:noProof/>
        </w:rPr>
        <w:tab/>
        <w:t>Exemption from liability to pay annual charge—financial years commencing on or after 1 July 2018</w:t>
      </w:r>
      <w:r w:rsidRPr="00F008F6">
        <w:rPr>
          <w:noProof/>
        </w:rPr>
        <w:tab/>
      </w:r>
      <w:r w:rsidRPr="00F008F6">
        <w:rPr>
          <w:noProof/>
        </w:rPr>
        <w:fldChar w:fldCharType="begin"/>
      </w:r>
      <w:r w:rsidRPr="00F008F6">
        <w:rPr>
          <w:noProof/>
        </w:rPr>
        <w:instrText xml:space="preserve"> PAGEREF _Toc187135863 \h </w:instrText>
      </w:r>
      <w:r w:rsidRPr="00F008F6">
        <w:rPr>
          <w:noProof/>
        </w:rPr>
      </w:r>
      <w:r w:rsidRPr="00F008F6">
        <w:rPr>
          <w:noProof/>
        </w:rPr>
        <w:fldChar w:fldCharType="separate"/>
      </w:r>
      <w:r w:rsidRPr="00F008F6">
        <w:rPr>
          <w:noProof/>
        </w:rPr>
        <w:t>162</w:t>
      </w:r>
      <w:r w:rsidRPr="00F008F6">
        <w:rPr>
          <w:noProof/>
        </w:rPr>
        <w:fldChar w:fldCharType="end"/>
      </w:r>
    </w:p>
    <w:p w14:paraId="4DC06E68" w14:textId="305CE3DA"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43AAGD</w:t>
      </w:r>
      <w:r>
        <w:rPr>
          <w:noProof/>
        </w:rPr>
        <w:tab/>
        <w:t>Exemption from liability to pay annual charge—late notice that turnover was of low value</w:t>
      </w:r>
      <w:r w:rsidRPr="00F008F6">
        <w:rPr>
          <w:noProof/>
        </w:rPr>
        <w:tab/>
      </w:r>
      <w:r w:rsidRPr="00F008F6">
        <w:rPr>
          <w:noProof/>
        </w:rPr>
        <w:fldChar w:fldCharType="begin"/>
      </w:r>
      <w:r w:rsidRPr="00F008F6">
        <w:rPr>
          <w:noProof/>
        </w:rPr>
        <w:instrText xml:space="preserve"> PAGEREF _Toc187135864 \h </w:instrText>
      </w:r>
      <w:r w:rsidRPr="00F008F6">
        <w:rPr>
          <w:noProof/>
        </w:rPr>
      </w:r>
      <w:r w:rsidRPr="00F008F6">
        <w:rPr>
          <w:noProof/>
        </w:rPr>
        <w:fldChar w:fldCharType="separate"/>
      </w:r>
      <w:r w:rsidRPr="00F008F6">
        <w:rPr>
          <w:noProof/>
        </w:rPr>
        <w:t>163</w:t>
      </w:r>
      <w:r w:rsidRPr="00F008F6">
        <w:rPr>
          <w:noProof/>
        </w:rPr>
        <w:fldChar w:fldCharType="end"/>
      </w:r>
    </w:p>
    <w:p w14:paraId="6A58750E" w14:textId="232E95B9"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43AAGE</w:t>
      </w:r>
      <w:r>
        <w:rPr>
          <w:noProof/>
        </w:rPr>
        <w:tab/>
        <w:t>Person may notify Secretary that turnover of IVD device for financial year will not be of low value</w:t>
      </w:r>
      <w:r w:rsidRPr="00F008F6">
        <w:rPr>
          <w:noProof/>
        </w:rPr>
        <w:tab/>
      </w:r>
      <w:r w:rsidRPr="00F008F6">
        <w:rPr>
          <w:noProof/>
        </w:rPr>
        <w:fldChar w:fldCharType="begin"/>
      </w:r>
      <w:r w:rsidRPr="00F008F6">
        <w:rPr>
          <w:noProof/>
        </w:rPr>
        <w:instrText xml:space="preserve"> PAGEREF _Toc187135865 \h </w:instrText>
      </w:r>
      <w:r w:rsidRPr="00F008F6">
        <w:rPr>
          <w:noProof/>
        </w:rPr>
      </w:r>
      <w:r w:rsidRPr="00F008F6">
        <w:rPr>
          <w:noProof/>
        </w:rPr>
        <w:fldChar w:fldCharType="separate"/>
      </w:r>
      <w:r w:rsidRPr="00F008F6">
        <w:rPr>
          <w:noProof/>
        </w:rPr>
        <w:t>164</w:t>
      </w:r>
      <w:r w:rsidRPr="00F008F6">
        <w:rPr>
          <w:noProof/>
        </w:rPr>
        <w:fldChar w:fldCharType="end"/>
      </w:r>
    </w:p>
    <w:p w14:paraId="5E8F7BCA" w14:textId="2AA29F8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43AAGF</w:t>
      </w:r>
      <w:r>
        <w:rPr>
          <w:noProof/>
        </w:rPr>
        <w:tab/>
        <w:t>Secretary may notify person that annual charge is payable if turnover is not of low value</w:t>
      </w:r>
      <w:r w:rsidRPr="00F008F6">
        <w:rPr>
          <w:noProof/>
        </w:rPr>
        <w:tab/>
      </w:r>
      <w:r w:rsidRPr="00F008F6">
        <w:rPr>
          <w:noProof/>
        </w:rPr>
        <w:fldChar w:fldCharType="begin"/>
      </w:r>
      <w:r w:rsidRPr="00F008F6">
        <w:rPr>
          <w:noProof/>
        </w:rPr>
        <w:instrText xml:space="preserve"> PAGEREF _Toc187135866 \h </w:instrText>
      </w:r>
      <w:r w:rsidRPr="00F008F6">
        <w:rPr>
          <w:noProof/>
        </w:rPr>
      </w:r>
      <w:r w:rsidRPr="00F008F6">
        <w:rPr>
          <w:noProof/>
        </w:rPr>
        <w:fldChar w:fldCharType="separate"/>
      </w:r>
      <w:r w:rsidRPr="00F008F6">
        <w:rPr>
          <w:noProof/>
        </w:rPr>
        <w:t>164</w:t>
      </w:r>
      <w:r w:rsidRPr="00F008F6">
        <w:rPr>
          <w:noProof/>
        </w:rPr>
        <w:fldChar w:fldCharType="end"/>
      </w:r>
    </w:p>
    <w:p w14:paraId="418CEF31" w14:textId="58C3E662" w:rsidR="00F008F6" w:rsidRDefault="00F008F6" w:rsidP="00EF338C">
      <w:pPr>
        <w:pStyle w:val="TOC4"/>
        <w:keepLines w:val="0"/>
        <w:rPr>
          <w:rFonts w:asciiTheme="minorHAnsi" w:eastAsiaTheme="minorEastAsia" w:hAnsiTheme="minorHAnsi" w:cstheme="minorBidi"/>
          <w:b w:val="0"/>
          <w:noProof/>
          <w:kern w:val="2"/>
          <w:sz w:val="24"/>
          <w:szCs w:val="24"/>
          <w14:ligatures w14:val="standardContextual"/>
        </w:rPr>
      </w:pPr>
      <w:r>
        <w:rPr>
          <w:noProof/>
        </w:rPr>
        <w:t>Subdivision 2B—Waiver of certain annual charges</w:t>
      </w:r>
      <w:r w:rsidRPr="00F008F6">
        <w:rPr>
          <w:b w:val="0"/>
          <w:noProof/>
          <w:sz w:val="18"/>
        </w:rPr>
        <w:tab/>
      </w:r>
      <w:r w:rsidRPr="00F008F6">
        <w:rPr>
          <w:b w:val="0"/>
          <w:noProof/>
          <w:sz w:val="18"/>
        </w:rPr>
        <w:fldChar w:fldCharType="begin"/>
      </w:r>
      <w:r w:rsidRPr="00F008F6">
        <w:rPr>
          <w:b w:val="0"/>
          <w:noProof/>
          <w:sz w:val="18"/>
        </w:rPr>
        <w:instrText xml:space="preserve"> PAGEREF _Toc187135867 \h </w:instrText>
      </w:r>
      <w:r w:rsidRPr="00F008F6">
        <w:rPr>
          <w:b w:val="0"/>
          <w:noProof/>
          <w:sz w:val="18"/>
        </w:rPr>
      </w:r>
      <w:r w:rsidRPr="00F008F6">
        <w:rPr>
          <w:b w:val="0"/>
          <w:noProof/>
          <w:sz w:val="18"/>
        </w:rPr>
        <w:fldChar w:fldCharType="separate"/>
      </w:r>
      <w:r w:rsidRPr="00F008F6">
        <w:rPr>
          <w:b w:val="0"/>
          <w:noProof/>
          <w:sz w:val="18"/>
        </w:rPr>
        <w:t>166</w:t>
      </w:r>
      <w:r w:rsidRPr="00F008F6">
        <w:rPr>
          <w:b w:val="0"/>
          <w:noProof/>
          <w:sz w:val="18"/>
        </w:rPr>
        <w:fldChar w:fldCharType="end"/>
      </w:r>
    </w:p>
    <w:p w14:paraId="56C0F979" w14:textId="7AC0B19A"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43AAGG</w:t>
      </w:r>
      <w:r>
        <w:rPr>
          <w:noProof/>
        </w:rPr>
        <w:tab/>
        <w:t>Purpose of Subdivision</w:t>
      </w:r>
      <w:r w:rsidRPr="00F008F6">
        <w:rPr>
          <w:noProof/>
        </w:rPr>
        <w:tab/>
      </w:r>
      <w:r w:rsidRPr="00F008F6">
        <w:rPr>
          <w:noProof/>
        </w:rPr>
        <w:fldChar w:fldCharType="begin"/>
      </w:r>
      <w:r w:rsidRPr="00F008F6">
        <w:rPr>
          <w:noProof/>
        </w:rPr>
        <w:instrText xml:space="preserve"> PAGEREF _Toc187135868 \h </w:instrText>
      </w:r>
      <w:r w:rsidRPr="00F008F6">
        <w:rPr>
          <w:noProof/>
        </w:rPr>
      </w:r>
      <w:r w:rsidRPr="00F008F6">
        <w:rPr>
          <w:noProof/>
        </w:rPr>
        <w:fldChar w:fldCharType="separate"/>
      </w:r>
      <w:r w:rsidRPr="00F008F6">
        <w:rPr>
          <w:noProof/>
        </w:rPr>
        <w:t>166</w:t>
      </w:r>
      <w:r w:rsidRPr="00F008F6">
        <w:rPr>
          <w:noProof/>
        </w:rPr>
        <w:fldChar w:fldCharType="end"/>
      </w:r>
    </w:p>
    <w:p w14:paraId="442F8C85" w14:textId="0299DD86"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43AAH</w:t>
      </w:r>
      <w:r>
        <w:rPr>
          <w:noProof/>
        </w:rPr>
        <w:tab/>
        <w:t>Waiver of certain annual charges</w:t>
      </w:r>
      <w:r w:rsidRPr="00F008F6">
        <w:rPr>
          <w:noProof/>
        </w:rPr>
        <w:tab/>
      </w:r>
      <w:r w:rsidRPr="00F008F6">
        <w:rPr>
          <w:noProof/>
        </w:rPr>
        <w:fldChar w:fldCharType="begin"/>
      </w:r>
      <w:r w:rsidRPr="00F008F6">
        <w:rPr>
          <w:noProof/>
        </w:rPr>
        <w:instrText xml:space="preserve"> PAGEREF _Toc187135869 \h </w:instrText>
      </w:r>
      <w:r w:rsidRPr="00F008F6">
        <w:rPr>
          <w:noProof/>
        </w:rPr>
      </w:r>
      <w:r w:rsidRPr="00F008F6">
        <w:rPr>
          <w:noProof/>
        </w:rPr>
        <w:fldChar w:fldCharType="separate"/>
      </w:r>
      <w:r w:rsidRPr="00F008F6">
        <w:rPr>
          <w:noProof/>
        </w:rPr>
        <w:t>166</w:t>
      </w:r>
      <w:r w:rsidRPr="00F008F6">
        <w:rPr>
          <w:noProof/>
        </w:rPr>
        <w:fldChar w:fldCharType="end"/>
      </w:r>
    </w:p>
    <w:p w14:paraId="6F2EA3EE" w14:textId="0DDD6696" w:rsidR="00F008F6" w:rsidRDefault="00F008F6" w:rsidP="00EF338C">
      <w:pPr>
        <w:pStyle w:val="TOC4"/>
        <w:keepLines w:val="0"/>
        <w:rPr>
          <w:rFonts w:asciiTheme="minorHAnsi" w:eastAsiaTheme="minorEastAsia" w:hAnsiTheme="minorHAnsi" w:cstheme="minorBidi"/>
          <w:b w:val="0"/>
          <w:noProof/>
          <w:kern w:val="2"/>
          <w:sz w:val="24"/>
          <w:szCs w:val="24"/>
          <w14:ligatures w14:val="standardContextual"/>
        </w:rPr>
      </w:pPr>
      <w:r>
        <w:rPr>
          <w:noProof/>
        </w:rPr>
        <w:t>Subdivision 3—Charges for licensing</w:t>
      </w:r>
      <w:r w:rsidRPr="00F008F6">
        <w:rPr>
          <w:b w:val="0"/>
          <w:noProof/>
          <w:sz w:val="18"/>
        </w:rPr>
        <w:tab/>
      </w:r>
      <w:r w:rsidRPr="00F008F6">
        <w:rPr>
          <w:b w:val="0"/>
          <w:noProof/>
          <w:sz w:val="18"/>
        </w:rPr>
        <w:fldChar w:fldCharType="begin"/>
      </w:r>
      <w:r w:rsidRPr="00F008F6">
        <w:rPr>
          <w:b w:val="0"/>
          <w:noProof/>
          <w:sz w:val="18"/>
        </w:rPr>
        <w:instrText xml:space="preserve"> PAGEREF _Toc187135870 \h </w:instrText>
      </w:r>
      <w:r w:rsidRPr="00F008F6">
        <w:rPr>
          <w:b w:val="0"/>
          <w:noProof/>
          <w:sz w:val="18"/>
        </w:rPr>
      </w:r>
      <w:r w:rsidRPr="00F008F6">
        <w:rPr>
          <w:b w:val="0"/>
          <w:noProof/>
          <w:sz w:val="18"/>
        </w:rPr>
        <w:fldChar w:fldCharType="separate"/>
      </w:r>
      <w:r w:rsidRPr="00F008F6">
        <w:rPr>
          <w:b w:val="0"/>
          <w:noProof/>
          <w:sz w:val="18"/>
        </w:rPr>
        <w:t>168</w:t>
      </w:r>
      <w:r w:rsidRPr="00F008F6">
        <w:rPr>
          <w:b w:val="0"/>
          <w:noProof/>
          <w:sz w:val="18"/>
        </w:rPr>
        <w:fldChar w:fldCharType="end"/>
      </w:r>
    </w:p>
    <w:p w14:paraId="6B53C497" w14:textId="5AF90DD0"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43AAJ</w:t>
      </w:r>
      <w:r>
        <w:rPr>
          <w:noProof/>
        </w:rPr>
        <w:tab/>
        <w:t>Licensing charge—reduction in certain circumstances</w:t>
      </w:r>
      <w:r w:rsidRPr="00F008F6">
        <w:rPr>
          <w:noProof/>
        </w:rPr>
        <w:tab/>
      </w:r>
      <w:r w:rsidRPr="00F008F6">
        <w:rPr>
          <w:noProof/>
        </w:rPr>
        <w:fldChar w:fldCharType="begin"/>
      </w:r>
      <w:r w:rsidRPr="00F008F6">
        <w:rPr>
          <w:noProof/>
        </w:rPr>
        <w:instrText xml:space="preserve"> PAGEREF _Toc187135871 \h </w:instrText>
      </w:r>
      <w:r w:rsidRPr="00F008F6">
        <w:rPr>
          <w:noProof/>
        </w:rPr>
      </w:r>
      <w:r w:rsidRPr="00F008F6">
        <w:rPr>
          <w:noProof/>
        </w:rPr>
        <w:fldChar w:fldCharType="separate"/>
      </w:r>
      <w:r w:rsidRPr="00F008F6">
        <w:rPr>
          <w:noProof/>
        </w:rPr>
        <w:t>168</w:t>
      </w:r>
      <w:r w:rsidRPr="00F008F6">
        <w:rPr>
          <w:noProof/>
        </w:rPr>
        <w:fldChar w:fldCharType="end"/>
      </w:r>
    </w:p>
    <w:p w14:paraId="07A9BAB0" w14:textId="223C3E06"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2—Fees and costs</w:t>
      </w:r>
      <w:r w:rsidRPr="00F008F6">
        <w:rPr>
          <w:b w:val="0"/>
          <w:noProof/>
          <w:sz w:val="18"/>
        </w:rPr>
        <w:tab/>
      </w:r>
      <w:r w:rsidRPr="00F008F6">
        <w:rPr>
          <w:b w:val="0"/>
          <w:noProof/>
          <w:sz w:val="18"/>
        </w:rPr>
        <w:fldChar w:fldCharType="begin"/>
      </w:r>
      <w:r w:rsidRPr="00F008F6">
        <w:rPr>
          <w:b w:val="0"/>
          <w:noProof/>
          <w:sz w:val="18"/>
        </w:rPr>
        <w:instrText xml:space="preserve"> PAGEREF _Toc187135872 \h </w:instrText>
      </w:r>
      <w:r w:rsidRPr="00F008F6">
        <w:rPr>
          <w:b w:val="0"/>
          <w:noProof/>
          <w:sz w:val="18"/>
        </w:rPr>
      </w:r>
      <w:r w:rsidRPr="00F008F6">
        <w:rPr>
          <w:b w:val="0"/>
          <w:noProof/>
          <w:sz w:val="18"/>
        </w:rPr>
        <w:fldChar w:fldCharType="separate"/>
      </w:r>
      <w:r w:rsidRPr="00F008F6">
        <w:rPr>
          <w:b w:val="0"/>
          <w:noProof/>
          <w:sz w:val="18"/>
        </w:rPr>
        <w:t>169</w:t>
      </w:r>
      <w:r w:rsidRPr="00F008F6">
        <w:rPr>
          <w:b w:val="0"/>
          <w:noProof/>
          <w:sz w:val="18"/>
        </w:rPr>
        <w:fldChar w:fldCharType="end"/>
      </w:r>
    </w:p>
    <w:p w14:paraId="156B9FB9" w14:textId="069C91D0"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w:t>
      </w:r>
      <w:r>
        <w:rPr>
          <w:noProof/>
        </w:rPr>
        <w:tab/>
        <w:t>Fees</w:t>
      </w:r>
      <w:r w:rsidRPr="00F008F6">
        <w:rPr>
          <w:noProof/>
        </w:rPr>
        <w:tab/>
      </w:r>
      <w:r w:rsidRPr="00F008F6">
        <w:rPr>
          <w:noProof/>
        </w:rPr>
        <w:fldChar w:fldCharType="begin"/>
      </w:r>
      <w:r w:rsidRPr="00F008F6">
        <w:rPr>
          <w:noProof/>
        </w:rPr>
        <w:instrText xml:space="preserve"> PAGEREF _Toc187135873 \h </w:instrText>
      </w:r>
      <w:r w:rsidRPr="00F008F6">
        <w:rPr>
          <w:noProof/>
        </w:rPr>
      </w:r>
      <w:r w:rsidRPr="00F008F6">
        <w:rPr>
          <w:noProof/>
        </w:rPr>
        <w:fldChar w:fldCharType="separate"/>
      </w:r>
      <w:r w:rsidRPr="00F008F6">
        <w:rPr>
          <w:noProof/>
        </w:rPr>
        <w:t>169</w:t>
      </w:r>
      <w:r w:rsidRPr="00F008F6">
        <w:rPr>
          <w:noProof/>
        </w:rPr>
        <w:fldChar w:fldCharType="end"/>
      </w:r>
    </w:p>
    <w:p w14:paraId="5CDB2F02" w14:textId="72867F26"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w:t>
      </w:r>
      <w:r>
        <w:rPr>
          <w:noProof/>
        </w:rPr>
        <w:tab/>
        <w:t>When is no application fee payable?</w:t>
      </w:r>
      <w:r w:rsidRPr="00F008F6">
        <w:rPr>
          <w:noProof/>
        </w:rPr>
        <w:tab/>
      </w:r>
      <w:r w:rsidRPr="00F008F6">
        <w:rPr>
          <w:noProof/>
        </w:rPr>
        <w:fldChar w:fldCharType="begin"/>
      </w:r>
      <w:r w:rsidRPr="00F008F6">
        <w:rPr>
          <w:noProof/>
        </w:rPr>
        <w:instrText xml:space="preserve"> PAGEREF _Toc187135874 \h </w:instrText>
      </w:r>
      <w:r w:rsidRPr="00F008F6">
        <w:rPr>
          <w:noProof/>
        </w:rPr>
      </w:r>
      <w:r w:rsidRPr="00F008F6">
        <w:rPr>
          <w:noProof/>
        </w:rPr>
        <w:fldChar w:fldCharType="separate"/>
      </w:r>
      <w:r w:rsidRPr="00F008F6">
        <w:rPr>
          <w:noProof/>
        </w:rPr>
        <w:t>169</w:t>
      </w:r>
      <w:r w:rsidRPr="00F008F6">
        <w:rPr>
          <w:noProof/>
        </w:rPr>
        <w:fldChar w:fldCharType="end"/>
      </w:r>
    </w:p>
    <w:p w14:paraId="5FA73F69" w14:textId="2E8C8BE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43AA</w:t>
      </w:r>
      <w:r>
        <w:rPr>
          <w:noProof/>
        </w:rPr>
        <w:tab/>
        <w:t>Fee for evaluation—refund in certain circumstances</w:t>
      </w:r>
      <w:r w:rsidRPr="00F008F6">
        <w:rPr>
          <w:noProof/>
        </w:rPr>
        <w:tab/>
      </w:r>
      <w:r w:rsidRPr="00F008F6">
        <w:rPr>
          <w:noProof/>
        </w:rPr>
        <w:fldChar w:fldCharType="begin"/>
      </w:r>
      <w:r w:rsidRPr="00F008F6">
        <w:rPr>
          <w:noProof/>
        </w:rPr>
        <w:instrText xml:space="preserve"> PAGEREF _Toc187135875 \h </w:instrText>
      </w:r>
      <w:r w:rsidRPr="00F008F6">
        <w:rPr>
          <w:noProof/>
        </w:rPr>
      </w:r>
      <w:r w:rsidRPr="00F008F6">
        <w:rPr>
          <w:noProof/>
        </w:rPr>
        <w:fldChar w:fldCharType="separate"/>
      </w:r>
      <w:r w:rsidRPr="00F008F6">
        <w:rPr>
          <w:noProof/>
        </w:rPr>
        <w:t>170</w:t>
      </w:r>
      <w:r w:rsidRPr="00F008F6">
        <w:rPr>
          <w:noProof/>
        </w:rPr>
        <w:fldChar w:fldCharType="end"/>
      </w:r>
    </w:p>
    <w:p w14:paraId="2E387743" w14:textId="76D14B10"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43AB</w:t>
      </w:r>
      <w:r>
        <w:rPr>
          <w:noProof/>
        </w:rPr>
        <w:tab/>
        <w:t>Circumstances in which inspection fee covered by annual charge</w:t>
      </w:r>
      <w:r w:rsidRPr="00F008F6">
        <w:rPr>
          <w:noProof/>
        </w:rPr>
        <w:tab/>
      </w:r>
      <w:r w:rsidRPr="00F008F6">
        <w:rPr>
          <w:noProof/>
        </w:rPr>
        <w:fldChar w:fldCharType="begin"/>
      </w:r>
      <w:r w:rsidRPr="00F008F6">
        <w:rPr>
          <w:noProof/>
        </w:rPr>
        <w:instrText xml:space="preserve"> PAGEREF _Toc187135876 \h </w:instrText>
      </w:r>
      <w:r w:rsidRPr="00F008F6">
        <w:rPr>
          <w:noProof/>
        </w:rPr>
      </w:r>
      <w:r w:rsidRPr="00F008F6">
        <w:rPr>
          <w:noProof/>
        </w:rPr>
        <w:fldChar w:fldCharType="separate"/>
      </w:r>
      <w:r w:rsidRPr="00F008F6">
        <w:rPr>
          <w:noProof/>
        </w:rPr>
        <w:t>170</w:t>
      </w:r>
      <w:r w:rsidRPr="00F008F6">
        <w:rPr>
          <w:noProof/>
        </w:rPr>
        <w:fldChar w:fldCharType="end"/>
      </w:r>
    </w:p>
    <w:p w14:paraId="47441031" w14:textId="795A603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43AC</w:t>
      </w:r>
      <w:r>
        <w:rPr>
          <w:noProof/>
        </w:rPr>
        <w:tab/>
        <w:t>Refund of fees where no evaluation undertaken—registered OTC medicines</w:t>
      </w:r>
      <w:r w:rsidRPr="00F008F6">
        <w:rPr>
          <w:noProof/>
        </w:rPr>
        <w:tab/>
      </w:r>
      <w:r w:rsidRPr="00F008F6">
        <w:rPr>
          <w:noProof/>
        </w:rPr>
        <w:fldChar w:fldCharType="begin"/>
      </w:r>
      <w:r w:rsidRPr="00F008F6">
        <w:rPr>
          <w:noProof/>
        </w:rPr>
        <w:instrText xml:space="preserve"> PAGEREF _Toc187135877 \h </w:instrText>
      </w:r>
      <w:r w:rsidRPr="00F008F6">
        <w:rPr>
          <w:noProof/>
        </w:rPr>
      </w:r>
      <w:r w:rsidRPr="00F008F6">
        <w:rPr>
          <w:noProof/>
        </w:rPr>
        <w:fldChar w:fldCharType="separate"/>
      </w:r>
      <w:r w:rsidRPr="00F008F6">
        <w:rPr>
          <w:noProof/>
        </w:rPr>
        <w:t>170</w:t>
      </w:r>
      <w:r w:rsidRPr="00F008F6">
        <w:rPr>
          <w:noProof/>
        </w:rPr>
        <w:fldChar w:fldCharType="end"/>
      </w:r>
    </w:p>
    <w:p w14:paraId="192E1340" w14:textId="28592C42"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43ACA</w:t>
      </w:r>
      <w:r>
        <w:rPr>
          <w:noProof/>
        </w:rPr>
        <w:tab/>
        <w:t>Refund of fees where no evaluation undertaken—certain registered and listed medicines</w:t>
      </w:r>
      <w:r w:rsidRPr="00F008F6">
        <w:rPr>
          <w:noProof/>
        </w:rPr>
        <w:tab/>
      </w:r>
      <w:r w:rsidRPr="00F008F6">
        <w:rPr>
          <w:noProof/>
        </w:rPr>
        <w:fldChar w:fldCharType="begin"/>
      </w:r>
      <w:r w:rsidRPr="00F008F6">
        <w:rPr>
          <w:noProof/>
        </w:rPr>
        <w:instrText xml:space="preserve"> PAGEREF _Toc187135878 \h </w:instrText>
      </w:r>
      <w:r w:rsidRPr="00F008F6">
        <w:rPr>
          <w:noProof/>
        </w:rPr>
      </w:r>
      <w:r w:rsidRPr="00F008F6">
        <w:rPr>
          <w:noProof/>
        </w:rPr>
        <w:fldChar w:fldCharType="separate"/>
      </w:r>
      <w:r w:rsidRPr="00F008F6">
        <w:rPr>
          <w:noProof/>
        </w:rPr>
        <w:t>170</w:t>
      </w:r>
      <w:r w:rsidRPr="00F008F6">
        <w:rPr>
          <w:noProof/>
        </w:rPr>
        <w:fldChar w:fldCharType="end"/>
      </w:r>
    </w:p>
    <w:p w14:paraId="17A543DC" w14:textId="27BA929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43AD</w:t>
      </w:r>
      <w:r>
        <w:rPr>
          <w:noProof/>
        </w:rPr>
        <w:tab/>
        <w:t>Fee for therapeutic goods (priority applicant) determination application—refund in certain circumstances</w:t>
      </w:r>
      <w:r w:rsidRPr="00F008F6">
        <w:rPr>
          <w:noProof/>
        </w:rPr>
        <w:tab/>
      </w:r>
      <w:r w:rsidRPr="00F008F6">
        <w:rPr>
          <w:noProof/>
        </w:rPr>
        <w:fldChar w:fldCharType="begin"/>
      </w:r>
      <w:r w:rsidRPr="00F008F6">
        <w:rPr>
          <w:noProof/>
        </w:rPr>
        <w:instrText xml:space="preserve"> PAGEREF _Toc187135879 \h </w:instrText>
      </w:r>
      <w:r w:rsidRPr="00F008F6">
        <w:rPr>
          <w:noProof/>
        </w:rPr>
      </w:r>
      <w:r w:rsidRPr="00F008F6">
        <w:rPr>
          <w:noProof/>
        </w:rPr>
        <w:fldChar w:fldCharType="separate"/>
      </w:r>
      <w:r w:rsidRPr="00F008F6">
        <w:rPr>
          <w:noProof/>
        </w:rPr>
        <w:t>171</w:t>
      </w:r>
      <w:r w:rsidRPr="00F008F6">
        <w:rPr>
          <w:noProof/>
        </w:rPr>
        <w:fldChar w:fldCharType="end"/>
      </w:r>
    </w:p>
    <w:p w14:paraId="3A291EF2" w14:textId="1BC339C1"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43AE</w:t>
      </w:r>
      <w:r>
        <w:rPr>
          <w:noProof/>
        </w:rPr>
        <w:tab/>
        <w:t>Fee for application for provisional determination relating to medicine—refund in certain circumstances</w:t>
      </w:r>
      <w:r w:rsidRPr="00F008F6">
        <w:rPr>
          <w:noProof/>
        </w:rPr>
        <w:tab/>
      </w:r>
      <w:r w:rsidRPr="00F008F6">
        <w:rPr>
          <w:noProof/>
        </w:rPr>
        <w:fldChar w:fldCharType="begin"/>
      </w:r>
      <w:r w:rsidRPr="00F008F6">
        <w:rPr>
          <w:noProof/>
        </w:rPr>
        <w:instrText xml:space="preserve"> PAGEREF _Toc187135880 \h </w:instrText>
      </w:r>
      <w:r w:rsidRPr="00F008F6">
        <w:rPr>
          <w:noProof/>
        </w:rPr>
      </w:r>
      <w:r w:rsidRPr="00F008F6">
        <w:rPr>
          <w:noProof/>
        </w:rPr>
        <w:fldChar w:fldCharType="separate"/>
      </w:r>
      <w:r w:rsidRPr="00F008F6">
        <w:rPr>
          <w:noProof/>
        </w:rPr>
        <w:t>171</w:t>
      </w:r>
      <w:r w:rsidRPr="00F008F6">
        <w:rPr>
          <w:noProof/>
        </w:rPr>
        <w:fldChar w:fldCharType="end"/>
      </w:r>
    </w:p>
    <w:p w14:paraId="56950374" w14:textId="1BC5D031"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43AF</w:t>
      </w:r>
      <w:r>
        <w:rPr>
          <w:noProof/>
        </w:rPr>
        <w:tab/>
        <w:t>Fee for request for variation of certain registered and listed medicines—refund in certain circumstances</w:t>
      </w:r>
      <w:r w:rsidRPr="00F008F6">
        <w:rPr>
          <w:noProof/>
        </w:rPr>
        <w:tab/>
      </w:r>
      <w:r w:rsidRPr="00F008F6">
        <w:rPr>
          <w:noProof/>
        </w:rPr>
        <w:fldChar w:fldCharType="begin"/>
      </w:r>
      <w:r w:rsidRPr="00F008F6">
        <w:rPr>
          <w:noProof/>
        </w:rPr>
        <w:instrText xml:space="preserve"> PAGEREF _Toc187135881 \h </w:instrText>
      </w:r>
      <w:r w:rsidRPr="00F008F6">
        <w:rPr>
          <w:noProof/>
        </w:rPr>
      </w:r>
      <w:r w:rsidRPr="00F008F6">
        <w:rPr>
          <w:noProof/>
        </w:rPr>
        <w:fldChar w:fldCharType="separate"/>
      </w:r>
      <w:r w:rsidRPr="00F008F6">
        <w:rPr>
          <w:noProof/>
        </w:rPr>
        <w:t>172</w:t>
      </w:r>
      <w:r w:rsidRPr="00F008F6">
        <w:rPr>
          <w:noProof/>
        </w:rPr>
        <w:fldChar w:fldCharType="end"/>
      </w:r>
    </w:p>
    <w:p w14:paraId="2DB2554E" w14:textId="780C347B"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44</w:t>
      </w:r>
      <w:r>
        <w:rPr>
          <w:noProof/>
        </w:rPr>
        <w:tab/>
        <w:t>Testing of samples—recovery of costs</w:t>
      </w:r>
      <w:r w:rsidRPr="00F008F6">
        <w:rPr>
          <w:noProof/>
        </w:rPr>
        <w:tab/>
      </w:r>
      <w:r w:rsidRPr="00F008F6">
        <w:rPr>
          <w:noProof/>
        </w:rPr>
        <w:fldChar w:fldCharType="begin"/>
      </w:r>
      <w:r w:rsidRPr="00F008F6">
        <w:rPr>
          <w:noProof/>
        </w:rPr>
        <w:instrText xml:space="preserve"> PAGEREF _Toc187135882 \h </w:instrText>
      </w:r>
      <w:r w:rsidRPr="00F008F6">
        <w:rPr>
          <w:noProof/>
        </w:rPr>
      </w:r>
      <w:r w:rsidRPr="00F008F6">
        <w:rPr>
          <w:noProof/>
        </w:rPr>
        <w:fldChar w:fldCharType="separate"/>
      </w:r>
      <w:r w:rsidRPr="00F008F6">
        <w:rPr>
          <w:noProof/>
        </w:rPr>
        <w:t>172</w:t>
      </w:r>
      <w:r w:rsidRPr="00F008F6">
        <w:rPr>
          <w:noProof/>
        </w:rPr>
        <w:fldChar w:fldCharType="end"/>
      </w:r>
    </w:p>
    <w:p w14:paraId="2D7F54D9" w14:textId="30ACF737"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45</w:t>
      </w:r>
      <w:r>
        <w:rPr>
          <w:noProof/>
        </w:rPr>
        <w:tab/>
        <w:t>Waiver or reduction of fees</w:t>
      </w:r>
      <w:r w:rsidRPr="00F008F6">
        <w:rPr>
          <w:noProof/>
        </w:rPr>
        <w:tab/>
      </w:r>
      <w:r w:rsidRPr="00F008F6">
        <w:rPr>
          <w:noProof/>
        </w:rPr>
        <w:fldChar w:fldCharType="begin"/>
      </w:r>
      <w:r w:rsidRPr="00F008F6">
        <w:rPr>
          <w:noProof/>
        </w:rPr>
        <w:instrText xml:space="preserve"> PAGEREF _Toc187135883 \h </w:instrText>
      </w:r>
      <w:r w:rsidRPr="00F008F6">
        <w:rPr>
          <w:noProof/>
        </w:rPr>
      </w:r>
      <w:r w:rsidRPr="00F008F6">
        <w:rPr>
          <w:noProof/>
        </w:rPr>
        <w:fldChar w:fldCharType="separate"/>
      </w:r>
      <w:r w:rsidRPr="00F008F6">
        <w:rPr>
          <w:noProof/>
        </w:rPr>
        <w:t>172</w:t>
      </w:r>
      <w:r w:rsidRPr="00F008F6">
        <w:rPr>
          <w:noProof/>
        </w:rPr>
        <w:fldChar w:fldCharType="end"/>
      </w:r>
    </w:p>
    <w:p w14:paraId="08E6D590" w14:textId="43F8D006"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45AA</w:t>
      </w:r>
      <w:r>
        <w:rPr>
          <w:noProof/>
        </w:rPr>
        <w:tab/>
        <w:t>Payment of fees in instalments</w:t>
      </w:r>
      <w:r w:rsidRPr="00F008F6">
        <w:rPr>
          <w:noProof/>
        </w:rPr>
        <w:tab/>
      </w:r>
      <w:r w:rsidRPr="00F008F6">
        <w:rPr>
          <w:noProof/>
        </w:rPr>
        <w:fldChar w:fldCharType="begin"/>
      </w:r>
      <w:r w:rsidRPr="00F008F6">
        <w:rPr>
          <w:noProof/>
        </w:rPr>
        <w:instrText xml:space="preserve"> PAGEREF _Toc187135884 \h </w:instrText>
      </w:r>
      <w:r w:rsidRPr="00F008F6">
        <w:rPr>
          <w:noProof/>
        </w:rPr>
      </w:r>
      <w:r w:rsidRPr="00F008F6">
        <w:rPr>
          <w:noProof/>
        </w:rPr>
        <w:fldChar w:fldCharType="separate"/>
      </w:r>
      <w:r w:rsidRPr="00F008F6">
        <w:rPr>
          <w:noProof/>
        </w:rPr>
        <w:t>176</w:t>
      </w:r>
      <w:r w:rsidRPr="00F008F6">
        <w:rPr>
          <w:noProof/>
        </w:rPr>
        <w:fldChar w:fldCharType="end"/>
      </w:r>
    </w:p>
    <w:p w14:paraId="1A9BA8CA" w14:textId="0908F7BF"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8—Miscellaneous</w:t>
      </w:r>
      <w:r w:rsidRPr="00F008F6">
        <w:rPr>
          <w:b w:val="0"/>
          <w:noProof/>
          <w:sz w:val="18"/>
        </w:rPr>
        <w:tab/>
      </w:r>
      <w:r w:rsidRPr="00F008F6">
        <w:rPr>
          <w:b w:val="0"/>
          <w:noProof/>
          <w:sz w:val="18"/>
        </w:rPr>
        <w:fldChar w:fldCharType="begin"/>
      </w:r>
      <w:r w:rsidRPr="00F008F6">
        <w:rPr>
          <w:b w:val="0"/>
          <w:noProof/>
          <w:sz w:val="18"/>
        </w:rPr>
        <w:instrText xml:space="preserve"> PAGEREF _Toc187135885 \h </w:instrText>
      </w:r>
      <w:r w:rsidRPr="00F008F6">
        <w:rPr>
          <w:b w:val="0"/>
          <w:noProof/>
          <w:sz w:val="18"/>
        </w:rPr>
      </w:r>
      <w:r w:rsidRPr="00F008F6">
        <w:rPr>
          <w:b w:val="0"/>
          <w:noProof/>
          <w:sz w:val="18"/>
        </w:rPr>
        <w:fldChar w:fldCharType="separate"/>
      </w:r>
      <w:r w:rsidRPr="00F008F6">
        <w:rPr>
          <w:b w:val="0"/>
          <w:noProof/>
          <w:sz w:val="18"/>
        </w:rPr>
        <w:t>178</w:t>
      </w:r>
      <w:r w:rsidRPr="00F008F6">
        <w:rPr>
          <w:b w:val="0"/>
          <w:noProof/>
          <w:sz w:val="18"/>
        </w:rPr>
        <w:fldChar w:fldCharType="end"/>
      </w:r>
    </w:p>
    <w:p w14:paraId="60A71F0E" w14:textId="3B324D9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46AA</w:t>
      </w:r>
      <w:r>
        <w:rPr>
          <w:noProof/>
        </w:rPr>
        <w:tab/>
        <w:t>Identity cards for authorised officers</w:t>
      </w:r>
      <w:r w:rsidRPr="00F008F6">
        <w:rPr>
          <w:noProof/>
        </w:rPr>
        <w:tab/>
      </w:r>
      <w:r w:rsidRPr="00F008F6">
        <w:rPr>
          <w:noProof/>
        </w:rPr>
        <w:fldChar w:fldCharType="begin"/>
      </w:r>
      <w:r w:rsidRPr="00F008F6">
        <w:rPr>
          <w:noProof/>
        </w:rPr>
        <w:instrText xml:space="preserve"> PAGEREF _Toc187135886 \h </w:instrText>
      </w:r>
      <w:r w:rsidRPr="00F008F6">
        <w:rPr>
          <w:noProof/>
        </w:rPr>
      </w:r>
      <w:r w:rsidRPr="00F008F6">
        <w:rPr>
          <w:noProof/>
        </w:rPr>
        <w:fldChar w:fldCharType="separate"/>
      </w:r>
      <w:r w:rsidRPr="00F008F6">
        <w:rPr>
          <w:noProof/>
        </w:rPr>
        <w:t>178</w:t>
      </w:r>
      <w:r w:rsidRPr="00F008F6">
        <w:rPr>
          <w:noProof/>
        </w:rPr>
        <w:fldChar w:fldCharType="end"/>
      </w:r>
    </w:p>
    <w:p w14:paraId="065F357B" w14:textId="314EF2ED"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46A</w:t>
      </w:r>
      <w:r>
        <w:rPr>
          <w:noProof/>
        </w:rPr>
        <w:tab/>
        <w:t>Delegation under the Act</w:t>
      </w:r>
      <w:r w:rsidRPr="00F008F6">
        <w:rPr>
          <w:noProof/>
        </w:rPr>
        <w:tab/>
      </w:r>
      <w:r w:rsidRPr="00F008F6">
        <w:rPr>
          <w:noProof/>
        </w:rPr>
        <w:fldChar w:fldCharType="begin"/>
      </w:r>
      <w:r w:rsidRPr="00F008F6">
        <w:rPr>
          <w:noProof/>
        </w:rPr>
        <w:instrText xml:space="preserve"> PAGEREF _Toc187135887 \h </w:instrText>
      </w:r>
      <w:r w:rsidRPr="00F008F6">
        <w:rPr>
          <w:noProof/>
        </w:rPr>
      </w:r>
      <w:r w:rsidRPr="00F008F6">
        <w:rPr>
          <w:noProof/>
        </w:rPr>
        <w:fldChar w:fldCharType="separate"/>
      </w:r>
      <w:r w:rsidRPr="00F008F6">
        <w:rPr>
          <w:noProof/>
        </w:rPr>
        <w:t>178</w:t>
      </w:r>
      <w:r w:rsidRPr="00F008F6">
        <w:rPr>
          <w:noProof/>
        </w:rPr>
        <w:fldChar w:fldCharType="end"/>
      </w:r>
    </w:p>
    <w:p w14:paraId="0D93578D" w14:textId="3450F53A"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46B</w:t>
      </w:r>
      <w:r>
        <w:rPr>
          <w:noProof/>
        </w:rPr>
        <w:tab/>
        <w:t>Protected persons</w:t>
      </w:r>
      <w:r w:rsidRPr="00F008F6">
        <w:rPr>
          <w:noProof/>
        </w:rPr>
        <w:tab/>
      </w:r>
      <w:r w:rsidRPr="00F008F6">
        <w:rPr>
          <w:noProof/>
        </w:rPr>
        <w:fldChar w:fldCharType="begin"/>
      </w:r>
      <w:r w:rsidRPr="00F008F6">
        <w:rPr>
          <w:noProof/>
        </w:rPr>
        <w:instrText xml:space="preserve"> PAGEREF _Toc187135888 \h </w:instrText>
      </w:r>
      <w:r w:rsidRPr="00F008F6">
        <w:rPr>
          <w:noProof/>
        </w:rPr>
      </w:r>
      <w:r w:rsidRPr="00F008F6">
        <w:rPr>
          <w:noProof/>
        </w:rPr>
        <w:fldChar w:fldCharType="separate"/>
      </w:r>
      <w:r w:rsidRPr="00F008F6">
        <w:rPr>
          <w:noProof/>
        </w:rPr>
        <w:t>178</w:t>
      </w:r>
      <w:r w:rsidRPr="00F008F6">
        <w:rPr>
          <w:noProof/>
        </w:rPr>
        <w:fldChar w:fldCharType="end"/>
      </w:r>
    </w:p>
    <w:p w14:paraId="6892619C" w14:textId="463B4EF9"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46</w:t>
      </w:r>
      <w:r>
        <w:rPr>
          <w:noProof/>
        </w:rPr>
        <w:tab/>
        <w:t>Release of information</w:t>
      </w:r>
      <w:r w:rsidRPr="00F008F6">
        <w:rPr>
          <w:noProof/>
        </w:rPr>
        <w:tab/>
      </w:r>
      <w:r w:rsidRPr="00F008F6">
        <w:rPr>
          <w:noProof/>
        </w:rPr>
        <w:fldChar w:fldCharType="begin"/>
      </w:r>
      <w:r w:rsidRPr="00F008F6">
        <w:rPr>
          <w:noProof/>
        </w:rPr>
        <w:instrText xml:space="preserve"> PAGEREF _Toc187135889 \h </w:instrText>
      </w:r>
      <w:r w:rsidRPr="00F008F6">
        <w:rPr>
          <w:noProof/>
        </w:rPr>
      </w:r>
      <w:r w:rsidRPr="00F008F6">
        <w:rPr>
          <w:noProof/>
        </w:rPr>
        <w:fldChar w:fldCharType="separate"/>
      </w:r>
      <w:r w:rsidRPr="00F008F6">
        <w:rPr>
          <w:noProof/>
        </w:rPr>
        <w:t>178</w:t>
      </w:r>
      <w:r w:rsidRPr="00F008F6">
        <w:rPr>
          <w:noProof/>
        </w:rPr>
        <w:fldChar w:fldCharType="end"/>
      </w:r>
    </w:p>
    <w:p w14:paraId="52B79003" w14:textId="0F85605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47</w:t>
      </w:r>
      <w:r>
        <w:rPr>
          <w:noProof/>
        </w:rPr>
        <w:tab/>
        <w:t>Delegation—powers and functions under these Regulations</w:t>
      </w:r>
      <w:r w:rsidRPr="00F008F6">
        <w:rPr>
          <w:noProof/>
        </w:rPr>
        <w:tab/>
      </w:r>
      <w:r w:rsidRPr="00F008F6">
        <w:rPr>
          <w:noProof/>
        </w:rPr>
        <w:fldChar w:fldCharType="begin"/>
      </w:r>
      <w:r w:rsidRPr="00F008F6">
        <w:rPr>
          <w:noProof/>
        </w:rPr>
        <w:instrText xml:space="preserve"> PAGEREF _Toc187135890 \h </w:instrText>
      </w:r>
      <w:r w:rsidRPr="00F008F6">
        <w:rPr>
          <w:noProof/>
        </w:rPr>
      </w:r>
      <w:r w:rsidRPr="00F008F6">
        <w:rPr>
          <w:noProof/>
        </w:rPr>
        <w:fldChar w:fldCharType="separate"/>
      </w:r>
      <w:r w:rsidRPr="00F008F6">
        <w:rPr>
          <w:noProof/>
        </w:rPr>
        <w:t>179</w:t>
      </w:r>
      <w:r w:rsidRPr="00F008F6">
        <w:rPr>
          <w:noProof/>
        </w:rPr>
        <w:fldChar w:fldCharType="end"/>
      </w:r>
    </w:p>
    <w:p w14:paraId="671CA3F8" w14:textId="04EEDDF0"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47A</w:t>
      </w:r>
      <w:r>
        <w:rPr>
          <w:noProof/>
        </w:rPr>
        <w:tab/>
        <w:t>Delegation—powers under paragraphs 19(1)(a), 32CK(1)(d) and 41HB(1)(d) of the Act</w:t>
      </w:r>
      <w:r w:rsidRPr="00F008F6">
        <w:rPr>
          <w:noProof/>
        </w:rPr>
        <w:tab/>
      </w:r>
      <w:r w:rsidRPr="00F008F6">
        <w:rPr>
          <w:noProof/>
        </w:rPr>
        <w:fldChar w:fldCharType="begin"/>
      </w:r>
      <w:r w:rsidRPr="00F008F6">
        <w:rPr>
          <w:noProof/>
        </w:rPr>
        <w:instrText xml:space="preserve"> PAGEREF _Toc187135891 \h </w:instrText>
      </w:r>
      <w:r w:rsidRPr="00F008F6">
        <w:rPr>
          <w:noProof/>
        </w:rPr>
      </w:r>
      <w:r w:rsidRPr="00F008F6">
        <w:rPr>
          <w:noProof/>
        </w:rPr>
        <w:fldChar w:fldCharType="separate"/>
      </w:r>
      <w:r w:rsidRPr="00F008F6">
        <w:rPr>
          <w:noProof/>
        </w:rPr>
        <w:t>179</w:t>
      </w:r>
      <w:r w:rsidRPr="00F008F6">
        <w:rPr>
          <w:noProof/>
        </w:rPr>
        <w:fldChar w:fldCharType="end"/>
      </w:r>
    </w:p>
    <w:p w14:paraId="50CB5BFA" w14:textId="4F65E23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47B</w:t>
      </w:r>
      <w:r>
        <w:rPr>
          <w:noProof/>
        </w:rPr>
        <w:tab/>
        <w:t>Provision of information concerning medicines, biologicals and medical devices</w:t>
      </w:r>
      <w:r w:rsidRPr="00F008F6">
        <w:rPr>
          <w:noProof/>
        </w:rPr>
        <w:tab/>
      </w:r>
      <w:r w:rsidRPr="00F008F6">
        <w:rPr>
          <w:noProof/>
        </w:rPr>
        <w:fldChar w:fldCharType="begin"/>
      </w:r>
      <w:r w:rsidRPr="00F008F6">
        <w:rPr>
          <w:noProof/>
        </w:rPr>
        <w:instrText xml:space="preserve"> PAGEREF _Toc187135892 \h </w:instrText>
      </w:r>
      <w:r w:rsidRPr="00F008F6">
        <w:rPr>
          <w:noProof/>
        </w:rPr>
      </w:r>
      <w:r w:rsidRPr="00F008F6">
        <w:rPr>
          <w:noProof/>
        </w:rPr>
        <w:fldChar w:fldCharType="separate"/>
      </w:r>
      <w:r w:rsidRPr="00F008F6">
        <w:rPr>
          <w:noProof/>
        </w:rPr>
        <w:t>180</w:t>
      </w:r>
      <w:r w:rsidRPr="00F008F6">
        <w:rPr>
          <w:noProof/>
        </w:rPr>
        <w:fldChar w:fldCharType="end"/>
      </w:r>
    </w:p>
    <w:p w14:paraId="24945B77" w14:textId="3522952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47C</w:t>
      </w:r>
      <w:r>
        <w:rPr>
          <w:noProof/>
        </w:rPr>
        <w:tab/>
        <w:t>Enforceable directions</w:t>
      </w:r>
      <w:r w:rsidRPr="00F008F6">
        <w:rPr>
          <w:noProof/>
        </w:rPr>
        <w:tab/>
      </w:r>
      <w:r w:rsidRPr="00F008F6">
        <w:rPr>
          <w:noProof/>
        </w:rPr>
        <w:fldChar w:fldCharType="begin"/>
      </w:r>
      <w:r w:rsidRPr="00F008F6">
        <w:rPr>
          <w:noProof/>
        </w:rPr>
        <w:instrText xml:space="preserve"> PAGEREF _Toc187135893 \h </w:instrText>
      </w:r>
      <w:r w:rsidRPr="00F008F6">
        <w:rPr>
          <w:noProof/>
        </w:rPr>
      </w:r>
      <w:r w:rsidRPr="00F008F6">
        <w:rPr>
          <w:noProof/>
        </w:rPr>
        <w:fldChar w:fldCharType="separate"/>
      </w:r>
      <w:r w:rsidRPr="00F008F6">
        <w:rPr>
          <w:noProof/>
        </w:rPr>
        <w:t>181</w:t>
      </w:r>
      <w:r w:rsidRPr="00F008F6">
        <w:rPr>
          <w:noProof/>
        </w:rPr>
        <w:fldChar w:fldCharType="end"/>
      </w:r>
    </w:p>
    <w:p w14:paraId="6A85AF4E" w14:textId="4F727ECD"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48</w:t>
      </w:r>
      <w:r>
        <w:rPr>
          <w:noProof/>
        </w:rPr>
        <w:tab/>
        <w:t>Review of decisions</w:t>
      </w:r>
      <w:r w:rsidRPr="00F008F6">
        <w:rPr>
          <w:noProof/>
        </w:rPr>
        <w:tab/>
      </w:r>
      <w:r w:rsidRPr="00F008F6">
        <w:rPr>
          <w:noProof/>
        </w:rPr>
        <w:fldChar w:fldCharType="begin"/>
      </w:r>
      <w:r w:rsidRPr="00F008F6">
        <w:rPr>
          <w:noProof/>
        </w:rPr>
        <w:instrText xml:space="preserve"> PAGEREF _Toc187135894 \h </w:instrText>
      </w:r>
      <w:r w:rsidRPr="00F008F6">
        <w:rPr>
          <w:noProof/>
        </w:rPr>
      </w:r>
      <w:r w:rsidRPr="00F008F6">
        <w:rPr>
          <w:noProof/>
        </w:rPr>
        <w:fldChar w:fldCharType="separate"/>
      </w:r>
      <w:r w:rsidRPr="00F008F6">
        <w:rPr>
          <w:noProof/>
        </w:rPr>
        <w:t>182</w:t>
      </w:r>
      <w:r w:rsidRPr="00F008F6">
        <w:rPr>
          <w:noProof/>
        </w:rPr>
        <w:fldChar w:fldCharType="end"/>
      </w:r>
    </w:p>
    <w:p w14:paraId="25A343B1" w14:textId="0963E5DF"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9—Transitional</w:t>
      </w:r>
      <w:r w:rsidRPr="00F008F6">
        <w:rPr>
          <w:b w:val="0"/>
          <w:noProof/>
          <w:sz w:val="18"/>
        </w:rPr>
        <w:tab/>
      </w:r>
      <w:r w:rsidRPr="00F008F6">
        <w:rPr>
          <w:b w:val="0"/>
          <w:noProof/>
          <w:sz w:val="18"/>
        </w:rPr>
        <w:fldChar w:fldCharType="begin"/>
      </w:r>
      <w:r w:rsidRPr="00F008F6">
        <w:rPr>
          <w:b w:val="0"/>
          <w:noProof/>
          <w:sz w:val="18"/>
        </w:rPr>
        <w:instrText xml:space="preserve"> PAGEREF _Toc187135895 \h </w:instrText>
      </w:r>
      <w:r w:rsidRPr="00F008F6">
        <w:rPr>
          <w:b w:val="0"/>
          <w:noProof/>
          <w:sz w:val="18"/>
        </w:rPr>
      </w:r>
      <w:r w:rsidRPr="00F008F6">
        <w:rPr>
          <w:b w:val="0"/>
          <w:noProof/>
          <w:sz w:val="18"/>
        </w:rPr>
        <w:fldChar w:fldCharType="separate"/>
      </w:r>
      <w:r w:rsidRPr="00F008F6">
        <w:rPr>
          <w:b w:val="0"/>
          <w:noProof/>
          <w:sz w:val="18"/>
        </w:rPr>
        <w:t>185</w:t>
      </w:r>
      <w:r w:rsidRPr="00F008F6">
        <w:rPr>
          <w:b w:val="0"/>
          <w:noProof/>
          <w:sz w:val="18"/>
        </w:rPr>
        <w:fldChar w:fldCharType="end"/>
      </w:r>
    </w:p>
    <w:p w14:paraId="0368968D" w14:textId="3D12F486"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1—Transitional provisions relating to the Therapeutic Goods Amendment Regulations 2010 (No. 1)</w:t>
      </w:r>
      <w:r w:rsidRPr="00F008F6">
        <w:rPr>
          <w:b w:val="0"/>
          <w:noProof/>
          <w:sz w:val="18"/>
        </w:rPr>
        <w:tab/>
      </w:r>
      <w:r w:rsidRPr="00F008F6">
        <w:rPr>
          <w:b w:val="0"/>
          <w:noProof/>
          <w:sz w:val="18"/>
        </w:rPr>
        <w:fldChar w:fldCharType="begin"/>
      </w:r>
      <w:r w:rsidRPr="00F008F6">
        <w:rPr>
          <w:b w:val="0"/>
          <w:noProof/>
          <w:sz w:val="18"/>
        </w:rPr>
        <w:instrText xml:space="preserve"> PAGEREF _Toc187135896 \h </w:instrText>
      </w:r>
      <w:r w:rsidRPr="00F008F6">
        <w:rPr>
          <w:b w:val="0"/>
          <w:noProof/>
          <w:sz w:val="18"/>
        </w:rPr>
      </w:r>
      <w:r w:rsidRPr="00F008F6">
        <w:rPr>
          <w:b w:val="0"/>
          <w:noProof/>
          <w:sz w:val="18"/>
        </w:rPr>
        <w:fldChar w:fldCharType="separate"/>
      </w:r>
      <w:r w:rsidRPr="00F008F6">
        <w:rPr>
          <w:b w:val="0"/>
          <w:noProof/>
          <w:sz w:val="18"/>
        </w:rPr>
        <w:t>185</w:t>
      </w:r>
      <w:r w:rsidRPr="00F008F6">
        <w:rPr>
          <w:b w:val="0"/>
          <w:noProof/>
          <w:sz w:val="18"/>
        </w:rPr>
        <w:fldChar w:fldCharType="end"/>
      </w:r>
    </w:p>
    <w:p w14:paraId="5E644A01" w14:textId="5CD137BB"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48A</w:t>
      </w:r>
      <w:r>
        <w:rPr>
          <w:noProof/>
        </w:rPr>
        <w:tab/>
        <w:t>Definitions</w:t>
      </w:r>
      <w:r w:rsidRPr="00F008F6">
        <w:rPr>
          <w:noProof/>
        </w:rPr>
        <w:tab/>
      </w:r>
      <w:r w:rsidRPr="00F008F6">
        <w:rPr>
          <w:noProof/>
        </w:rPr>
        <w:fldChar w:fldCharType="begin"/>
      </w:r>
      <w:r w:rsidRPr="00F008F6">
        <w:rPr>
          <w:noProof/>
        </w:rPr>
        <w:instrText xml:space="preserve"> PAGEREF _Toc187135897 \h </w:instrText>
      </w:r>
      <w:r w:rsidRPr="00F008F6">
        <w:rPr>
          <w:noProof/>
        </w:rPr>
      </w:r>
      <w:r w:rsidRPr="00F008F6">
        <w:rPr>
          <w:noProof/>
        </w:rPr>
        <w:fldChar w:fldCharType="separate"/>
      </w:r>
      <w:r w:rsidRPr="00F008F6">
        <w:rPr>
          <w:noProof/>
        </w:rPr>
        <w:t>185</w:t>
      </w:r>
      <w:r w:rsidRPr="00F008F6">
        <w:rPr>
          <w:noProof/>
        </w:rPr>
        <w:fldChar w:fldCharType="end"/>
      </w:r>
    </w:p>
    <w:p w14:paraId="4877FDB3" w14:textId="6C0A8C6C"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48B</w:t>
      </w:r>
      <w:r>
        <w:rPr>
          <w:noProof/>
        </w:rPr>
        <w:tab/>
        <w:t>Application of 2010 Amendment Regulations</w:t>
      </w:r>
      <w:r w:rsidRPr="00F008F6">
        <w:rPr>
          <w:noProof/>
        </w:rPr>
        <w:tab/>
      </w:r>
      <w:r w:rsidRPr="00F008F6">
        <w:rPr>
          <w:noProof/>
        </w:rPr>
        <w:fldChar w:fldCharType="begin"/>
      </w:r>
      <w:r w:rsidRPr="00F008F6">
        <w:rPr>
          <w:noProof/>
        </w:rPr>
        <w:instrText xml:space="preserve"> PAGEREF _Toc187135898 \h </w:instrText>
      </w:r>
      <w:r w:rsidRPr="00F008F6">
        <w:rPr>
          <w:noProof/>
        </w:rPr>
      </w:r>
      <w:r w:rsidRPr="00F008F6">
        <w:rPr>
          <w:noProof/>
        </w:rPr>
        <w:fldChar w:fldCharType="separate"/>
      </w:r>
      <w:r w:rsidRPr="00F008F6">
        <w:rPr>
          <w:noProof/>
        </w:rPr>
        <w:t>185</w:t>
      </w:r>
      <w:r w:rsidRPr="00F008F6">
        <w:rPr>
          <w:noProof/>
        </w:rPr>
        <w:fldChar w:fldCharType="end"/>
      </w:r>
    </w:p>
    <w:p w14:paraId="3E4CA71A" w14:textId="118345F4"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lastRenderedPageBreak/>
        <w:t>Division 2—Transitional provisions relating to the Therapeutic Goods Amendment Regulation 2012 (No. 3)</w:t>
      </w:r>
      <w:r w:rsidRPr="00F008F6">
        <w:rPr>
          <w:b w:val="0"/>
          <w:noProof/>
          <w:sz w:val="18"/>
        </w:rPr>
        <w:tab/>
      </w:r>
      <w:r w:rsidRPr="00F008F6">
        <w:rPr>
          <w:b w:val="0"/>
          <w:noProof/>
          <w:sz w:val="18"/>
        </w:rPr>
        <w:fldChar w:fldCharType="begin"/>
      </w:r>
      <w:r w:rsidRPr="00F008F6">
        <w:rPr>
          <w:b w:val="0"/>
          <w:noProof/>
          <w:sz w:val="18"/>
        </w:rPr>
        <w:instrText xml:space="preserve"> PAGEREF _Toc187135899 \h </w:instrText>
      </w:r>
      <w:r w:rsidRPr="00F008F6">
        <w:rPr>
          <w:b w:val="0"/>
          <w:noProof/>
          <w:sz w:val="18"/>
        </w:rPr>
      </w:r>
      <w:r w:rsidRPr="00F008F6">
        <w:rPr>
          <w:b w:val="0"/>
          <w:noProof/>
          <w:sz w:val="18"/>
        </w:rPr>
        <w:fldChar w:fldCharType="separate"/>
      </w:r>
      <w:r w:rsidRPr="00F008F6">
        <w:rPr>
          <w:b w:val="0"/>
          <w:noProof/>
          <w:sz w:val="18"/>
        </w:rPr>
        <w:t>186</w:t>
      </w:r>
      <w:r w:rsidRPr="00F008F6">
        <w:rPr>
          <w:b w:val="0"/>
          <w:noProof/>
          <w:sz w:val="18"/>
        </w:rPr>
        <w:fldChar w:fldCharType="end"/>
      </w:r>
    </w:p>
    <w:p w14:paraId="1DB35994" w14:textId="5A0268B2"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49</w:t>
      </w:r>
      <w:r>
        <w:rPr>
          <w:noProof/>
        </w:rPr>
        <w:tab/>
        <w:t>Transitional</w:t>
      </w:r>
      <w:r w:rsidRPr="00F008F6">
        <w:rPr>
          <w:noProof/>
        </w:rPr>
        <w:tab/>
      </w:r>
      <w:r w:rsidRPr="00F008F6">
        <w:rPr>
          <w:noProof/>
        </w:rPr>
        <w:fldChar w:fldCharType="begin"/>
      </w:r>
      <w:r w:rsidRPr="00F008F6">
        <w:rPr>
          <w:noProof/>
        </w:rPr>
        <w:instrText xml:space="preserve"> PAGEREF _Toc187135900 \h </w:instrText>
      </w:r>
      <w:r w:rsidRPr="00F008F6">
        <w:rPr>
          <w:noProof/>
        </w:rPr>
      </w:r>
      <w:r w:rsidRPr="00F008F6">
        <w:rPr>
          <w:noProof/>
        </w:rPr>
        <w:fldChar w:fldCharType="separate"/>
      </w:r>
      <w:r w:rsidRPr="00F008F6">
        <w:rPr>
          <w:noProof/>
        </w:rPr>
        <w:t>186</w:t>
      </w:r>
      <w:r w:rsidRPr="00F008F6">
        <w:rPr>
          <w:noProof/>
        </w:rPr>
        <w:fldChar w:fldCharType="end"/>
      </w:r>
    </w:p>
    <w:p w14:paraId="04804109" w14:textId="6FFF980A"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3—Transitional provisions relating to the Therapeutic Goods Amendment (Registered Over the Counter Medicines) Regulation 2015</w:t>
      </w:r>
      <w:r w:rsidRPr="00F008F6">
        <w:rPr>
          <w:b w:val="0"/>
          <w:noProof/>
          <w:sz w:val="18"/>
        </w:rPr>
        <w:tab/>
      </w:r>
      <w:r w:rsidRPr="00F008F6">
        <w:rPr>
          <w:b w:val="0"/>
          <w:noProof/>
          <w:sz w:val="18"/>
        </w:rPr>
        <w:fldChar w:fldCharType="begin"/>
      </w:r>
      <w:r w:rsidRPr="00F008F6">
        <w:rPr>
          <w:b w:val="0"/>
          <w:noProof/>
          <w:sz w:val="18"/>
        </w:rPr>
        <w:instrText xml:space="preserve"> PAGEREF _Toc187135901 \h </w:instrText>
      </w:r>
      <w:r w:rsidRPr="00F008F6">
        <w:rPr>
          <w:b w:val="0"/>
          <w:noProof/>
          <w:sz w:val="18"/>
        </w:rPr>
      </w:r>
      <w:r w:rsidRPr="00F008F6">
        <w:rPr>
          <w:b w:val="0"/>
          <w:noProof/>
          <w:sz w:val="18"/>
        </w:rPr>
        <w:fldChar w:fldCharType="separate"/>
      </w:r>
      <w:r w:rsidRPr="00F008F6">
        <w:rPr>
          <w:b w:val="0"/>
          <w:noProof/>
          <w:sz w:val="18"/>
        </w:rPr>
        <w:t>187</w:t>
      </w:r>
      <w:r w:rsidRPr="00F008F6">
        <w:rPr>
          <w:b w:val="0"/>
          <w:noProof/>
          <w:sz w:val="18"/>
        </w:rPr>
        <w:fldChar w:fldCharType="end"/>
      </w:r>
    </w:p>
    <w:p w14:paraId="474BA792" w14:textId="602B469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50</w:t>
      </w:r>
      <w:r>
        <w:rPr>
          <w:noProof/>
        </w:rPr>
        <w:tab/>
        <w:t>Application</w:t>
      </w:r>
      <w:r w:rsidRPr="00F008F6">
        <w:rPr>
          <w:noProof/>
        </w:rPr>
        <w:tab/>
      </w:r>
      <w:r w:rsidRPr="00F008F6">
        <w:rPr>
          <w:noProof/>
        </w:rPr>
        <w:fldChar w:fldCharType="begin"/>
      </w:r>
      <w:r w:rsidRPr="00F008F6">
        <w:rPr>
          <w:noProof/>
        </w:rPr>
        <w:instrText xml:space="preserve"> PAGEREF _Toc187135902 \h </w:instrText>
      </w:r>
      <w:r w:rsidRPr="00F008F6">
        <w:rPr>
          <w:noProof/>
        </w:rPr>
      </w:r>
      <w:r w:rsidRPr="00F008F6">
        <w:rPr>
          <w:noProof/>
        </w:rPr>
        <w:fldChar w:fldCharType="separate"/>
      </w:r>
      <w:r w:rsidRPr="00F008F6">
        <w:rPr>
          <w:noProof/>
        </w:rPr>
        <w:t>187</w:t>
      </w:r>
      <w:r w:rsidRPr="00F008F6">
        <w:rPr>
          <w:noProof/>
        </w:rPr>
        <w:fldChar w:fldCharType="end"/>
      </w:r>
    </w:p>
    <w:p w14:paraId="3C6879CF" w14:textId="00449D20"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4—Transitional provisions relating to the Therapeutic Goods Legislation Amendment (Charges Exemptions and Other Measures) Regulation 2016</w:t>
      </w:r>
      <w:r w:rsidRPr="00F008F6">
        <w:rPr>
          <w:b w:val="0"/>
          <w:noProof/>
          <w:sz w:val="18"/>
        </w:rPr>
        <w:tab/>
      </w:r>
      <w:r w:rsidRPr="00F008F6">
        <w:rPr>
          <w:b w:val="0"/>
          <w:noProof/>
          <w:sz w:val="18"/>
        </w:rPr>
        <w:fldChar w:fldCharType="begin"/>
      </w:r>
      <w:r w:rsidRPr="00F008F6">
        <w:rPr>
          <w:b w:val="0"/>
          <w:noProof/>
          <w:sz w:val="18"/>
        </w:rPr>
        <w:instrText xml:space="preserve"> PAGEREF _Toc187135903 \h </w:instrText>
      </w:r>
      <w:r w:rsidRPr="00F008F6">
        <w:rPr>
          <w:b w:val="0"/>
          <w:noProof/>
          <w:sz w:val="18"/>
        </w:rPr>
      </w:r>
      <w:r w:rsidRPr="00F008F6">
        <w:rPr>
          <w:b w:val="0"/>
          <w:noProof/>
          <w:sz w:val="18"/>
        </w:rPr>
        <w:fldChar w:fldCharType="separate"/>
      </w:r>
      <w:r w:rsidRPr="00F008F6">
        <w:rPr>
          <w:b w:val="0"/>
          <w:noProof/>
          <w:sz w:val="18"/>
        </w:rPr>
        <w:t>188</w:t>
      </w:r>
      <w:r w:rsidRPr="00F008F6">
        <w:rPr>
          <w:b w:val="0"/>
          <w:noProof/>
          <w:sz w:val="18"/>
        </w:rPr>
        <w:fldChar w:fldCharType="end"/>
      </w:r>
    </w:p>
    <w:p w14:paraId="0F15D803" w14:textId="19E91C4E"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51</w:t>
      </w:r>
      <w:r>
        <w:rPr>
          <w:noProof/>
        </w:rPr>
        <w:tab/>
        <w:t>Application</w:t>
      </w:r>
      <w:r w:rsidRPr="00F008F6">
        <w:rPr>
          <w:noProof/>
        </w:rPr>
        <w:tab/>
      </w:r>
      <w:r w:rsidRPr="00F008F6">
        <w:rPr>
          <w:noProof/>
        </w:rPr>
        <w:fldChar w:fldCharType="begin"/>
      </w:r>
      <w:r w:rsidRPr="00F008F6">
        <w:rPr>
          <w:noProof/>
        </w:rPr>
        <w:instrText xml:space="preserve"> PAGEREF _Toc187135904 \h </w:instrText>
      </w:r>
      <w:r w:rsidRPr="00F008F6">
        <w:rPr>
          <w:noProof/>
        </w:rPr>
      </w:r>
      <w:r w:rsidRPr="00F008F6">
        <w:rPr>
          <w:noProof/>
        </w:rPr>
        <w:fldChar w:fldCharType="separate"/>
      </w:r>
      <w:r w:rsidRPr="00F008F6">
        <w:rPr>
          <w:noProof/>
        </w:rPr>
        <w:t>188</w:t>
      </w:r>
      <w:r w:rsidRPr="00F008F6">
        <w:rPr>
          <w:noProof/>
        </w:rPr>
        <w:fldChar w:fldCharType="end"/>
      </w:r>
    </w:p>
    <w:p w14:paraId="540CAE73" w14:textId="0A1CFCF6"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5—Transitional provisions relating to the Therapeutic Goods Legislation Amendment (2017 Measures No. 1) Regulations 2017</w:t>
      </w:r>
      <w:r w:rsidRPr="00F008F6">
        <w:rPr>
          <w:b w:val="0"/>
          <w:noProof/>
          <w:sz w:val="18"/>
        </w:rPr>
        <w:tab/>
      </w:r>
      <w:r w:rsidRPr="00F008F6">
        <w:rPr>
          <w:b w:val="0"/>
          <w:noProof/>
          <w:sz w:val="18"/>
        </w:rPr>
        <w:fldChar w:fldCharType="begin"/>
      </w:r>
      <w:r w:rsidRPr="00F008F6">
        <w:rPr>
          <w:b w:val="0"/>
          <w:noProof/>
          <w:sz w:val="18"/>
        </w:rPr>
        <w:instrText xml:space="preserve"> PAGEREF _Toc187135905 \h </w:instrText>
      </w:r>
      <w:r w:rsidRPr="00F008F6">
        <w:rPr>
          <w:b w:val="0"/>
          <w:noProof/>
          <w:sz w:val="18"/>
        </w:rPr>
      </w:r>
      <w:r w:rsidRPr="00F008F6">
        <w:rPr>
          <w:b w:val="0"/>
          <w:noProof/>
          <w:sz w:val="18"/>
        </w:rPr>
        <w:fldChar w:fldCharType="separate"/>
      </w:r>
      <w:r w:rsidRPr="00F008F6">
        <w:rPr>
          <w:b w:val="0"/>
          <w:noProof/>
          <w:sz w:val="18"/>
        </w:rPr>
        <w:t>189</w:t>
      </w:r>
      <w:r w:rsidRPr="00F008F6">
        <w:rPr>
          <w:b w:val="0"/>
          <w:noProof/>
          <w:sz w:val="18"/>
        </w:rPr>
        <w:fldChar w:fldCharType="end"/>
      </w:r>
    </w:p>
    <w:p w14:paraId="058D56EF" w14:textId="6C01BB7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52</w:t>
      </w:r>
      <w:r>
        <w:rPr>
          <w:noProof/>
        </w:rPr>
        <w:tab/>
        <w:t>Definitions</w:t>
      </w:r>
      <w:r w:rsidRPr="00F008F6">
        <w:rPr>
          <w:noProof/>
        </w:rPr>
        <w:tab/>
      </w:r>
      <w:r w:rsidRPr="00F008F6">
        <w:rPr>
          <w:noProof/>
        </w:rPr>
        <w:fldChar w:fldCharType="begin"/>
      </w:r>
      <w:r w:rsidRPr="00F008F6">
        <w:rPr>
          <w:noProof/>
        </w:rPr>
        <w:instrText xml:space="preserve"> PAGEREF _Toc187135906 \h </w:instrText>
      </w:r>
      <w:r w:rsidRPr="00F008F6">
        <w:rPr>
          <w:noProof/>
        </w:rPr>
      </w:r>
      <w:r w:rsidRPr="00F008F6">
        <w:rPr>
          <w:noProof/>
        </w:rPr>
        <w:fldChar w:fldCharType="separate"/>
      </w:r>
      <w:r w:rsidRPr="00F008F6">
        <w:rPr>
          <w:noProof/>
        </w:rPr>
        <w:t>189</w:t>
      </w:r>
      <w:r w:rsidRPr="00F008F6">
        <w:rPr>
          <w:noProof/>
        </w:rPr>
        <w:fldChar w:fldCharType="end"/>
      </w:r>
    </w:p>
    <w:p w14:paraId="1A4CCA8B" w14:textId="23455D7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53</w:t>
      </w:r>
      <w:r>
        <w:rPr>
          <w:noProof/>
        </w:rPr>
        <w:tab/>
        <w:t>Transitional—continuing application of evaluation fees for variations of permissible ingredients determinations</w:t>
      </w:r>
      <w:r w:rsidRPr="00F008F6">
        <w:rPr>
          <w:noProof/>
        </w:rPr>
        <w:tab/>
      </w:r>
      <w:r w:rsidRPr="00F008F6">
        <w:rPr>
          <w:noProof/>
        </w:rPr>
        <w:fldChar w:fldCharType="begin"/>
      </w:r>
      <w:r w:rsidRPr="00F008F6">
        <w:rPr>
          <w:noProof/>
        </w:rPr>
        <w:instrText xml:space="preserve"> PAGEREF _Toc187135907 \h </w:instrText>
      </w:r>
      <w:r w:rsidRPr="00F008F6">
        <w:rPr>
          <w:noProof/>
        </w:rPr>
      </w:r>
      <w:r w:rsidRPr="00F008F6">
        <w:rPr>
          <w:noProof/>
        </w:rPr>
        <w:fldChar w:fldCharType="separate"/>
      </w:r>
      <w:r w:rsidRPr="00F008F6">
        <w:rPr>
          <w:noProof/>
        </w:rPr>
        <w:t>189</w:t>
      </w:r>
      <w:r w:rsidRPr="00F008F6">
        <w:rPr>
          <w:noProof/>
        </w:rPr>
        <w:fldChar w:fldCharType="end"/>
      </w:r>
    </w:p>
    <w:p w14:paraId="0F03076C" w14:textId="4F61E449"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54</w:t>
      </w:r>
      <w:r>
        <w:rPr>
          <w:noProof/>
        </w:rPr>
        <w:tab/>
        <w:t>Transitional—existing orphan drug designations</w:t>
      </w:r>
      <w:r w:rsidRPr="00F008F6">
        <w:rPr>
          <w:noProof/>
        </w:rPr>
        <w:tab/>
      </w:r>
      <w:r w:rsidRPr="00F008F6">
        <w:rPr>
          <w:noProof/>
        </w:rPr>
        <w:fldChar w:fldCharType="begin"/>
      </w:r>
      <w:r w:rsidRPr="00F008F6">
        <w:rPr>
          <w:noProof/>
        </w:rPr>
        <w:instrText xml:space="preserve"> PAGEREF _Toc187135908 \h </w:instrText>
      </w:r>
      <w:r w:rsidRPr="00F008F6">
        <w:rPr>
          <w:noProof/>
        </w:rPr>
      </w:r>
      <w:r w:rsidRPr="00F008F6">
        <w:rPr>
          <w:noProof/>
        </w:rPr>
        <w:fldChar w:fldCharType="separate"/>
      </w:r>
      <w:r w:rsidRPr="00F008F6">
        <w:rPr>
          <w:noProof/>
        </w:rPr>
        <w:t>189</w:t>
      </w:r>
      <w:r w:rsidRPr="00F008F6">
        <w:rPr>
          <w:noProof/>
        </w:rPr>
        <w:fldChar w:fldCharType="end"/>
      </w:r>
    </w:p>
    <w:p w14:paraId="0240744F" w14:textId="30949977"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55</w:t>
      </w:r>
      <w:r>
        <w:rPr>
          <w:noProof/>
        </w:rPr>
        <w:tab/>
        <w:t>Transitional—pending orphan drug designation applications</w:t>
      </w:r>
      <w:r w:rsidRPr="00F008F6">
        <w:rPr>
          <w:noProof/>
        </w:rPr>
        <w:tab/>
      </w:r>
      <w:r w:rsidRPr="00F008F6">
        <w:rPr>
          <w:noProof/>
        </w:rPr>
        <w:fldChar w:fldCharType="begin"/>
      </w:r>
      <w:r w:rsidRPr="00F008F6">
        <w:rPr>
          <w:noProof/>
        </w:rPr>
        <w:instrText xml:space="preserve"> PAGEREF _Toc187135909 \h </w:instrText>
      </w:r>
      <w:r w:rsidRPr="00F008F6">
        <w:rPr>
          <w:noProof/>
        </w:rPr>
      </w:r>
      <w:r w:rsidRPr="00F008F6">
        <w:rPr>
          <w:noProof/>
        </w:rPr>
        <w:fldChar w:fldCharType="separate"/>
      </w:r>
      <w:r w:rsidRPr="00F008F6">
        <w:rPr>
          <w:noProof/>
        </w:rPr>
        <w:t>189</w:t>
      </w:r>
      <w:r w:rsidRPr="00F008F6">
        <w:rPr>
          <w:noProof/>
        </w:rPr>
        <w:fldChar w:fldCharType="end"/>
      </w:r>
    </w:p>
    <w:p w14:paraId="7DBAA568" w14:textId="01D08F3C"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56</w:t>
      </w:r>
      <w:r>
        <w:rPr>
          <w:noProof/>
        </w:rPr>
        <w:tab/>
        <w:t>Transitional—fee waivers in relation to certain designations</w:t>
      </w:r>
      <w:r w:rsidRPr="00F008F6">
        <w:rPr>
          <w:noProof/>
        </w:rPr>
        <w:tab/>
      </w:r>
      <w:r w:rsidRPr="00F008F6">
        <w:rPr>
          <w:noProof/>
        </w:rPr>
        <w:fldChar w:fldCharType="begin"/>
      </w:r>
      <w:r w:rsidRPr="00F008F6">
        <w:rPr>
          <w:noProof/>
        </w:rPr>
        <w:instrText xml:space="preserve"> PAGEREF _Toc187135910 \h </w:instrText>
      </w:r>
      <w:r w:rsidRPr="00F008F6">
        <w:rPr>
          <w:noProof/>
        </w:rPr>
      </w:r>
      <w:r w:rsidRPr="00F008F6">
        <w:rPr>
          <w:noProof/>
        </w:rPr>
        <w:fldChar w:fldCharType="separate"/>
      </w:r>
      <w:r w:rsidRPr="00F008F6">
        <w:rPr>
          <w:noProof/>
        </w:rPr>
        <w:t>190</w:t>
      </w:r>
      <w:r w:rsidRPr="00F008F6">
        <w:rPr>
          <w:noProof/>
        </w:rPr>
        <w:fldChar w:fldCharType="end"/>
      </w:r>
    </w:p>
    <w:p w14:paraId="7C687526" w14:textId="12DF60E0"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6—Transitional provisions relating to the Therapeutic Goods Legislation Amendment (2017 Measures No. 2) Regulations 2017</w:t>
      </w:r>
      <w:r w:rsidRPr="00F008F6">
        <w:rPr>
          <w:b w:val="0"/>
          <w:noProof/>
          <w:sz w:val="18"/>
        </w:rPr>
        <w:tab/>
      </w:r>
      <w:r w:rsidRPr="00F008F6">
        <w:rPr>
          <w:b w:val="0"/>
          <w:noProof/>
          <w:sz w:val="18"/>
        </w:rPr>
        <w:fldChar w:fldCharType="begin"/>
      </w:r>
      <w:r w:rsidRPr="00F008F6">
        <w:rPr>
          <w:b w:val="0"/>
          <w:noProof/>
          <w:sz w:val="18"/>
        </w:rPr>
        <w:instrText xml:space="preserve"> PAGEREF _Toc187135911 \h </w:instrText>
      </w:r>
      <w:r w:rsidRPr="00F008F6">
        <w:rPr>
          <w:b w:val="0"/>
          <w:noProof/>
          <w:sz w:val="18"/>
        </w:rPr>
      </w:r>
      <w:r w:rsidRPr="00F008F6">
        <w:rPr>
          <w:b w:val="0"/>
          <w:noProof/>
          <w:sz w:val="18"/>
        </w:rPr>
        <w:fldChar w:fldCharType="separate"/>
      </w:r>
      <w:r w:rsidRPr="00F008F6">
        <w:rPr>
          <w:b w:val="0"/>
          <w:noProof/>
          <w:sz w:val="18"/>
        </w:rPr>
        <w:t>191</w:t>
      </w:r>
      <w:r w:rsidRPr="00F008F6">
        <w:rPr>
          <w:b w:val="0"/>
          <w:noProof/>
          <w:sz w:val="18"/>
        </w:rPr>
        <w:fldChar w:fldCharType="end"/>
      </w:r>
    </w:p>
    <w:p w14:paraId="4E633900" w14:textId="4232DBDD"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57</w:t>
      </w:r>
      <w:r>
        <w:rPr>
          <w:noProof/>
        </w:rPr>
        <w:tab/>
        <w:t>Definitions</w:t>
      </w:r>
      <w:r w:rsidRPr="00F008F6">
        <w:rPr>
          <w:noProof/>
        </w:rPr>
        <w:tab/>
      </w:r>
      <w:r w:rsidRPr="00F008F6">
        <w:rPr>
          <w:noProof/>
        </w:rPr>
        <w:fldChar w:fldCharType="begin"/>
      </w:r>
      <w:r w:rsidRPr="00F008F6">
        <w:rPr>
          <w:noProof/>
        </w:rPr>
        <w:instrText xml:space="preserve"> PAGEREF _Toc187135912 \h </w:instrText>
      </w:r>
      <w:r w:rsidRPr="00F008F6">
        <w:rPr>
          <w:noProof/>
        </w:rPr>
      </w:r>
      <w:r w:rsidRPr="00F008F6">
        <w:rPr>
          <w:noProof/>
        </w:rPr>
        <w:fldChar w:fldCharType="separate"/>
      </w:r>
      <w:r w:rsidRPr="00F008F6">
        <w:rPr>
          <w:noProof/>
        </w:rPr>
        <w:t>191</w:t>
      </w:r>
      <w:r w:rsidRPr="00F008F6">
        <w:rPr>
          <w:noProof/>
        </w:rPr>
        <w:fldChar w:fldCharType="end"/>
      </w:r>
    </w:p>
    <w:p w14:paraId="4F8E9B20" w14:textId="35BC249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58</w:t>
      </w:r>
      <w:r>
        <w:rPr>
          <w:noProof/>
        </w:rPr>
        <w:tab/>
        <w:t>Application—statements in relation to unapproved medicines and biologicals</w:t>
      </w:r>
      <w:r w:rsidRPr="00F008F6">
        <w:rPr>
          <w:noProof/>
        </w:rPr>
        <w:tab/>
      </w:r>
      <w:r w:rsidRPr="00F008F6">
        <w:rPr>
          <w:noProof/>
        </w:rPr>
        <w:fldChar w:fldCharType="begin"/>
      </w:r>
      <w:r w:rsidRPr="00F008F6">
        <w:rPr>
          <w:noProof/>
        </w:rPr>
        <w:instrText xml:space="preserve"> PAGEREF _Toc187135913 \h </w:instrText>
      </w:r>
      <w:r w:rsidRPr="00F008F6">
        <w:rPr>
          <w:noProof/>
        </w:rPr>
      </w:r>
      <w:r w:rsidRPr="00F008F6">
        <w:rPr>
          <w:noProof/>
        </w:rPr>
        <w:fldChar w:fldCharType="separate"/>
      </w:r>
      <w:r w:rsidRPr="00F008F6">
        <w:rPr>
          <w:noProof/>
        </w:rPr>
        <w:t>191</w:t>
      </w:r>
      <w:r w:rsidRPr="00F008F6">
        <w:rPr>
          <w:noProof/>
        </w:rPr>
        <w:fldChar w:fldCharType="end"/>
      </w:r>
    </w:p>
    <w:p w14:paraId="2CE20A92" w14:textId="59A542D1"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59</w:t>
      </w:r>
      <w:r>
        <w:rPr>
          <w:noProof/>
        </w:rPr>
        <w:tab/>
        <w:t>Transitional—approval of form for statements</w:t>
      </w:r>
      <w:r w:rsidRPr="00F008F6">
        <w:rPr>
          <w:noProof/>
        </w:rPr>
        <w:tab/>
      </w:r>
      <w:r w:rsidRPr="00F008F6">
        <w:rPr>
          <w:noProof/>
        </w:rPr>
        <w:fldChar w:fldCharType="begin"/>
      </w:r>
      <w:r w:rsidRPr="00F008F6">
        <w:rPr>
          <w:noProof/>
        </w:rPr>
        <w:instrText xml:space="preserve"> PAGEREF _Toc187135914 \h </w:instrText>
      </w:r>
      <w:r w:rsidRPr="00F008F6">
        <w:rPr>
          <w:noProof/>
        </w:rPr>
      </w:r>
      <w:r w:rsidRPr="00F008F6">
        <w:rPr>
          <w:noProof/>
        </w:rPr>
        <w:fldChar w:fldCharType="separate"/>
      </w:r>
      <w:r w:rsidRPr="00F008F6">
        <w:rPr>
          <w:noProof/>
        </w:rPr>
        <w:t>191</w:t>
      </w:r>
      <w:r w:rsidRPr="00F008F6">
        <w:rPr>
          <w:noProof/>
        </w:rPr>
        <w:fldChar w:fldCharType="end"/>
      </w:r>
    </w:p>
    <w:p w14:paraId="76BC44C0" w14:textId="6FC432A0"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7—Application and saving provisions relating to the Therapeutic Goods Legislation Amendment (2018 Measures No. 1) Regulations 2018</w:t>
      </w:r>
      <w:r w:rsidRPr="00F008F6">
        <w:rPr>
          <w:b w:val="0"/>
          <w:noProof/>
          <w:sz w:val="18"/>
        </w:rPr>
        <w:tab/>
      </w:r>
      <w:r w:rsidRPr="00F008F6">
        <w:rPr>
          <w:b w:val="0"/>
          <w:noProof/>
          <w:sz w:val="18"/>
        </w:rPr>
        <w:fldChar w:fldCharType="begin"/>
      </w:r>
      <w:r w:rsidRPr="00F008F6">
        <w:rPr>
          <w:b w:val="0"/>
          <w:noProof/>
          <w:sz w:val="18"/>
        </w:rPr>
        <w:instrText xml:space="preserve"> PAGEREF _Toc187135915 \h </w:instrText>
      </w:r>
      <w:r w:rsidRPr="00F008F6">
        <w:rPr>
          <w:b w:val="0"/>
          <w:noProof/>
          <w:sz w:val="18"/>
        </w:rPr>
      </w:r>
      <w:r w:rsidRPr="00F008F6">
        <w:rPr>
          <w:b w:val="0"/>
          <w:noProof/>
          <w:sz w:val="18"/>
        </w:rPr>
        <w:fldChar w:fldCharType="separate"/>
      </w:r>
      <w:r w:rsidRPr="00F008F6">
        <w:rPr>
          <w:b w:val="0"/>
          <w:noProof/>
          <w:sz w:val="18"/>
        </w:rPr>
        <w:t>192</w:t>
      </w:r>
      <w:r w:rsidRPr="00F008F6">
        <w:rPr>
          <w:b w:val="0"/>
          <w:noProof/>
          <w:sz w:val="18"/>
        </w:rPr>
        <w:fldChar w:fldCharType="end"/>
      </w:r>
    </w:p>
    <w:p w14:paraId="2FA65F0E" w14:textId="2F4E511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60</w:t>
      </w:r>
      <w:r>
        <w:rPr>
          <w:noProof/>
        </w:rPr>
        <w:tab/>
        <w:t>Application provisions</w:t>
      </w:r>
      <w:r w:rsidRPr="00F008F6">
        <w:rPr>
          <w:noProof/>
        </w:rPr>
        <w:tab/>
      </w:r>
      <w:r w:rsidRPr="00F008F6">
        <w:rPr>
          <w:noProof/>
        </w:rPr>
        <w:fldChar w:fldCharType="begin"/>
      </w:r>
      <w:r w:rsidRPr="00F008F6">
        <w:rPr>
          <w:noProof/>
        </w:rPr>
        <w:instrText xml:space="preserve"> PAGEREF _Toc187135916 \h </w:instrText>
      </w:r>
      <w:r w:rsidRPr="00F008F6">
        <w:rPr>
          <w:noProof/>
        </w:rPr>
      </w:r>
      <w:r w:rsidRPr="00F008F6">
        <w:rPr>
          <w:noProof/>
        </w:rPr>
        <w:fldChar w:fldCharType="separate"/>
      </w:r>
      <w:r w:rsidRPr="00F008F6">
        <w:rPr>
          <w:noProof/>
        </w:rPr>
        <w:t>192</w:t>
      </w:r>
      <w:r w:rsidRPr="00F008F6">
        <w:rPr>
          <w:noProof/>
        </w:rPr>
        <w:fldChar w:fldCharType="end"/>
      </w:r>
    </w:p>
    <w:p w14:paraId="1C9965BE" w14:textId="6BA234DE"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61</w:t>
      </w:r>
      <w:r>
        <w:rPr>
          <w:noProof/>
        </w:rPr>
        <w:tab/>
        <w:t>Operation of Schedule 2—complementary medicines</w:t>
      </w:r>
      <w:r w:rsidRPr="00F008F6">
        <w:rPr>
          <w:noProof/>
        </w:rPr>
        <w:tab/>
      </w:r>
      <w:r w:rsidRPr="00F008F6">
        <w:rPr>
          <w:noProof/>
        </w:rPr>
        <w:fldChar w:fldCharType="begin"/>
      </w:r>
      <w:r w:rsidRPr="00F008F6">
        <w:rPr>
          <w:noProof/>
        </w:rPr>
        <w:instrText xml:space="preserve"> PAGEREF _Toc187135917 \h </w:instrText>
      </w:r>
      <w:r w:rsidRPr="00F008F6">
        <w:rPr>
          <w:noProof/>
        </w:rPr>
      </w:r>
      <w:r w:rsidRPr="00F008F6">
        <w:rPr>
          <w:noProof/>
        </w:rPr>
        <w:fldChar w:fldCharType="separate"/>
      </w:r>
      <w:r w:rsidRPr="00F008F6">
        <w:rPr>
          <w:noProof/>
        </w:rPr>
        <w:t>192</w:t>
      </w:r>
      <w:r w:rsidRPr="00F008F6">
        <w:rPr>
          <w:noProof/>
        </w:rPr>
        <w:fldChar w:fldCharType="end"/>
      </w:r>
    </w:p>
    <w:p w14:paraId="43E0F2B4" w14:textId="67F8632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62</w:t>
      </w:r>
      <w:r>
        <w:rPr>
          <w:noProof/>
        </w:rPr>
        <w:tab/>
        <w:t>Saving provision</w:t>
      </w:r>
      <w:r w:rsidRPr="00F008F6">
        <w:rPr>
          <w:noProof/>
        </w:rPr>
        <w:tab/>
      </w:r>
      <w:r w:rsidRPr="00F008F6">
        <w:rPr>
          <w:noProof/>
        </w:rPr>
        <w:fldChar w:fldCharType="begin"/>
      </w:r>
      <w:r w:rsidRPr="00F008F6">
        <w:rPr>
          <w:noProof/>
        </w:rPr>
        <w:instrText xml:space="preserve"> PAGEREF _Toc187135918 \h </w:instrText>
      </w:r>
      <w:r w:rsidRPr="00F008F6">
        <w:rPr>
          <w:noProof/>
        </w:rPr>
      </w:r>
      <w:r w:rsidRPr="00F008F6">
        <w:rPr>
          <w:noProof/>
        </w:rPr>
        <w:fldChar w:fldCharType="separate"/>
      </w:r>
      <w:r w:rsidRPr="00F008F6">
        <w:rPr>
          <w:noProof/>
        </w:rPr>
        <w:t>192</w:t>
      </w:r>
      <w:r w:rsidRPr="00F008F6">
        <w:rPr>
          <w:noProof/>
        </w:rPr>
        <w:fldChar w:fldCharType="end"/>
      </w:r>
    </w:p>
    <w:p w14:paraId="27CBC493" w14:textId="34E5AA43"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8—Transitional provisions relating to the Therapeutic Goods Legislation Amendment (Exempt Devices and Goods) Regulations 2018</w:t>
      </w:r>
      <w:r w:rsidRPr="00F008F6">
        <w:rPr>
          <w:b w:val="0"/>
          <w:noProof/>
          <w:sz w:val="18"/>
        </w:rPr>
        <w:tab/>
      </w:r>
      <w:r w:rsidRPr="00F008F6">
        <w:rPr>
          <w:b w:val="0"/>
          <w:noProof/>
          <w:sz w:val="18"/>
        </w:rPr>
        <w:fldChar w:fldCharType="begin"/>
      </w:r>
      <w:r w:rsidRPr="00F008F6">
        <w:rPr>
          <w:b w:val="0"/>
          <w:noProof/>
          <w:sz w:val="18"/>
        </w:rPr>
        <w:instrText xml:space="preserve"> PAGEREF _Toc187135919 \h </w:instrText>
      </w:r>
      <w:r w:rsidRPr="00F008F6">
        <w:rPr>
          <w:b w:val="0"/>
          <w:noProof/>
          <w:sz w:val="18"/>
        </w:rPr>
      </w:r>
      <w:r w:rsidRPr="00F008F6">
        <w:rPr>
          <w:b w:val="0"/>
          <w:noProof/>
          <w:sz w:val="18"/>
        </w:rPr>
        <w:fldChar w:fldCharType="separate"/>
      </w:r>
      <w:r w:rsidRPr="00F008F6">
        <w:rPr>
          <w:b w:val="0"/>
          <w:noProof/>
          <w:sz w:val="18"/>
        </w:rPr>
        <w:t>193</w:t>
      </w:r>
      <w:r w:rsidRPr="00F008F6">
        <w:rPr>
          <w:b w:val="0"/>
          <w:noProof/>
          <w:sz w:val="18"/>
        </w:rPr>
        <w:fldChar w:fldCharType="end"/>
      </w:r>
    </w:p>
    <w:p w14:paraId="4F41056E" w14:textId="48C56A7E"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63</w:t>
      </w:r>
      <w:r>
        <w:rPr>
          <w:noProof/>
        </w:rPr>
        <w:tab/>
        <w:t>Application of amendments</w:t>
      </w:r>
      <w:r w:rsidRPr="00F008F6">
        <w:rPr>
          <w:noProof/>
        </w:rPr>
        <w:tab/>
      </w:r>
      <w:r w:rsidRPr="00F008F6">
        <w:rPr>
          <w:noProof/>
        </w:rPr>
        <w:fldChar w:fldCharType="begin"/>
      </w:r>
      <w:r w:rsidRPr="00F008F6">
        <w:rPr>
          <w:noProof/>
        </w:rPr>
        <w:instrText xml:space="preserve"> PAGEREF _Toc187135920 \h </w:instrText>
      </w:r>
      <w:r w:rsidRPr="00F008F6">
        <w:rPr>
          <w:noProof/>
        </w:rPr>
      </w:r>
      <w:r w:rsidRPr="00F008F6">
        <w:rPr>
          <w:noProof/>
        </w:rPr>
        <w:fldChar w:fldCharType="separate"/>
      </w:r>
      <w:r w:rsidRPr="00F008F6">
        <w:rPr>
          <w:noProof/>
        </w:rPr>
        <w:t>193</w:t>
      </w:r>
      <w:r w:rsidRPr="00F008F6">
        <w:rPr>
          <w:noProof/>
        </w:rPr>
        <w:fldChar w:fldCharType="end"/>
      </w:r>
    </w:p>
    <w:p w14:paraId="0C7A387D" w14:textId="256D0778"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9—Transitional provisions relating to the Therapeutic Goods Legislation Amendment (2018 Measures No. 2) Regulations 2018</w:t>
      </w:r>
      <w:r w:rsidRPr="00F008F6">
        <w:rPr>
          <w:b w:val="0"/>
          <w:noProof/>
          <w:sz w:val="18"/>
        </w:rPr>
        <w:tab/>
      </w:r>
      <w:r w:rsidRPr="00F008F6">
        <w:rPr>
          <w:b w:val="0"/>
          <w:noProof/>
          <w:sz w:val="18"/>
        </w:rPr>
        <w:fldChar w:fldCharType="begin"/>
      </w:r>
      <w:r w:rsidRPr="00F008F6">
        <w:rPr>
          <w:b w:val="0"/>
          <w:noProof/>
          <w:sz w:val="18"/>
        </w:rPr>
        <w:instrText xml:space="preserve"> PAGEREF _Toc187135921 \h </w:instrText>
      </w:r>
      <w:r w:rsidRPr="00F008F6">
        <w:rPr>
          <w:b w:val="0"/>
          <w:noProof/>
          <w:sz w:val="18"/>
        </w:rPr>
      </w:r>
      <w:r w:rsidRPr="00F008F6">
        <w:rPr>
          <w:b w:val="0"/>
          <w:noProof/>
          <w:sz w:val="18"/>
        </w:rPr>
        <w:fldChar w:fldCharType="separate"/>
      </w:r>
      <w:r w:rsidRPr="00F008F6">
        <w:rPr>
          <w:b w:val="0"/>
          <w:noProof/>
          <w:sz w:val="18"/>
        </w:rPr>
        <w:t>194</w:t>
      </w:r>
      <w:r w:rsidRPr="00F008F6">
        <w:rPr>
          <w:b w:val="0"/>
          <w:noProof/>
          <w:sz w:val="18"/>
        </w:rPr>
        <w:fldChar w:fldCharType="end"/>
      </w:r>
    </w:p>
    <w:p w14:paraId="47D5B9A0" w14:textId="2636449C"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64</w:t>
      </w:r>
      <w:r>
        <w:rPr>
          <w:noProof/>
        </w:rPr>
        <w:tab/>
        <w:t>Definitions</w:t>
      </w:r>
      <w:r w:rsidRPr="00F008F6">
        <w:rPr>
          <w:noProof/>
        </w:rPr>
        <w:tab/>
      </w:r>
      <w:r w:rsidRPr="00F008F6">
        <w:rPr>
          <w:noProof/>
        </w:rPr>
        <w:fldChar w:fldCharType="begin"/>
      </w:r>
      <w:r w:rsidRPr="00F008F6">
        <w:rPr>
          <w:noProof/>
        </w:rPr>
        <w:instrText xml:space="preserve"> PAGEREF _Toc187135922 \h </w:instrText>
      </w:r>
      <w:r w:rsidRPr="00F008F6">
        <w:rPr>
          <w:noProof/>
        </w:rPr>
      </w:r>
      <w:r w:rsidRPr="00F008F6">
        <w:rPr>
          <w:noProof/>
        </w:rPr>
        <w:fldChar w:fldCharType="separate"/>
      </w:r>
      <w:r w:rsidRPr="00F008F6">
        <w:rPr>
          <w:noProof/>
        </w:rPr>
        <w:t>194</w:t>
      </w:r>
      <w:r w:rsidRPr="00F008F6">
        <w:rPr>
          <w:noProof/>
        </w:rPr>
        <w:fldChar w:fldCharType="end"/>
      </w:r>
    </w:p>
    <w:p w14:paraId="6D3EFB06" w14:textId="23A9954B"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65</w:t>
      </w:r>
      <w:r>
        <w:rPr>
          <w:noProof/>
        </w:rPr>
        <w:tab/>
        <w:t>Transitional provisions—exemptions from Parts 3</w:t>
      </w:r>
      <w:r>
        <w:rPr>
          <w:noProof/>
        </w:rPr>
        <w:noBreakHyphen/>
        <w:t>2 and 3</w:t>
      </w:r>
      <w:r>
        <w:rPr>
          <w:noProof/>
        </w:rPr>
        <w:noBreakHyphen/>
        <w:t>2A of the Act</w:t>
      </w:r>
      <w:r w:rsidRPr="00F008F6">
        <w:rPr>
          <w:noProof/>
        </w:rPr>
        <w:tab/>
      </w:r>
      <w:r w:rsidRPr="00F008F6">
        <w:rPr>
          <w:noProof/>
        </w:rPr>
        <w:fldChar w:fldCharType="begin"/>
      </w:r>
      <w:r w:rsidRPr="00F008F6">
        <w:rPr>
          <w:noProof/>
        </w:rPr>
        <w:instrText xml:space="preserve"> PAGEREF _Toc187135923 \h </w:instrText>
      </w:r>
      <w:r w:rsidRPr="00F008F6">
        <w:rPr>
          <w:noProof/>
        </w:rPr>
      </w:r>
      <w:r w:rsidRPr="00F008F6">
        <w:rPr>
          <w:noProof/>
        </w:rPr>
        <w:fldChar w:fldCharType="separate"/>
      </w:r>
      <w:r w:rsidRPr="00F008F6">
        <w:rPr>
          <w:noProof/>
        </w:rPr>
        <w:t>194</w:t>
      </w:r>
      <w:r w:rsidRPr="00F008F6">
        <w:rPr>
          <w:noProof/>
        </w:rPr>
        <w:fldChar w:fldCharType="end"/>
      </w:r>
    </w:p>
    <w:p w14:paraId="24311575" w14:textId="5E82194D"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66</w:t>
      </w:r>
      <w:r>
        <w:rPr>
          <w:noProof/>
        </w:rPr>
        <w:tab/>
        <w:t>Transitional provisions—exemptions from Part 3</w:t>
      </w:r>
      <w:r>
        <w:rPr>
          <w:noProof/>
        </w:rPr>
        <w:noBreakHyphen/>
        <w:t>3 of the Act</w:t>
      </w:r>
      <w:r w:rsidRPr="00F008F6">
        <w:rPr>
          <w:noProof/>
        </w:rPr>
        <w:tab/>
      </w:r>
      <w:r w:rsidRPr="00F008F6">
        <w:rPr>
          <w:noProof/>
        </w:rPr>
        <w:fldChar w:fldCharType="begin"/>
      </w:r>
      <w:r w:rsidRPr="00F008F6">
        <w:rPr>
          <w:noProof/>
        </w:rPr>
        <w:instrText xml:space="preserve"> PAGEREF _Toc187135924 \h </w:instrText>
      </w:r>
      <w:r w:rsidRPr="00F008F6">
        <w:rPr>
          <w:noProof/>
        </w:rPr>
      </w:r>
      <w:r w:rsidRPr="00F008F6">
        <w:rPr>
          <w:noProof/>
        </w:rPr>
        <w:fldChar w:fldCharType="separate"/>
      </w:r>
      <w:r w:rsidRPr="00F008F6">
        <w:rPr>
          <w:noProof/>
        </w:rPr>
        <w:t>195</w:t>
      </w:r>
      <w:r w:rsidRPr="00F008F6">
        <w:rPr>
          <w:noProof/>
        </w:rPr>
        <w:fldChar w:fldCharType="end"/>
      </w:r>
    </w:p>
    <w:p w14:paraId="0A110226" w14:textId="79FC0A7B"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10—Application provisions relating to the Therapeutic Goods Legislation Amendment (2018 Measures No. 3) Regulations 2018</w:t>
      </w:r>
      <w:r w:rsidRPr="00F008F6">
        <w:rPr>
          <w:b w:val="0"/>
          <w:noProof/>
          <w:sz w:val="18"/>
        </w:rPr>
        <w:tab/>
      </w:r>
      <w:r w:rsidRPr="00F008F6">
        <w:rPr>
          <w:b w:val="0"/>
          <w:noProof/>
          <w:sz w:val="18"/>
        </w:rPr>
        <w:fldChar w:fldCharType="begin"/>
      </w:r>
      <w:r w:rsidRPr="00F008F6">
        <w:rPr>
          <w:b w:val="0"/>
          <w:noProof/>
          <w:sz w:val="18"/>
        </w:rPr>
        <w:instrText xml:space="preserve"> PAGEREF _Toc187135925 \h </w:instrText>
      </w:r>
      <w:r w:rsidRPr="00F008F6">
        <w:rPr>
          <w:b w:val="0"/>
          <w:noProof/>
          <w:sz w:val="18"/>
        </w:rPr>
      </w:r>
      <w:r w:rsidRPr="00F008F6">
        <w:rPr>
          <w:b w:val="0"/>
          <w:noProof/>
          <w:sz w:val="18"/>
        </w:rPr>
        <w:fldChar w:fldCharType="separate"/>
      </w:r>
      <w:r w:rsidRPr="00F008F6">
        <w:rPr>
          <w:b w:val="0"/>
          <w:noProof/>
          <w:sz w:val="18"/>
        </w:rPr>
        <w:t>196</w:t>
      </w:r>
      <w:r w:rsidRPr="00F008F6">
        <w:rPr>
          <w:b w:val="0"/>
          <w:noProof/>
          <w:sz w:val="18"/>
        </w:rPr>
        <w:fldChar w:fldCharType="end"/>
      </w:r>
    </w:p>
    <w:p w14:paraId="498C1AB6" w14:textId="7A4EA9FB"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67</w:t>
      </w:r>
      <w:r>
        <w:rPr>
          <w:noProof/>
        </w:rPr>
        <w:tab/>
        <w:t>Application</w:t>
      </w:r>
      <w:r w:rsidRPr="00F008F6">
        <w:rPr>
          <w:noProof/>
        </w:rPr>
        <w:tab/>
      </w:r>
      <w:r w:rsidRPr="00F008F6">
        <w:rPr>
          <w:noProof/>
        </w:rPr>
        <w:fldChar w:fldCharType="begin"/>
      </w:r>
      <w:r w:rsidRPr="00F008F6">
        <w:rPr>
          <w:noProof/>
        </w:rPr>
        <w:instrText xml:space="preserve"> PAGEREF _Toc187135926 \h </w:instrText>
      </w:r>
      <w:r w:rsidRPr="00F008F6">
        <w:rPr>
          <w:noProof/>
        </w:rPr>
      </w:r>
      <w:r w:rsidRPr="00F008F6">
        <w:rPr>
          <w:noProof/>
        </w:rPr>
        <w:fldChar w:fldCharType="separate"/>
      </w:r>
      <w:r w:rsidRPr="00F008F6">
        <w:rPr>
          <w:noProof/>
        </w:rPr>
        <w:t>196</w:t>
      </w:r>
      <w:r w:rsidRPr="00F008F6">
        <w:rPr>
          <w:noProof/>
        </w:rPr>
        <w:fldChar w:fldCharType="end"/>
      </w:r>
    </w:p>
    <w:p w14:paraId="1EE986B8" w14:textId="05A6BD08" w:rsidR="00F008F6" w:rsidRDefault="00F008F6" w:rsidP="00EF338C">
      <w:pPr>
        <w:pStyle w:val="TOC3"/>
        <w:keepLines w:val="0"/>
        <w:rPr>
          <w:rFonts w:asciiTheme="minorHAnsi" w:eastAsiaTheme="minorEastAsia" w:hAnsiTheme="minorHAnsi" w:cstheme="minorBidi"/>
          <w:b w:val="0"/>
          <w:noProof/>
          <w:kern w:val="2"/>
          <w:sz w:val="24"/>
          <w:szCs w:val="24"/>
          <w14:ligatures w14:val="standardContextual"/>
        </w:rPr>
      </w:pPr>
      <w:r>
        <w:rPr>
          <w:noProof/>
        </w:rPr>
        <w:lastRenderedPageBreak/>
        <w:t>Division 11—Application and transitional provisions relating to the Therapeutic Goods Amendment (Fees for Relisted Medicine) Regulations 2019</w:t>
      </w:r>
      <w:r w:rsidRPr="00F008F6">
        <w:rPr>
          <w:b w:val="0"/>
          <w:noProof/>
          <w:sz w:val="18"/>
        </w:rPr>
        <w:tab/>
      </w:r>
      <w:r w:rsidRPr="00F008F6">
        <w:rPr>
          <w:b w:val="0"/>
          <w:noProof/>
          <w:sz w:val="18"/>
        </w:rPr>
        <w:fldChar w:fldCharType="begin"/>
      </w:r>
      <w:r w:rsidRPr="00F008F6">
        <w:rPr>
          <w:b w:val="0"/>
          <w:noProof/>
          <w:sz w:val="18"/>
        </w:rPr>
        <w:instrText xml:space="preserve"> PAGEREF _Toc187135927 \h </w:instrText>
      </w:r>
      <w:r w:rsidRPr="00F008F6">
        <w:rPr>
          <w:b w:val="0"/>
          <w:noProof/>
          <w:sz w:val="18"/>
        </w:rPr>
      </w:r>
      <w:r w:rsidRPr="00F008F6">
        <w:rPr>
          <w:b w:val="0"/>
          <w:noProof/>
          <w:sz w:val="18"/>
        </w:rPr>
        <w:fldChar w:fldCharType="separate"/>
      </w:r>
      <w:r w:rsidRPr="00F008F6">
        <w:rPr>
          <w:b w:val="0"/>
          <w:noProof/>
          <w:sz w:val="18"/>
        </w:rPr>
        <w:t>197</w:t>
      </w:r>
      <w:r w:rsidRPr="00F008F6">
        <w:rPr>
          <w:b w:val="0"/>
          <w:noProof/>
          <w:sz w:val="18"/>
        </w:rPr>
        <w:fldChar w:fldCharType="end"/>
      </w:r>
    </w:p>
    <w:p w14:paraId="7FE20912" w14:textId="2F46594E"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68</w:t>
      </w:r>
      <w:r>
        <w:rPr>
          <w:noProof/>
        </w:rPr>
        <w:tab/>
        <w:t>Application and transitional provisions</w:t>
      </w:r>
      <w:r w:rsidRPr="00F008F6">
        <w:rPr>
          <w:noProof/>
        </w:rPr>
        <w:tab/>
      </w:r>
      <w:r w:rsidRPr="00F008F6">
        <w:rPr>
          <w:noProof/>
        </w:rPr>
        <w:fldChar w:fldCharType="begin"/>
      </w:r>
      <w:r w:rsidRPr="00F008F6">
        <w:rPr>
          <w:noProof/>
        </w:rPr>
        <w:instrText xml:space="preserve"> PAGEREF _Toc187135928 \h </w:instrText>
      </w:r>
      <w:r w:rsidRPr="00F008F6">
        <w:rPr>
          <w:noProof/>
        </w:rPr>
      </w:r>
      <w:r w:rsidRPr="00F008F6">
        <w:rPr>
          <w:noProof/>
        </w:rPr>
        <w:fldChar w:fldCharType="separate"/>
      </w:r>
      <w:r w:rsidRPr="00F008F6">
        <w:rPr>
          <w:noProof/>
        </w:rPr>
        <w:t>197</w:t>
      </w:r>
      <w:r w:rsidRPr="00F008F6">
        <w:rPr>
          <w:noProof/>
        </w:rPr>
        <w:fldChar w:fldCharType="end"/>
      </w:r>
    </w:p>
    <w:p w14:paraId="1D82FBA4" w14:textId="106C9EE0"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12—Application and transitional provisions relating to the Therapeutic Goods Legislation Amendment (2019 Measures No. 1) Regulations 2019</w:t>
      </w:r>
      <w:r w:rsidRPr="00F008F6">
        <w:rPr>
          <w:b w:val="0"/>
          <w:noProof/>
          <w:sz w:val="18"/>
        </w:rPr>
        <w:tab/>
      </w:r>
      <w:r w:rsidRPr="00F008F6">
        <w:rPr>
          <w:b w:val="0"/>
          <w:noProof/>
          <w:sz w:val="18"/>
        </w:rPr>
        <w:fldChar w:fldCharType="begin"/>
      </w:r>
      <w:r w:rsidRPr="00F008F6">
        <w:rPr>
          <w:b w:val="0"/>
          <w:noProof/>
          <w:sz w:val="18"/>
        </w:rPr>
        <w:instrText xml:space="preserve"> PAGEREF _Toc187135929 \h </w:instrText>
      </w:r>
      <w:r w:rsidRPr="00F008F6">
        <w:rPr>
          <w:b w:val="0"/>
          <w:noProof/>
          <w:sz w:val="18"/>
        </w:rPr>
      </w:r>
      <w:r w:rsidRPr="00F008F6">
        <w:rPr>
          <w:b w:val="0"/>
          <w:noProof/>
          <w:sz w:val="18"/>
        </w:rPr>
        <w:fldChar w:fldCharType="separate"/>
      </w:r>
      <w:r w:rsidRPr="00F008F6">
        <w:rPr>
          <w:b w:val="0"/>
          <w:noProof/>
          <w:sz w:val="18"/>
        </w:rPr>
        <w:t>198</w:t>
      </w:r>
      <w:r w:rsidRPr="00F008F6">
        <w:rPr>
          <w:b w:val="0"/>
          <w:noProof/>
          <w:sz w:val="18"/>
        </w:rPr>
        <w:fldChar w:fldCharType="end"/>
      </w:r>
    </w:p>
    <w:p w14:paraId="44FC7F0C" w14:textId="425B0813" w:rsidR="00F008F6" w:rsidRDefault="00F008F6" w:rsidP="00EF338C">
      <w:pPr>
        <w:pStyle w:val="TOC4"/>
        <w:keepLines w:val="0"/>
        <w:rPr>
          <w:rFonts w:asciiTheme="minorHAnsi" w:eastAsiaTheme="minorEastAsia" w:hAnsiTheme="minorHAnsi" w:cstheme="minorBidi"/>
          <w:b w:val="0"/>
          <w:noProof/>
          <w:kern w:val="2"/>
          <w:sz w:val="24"/>
          <w:szCs w:val="24"/>
          <w14:ligatures w14:val="standardContextual"/>
        </w:rPr>
      </w:pPr>
      <w:r>
        <w:rPr>
          <w:noProof/>
        </w:rPr>
        <w:t>Subdivision A—Definitions</w:t>
      </w:r>
      <w:r w:rsidRPr="00F008F6">
        <w:rPr>
          <w:b w:val="0"/>
          <w:noProof/>
          <w:sz w:val="18"/>
        </w:rPr>
        <w:tab/>
      </w:r>
      <w:r w:rsidRPr="00F008F6">
        <w:rPr>
          <w:b w:val="0"/>
          <w:noProof/>
          <w:sz w:val="18"/>
        </w:rPr>
        <w:fldChar w:fldCharType="begin"/>
      </w:r>
      <w:r w:rsidRPr="00F008F6">
        <w:rPr>
          <w:b w:val="0"/>
          <w:noProof/>
          <w:sz w:val="18"/>
        </w:rPr>
        <w:instrText xml:space="preserve"> PAGEREF _Toc187135930 \h </w:instrText>
      </w:r>
      <w:r w:rsidRPr="00F008F6">
        <w:rPr>
          <w:b w:val="0"/>
          <w:noProof/>
          <w:sz w:val="18"/>
        </w:rPr>
      </w:r>
      <w:r w:rsidRPr="00F008F6">
        <w:rPr>
          <w:b w:val="0"/>
          <w:noProof/>
          <w:sz w:val="18"/>
        </w:rPr>
        <w:fldChar w:fldCharType="separate"/>
      </w:r>
      <w:r w:rsidRPr="00F008F6">
        <w:rPr>
          <w:b w:val="0"/>
          <w:noProof/>
          <w:sz w:val="18"/>
        </w:rPr>
        <w:t>198</w:t>
      </w:r>
      <w:r w:rsidRPr="00F008F6">
        <w:rPr>
          <w:b w:val="0"/>
          <w:noProof/>
          <w:sz w:val="18"/>
        </w:rPr>
        <w:fldChar w:fldCharType="end"/>
      </w:r>
    </w:p>
    <w:p w14:paraId="25A2B93E" w14:textId="0A624A6E"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69</w:t>
      </w:r>
      <w:r>
        <w:rPr>
          <w:noProof/>
        </w:rPr>
        <w:tab/>
        <w:t>Definitions</w:t>
      </w:r>
      <w:r w:rsidRPr="00F008F6">
        <w:rPr>
          <w:noProof/>
        </w:rPr>
        <w:tab/>
      </w:r>
      <w:r w:rsidRPr="00F008F6">
        <w:rPr>
          <w:noProof/>
        </w:rPr>
        <w:fldChar w:fldCharType="begin"/>
      </w:r>
      <w:r w:rsidRPr="00F008F6">
        <w:rPr>
          <w:noProof/>
        </w:rPr>
        <w:instrText xml:space="preserve"> PAGEREF _Toc187135931 \h </w:instrText>
      </w:r>
      <w:r w:rsidRPr="00F008F6">
        <w:rPr>
          <w:noProof/>
        </w:rPr>
      </w:r>
      <w:r w:rsidRPr="00F008F6">
        <w:rPr>
          <w:noProof/>
        </w:rPr>
        <w:fldChar w:fldCharType="separate"/>
      </w:r>
      <w:r w:rsidRPr="00F008F6">
        <w:rPr>
          <w:noProof/>
        </w:rPr>
        <w:t>198</w:t>
      </w:r>
      <w:r w:rsidRPr="00F008F6">
        <w:rPr>
          <w:noProof/>
        </w:rPr>
        <w:fldChar w:fldCharType="end"/>
      </w:r>
    </w:p>
    <w:p w14:paraId="6EA936BE" w14:textId="17DA3629" w:rsidR="00F008F6" w:rsidRDefault="00F008F6" w:rsidP="00EF338C">
      <w:pPr>
        <w:pStyle w:val="TOC4"/>
        <w:keepLines w:val="0"/>
        <w:rPr>
          <w:rFonts w:asciiTheme="minorHAnsi" w:eastAsiaTheme="minorEastAsia" w:hAnsiTheme="minorHAnsi" w:cstheme="minorBidi"/>
          <w:b w:val="0"/>
          <w:noProof/>
          <w:kern w:val="2"/>
          <w:sz w:val="24"/>
          <w:szCs w:val="24"/>
          <w14:ligatures w14:val="standardContextual"/>
        </w:rPr>
      </w:pPr>
      <w:r>
        <w:rPr>
          <w:noProof/>
        </w:rPr>
        <w:t>Subdivision B—Faecal microbiota transplant products</w:t>
      </w:r>
      <w:r w:rsidRPr="00F008F6">
        <w:rPr>
          <w:b w:val="0"/>
          <w:noProof/>
          <w:sz w:val="18"/>
        </w:rPr>
        <w:tab/>
      </w:r>
      <w:r w:rsidRPr="00F008F6">
        <w:rPr>
          <w:b w:val="0"/>
          <w:noProof/>
          <w:sz w:val="18"/>
        </w:rPr>
        <w:fldChar w:fldCharType="begin"/>
      </w:r>
      <w:r w:rsidRPr="00F008F6">
        <w:rPr>
          <w:b w:val="0"/>
          <w:noProof/>
          <w:sz w:val="18"/>
        </w:rPr>
        <w:instrText xml:space="preserve"> PAGEREF _Toc187135932 \h </w:instrText>
      </w:r>
      <w:r w:rsidRPr="00F008F6">
        <w:rPr>
          <w:b w:val="0"/>
          <w:noProof/>
          <w:sz w:val="18"/>
        </w:rPr>
      </w:r>
      <w:r w:rsidRPr="00F008F6">
        <w:rPr>
          <w:b w:val="0"/>
          <w:noProof/>
          <w:sz w:val="18"/>
        </w:rPr>
        <w:fldChar w:fldCharType="separate"/>
      </w:r>
      <w:r w:rsidRPr="00F008F6">
        <w:rPr>
          <w:b w:val="0"/>
          <w:noProof/>
          <w:sz w:val="18"/>
        </w:rPr>
        <w:t>198</w:t>
      </w:r>
      <w:r w:rsidRPr="00F008F6">
        <w:rPr>
          <w:b w:val="0"/>
          <w:noProof/>
          <w:sz w:val="18"/>
        </w:rPr>
        <w:fldChar w:fldCharType="end"/>
      </w:r>
    </w:p>
    <w:p w14:paraId="6CA61234" w14:textId="39FB0AC7"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70</w:t>
      </w:r>
      <w:r>
        <w:rPr>
          <w:noProof/>
        </w:rPr>
        <w:tab/>
        <w:t>Faecal microbiota transplant products—Division 4 of Part 3</w:t>
      </w:r>
      <w:r>
        <w:rPr>
          <w:noProof/>
        </w:rPr>
        <w:noBreakHyphen/>
        <w:t>2A of the Act</w:t>
      </w:r>
      <w:r w:rsidRPr="00F008F6">
        <w:rPr>
          <w:noProof/>
        </w:rPr>
        <w:tab/>
      </w:r>
      <w:r w:rsidRPr="00F008F6">
        <w:rPr>
          <w:noProof/>
        </w:rPr>
        <w:fldChar w:fldCharType="begin"/>
      </w:r>
      <w:r w:rsidRPr="00F008F6">
        <w:rPr>
          <w:noProof/>
        </w:rPr>
        <w:instrText xml:space="preserve"> PAGEREF _Toc187135933 \h </w:instrText>
      </w:r>
      <w:r w:rsidRPr="00F008F6">
        <w:rPr>
          <w:noProof/>
        </w:rPr>
      </w:r>
      <w:r w:rsidRPr="00F008F6">
        <w:rPr>
          <w:noProof/>
        </w:rPr>
        <w:fldChar w:fldCharType="separate"/>
      </w:r>
      <w:r w:rsidRPr="00F008F6">
        <w:rPr>
          <w:noProof/>
        </w:rPr>
        <w:t>198</w:t>
      </w:r>
      <w:r w:rsidRPr="00F008F6">
        <w:rPr>
          <w:noProof/>
        </w:rPr>
        <w:fldChar w:fldCharType="end"/>
      </w:r>
    </w:p>
    <w:p w14:paraId="3A154668" w14:textId="23072F79"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71</w:t>
      </w:r>
      <w:r>
        <w:rPr>
          <w:noProof/>
        </w:rPr>
        <w:tab/>
        <w:t>Faecal microbiota transplant products—Part 3</w:t>
      </w:r>
      <w:r>
        <w:rPr>
          <w:noProof/>
        </w:rPr>
        <w:noBreakHyphen/>
        <w:t>3 of the Act</w:t>
      </w:r>
      <w:r w:rsidRPr="00F008F6">
        <w:rPr>
          <w:noProof/>
        </w:rPr>
        <w:tab/>
      </w:r>
      <w:r w:rsidRPr="00F008F6">
        <w:rPr>
          <w:noProof/>
        </w:rPr>
        <w:fldChar w:fldCharType="begin"/>
      </w:r>
      <w:r w:rsidRPr="00F008F6">
        <w:rPr>
          <w:noProof/>
        </w:rPr>
        <w:instrText xml:space="preserve"> PAGEREF _Toc187135934 \h </w:instrText>
      </w:r>
      <w:r w:rsidRPr="00F008F6">
        <w:rPr>
          <w:noProof/>
        </w:rPr>
      </w:r>
      <w:r w:rsidRPr="00F008F6">
        <w:rPr>
          <w:noProof/>
        </w:rPr>
        <w:fldChar w:fldCharType="separate"/>
      </w:r>
      <w:r w:rsidRPr="00F008F6">
        <w:rPr>
          <w:noProof/>
        </w:rPr>
        <w:t>199</w:t>
      </w:r>
      <w:r w:rsidRPr="00F008F6">
        <w:rPr>
          <w:noProof/>
        </w:rPr>
        <w:fldChar w:fldCharType="end"/>
      </w:r>
    </w:p>
    <w:p w14:paraId="5D3AE4D0" w14:textId="374BB41D" w:rsidR="00F008F6" w:rsidRDefault="00F008F6" w:rsidP="00EF338C">
      <w:pPr>
        <w:pStyle w:val="TOC4"/>
        <w:keepLines w:val="0"/>
        <w:rPr>
          <w:rFonts w:asciiTheme="minorHAnsi" w:eastAsiaTheme="minorEastAsia" w:hAnsiTheme="minorHAnsi" w:cstheme="minorBidi"/>
          <w:b w:val="0"/>
          <w:noProof/>
          <w:kern w:val="2"/>
          <w:sz w:val="24"/>
          <w:szCs w:val="24"/>
          <w14:ligatures w14:val="standardContextual"/>
        </w:rPr>
      </w:pPr>
      <w:r>
        <w:rPr>
          <w:noProof/>
        </w:rPr>
        <w:t>Subdivision C—Consumer medicine information documents</w:t>
      </w:r>
      <w:r w:rsidRPr="00F008F6">
        <w:rPr>
          <w:b w:val="0"/>
          <w:noProof/>
          <w:sz w:val="18"/>
        </w:rPr>
        <w:tab/>
      </w:r>
      <w:r w:rsidRPr="00F008F6">
        <w:rPr>
          <w:b w:val="0"/>
          <w:noProof/>
          <w:sz w:val="18"/>
        </w:rPr>
        <w:fldChar w:fldCharType="begin"/>
      </w:r>
      <w:r w:rsidRPr="00F008F6">
        <w:rPr>
          <w:b w:val="0"/>
          <w:noProof/>
          <w:sz w:val="18"/>
        </w:rPr>
        <w:instrText xml:space="preserve"> PAGEREF _Toc187135935 \h </w:instrText>
      </w:r>
      <w:r w:rsidRPr="00F008F6">
        <w:rPr>
          <w:b w:val="0"/>
          <w:noProof/>
          <w:sz w:val="18"/>
        </w:rPr>
      </w:r>
      <w:r w:rsidRPr="00F008F6">
        <w:rPr>
          <w:b w:val="0"/>
          <w:noProof/>
          <w:sz w:val="18"/>
        </w:rPr>
        <w:fldChar w:fldCharType="separate"/>
      </w:r>
      <w:r w:rsidRPr="00F008F6">
        <w:rPr>
          <w:b w:val="0"/>
          <w:noProof/>
          <w:sz w:val="18"/>
        </w:rPr>
        <w:t>199</w:t>
      </w:r>
      <w:r w:rsidRPr="00F008F6">
        <w:rPr>
          <w:b w:val="0"/>
          <w:noProof/>
          <w:sz w:val="18"/>
        </w:rPr>
        <w:fldChar w:fldCharType="end"/>
      </w:r>
    </w:p>
    <w:p w14:paraId="3768E205" w14:textId="69AA2BF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72</w:t>
      </w:r>
      <w:r>
        <w:rPr>
          <w:noProof/>
        </w:rPr>
        <w:tab/>
        <w:t>Consumer medicine information documents</w:t>
      </w:r>
      <w:r w:rsidRPr="00F008F6">
        <w:rPr>
          <w:noProof/>
        </w:rPr>
        <w:tab/>
      </w:r>
      <w:r w:rsidRPr="00F008F6">
        <w:rPr>
          <w:noProof/>
        </w:rPr>
        <w:fldChar w:fldCharType="begin"/>
      </w:r>
      <w:r w:rsidRPr="00F008F6">
        <w:rPr>
          <w:noProof/>
        </w:rPr>
        <w:instrText xml:space="preserve"> PAGEREF _Toc187135936 \h </w:instrText>
      </w:r>
      <w:r w:rsidRPr="00F008F6">
        <w:rPr>
          <w:noProof/>
        </w:rPr>
      </w:r>
      <w:r w:rsidRPr="00F008F6">
        <w:rPr>
          <w:noProof/>
        </w:rPr>
        <w:fldChar w:fldCharType="separate"/>
      </w:r>
      <w:r w:rsidRPr="00F008F6">
        <w:rPr>
          <w:noProof/>
        </w:rPr>
        <w:t>199</w:t>
      </w:r>
      <w:r w:rsidRPr="00F008F6">
        <w:rPr>
          <w:noProof/>
        </w:rPr>
        <w:fldChar w:fldCharType="end"/>
      </w:r>
    </w:p>
    <w:p w14:paraId="4DB3A738" w14:textId="5B014B50" w:rsidR="00F008F6" w:rsidRDefault="00F008F6" w:rsidP="00EF338C">
      <w:pPr>
        <w:pStyle w:val="TOC4"/>
        <w:keepLines w:val="0"/>
        <w:rPr>
          <w:rFonts w:asciiTheme="minorHAnsi" w:eastAsiaTheme="minorEastAsia" w:hAnsiTheme="minorHAnsi" w:cstheme="minorBidi"/>
          <w:b w:val="0"/>
          <w:noProof/>
          <w:kern w:val="2"/>
          <w:sz w:val="24"/>
          <w:szCs w:val="24"/>
          <w14:ligatures w14:val="standardContextual"/>
        </w:rPr>
      </w:pPr>
      <w:r>
        <w:rPr>
          <w:noProof/>
        </w:rPr>
        <w:t>Subdivision D—Handling and testing of samples</w:t>
      </w:r>
      <w:r w:rsidRPr="00F008F6">
        <w:rPr>
          <w:b w:val="0"/>
          <w:noProof/>
          <w:sz w:val="18"/>
        </w:rPr>
        <w:tab/>
      </w:r>
      <w:r w:rsidRPr="00F008F6">
        <w:rPr>
          <w:b w:val="0"/>
          <w:noProof/>
          <w:sz w:val="18"/>
        </w:rPr>
        <w:fldChar w:fldCharType="begin"/>
      </w:r>
      <w:r w:rsidRPr="00F008F6">
        <w:rPr>
          <w:b w:val="0"/>
          <w:noProof/>
          <w:sz w:val="18"/>
        </w:rPr>
        <w:instrText xml:space="preserve"> PAGEREF _Toc187135937 \h </w:instrText>
      </w:r>
      <w:r w:rsidRPr="00F008F6">
        <w:rPr>
          <w:b w:val="0"/>
          <w:noProof/>
          <w:sz w:val="18"/>
        </w:rPr>
      </w:r>
      <w:r w:rsidRPr="00F008F6">
        <w:rPr>
          <w:b w:val="0"/>
          <w:noProof/>
          <w:sz w:val="18"/>
        </w:rPr>
        <w:fldChar w:fldCharType="separate"/>
      </w:r>
      <w:r w:rsidRPr="00F008F6">
        <w:rPr>
          <w:b w:val="0"/>
          <w:noProof/>
          <w:sz w:val="18"/>
        </w:rPr>
        <w:t>200</w:t>
      </w:r>
      <w:r w:rsidRPr="00F008F6">
        <w:rPr>
          <w:b w:val="0"/>
          <w:noProof/>
          <w:sz w:val="18"/>
        </w:rPr>
        <w:fldChar w:fldCharType="end"/>
      </w:r>
    </w:p>
    <w:p w14:paraId="0022DB2D" w14:textId="08C056EA"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73</w:t>
      </w:r>
      <w:r>
        <w:rPr>
          <w:noProof/>
        </w:rPr>
        <w:tab/>
        <w:t>Handling and testing of samples</w:t>
      </w:r>
      <w:r w:rsidRPr="00F008F6">
        <w:rPr>
          <w:noProof/>
        </w:rPr>
        <w:tab/>
      </w:r>
      <w:r w:rsidRPr="00F008F6">
        <w:rPr>
          <w:noProof/>
        </w:rPr>
        <w:fldChar w:fldCharType="begin"/>
      </w:r>
      <w:r w:rsidRPr="00F008F6">
        <w:rPr>
          <w:noProof/>
        </w:rPr>
        <w:instrText xml:space="preserve"> PAGEREF _Toc187135938 \h </w:instrText>
      </w:r>
      <w:r w:rsidRPr="00F008F6">
        <w:rPr>
          <w:noProof/>
        </w:rPr>
      </w:r>
      <w:r w:rsidRPr="00F008F6">
        <w:rPr>
          <w:noProof/>
        </w:rPr>
        <w:fldChar w:fldCharType="separate"/>
      </w:r>
      <w:r w:rsidRPr="00F008F6">
        <w:rPr>
          <w:noProof/>
        </w:rPr>
        <w:t>200</w:t>
      </w:r>
      <w:r w:rsidRPr="00F008F6">
        <w:rPr>
          <w:noProof/>
        </w:rPr>
        <w:fldChar w:fldCharType="end"/>
      </w:r>
    </w:p>
    <w:p w14:paraId="543EF9EE" w14:textId="4EC4EED3" w:rsidR="00F008F6" w:rsidRDefault="00F008F6" w:rsidP="00EF338C">
      <w:pPr>
        <w:pStyle w:val="TOC4"/>
        <w:keepLines w:val="0"/>
        <w:rPr>
          <w:rFonts w:asciiTheme="minorHAnsi" w:eastAsiaTheme="minorEastAsia" w:hAnsiTheme="minorHAnsi" w:cstheme="minorBidi"/>
          <w:b w:val="0"/>
          <w:noProof/>
          <w:kern w:val="2"/>
          <w:sz w:val="24"/>
          <w:szCs w:val="24"/>
          <w14:ligatures w14:val="standardContextual"/>
        </w:rPr>
      </w:pPr>
      <w:r>
        <w:rPr>
          <w:noProof/>
        </w:rPr>
        <w:t>Subdivision E—Fee waivers and refunds for certain requests relating to prescription opioids</w:t>
      </w:r>
      <w:r w:rsidRPr="00F008F6">
        <w:rPr>
          <w:b w:val="0"/>
          <w:noProof/>
          <w:sz w:val="18"/>
        </w:rPr>
        <w:tab/>
      </w:r>
      <w:r w:rsidRPr="00F008F6">
        <w:rPr>
          <w:b w:val="0"/>
          <w:noProof/>
          <w:sz w:val="18"/>
        </w:rPr>
        <w:fldChar w:fldCharType="begin"/>
      </w:r>
      <w:r w:rsidRPr="00F008F6">
        <w:rPr>
          <w:b w:val="0"/>
          <w:noProof/>
          <w:sz w:val="18"/>
        </w:rPr>
        <w:instrText xml:space="preserve"> PAGEREF _Toc187135939 \h </w:instrText>
      </w:r>
      <w:r w:rsidRPr="00F008F6">
        <w:rPr>
          <w:b w:val="0"/>
          <w:noProof/>
          <w:sz w:val="18"/>
        </w:rPr>
      </w:r>
      <w:r w:rsidRPr="00F008F6">
        <w:rPr>
          <w:b w:val="0"/>
          <w:noProof/>
          <w:sz w:val="18"/>
        </w:rPr>
        <w:fldChar w:fldCharType="separate"/>
      </w:r>
      <w:r w:rsidRPr="00F008F6">
        <w:rPr>
          <w:b w:val="0"/>
          <w:noProof/>
          <w:sz w:val="18"/>
        </w:rPr>
        <w:t>200</w:t>
      </w:r>
      <w:r w:rsidRPr="00F008F6">
        <w:rPr>
          <w:b w:val="0"/>
          <w:noProof/>
          <w:sz w:val="18"/>
        </w:rPr>
        <w:fldChar w:fldCharType="end"/>
      </w:r>
    </w:p>
    <w:p w14:paraId="0F06FC3A" w14:textId="1C83102B"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74</w:t>
      </w:r>
      <w:r>
        <w:rPr>
          <w:noProof/>
        </w:rPr>
        <w:tab/>
        <w:t>Fee waivers and refunds for certain requests relating to prescription opioids</w:t>
      </w:r>
      <w:r w:rsidRPr="00F008F6">
        <w:rPr>
          <w:noProof/>
        </w:rPr>
        <w:tab/>
      </w:r>
      <w:r w:rsidRPr="00F008F6">
        <w:rPr>
          <w:noProof/>
        </w:rPr>
        <w:fldChar w:fldCharType="begin"/>
      </w:r>
      <w:r w:rsidRPr="00F008F6">
        <w:rPr>
          <w:noProof/>
        </w:rPr>
        <w:instrText xml:space="preserve"> PAGEREF _Toc187135940 \h </w:instrText>
      </w:r>
      <w:r w:rsidRPr="00F008F6">
        <w:rPr>
          <w:noProof/>
        </w:rPr>
      </w:r>
      <w:r w:rsidRPr="00F008F6">
        <w:rPr>
          <w:noProof/>
        </w:rPr>
        <w:fldChar w:fldCharType="separate"/>
      </w:r>
      <w:r w:rsidRPr="00F008F6">
        <w:rPr>
          <w:noProof/>
        </w:rPr>
        <w:t>200</w:t>
      </w:r>
      <w:r w:rsidRPr="00F008F6">
        <w:rPr>
          <w:noProof/>
        </w:rPr>
        <w:fldChar w:fldCharType="end"/>
      </w:r>
    </w:p>
    <w:p w14:paraId="1A06F9FD" w14:textId="5AB08E69" w:rsidR="00F008F6" w:rsidRDefault="00F008F6" w:rsidP="00EF338C">
      <w:pPr>
        <w:pStyle w:val="TOC4"/>
        <w:keepLines w:val="0"/>
        <w:rPr>
          <w:rFonts w:asciiTheme="minorHAnsi" w:eastAsiaTheme="minorEastAsia" w:hAnsiTheme="minorHAnsi" w:cstheme="minorBidi"/>
          <w:b w:val="0"/>
          <w:noProof/>
          <w:kern w:val="2"/>
          <w:sz w:val="24"/>
          <w:szCs w:val="24"/>
          <w14:ligatures w14:val="standardContextual"/>
        </w:rPr>
      </w:pPr>
      <w:r>
        <w:rPr>
          <w:noProof/>
        </w:rPr>
        <w:t>Subdivision F—Clinical trials</w:t>
      </w:r>
      <w:r w:rsidRPr="00F008F6">
        <w:rPr>
          <w:b w:val="0"/>
          <w:noProof/>
          <w:sz w:val="18"/>
        </w:rPr>
        <w:tab/>
      </w:r>
      <w:r w:rsidRPr="00F008F6">
        <w:rPr>
          <w:b w:val="0"/>
          <w:noProof/>
          <w:sz w:val="18"/>
        </w:rPr>
        <w:fldChar w:fldCharType="begin"/>
      </w:r>
      <w:r w:rsidRPr="00F008F6">
        <w:rPr>
          <w:b w:val="0"/>
          <w:noProof/>
          <w:sz w:val="18"/>
        </w:rPr>
        <w:instrText xml:space="preserve"> PAGEREF _Toc187135941 \h </w:instrText>
      </w:r>
      <w:r w:rsidRPr="00F008F6">
        <w:rPr>
          <w:b w:val="0"/>
          <w:noProof/>
          <w:sz w:val="18"/>
        </w:rPr>
      </w:r>
      <w:r w:rsidRPr="00F008F6">
        <w:rPr>
          <w:b w:val="0"/>
          <w:noProof/>
          <w:sz w:val="18"/>
        </w:rPr>
        <w:fldChar w:fldCharType="separate"/>
      </w:r>
      <w:r w:rsidRPr="00F008F6">
        <w:rPr>
          <w:b w:val="0"/>
          <w:noProof/>
          <w:sz w:val="18"/>
        </w:rPr>
        <w:t>201</w:t>
      </w:r>
      <w:r w:rsidRPr="00F008F6">
        <w:rPr>
          <w:b w:val="0"/>
          <w:noProof/>
          <w:sz w:val="18"/>
        </w:rPr>
        <w:fldChar w:fldCharType="end"/>
      </w:r>
    </w:p>
    <w:p w14:paraId="18B12C3D" w14:textId="5F9941F9"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75</w:t>
      </w:r>
      <w:r>
        <w:rPr>
          <w:noProof/>
        </w:rPr>
        <w:tab/>
        <w:t>Clinical trials</w:t>
      </w:r>
      <w:r w:rsidRPr="00F008F6">
        <w:rPr>
          <w:noProof/>
        </w:rPr>
        <w:tab/>
      </w:r>
      <w:r w:rsidRPr="00F008F6">
        <w:rPr>
          <w:noProof/>
        </w:rPr>
        <w:fldChar w:fldCharType="begin"/>
      </w:r>
      <w:r w:rsidRPr="00F008F6">
        <w:rPr>
          <w:noProof/>
        </w:rPr>
        <w:instrText xml:space="preserve"> PAGEREF _Toc187135942 \h </w:instrText>
      </w:r>
      <w:r w:rsidRPr="00F008F6">
        <w:rPr>
          <w:noProof/>
        </w:rPr>
      </w:r>
      <w:r w:rsidRPr="00F008F6">
        <w:rPr>
          <w:noProof/>
        </w:rPr>
        <w:fldChar w:fldCharType="separate"/>
      </w:r>
      <w:r w:rsidRPr="00F008F6">
        <w:rPr>
          <w:noProof/>
        </w:rPr>
        <w:t>201</w:t>
      </w:r>
      <w:r w:rsidRPr="00F008F6">
        <w:rPr>
          <w:noProof/>
        </w:rPr>
        <w:fldChar w:fldCharType="end"/>
      </w:r>
    </w:p>
    <w:p w14:paraId="5FFAE505" w14:textId="692D1FC5"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13—Application and saving provisions relating to the Therapeutic Goods Legislation Amendment (2020 Measures No. 1) Regulations 2020</w:t>
      </w:r>
      <w:r w:rsidRPr="00F008F6">
        <w:rPr>
          <w:b w:val="0"/>
          <w:noProof/>
          <w:sz w:val="18"/>
        </w:rPr>
        <w:tab/>
      </w:r>
      <w:r w:rsidRPr="00F008F6">
        <w:rPr>
          <w:b w:val="0"/>
          <w:noProof/>
          <w:sz w:val="18"/>
        </w:rPr>
        <w:fldChar w:fldCharType="begin"/>
      </w:r>
      <w:r w:rsidRPr="00F008F6">
        <w:rPr>
          <w:b w:val="0"/>
          <w:noProof/>
          <w:sz w:val="18"/>
        </w:rPr>
        <w:instrText xml:space="preserve"> PAGEREF _Toc187135943 \h </w:instrText>
      </w:r>
      <w:r w:rsidRPr="00F008F6">
        <w:rPr>
          <w:b w:val="0"/>
          <w:noProof/>
          <w:sz w:val="18"/>
        </w:rPr>
      </w:r>
      <w:r w:rsidRPr="00F008F6">
        <w:rPr>
          <w:b w:val="0"/>
          <w:noProof/>
          <w:sz w:val="18"/>
        </w:rPr>
        <w:fldChar w:fldCharType="separate"/>
      </w:r>
      <w:r w:rsidRPr="00F008F6">
        <w:rPr>
          <w:b w:val="0"/>
          <w:noProof/>
          <w:sz w:val="18"/>
        </w:rPr>
        <w:t>202</w:t>
      </w:r>
      <w:r w:rsidRPr="00F008F6">
        <w:rPr>
          <w:b w:val="0"/>
          <w:noProof/>
          <w:sz w:val="18"/>
        </w:rPr>
        <w:fldChar w:fldCharType="end"/>
      </w:r>
    </w:p>
    <w:p w14:paraId="3730C7E2" w14:textId="26F1C5D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76</w:t>
      </w:r>
      <w:r>
        <w:rPr>
          <w:noProof/>
        </w:rPr>
        <w:tab/>
        <w:t>Approving supply of therapeutic goods under authorised prescriber scheme</w:t>
      </w:r>
      <w:r w:rsidRPr="00F008F6">
        <w:rPr>
          <w:noProof/>
        </w:rPr>
        <w:tab/>
      </w:r>
      <w:r w:rsidRPr="00F008F6">
        <w:rPr>
          <w:noProof/>
        </w:rPr>
        <w:fldChar w:fldCharType="begin"/>
      </w:r>
      <w:r w:rsidRPr="00F008F6">
        <w:rPr>
          <w:noProof/>
        </w:rPr>
        <w:instrText xml:space="preserve"> PAGEREF _Toc187135944 \h </w:instrText>
      </w:r>
      <w:r w:rsidRPr="00F008F6">
        <w:rPr>
          <w:noProof/>
        </w:rPr>
      </w:r>
      <w:r w:rsidRPr="00F008F6">
        <w:rPr>
          <w:noProof/>
        </w:rPr>
        <w:fldChar w:fldCharType="separate"/>
      </w:r>
      <w:r w:rsidRPr="00F008F6">
        <w:rPr>
          <w:noProof/>
        </w:rPr>
        <w:t>202</w:t>
      </w:r>
      <w:r w:rsidRPr="00F008F6">
        <w:rPr>
          <w:noProof/>
        </w:rPr>
        <w:fldChar w:fldCharType="end"/>
      </w:r>
    </w:p>
    <w:p w14:paraId="6571057C" w14:textId="23DA1BBD"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77</w:t>
      </w:r>
      <w:r>
        <w:rPr>
          <w:noProof/>
        </w:rPr>
        <w:tab/>
        <w:t>Preliminary assessment of applications for variation of permissible ingredients determination</w:t>
      </w:r>
      <w:r w:rsidRPr="00F008F6">
        <w:rPr>
          <w:noProof/>
        </w:rPr>
        <w:tab/>
      </w:r>
      <w:r w:rsidRPr="00F008F6">
        <w:rPr>
          <w:noProof/>
        </w:rPr>
        <w:fldChar w:fldCharType="begin"/>
      </w:r>
      <w:r w:rsidRPr="00F008F6">
        <w:rPr>
          <w:noProof/>
        </w:rPr>
        <w:instrText xml:space="preserve"> PAGEREF _Toc187135945 \h </w:instrText>
      </w:r>
      <w:r w:rsidRPr="00F008F6">
        <w:rPr>
          <w:noProof/>
        </w:rPr>
      </w:r>
      <w:r w:rsidRPr="00F008F6">
        <w:rPr>
          <w:noProof/>
        </w:rPr>
        <w:fldChar w:fldCharType="separate"/>
      </w:r>
      <w:r w:rsidRPr="00F008F6">
        <w:rPr>
          <w:noProof/>
        </w:rPr>
        <w:t>202</w:t>
      </w:r>
      <w:r w:rsidRPr="00F008F6">
        <w:rPr>
          <w:noProof/>
        </w:rPr>
        <w:fldChar w:fldCharType="end"/>
      </w:r>
    </w:p>
    <w:p w14:paraId="3BEC64D3" w14:textId="2A1FBE30"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15—Application provisions relating to the Minamata Convention on Mercury (Consequential Amendments) Regulations 2021</w:t>
      </w:r>
      <w:r w:rsidRPr="00F008F6">
        <w:rPr>
          <w:b w:val="0"/>
          <w:noProof/>
          <w:sz w:val="18"/>
        </w:rPr>
        <w:tab/>
      </w:r>
      <w:r w:rsidRPr="00F008F6">
        <w:rPr>
          <w:b w:val="0"/>
          <w:noProof/>
          <w:sz w:val="18"/>
        </w:rPr>
        <w:fldChar w:fldCharType="begin"/>
      </w:r>
      <w:r w:rsidRPr="00F008F6">
        <w:rPr>
          <w:b w:val="0"/>
          <w:noProof/>
          <w:sz w:val="18"/>
        </w:rPr>
        <w:instrText xml:space="preserve"> PAGEREF _Toc187135946 \h </w:instrText>
      </w:r>
      <w:r w:rsidRPr="00F008F6">
        <w:rPr>
          <w:b w:val="0"/>
          <w:noProof/>
          <w:sz w:val="18"/>
        </w:rPr>
      </w:r>
      <w:r w:rsidRPr="00F008F6">
        <w:rPr>
          <w:b w:val="0"/>
          <w:noProof/>
          <w:sz w:val="18"/>
        </w:rPr>
        <w:fldChar w:fldCharType="separate"/>
      </w:r>
      <w:r w:rsidRPr="00F008F6">
        <w:rPr>
          <w:b w:val="0"/>
          <w:noProof/>
          <w:sz w:val="18"/>
        </w:rPr>
        <w:t>203</w:t>
      </w:r>
      <w:r w:rsidRPr="00F008F6">
        <w:rPr>
          <w:b w:val="0"/>
          <w:noProof/>
          <w:sz w:val="18"/>
        </w:rPr>
        <w:fldChar w:fldCharType="end"/>
      </w:r>
    </w:p>
    <w:p w14:paraId="76E4D960" w14:textId="61DA681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79</w:t>
      </w:r>
      <w:r>
        <w:rPr>
          <w:noProof/>
        </w:rPr>
        <w:tab/>
        <w:t xml:space="preserve">Application of amendments made by the </w:t>
      </w:r>
      <w:r w:rsidRPr="002B7A09">
        <w:rPr>
          <w:i/>
          <w:noProof/>
        </w:rPr>
        <w:t>Minamata Convention on Mercury (Consequential Amendments) Regulations 2021</w:t>
      </w:r>
      <w:r w:rsidRPr="00F008F6">
        <w:rPr>
          <w:noProof/>
        </w:rPr>
        <w:tab/>
      </w:r>
      <w:r w:rsidRPr="00F008F6">
        <w:rPr>
          <w:noProof/>
        </w:rPr>
        <w:fldChar w:fldCharType="begin"/>
      </w:r>
      <w:r w:rsidRPr="00F008F6">
        <w:rPr>
          <w:noProof/>
        </w:rPr>
        <w:instrText xml:space="preserve"> PAGEREF _Toc187135947 \h </w:instrText>
      </w:r>
      <w:r w:rsidRPr="00F008F6">
        <w:rPr>
          <w:noProof/>
        </w:rPr>
      </w:r>
      <w:r w:rsidRPr="00F008F6">
        <w:rPr>
          <w:noProof/>
        </w:rPr>
        <w:fldChar w:fldCharType="separate"/>
      </w:r>
      <w:r w:rsidRPr="00F008F6">
        <w:rPr>
          <w:noProof/>
        </w:rPr>
        <w:t>203</w:t>
      </w:r>
      <w:r w:rsidRPr="00F008F6">
        <w:rPr>
          <w:noProof/>
        </w:rPr>
        <w:fldChar w:fldCharType="end"/>
      </w:r>
    </w:p>
    <w:p w14:paraId="44743934" w14:textId="10671246"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16—</w:t>
      </w:r>
      <w:r w:rsidRPr="002B7A09">
        <w:rPr>
          <w:rFonts w:eastAsiaTheme="minorHAnsi"/>
          <w:noProof/>
        </w:rPr>
        <w:t>Application provisions relating to the Therapeutic Goods Legislation Amendment (2021 Measures No. 3) Regulations 2021</w:t>
      </w:r>
      <w:r w:rsidRPr="00F008F6">
        <w:rPr>
          <w:b w:val="0"/>
          <w:noProof/>
          <w:sz w:val="18"/>
        </w:rPr>
        <w:tab/>
      </w:r>
      <w:r w:rsidRPr="00F008F6">
        <w:rPr>
          <w:b w:val="0"/>
          <w:noProof/>
          <w:sz w:val="18"/>
        </w:rPr>
        <w:fldChar w:fldCharType="begin"/>
      </w:r>
      <w:r w:rsidRPr="00F008F6">
        <w:rPr>
          <w:b w:val="0"/>
          <w:noProof/>
          <w:sz w:val="18"/>
        </w:rPr>
        <w:instrText xml:space="preserve"> PAGEREF _Toc187135948 \h </w:instrText>
      </w:r>
      <w:r w:rsidRPr="00F008F6">
        <w:rPr>
          <w:b w:val="0"/>
          <w:noProof/>
          <w:sz w:val="18"/>
        </w:rPr>
      </w:r>
      <w:r w:rsidRPr="00F008F6">
        <w:rPr>
          <w:b w:val="0"/>
          <w:noProof/>
          <w:sz w:val="18"/>
        </w:rPr>
        <w:fldChar w:fldCharType="separate"/>
      </w:r>
      <w:r w:rsidRPr="00F008F6">
        <w:rPr>
          <w:b w:val="0"/>
          <w:noProof/>
          <w:sz w:val="18"/>
        </w:rPr>
        <w:t>204</w:t>
      </w:r>
      <w:r w:rsidRPr="00F008F6">
        <w:rPr>
          <w:b w:val="0"/>
          <w:noProof/>
          <w:sz w:val="18"/>
        </w:rPr>
        <w:fldChar w:fldCharType="end"/>
      </w:r>
    </w:p>
    <w:p w14:paraId="39C34726" w14:textId="7102575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81</w:t>
      </w:r>
      <w:r>
        <w:rPr>
          <w:noProof/>
        </w:rPr>
        <w:tab/>
        <w:t>Access to medicines in emergency situations</w:t>
      </w:r>
      <w:r w:rsidRPr="00F008F6">
        <w:rPr>
          <w:noProof/>
        </w:rPr>
        <w:tab/>
      </w:r>
      <w:r w:rsidRPr="00F008F6">
        <w:rPr>
          <w:noProof/>
        </w:rPr>
        <w:fldChar w:fldCharType="begin"/>
      </w:r>
      <w:r w:rsidRPr="00F008F6">
        <w:rPr>
          <w:noProof/>
        </w:rPr>
        <w:instrText xml:space="preserve"> PAGEREF _Toc187135949 \h </w:instrText>
      </w:r>
      <w:r w:rsidRPr="00F008F6">
        <w:rPr>
          <w:noProof/>
        </w:rPr>
      </w:r>
      <w:r w:rsidRPr="00F008F6">
        <w:rPr>
          <w:noProof/>
        </w:rPr>
        <w:fldChar w:fldCharType="separate"/>
      </w:r>
      <w:r w:rsidRPr="00F008F6">
        <w:rPr>
          <w:noProof/>
        </w:rPr>
        <w:t>204</w:t>
      </w:r>
      <w:r w:rsidRPr="00F008F6">
        <w:rPr>
          <w:noProof/>
        </w:rPr>
        <w:fldChar w:fldCharType="end"/>
      </w:r>
    </w:p>
    <w:p w14:paraId="138D4CAE" w14:textId="33B714F1"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82</w:t>
      </w:r>
      <w:r>
        <w:rPr>
          <w:noProof/>
        </w:rPr>
        <w:tab/>
        <w:t>Consumer medicine information documents</w:t>
      </w:r>
      <w:r w:rsidRPr="00F008F6">
        <w:rPr>
          <w:noProof/>
        </w:rPr>
        <w:tab/>
      </w:r>
      <w:r w:rsidRPr="00F008F6">
        <w:rPr>
          <w:noProof/>
        </w:rPr>
        <w:fldChar w:fldCharType="begin"/>
      </w:r>
      <w:r w:rsidRPr="00F008F6">
        <w:rPr>
          <w:noProof/>
        </w:rPr>
        <w:instrText xml:space="preserve"> PAGEREF _Toc187135950 \h </w:instrText>
      </w:r>
      <w:r w:rsidRPr="00F008F6">
        <w:rPr>
          <w:noProof/>
        </w:rPr>
      </w:r>
      <w:r w:rsidRPr="00F008F6">
        <w:rPr>
          <w:noProof/>
        </w:rPr>
        <w:fldChar w:fldCharType="separate"/>
      </w:r>
      <w:r w:rsidRPr="00F008F6">
        <w:rPr>
          <w:noProof/>
        </w:rPr>
        <w:t>204</w:t>
      </w:r>
      <w:r w:rsidRPr="00F008F6">
        <w:rPr>
          <w:noProof/>
        </w:rPr>
        <w:fldChar w:fldCharType="end"/>
      </w:r>
    </w:p>
    <w:p w14:paraId="2EC37AD1" w14:textId="722EE732"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83</w:t>
      </w:r>
      <w:r>
        <w:rPr>
          <w:noProof/>
        </w:rPr>
        <w:tab/>
        <w:t>Approving supply of therapeutic goods under authorised prescriber scheme</w:t>
      </w:r>
      <w:r w:rsidRPr="00F008F6">
        <w:rPr>
          <w:noProof/>
        </w:rPr>
        <w:tab/>
      </w:r>
      <w:r w:rsidRPr="00F008F6">
        <w:rPr>
          <w:noProof/>
        </w:rPr>
        <w:fldChar w:fldCharType="begin"/>
      </w:r>
      <w:r w:rsidRPr="00F008F6">
        <w:rPr>
          <w:noProof/>
        </w:rPr>
        <w:instrText xml:space="preserve"> PAGEREF _Toc187135951 \h </w:instrText>
      </w:r>
      <w:r w:rsidRPr="00F008F6">
        <w:rPr>
          <w:noProof/>
        </w:rPr>
      </w:r>
      <w:r w:rsidRPr="00F008F6">
        <w:rPr>
          <w:noProof/>
        </w:rPr>
        <w:fldChar w:fldCharType="separate"/>
      </w:r>
      <w:r w:rsidRPr="00F008F6">
        <w:rPr>
          <w:noProof/>
        </w:rPr>
        <w:t>204</w:t>
      </w:r>
      <w:r w:rsidRPr="00F008F6">
        <w:rPr>
          <w:noProof/>
        </w:rPr>
        <w:fldChar w:fldCharType="end"/>
      </w:r>
    </w:p>
    <w:p w14:paraId="1C4B61F8" w14:textId="0500FE8B"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17—Application provisions relating to the Therapeutic Goods Legislation Amendment (2021 Measures No. 4) Regulations 2021</w:t>
      </w:r>
      <w:r w:rsidRPr="00F008F6">
        <w:rPr>
          <w:b w:val="0"/>
          <w:noProof/>
          <w:sz w:val="18"/>
        </w:rPr>
        <w:tab/>
      </w:r>
      <w:r w:rsidRPr="00F008F6">
        <w:rPr>
          <w:b w:val="0"/>
          <w:noProof/>
          <w:sz w:val="18"/>
        </w:rPr>
        <w:fldChar w:fldCharType="begin"/>
      </w:r>
      <w:r w:rsidRPr="00F008F6">
        <w:rPr>
          <w:b w:val="0"/>
          <w:noProof/>
          <w:sz w:val="18"/>
        </w:rPr>
        <w:instrText xml:space="preserve"> PAGEREF _Toc187135952 \h </w:instrText>
      </w:r>
      <w:r w:rsidRPr="00F008F6">
        <w:rPr>
          <w:b w:val="0"/>
          <w:noProof/>
          <w:sz w:val="18"/>
        </w:rPr>
      </w:r>
      <w:r w:rsidRPr="00F008F6">
        <w:rPr>
          <w:b w:val="0"/>
          <w:noProof/>
          <w:sz w:val="18"/>
        </w:rPr>
        <w:fldChar w:fldCharType="separate"/>
      </w:r>
      <w:r w:rsidRPr="00F008F6">
        <w:rPr>
          <w:b w:val="0"/>
          <w:noProof/>
          <w:sz w:val="18"/>
        </w:rPr>
        <w:t>205</w:t>
      </w:r>
      <w:r w:rsidRPr="00F008F6">
        <w:rPr>
          <w:b w:val="0"/>
          <w:noProof/>
          <w:sz w:val="18"/>
        </w:rPr>
        <w:fldChar w:fldCharType="end"/>
      </w:r>
    </w:p>
    <w:p w14:paraId="12FA29DC" w14:textId="1D4B852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84</w:t>
      </w:r>
      <w:r>
        <w:rPr>
          <w:noProof/>
        </w:rPr>
        <w:tab/>
        <w:t>Amendments made by Division 1 of Part 2 of Schedule 1</w:t>
      </w:r>
      <w:r w:rsidRPr="00F008F6">
        <w:rPr>
          <w:noProof/>
        </w:rPr>
        <w:tab/>
      </w:r>
      <w:r w:rsidRPr="00F008F6">
        <w:rPr>
          <w:noProof/>
        </w:rPr>
        <w:fldChar w:fldCharType="begin"/>
      </w:r>
      <w:r w:rsidRPr="00F008F6">
        <w:rPr>
          <w:noProof/>
        </w:rPr>
        <w:instrText xml:space="preserve"> PAGEREF _Toc187135953 \h </w:instrText>
      </w:r>
      <w:r w:rsidRPr="00F008F6">
        <w:rPr>
          <w:noProof/>
        </w:rPr>
      </w:r>
      <w:r w:rsidRPr="00F008F6">
        <w:rPr>
          <w:noProof/>
        </w:rPr>
        <w:fldChar w:fldCharType="separate"/>
      </w:r>
      <w:r w:rsidRPr="00F008F6">
        <w:rPr>
          <w:noProof/>
        </w:rPr>
        <w:t>205</w:t>
      </w:r>
      <w:r w:rsidRPr="00F008F6">
        <w:rPr>
          <w:noProof/>
        </w:rPr>
        <w:fldChar w:fldCharType="end"/>
      </w:r>
    </w:p>
    <w:p w14:paraId="22248A55" w14:textId="1B2BF07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85</w:t>
      </w:r>
      <w:r>
        <w:rPr>
          <w:noProof/>
        </w:rPr>
        <w:tab/>
        <w:t>Amendments made by Division 2 of Part 2 of Schedule 1</w:t>
      </w:r>
      <w:r w:rsidRPr="00F008F6">
        <w:rPr>
          <w:noProof/>
        </w:rPr>
        <w:tab/>
      </w:r>
      <w:r w:rsidRPr="00F008F6">
        <w:rPr>
          <w:noProof/>
        </w:rPr>
        <w:fldChar w:fldCharType="begin"/>
      </w:r>
      <w:r w:rsidRPr="00F008F6">
        <w:rPr>
          <w:noProof/>
        </w:rPr>
        <w:instrText xml:space="preserve"> PAGEREF _Toc187135954 \h </w:instrText>
      </w:r>
      <w:r w:rsidRPr="00F008F6">
        <w:rPr>
          <w:noProof/>
        </w:rPr>
      </w:r>
      <w:r w:rsidRPr="00F008F6">
        <w:rPr>
          <w:noProof/>
        </w:rPr>
        <w:fldChar w:fldCharType="separate"/>
      </w:r>
      <w:r w:rsidRPr="00F008F6">
        <w:rPr>
          <w:noProof/>
        </w:rPr>
        <w:t>205</w:t>
      </w:r>
      <w:r w:rsidRPr="00F008F6">
        <w:rPr>
          <w:noProof/>
        </w:rPr>
        <w:fldChar w:fldCharType="end"/>
      </w:r>
    </w:p>
    <w:p w14:paraId="6EDB9533" w14:textId="403B4B0D" w:rsidR="00F008F6" w:rsidRDefault="00F008F6" w:rsidP="00EF338C">
      <w:pPr>
        <w:pStyle w:val="TOC3"/>
        <w:keepLines w:val="0"/>
        <w:rPr>
          <w:rFonts w:asciiTheme="minorHAnsi" w:eastAsiaTheme="minorEastAsia" w:hAnsiTheme="minorHAnsi" w:cstheme="minorBidi"/>
          <w:b w:val="0"/>
          <w:noProof/>
          <w:kern w:val="2"/>
          <w:sz w:val="24"/>
          <w:szCs w:val="24"/>
          <w14:ligatures w14:val="standardContextual"/>
        </w:rPr>
      </w:pPr>
      <w:r>
        <w:rPr>
          <w:noProof/>
        </w:rPr>
        <w:lastRenderedPageBreak/>
        <w:t>Division 18—Application provisions relating to Schedule 1 to the Therapeutic Goods Legislation Amendment (2022 Measures No. 1) Regulations 2022</w:t>
      </w:r>
      <w:r w:rsidRPr="00F008F6">
        <w:rPr>
          <w:b w:val="0"/>
          <w:noProof/>
          <w:sz w:val="18"/>
        </w:rPr>
        <w:tab/>
      </w:r>
      <w:r w:rsidRPr="00F008F6">
        <w:rPr>
          <w:b w:val="0"/>
          <w:noProof/>
          <w:sz w:val="18"/>
        </w:rPr>
        <w:fldChar w:fldCharType="begin"/>
      </w:r>
      <w:r w:rsidRPr="00F008F6">
        <w:rPr>
          <w:b w:val="0"/>
          <w:noProof/>
          <w:sz w:val="18"/>
        </w:rPr>
        <w:instrText xml:space="preserve"> PAGEREF _Toc187135955 \h </w:instrText>
      </w:r>
      <w:r w:rsidRPr="00F008F6">
        <w:rPr>
          <w:b w:val="0"/>
          <w:noProof/>
          <w:sz w:val="18"/>
        </w:rPr>
      </w:r>
      <w:r w:rsidRPr="00F008F6">
        <w:rPr>
          <w:b w:val="0"/>
          <w:noProof/>
          <w:sz w:val="18"/>
        </w:rPr>
        <w:fldChar w:fldCharType="separate"/>
      </w:r>
      <w:r w:rsidRPr="00F008F6">
        <w:rPr>
          <w:b w:val="0"/>
          <w:noProof/>
          <w:sz w:val="18"/>
        </w:rPr>
        <w:t>206</w:t>
      </w:r>
      <w:r w:rsidRPr="00F008F6">
        <w:rPr>
          <w:b w:val="0"/>
          <w:noProof/>
          <w:sz w:val="18"/>
        </w:rPr>
        <w:fldChar w:fldCharType="end"/>
      </w:r>
    </w:p>
    <w:p w14:paraId="78F7B9D0" w14:textId="01E5EEA9"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86</w:t>
      </w:r>
      <w:r>
        <w:rPr>
          <w:noProof/>
        </w:rPr>
        <w:tab/>
        <w:t>Extemporaneously</w:t>
      </w:r>
      <w:r>
        <w:rPr>
          <w:noProof/>
        </w:rPr>
        <w:noBreakHyphen/>
        <w:t>compounded medicinal cannabis products</w:t>
      </w:r>
      <w:r w:rsidRPr="00F008F6">
        <w:rPr>
          <w:noProof/>
        </w:rPr>
        <w:tab/>
      </w:r>
      <w:r w:rsidRPr="00F008F6">
        <w:rPr>
          <w:noProof/>
        </w:rPr>
        <w:fldChar w:fldCharType="begin"/>
      </w:r>
      <w:r w:rsidRPr="00F008F6">
        <w:rPr>
          <w:noProof/>
        </w:rPr>
        <w:instrText xml:space="preserve"> PAGEREF _Toc187135956 \h </w:instrText>
      </w:r>
      <w:r w:rsidRPr="00F008F6">
        <w:rPr>
          <w:noProof/>
        </w:rPr>
      </w:r>
      <w:r w:rsidRPr="00F008F6">
        <w:rPr>
          <w:noProof/>
        </w:rPr>
        <w:fldChar w:fldCharType="separate"/>
      </w:r>
      <w:r w:rsidRPr="00F008F6">
        <w:rPr>
          <w:noProof/>
        </w:rPr>
        <w:t>206</w:t>
      </w:r>
      <w:r w:rsidRPr="00F008F6">
        <w:rPr>
          <w:noProof/>
        </w:rPr>
        <w:fldChar w:fldCharType="end"/>
      </w:r>
    </w:p>
    <w:p w14:paraId="52A05D2B" w14:textId="16545536"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19—Application provisions relating to Schedule 2 to the Therapeutic Goods Legislation Amendment (2022 Measures No. 1) Regulations 2022</w:t>
      </w:r>
      <w:r w:rsidRPr="00F008F6">
        <w:rPr>
          <w:b w:val="0"/>
          <w:noProof/>
          <w:sz w:val="18"/>
        </w:rPr>
        <w:tab/>
      </w:r>
      <w:r w:rsidRPr="00F008F6">
        <w:rPr>
          <w:b w:val="0"/>
          <w:noProof/>
          <w:sz w:val="18"/>
        </w:rPr>
        <w:fldChar w:fldCharType="begin"/>
      </w:r>
      <w:r w:rsidRPr="00F008F6">
        <w:rPr>
          <w:b w:val="0"/>
          <w:noProof/>
          <w:sz w:val="18"/>
        </w:rPr>
        <w:instrText xml:space="preserve"> PAGEREF _Toc187135957 \h </w:instrText>
      </w:r>
      <w:r w:rsidRPr="00F008F6">
        <w:rPr>
          <w:b w:val="0"/>
          <w:noProof/>
          <w:sz w:val="18"/>
        </w:rPr>
      </w:r>
      <w:r w:rsidRPr="00F008F6">
        <w:rPr>
          <w:b w:val="0"/>
          <w:noProof/>
          <w:sz w:val="18"/>
        </w:rPr>
        <w:fldChar w:fldCharType="separate"/>
      </w:r>
      <w:r w:rsidRPr="00F008F6">
        <w:rPr>
          <w:b w:val="0"/>
          <w:noProof/>
          <w:sz w:val="18"/>
        </w:rPr>
        <w:t>207</w:t>
      </w:r>
      <w:r w:rsidRPr="00F008F6">
        <w:rPr>
          <w:b w:val="0"/>
          <w:noProof/>
          <w:sz w:val="18"/>
        </w:rPr>
        <w:fldChar w:fldCharType="end"/>
      </w:r>
    </w:p>
    <w:p w14:paraId="6D231728" w14:textId="6A126BDC"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87</w:t>
      </w:r>
      <w:r>
        <w:rPr>
          <w:noProof/>
        </w:rPr>
        <w:tab/>
        <w:t>Reconsideration of decisions</w:t>
      </w:r>
      <w:r w:rsidRPr="00F008F6">
        <w:rPr>
          <w:noProof/>
        </w:rPr>
        <w:tab/>
      </w:r>
      <w:r w:rsidRPr="00F008F6">
        <w:rPr>
          <w:noProof/>
        </w:rPr>
        <w:fldChar w:fldCharType="begin"/>
      </w:r>
      <w:r w:rsidRPr="00F008F6">
        <w:rPr>
          <w:noProof/>
        </w:rPr>
        <w:instrText xml:space="preserve"> PAGEREF _Toc187135958 \h </w:instrText>
      </w:r>
      <w:r w:rsidRPr="00F008F6">
        <w:rPr>
          <w:noProof/>
        </w:rPr>
      </w:r>
      <w:r w:rsidRPr="00F008F6">
        <w:rPr>
          <w:noProof/>
        </w:rPr>
        <w:fldChar w:fldCharType="separate"/>
      </w:r>
      <w:r w:rsidRPr="00F008F6">
        <w:rPr>
          <w:noProof/>
        </w:rPr>
        <w:t>207</w:t>
      </w:r>
      <w:r w:rsidRPr="00F008F6">
        <w:rPr>
          <w:noProof/>
        </w:rPr>
        <w:fldChar w:fldCharType="end"/>
      </w:r>
    </w:p>
    <w:p w14:paraId="763C3FE1" w14:textId="249C0A66"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20—Application provisions relating to the Therapeutic Goods Legislation Amendment (2022 Measures No. 3) Regulations 2022</w:t>
      </w:r>
      <w:r w:rsidRPr="00F008F6">
        <w:rPr>
          <w:b w:val="0"/>
          <w:noProof/>
          <w:sz w:val="18"/>
        </w:rPr>
        <w:tab/>
      </w:r>
      <w:r w:rsidRPr="00F008F6">
        <w:rPr>
          <w:b w:val="0"/>
          <w:noProof/>
          <w:sz w:val="18"/>
        </w:rPr>
        <w:fldChar w:fldCharType="begin"/>
      </w:r>
      <w:r w:rsidRPr="00F008F6">
        <w:rPr>
          <w:b w:val="0"/>
          <w:noProof/>
          <w:sz w:val="18"/>
        </w:rPr>
        <w:instrText xml:space="preserve"> PAGEREF _Toc187135959 \h </w:instrText>
      </w:r>
      <w:r w:rsidRPr="00F008F6">
        <w:rPr>
          <w:b w:val="0"/>
          <w:noProof/>
          <w:sz w:val="18"/>
        </w:rPr>
      </w:r>
      <w:r w:rsidRPr="00F008F6">
        <w:rPr>
          <w:b w:val="0"/>
          <w:noProof/>
          <w:sz w:val="18"/>
        </w:rPr>
        <w:fldChar w:fldCharType="separate"/>
      </w:r>
      <w:r w:rsidRPr="00F008F6">
        <w:rPr>
          <w:b w:val="0"/>
          <w:noProof/>
          <w:sz w:val="18"/>
        </w:rPr>
        <w:t>208</w:t>
      </w:r>
      <w:r w:rsidRPr="00F008F6">
        <w:rPr>
          <w:b w:val="0"/>
          <w:noProof/>
          <w:sz w:val="18"/>
        </w:rPr>
        <w:fldChar w:fldCharType="end"/>
      </w:r>
    </w:p>
    <w:p w14:paraId="006B9FBD" w14:textId="02F004FA"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88</w:t>
      </w:r>
      <w:r>
        <w:rPr>
          <w:noProof/>
        </w:rPr>
        <w:tab/>
        <w:t>Exempt goods</w:t>
      </w:r>
      <w:r w:rsidRPr="00F008F6">
        <w:rPr>
          <w:noProof/>
        </w:rPr>
        <w:tab/>
      </w:r>
      <w:r w:rsidRPr="00F008F6">
        <w:rPr>
          <w:noProof/>
        </w:rPr>
        <w:fldChar w:fldCharType="begin"/>
      </w:r>
      <w:r w:rsidRPr="00F008F6">
        <w:rPr>
          <w:noProof/>
        </w:rPr>
        <w:instrText xml:space="preserve"> PAGEREF _Toc187135960 \h </w:instrText>
      </w:r>
      <w:r w:rsidRPr="00F008F6">
        <w:rPr>
          <w:noProof/>
        </w:rPr>
      </w:r>
      <w:r w:rsidRPr="00F008F6">
        <w:rPr>
          <w:noProof/>
        </w:rPr>
        <w:fldChar w:fldCharType="separate"/>
      </w:r>
      <w:r w:rsidRPr="00F008F6">
        <w:rPr>
          <w:noProof/>
        </w:rPr>
        <w:t>208</w:t>
      </w:r>
      <w:r w:rsidRPr="00F008F6">
        <w:rPr>
          <w:noProof/>
        </w:rPr>
        <w:fldChar w:fldCharType="end"/>
      </w:r>
    </w:p>
    <w:p w14:paraId="3BDBD905" w14:textId="692BBB5B"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89</w:t>
      </w:r>
      <w:r>
        <w:rPr>
          <w:bCs/>
          <w:noProof/>
          <w:color w:val="000000"/>
        </w:rPr>
        <w:tab/>
      </w:r>
      <w:r>
        <w:rPr>
          <w:noProof/>
        </w:rPr>
        <w:t>Fee for requests to vary entries in Register</w:t>
      </w:r>
      <w:r w:rsidRPr="00F008F6">
        <w:rPr>
          <w:noProof/>
        </w:rPr>
        <w:tab/>
      </w:r>
      <w:r w:rsidRPr="00F008F6">
        <w:rPr>
          <w:noProof/>
        </w:rPr>
        <w:fldChar w:fldCharType="begin"/>
      </w:r>
      <w:r w:rsidRPr="00F008F6">
        <w:rPr>
          <w:noProof/>
        </w:rPr>
        <w:instrText xml:space="preserve"> PAGEREF _Toc187135961 \h </w:instrText>
      </w:r>
      <w:r w:rsidRPr="00F008F6">
        <w:rPr>
          <w:noProof/>
        </w:rPr>
      </w:r>
      <w:r w:rsidRPr="00F008F6">
        <w:rPr>
          <w:noProof/>
        </w:rPr>
        <w:fldChar w:fldCharType="separate"/>
      </w:r>
      <w:r w:rsidRPr="00F008F6">
        <w:rPr>
          <w:noProof/>
        </w:rPr>
        <w:t>208</w:t>
      </w:r>
      <w:r w:rsidRPr="00F008F6">
        <w:rPr>
          <w:noProof/>
        </w:rPr>
        <w:fldChar w:fldCharType="end"/>
      </w:r>
    </w:p>
    <w:p w14:paraId="7C2179F8" w14:textId="677D1DC0"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21—Application provisions relating to the Therapeutic Goods Legislation Amendment (2023 Measures No. 1) Regulations 2023</w:t>
      </w:r>
      <w:r w:rsidRPr="00F008F6">
        <w:rPr>
          <w:b w:val="0"/>
          <w:noProof/>
          <w:sz w:val="18"/>
        </w:rPr>
        <w:tab/>
      </w:r>
      <w:r w:rsidRPr="00F008F6">
        <w:rPr>
          <w:b w:val="0"/>
          <w:noProof/>
          <w:sz w:val="18"/>
        </w:rPr>
        <w:fldChar w:fldCharType="begin"/>
      </w:r>
      <w:r w:rsidRPr="00F008F6">
        <w:rPr>
          <w:b w:val="0"/>
          <w:noProof/>
          <w:sz w:val="18"/>
        </w:rPr>
        <w:instrText xml:space="preserve"> PAGEREF _Toc187135962 \h </w:instrText>
      </w:r>
      <w:r w:rsidRPr="00F008F6">
        <w:rPr>
          <w:b w:val="0"/>
          <w:noProof/>
          <w:sz w:val="18"/>
        </w:rPr>
      </w:r>
      <w:r w:rsidRPr="00F008F6">
        <w:rPr>
          <w:b w:val="0"/>
          <w:noProof/>
          <w:sz w:val="18"/>
        </w:rPr>
        <w:fldChar w:fldCharType="separate"/>
      </w:r>
      <w:r w:rsidRPr="00F008F6">
        <w:rPr>
          <w:b w:val="0"/>
          <w:noProof/>
          <w:sz w:val="18"/>
        </w:rPr>
        <w:t>209</w:t>
      </w:r>
      <w:r w:rsidRPr="00F008F6">
        <w:rPr>
          <w:b w:val="0"/>
          <w:noProof/>
          <w:sz w:val="18"/>
        </w:rPr>
        <w:fldChar w:fldCharType="end"/>
      </w:r>
    </w:p>
    <w:p w14:paraId="2B510CA4" w14:textId="44EB791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90</w:t>
      </w:r>
      <w:r>
        <w:rPr>
          <w:noProof/>
        </w:rPr>
        <w:tab/>
        <w:t>Clinical trials</w:t>
      </w:r>
      <w:r w:rsidRPr="00F008F6">
        <w:rPr>
          <w:noProof/>
        </w:rPr>
        <w:tab/>
      </w:r>
      <w:r w:rsidRPr="00F008F6">
        <w:rPr>
          <w:noProof/>
        </w:rPr>
        <w:fldChar w:fldCharType="begin"/>
      </w:r>
      <w:r w:rsidRPr="00F008F6">
        <w:rPr>
          <w:noProof/>
        </w:rPr>
        <w:instrText xml:space="preserve"> PAGEREF _Toc187135963 \h </w:instrText>
      </w:r>
      <w:r w:rsidRPr="00F008F6">
        <w:rPr>
          <w:noProof/>
        </w:rPr>
      </w:r>
      <w:r w:rsidRPr="00F008F6">
        <w:rPr>
          <w:noProof/>
        </w:rPr>
        <w:fldChar w:fldCharType="separate"/>
      </w:r>
      <w:r w:rsidRPr="00F008F6">
        <w:rPr>
          <w:noProof/>
        </w:rPr>
        <w:t>209</w:t>
      </w:r>
      <w:r w:rsidRPr="00F008F6">
        <w:rPr>
          <w:noProof/>
        </w:rPr>
        <w:fldChar w:fldCharType="end"/>
      </w:r>
    </w:p>
    <w:p w14:paraId="5F5EB8A2" w14:textId="158AD586"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22—Transitional provisions relating to the Therapeutic Goods Legislation Amendment (2023 Measures No. 2) Regulations 2023</w:t>
      </w:r>
      <w:r w:rsidRPr="00F008F6">
        <w:rPr>
          <w:b w:val="0"/>
          <w:noProof/>
          <w:sz w:val="18"/>
        </w:rPr>
        <w:tab/>
      </w:r>
      <w:r w:rsidRPr="00F008F6">
        <w:rPr>
          <w:b w:val="0"/>
          <w:noProof/>
          <w:sz w:val="18"/>
        </w:rPr>
        <w:fldChar w:fldCharType="begin"/>
      </w:r>
      <w:r w:rsidRPr="00F008F6">
        <w:rPr>
          <w:b w:val="0"/>
          <w:noProof/>
          <w:sz w:val="18"/>
        </w:rPr>
        <w:instrText xml:space="preserve"> PAGEREF _Toc187135964 \h </w:instrText>
      </w:r>
      <w:r w:rsidRPr="00F008F6">
        <w:rPr>
          <w:b w:val="0"/>
          <w:noProof/>
          <w:sz w:val="18"/>
        </w:rPr>
      </w:r>
      <w:r w:rsidRPr="00F008F6">
        <w:rPr>
          <w:b w:val="0"/>
          <w:noProof/>
          <w:sz w:val="18"/>
        </w:rPr>
        <w:fldChar w:fldCharType="separate"/>
      </w:r>
      <w:r w:rsidRPr="00F008F6">
        <w:rPr>
          <w:b w:val="0"/>
          <w:noProof/>
          <w:sz w:val="18"/>
        </w:rPr>
        <w:t>210</w:t>
      </w:r>
      <w:r w:rsidRPr="00F008F6">
        <w:rPr>
          <w:b w:val="0"/>
          <w:noProof/>
          <w:sz w:val="18"/>
        </w:rPr>
        <w:fldChar w:fldCharType="end"/>
      </w:r>
    </w:p>
    <w:p w14:paraId="4FDDFC83" w14:textId="1FA8AED1"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91</w:t>
      </w:r>
      <w:r>
        <w:rPr>
          <w:noProof/>
        </w:rPr>
        <w:tab/>
        <w:t>Clinical trials</w:t>
      </w:r>
      <w:r w:rsidRPr="00F008F6">
        <w:rPr>
          <w:noProof/>
        </w:rPr>
        <w:tab/>
      </w:r>
      <w:r w:rsidRPr="00F008F6">
        <w:rPr>
          <w:noProof/>
        </w:rPr>
        <w:fldChar w:fldCharType="begin"/>
      </w:r>
      <w:r w:rsidRPr="00F008F6">
        <w:rPr>
          <w:noProof/>
        </w:rPr>
        <w:instrText xml:space="preserve"> PAGEREF _Toc187135965 \h </w:instrText>
      </w:r>
      <w:r w:rsidRPr="00F008F6">
        <w:rPr>
          <w:noProof/>
        </w:rPr>
      </w:r>
      <w:r w:rsidRPr="00F008F6">
        <w:rPr>
          <w:noProof/>
        </w:rPr>
        <w:fldChar w:fldCharType="separate"/>
      </w:r>
      <w:r w:rsidRPr="00F008F6">
        <w:rPr>
          <w:noProof/>
        </w:rPr>
        <w:t>210</w:t>
      </w:r>
      <w:r w:rsidRPr="00F008F6">
        <w:rPr>
          <w:noProof/>
        </w:rPr>
        <w:fldChar w:fldCharType="end"/>
      </w:r>
    </w:p>
    <w:p w14:paraId="122D0961" w14:textId="3DE054FD"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92</w:t>
      </w:r>
      <w:r>
        <w:rPr>
          <w:noProof/>
        </w:rPr>
        <w:tab/>
        <w:t>Removal of exemptions for sunscreen preparations</w:t>
      </w:r>
      <w:r w:rsidRPr="00F008F6">
        <w:rPr>
          <w:noProof/>
        </w:rPr>
        <w:tab/>
      </w:r>
      <w:r w:rsidRPr="00F008F6">
        <w:rPr>
          <w:noProof/>
        </w:rPr>
        <w:fldChar w:fldCharType="begin"/>
      </w:r>
      <w:r w:rsidRPr="00F008F6">
        <w:rPr>
          <w:noProof/>
        </w:rPr>
        <w:instrText xml:space="preserve"> PAGEREF _Toc187135966 \h </w:instrText>
      </w:r>
      <w:r w:rsidRPr="00F008F6">
        <w:rPr>
          <w:noProof/>
        </w:rPr>
      </w:r>
      <w:r w:rsidRPr="00F008F6">
        <w:rPr>
          <w:noProof/>
        </w:rPr>
        <w:fldChar w:fldCharType="separate"/>
      </w:r>
      <w:r w:rsidRPr="00F008F6">
        <w:rPr>
          <w:noProof/>
        </w:rPr>
        <w:t>210</w:t>
      </w:r>
      <w:r w:rsidRPr="00F008F6">
        <w:rPr>
          <w:noProof/>
        </w:rPr>
        <w:fldChar w:fldCharType="end"/>
      </w:r>
    </w:p>
    <w:p w14:paraId="64CD9545" w14:textId="62E92C30"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23—Transitional provisions relating to the Therapeutic Goods Legislation Amendment (Vaping) Regulations 2023</w:t>
      </w:r>
      <w:r w:rsidRPr="00F008F6">
        <w:rPr>
          <w:b w:val="0"/>
          <w:noProof/>
          <w:sz w:val="18"/>
        </w:rPr>
        <w:tab/>
      </w:r>
      <w:r w:rsidRPr="00F008F6">
        <w:rPr>
          <w:b w:val="0"/>
          <w:noProof/>
          <w:sz w:val="18"/>
        </w:rPr>
        <w:fldChar w:fldCharType="begin"/>
      </w:r>
      <w:r w:rsidRPr="00F008F6">
        <w:rPr>
          <w:b w:val="0"/>
          <w:noProof/>
          <w:sz w:val="18"/>
        </w:rPr>
        <w:instrText xml:space="preserve"> PAGEREF _Toc187135967 \h </w:instrText>
      </w:r>
      <w:r w:rsidRPr="00F008F6">
        <w:rPr>
          <w:b w:val="0"/>
          <w:noProof/>
          <w:sz w:val="18"/>
        </w:rPr>
      </w:r>
      <w:r w:rsidRPr="00F008F6">
        <w:rPr>
          <w:b w:val="0"/>
          <w:noProof/>
          <w:sz w:val="18"/>
        </w:rPr>
        <w:fldChar w:fldCharType="separate"/>
      </w:r>
      <w:r w:rsidRPr="00F008F6">
        <w:rPr>
          <w:b w:val="0"/>
          <w:noProof/>
          <w:sz w:val="18"/>
        </w:rPr>
        <w:t>211</w:t>
      </w:r>
      <w:r w:rsidRPr="00F008F6">
        <w:rPr>
          <w:b w:val="0"/>
          <w:noProof/>
          <w:sz w:val="18"/>
        </w:rPr>
        <w:fldChar w:fldCharType="end"/>
      </w:r>
    </w:p>
    <w:p w14:paraId="3DE45966" w14:textId="641A0946"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93</w:t>
      </w:r>
      <w:r>
        <w:rPr>
          <w:noProof/>
        </w:rPr>
        <w:tab/>
        <w:t>Definitions</w:t>
      </w:r>
      <w:r w:rsidRPr="00F008F6">
        <w:rPr>
          <w:noProof/>
        </w:rPr>
        <w:tab/>
      </w:r>
      <w:r w:rsidRPr="00F008F6">
        <w:rPr>
          <w:noProof/>
        </w:rPr>
        <w:fldChar w:fldCharType="begin"/>
      </w:r>
      <w:r w:rsidRPr="00F008F6">
        <w:rPr>
          <w:noProof/>
        </w:rPr>
        <w:instrText xml:space="preserve"> PAGEREF _Toc187135968 \h </w:instrText>
      </w:r>
      <w:r w:rsidRPr="00F008F6">
        <w:rPr>
          <w:noProof/>
        </w:rPr>
      </w:r>
      <w:r w:rsidRPr="00F008F6">
        <w:rPr>
          <w:noProof/>
        </w:rPr>
        <w:fldChar w:fldCharType="separate"/>
      </w:r>
      <w:r w:rsidRPr="00F008F6">
        <w:rPr>
          <w:noProof/>
        </w:rPr>
        <w:t>211</w:t>
      </w:r>
      <w:r w:rsidRPr="00F008F6">
        <w:rPr>
          <w:noProof/>
        </w:rPr>
        <w:fldChar w:fldCharType="end"/>
      </w:r>
    </w:p>
    <w:p w14:paraId="7C467604" w14:textId="757D079A"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94</w:t>
      </w:r>
      <w:r>
        <w:rPr>
          <w:noProof/>
        </w:rPr>
        <w:tab/>
        <w:t>Approving supply of therapeutic goods under authorised prescriber scheme</w:t>
      </w:r>
      <w:r w:rsidRPr="00F008F6">
        <w:rPr>
          <w:noProof/>
        </w:rPr>
        <w:tab/>
      </w:r>
      <w:r w:rsidRPr="00F008F6">
        <w:rPr>
          <w:noProof/>
        </w:rPr>
        <w:fldChar w:fldCharType="begin"/>
      </w:r>
      <w:r w:rsidRPr="00F008F6">
        <w:rPr>
          <w:noProof/>
        </w:rPr>
        <w:instrText xml:space="preserve"> PAGEREF _Toc187135969 \h </w:instrText>
      </w:r>
      <w:r w:rsidRPr="00F008F6">
        <w:rPr>
          <w:noProof/>
        </w:rPr>
      </w:r>
      <w:r w:rsidRPr="00F008F6">
        <w:rPr>
          <w:noProof/>
        </w:rPr>
        <w:fldChar w:fldCharType="separate"/>
      </w:r>
      <w:r w:rsidRPr="00F008F6">
        <w:rPr>
          <w:noProof/>
        </w:rPr>
        <w:t>211</w:t>
      </w:r>
      <w:r w:rsidRPr="00F008F6">
        <w:rPr>
          <w:noProof/>
        </w:rPr>
        <w:fldChar w:fldCharType="end"/>
      </w:r>
    </w:p>
    <w:p w14:paraId="362A8119" w14:textId="159887DE"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95</w:t>
      </w:r>
      <w:r>
        <w:rPr>
          <w:noProof/>
        </w:rPr>
        <w:tab/>
        <w:t>Goods to be included in parts of the Register</w:t>
      </w:r>
      <w:r w:rsidRPr="00F008F6">
        <w:rPr>
          <w:noProof/>
        </w:rPr>
        <w:tab/>
      </w:r>
      <w:r w:rsidRPr="00F008F6">
        <w:rPr>
          <w:noProof/>
        </w:rPr>
        <w:fldChar w:fldCharType="begin"/>
      </w:r>
      <w:r w:rsidRPr="00F008F6">
        <w:rPr>
          <w:noProof/>
        </w:rPr>
        <w:instrText xml:space="preserve"> PAGEREF _Toc187135970 \h </w:instrText>
      </w:r>
      <w:r w:rsidRPr="00F008F6">
        <w:rPr>
          <w:noProof/>
        </w:rPr>
      </w:r>
      <w:r w:rsidRPr="00F008F6">
        <w:rPr>
          <w:noProof/>
        </w:rPr>
        <w:fldChar w:fldCharType="separate"/>
      </w:r>
      <w:r w:rsidRPr="00F008F6">
        <w:rPr>
          <w:noProof/>
        </w:rPr>
        <w:t>211</w:t>
      </w:r>
      <w:r w:rsidRPr="00F008F6">
        <w:rPr>
          <w:noProof/>
        </w:rPr>
        <w:fldChar w:fldCharType="end"/>
      </w:r>
    </w:p>
    <w:p w14:paraId="17A7697C" w14:textId="16C5570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96</w:t>
      </w:r>
      <w:r>
        <w:rPr>
          <w:noProof/>
        </w:rPr>
        <w:tab/>
        <w:t>Exempt goods</w:t>
      </w:r>
      <w:r w:rsidRPr="00F008F6">
        <w:rPr>
          <w:noProof/>
        </w:rPr>
        <w:tab/>
      </w:r>
      <w:r w:rsidRPr="00F008F6">
        <w:rPr>
          <w:noProof/>
        </w:rPr>
        <w:fldChar w:fldCharType="begin"/>
      </w:r>
      <w:r w:rsidRPr="00F008F6">
        <w:rPr>
          <w:noProof/>
        </w:rPr>
        <w:instrText xml:space="preserve"> PAGEREF _Toc187135971 \h </w:instrText>
      </w:r>
      <w:r w:rsidRPr="00F008F6">
        <w:rPr>
          <w:noProof/>
        </w:rPr>
      </w:r>
      <w:r w:rsidRPr="00F008F6">
        <w:rPr>
          <w:noProof/>
        </w:rPr>
        <w:fldChar w:fldCharType="separate"/>
      </w:r>
      <w:r w:rsidRPr="00F008F6">
        <w:rPr>
          <w:noProof/>
        </w:rPr>
        <w:t>211</w:t>
      </w:r>
      <w:r w:rsidRPr="00F008F6">
        <w:rPr>
          <w:noProof/>
        </w:rPr>
        <w:fldChar w:fldCharType="end"/>
      </w:r>
    </w:p>
    <w:p w14:paraId="0C8685E1" w14:textId="64E0B6F7"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97</w:t>
      </w:r>
      <w:r>
        <w:rPr>
          <w:noProof/>
        </w:rPr>
        <w:tab/>
        <w:t>Transitional vaping manufacturers—exemption from Part 3</w:t>
      </w:r>
      <w:r>
        <w:rPr>
          <w:noProof/>
        </w:rPr>
        <w:noBreakHyphen/>
        <w:t>3 of the Act</w:t>
      </w:r>
      <w:r w:rsidRPr="00F008F6">
        <w:rPr>
          <w:noProof/>
        </w:rPr>
        <w:tab/>
      </w:r>
      <w:r w:rsidRPr="00F008F6">
        <w:rPr>
          <w:noProof/>
        </w:rPr>
        <w:fldChar w:fldCharType="begin"/>
      </w:r>
      <w:r w:rsidRPr="00F008F6">
        <w:rPr>
          <w:noProof/>
        </w:rPr>
        <w:instrText xml:space="preserve"> PAGEREF _Toc187135972 \h </w:instrText>
      </w:r>
      <w:r w:rsidRPr="00F008F6">
        <w:rPr>
          <w:noProof/>
        </w:rPr>
      </w:r>
      <w:r w:rsidRPr="00F008F6">
        <w:rPr>
          <w:noProof/>
        </w:rPr>
        <w:fldChar w:fldCharType="separate"/>
      </w:r>
      <w:r w:rsidRPr="00F008F6">
        <w:rPr>
          <w:noProof/>
        </w:rPr>
        <w:t>212</w:t>
      </w:r>
      <w:r w:rsidRPr="00F008F6">
        <w:rPr>
          <w:noProof/>
        </w:rPr>
        <w:fldChar w:fldCharType="end"/>
      </w:r>
    </w:p>
    <w:p w14:paraId="1FCAB553" w14:textId="3681C073"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24—Application provision relating to the Therapeutic Goods Amendment (2024 Measures No. 1) Regulations 2024</w:t>
      </w:r>
      <w:r w:rsidRPr="00F008F6">
        <w:rPr>
          <w:b w:val="0"/>
          <w:noProof/>
          <w:sz w:val="18"/>
        </w:rPr>
        <w:tab/>
      </w:r>
      <w:r w:rsidRPr="00F008F6">
        <w:rPr>
          <w:b w:val="0"/>
          <w:noProof/>
          <w:sz w:val="18"/>
        </w:rPr>
        <w:fldChar w:fldCharType="begin"/>
      </w:r>
      <w:r w:rsidRPr="00F008F6">
        <w:rPr>
          <w:b w:val="0"/>
          <w:noProof/>
          <w:sz w:val="18"/>
        </w:rPr>
        <w:instrText xml:space="preserve"> PAGEREF _Toc187135973 \h </w:instrText>
      </w:r>
      <w:r w:rsidRPr="00F008F6">
        <w:rPr>
          <w:b w:val="0"/>
          <w:noProof/>
          <w:sz w:val="18"/>
        </w:rPr>
      </w:r>
      <w:r w:rsidRPr="00F008F6">
        <w:rPr>
          <w:b w:val="0"/>
          <w:noProof/>
          <w:sz w:val="18"/>
        </w:rPr>
        <w:fldChar w:fldCharType="separate"/>
      </w:r>
      <w:r w:rsidRPr="00F008F6">
        <w:rPr>
          <w:b w:val="0"/>
          <w:noProof/>
          <w:sz w:val="18"/>
        </w:rPr>
        <w:t>213</w:t>
      </w:r>
      <w:r w:rsidRPr="00F008F6">
        <w:rPr>
          <w:b w:val="0"/>
          <w:noProof/>
          <w:sz w:val="18"/>
        </w:rPr>
        <w:fldChar w:fldCharType="end"/>
      </w:r>
    </w:p>
    <w:p w14:paraId="3E9AE78D" w14:textId="4B13DC9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98</w:t>
      </w:r>
      <w:r>
        <w:rPr>
          <w:noProof/>
        </w:rPr>
        <w:tab/>
        <w:t>Exempt goods</w:t>
      </w:r>
      <w:r w:rsidRPr="00F008F6">
        <w:rPr>
          <w:noProof/>
        </w:rPr>
        <w:tab/>
      </w:r>
      <w:r w:rsidRPr="00F008F6">
        <w:rPr>
          <w:noProof/>
        </w:rPr>
        <w:fldChar w:fldCharType="begin"/>
      </w:r>
      <w:r w:rsidRPr="00F008F6">
        <w:rPr>
          <w:noProof/>
        </w:rPr>
        <w:instrText xml:space="preserve"> PAGEREF _Toc187135974 \h </w:instrText>
      </w:r>
      <w:r w:rsidRPr="00F008F6">
        <w:rPr>
          <w:noProof/>
        </w:rPr>
      </w:r>
      <w:r w:rsidRPr="00F008F6">
        <w:rPr>
          <w:noProof/>
        </w:rPr>
        <w:fldChar w:fldCharType="separate"/>
      </w:r>
      <w:r w:rsidRPr="00F008F6">
        <w:rPr>
          <w:noProof/>
        </w:rPr>
        <w:t>213</w:t>
      </w:r>
      <w:r w:rsidRPr="00F008F6">
        <w:rPr>
          <w:noProof/>
        </w:rPr>
        <w:fldChar w:fldCharType="end"/>
      </w:r>
    </w:p>
    <w:p w14:paraId="57B1E11E" w14:textId="0A538128"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25—Transitional provisions relating to the Therapeutic Goods Legislation Amendment (2024 Measures No. 2) Regulations 2024</w:t>
      </w:r>
      <w:r w:rsidRPr="00F008F6">
        <w:rPr>
          <w:b w:val="0"/>
          <w:noProof/>
          <w:sz w:val="18"/>
        </w:rPr>
        <w:tab/>
      </w:r>
      <w:r w:rsidRPr="00F008F6">
        <w:rPr>
          <w:b w:val="0"/>
          <w:noProof/>
          <w:sz w:val="18"/>
        </w:rPr>
        <w:fldChar w:fldCharType="begin"/>
      </w:r>
      <w:r w:rsidRPr="00F008F6">
        <w:rPr>
          <w:b w:val="0"/>
          <w:noProof/>
          <w:sz w:val="18"/>
        </w:rPr>
        <w:instrText xml:space="preserve"> PAGEREF _Toc187135975 \h </w:instrText>
      </w:r>
      <w:r w:rsidRPr="00F008F6">
        <w:rPr>
          <w:b w:val="0"/>
          <w:noProof/>
          <w:sz w:val="18"/>
        </w:rPr>
      </w:r>
      <w:r w:rsidRPr="00F008F6">
        <w:rPr>
          <w:b w:val="0"/>
          <w:noProof/>
          <w:sz w:val="18"/>
        </w:rPr>
        <w:fldChar w:fldCharType="separate"/>
      </w:r>
      <w:r w:rsidRPr="00F008F6">
        <w:rPr>
          <w:b w:val="0"/>
          <w:noProof/>
          <w:sz w:val="18"/>
        </w:rPr>
        <w:t>214</w:t>
      </w:r>
      <w:r w:rsidRPr="00F008F6">
        <w:rPr>
          <w:b w:val="0"/>
          <w:noProof/>
          <w:sz w:val="18"/>
        </w:rPr>
        <w:fldChar w:fldCharType="end"/>
      </w:r>
    </w:p>
    <w:p w14:paraId="5E160E05" w14:textId="01D31FA6"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99</w:t>
      </w:r>
      <w:r>
        <w:rPr>
          <w:noProof/>
        </w:rPr>
        <w:tab/>
        <w:t>Definitions</w:t>
      </w:r>
      <w:r w:rsidRPr="00F008F6">
        <w:rPr>
          <w:noProof/>
        </w:rPr>
        <w:tab/>
      </w:r>
      <w:r w:rsidRPr="00F008F6">
        <w:rPr>
          <w:noProof/>
        </w:rPr>
        <w:fldChar w:fldCharType="begin"/>
      </w:r>
      <w:r w:rsidRPr="00F008F6">
        <w:rPr>
          <w:noProof/>
        </w:rPr>
        <w:instrText xml:space="preserve"> PAGEREF _Toc187135976 \h </w:instrText>
      </w:r>
      <w:r w:rsidRPr="00F008F6">
        <w:rPr>
          <w:noProof/>
        </w:rPr>
      </w:r>
      <w:r w:rsidRPr="00F008F6">
        <w:rPr>
          <w:noProof/>
        </w:rPr>
        <w:fldChar w:fldCharType="separate"/>
      </w:r>
      <w:r w:rsidRPr="00F008F6">
        <w:rPr>
          <w:noProof/>
        </w:rPr>
        <w:t>214</w:t>
      </w:r>
      <w:r w:rsidRPr="00F008F6">
        <w:rPr>
          <w:noProof/>
        </w:rPr>
        <w:fldChar w:fldCharType="end"/>
      </w:r>
    </w:p>
    <w:p w14:paraId="0F24B2A8" w14:textId="7AF01551"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100</w:t>
      </w:r>
      <w:r>
        <w:rPr>
          <w:noProof/>
        </w:rPr>
        <w:tab/>
        <w:t>Fee waivers in relation to the Medicines Repurposing Program</w:t>
      </w:r>
      <w:r w:rsidRPr="00F008F6">
        <w:rPr>
          <w:noProof/>
        </w:rPr>
        <w:tab/>
      </w:r>
      <w:r w:rsidRPr="00F008F6">
        <w:rPr>
          <w:noProof/>
        </w:rPr>
        <w:fldChar w:fldCharType="begin"/>
      </w:r>
      <w:r w:rsidRPr="00F008F6">
        <w:rPr>
          <w:noProof/>
        </w:rPr>
        <w:instrText xml:space="preserve"> PAGEREF _Toc187135977 \h </w:instrText>
      </w:r>
      <w:r w:rsidRPr="00F008F6">
        <w:rPr>
          <w:noProof/>
        </w:rPr>
      </w:r>
      <w:r w:rsidRPr="00F008F6">
        <w:rPr>
          <w:noProof/>
        </w:rPr>
        <w:fldChar w:fldCharType="separate"/>
      </w:r>
      <w:r w:rsidRPr="00F008F6">
        <w:rPr>
          <w:noProof/>
        </w:rPr>
        <w:t>214</w:t>
      </w:r>
      <w:r w:rsidRPr="00F008F6">
        <w:rPr>
          <w:noProof/>
        </w:rPr>
        <w:fldChar w:fldCharType="end"/>
      </w:r>
    </w:p>
    <w:p w14:paraId="0DE68C89" w14:textId="1E4F33B0"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101</w:t>
      </w:r>
      <w:r>
        <w:rPr>
          <w:noProof/>
        </w:rPr>
        <w:tab/>
        <w:t>Examination, testing and analysis of goods</w:t>
      </w:r>
      <w:r w:rsidRPr="00F008F6">
        <w:rPr>
          <w:noProof/>
        </w:rPr>
        <w:tab/>
      </w:r>
      <w:r w:rsidRPr="00F008F6">
        <w:rPr>
          <w:noProof/>
        </w:rPr>
        <w:fldChar w:fldCharType="begin"/>
      </w:r>
      <w:r w:rsidRPr="00F008F6">
        <w:rPr>
          <w:noProof/>
        </w:rPr>
        <w:instrText xml:space="preserve"> PAGEREF _Toc187135978 \h </w:instrText>
      </w:r>
      <w:r w:rsidRPr="00F008F6">
        <w:rPr>
          <w:noProof/>
        </w:rPr>
      </w:r>
      <w:r w:rsidRPr="00F008F6">
        <w:rPr>
          <w:noProof/>
        </w:rPr>
        <w:fldChar w:fldCharType="separate"/>
      </w:r>
      <w:r w:rsidRPr="00F008F6">
        <w:rPr>
          <w:noProof/>
        </w:rPr>
        <w:t>214</w:t>
      </w:r>
      <w:r w:rsidRPr="00F008F6">
        <w:rPr>
          <w:noProof/>
        </w:rPr>
        <w:fldChar w:fldCharType="end"/>
      </w:r>
    </w:p>
    <w:p w14:paraId="60AA0B68" w14:textId="18EDAF8D"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102</w:t>
      </w:r>
      <w:r>
        <w:rPr>
          <w:noProof/>
        </w:rPr>
        <w:tab/>
        <w:t>Identity cards</w:t>
      </w:r>
      <w:r w:rsidRPr="00F008F6">
        <w:rPr>
          <w:noProof/>
        </w:rPr>
        <w:tab/>
      </w:r>
      <w:r w:rsidRPr="00F008F6">
        <w:rPr>
          <w:noProof/>
        </w:rPr>
        <w:fldChar w:fldCharType="begin"/>
      </w:r>
      <w:r w:rsidRPr="00F008F6">
        <w:rPr>
          <w:noProof/>
        </w:rPr>
        <w:instrText xml:space="preserve"> PAGEREF _Toc187135979 \h </w:instrText>
      </w:r>
      <w:r w:rsidRPr="00F008F6">
        <w:rPr>
          <w:noProof/>
        </w:rPr>
      </w:r>
      <w:r w:rsidRPr="00F008F6">
        <w:rPr>
          <w:noProof/>
        </w:rPr>
        <w:fldChar w:fldCharType="separate"/>
      </w:r>
      <w:r w:rsidRPr="00F008F6">
        <w:rPr>
          <w:noProof/>
        </w:rPr>
        <w:t>214</w:t>
      </w:r>
      <w:r w:rsidRPr="00F008F6">
        <w:rPr>
          <w:noProof/>
        </w:rPr>
        <w:fldChar w:fldCharType="end"/>
      </w:r>
    </w:p>
    <w:p w14:paraId="768471FD" w14:textId="1AD1E32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103</w:t>
      </w:r>
      <w:r>
        <w:rPr>
          <w:noProof/>
        </w:rPr>
        <w:tab/>
        <w:t>Sunscreen preparations</w:t>
      </w:r>
      <w:r w:rsidRPr="00F008F6">
        <w:rPr>
          <w:noProof/>
        </w:rPr>
        <w:tab/>
      </w:r>
      <w:r w:rsidRPr="00F008F6">
        <w:rPr>
          <w:noProof/>
        </w:rPr>
        <w:fldChar w:fldCharType="begin"/>
      </w:r>
      <w:r w:rsidRPr="00F008F6">
        <w:rPr>
          <w:noProof/>
        </w:rPr>
        <w:instrText xml:space="preserve"> PAGEREF _Toc187135980 \h </w:instrText>
      </w:r>
      <w:r w:rsidRPr="00F008F6">
        <w:rPr>
          <w:noProof/>
        </w:rPr>
      </w:r>
      <w:r w:rsidRPr="00F008F6">
        <w:rPr>
          <w:noProof/>
        </w:rPr>
        <w:fldChar w:fldCharType="separate"/>
      </w:r>
      <w:r w:rsidRPr="00F008F6">
        <w:rPr>
          <w:noProof/>
        </w:rPr>
        <w:t>214</w:t>
      </w:r>
      <w:r w:rsidRPr="00F008F6">
        <w:rPr>
          <w:noProof/>
        </w:rPr>
        <w:fldChar w:fldCharType="end"/>
      </w:r>
    </w:p>
    <w:p w14:paraId="5215F59D" w14:textId="0BD02358"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26—Application and transitional provisions relating to the Therapeutic Goods Legislation Amendment (Vaping Reforms) Regulations 2024</w:t>
      </w:r>
      <w:r w:rsidRPr="00F008F6">
        <w:rPr>
          <w:b w:val="0"/>
          <w:noProof/>
          <w:sz w:val="18"/>
        </w:rPr>
        <w:tab/>
      </w:r>
      <w:r w:rsidRPr="00F008F6">
        <w:rPr>
          <w:b w:val="0"/>
          <w:noProof/>
          <w:sz w:val="18"/>
        </w:rPr>
        <w:fldChar w:fldCharType="begin"/>
      </w:r>
      <w:r w:rsidRPr="00F008F6">
        <w:rPr>
          <w:b w:val="0"/>
          <w:noProof/>
          <w:sz w:val="18"/>
        </w:rPr>
        <w:instrText xml:space="preserve"> PAGEREF _Toc187135981 \h </w:instrText>
      </w:r>
      <w:r w:rsidRPr="00F008F6">
        <w:rPr>
          <w:b w:val="0"/>
          <w:noProof/>
          <w:sz w:val="18"/>
        </w:rPr>
      </w:r>
      <w:r w:rsidRPr="00F008F6">
        <w:rPr>
          <w:b w:val="0"/>
          <w:noProof/>
          <w:sz w:val="18"/>
        </w:rPr>
        <w:fldChar w:fldCharType="separate"/>
      </w:r>
      <w:r w:rsidRPr="00F008F6">
        <w:rPr>
          <w:b w:val="0"/>
          <w:noProof/>
          <w:sz w:val="18"/>
        </w:rPr>
        <w:t>216</w:t>
      </w:r>
      <w:r w:rsidRPr="00F008F6">
        <w:rPr>
          <w:b w:val="0"/>
          <w:noProof/>
          <w:sz w:val="18"/>
        </w:rPr>
        <w:fldChar w:fldCharType="end"/>
      </w:r>
    </w:p>
    <w:p w14:paraId="2F7C67DF" w14:textId="1AED5DA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104</w:t>
      </w:r>
      <w:r>
        <w:rPr>
          <w:noProof/>
        </w:rPr>
        <w:tab/>
        <w:t>Definitions</w:t>
      </w:r>
      <w:r w:rsidRPr="00F008F6">
        <w:rPr>
          <w:noProof/>
        </w:rPr>
        <w:tab/>
      </w:r>
      <w:r w:rsidRPr="00F008F6">
        <w:rPr>
          <w:noProof/>
        </w:rPr>
        <w:fldChar w:fldCharType="begin"/>
      </w:r>
      <w:r w:rsidRPr="00F008F6">
        <w:rPr>
          <w:noProof/>
        </w:rPr>
        <w:instrText xml:space="preserve"> PAGEREF _Toc187135982 \h </w:instrText>
      </w:r>
      <w:r w:rsidRPr="00F008F6">
        <w:rPr>
          <w:noProof/>
        </w:rPr>
      </w:r>
      <w:r w:rsidRPr="00F008F6">
        <w:rPr>
          <w:noProof/>
        </w:rPr>
        <w:fldChar w:fldCharType="separate"/>
      </w:r>
      <w:r w:rsidRPr="00F008F6">
        <w:rPr>
          <w:noProof/>
        </w:rPr>
        <w:t>216</w:t>
      </w:r>
      <w:r w:rsidRPr="00F008F6">
        <w:rPr>
          <w:noProof/>
        </w:rPr>
        <w:fldChar w:fldCharType="end"/>
      </w:r>
    </w:p>
    <w:p w14:paraId="52A995B3" w14:textId="42FD1F59"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105</w:t>
      </w:r>
      <w:r>
        <w:rPr>
          <w:noProof/>
        </w:rPr>
        <w:tab/>
        <w:t>Authorities for therapeutic vaping substances that are not medicines</w:t>
      </w:r>
      <w:r w:rsidRPr="00F008F6">
        <w:rPr>
          <w:noProof/>
        </w:rPr>
        <w:tab/>
      </w:r>
      <w:r w:rsidRPr="00F008F6">
        <w:rPr>
          <w:noProof/>
        </w:rPr>
        <w:fldChar w:fldCharType="begin"/>
      </w:r>
      <w:r w:rsidRPr="00F008F6">
        <w:rPr>
          <w:noProof/>
        </w:rPr>
        <w:instrText xml:space="preserve"> PAGEREF _Toc187135983 \h </w:instrText>
      </w:r>
      <w:r w:rsidRPr="00F008F6">
        <w:rPr>
          <w:noProof/>
        </w:rPr>
      </w:r>
      <w:r w:rsidRPr="00F008F6">
        <w:rPr>
          <w:noProof/>
        </w:rPr>
        <w:fldChar w:fldCharType="separate"/>
      </w:r>
      <w:r w:rsidRPr="00F008F6">
        <w:rPr>
          <w:noProof/>
        </w:rPr>
        <w:t>216</w:t>
      </w:r>
      <w:r w:rsidRPr="00F008F6">
        <w:rPr>
          <w:noProof/>
        </w:rPr>
        <w:fldChar w:fldCharType="end"/>
      </w:r>
    </w:p>
    <w:p w14:paraId="4EE0DD00" w14:textId="718C32CA"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106</w:t>
      </w:r>
      <w:r>
        <w:rPr>
          <w:noProof/>
        </w:rPr>
        <w:tab/>
        <w:t>Therapeutic vaping packs</w:t>
      </w:r>
      <w:r w:rsidRPr="00F008F6">
        <w:rPr>
          <w:noProof/>
        </w:rPr>
        <w:tab/>
      </w:r>
      <w:r w:rsidRPr="00F008F6">
        <w:rPr>
          <w:noProof/>
        </w:rPr>
        <w:fldChar w:fldCharType="begin"/>
      </w:r>
      <w:r w:rsidRPr="00F008F6">
        <w:rPr>
          <w:noProof/>
        </w:rPr>
        <w:instrText xml:space="preserve"> PAGEREF _Toc187135984 \h </w:instrText>
      </w:r>
      <w:r w:rsidRPr="00F008F6">
        <w:rPr>
          <w:noProof/>
        </w:rPr>
      </w:r>
      <w:r w:rsidRPr="00F008F6">
        <w:rPr>
          <w:noProof/>
        </w:rPr>
        <w:fldChar w:fldCharType="separate"/>
      </w:r>
      <w:r w:rsidRPr="00F008F6">
        <w:rPr>
          <w:noProof/>
        </w:rPr>
        <w:t>216</w:t>
      </w:r>
      <w:r w:rsidRPr="00F008F6">
        <w:rPr>
          <w:noProof/>
        </w:rPr>
        <w:fldChar w:fldCharType="end"/>
      </w:r>
    </w:p>
    <w:p w14:paraId="238B3533" w14:textId="5964BE47"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107</w:t>
      </w:r>
      <w:r>
        <w:rPr>
          <w:noProof/>
        </w:rPr>
        <w:tab/>
        <w:t>Exempt goods</w:t>
      </w:r>
      <w:r w:rsidRPr="00F008F6">
        <w:rPr>
          <w:noProof/>
        </w:rPr>
        <w:tab/>
      </w:r>
      <w:r w:rsidRPr="00F008F6">
        <w:rPr>
          <w:noProof/>
        </w:rPr>
        <w:fldChar w:fldCharType="begin"/>
      </w:r>
      <w:r w:rsidRPr="00F008F6">
        <w:rPr>
          <w:noProof/>
        </w:rPr>
        <w:instrText xml:space="preserve"> PAGEREF _Toc187135985 \h </w:instrText>
      </w:r>
      <w:r w:rsidRPr="00F008F6">
        <w:rPr>
          <w:noProof/>
        </w:rPr>
      </w:r>
      <w:r w:rsidRPr="00F008F6">
        <w:rPr>
          <w:noProof/>
        </w:rPr>
        <w:fldChar w:fldCharType="separate"/>
      </w:r>
      <w:r w:rsidRPr="00F008F6">
        <w:rPr>
          <w:noProof/>
        </w:rPr>
        <w:t>216</w:t>
      </w:r>
      <w:r w:rsidRPr="00F008F6">
        <w:rPr>
          <w:noProof/>
        </w:rPr>
        <w:fldChar w:fldCharType="end"/>
      </w:r>
    </w:p>
    <w:p w14:paraId="2E84A418" w14:textId="4152D2C2"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108</w:t>
      </w:r>
      <w:r>
        <w:rPr>
          <w:noProof/>
        </w:rPr>
        <w:tab/>
        <w:t>Transitional vaping goods—exemption from Part 3</w:t>
      </w:r>
      <w:r>
        <w:rPr>
          <w:noProof/>
        </w:rPr>
        <w:noBreakHyphen/>
        <w:t>2 of the Act</w:t>
      </w:r>
      <w:r w:rsidRPr="00F008F6">
        <w:rPr>
          <w:noProof/>
        </w:rPr>
        <w:tab/>
      </w:r>
      <w:r w:rsidRPr="00F008F6">
        <w:rPr>
          <w:noProof/>
        </w:rPr>
        <w:fldChar w:fldCharType="begin"/>
      </w:r>
      <w:r w:rsidRPr="00F008F6">
        <w:rPr>
          <w:noProof/>
        </w:rPr>
        <w:instrText xml:space="preserve"> PAGEREF _Toc187135986 \h </w:instrText>
      </w:r>
      <w:r w:rsidRPr="00F008F6">
        <w:rPr>
          <w:noProof/>
        </w:rPr>
      </w:r>
      <w:r w:rsidRPr="00F008F6">
        <w:rPr>
          <w:noProof/>
        </w:rPr>
        <w:fldChar w:fldCharType="separate"/>
      </w:r>
      <w:r w:rsidRPr="00F008F6">
        <w:rPr>
          <w:noProof/>
        </w:rPr>
        <w:t>216</w:t>
      </w:r>
      <w:r w:rsidRPr="00F008F6">
        <w:rPr>
          <w:noProof/>
        </w:rPr>
        <w:fldChar w:fldCharType="end"/>
      </w:r>
    </w:p>
    <w:p w14:paraId="3197F9E5" w14:textId="77BA40DC"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lastRenderedPageBreak/>
        <w:t>Division 27—Application, transitional and saving provisions relating to the Therapeutic Goods Legislation Amendment (2024 Measures No. 3) Regulations 2024</w:t>
      </w:r>
      <w:r w:rsidRPr="00F008F6">
        <w:rPr>
          <w:b w:val="0"/>
          <w:noProof/>
          <w:sz w:val="18"/>
        </w:rPr>
        <w:tab/>
      </w:r>
      <w:r w:rsidRPr="00F008F6">
        <w:rPr>
          <w:b w:val="0"/>
          <w:noProof/>
          <w:sz w:val="18"/>
        </w:rPr>
        <w:fldChar w:fldCharType="begin"/>
      </w:r>
      <w:r w:rsidRPr="00F008F6">
        <w:rPr>
          <w:b w:val="0"/>
          <w:noProof/>
          <w:sz w:val="18"/>
        </w:rPr>
        <w:instrText xml:space="preserve"> PAGEREF _Toc187135987 \h </w:instrText>
      </w:r>
      <w:r w:rsidRPr="00F008F6">
        <w:rPr>
          <w:b w:val="0"/>
          <w:noProof/>
          <w:sz w:val="18"/>
        </w:rPr>
      </w:r>
      <w:r w:rsidRPr="00F008F6">
        <w:rPr>
          <w:b w:val="0"/>
          <w:noProof/>
          <w:sz w:val="18"/>
        </w:rPr>
        <w:fldChar w:fldCharType="separate"/>
      </w:r>
      <w:r w:rsidRPr="00F008F6">
        <w:rPr>
          <w:b w:val="0"/>
          <w:noProof/>
          <w:sz w:val="18"/>
        </w:rPr>
        <w:t>218</w:t>
      </w:r>
      <w:r w:rsidRPr="00F008F6">
        <w:rPr>
          <w:b w:val="0"/>
          <w:noProof/>
          <w:sz w:val="18"/>
        </w:rPr>
        <w:fldChar w:fldCharType="end"/>
      </w:r>
    </w:p>
    <w:p w14:paraId="2E5AA37B" w14:textId="4D8C88B2"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109</w:t>
      </w:r>
      <w:r>
        <w:rPr>
          <w:noProof/>
        </w:rPr>
        <w:tab/>
        <w:t>Definitions</w:t>
      </w:r>
      <w:r w:rsidRPr="00F008F6">
        <w:rPr>
          <w:noProof/>
        </w:rPr>
        <w:tab/>
      </w:r>
      <w:r w:rsidRPr="00F008F6">
        <w:rPr>
          <w:noProof/>
        </w:rPr>
        <w:fldChar w:fldCharType="begin"/>
      </w:r>
      <w:r w:rsidRPr="00F008F6">
        <w:rPr>
          <w:noProof/>
        </w:rPr>
        <w:instrText xml:space="preserve"> PAGEREF _Toc187135988 \h </w:instrText>
      </w:r>
      <w:r w:rsidRPr="00F008F6">
        <w:rPr>
          <w:noProof/>
        </w:rPr>
      </w:r>
      <w:r w:rsidRPr="00F008F6">
        <w:rPr>
          <w:noProof/>
        </w:rPr>
        <w:fldChar w:fldCharType="separate"/>
      </w:r>
      <w:r w:rsidRPr="00F008F6">
        <w:rPr>
          <w:noProof/>
        </w:rPr>
        <w:t>218</w:t>
      </w:r>
      <w:r w:rsidRPr="00F008F6">
        <w:rPr>
          <w:noProof/>
        </w:rPr>
        <w:fldChar w:fldCharType="end"/>
      </w:r>
    </w:p>
    <w:p w14:paraId="663E5EA1" w14:textId="71B44151"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110</w:t>
      </w:r>
      <w:r>
        <w:rPr>
          <w:noProof/>
        </w:rPr>
        <w:tab/>
        <w:t>Exempt therapeutic goods</w:t>
      </w:r>
      <w:r w:rsidRPr="00F008F6">
        <w:rPr>
          <w:noProof/>
        </w:rPr>
        <w:tab/>
      </w:r>
      <w:r w:rsidRPr="00F008F6">
        <w:rPr>
          <w:noProof/>
        </w:rPr>
        <w:fldChar w:fldCharType="begin"/>
      </w:r>
      <w:r w:rsidRPr="00F008F6">
        <w:rPr>
          <w:noProof/>
        </w:rPr>
        <w:instrText xml:space="preserve"> PAGEREF _Toc187135989 \h </w:instrText>
      </w:r>
      <w:r w:rsidRPr="00F008F6">
        <w:rPr>
          <w:noProof/>
        </w:rPr>
      </w:r>
      <w:r w:rsidRPr="00F008F6">
        <w:rPr>
          <w:noProof/>
        </w:rPr>
        <w:fldChar w:fldCharType="separate"/>
      </w:r>
      <w:r w:rsidRPr="00F008F6">
        <w:rPr>
          <w:noProof/>
        </w:rPr>
        <w:t>218</w:t>
      </w:r>
      <w:r w:rsidRPr="00F008F6">
        <w:rPr>
          <w:noProof/>
        </w:rPr>
        <w:fldChar w:fldCharType="end"/>
      </w:r>
    </w:p>
    <w:p w14:paraId="01C12221" w14:textId="07C6149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111</w:t>
      </w:r>
      <w:r>
        <w:rPr>
          <w:noProof/>
        </w:rPr>
        <w:tab/>
        <w:t>Notices, statements and determinations</w:t>
      </w:r>
      <w:r w:rsidRPr="00F008F6">
        <w:rPr>
          <w:noProof/>
        </w:rPr>
        <w:tab/>
      </w:r>
      <w:r w:rsidRPr="00F008F6">
        <w:rPr>
          <w:noProof/>
        </w:rPr>
        <w:fldChar w:fldCharType="begin"/>
      </w:r>
      <w:r w:rsidRPr="00F008F6">
        <w:rPr>
          <w:noProof/>
        </w:rPr>
        <w:instrText xml:space="preserve"> PAGEREF _Toc187135990 \h </w:instrText>
      </w:r>
      <w:r w:rsidRPr="00F008F6">
        <w:rPr>
          <w:noProof/>
        </w:rPr>
      </w:r>
      <w:r w:rsidRPr="00F008F6">
        <w:rPr>
          <w:noProof/>
        </w:rPr>
        <w:fldChar w:fldCharType="separate"/>
      </w:r>
      <w:r w:rsidRPr="00F008F6">
        <w:rPr>
          <w:noProof/>
        </w:rPr>
        <w:t>218</w:t>
      </w:r>
      <w:r w:rsidRPr="00F008F6">
        <w:rPr>
          <w:noProof/>
        </w:rPr>
        <w:fldChar w:fldCharType="end"/>
      </w:r>
    </w:p>
    <w:p w14:paraId="69470515" w14:textId="4327731A" w:rsidR="00F008F6" w:rsidRDefault="00F008F6" w:rsidP="00EF338C">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1—Part 2 does not apply to members of an Australian branch of one of these bodies</w:t>
      </w:r>
      <w:r w:rsidRPr="00F008F6">
        <w:rPr>
          <w:b w:val="0"/>
          <w:noProof/>
          <w:sz w:val="18"/>
        </w:rPr>
        <w:tab/>
      </w:r>
      <w:r w:rsidRPr="00F008F6">
        <w:rPr>
          <w:b w:val="0"/>
          <w:noProof/>
          <w:sz w:val="18"/>
        </w:rPr>
        <w:fldChar w:fldCharType="begin"/>
      </w:r>
      <w:r w:rsidRPr="00F008F6">
        <w:rPr>
          <w:b w:val="0"/>
          <w:noProof/>
          <w:sz w:val="18"/>
        </w:rPr>
        <w:instrText xml:space="preserve"> PAGEREF _Toc187135991 \h </w:instrText>
      </w:r>
      <w:r w:rsidRPr="00F008F6">
        <w:rPr>
          <w:b w:val="0"/>
          <w:noProof/>
          <w:sz w:val="18"/>
        </w:rPr>
      </w:r>
      <w:r w:rsidRPr="00F008F6">
        <w:rPr>
          <w:b w:val="0"/>
          <w:noProof/>
          <w:sz w:val="18"/>
        </w:rPr>
        <w:fldChar w:fldCharType="separate"/>
      </w:r>
      <w:r w:rsidRPr="00F008F6">
        <w:rPr>
          <w:b w:val="0"/>
          <w:noProof/>
          <w:sz w:val="18"/>
        </w:rPr>
        <w:t>220</w:t>
      </w:r>
      <w:r w:rsidRPr="00F008F6">
        <w:rPr>
          <w:b w:val="0"/>
          <w:noProof/>
          <w:sz w:val="18"/>
        </w:rPr>
        <w:fldChar w:fldCharType="end"/>
      </w:r>
    </w:p>
    <w:p w14:paraId="649AE034" w14:textId="263781D7" w:rsidR="00F008F6" w:rsidRDefault="00F008F6" w:rsidP="00EF338C">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2—Prohibited and required representations</w:t>
      </w:r>
      <w:r w:rsidRPr="00F008F6">
        <w:rPr>
          <w:b w:val="0"/>
          <w:noProof/>
          <w:sz w:val="18"/>
        </w:rPr>
        <w:tab/>
      </w:r>
      <w:r w:rsidRPr="00F008F6">
        <w:rPr>
          <w:b w:val="0"/>
          <w:noProof/>
          <w:sz w:val="18"/>
        </w:rPr>
        <w:fldChar w:fldCharType="begin"/>
      </w:r>
      <w:r w:rsidRPr="00F008F6">
        <w:rPr>
          <w:b w:val="0"/>
          <w:noProof/>
          <w:sz w:val="18"/>
        </w:rPr>
        <w:instrText xml:space="preserve"> PAGEREF _Toc187135992 \h </w:instrText>
      </w:r>
      <w:r w:rsidRPr="00F008F6">
        <w:rPr>
          <w:b w:val="0"/>
          <w:noProof/>
          <w:sz w:val="18"/>
        </w:rPr>
      </w:r>
      <w:r w:rsidRPr="00F008F6">
        <w:rPr>
          <w:b w:val="0"/>
          <w:noProof/>
          <w:sz w:val="18"/>
        </w:rPr>
        <w:fldChar w:fldCharType="separate"/>
      </w:r>
      <w:r w:rsidRPr="00F008F6">
        <w:rPr>
          <w:b w:val="0"/>
          <w:noProof/>
          <w:sz w:val="18"/>
        </w:rPr>
        <w:t>222</w:t>
      </w:r>
      <w:r w:rsidRPr="00F008F6">
        <w:rPr>
          <w:b w:val="0"/>
          <w:noProof/>
          <w:sz w:val="18"/>
        </w:rPr>
        <w:fldChar w:fldCharType="end"/>
      </w:r>
    </w:p>
    <w:p w14:paraId="2498191D" w14:textId="0796691A"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1—Prohibited representations</w:t>
      </w:r>
      <w:r w:rsidRPr="00F008F6">
        <w:rPr>
          <w:b w:val="0"/>
          <w:noProof/>
          <w:sz w:val="18"/>
        </w:rPr>
        <w:tab/>
      </w:r>
      <w:r w:rsidRPr="00F008F6">
        <w:rPr>
          <w:b w:val="0"/>
          <w:noProof/>
          <w:sz w:val="18"/>
        </w:rPr>
        <w:fldChar w:fldCharType="begin"/>
      </w:r>
      <w:r w:rsidRPr="00F008F6">
        <w:rPr>
          <w:b w:val="0"/>
          <w:noProof/>
          <w:sz w:val="18"/>
        </w:rPr>
        <w:instrText xml:space="preserve"> PAGEREF _Toc187135993 \h </w:instrText>
      </w:r>
      <w:r w:rsidRPr="00F008F6">
        <w:rPr>
          <w:b w:val="0"/>
          <w:noProof/>
          <w:sz w:val="18"/>
        </w:rPr>
      </w:r>
      <w:r w:rsidRPr="00F008F6">
        <w:rPr>
          <w:b w:val="0"/>
          <w:noProof/>
          <w:sz w:val="18"/>
        </w:rPr>
        <w:fldChar w:fldCharType="separate"/>
      </w:r>
      <w:r w:rsidRPr="00F008F6">
        <w:rPr>
          <w:b w:val="0"/>
          <w:noProof/>
          <w:sz w:val="18"/>
        </w:rPr>
        <w:t>222</w:t>
      </w:r>
      <w:r w:rsidRPr="00F008F6">
        <w:rPr>
          <w:b w:val="0"/>
          <w:noProof/>
          <w:sz w:val="18"/>
        </w:rPr>
        <w:fldChar w:fldCharType="end"/>
      </w:r>
    </w:p>
    <w:p w14:paraId="7A08286D" w14:textId="64D1A14D"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2—Required representations</w:t>
      </w:r>
      <w:r w:rsidRPr="00F008F6">
        <w:rPr>
          <w:b w:val="0"/>
          <w:noProof/>
          <w:sz w:val="18"/>
        </w:rPr>
        <w:tab/>
      </w:r>
      <w:r w:rsidRPr="00F008F6">
        <w:rPr>
          <w:b w:val="0"/>
          <w:noProof/>
          <w:sz w:val="18"/>
        </w:rPr>
        <w:fldChar w:fldCharType="begin"/>
      </w:r>
      <w:r w:rsidRPr="00F008F6">
        <w:rPr>
          <w:b w:val="0"/>
          <w:noProof/>
          <w:sz w:val="18"/>
        </w:rPr>
        <w:instrText xml:space="preserve"> PAGEREF _Toc187135994 \h </w:instrText>
      </w:r>
      <w:r w:rsidRPr="00F008F6">
        <w:rPr>
          <w:b w:val="0"/>
          <w:noProof/>
          <w:sz w:val="18"/>
        </w:rPr>
      </w:r>
      <w:r w:rsidRPr="00F008F6">
        <w:rPr>
          <w:b w:val="0"/>
          <w:noProof/>
          <w:sz w:val="18"/>
        </w:rPr>
        <w:fldChar w:fldCharType="separate"/>
      </w:r>
      <w:r w:rsidRPr="00F008F6">
        <w:rPr>
          <w:b w:val="0"/>
          <w:noProof/>
          <w:sz w:val="18"/>
        </w:rPr>
        <w:t>224</w:t>
      </w:r>
      <w:r w:rsidRPr="00F008F6">
        <w:rPr>
          <w:b w:val="0"/>
          <w:noProof/>
          <w:sz w:val="18"/>
        </w:rPr>
        <w:fldChar w:fldCharType="end"/>
      </w:r>
    </w:p>
    <w:p w14:paraId="2603D4F6" w14:textId="08535DC8"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3—Vitamins referred to in Item 3 of Part 1 of this Schedule</w:t>
      </w:r>
      <w:r w:rsidRPr="00F008F6">
        <w:rPr>
          <w:b w:val="0"/>
          <w:noProof/>
          <w:sz w:val="18"/>
        </w:rPr>
        <w:tab/>
      </w:r>
      <w:r w:rsidRPr="00F008F6">
        <w:rPr>
          <w:b w:val="0"/>
          <w:noProof/>
          <w:sz w:val="18"/>
        </w:rPr>
        <w:fldChar w:fldCharType="begin"/>
      </w:r>
      <w:r w:rsidRPr="00F008F6">
        <w:rPr>
          <w:b w:val="0"/>
          <w:noProof/>
          <w:sz w:val="18"/>
        </w:rPr>
        <w:instrText xml:space="preserve"> PAGEREF _Toc187135995 \h </w:instrText>
      </w:r>
      <w:r w:rsidRPr="00F008F6">
        <w:rPr>
          <w:b w:val="0"/>
          <w:noProof/>
          <w:sz w:val="18"/>
        </w:rPr>
      </w:r>
      <w:r w:rsidRPr="00F008F6">
        <w:rPr>
          <w:b w:val="0"/>
          <w:noProof/>
          <w:sz w:val="18"/>
        </w:rPr>
        <w:fldChar w:fldCharType="separate"/>
      </w:r>
      <w:r w:rsidRPr="00F008F6">
        <w:rPr>
          <w:b w:val="0"/>
          <w:noProof/>
          <w:sz w:val="18"/>
        </w:rPr>
        <w:t>225</w:t>
      </w:r>
      <w:r w:rsidRPr="00F008F6">
        <w:rPr>
          <w:b w:val="0"/>
          <w:noProof/>
          <w:sz w:val="18"/>
        </w:rPr>
        <w:fldChar w:fldCharType="end"/>
      </w:r>
    </w:p>
    <w:p w14:paraId="7C0DA27A" w14:textId="00EADD6B" w:rsidR="00F008F6" w:rsidRDefault="00F008F6" w:rsidP="00EF338C">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3—Therapeutic goods required to be included in the part of the Register for goods known as registered goods or as provisionally registered goods</w:t>
      </w:r>
      <w:r w:rsidRPr="00F008F6">
        <w:rPr>
          <w:b w:val="0"/>
          <w:noProof/>
          <w:sz w:val="18"/>
        </w:rPr>
        <w:tab/>
      </w:r>
      <w:r w:rsidRPr="00F008F6">
        <w:rPr>
          <w:b w:val="0"/>
          <w:noProof/>
          <w:sz w:val="18"/>
        </w:rPr>
        <w:fldChar w:fldCharType="begin"/>
      </w:r>
      <w:r w:rsidRPr="00F008F6">
        <w:rPr>
          <w:b w:val="0"/>
          <w:noProof/>
          <w:sz w:val="18"/>
        </w:rPr>
        <w:instrText xml:space="preserve"> PAGEREF _Toc187135996 \h </w:instrText>
      </w:r>
      <w:r w:rsidRPr="00F008F6">
        <w:rPr>
          <w:b w:val="0"/>
          <w:noProof/>
          <w:sz w:val="18"/>
        </w:rPr>
      </w:r>
      <w:r w:rsidRPr="00F008F6">
        <w:rPr>
          <w:b w:val="0"/>
          <w:noProof/>
          <w:sz w:val="18"/>
        </w:rPr>
        <w:fldChar w:fldCharType="separate"/>
      </w:r>
      <w:r w:rsidRPr="00F008F6">
        <w:rPr>
          <w:b w:val="0"/>
          <w:noProof/>
          <w:sz w:val="18"/>
        </w:rPr>
        <w:t>226</w:t>
      </w:r>
      <w:r w:rsidRPr="00F008F6">
        <w:rPr>
          <w:b w:val="0"/>
          <w:noProof/>
          <w:sz w:val="18"/>
        </w:rPr>
        <w:fldChar w:fldCharType="end"/>
      </w:r>
    </w:p>
    <w:p w14:paraId="321F1C9B" w14:textId="65C8E6A6"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1—Medicines</w:t>
      </w:r>
      <w:r w:rsidRPr="00F008F6">
        <w:rPr>
          <w:b w:val="0"/>
          <w:noProof/>
          <w:sz w:val="18"/>
        </w:rPr>
        <w:tab/>
      </w:r>
      <w:r w:rsidRPr="00F008F6">
        <w:rPr>
          <w:b w:val="0"/>
          <w:noProof/>
          <w:sz w:val="18"/>
        </w:rPr>
        <w:fldChar w:fldCharType="begin"/>
      </w:r>
      <w:r w:rsidRPr="00F008F6">
        <w:rPr>
          <w:b w:val="0"/>
          <w:noProof/>
          <w:sz w:val="18"/>
        </w:rPr>
        <w:instrText xml:space="preserve"> PAGEREF _Toc187135997 \h </w:instrText>
      </w:r>
      <w:r w:rsidRPr="00F008F6">
        <w:rPr>
          <w:b w:val="0"/>
          <w:noProof/>
          <w:sz w:val="18"/>
        </w:rPr>
      </w:r>
      <w:r w:rsidRPr="00F008F6">
        <w:rPr>
          <w:b w:val="0"/>
          <w:noProof/>
          <w:sz w:val="18"/>
        </w:rPr>
        <w:fldChar w:fldCharType="separate"/>
      </w:r>
      <w:r w:rsidRPr="00F008F6">
        <w:rPr>
          <w:b w:val="0"/>
          <w:noProof/>
          <w:sz w:val="18"/>
        </w:rPr>
        <w:t>226</w:t>
      </w:r>
      <w:r w:rsidRPr="00F008F6">
        <w:rPr>
          <w:b w:val="0"/>
          <w:noProof/>
          <w:sz w:val="18"/>
        </w:rPr>
        <w:fldChar w:fldCharType="end"/>
      </w:r>
    </w:p>
    <w:p w14:paraId="6E992A91" w14:textId="0E26B3C7"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2—Therapeutic goods that are not medicines</w:t>
      </w:r>
      <w:r w:rsidRPr="00F008F6">
        <w:rPr>
          <w:b w:val="0"/>
          <w:noProof/>
          <w:sz w:val="18"/>
        </w:rPr>
        <w:tab/>
      </w:r>
      <w:r w:rsidRPr="00F008F6">
        <w:rPr>
          <w:b w:val="0"/>
          <w:noProof/>
          <w:sz w:val="18"/>
        </w:rPr>
        <w:fldChar w:fldCharType="begin"/>
      </w:r>
      <w:r w:rsidRPr="00F008F6">
        <w:rPr>
          <w:b w:val="0"/>
          <w:noProof/>
          <w:sz w:val="18"/>
        </w:rPr>
        <w:instrText xml:space="preserve"> PAGEREF _Toc187135998 \h </w:instrText>
      </w:r>
      <w:r w:rsidRPr="00F008F6">
        <w:rPr>
          <w:b w:val="0"/>
          <w:noProof/>
          <w:sz w:val="18"/>
        </w:rPr>
      </w:r>
      <w:r w:rsidRPr="00F008F6">
        <w:rPr>
          <w:b w:val="0"/>
          <w:noProof/>
          <w:sz w:val="18"/>
        </w:rPr>
        <w:fldChar w:fldCharType="separate"/>
      </w:r>
      <w:r w:rsidRPr="00F008F6">
        <w:rPr>
          <w:b w:val="0"/>
          <w:noProof/>
          <w:sz w:val="18"/>
        </w:rPr>
        <w:t>227</w:t>
      </w:r>
      <w:r w:rsidRPr="00F008F6">
        <w:rPr>
          <w:b w:val="0"/>
          <w:noProof/>
          <w:sz w:val="18"/>
        </w:rPr>
        <w:fldChar w:fldCharType="end"/>
      </w:r>
    </w:p>
    <w:p w14:paraId="0502E8BA" w14:textId="205F93CB"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3—Therapeutic goods attracting no fee under Division 1 or 2 of Part 3</w:t>
      </w:r>
      <w:r>
        <w:rPr>
          <w:noProof/>
        </w:rPr>
        <w:noBreakHyphen/>
        <w:t>2 of the Act</w:t>
      </w:r>
      <w:r w:rsidRPr="00F008F6">
        <w:rPr>
          <w:b w:val="0"/>
          <w:noProof/>
          <w:sz w:val="18"/>
        </w:rPr>
        <w:tab/>
      </w:r>
      <w:r w:rsidRPr="00F008F6">
        <w:rPr>
          <w:b w:val="0"/>
          <w:noProof/>
          <w:sz w:val="18"/>
        </w:rPr>
        <w:fldChar w:fldCharType="begin"/>
      </w:r>
      <w:r w:rsidRPr="00F008F6">
        <w:rPr>
          <w:b w:val="0"/>
          <w:noProof/>
          <w:sz w:val="18"/>
        </w:rPr>
        <w:instrText xml:space="preserve"> PAGEREF _Toc187135999 \h </w:instrText>
      </w:r>
      <w:r w:rsidRPr="00F008F6">
        <w:rPr>
          <w:b w:val="0"/>
          <w:noProof/>
          <w:sz w:val="18"/>
        </w:rPr>
      </w:r>
      <w:r w:rsidRPr="00F008F6">
        <w:rPr>
          <w:b w:val="0"/>
          <w:noProof/>
          <w:sz w:val="18"/>
        </w:rPr>
        <w:fldChar w:fldCharType="separate"/>
      </w:r>
      <w:r w:rsidRPr="00F008F6">
        <w:rPr>
          <w:b w:val="0"/>
          <w:noProof/>
          <w:sz w:val="18"/>
        </w:rPr>
        <w:t>228</w:t>
      </w:r>
      <w:r w:rsidRPr="00F008F6">
        <w:rPr>
          <w:b w:val="0"/>
          <w:noProof/>
          <w:sz w:val="18"/>
        </w:rPr>
        <w:fldChar w:fldCharType="end"/>
      </w:r>
    </w:p>
    <w:p w14:paraId="5BA6D859" w14:textId="211BB393" w:rsidR="00F008F6" w:rsidRDefault="00F008F6" w:rsidP="00EF338C">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4—Therapeutic goods required to be included in the part of the Register for listed goods</w:t>
      </w:r>
      <w:r w:rsidRPr="00F008F6">
        <w:rPr>
          <w:b w:val="0"/>
          <w:noProof/>
          <w:sz w:val="18"/>
        </w:rPr>
        <w:tab/>
      </w:r>
      <w:r w:rsidRPr="00F008F6">
        <w:rPr>
          <w:b w:val="0"/>
          <w:noProof/>
          <w:sz w:val="18"/>
        </w:rPr>
        <w:fldChar w:fldCharType="begin"/>
      </w:r>
      <w:r w:rsidRPr="00F008F6">
        <w:rPr>
          <w:b w:val="0"/>
          <w:noProof/>
          <w:sz w:val="18"/>
        </w:rPr>
        <w:instrText xml:space="preserve"> PAGEREF _Toc187136000 \h </w:instrText>
      </w:r>
      <w:r w:rsidRPr="00F008F6">
        <w:rPr>
          <w:b w:val="0"/>
          <w:noProof/>
          <w:sz w:val="18"/>
        </w:rPr>
      </w:r>
      <w:r w:rsidRPr="00F008F6">
        <w:rPr>
          <w:b w:val="0"/>
          <w:noProof/>
          <w:sz w:val="18"/>
        </w:rPr>
        <w:fldChar w:fldCharType="separate"/>
      </w:r>
      <w:r w:rsidRPr="00F008F6">
        <w:rPr>
          <w:b w:val="0"/>
          <w:noProof/>
          <w:sz w:val="18"/>
        </w:rPr>
        <w:t>229</w:t>
      </w:r>
      <w:r w:rsidRPr="00F008F6">
        <w:rPr>
          <w:b w:val="0"/>
          <w:noProof/>
          <w:sz w:val="18"/>
        </w:rPr>
        <w:fldChar w:fldCharType="end"/>
      </w:r>
    </w:p>
    <w:p w14:paraId="2AC6B1B0" w14:textId="124F9C80" w:rsidR="00F008F6" w:rsidRDefault="00F008F6" w:rsidP="00EF338C">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5—Therapeutic goods exempt from the operation of Parts 3</w:t>
      </w:r>
      <w:r>
        <w:rPr>
          <w:noProof/>
        </w:rPr>
        <w:noBreakHyphen/>
        <w:t>2 and 3</w:t>
      </w:r>
      <w:r>
        <w:rPr>
          <w:noProof/>
        </w:rPr>
        <w:noBreakHyphen/>
        <w:t>2A of the Act</w:t>
      </w:r>
      <w:r w:rsidRPr="00F008F6">
        <w:rPr>
          <w:b w:val="0"/>
          <w:noProof/>
          <w:sz w:val="18"/>
        </w:rPr>
        <w:tab/>
      </w:r>
      <w:r w:rsidRPr="00F008F6">
        <w:rPr>
          <w:b w:val="0"/>
          <w:noProof/>
          <w:sz w:val="18"/>
        </w:rPr>
        <w:fldChar w:fldCharType="begin"/>
      </w:r>
      <w:r w:rsidRPr="00F008F6">
        <w:rPr>
          <w:b w:val="0"/>
          <w:noProof/>
          <w:sz w:val="18"/>
        </w:rPr>
        <w:instrText xml:space="preserve"> PAGEREF _Toc187136001 \h </w:instrText>
      </w:r>
      <w:r w:rsidRPr="00F008F6">
        <w:rPr>
          <w:b w:val="0"/>
          <w:noProof/>
          <w:sz w:val="18"/>
        </w:rPr>
      </w:r>
      <w:r w:rsidRPr="00F008F6">
        <w:rPr>
          <w:b w:val="0"/>
          <w:noProof/>
          <w:sz w:val="18"/>
        </w:rPr>
        <w:fldChar w:fldCharType="separate"/>
      </w:r>
      <w:r w:rsidRPr="00F008F6">
        <w:rPr>
          <w:b w:val="0"/>
          <w:noProof/>
          <w:sz w:val="18"/>
        </w:rPr>
        <w:t>232</w:t>
      </w:r>
      <w:r w:rsidRPr="00F008F6">
        <w:rPr>
          <w:b w:val="0"/>
          <w:noProof/>
          <w:sz w:val="18"/>
        </w:rPr>
        <w:fldChar w:fldCharType="end"/>
      </w:r>
    </w:p>
    <w:p w14:paraId="239B813C" w14:textId="234C87E2" w:rsidR="00F008F6" w:rsidRDefault="00F008F6" w:rsidP="00EF338C">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5A—Therapeutic goods exempt from operation of Parts 3</w:t>
      </w:r>
      <w:r>
        <w:rPr>
          <w:noProof/>
        </w:rPr>
        <w:noBreakHyphen/>
        <w:t>2 and 3</w:t>
      </w:r>
      <w:r>
        <w:rPr>
          <w:noProof/>
        </w:rPr>
        <w:noBreakHyphen/>
        <w:t>2A of Act subject to conditions</w:t>
      </w:r>
      <w:r w:rsidRPr="00F008F6">
        <w:rPr>
          <w:b w:val="0"/>
          <w:noProof/>
          <w:sz w:val="18"/>
        </w:rPr>
        <w:tab/>
      </w:r>
      <w:r w:rsidRPr="00F008F6">
        <w:rPr>
          <w:b w:val="0"/>
          <w:noProof/>
          <w:sz w:val="18"/>
        </w:rPr>
        <w:fldChar w:fldCharType="begin"/>
      </w:r>
      <w:r w:rsidRPr="00F008F6">
        <w:rPr>
          <w:b w:val="0"/>
          <w:noProof/>
          <w:sz w:val="18"/>
        </w:rPr>
        <w:instrText xml:space="preserve"> PAGEREF _Toc187136002 \h </w:instrText>
      </w:r>
      <w:r w:rsidRPr="00F008F6">
        <w:rPr>
          <w:b w:val="0"/>
          <w:noProof/>
          <w:sz w:val="18"/>
        </w:rPr>
      </w:r>
      <w:r w:rsidRPr="00F008F6">
        <w:rPr>
          <w:b w:val="0"/>
          <w:noProof/>
          <w:sz w:val="18"/>
        </w:rPr>
        <w:fldChar w:fldCharType="separate"/>
      </w:r>
      <w:r w:rsidRPr="00F008F6">
        <w:rPr>
          <w:b w:val="0"/>
          <w:noProof/>
          <w:sz w:val="18"/>
        </w:rPr>
        <w:t>236</w:t>
      </w:r>
      <w:r w:rsidRPr="00F008F6">
        <w:rPr>
          <w:b w:val="0"/>
          <w:noProof/>
          <w:sz w:val="18"/>
        </w:rPr>
        <w:fldChar w:fldCharType="end"/>
      </w:r>
    </w:p>
    <w:p w14:paraId="1FB99B8A" w14:textId="5CB11AA1" w:rsidR="00F008F6" w:rsidRDefault="00F008F6" w:rsidP="00EF338C">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5B—Disposal of unused emergency goods and unused emergency biologicals</w:t>
      </w:r>
      <w:r w:rsidRPr="00F008F6">
        <w:rPr>
          <w:b w:val="0"/>
          <w:noProof/>
          <w:sz w:val="18"/>
        </w:rPr>
        <w:tab/>
      </w:r>
      <w:r w:rsidRPr="00F008F6">
        <w:rPr>
          <w:b w:val="0"/>
          <w:noProof/>
          <w:sz w:val="18"/>
        </w:rPr>
        <w:fldChar w:fldCharType="begin"/>
      </w:r>
      <w:r w:rsidRPr="00F008F6">
        <w:rPr>
          <w:b w:val="0"/>
          <w:noProof/>
          <w:sz w:val="18"/>
        </w:rPr>
        <w:instrText xml:space="preserve"> PAGEREF _Toc187136003 \h </w:instrText>
      </w:r>
      <w:r w:rsidRPr="00F008F6">
        <w:rPr>
          <w:b w:val="0"/>
          <w:noProof/>
          <w:sz w:val="18"/>
        </w:rPr>
      </w:r>
      <w:r w:rsidRPr="00F008F6">
        <w:rPr>
          <w:b w:val="0"/>
          <w:noProof/>
          <w:sz w:val="18"/>
        </w:rPr>
        <w:fldChar w:fldCharType="separate"/>
      </w:r>
      <w:r w:rsidRPr="00F008F6">
        <w:rPr>
          <w:b w:val="0"/>
          <w:noProof/>
          <w:sz w:val="18"/>
        </w:rPr>
        <w:t>253</w:t>
      </w:r>
      <w:r w:rsidRPr="00F008F6">
        <w:rPr>
          <w:b w:val="0"/>
          <w:noProof/>
          <w:sz w:val="18"/>
        </w:rPr>
        <w:fldChar w:fldCharType="end"/>
      </w:r>
    </w:p>
    <w:p w14:paraId="2E90AE36" w14:textId="26D9D2E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w:t>
      </w:r>
      <w:r>
        <w:rPr>
          <w:noProof/>
        </w:rPr>
        <w:tab/>
        <w:t>Early end of exemption—notice of goods held</w:t>
      </w:r>
      <w:r w:rsidRPr="00F008F6">
        <w:rPr>
          <w:noProof/>
        </w:rPr>
        <w:tab/>
      </w:r>
      <w:r w:rsidRPr="00F008F6">
        <w:rPr>
          <w:noProof/>
        </w:rPr>
        <w:fldChar w:fldCharType="begin"/>
      </w:r>
      <w:r w:rsidRPr="00F008F6">
        <w:rPr>
          <w:noProof/>
        </w:rPr>
        <w:instrText xml:space="preserve"> PAGEREF _Toc187136004 \h </w:instrText>
      </w:r>
      <w:r w:rsidRPr="00F008F6">
        <w:rPr>
          <w:noProof/>
        </w:rPr>
      </w:r>
      <w:r w:rsidRPr="00F008F6">
        <w:rPr>
          <w:noProof/>
        </w:rPr>
        <w:fldChar w:fldCharType="separate"/>
      </w:r>
      <w:r w:rsidRPr="00F008F6">
        <w:rPr>
          <w:noProof/>
        </w:rPr>
        <w:t>253</w:t>
      </w:r>
      <w:r w:rsidRPr="00F008F6">
        <w:rPr>
          <w:noProof/>
        </w:rPr>
        <w:fldChar w:fldCharType="end"/>
      </w:r>
    </w:p>
    <w:p w14:paraId="7F78267B" w14:textId="770D8ED4"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1A</w:t>
      </w:r>
      <w:r>
        <w:rPr>
          <w:noProof/>
        </w:rPr>
        <w:tab/>
        <w:t>Early cessation of exemption—notice of biologicals held</w:t>
      </w:r>
      <w:r w:rsidRPr="00F008F6">
        <w:rPr>
          <w:noProof/>
        </w:rPr>
        <w:tab/>
      </w:r>
      <w:r w:rsidRPr="00F008F6">
        <w:rPr>
          <w:noProof/>
        </w:rPr>
        <w:fldChar w:fldCharType="begin"/>
      </w:r>
      <w:r w:rsidRPr="00F008F6">
        <w:rPr>
          <w:noProof/>
        </w:rPr>
        <w:instrText xml:space="preserve"> PAGEREF _Toc187136005 \h </w:instrText>
      </w:r>
      <w:r w:rsidRPr="00F008F6">
        <w:rPr>
          <w:noProof/>
        </w:rPr>
      </w:r>
      <w:r w:rsidRPr="00F008F6">
        <w:rPr>
          <w:noProof/>
        </w:rPr>
        <w:fldChar w:fldCharType="separate"/>
      </w:r>
      <w:r w:rsidRPr="00F008F6">
        <w:rPr>
          <w:noProof/>
        </w:rPr>
        <w:t>253</w:t>
      </w:r>
      <w:r w:rsidRPr="00F008F6">
        <w:rPr>
          <w:noProof/>
        </w:rPr>
        <w:fldChar w:fldCharType="end"/>
      </w:r>
    </w:p>
    <w:p w14:paraId="3F6926DB" w14:textId="0E89D43A"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2</w:t>
      </w:r>
      <w:r>
        <w:rPr>
          <w:noProof/>
        </w:rPr>
        <w:tab/>
        <w:t>Expiration of period of exemption—notice of goods held</w:t>
      </w:r>
      <w:r w:rsidRPr="00F008F6">
        <w:rPr>
          <w:noProof/>
        </w:rPr>
        <w:tab/>
      </w:r>
      <w:r w:rsidRPr="00F008F6">
        <w:rPr>
          <w:noProof/>
        </w:rPr>
        <w:fldChar w:fldCharType="begin"/>
      </w:r>
      <w:r w:rsidRPr="00F008F6">
        <w:rPr>
          <w:noProof/>
        </w:rPr>
        <w:instrText xml:space="preserve"> PAGEREF _Toc187136006 \h </w:instrText>
      </w:r>
      <w:r w:rsidRPr="00F008F6">
        <w:rPr>
          <w:noProof/>
        </w:rPr>
      </w:r>
      <w:r w:rsidRPr="00F008F6">
        <w:rPr>
          <w:noProof/>
        </w:rPr>
        <w:fldChar w:fldCharType="separate"/>
      </w:r>
      <w:r w:rsidRPr="00F008F6">
        <w:rPr>
          <w:noProof/>
        </w:rPr>
        <w:t>253</w:t>
      </w:r>
      <w:r w:rsidRPr="00F008F6">
        <w:rPr>
          <w:noProof/>
        </w:rPr>
        <w:fldChar w:fldCharType="end"/>
      </w:r>
    </w:p>
    <w:p w14:paraId="4004883C" w14:textId="7815A209"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2A</w:t>
      </w:r>
      <w:r>
        <w:rPr>
          <w:noProof/>
        </w:rPr>
        <w:tab/>
        <w:t>Expiration of period of exemption—notice of biologicals held</w:t>
      </w:r>
      <w:r w:rsidRPr="00F008F6">
        <w:rPr>
          <w:noProof/>
        </w:rPr>
        <w:tab/>
      </w:r>
      <w:r w:rsidRPr="00F008F6">
        <w:rPr>
          <w:noProof/>
        </w:rPr>
        <w:fldChar w:fldCharType="begin"/>
      </w:r>
      <w:r w:rsidRPr="00F008F6">
        <w:rPr>
          <w:noProof/>
        </w:rPr>
        <w:instrText xml:space="preserve"> PAGEREF _Toc187136007 \h </w:instrText>
      </w:r>
      <w:r w:rsidRPr="00F008F6">
        <w:rPr>
          <w:noProof/>
        </w:rPr>
      </w:r>
      <w:r w:rsidRPr="00F008F6">
        <w:rPr>
          <w:noProof/>
        </w:rPr>
        <w:fldChar w:fldCharType="separate"/>
      </w:r>
      <w:r w:rsidRPr="00F008F6">
        <w:rPr>
          <w:noProof/>
        </w:rPr>
        <w:t>254</w:t>
      </w:r>
      <w:r w:rsidRPr="00F008F6">
        <w:rPr>
          <w:noProof/>
        </w:rPr>
        <w:fldChar w:fldCharType="end"/>
      </w:r>
    </w:p>
    <w:p w14:paraId="08EB3620" w14:textId="2DFC735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w:t>
      </w:r>
      <w:r>
        <w:rPr>
          <w:noProof/>
        </w:rPr>
        <w:tab/>
        <w:t>Storage and disposal of unused emergency goods and unused emergency biologicals</w:t>
      </w:r>
      <w:r w:rsidRPr="00F008F6">
        <w:rPr>
          <w:noProof/>
        </w:rPr>
        <w:tab/>
      </w:r>
      <w:r w:rsidRPr="00F008F6">
        <w:rPr>
          <w:noProof/>
        </w:rPr>
        <w:fldChar w:fldCharType="begin"/>
      </w:r>
      <w:r w:rsidRPr="00F008F6">
        <w:rPr>
          <w:noProof/>
        </w:rPr>
        <w:instrText xml:space="preserve"> PAGEREF _Toc187136008 \h </w:instrText>
      </w:r>
      <w:r w:rsidRPr="00F008F6">
        <w:rPr>
          <w:noProof/>
        </w:rPr>
      </w:r>
      <w:r w:rsidRPr="00F008F6">
        <w:rPr>
          <w:noProof/>
        </w:rPr>
        <w:fldChar w:fldCharType="separate"/>
      </w:r>
      <w:r w:rsidRPr="00F008F6">
        <w:rPr>
          <w:noProof/>
        </w:rPr>
        <w:t>254</w:t>
      </w:r>
      <w:r w:rsidRPr="00F008F6">
        <w:rPr>
          <w:noProof/>
        </w:rPr>
        <w:fldChar w:fldCharType="end"/>
      </w:r>
    </w:p>
    <w:p w14:paraId="42881250" w14:textId="0600CE1C"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w:t>
      </w:r>
      <w:r>
        <w:rPr>
          <w:noProof/>
        </w:rPr>
        <w:tab/>
        <w:t>Direction for disposal of unused emergency goods and unused emergency biologicals</w:t>
      </w:r>
      <w:r w:rsidRPr="00F008F6">
        <w:rPr>
          <w:noProof/>
        </w:rPr>
        <w:tab/>
      </w:r>
      <w:r w:rsidRPr="00F008F6">
        <w:rPr>
          <w:noProof/>
        </w:rPr>
        <w:fldChar w:fldCharType="begin"/>
      </w:r>
      <w:r w:rsidRPr="00F008F6">
        <w:rPr>
          <w:noProof/>
        </w:rPr>
        <w:instrText xml:space="preserve"> PAGEREF _Toc187136009 \h </w:instrText>
      </w:r>
      <w:r w:rsidRPr="00F008F6">
        <w:rPr>
          <w:noProof/>
        </w:rPr>
      </w:r>
      <w:r w:rsidRPr="00F008F6">
        <w:rPr>
          <w:noProof/>
        </w:rPr>
        <w:fldChar w:fldCharType="separate"/>
      </w:r>
      <w:r w:rsidRPr="00F008F6">
        <w:rPr>
          <w:noProof/>
        </w:rPr>
        <w:t>254</w:t>
      </w:r>
      <w:r w:rsidRPr="00F008F6">
        <w:rPr>
          <w:noProof/>
        </w:rPr>
        <w:fldChar w:fldCharType="end"/>
      </w:r>
    </w:p>
    <w:p w14:paraId="793352BD" w14:textId="7354DD18"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5</w:t>
      </w:r>
      <w:r>
        <w:rPr>
          <w:noProof/>
        </w:rPr>
        <w:tab/>
        <w:t>Relocation of unused emergency goods and unused emergency biologicals</w:t>
      </w:r>
      <w:r w:rsidRPr="00F008F6">
        <w:rPr>
          <w:noProof/>
        </w:rPr>
        <w:tab/>
      </w:r>
      <w:r w:rsidRPr="00F008F6">
        <w:rPr>
          <w:noProof/>
        </w:rPr>
        <w:fldChar w:fldCharType="begin"/>
      </w:r>
      <w:r w:rsidRPr="00F008F6">
        <w:rPr>
          <w:noProof/>
        </w:rPr>
        <w:instrText xml:space="preserve"> PAGEREF _Toc187136010 \h </w:instrText>
      </w:r>
      <w:r w:rsidRPr="00F008F6">
        <w:rPr>
          <w:noProof/>
        </w:rPr>
      </w:r>
      <w:r w:rsidRPr="00F008F6">
        <w:rPr>
          <w:noProof/>
        </w:rPr>
        <w:fldChar w:fldCharType="separate"/>
      </w:r>
      <w:r w:rsidRPr="00F008F6">
        <w:rPr>
          <w:noProof/>
        </w:rPr>
        <w:t>255</w:t>
      </w:r>
      <w:r w:rsidRPr="00F008F6">
        <w:rPr>
          <w:noProof/>
        </w:rPr>
        <w:fldChar w:fldCharType="end"/>
      </w:r>
    </w:p>
    <w:p w14:paraId="40FA0808" w14:textId="7D38FBF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6</w:t>
      </w:r>
      <w:r>
        <w:rPr>
          <w:noProof/>
        </w:rPr>
        <w:tab/>
        <w:t>Disposal of unused emergency goods and unused emergency biologicals—destruction</w:t>
      </w:r>
      <w:r w:rsidRPr="00F008F6">
        <w:rPr>
          <w:noProof/>
        </w:rPr>
        <w:tab/>
      </w:r>
      <w:r w:rsidRPr="00F008F6">
        <w:rPr>
          <w:noProof/>
        </w:rPr>
        <w:fldChar w:fldCharType="begin"/>
      </w:r>
      <w:r w:rsidRPr="00F008F6">
        <w:rPr>
          <w:noProof/>
        </w:rPr>
        <w:instrText xml:space="preserve"> PAGEREF _Toc187136011 \h </w:instrText>
      </w:r>
      <w:r w:rsidRPr="00F008F6">
        <w:rPr>
          <w:noProof/>
        </w:rPr>
      </w:r>
      <w:r w:rsidRPr="00F008F6">
        <w:rPr>
          <w:noProof/>
        </w:rPr>
        <w:fldChar w:fldCharType="separate"/>
      </w:r>
      <w:r w:rsidRPr="00F008F6">
        <w:rPr>
          <w:noProof/>
        </w:rPr>
        <w:t>255</w:t>
      </w:r>
      <w:r w:rsidRPr="00F008F6">
        <w:rPr>
          <w:noProof/>
        </w:rPr>
        <w:fldChar w:fldCharType="end"/>
      </w:r>
    </w:p>
    <w:p w14:paraId="5312FFFC" w14:textId="3F30D6EB"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lastRenderedPageBreak/>
        <w:t>7</w:t>
      </w:r>
      <w:r>
        <w:rPr>
          <w:noProof/>
        </w:rPr>
        <w:tab/>
        <w:t>Disposal of unused emergency goods and unused emergency biologicals—export</w:t>
      </w:r>
      <w:r w:rsidRPr="00F008F6">
        <w:rPr>
          <w:noProof/>
        </w:rPr>
        <w:tab/>
      </w:r>
      <w:r w:rsidRPr="00F008F6">
        <w:rPr>
          <w:noProof/>
        </w:rPr>
        <w:fldChar w:fldCharType="begin"/>
      </w:r>
      <w:r w:rsidRPr="00F008F6">
        <w:rPr>
          <w:noProof/>
        </w:rPr>
        <w:instrText xml:space="preserve"> PAGEREF _Toc187136012 \h </w:instrText>
      </w:r>
      <w:r w:rsidRPr="00F008F6">
        <w:rPr>
          <w:noProof/>
        </w:rPr>
      </w:r>
      <w:r w:rsidRPr="00F008F6">
        <w:rPr>
          <w:noProof/>
        </w:rPr>
        <w:fldChar w:fldCharType="separate"/>
      </w:r>
      <w:r w:rsidRPr="00F008F6">
        <w:rPr>
          <w:noProof/>
        </w:rPr>
        <w:t>256</w:t>
      </w:r>
      <w:r w:rsidRPr="00F008F6">
        <w:rPr>
          <w:noProof/>
        </w:rPr>
        <w:fldChar w:fldCharType="end"/>
      </w:r>
    </w:p>
    <w:p w14:paraId="1AF341AA" w14:textId="7386BADD"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8</w:t>
      </w:r>
      <w:r>
        <w:rPr>
          <w:noProof/>
        </w:rPr>
        <w:tab/>
        <w:t>Disposal of unused emergency goods and unused emergency biologicals—supply</w:t>
      </w:r>
      <w:r w:rsidRPr="00F008F6">
        <w:rPr>
          <w:noProof/>
        </w:rPr>
        <w:tab/>
      </w:r>
      <w:r w:rsidRPr="00F008F6">
        <w:rPr>
          <w:noProof/>
        </w:rPr>
        <w:fldChar w:fldCharType="begin"/>
      </w:r>
      <w:r w:rsidRPr="00F008F6">
        <w:rPr>
          <w:noProof/>
        </w:rPr>
        <w:instrText xml:space="preserve"> PAGEREF _Toc187136013 \h </w:instrText>
      </w:r>
      <w:r w:rsidRPr="00F008F6">
        <w:rPr>
          <w:noProof/>
        </w:rPr>
      </w:r>
      <w:r w:rsidRPr="00F008F6">
        <w:rPr>
          <w:noProof/>
        </w:rPr>
        <w:fldChar w:fldCharType="separate"/>
      </w:r>
      <w:r w:rsidRPr="00F008F6">
        <w:rPr>
          <w:noProof/>
        </w:rPr>
        <w:t>256</w:t>
      </w:r>
      <w:r w:rsidRPr="00F008F6">
        <w:rPr>
          <w:noProof/>
        </w:rPr>
        <w:fldChar w:fldCharType="end"/>
      </w:r>
    </w:p>
    <w:p w14:paraId="012AC571" w14:textId="4451E9E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9</w:t>
      </w:r>
      <w:r>
        <w:rPr>
          <w:noProof/>
        </w:rPr>
        <w:tab/>
        <w:t>Owner to be paid for goods or biologicals supplied</w:t>
      </w:r>
      <w:r w:rsidRPr="00F008F6">
        <w:rPr>
          <w:noProof/>
        </w:rPr>
        <w:tab/>
      </w:r>
      <w:r w:rsidRPr="00F008F6">
        <w:rPr>
          <w:noProof/>
        </w:rPr>
        <w:fldChar w:fldCharType="begin"/>
      </w:r>
      <w:r w:rsidRPr="00F008F6">
        <w:rPr>
          <w:noProof/>
        </w:rPr>
        <w:instrText xml:space="preserve"> PAGEREF _Toc187136014 \h </w:instrText>
      </w:r>
      <w:r w:rsidRPr="00F008F6">
        <w:rPr>
          <w:noProof/>
        </w:rPr>
      </w:r>
      <w:r w:rsidRPr="00F008F6">
        <w:rPr>
          <w:noProof/>
        </w:rPr>
        <w:fldChar w:fldCharType="separate"/>
      </w:r>
      <w:r w:rsidRPr="00F008F6">
        <w:rPr>
          <w:noProof/>
        </w:rPr>
        <w:t>257</w:t>
      </w:r>
      <w:r w:rsidRPr="00F008F6">
        <w:rPr>
          <w:noProof/>
        </w:rPr>
        <w:fldChar w:fldCharType="end"/>
      </w:r>
    </w:p>
    <w:p w14:paraId="60E539BE" w14:textId="623D51F7"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10</w:t>
      </w:r>
      <w:r>
        <w:rPr>
          <w:noProof/>
        </w:rPr>
        <w:tab/>
        <w:t>Records about unused emergency goods and unused emergency biologicals</w:t>
      </w:r>
      <w:r w:rsidRPr="00F008F6">
        <w:rPr>
          <w:noProof/>
        </w:rPr>
        <w:tab/>
      </w:r>
      <w:r w:rsidRPr="00F008F6">
        <w:rPr>
          <w:noProof/>
        </w:rPr>
        <w:fldChar w:fldCharType="begin"/>
      </w:r>
      <w:r w:rsidRPr="00F008F6">
        <w:rPr>
          <w:noProof/>
        </w:rPr>
        <w:instrText xml:space="preserve"> PAGEREF _Toc187136015 \h </w:instrText>
      </w:r>
      <w:r w:rsidRPr="00F008F6">
        <w:rPr>
          <w:noProof/>
        </w:rPr>
      </w:r>
      <w:r w:rsidRPr="00F008F6">
        <w:rPr>
          <w:noProof/>
        </w:rPr>
        <w:fldChar w:fldCharType="separate"/>
      </w:r>
      <w:r w:rsidRPr="00F008F6">
        <w:rPr>
          <w:noProof/>
        </w:rPr>
        <w:t>257</w:t>
      </w:r>
      <w:r w:rsidRPr="00F008F6">
        <w:rPr>
          <w:noProof/>
        </w:rPr>
        <w:fldChar w:fldCharType="end"/>
      </w:r>
    </w:p>
    <w:p w14:paraId="54E528FB" w14:textId="3D2444FD"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11</w:t>
      </w:r>
      <w:r>
        <w:rPr>
          <w:noProof/>
        </w:rPr>
        <w:tab/>
        <w:t>Failure to comply with this Schedule</w:t>
      </w:r>
      <w:r w:rsidRPr="00F008F6">
        <w:rPr>
          <w:noProof/>
        </w:rPr>
        <w:tab/>
      </w:r>
      <w:r w:rsidRPr="00F008F6">
        <w:rPr>
          <w:noProof/>
        </w:rPr>
        <w:fldChar w:fldCharType="begin"/>
      </w:r>
      <w:r w:rsidRPr="00F008F6">
        <w:rPr>
          <w:noProof/>
        </w:rPr>
        <w:instrText xml:space="preserve"> PAGEREF _Toc187136016 \h </w:instrText>
      </w:r>
      <w:r w:rsidRPr="00F008F6">
        <w:rPr>
          <w:noProof/>
        </w:rPr>
      </w:r>
      <w:r w:rsidRPr="00F008F6">
        <w:rPr>
          <w:noProof/>
        </w:rPr>
        <w:fldChar w:fldCharType="separate"/>
      </w:r>
      <w:r w:rsidRPr="00F008F6">
        <w:rPr>
          <w:noProof/>
        </w:rPr>
        <w:t>257</w:t>
      </w:r>
      <w:r w:rsidRPr="00F008F6">
        <w:rPr>
          <w:noProof/>
        </w:rPr>
        <w:fldChar w:fldCharType="end"/>
      </w:r>
    </w:p>
    <w:p w14:paraId="76620D42" w14:textId="50C95A6C" w:rsidR="00F008F6" w:rsidRDefault="00F008F6" w:rsidP="00EF338C">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7—Therapeutic goods exempt from the operation of Part 3</w:t>
      </w:r>
      <w:r>
        <w:rPr>
          <w:noProof/>
        </w:rPr>
        <w:noBreakHyphen/>
        <w:t>3 of the Act unless supplied as pharmaceutical benefits</w:t>
      </w:r>
      <w:r w:rsidRPr="00F008F6">
        <w:rPr>
          <w:b w:val="0"/>
          <w:noProof/>
          <w:sz w:val="18"/>
        </w:rPr>
        <w:tab/>
      </w:r>
      <w:r w:rsidRPr="00F008F6">
        <w:rPr>
          <w:b w:val="0"/>
          <w:noProof/>
          <w:sz w:val="18"/>
        </w:rPr>
        <w:fldChar w:fldCharType="begin"/>
      </w:r>
      <w:r w:rsidRPr="00F008F6">
        <w:rPr>
          <w:b w:val="0"/>
          <w:noProof/>
          <w:sz w:val="18"/>
        </w:rPr>
        <w:instrText xml:space="preserve"> PAGEREF _Toc187136017 \h </w:instrText>
      </w:r>
      <w:r w:rsidRPr="00F008F6">
        <w:rPr>
          <w:b w:val="0"/>
          <w:noProof/>
          <w:sz w:val="18"/>
        </w:rPr>
      </w:r>
      <w:r w:rsidRPr="00F008F6">
        <w:rPr>
          <w:b w:val="0"/>
          <w:noProof/>
          <w:sz w:val="18"/>
        </w:rPr>
        <w:fldChar w:fldCharType="separate"/>
      </w:r>
      <w:r w:rsidRPr="00F008F6">
        <w:rPr>
          <w:b w:val="0"/>
          <w:noProof/>
          <w:sz w:val="18"/>
        </w:rPr>
        <w:t>258</w:t>
      </w:r>
      <w:r w:rsidRPr="00F008F6">
        <w:rPr>
          <w:b w:val="0"/>
          <w:noProof/>
          <w:sz w:val="18"/>
        </w:rPr>
        <w:fldChar w:fldCharType="end"/>
      </w:r>
    </w:p>
    <w:p w14:paraId="2AA38248" w14:textId="6938A32E" w:rsidR="00F008F6" w:rsidRDefault="00F008F6" w:rsidP="00EF338C">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8—Persons exempt from the operation of Part 3</w:t>
      </w:r>
      <w:r>
        <w:rPr>
          <w:noProof/>
        </w:rPr>
        <w:noBreakHyphen/>
        <w:t>3 of the Act</w:t>
      </w:r>
      <w:r w:rsidRPr="00F008F6">
        <w:rPr>
          <w:b w:val="0"/>
          <w:noProof/>
          <w:sz w:val="18"/>
        </w:rPr>
        <w:tab/>
      </w:r>
      <w:r w:rsidRPr="00F008F6">
        <w:rPr>
          <w:b w:val="0"/>
          <w:noProof/>
          <w:sz w:val="18"/>
        </w:rPr>
        <w:fldChar w:fldCharType="begin"/>
      </w:r>
      <w:r w:rsidRPr="00F008F6">
        <w:rPr>
          <w:b w:val="0"/>
          <w:noProof/>
          <w:sz w:val="18"/>
        </w:rPr>
        <w:instrText xml:space="preserve"> PAGEREF _Toc187136018 \h </w:instrText>
      </w:r>
      <w:r w:rsidRPr="00F008F6">
        <w:rPr>
          <w:b w:val="0"/>
          <w:noProof/>
          <w:sz w:val="18"/>
        </w:rPr>
      </w:r>
      <w:r w:rsidRPr="00F008F6">
        <w:rPr>
          <w:b w:val="0"/>
          <w:noProof/>
          <w:sz w:val="18"/>
        </w:rPr>
        <w:fldChar w:fldCharType="separate"/>
      </w:r>
      <w:r w:rsidRPr="00F008F6">
        <w:rPr>
          <w:b w:val="0"/>
          <w:noProof/>
          <w:sz w:val="18"/>
        </w:rPr>
        <w:t>261</w:t>
      </w:r>
      <w:r w:rsidRPr="00F008F6">
        <w:rPr>
          <w:b w:val="0"/>
          <w:noProof/>
          <w:sz w:val="18"/>
        </w:rPr>
        <w:fldChar w:fldCharType="end"/>
      </w:r>
    </w:p>
    <w:p w14:paraId="5DC9CDCF" w14:textId="1EC5D347" w:rsidR="00F008F6" w:rsidRDefault="00F008F6" w:rsidP="00EF338C">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9—Fees—therapeutic goods other than biologicals</w:t>
      </w:r>
      <w:r w:rsidRPr="00F008F6">
        <w:rPr>
          <w:b w:val="0"/>
          <w:noProof/>
          <w:sz w:val="18"/>
        </w:rPr>
        <w:tab/>
      </w:r>
      <w:r w:rsidRPr="00F008F6">
        <w:rPr>
          <w:b w:val="0"/>
          <w:noProof/>
          <w:sz w:val="18"/>
        </w:rPr>
        <w:fldChar w:fldCharType="begin"/>
      </w:r>
      <w:r w:rsidRPr="00F008F6">
        <w:rPr>
          <w:b w:val="0"/>
          <w:noProof/>
          <w:sz w:val="18"/>
        </w:rPr>
        <w:instrText xml:space="preserve"> PAGEREF _Toc187136019 \h </w:instrText>
      </w:r>
      <w:r w:rsidRPr="00F008F6">
        <w:rPr>
          <w:b w:val="0"/>
          <w:noProof/>
          <w:sz w:val="18"/>
        </w:rPr>
      </w:r>
      <w:r w:rsidRPr="00F008F6">
        <w:rPr>
          <w:b w:val="0"/>
          <w:noProof/>
          <w:sz w:val="18"/>
        </w:rPr>
        <w:fldChar w:fldCharType="separate"/>
      </w:r>
      <w:r w:rsidRPr="00F008F6">
        <w:rPr>
          <w:b w:val="0"/>
          <w:noProof/>
          <w:sz w:val="18"/>
        </w:rPr>
        <w:t>263</w:t>
      </w:r>
      <w:r w:rsidRPr="00F008F6">
        <w:rPr>
          <w:b w:val="0"/>
          <w:noProof/>
          <w:sz w:val="18"/>
        </w:rPr>
        <w:fldChar w:fldCharType="end"/>
      </w:r>
    </w:p>
    <w:p w14:paraId="21E96D3F" w14:textId="59248F58"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1—Interpretation</w:t>
      </w:r>
      <w:r w:rsidRPr="00F008F6">
        <w:rPr>
          <w:b w:val="0"/>
          <w:noProof/>
          <w:sz w:val="18"/>
        </w:rPr>
        <w:tab/>
      </w:r>
      <w:r w:rsidRPr="00F008F6">
        <w:rPr>
          <w:b w:val="0"/>
          <w:noProof/>
          <w:sz w:val="18"/>
        </w:rPr>
        <w:fldChar w:fldCharType="begin"/>
      </w:r>
      <w:r w:rsidRPr="00F008F6">
        <w:rPr>
          <w:b w:val="0"/>
          <w:noProof/>
          <w:sz w:val="18"/>
        </w:rPr>
        <w:instrText xml:space="preserve"> PAGEREF _Toc187136020 \h </w:instrText>
      </w:r>
      <w:r w:rsidRPr="00F008F6">
        <w:rPr>
          <w:b w:val="0"/>
          <w:noProof/>
          <w:sz w:val="18"/>
        </w:rPr>
      </w:r>
      <w:r w:rsidRPr="00F008F6">
        <w:rPr>
          <w:b w:val="0"/>
          <w:noProof/>
          <w:sz w:val="18"/>
        </w:rPr>
        <w:fldChar w:fldCharType="separate"/>
      </w:r>
      <w:r w:rsidRPr="00F008F6">
        <w:rPr>
          <w:b w:val="0"/>
          <w:noProof/>
          <w:sz w:val="18"/>
        </w:rPr>
        <w:t>263</w:t>
      </w:r>
      <w:r w:rsidRPr="00F008F6">
        <w:rPr>
          <w:b w:val="0"/>
          <w:noProof/>
          <w:sz w:val="18"/>
        </w:rPr>
        <w:fldChar w:fldCharType="end"/>
      </w:r>
    </w:p>
    <w:p w14:paraId="1310C4B5" w14:textId="0B3C5B47"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w:t>
      </w:r>
      <w:r>
        <w:rPr>
          <w:noProof/>
        </w:rPr>
        <w:tab/>
        <w:t>Definitions</w:t>
      </w:r>
      <w:r w:rsidRPr="00F008F6">
        <w:rPr>
          <w:noProof/>
        </w:rPr>
        <w:tab/>
      </w:r>
      <w:r w:rsidRPr="00F008F6">
        <w:rPr>
          <w:noProof/>
        </w:rPr>
        <w:fldChar w:fldCharType="begin"/>
      </w:r>
      <w:r w:rsidRPr="00F008F6">
        <w:rPr>
          <w:noProof/>
        </w:rPr>
        <w:instrText xml:space="preserve"> PAGEREF _Toc187136021 \h </w:instrText>
      </w:r>
      <w:r w:rsidRPr="00F008F6">
        <w:rPr>
          <w:noProof/>
        </w:rPr>
      </w:r>
      <w:r w:rsidRPr="00F008F6">
        <w:rPr>
          <w:noProof/>
        </w:rPr>
        <w:fldChar w:fldCharType="separate"/>
      </w:r>
      <w:r w:rsidRPr="00F008F6">
        <w:rPr>
          <w:noProof/>
        </w:rPr>
        <w:t>263</w:t>
      </w:r>
      <w:r w:rsidRPr="00F008F6">
        <w:rPr>
          <w:noProof/>
        </w:rPr>
        <w:fldChar w:fldCharType="end"/>
      </w:r>
    </w:p>
    <w:p w14:paraId="05571DC9" w14:textId="2EACA6A6"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2</w:t>
      </w:r>
      <w:r>
        <w:rPr>
          <w:noProof/>
        </w:rPr>
        <w:tab/>
        <w:t>Part 2 fees do not apply in relation to applications etc. covered by Part 3 or 4</w:t>
      </w:r>
      <w:r w:rsidRPr="00F008F6">
        <w:rPr>
          <w:noProof/>
        </w:rPr>
        <w:tab/>
      </w:r>
      <w:r w:rsidRPr="00F008F6">
        <w:rPr>
          <w:noProof/>
        </w:rPr>
        <w:fldChar w:fldCharType="begin"/>
      </w:r>
      <w:r w:rsidRPr="00F008F6">
        <w:rPr>
          <w:noProof/>
        </w:rPr>
        <w:instrText xml:space="preserve"> PAGEREF _Toc187136022 \h </w:instrText>
      </w:r>
      <w:r w:rsidRPr="00F008F6">
        <w:rPr>
          <w:noProof/>
        </w:rPr>
      </w:r>
      <w:r w:rsidRPr="00F008F6">
        <w:rPr>
          <w:noProof/>
        </w:rPr>
        <w:fldChar w:fldCharType="separate"/>
      </w:r>
      <w:r w:rsidRPr="00F008F6">
        <w:rPr>
          <w:noProof/>
        </w:rPr>
        <w:t>266</w:t>
      </w:r>
      <w:r w:rsidRPr="00F008F6">
        <w:rPr>
          <w:noProof/>
        </w:rPr>
        <w:fldChar w:fldCharType="end"/>
      </w:r>
    </w:p>
    <w:p w14:paraId="7A1E6D2D" w14:textId="111554A4"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2—Table of fees other than for applications etc. covered by Part 3 or 4</w:t>
      </w:r>
      <w:r w:rsidRPr="00F008F6">
        <w:rPr>
          <w:b w:val="0"/>
          <w:noProof/>
          <w:sz w:val="18"/>
        </w:rPr>
        <w:tab/>
      </w:r>
      <w:r w:rsidRPr="00F008F6">
        <w:rPr>
          <w:b w:val="0"/>
          <w:noProof/>
          <w:sz w:val="18"/>
        </w:rPr>
        <w:fldChar w:fldCharType="begin"/>
      </w:r>
      <w:r w:rsidRPr="00F008F6">
        <w:rPr>
          <w:b w:val="0"/>
          <w:noProof/>
          <w:sz w:val="18"/>
        </w:rPr>
        <w:instrText xml:space="preserve"> PAGEREF _Toc187136023 \h </w:instrText>
      </w:r>
      <w:r w:rsidRPr="00F008F6">
        <w:rPr>
          <w:b w:val="0"/>
          <w:noProof/>
          <w:sz w:val="18"/>
        </w:rPr>
      </w:r>
      <w:r w:rsidRPr="00F008F6">
        <w:rPr>
          <w:b w:val="0"/>
          <w:noProof/>
          <w:sz w:val="18"/>
        </w:rPr>
        <w:fldChar w:fldCharType="separate"/>
      </w:r>
      <w:r w:rsidRPr="00F008F6">
        <w:rPr>
          <w:b w:val="0"/>
          <w:noProof/>
          <w:sz w:val="18"/>
        </w:rPr>
        <w:t>267</w:t>
      </w:r>
      <w:r w:rsidRPr="00F008F6">
        <w:rPr>
          <w:b w:val="0"/>
          <w:noProof/>
          <w:sz w:val="18"/>
        </w:rPr>
        <w:fldChar w:fldCharType="end"/>
      </w:r>
    </w:p>
    <w:p w14:paraId="7C4F4A49" w14:textId="02E79A03"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w:t>
      </w:r>
      <w:r>
        <w:rPr>
          <w:noProof/>
        </w:rPr>
        <w:tab/>
        <w:t>Table of fees</w:t>
      </w:r>
      <w:r w:rsidRPr="00F008F6">
        <w:rPr>
          <w:noProof/>
        </w:rPr>
        <w:tab/>
      </w:r>
      <w:r w:rsidRPr="00F008F6">
        <w:rPr>
          <w:noProof/>
        </w:rPr>
        <w:fldChar w:fldCharType="begin"/>
      </w:r>
      <w:r w:rsidRPr="00F008F6">
        <w:rPr>
          <w:noProof/>
        </w:rPr>
        <w:instrText xml:space="preserve"> PAGEREF _Toc187136024 \h </w:instrText>
      </w:r>
      <w:r w:rsidRPr="00F008F6">
        <w:rPr>
          <w:noProof/>
        </w:rPr>
      </w:r>
      <w:r w:rsidRPr="00F008F6">
        <w:rPr>
          <w:noProof/>
        </w:rPr>
        <w:fldChar w:fldCharType="separate"/>
      </w:r>
      <w:r w:rsidRPr="00F008F6">
        <w:rPr>
          <w:noProof/>
        </w:rPr>
        <w:t>267</w:t>
      </w:r>
      <w:r w:rsidRPr="00F008F6">
        <w:rPr>
          <w:noProof/>
        </w:rPr>
        <w:fldChar w:fldCharType="end"/>
      </w:r>
    </w:p>
    <w:p w14:paraId="08E1C4F0" w14:textId="4F5264DD"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3—Table of fees for applications etc. in relation to certain OTC medicines</w:t>
      </w:r>
      <w:r w:rsidRPr="00F008F6">
        <w:rPr>
          <w:b w:val="0"/>
          <w:noProof/>
          <w:sz w:val="18"/>
        </w:rPr>
        <w:tab/>
      </w:r>
      <w:r w:rsidRPr="00F008F6">
        <w:rPr>
          <w:b w:val="0"/>
          <w:noProof/>
          <w:sz w:val="18"/>
        </w:rPr>
        <w:fldChar w:fldCharType="begin"/>
      </w:r>
      <w:r w:rsidRPr="00F008F6">
        <w:rPr>
          <w:b w:val="0"/>
          <w:noProof/>
          <w:sz w:val="18"/>
        </w:rPr>
        <w:instrText xml:space="preserve"> PAGEREF _Toc187136025 \h </w:instrText>
      </w:r>
      <w:r w:rsidRPr="00F008F6">
        <w:rPr>
          <w:b w:val="0"/>
          <w:noProof/>
          <w:sz w:val="18"/>
        </w:rPr>
      </w:r>
      <w:r w:rsidRPr="00F008F6">
        <w:rPr>
          <w:b w:val="0"/>
          <w:noProof/>
          <w:sz w:val="18"/>
        </w:rPr>
        <w:fldChar w:fldCharType="separate"/>
      </w:r>
      <w:r w:rsidRPr="00F008F6">
        <w:rPr>
          <w:b w:val="0"/>
          <w:noProof/>
          <w:sz w:val="18"/>
        </w:rPr>
        <w:t>279</w:t>
      </w:r>
      <w:r w:rsidRPr="00F008F6">
        <w:rPr>
          <w:b w:val="0"/>
          <w:noProof/>
          <w:sz w:val="18"/>
        </w:rPr>
        <w:fldChar w:fldCharType="end"/>
      </w:r>
    </w:p>
    <w:p w14:paraId="584CECC0" w14:textId="0CA72966"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4</w:t>
      </w:r>
      <w:r>
        <w:rPr>
          <w:noProof/>
        </w:rPr>
        <w:tab/>
        <w:t>Table of fees</w:t>
      </w:r>
      <w:r w:rsidRPr="00F008F6">
        <w:rPr>
          <w:noProof/>
        </w:rPr>
        <w:tab/>
      </w:r>
      <w:r w:rsidRPr="00F008F6">
        <w:rPr>
          <w:noProof/>
        </w:rPr>
        <w:fldChar w:fldCharType="begin"/>
      </w:r>
      <w:r w:rsidRPr="00F008F6">
        <w:rPr>
          <w:noProof/>
        </w:rPr>
        <w:instrText xml:space="preserve"> PAGEREF _Toc187136026 \h </w:instrText>
      </w:r>
      <w:r w:rsidRPr="00F008F6">
        <w:rPr>
          <w:noProof/>
        </w:rPr>
      </w:r>
      <w:r w:rsidRPr="00F008F6">
        <w:rPr>
          <w:noProof/>
        </w:rPr>
        <w:fldChar w:fldCharType="separate"/>
      </w:r>
      <w:r w:rsidRPr="00F008F6">
        <w:rPr>
          <w:noProof/>
        </w:rPr>
        <w:t>279</w:t>
      </w:r>
      <w:r w:rsidRPr="00F008F6">
        <w:rPr>
          <w:noProof/>
        </w:rPr>
        <w:fldChar w:fldCharType="end"/>
      </w:r>
    </w:p>
    <w:p w14:paraId="1A23591E" w14:textId="01101FAB"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4—Table of fees for applications etc. in relation to certain complementary medicines and certain other listed medicines</w:t>
      </w:r>
      <w:r w:rsidRPr="00F008F6">
        <w:rPr>
          <w:b w:val="0"/>
          <w:noProof/>
          <w:sz w:val="18"/>
        </w:rPr>
        <w:tab/>
      </w:r>
      <w:r w:rsidRPr="00F008F6">
        <w:rPr>
          <w:b w:val="0"/>
          <w:noProof/>
          <w:sz w:val="18"/>
        </w:rPr>
        <w:fldChar w:fldCharType="begin"/>
      </w:r>
      <w:r w:rsidRPr="00F008F6">
        <w:rPr>
          <w:b w:val="0"/>
          <w:noProof/>
          <w:sz w:val="18"/>
        </w:rPr>
        <w:instrText xml:space="preserve"> PAGEREF _Toc187136027 \h </w:instrText>
      </w:r>
      <w:r w:rsidRPr="00F008F6">
        <w:rPr>
          <w:b w:val="0"/>
          <w:noProof/>
          <w:sz w:val="18"/>
        </w:rPr>
      </w:r>
      <w:r w:rsidRPr="00F008F6">
        <w:rPr>
          <w:b w:val="0"/>
          <w:noProof/>
          <w:sz w:val="18"/>
        </w:rPr>
        <w:fldChar w:fldCharType="separate"/>
      </w:r>
      <w:r w:rsidRPr="00F008F6">
        <w:rPr>
          <w:b w:val="0"/>
          <w:noProof/>
          <w:sz w:val="18"/>
        </w:rPr>
        <w:t>281</w:t>
      </w:r>
      <w:r w:rsidRPr="00F008F6">
        <w:rPr>
          <w:b w:val="0"/>
          <w:noProof/>
          <w:sz w:val="18"/>
        </w:rPr>
        <w:fldChar w:fldCharType="end"/>
      </w:r>
    </w:p>
    <w:p w14:paraId="591EA5CB" w14:textId="09EFE2D7"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5</w:t>
      </w:r>
      <w:r>
        <w:rPr>
          <w:noProof/>
        </w:rPr>
        <w:tab/>
        <w:t>Table of fees</w:t>
      </w:r>
      <w:r w:rsidRPr="00F008F6">
        <w:rPr>
          <w:noProof/>
        </w:rPr>
        <w:tab/>
      </w:r>
      <w:r w:rsidRPr="00F008F6">
        <w:rPr>
          <w:noProof/>
        </w:rPr>
        <w:fldChar w:fldCharType="begin"/>
      </w:r>
      <w:r w:rsidRPr="00F008F6">
        <w:rPr>
          <w:noProof/>
        </w:rPr>
        <w:instrText xml:space="preserve"> PAGEREF _Toc187136028 \h </w:instrText>
      </w:r>
      <w:r w:rsidRPr="00F008F6">
        <w:rPr>
          <w:noProof/>
        </w:rPr>
      </w:r>
      <w:r w:rsidRPr="00F008F6">
        <w:rPr>
          <w:noProof/>
        </w:rPr>
        <w:fldChar w:fldCharType="separate"/>
      </w:r>
      <w:r w:rsidRPr="00F008F6">
        <w:rPr>
          <w:noProof/>
        </w:rPr>
        <w:t>281</w:t>
      </w:r>
      <w:r w:rsidRPr="00F008F6">
        <w:rPr>
          <w:noProof/>
        </w:rPr>
        <w:fldChar w:fldCharType="end"/>
      </w:r>
    </w:p>
    <w:p w14:paraId="07CB4B0B" w14:textId="18C8AE86" w:rsidR="00F008F6" w:rsidRDefault="00F008F6" w:rsidP="00EF338C">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9A—Fees—biologicals</w:t>
      </w:r>
      <w:r w:rsidRPr="00F008F6">
        <w:rPr>
          <w:b w:val="0"/>
          <w:noProof/>
          <w:sz w:val="18"/>
        </w:rPr>
        <w:tab/>
      </w:r>
      <w:r w:rsidRPr="00F008F6">
        <w:rPr>
          <w:b w:val="0"/>
          <w:noProof/>
          <w:sz w:val="18"/>
        </w:rPr>
        <w:fldChar w:fldCharType="begin"/>
      </w:r>
      <w:r w:rsidRPr="00F008F6">
        <w:rPr>
          <w:b w:val="0"/>
          <w:noProof/>
          <w:sz w:val="18"/>
        </w:rPr>
        <w:instrText xml:space="preserve"> PAGEREF _Toc187136029 \h </w:instrText>
      </w:r>
      <w:r w:rsidRPr="00F008F6">
        <w:rPr>
          <w:b w:val="0"/>
          <w:noProof/>
          <w:sz w:val="18"/>
        </w:rPr>
      </w:r>
      <w:r w:rsidRPr="00F008F6">
        <w:rPr>
          <w:b w:val="0"/>
          <w:noProof/>
          <w:sz w:val="18"/>
        </w:rPr>
        <w:fldChar w:fldCharType="separate"/>
      </w:r>
      <w:r w:rsidRPr="00F008F6">
        <w:rPr>
          <w:b w:val="0"/>
          <w:noProof/>
          <w:sz w:val="18"/>
        </w:rPr>
        <w:t>283</w:t>
      </w:r>
      <w:r w:rsidRPr="00F008F6">
        <w:rPr>
          <w:b w:val="0"/>
          <w:noProof/>
          <w:sz w:val="18"/>
        </w:rPr>
        <w:fldChar w:fldCharType="end"/>
      </w:r>
    </w:p>
    <w:p w14:paraId="1D0AA6DC" w14:textId="5AE60FA1"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1—Interpretation of table</w:t>
      </w:r>
      <w:r w:rsidRPr="00F008F6">
        <w:rPr>
          <w:b w:val="0"/>
          <w:noProof/>
          <w:sz w:val="18"/>
        </w:rPr>
        <w:tab/>
      </w:r>
      <w:r w:rsidRPr="00F008F6">
        <w:rPr>
          <w:b w:val="0"/>
          <w:noProof/>
          <w:sz w:val="18"/>
        </w:rPr>
        <w:fldChar w:fldCharType="begin"/>
      </w:r>
      <w:r w:rsidRPr="00F008F6">
        <w:rPr>
          <w:b w:val="0"/>
          <w:noProof/>
          <w:sz w:val="18"/>
        </w:rPr>
        <w:instrText xml:space="preserve"> PAGEREF _Toc187136030 \h </w:instrText>
      </w:r>
      <w:r w:rsidRPr="00F008F6">
        <w:rPr>
          <w:b w:val="0"/>
          <w:noProof/>
          <w:sz w:val="18"/>
        </w:rPr>
      </w:r>
      <w:r w:rsidRPr="00F008F6">
        <w:rPr>
          <w:b w:val="0"/>
          <w:noProof/>
          <w:sz w:val="18"/>
        </w:rPr>
        <w:fldChar w:fldCharType="separate"/>
      </w:r>
      <w:r w:rsidRPr="00F008F6">
        <w:rPr>
          <w:b w:val="0"/>
          <w:noProof/>
          <w:sz w:val="18"/>
        </w:rPr>
        <w:t>283</w:t>
      </w:r>
      <w:r w:rsidRPr="00F008F6">
        <w:rPr>
          <w:b w:val="0"/>
          <w:noProof/>
          <w:sz w:val="18"/>
        </w:rPr>
        <w:fldChar w:fldCharType="end"/>
      </w:r>
    </w:p>
    <w:p w14:paraId="3CB012CD" w14:textId="2CADA21E"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w:t>
      </w:r>
      <w:r>
        <w:rPr>
          <w:noProof/>
        </w:rPr>
        <w:tab/>
        <w:t>Definitions</w:t>
      </w:r>
      <w:r w:rsidRPr="00F008F6">
        <w:rPr>
          <w:noProof/>
        </w:rPr>
        <w:tab/>
      </w:r>
      <w:r w:rsidRPr="00F008F6">
        <w:rPr>
          <w:noProof/>
        </w:rPr>
        <w:fldChar w:fldCharType="begin"/>
      </w:r>
      <w:r w:rsidRPr="00F008F6">
        <w:rPr>
          <w:noProof/>
        </w:rPr>
        <w:instrText xml:space="preserve"> PAGEREF _Toc187136031 \h </w:instrText>
      </w:r>
      <w:r w:rsidRPr="00F008F6">
        <w:rPr>
          <w:noProof/>
        </w:rPr>
      </w:r>
      <w:r w:rsidRPr="00F008F6">
        <w:rPr>
          <w:noProof/>
        </w:rPr>
        <w:fldChar w:fldCharType="separate"/>
      </w:r>
      <w:r w:rsidRPr="00F008F6">
        <w:rPr>
          <w:noProof/>
        </w:rPr>
        <w:t>283</w:t>
      </w:r>
      <w:r w:rsidRPr="00F008F6">
        <w:rPr>
          <w:noProof/>
        </w:rPr>
        <w:fldChar w:fldCharType="end"/>
      </w:r>
    </w:p>
    <w:p w14:paraId="49CE03E3" w14:textId="105FA47E"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2—Table of fees</w:t>
      </w:r>
      <w:r w:rsidRPr="00F008F6">
        <w:rPr>
          <w:b w:val="0"/>
          <w:noProof/>
          <w:sz w:val="18"/>
        </w:rPr>
        <w:tab/>
      </w:r>
      <w:r w:rsidRPr="00F008F6">
        <w:rPr>
          <w:b w:val="0"/>
          <w:noProof/>
          <w:sz w:val="18"/>
        </w:rPr>
        <w:fldChar w:fldCharType="begin"/>
      </w:r>
      <w:r w:rsidRPr="00F008F6">
        <w:rPr>
          <w:b w:val="0"/>
          <w:noProof/>
          <w:sz w:val="18"/>
        </w:rPr>
        <w:instrText xml:space="preserve"> PAGEREF _Toc187136032 \h </w:instrText>
      </w:r>
      <w:r w:rsidRPr="00F008F6">
        <w:rPr>
          <w:b w:val="0"/>
          <w:noProof/>
          <w:sz w:val="18"/>
        </w:rPr>
      </w:r>
      <w:r w:rsidRPr="00F008F6">
        <w:rPr>
          <w:b w:val="0"/>
          <w:noProof/>
          <w:sz w:val="18"/>
        </w:rPr>
        <w:fldChar w:fldCharType="separate"/>
      </w:r>
      <w:r w:rsidRPr="00F008F6">
        <w:rPr>
          <w:b w:val="0"/>
          <w:noProof/>
          <w:sz w:val="18"/>
        </w:rPr>
        <w:t>284</w:t>
      </w:r>
      <w:r w:rsidRPr="00F008F6">
        <w:rPr>
          <w:b w:val="0"/>
          <w:noProof/>
          <w:sz w:val="18"/>
        </w:rPr>
        <w:fldChar w:fldCharType="end"/>
      </w:r>
    </w:p>
    <w:p w14:paraId="7F77E4E4" w14:textId="100B17A6" w:rsidR="00F008F6" w:rsidRDefault="00F008F6" w:rsidP="00EF338C">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10—Therapeutic goods for evaluation</w:t>
      </w:r>
      <w:r w:rsidRPr="00F008F6">
        <w:rPr>
          <w:b w:val="0"/>
          <w:noProof/>
          <w:sz w:val="18"/>
        </w:rPr>
        <w:tab/>
      </w:r>
      <w:r w:rsidRPr="00F008F6">
        <w:rPr>
          <w:b w:val="0"/>
          <w:noProof/>
          <w:sz w:val="18"/>
        </w:rPr>
        <w:fldChar w:fldCharType="begin"/>
      </w:r>
      <w:r w:rsidRPr="00F008F6">
        <w:rPr>
          <w:b w:val="0"/>
          <w:noProof/>
          <w:sz w:val="18"/>
        </w:rPr>
        <w:instrText xml:space="preserve"> PAGEREF _Toc187136033 \h </w:instrText>
      </w:r>
      <w:r w:rsidRPr="00F008F6">
        <w:rPr>
          <w:b w:val="0"/>
          <w:noProof/>
          <w:sz w:val="18"/>
        </w:rPr>
      </w:r>
      <w:r w:rsidRPr="00F008F6">
        <w:rPr>
          <w:b w:val="0"/>
          <w:noProof/>
          <w:sz w:val="18"/>
        </w:rPr>
        <w:fldChar w:fldCharType="separate"/>
      </w:r>
      <w:r w:rsidRPr="00F008F6">
        <w:rPr>
          <w:b w:val="0"/>
          <w:noProof/>
          <w:sz w:val="18"/>
        </w:rPr>
        <w:t>287</w:t>
      </w:r>
      <w:r w:rsidRPr="00F008F6">
        <w:rPr>
          <w:b w:val="0"/>
          <w:noProof/>
          <w:sz w:val="18"/>
        </w:rPr>
        <w:fldChar w:fldCharType="end"/>
      </w:r>
    </w:p>
    <w:p w14:paraId="3594FF55" w14:textId="075A243A"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1—Evaluation of prescription and other medicines by the Prescription Medicines Authorisation Branch</w:t>
      </w:r>
      <w:r w:rsidRPr="00F008F6">
        <w:rPr>
          <w:b w:val="0"/>
          <w:noProof/>
          <w:sz w:val="18"/>
        </w:rPr>
        <w:tab/>
      </w:r>
      <w:r w:rsidRPr="00F008F6">
        <w:rPr>
          <w:b w:val="0"/>
          <w:noProof/>
          <w:sz w:val="18"/>
        </w:rPr>
        <w:fldChar w:fldCharType="begin"/>
      </w:r>
      <w:r w:rsidRPr="00F008F6">
        <w:rPr>
          <w:b w:val="0"/>
          <w:noProof/>
          <w:sz w:val="18"/>
        </w:rPr>
        <w:instrText xml:space="preserve"> PAGEREF _Toc187136034 \h </w:instrText>
      </w:r>
      <w:r w:rsidRPr="00F008F6">
        <w:rPr>
          <w:b w:val="0"/>
          <w:noProof/>
          <w:sz w:val="18"/>
        </w:rPr>
      </w:r>
      <w:r w:rsidRPr="00F008F6">
        <w:rPr>
          <w:b w:val="0"/>
          <w:noProof/>
          <w:sz w:val="18"/>
        </w:rPr>
        <w:fldChar w:fldCharType="separate"/>
      </w:r>
      <w:r w:rsidRPr="00F008F6">
        <w:rPr>
          <w:b w:val="0"/>
          <w:noProof/>
          <w:sz w:val="18"/>
        </w:rPr>
        <w:t>287</w:t>
      </w:r>
      <w:r w:rsidRPr="00F008F6">
        <w:rPr>
          <w:b w:val="0"/>
          <w:noProof/>
          <w:sz w:val="18"/>
        </w:rPr>
        <w:fldChar w:fldCharType="end"/>
      </w:r>
    </w:p>
    <w:p w14:paraId="30142723" w14:textId="2E8F5936"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2—Evaluation of complementary medicines by the Complementary and OTC Medicines Branch</w:t>
      </w:r>
      <w:r w:rsidRPr="00F008F6">
        <w:rPr>
          <w:b w:val="0"/>
          <w:noProof/>
          <w:sz w:val="18"/>
        </w:rPr>
        <w:tab/>
      </w:r>
      <w:r w:rsidRPr="00F008F6">
        <w:rPr>
          <w:b w:val="0"/>
          <w:noProof/>
          <w:sz w:val="18"/>
        </w:rPr>
        <w:fldChar w:fldCharType="begin"/>
      </w:r>
      <w:r w:rsidRPr="00F008F6">
        <w:rPr>
          <w:b w:val="0"/>
          <w:noProof/>
          <w:sz w:val="18"/>
        </w:rPr>
        <w:instrText xml:space="preserve"> PAGEREF _Toc187136035 \h </w:instrText>
      </w:r>
      <w:r w:rsidRPr="00F008F6">
        <w:rPr>
          <w:b w:val="0"/>
          <w:noProof/>
          <w:sz w:val="18"/>
        </w:rPr>
      </w:r>
      <w:r w:rsidRPr="00F008F6">
        <w:rPr>
          <w:b w:val="0"/>
          <w:noProof/>
          <w:sz w:val="18"/>
        </w:rPr>
        <w:fldChar w:fldCharType="separate"/>
      </w:r>
      <w:r w:rsidRPr="00F008F6">
        <w:rPr>
          <w:b w:val="0"/>
          <w:noProof/>
          <w:sz w:val="18"/>
        </w:rPr>
        <w:t>288</w:t>
      </w:r>
      <w:r w:rsidRPr="00F008F6">
        <w:rPr>
          <w:b w:val="0"/>
          <w:noProof/>
          <w:sz w:val="18"/>
        </w:rPr>
        <w:fldChar w:fldCharType="end"/>
      </w:r>
    </w:p>
    <w:p w14:paraId="102E3997" w14:textId="5FAF86B8"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Part 3—Evaluation of non</w:t>
      </w:r>
      <w:r>
        <w:rPr>
          <w:noProof/>
        </w:rPr>
        <w:noBreakHyphen/>
        <w:t>prescription and other medicines by the Complementary and OTC Medicines Branch</w:t>
      </w:r>
      <w:r w:rsidRPr="00F008F6">
        <w:rPr>
          <w:b w:val="0"/>
          <w:noProof/>
          <w:sz w:val="18"/>
        </w:rPr>
        <w:tab/>
      </w:r>
      <w:r w:rsidRPr="00F008F6">
        <w:rPr>
          <w:b w:val="0"/>
          <w:noProof/>
          <w:sz w:val="18"/>
        </w:rPr>
        <w:fldChar w:fldCharType="begin"/>
      </w:r>
      <w:r w:rsidRPr="00F008F6">
        <w:rPr>
          <w:b w:val="0"/>
          <w:noProof/>
          <w:sz w:val="18"/>
        </w:rPr>
        <w:instrText xml:space="preserve"> PAGEREF _Toc187136036 \h </w:instrText>
      </w:r>
      <w:r w:rsidRPr="00F008F6">
        <w:rPr>
          <w:b w:val="0"/>
          <w:noProof/>
          <w:sz w:val="18"/>
        </w:rPr>
      </w:r>
      <w:r w:rsidRPr="00F008F6">
        <w:rPr>
          <w:b w:val="0"/>
          <w:noProof/>
          <w:sz w:val="18"/>
        </w:rPr>
        <w:fldChar w:fldCharType="separate"/>
      </w:r>
      <w:r w:rsidRPr="00F008F6">
        <w:rPr>
          <w:b w:val="0"/>
          <w:noProof/>
          <w:sz w:val="18"/>
        </w:rPr>
        <w:t>289</w:t>
      </w:r>
      <w:r w:rsidRPr="00F008F6">
        <w:rPr>
          <w:b w:val="0"/>
          <w:noProof/>
          <w:sz w:val="18"/>
        </w:rPr>
        <w:fldChar w:fldCharType="end"/>
      </w:r>
    </w:p>
    <w:p w14:paraId="58642175" w14:textId="594EC150" w:rsidR="00F008F6" w:rsidRDefault="00F008F6" w:rsidP="00EF338C">
      <w:pPr>
        <w:pStyle w:val="TOC1"/>
        <w:keepLines w:val="0"/>
        <w:rPr>
          <w:rFonts w:asciiTheme="minorHAnsi" w:eastAsiaTheme="minorEastAsia" w:hAnsiTheme="minorHAnsi" w:cstheme="minorBidi"/>
          <w:b w:val="0"/>
          <w:noProof/>
          <w:kern w:val="2"/>
          <w:sz w:val="24"/>
          <w:szCs w:val="24"/>
          <w14:ligatures w14:val="standardContextual"/>
        </w:rPr>
      </w:pPr>
      <w:r>
        <w:rPr>
          <w:noProof/>
        </w:rPr>
        <w:lastRenderedPageBreak/>
        <w:t>Schedule 12—Consumer medicine information documents</w:t>
      </w:r>
      <w:r w:rsidRPr="00F008F6">
        <w:rPr>
          <w:b w:val="0"/>
          <w:noProof/>
          <w:sz w:val="18"/>
        </w:rPr>
        <w:tab/>
      </w:r>
      <w:r w:rsidRPr="00F008F6">
        <w:rPr>
          <w:b w:val="0"/>
          <w:noProof/>
          <w:sz w:val="18"/>
        </w:rPr>
        <w:fldChar w:fldCharType="begin"/>
      </w:r>
      <w:r w:rsidRPr="00F008F6">
        <w:rPr>
          <w:b w:val="0"/>
          <w:noProof/>
          <w:sz w:val="18"/>
        </w:rPr>
        <w:instrText xml:space="preserve"> PAGEREF _Toc187136037 \h </w:instrText>
      </w:r>
      <w:r w:rsidRPr="00F008F6">
        <w:rPr>
          <w:b w:val="0"/>
          <w:noProof/>
          <w:sz w:val="18"/>
        </w:rPr>
      </w:r>
      <w:r w:rsidRPr="00F008F6">
        <w:rPr>
          <w:b w:val="0"/>
          <w:noProof/>
          <w:sz w:val="18"/>
        </w:rPr>
        <w:fldChar w:fldCharType="separate"/>
      </w:r>
      <w:r w:rsidRPr="00F008F6">
        <w:rPr>
          <w:b w:val="0"/>
          <w:noProof/>
          <w:sz w:val="18"/>
        </w:rPr>
        <w:t>290</w:t>
      </w:r>
      <w:r w:rsidRPr="00F008F6">
        <w:rPr>
          <w:b w:val="0"/>
          <w:noProof/>
          <w:sz w:val="18"/>
        </w:rPr>
        <w:fldChar w:fldCharType="end"/>
      </w:r>
    </w:p>
    <w:p w14:paraId="146469E9" w14:textId="24356833" w:rsidR="00F008F6" w:rsidRDefault="00F008F6" w:rsidP="00EF338C">
      <w:pPr>
        <w:pStyle w:val="TOC5"/>
        <w:keepNext/>
        <w:keepLines w:val="0"/>
        <w:rPr>
          <w:rFonts w:asciiTheme="minorHAnsi" w:eastAsiaTheme="minorEastAsia" w:hAnsiTheme="minorHAnsi" w:cstheme="minorBidi"/>
          <w:noProof/>
          <w:kern w:val="2"/>
          <w:sz w:val="24"/>
          <w:szCs w:val="24"/>
          <w14:ligatures w14:val="standardContextual"/>
        </w:rPr>
      </w:pPr>
      <w:r>
        <w:rPr>
          <w:noProof/>
        </w:rPr>
        <w:t>1</w:t>
      </w:r>
      <w:r>
        <w:rPr>
          <w:noProof/>
        </w:rPr>
        <w:tab/>
        <w:t>General requirements</w:t>
      </w:r>
      <w:r w:rsidRPr="00F008F6">
        <w:rPr>
          <w:noProof/>
        </w:rPr>
        <w:tab/>
      </w:r>
      <w:r w:rsidRPr="00F008F6">
        <w:rPr>
          <w:noProof/>
        </w:rPr>
        <w:fldChar w:fldCharType="begin"/>
      </w:r>
      <w:r w:rsidRPr="00F008F6">
        <w:rPr>
          <w:noProof/>
        </w:rPr>
        <w:instrText xml:space="preserve"> PAGEREF _Toc187136038 \h </w:instrText>
      </w:r>
      <w:r w:rsidRPr="00F008F6">
        <w:rPr>
          <w:noProof/>
        </w:rPr>
      </w:r>
      <w:r w:rsidRPr="00F008F6">
        <w:rPr>
          <w:noProof/>
        </w:rPr>
        <w:fldChar w:fldCharType="separate"/>
      </w:r>
      <w:r w:rsidRPr="00F008F6">
        <w:rPr>
          <w:noProof/>
        </w:rPr>
        <w:t>290</w:t>
      </w:r>
      <w:r w:rsidRPr="00F008F6">
        <w:rPr>
          <w:noProof/>
        </w:rPr>
        <w:fldChar w:fldCharType="end"/>
      </w:r>
    </w:p>
    <w:p w14:paraId="6B3FD267" w14:textId="6CEF38BC"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2</w:t>
      </w:r>
      <w:r>
        <w:rPr>
          <w:noProof/>
        </w:rPr>
        <w:tab/>
        <w:t>Specific requirements—document enclosed within packaging etc.</w:t>
      </w:r>
      <w:r w:rsidRPr="00F008F6">
        <w:rPr>
          <w:noProof/>
        </w:rPr>
        <w:tab/>
      </w:r>
      <w:r w:rsidRPr="00F008F6">
        <w:rPr>
          <w:noProof/>
        </w:rPr>
        <w:fldChar w:fldCharType="begin"/>
      </w:r>
      <w:r w:rsidRPr="00F008F6">
        <w:rPr>
          <w:noProof/>
        </w:rPr>
        <w:instrText xml:space="preserve"> PAGEREF _Toc187136039 \h </w:instrText>
      </w:r>
      <w:r w:rsidRPr="00F008F6">
        <w:rPr>
          <w:noProof/>
        </w:rPr>
      </w:r>
      <w:r w:rsidRPr="00F008F6">
        <w:rPr>
          <w:noProof/>
        </w:rPr>
        <w:fldChar w:fldCharType="separate"/>
      </w:r>
      <w:r w:rsidRPr="00F008F6">
        <w:rPr>
          <w:noProof/>
        </w:rPr>
        <w:t>290</w:t>
      </w:r>
      <w:r w:rsidRPr="00F008F6">
        <w:rPr>
          <w:noProof/>
        </w:rPr>
        <w:fldChar w:fldCharType="end"/>
      </w:r>
    </w:p>
    <w:p w14:paraId="0A77B38E" w14:textId="01BC74C5"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w:t>
      </w:r>
      <w:r>
        <w:rPr>
          <w:noProof/>
        </w:rPr>
        <w:tab/>
        <w:t>Specific requirements—document not enclosed within packaging etc.</w:t>
      </w:r>
      <w:r w:rsidRPr="00F008F6">
        <w:rPr>
          <w:noProof/>
        </w:rPr>
        <w:tab/>
      </w:r>
      <w:r w:rsidRPr="00F008F6">
        <w:rPr>
          <w:noProof/>
        </w:rPr>
        <w:fldChar w:fldCharType="begin"/>
      </w:r>
      <w:r w:rsidRPr="00F008F6">
        <w:rPr>
          <w:noProof/>
        </w:rPr>
        <w:instrText xml:space="preserve"> PAGEREF _Toc187136040 \h </w:instrText>
      </w:r>
      <w:r w:rsidRPr="00F008F6">
        <w:rPr>
          <w:noProof/>
        </w:rPr>
      </w:r>
      <w:r w:rsidRPr="00F008F6">
        <w:rPr>
          <w:noProof/>
        </w:rPr>
        <w:fldChar w:fldCharType="separate"/>
      </w:r>
      <w:r w:rsidRPr="00F008F6">
        <w:rPr>
          <w:noProof/>
        </w:rPr>
        <w:t>290</w:t>
      </w:r>
      <w:r w:rsidRPr="00F008F6">
        <w:rPr>
          <w:noProof/>
        </w:rPr>
        <w:fldChar w:fldCharType="end"/>
      </w:r>
    </w:p>
    <w:p w14:paraId="2D30050F" w14:textId="02B40131" w:rsidR="00F008F6" w:rsidRDefault="00F008F6" w:rsidP="00EF338C">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13—Consumer medicine information documents</w:t>
      </w:r>
      <w:r w:rsidRPr="00F008F6">
        <w:rPr>
          <w:b w:val="0"/>
          <w:noProof/>
          <w:sz w:val="18"/>
        </w:rPr>
        <w:tab/>
      </w:r>
      <w:r w:rsidRPr="00F008F6">
        <w:rPr>
          <w:b w:val="0"/>
          <w:noProof/>
          <w:sz w:val="18"/>
        </w:rPr>
        <w:fldChar w:fldCharType="begin"/>
      </w:r>
      <w:r w:rsidRPr="00F008F6">
        <w:rPr>
          <w:b w:val="0"/>
          <w:noProof/>
          <w:sz w:val="18"/>
        </w:rPr>
        <w:instrText xml:space="preserve"> PAGEREF _Toc187136041 \h </w:instrText>
      </w:r>
      <w:r w:rsidRPr="00F008F6">
        <w:rPr>
          <w:b w:val="0"/>
          <w:noProof/>
          <w:sz w:val="18"/>
        </w:rPr>
      </w:r>
      <w:r w:rsidRPr="00F008F6">
        <w:rPr>
          <w:b w:val="0"/>
          <w:noProof/>
          <w:sz w:val="18"/>
        </w:rPr>
        <w:fldChar w:fldCharType="separate"/>
      </w:r>
      <w:r w:rsidRPr="00F008F6">
        <w:rPr>
          <w:b w:val="0"/>
          <w:noProof/>
          <w:sz w:val="18"/>
        </w:rPr>
        <w:t>291</w:t>
      </w:r>
      <w:r w:rsidRPr="00F008F6">
        <w:rPr>
          <w:b w:val="0"/>
          <w:noProof/>
          <w:sz w:val="18"/>
        </w:rPr>
        <w:fldChar w:fldCharType="end"/>
      </w:r>
    </w:p>
    <w:p w14:paraId="263EEC50" w14:textId="4628FB2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w:t>
      </w:r>
      <w:r>
        <w:rPr>
          <w:noProof/>
        </w:rPr>
        <w:tab/>
        <w:t>General requirements</w:t>
      </w:r>
      <w:r w:rsidRPr="00F008F6">
        <w:rPr>
          <w:noProof/>
        </w:rPr>
        <w:tab/>
      </w:r>
      <w:r w:rsidRPr="00F008F6">
        <w:rPr>
          <w:noProof/>
        </w:rPr>
        <w:fldChar w:fldCharType="begin"/>
      </w:r>
      <w:r w:rsidRPr="00F008F6">
        <w:rPr>
          <w:noProof/>
        </w:rPr>
        <w:instrText xml:space="preserve"> PAGEREF _Toc187136042 \h </w:instrText>
      </w:r>
      <w:r w:rsidRPr="00F008F6">
        <w:rPr>
          <w:noProof/>
        </w:rPr>
      </w:r>
      <w:r w:rsidRPr="00F008F6">
        <w:rPr>
          <w:noProof/>
        </w:rPr>
        <w:fldChar w:fldCharType="separate"/>
      </w:r>
      <w:r w:rsidRPr="00F008F6">
        <w:rPr>
          <w:noProof/>
        </w:rPr>
        <w:t>291</w:t>
      </w:r>
      <w:r w:rsidRPr="00F008F6">
        <w:rPr>
          <w:noProof/>
        </w:rPr>
        <w:fldChar w:fldCharType="end"/>
      </w:r>
    </w:p>
    <w:p w14:paraId="56FC8710" w14:textId="7F7EE38B"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2</w:t>
      </w:r>
      <w:r>
        <w:rPr>
          <w:noProof/>
        </w:rPr>
        <w:tab/>
        <w:t>Specific requirements—document enclosed within packaging etc.</w:t>
      </w:r>
      <w:r w:rsidRPr="00F008F6">
        <w:rPr>
          <w:noProof/>
        </w:rPr>
        <w:tab/>
      </w:r>
      <w:r w:rsidRPr="00F008F6">
        <w:rPr>
          <w:noProof/>
        </w:rPr>
        <w:fldChar w:fldCharType="begin"/>
      </w:r>
      <w:r w:rsidRPr="00F008F6">
        <w:rPr>
          <w:noProof/>
        </w:rPr>
        <w:instrText xml:space="preserve"> PAGEREF _Toc187136043 \h </w:instrText>
      </w:r>
      <w:r w:rsidRPr="00F008F6">
        <w:rPr>
          <w:noProof/>
        </w:rPr>
      </w:r>
      <w:r w:rsidRPr="00F008F6">
        <w:rPr>
          <w:noProof/>
        </w:rPr>
        <w:fldChar w:fldCharType="separate"/>
      </w:r>
      <w:r w:rsidRPr="00F008F6">
        <w:rPr>
          <w:noProof/>
        </w:rPr>
        <w:t>291</w:t>
      </w:r>
      <w:r w:rsidRPr="00F008F6">
        <w:rPr>
          <w:noProof/>
        </w:rPr>
        <w:fldChar w:fldCharType="end"/>
      </w:r>
    </w:p>
    <w:p w14:paraId="30D64E06" w14:textId="1E18C6B2"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3</w:t>
      </w:r>
      <w:r>
        <w:rPr>
          <w:noProof/>
        </w:rPr>
        <w:tab/>
        <w:t>Specific requirements—document not enclosed within packaging etc.</w:t>
      </w:r>
      <w:r w:rsidRPr="00F008F6">
        <w:rPr>
          <w:noProof/>
        </w:rPr>
        <w:tab/>
      </w:r>
      <w:r w:rsidRPr="00F008F6">
        <w:rPr>
          <w:noProof/>
        </w:rPr>
        <w:fldChar w:fldCharType="begin"/>
      </w:r>
      <w:r w:rsidRPr="00F008F6">
        <w:rPr>
          <w:noProof/>
        </w:rPr>
        <w:instrText xml:space="preserve"> PAGEREF _Toc187136044 \h </w:instrText>
      </w:r>
      <w:r w:rsidRPr="00F008F6">
        <w:rPr>
          <w:noProof/>
        </w:rPr>
      </w:r>
      <w:r w:rsidRPr="00F008F6">
        <w:rPr>
          <w:noProof/>
        </w:rPr>
        <w:fldChar w:fldCharType="separate"/>
      </w:r>
      <w:r w:rsidRPr="00F008F6">
        <w:rPr>
          <w:noProof/>
        </w:rPr>
        <w:t>291</w:t>
      </w:r>
      <w:r w:rsidRPr="00F008F6">
        <w:rPr>
          <w:noProof/>
        </w:rPr>
        <w:fldChar w:fldCharType="end"/>
      </w:r>
    </w:p>
    <w:p w14:paraId="287C1486" w14:textId="309A654A" w:rsidR="00F008F6" w:rsidRDefault="00F008F6" w:rsidP="00EF338C">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14—Designated active ingredients</w:t>
      </w:r>
      <w:r w:rsidRPr="00F008F6">
        <w:rPr>
          <w:b w:val="0"/>
          <w:noProof/>
          <w:sz w:val="18"/>
        </w:rPr>
        <w:tab/>
      </w:r>
      <w:r w:rsidRPr="00F008F6">
        <w:rPr>
          <w:b w:val="0"/>
          <w:noProof/>
          <w:sz w:val="18"/>
        </w:rPr>
        <w:fldChar w:fldCharType="begin"/>
      </w:r>
      <w:r w:rsidRPr="00F008F6">
        <w:rPr>
          <w:b w:val="0"/>
          <w:noProof/>
          <w:sz w:val="18"/>
        </w:rPr>
        <w:instrText xml:space="preserve"> PAGEREF _Toc187136045 \h </w:instrText>
      </w:r>
      <w:r w:rsidRPr="00F008F6">
        <w:rPr>
          <w:b w:val="0"/>
          <w:noProof/>
          <w:sz w:val="18"/>
        </w:rPr>
      </w:r>
      <w:r w:rsidRPr="00F008F6">
        <w:rPr>
          <w:b w:val="0"/>
          <w:noProof/>
          <w:sz w:val="18"/>
        </w:rPr>
        <w:fldChar w:fldCharType="separate"/>
      </w:r>
      <w:r w:rsidRPr="00F008F6">
        <w:rPr>
          <w:b w:val="0"/>
          <w:noProof/>
          <w:sz w:val="18"/>
        </w:rPr>
        <w:t>292</w:t>
      </w:r>
      <w:r w:rsidRPr="00F008F6">
        <w:rPr>
          <w:b w:val="0"/>
          <w:noProof/>
          <w:sz w:val="18"/>
        </w:rPr>
        <w:fldChar w:fldCharType="end"/>
      </w:r>
    </w:p>
    <w:p w14:paraId="3B2C1213" w14:textId="7660DB0C" w:rsidR="00F008F6" w:rsidRDefault="00F008F6" w:rsidP="00EF338C">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16—Classes of biologicals</w:t>
      </w:r>
      <w:r w:rsidRPr="00F008F6">
        <w:rPr>
          <w:b w:val="0"/>
          <w:noProof/>
          <w:sz w:val="18"/>
        </w:rPr>
        <w:tab/>
      </w:r>
      <w:r w:rsidRPr="00F008F6">
        <w:rPr>
          <w:b w:val="0"/>
          <w:noProof/>
          <w:sz w:val="18"/>
        </w:rPr>
        <w:fldChar w:fldCharType="begin"/>
      </w:r>
      <w:r w:rsidRPr="00F008F6">
        <w:rPr>
          <w:b w:val="0"/>
          <w:noProof/>
          <w:sz w:val="18"/>
        </w:rPr>
        <w:instrText xml:space="preserve"> PAGEREF _Toc187136046 \h </w:instrText>
      </w:r>
      <w:r w:rsidRPr="00F008F6">
        <w:rPr>
          <w:b w:val="0"/>
          <w:noProof/>
          <w:sz w:val="18"/>
        </w:rPr>
      </w:r>
      <w:r w:rsidRPr="00F008F6">
        <w:rPr>
          <w:b w:val="0"/>
          <w:noProof/>
          <w:sz w:val="18"/>
        </w:rPr>
        <w:fldChar w:fldCharType="separate"/>
      </w:r>
      <w:r w:rsidRPr="00F008F6">
        <w:rPr>
          <w:b w:val="0"/>
          <w:noProof/>
          <w:sz w:val="18"/>
        </w:rPr>
        <w:t>293</w:t>
      </w:r>
      <w:r w:rsidRPr="00F008F6">
        <w:rPr>
          <w:b w:val="0"/>
          <w:noProof/>
          <w:sz w:val="18"/>
        </w:rPr>
        <w:fldChar w:fldCharType="end"/>
      </w:r>
    </w:p>
    <w:p w14:paraId="24BE41FD" w14:textId="7741613D"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1A</w:t>
      </w:r>
      <w:r>
        <w:rPr>
          <w:noProof/>
        </w:rPr>
        <w:tab/>
        <w:t>Class 1 biologicals</w:t>
      </w:r>
      <w:r w:rsidRPr="00F008F6">
        <w:rPr>
          <w:noProof/>
        </w:rPr>
        <w:tab/>
      </w:r>
      <w:r w:rsidRPr="00F008F6">
        <w:rPr>
          <w:noProof/>
        </w:rPr>
        <w:fldChar w:fldCharType="begin"/>
      </w:r>
      <w:r w:rsidRPr="00F008F6">
        <w:rPr>
          <w:noProof/>
        </w:rPr>
        <w:instrText xml:space="preserve"> PAGEREF _Toc187136047 \h </w:instrText>
      </w:r>
      <w:r w:rsidRPr="00F008F6">
        <w:rPr>
          <w:noProof/>
        </w:rPr>
      </w:r>
      <w:r w:rsidRPr="00F008F6">
        <w:rPr>
          <w:noProof/>
        </w:rPr>
        <w:fldChar w:fldCharType="separate"/>
      </w:r>
      <w:r w:rsidRPr="00F008F6">
        <w:rPr>
          <w:noProof/>
        </w:rPr>
        <w:t>293</w:t>
      </w:r>
      <w:r w:rsidRPr="00F008F6">
        <w:rPr>
          <w:noProof/>
        </w:rPr>
        <w:fldChar w:fldCharType="end"/>
      </w:r>
    </w:p>
    <w:p w14:paraId="31F64DA5" w14:textId="7E25C47F" w:rsidR="00F008F6" w:rsidRDefault="00F008F6" w:rsidP="00EF338C">
      <w:pPr>
        <w:pStyle w:val="TOC5"/>
        <w:keepLines w:val="0"/>
        <w:rPr>
          <w:rFonts w:asciiTheme="minorHAnsi" w:eastAsiaTheme="minorEastAsia" w:hAnsiTheme="minorHAnsi" w:cstheme="minorBidi"/>
          <w:noProof/>
          <w:kern w:val="2"/>
          <w:sz w:val="24"/>
          <w:szCs w:val="24"/>
          <w14:ligatures w14:val="standardContextual"/>
        </w:rPr>
      </w:pPr>
      <w:r>
        <w:rPr>
          <w:noProof/>
        </w:rPr>
        <w:t>1</w:t>
      </w:r>
      <w:r>
        <w:rPr>
          <w:noProof/>
        </w:rPr>
        <w:tab/>
        <w:t>Class 4 biologicals</w:t>
      </w:r>
      <w:r w:rsidRPr="00F008F6">
        <w:rPr>
          <w:noProof/>
        </w:rPr>
        <w:tab/>
      </w:r>
      <w:r w:rsidRPr="00F008F6">
        <w:rPr>
          <w:noProof/>
        </w:rPr>
        <w:fldChar w:fldCharType="begin"/>
      </w:r>
      <w:r w:rsidRPr="00F008F6">
        <w:rPr>
          <w:noProof/>
        </w:rPr>
        <w:instrText xml:space="preserve"> PAGEREF _Toc187136048 \h </w:instrText>
      </w:r>
      <w:r w:rsidRPr="00F008F6">
        <w:rPr>
          <w:noProof/>
        </w:rPr>
      </w:r>
      <w:r w:rsidRPr="00F008F6">
        <w:rPr>
          <w:noProof/>
        </w:rPr>
        <w:fldChar w:fldCharType="separate"/>
      </w:r>
      <w:r w:rsidRPr="00F008F6">
        <w:rPr>
          <w:noProof/>
        </w:rPr>
        <w:t>293</w:t>
      </w:r>
      <w:r w:rsidRPr="00F008F6">
        <w:rPr>
          <w:noProof/>
        </w:rPr>
        <w:fldChar w:fldCharType="end"/>
      </w:r>
    </w:p>
    <w:p w14:paraId="510D7866" w14:textId="4B8548D0" w:rsidR="00F008F6" w:rsidRDefault="00F008F6" w:rsidP="00EF338C">
      <w:pPr>
        <w:pStyle w:val="TOC2"/>
        <w:keepNext w:val="0"/>
        <w:keepLines w:val="0"/>
        <w:rPr>
          <w:rFonts w:asciiTheme="minorHAnsi" w:eastAsiaTheme="minorEastAsia" w:hAnsiTheme="minorHAnsi" w:cstheme="minorBidi"/>
          <w:b w:val="0"/>
          <w:noProof/>
          <w:kern w:val="2"/>
          <w:szCs w:val="24"/>
          <w14:ligatures w14:val="standardContextual"/>
        </w:rPr>
      </w:pPr>
      <w:r>
        <w:rPr>
          <w:noProof/>
        </w:rPr>
        <w:t>Endnotes</w:t>
      </w:r>
      <w:r w:rsidRPr="00F008F6">
        <w:rPr>
          <w:b w:val="0"/>
          <w:noProof/>
          <w:sz w:val="18"/>
        </w:rPr>
        <w:tab/>
      </w:r>
      <w:r w:rsidRPr="00F008F6">
        <w:rPr>
          <w:b w:val="0"/>
          <w:noProof/>
          <w:sz w:val="18"/>
        </w:rPr>
        <w:fldChar w:fldCharType="begin"/>
      </w:r>
      <w:r w:rsidRPr="00F008F6">
        <w:rPr>
          <w:b w:val="0"/>
          <w:noProof/>
          <w:sz w:val="18"/>
        </w:rPr>
        <w:instrText xml:space="preserve"> PAGEREF _Toc187136049 \h </w:instrText>
      </w:r>
      <w:r w:rsidRPr="00F008F6">
        <w:rPr>
          <w:b w:val="0"/>
          <w:noProof/>
          <w:sz w:val="18"/>
        </w:rPr>
      </w:r>
      <w:r w:rsidRPr="00F008F6">
        <w:rPr>
          <w:b w:val="0"/>
          <w:noProof/>
          <w:sz w:val="18"/>
        </w:rPr>
        <w:fldChar w:fldCharType="separate"/>
      </w:r>
      <w:r w:rsidRPr="00F008F6">
        <w:rPr>
          <w:b w:val="0"/>
          <w:noProof/>
          <w:sz w:val="18"/>
        </w:rPr>
        <w:t>294</w:t>
      </w:r>
      <w:r w:rsidRPr="00F008F6">
        <w:rPr>
          <w:b w:val="0"/>
          <w:noProof/>
          <w:sz w:val="18"/>
        </w:rPr>
        <w:fldChar w:fldCharType="end"/>
      </w:r>
    </w:p>
    <w:p w14:paraId="0CD0C982" w14:textId="5AAF8FBB"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Endnote 1—About the endnotes</w:t>
      </w:r>
      <w:r w:rsidRPr="00F008F6">
        <w:rPr>
          <w:b w:val="0"/>
          <w:noProof/>
          <w:sz w:val="18"/>
        </w:rPr>
        <w:tab/>
      </w:r>
      <w:r w:rsidRPr="00F008F6">
        <w:rPr>
          <w:b w:val="0"/>
          <w:noProof/>
          <w:sz w:val="18"/>
        </w:rPr>
        <w:fldChar w:fldCharType="begin"/>
      </w:r>
      <w:r w:rsidRPr="00F008F6">
        <w:rPr>
          <w:b w:val="0"/>
          <w:noProof/>
          <w:sz w:val="18"/>
        </w:rPr>
        <w:instrText xml:space="preserve"> PAGEREF _Toc187136050 \h </w:instrText>
      </w:r>
      <w:r w:rsidRPr="00F008F6">
        <w:rPr>
          <w:b w:val="0"/>
          <w:noProof/>
          <w:sz w:val="18"/>
        </w:rPr>
      </w:r>
      <w:r w:rsidRPr="00F008F6">
        <w:rPr>
          <w:b w:val="0"/>
          <w:noProof/>
          <w:sz w:val="18"/>
        </w:rPr>
        <w:fldChar w:fldCharType="separate"/>
      </w:r>
      <w:r w:rsidRPr="00F008F6">
        <w:rPr>
          <w:b w:val="0"/>
          <w:noProof/>
          <w:sz w:val="18"/>
        </w:rPr>
        <w:t>294</w:t>
      </w:r>
      <w:r w:rsidRPr="00F008F6">
        <w:rPr>
          <w:b w:val="0"/>
          <w:noProof/>
          <w:sz w:val="18"/>
        </w:rPr>
        <w:fldChar w:fldCharType="end"/>
      </w:r>
    </w:p>
    <w:p w14:paraId="40CF3BA5" w14:textId="74E81C65"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Endnote 2—Abbreviation key</w:t>
      </w:r>
      <w:r w:rsidRPr="00F008F6">
        <w:rPr>
          <w:b w:val="0"/>
          <w:noProof/>
          <w:sz w:val="18"/>
        </w:rPr>
        <w:tab/>
      </w:r>
      <w:r w:rsidRPr="00F008F6">
        <w:rPr>
          <w:b w:val="0"/>
          <w:noProof/>
          <w:sz w:val="18"/>
        </w:rPr>
        <w:fldChar w:fldCharType="begin"/>
      </w:r>
      <w:r w:rsidRPr="00F008F6">
        <w:rPr>
          <w:b w:val="0"/>
          <w:noProof/>
          <w:sz w:val="18"/>
        </w:rPr>
        <w:instrText xml:space="preserve"> PAGEREF _Toc187136051 \h </w:instrText>
      </w:r>
      <w:r w:rsidRPr="00F008F6">
        <w:rPr>
          <w:b w:val="0"/>
          <w:noProof/>
          <w:sz w:val="18"/>
        </w:rPr>
      </w:r>
      <w:r w:rsidRPr="00F008F6">
        <w:rPr>
          <w:b w:val="0"/>
          <w:noProof/>
          <w:sz w:val="18"/>
        </w:rPr>
        <w:fldChar w:fldCharType="separate"/>
      </w:r>
      <w:r w:rsidRPr="00F008F6">
        <w:rPr>
          <w:b w:val="0"/>
          <w:noProof/>
          <w:sz w:val="18"/>
        </w:rPr>
        <w:t>295</w:t>
      </w:r>
      <w:r w:rsidRPr="00F008F6">
        <w:rPr>
          <w:b w:val="0"/>
          <w:noProof/>
          <w:sz w:val="18"/>
        </w:rPr>
        <w:fldChar w:fldCharType="end"/>
      </w:r>
    </w:p>
    <w:p w14:paraId="6930045A" w14:textId="5DD2E6F1"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Endnote 3—Legislation history</w:t>
      </w:r>
      <w:r w:rsidRPr="00F008F6">
        <w:rPr>
          <w:b w:val="0"/>
          <w:noProof/>
          <w:sz w:val="18"/>
        </w:rPr>
        <w:tab/>
      </w:r>
      <w:r w:rsidRPr="00F008F6">
        <w:rPr>
          <w:b w:val="0"/>
          <w:noProof/>
          <w:sz w:val="18"/>
        </w:rPr>
        <w:fldChar w:fldCharType="begin"/>
      </w:r>
      <w:r w:rsidRPr="00F008F6">
        <w:rPr>
          <w:b w:val="0"/>
          <w:noProof/>
          <w:sz w:val="18"/>
        </w:rPr>
        <w:instrText xml:space="preserve"> PAGEREF _Toc187136052 \h </w:instrText>
      </w:r>
      <w:r w:rsidRPr="00F008F6">
        <w:rPr>
          <w:b w:val="0"/>
          <w:noProof/>
          <w:sz w:val="18"/>
        </w:rPr>
      </w:r>
      <w:r w:rsidRPr="00F008F6">
        <w:rPr>
          <w:b w:val="0"/>
          <w:noProof/>
          <w:sz w:val="18"/>
        </w:rPr>
        <w:fldChar w:fldCharType="separate"/>
      </w:r>
      <w:r w:rsidRPr="00F008F6">
        <w:rPr>
          <w:b w:val="0"/>
          <w:noProof/>
          <w:sz w:val="18"/>
        </w:rPr>
        <w:t>296</w:t>
      </w:r>
      <w:r w:rsidRPr="00F008F6">
        <w:rPr>
          <w:b w:val="0"/>
          <w:noProof/>
          <w:sz w:val="18"/>
        </w:rPr>
        <w:fldChar w:fldCharType="end"/>
      </w:r>
    </w:p>
    <w:p w14:paraId="7223E19C" w14:textId="1C15B3AC" w:rsidR="00F008F6" w:rsidRDefault="00F008F6" w:rsidP="00EF338C">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Endnote 4—Amendment history</w:t>
      </w:r>
      <w:r w:rsidRPr="00F008F6">
        <w:rPr>
          <w:b w:val="0"/>
          <w:noProof/>
          <w:sz w:val="18"/>
        </w:rPr>
        <w:tab/>
      </w:r>
      <w:r w:rsidRPr="00F008F6">
        <w:rPr>
          <w:b w:val="0"/>
          <w:noProof/>
          <w:sz w:val="18"/>
        </w:rPr>
        <w:fldChar w:fldCharType="begin"/>
      </w:r>
      <w:r w:rsidRPr="00F008F6">
        <w:rPr>
          <w:b w:val="0"/>
          <w:noProof/>
          <w:sz w:val="18"/>
        </w:rPr>
        <w:instrText xml:space="preserve"> PAGEREF _Toc187136053 \h </w:instrText>
      </w:r>
      <w:r w:rsidRPr="00F008F6">
        <w:rPr>
          <w:b w:val="0"/>
          <w:noProof/>
          <w:sz w:val="18"/>
        </w:rPr>
      </w:r>
      <w:r w:rsidRPr="00F008F6">
        <w:rPr>
          <w:b w:val="0"/>
          <w:noProof/>
          <w:sz w:val="18"/>
        </w:rPr>
        <w:fldChar w:fldCharType="separate"/>
      </w:r>
      <w:r w:rsidRPr="00F008F6">
        <w:rPr>
          <w:b w:val="0"/>
          <w:noProof/>
          <w:sz w:val="18"/>
        </w:rPr>
        <w:t>304</w:t>
      </w:r>
      <w:r w:rsidRPr="00F008F6">
        <w:rPr>
          <w:b w:val="0"/>
          <w:noProof/>
          <w:sz w:val="18"/>
        </w:rPr>
        <w:fldChar w:fldCharType="end"/>
      </w:r>
    </w:p>
    <w:p w14:paraId="3B942EBC" w14:textId="6593139B" w:rsidR="00A171B2" w:rsidRPr="005E3B43" w:rsidRDefault="00EA14A2" w:rsidP="00C30FDD">
      <w:pPr>
        <w:tabs>
          <w:tab w:val="right" w:pos="6804"/>
          <w:tab w:val="right" w:pos="7230"/>
        </w:tabs>
        <w:ind w:right="1792"/>
        <w:sectPr w:rsidR="00A171B2" w:rsidRPr="005E3B43" w:rsidSect="001444B1">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5E3B43">
        <w:rPr>
          <w:rFonts w:cs="Times New Roman"/>
          <w:sz w:val="18"/>
        </w:rPr>
        <w:fldChar w:fldCharType="end"/>
      </w:r>
    </w:p>
    <w:p w14:paraId="3ED1AD4D" w14:textId="77777777" w:rsidR="00207B1C" w:rsidRPr="005E3B43" w:rsidRDefault="00207B1C" w:rsidP="00763BCF">
      <w:pPr>
        <w:pStyle w:val="ActHead2"/>
      </w:pPr>
      <w:bookmarkStart w:id="0" w:name="_Toc187135595"/>
      <w:r w:rsidRPr="005E3B43">
        <w:rPr>
          <w:rStyle w:val="CharPartNo"/>
        </w:rPr>
        <w:lastRenderedPageBreak/>
        <w:t>Part</w:t>
      </w:r>
      <w:r w:rsidR="004E6D00" w:rsidRPr="005E3B43">
        <w:rPr>
          <w:rStyle w:val="CharPartNo"/>
        </w:rPr>
        <w:t> </w:t>
      </w:r>
      <w:r w:rsidRPr="005E3B43">
        <w:rPr>
          <w:rStyle w:val="CharPartNo"/>
        </w:rPr>
        <w:t>1</w:t>
      </w:r>
      <w:r w:rsidR="00E20BA4" w:rsidRPr="005E3B43">
        <w:t>—</w:t>
      </w:r>
      <w:r w:rsidRPr="005E3B43">
        <w:rPr>
          <w:rStyle w:val="CharPartText"/>
        </w:rPr>
        <w:t>Preliminary</w:t>
      </w:r>
      <w:bookmarkEnd w:id="0"/>
    </w:p>
    <w:p w14:paraId="0CF235FF" w14:textId="77777777" w:rsidR="00207B1C" w:rsidRPr="005E3B43" w:rsidRDefault="00E20BA4" w:rsidP="00763BCF">
      <w:pPr>
        <w:pStyle w:val="Header"/>
      </w:pPr>
      <w:r w:rsidRPr="005E3B43">
        <w:rPr>
          <w:rStyle w:val="CharDivNo"/>
        </w:rPr>
        <w:t xml:space="preserve"> </w:t>
      </w:r>
      <w:r w:rsidRPr="005E3B43">
        <w:rPr>
          <w:rStyle w:val="CharDivText"/>
        </w:rPr>
        <w:t xml:space="preserve"> </w:t>
      </w:r>
    </w:p>
    <w:p w14:paraId="430E3501" w14:textId="77777777" w:rsidR="00207B1C" w:rsidRPr="005E3B43" w:rsidRDefault="00207B1C" w:rsidP="00763BCF">
      <w:pPr>
        <w:pStyle w:val="ActHead5"/>
      </w:pPr>
      <w:bookmarkStart w:id="1" w:name="_Toc187135596"/>
      <w:r w:rsidRPr="005E3B43">
        <w:rPr>
          <w:rStyle w:val="CharSectno"/>
        </w:rPr>
        <w:t>1</w:t>
      </w:r>
      <w:r w:rsidR="00E20BA4" w:rsidRPr="005E3B43">
        <w:t xml:space="preserve">  </w:t>
      </w:r>
      <w:r w:rsidRPr="005E3B43">
        <w:t>Name of Regulations</w:t>
      </w:r>
      <w:bookmarkEnd w:id="1"/>
    </w:p>
    <w:p w14:paraId="13143824" w14:textId="0E132840" w:rsidR="00207B1C" w:rsidRPr="005E3B43" w:rsidRDefault="00207B1C" w:rsidP="00763BCF">
      <w:pPr>
        <w:pStyle w:val="subsection"/>
      </w:pPr>
      <w:r w:rsidRPr="005E3B43">
        <w:tab/>
      </w:r>
      <w:r w:rsidRPr="005E3B43">
        <w:tab/>
        <w:t xml:space="preserve">These Regulations are the </w:t>
      </w:r>
      <w:r w:rsidRPr="005E3B43">
        <w:rPr>
          <w:i/>
        </w:rPr>
        <w:t xml:space="preserve">Therapeutic Goods </w:t>
      </w:r>
      <w:r w:rsidR="007C3215">
        <w:rPr>
          <w:i/>
        </w:rPr>
        <w:t>Regulations 1</w:t>
      </w:r>
      <w:r w:rsidRPr="005E3B43">
        <w:rPr>
          <w:i/>
        </w:rPr>
        <w:t>990</w:t>
      </w:r>
      <w:r w:rsidRPr="005E3B43">
        <w:t>.</w:t>
      </w:r>
    </w:p>
    <w:p w14:paraId="09BA6937" w14:textId="77777777" w:rsidR="00207B1C" w:rsidRPr="005E3B43" w:rsidRDefault="00207B1C" w:rsidP="00763BCF">
      <w:pPr>
        <w:pStyle w:val="ActHead5"/>
      </w:pPr>
      <w:bookmarkStart w:id="2" w:name="_Toc187135597"/>
      <w:r w:rsidRPr="005E3B43">
        <w:rPr>
          <w:rStyle w:val="CharSectno"/>
        </w:rPr>
        <w:t>2</w:t>
      </w:r>
      <w:r w:rsidR="00E20BA4" w:rsidRPr="005E3B43">
        <w:t xml:space="preserve">  </w:t>
      </w:r>
      <w:r w:rsidRPr="005E3B43">
        <w:t>Interpretation</w:t>
      </w:r>
      <w:bookmarkEnd w:id="2"/>
    </w:p>
    <w:p w14:paraId="4F6315EE" w14:textId="77777777" w:rsidR="00207B1C" w:rsidRPr="005E3B43" w:rsidRDefault="00207B1C" w:rsidP="00763BCF">
      <w:pPr>
        <w:pStyle w:val="subsection"/>
      </w:pPr>
      <w:r w:rsidRPr="005E3B43">
        <w:tab/>
      </w:r>
      <w:r w:rsidRPr="005E3B43">
        <w:tab/>
        <w:t>In these Regulations, unless the contrary intention appears:</w:t>
      </w:r>
    </w:p>
    <w:p w14:paraId="274D3915" w14:textId="77777777" w:rsidR="00677E21" w:rsidRPr="005E3B43" w:rsidRDefault="00677E21" w:rsidP="00763BCF">
      <w:pPr>
        <w:pStyle w:val="Definition"/>
      </w:pPr>
      <w:r w:rsidRPr="005E3B43">
        <w:rPr>
          <w:b/>
          <w:i/>
        </w:rPr>
        <w:t>active ingredient</w:t>
      </w:r>
      <w:r w:rsidRPr="005E3B43">
        <w:t>, for a medicine, means a therapeutically active component in the medicine’s final formulation that is responsible for its physiological or pharmacological action.</w:t>
      </w:r>
    </w:p>
    <w:p w14:paraId="5893AA80" w14:textId="77777777" w:rsidR="00102755" w:rsidRPr="005E3B43" w:rsidRDefault="00102755" w:rsidP="00763BCF">
      <w:pPr>
        <w:pStyle w:val="Definition"/>
      </w:pPr>
      <w:r w:rsidRPr="005E3B43">
        <w:rPr>
          <w:b/>
          <w:i/>
        </w:rPr>
        <w:t>AHPRA number</w:t>
      </w:r>
      <w:r w:rsidRPr="005E3B43">
        <w:t>, of a health practitioner, means the registration number published by the Australian Health Practitioner Regulation Agency in relation to the health practitioner.</w:t>
      </w:r>
    </w:p>
    <w:p w14:paraId="3400E278" w14:textId="77777777" w:rsidR="00207B1C" w:rsidRPr="005E3B43" w:rsidRDefault="00207B1C" w:rsidP="00763BCF">
      <w:pPr>
        <w:pStyle w:val="Definition"/>
      </w:pPr>
      <w:r w:rsidRPr="005E3B43">
        <w:rPr>
          <w:b/>
          <w:i/>
        </w:rPr>
        <w:t>analysis</w:t>
      </w:r>
      <w:r w:rsidRPr="005E3B43">
        <w:t xml:space="preserve"> includes examination and testing.</w:t>
      </w:r>
    </w:p>
    <w:p w14:paraId="20FCD3A3" w14:textId="77777777" w:rsidR="00207B1C" w:rsidRPr="005E3B43" w:rsidRDefault="00207B1C" w:rsidP="00763BCF">
      <w:pPr>
        <w:pStyle w:val="Definition"/>
      </w:pPr>
      <w:r w:rsidRPr="005E3B43">
        <w:rPr>
          <w:b/>
          <w:i/>
        </w:rPr>
        <w:t>antiseptic</w:t>
      </w:r>
      <w:r w:rsidRPr="005E3B43">
        <w:t xml:space="preserve"> means a substance:</w:t>
      </w:r>
    </w:p>
    <w:p w14:paraId="1E4FD6FA" w14:textId="77777777" w:rsidR="00207B1C" w:rsidRPr="005E3B43" w:rsidRDefault="00207B1C" w:rsidP="00763BCF">
      <w:pPr>
        <w:pStyle w:val="paragraph"/>
      </w:pPr>
      <w:r w:rsidRPr="005E3B43">
        <w:tab/>
        <w:t>(a)</w:t>
      </w:r>
      <w:r w:rsidRPr="005E3B43">
        <w:tab/>
        <w:t>that is recommended by its manufacturer for:</w:t>
      </w:r>
    </w:p>
    <w:p w14:paraId="77F70896" w14:textId="77777777" w:rsidR="00207B1C" w:rsidRPr="005E3B43" w:rsidRDefault="00207B1C" w:rsidP="00763BCF">
      <w:pPr>
        <w:pStyle w:val="paragraphsub"/>
      </w:pPr>
      <w:r w:rsidRPr="005E3B43">
        <w:tab/>
        <w:t>(i)</w:t>
      </w:r>
      <w:r w:rsidRPr="005E3B43">
        <w:tab/>
        <w:t>dermal application; or</w:t>
      </w:r>
    </w:p>
    <w:p w14:paraId="5B11658A" w14:textId="77777777" w:rsidR="00207B1C" w:rsidRPr="005E3B43" w:rsidRDefault="00207B1C" w:rsidP="00763BCF">
      <w:pPr>
        <w:pStyle w:val="paragraphsub"/>
      </w:pPr>
      <w:r w:rsidRPr="005E3B43">
        <w:tab/>
        <w:t>(ii)</w:t>
      </w:r>
      <w:r w:rsidRPr="005E3B43">
        <w:tab/>
        <w:t>application to the mucous membranes of a person or an animal:</w:t>
      </w:r>
    </w:p>
    <w:p w14:paraId="4571537F" w14:textId="77777777" w:rsidR="00207B1C" w:rsidRPr="005E3B43" w:rsidRDefault="00207B1C" w:rsidP="00763BCF">
      <w:pPr>
        <w:pStyle w:val="paragraphsub-sub"/>
      </w:pPr>
      <w:r w:rsidRPr="005E3B43">
        <w:tab/>
        <w:t>(A)</w:t>
      </w:r>
      <w:r w:rsidRPr="005E3B43">
        <w:tab/>
        <w:t>to kill micro organisms; or</w:t>
      </w:r>
    </w:p>
    <w:p w14:paraId="279D0C59" w14:textId="77777777" w:rsidR="00207B1C" w:rsidRPr="005E3B43" w:rsidRDefault="00207B1C" w:rsidP="00763BCF">
      <w:pPr>
        <w:pStyle w:val="paragraphsub-sub"/>
      </w:pPr>
      <w:r w:rsidRPr="005E3B43">
        <w:tab/>
        <w:t>(B)</w:t>
      </w:r>
      <w:r w:rsidRPr="005E3B43">
        <w:tab/>
        <w:t>to prevent the growth of micro organisms to a level that causes or may cause clinical infection; and</w:t>
      </w:r>
    </w:p>
    <w:p w14:paraId="4EEF8AAC" w14:textId="77777777" w:rsidR="00207B1C" w:rsidRPr="005E3B43" w:rsidRDefault="00207B1C" w:rsidP="00763BCF">
      <w:pPr>
        <w:pStyle w:val="paragraph"/>
      </w:pPr>
      <w:r w:rsidRPr="005E3B43">
        <w:tab/>
        <w:t>(b)</w:t>
      </w:r>
      <w:r w:rsidRPr="005E3B43">
        <w:tab/>
        <w:t>that is not represented to be suitable for internal use.</w:t>
      </w:r>
    </w:p>
    <w:p w14:paraId="56A7C83E" w14:textId="77777777" w:rsidR="00207B1C" w:rsidRPr="005E3B43" w:rsidRDefault="00207B1C" w:rsidP="00763BCF">
      <w:pPr>
        <w:pStyle w:val="Definition"/>
      </w:pPr>
      <w:r w:rsidRPr="005E3B43">
        <w:rPr>
          <w:b/>
          <w:i/>
        </w:rPr>
        <w:t>Australian Approved Names List</w:t>
      </w:r>
      <w:r w:rsidRPr="005E3B43">
        <w:t xml:space="preserve"> means the document entitled Australian Approved Names List for Therapeutic Substances, as in force from time to time, published by the Therapeutic Goods Administration.</w:t>
      </w:r>
    </w:p>
    <w:p w14:paraId="7DB9D19B" w14:textId="77777777" w:rsidR="00207B1C" w:rsidRPr="005E3B43" w:rsidRDefault="00E20BA4" w:rsidP="00763BCF">
      <w:pPr>
        <w:pStyle w:val="notetext"/>
      </w:pPr>
      <w:r w:rsidRPr="005E3B43">
        <w:t>Note 1:</w:t>
      </w:r>
      <w:r w:rsidRPr="005E3B43">
        <w:tab/>
      </w:r>
      <w:r w:rsidR="00207B1C" w:rsidRPr="005E3B43">
        <w:t>The Australian Approved Names List includes:</w:t>
      </w:r>
    </w:p>
    <w:p w14:paraId="5CAB1467" w14:textId="77777777" w:rsidR="00207B1C" w:rsidRPr="005E3B43" w:rsidRDefault="00207B1C" w:rsidP="00763BCF">
      <w:pPr>
        <w:pStyle w:val="notepara"/>
      </w:pPr>
      <w:r w:rsidRPr="005E3B43">
        <w:t>(a)</w:t>
      </w:r>
      <w:r w:rsidRPr="005E3B43">
        <w:tab/>
        <w:t>Australian Approved Names</w:t>
      </w:r>
      <w:r w:rsidR="00E20BA4" w:rsidRPr="005E3B43">
        <w:t>—</w:t>
      </w:r>
      <w:r w:rsidRPr="005E3B43">
        <w:t>Chemicals List; and</w:t>
      </w:r>
    </w:p>
    <w:p w14:paraId="2A3A9F3E" w14:textId="77777777" w:rsidR="00207B1C" w:rsidRPr="005E3B43" w:rsidRDefault="00207B1C" w:rsidP="00763BCF">
      <w:pPr>
        <w:pStyle w:val="notepara"/>
      </w:pPr>
      <w:r w:rsidRPr="005E3B43">
        <w:t>(b)</w:t>
      </w:r>
      <w:r w:rsidRPr="005E3B43">
        <w:tab/>
        <w:t>Australian Approved Names</w:t>
      </w:r>
      <w:r w:rsidR="00E20BA4" w:rsidRPr="005E3B43">
        <w:t>—</w:t>
      </w:r>
      <w:r w:rsidRPr="005E3B43">
        <w:t>Biological Lists; and</w:t>
      </w:r>
    </w:p>
    <w:p w14:paraId="25FBCF9D" w14:textId="77777777" w:rsidR="00207B1C" w:rsidRPr="005E3B43" w:rsidRDefault="00207B1C" w:rsidP="00763BCF">
      <w:pPr>
        <w:pStyle w:val="notepara"/>
      </w:pPr>
      <w:r w:rsidRPr="005E3B43">
        <w:t>(c)</w:t>
      </w:r>
      <w:r w:rsidRPr="005E3B43">
        <w:tab/>
        <w:t>the Herbal Substances AAN List.</w:t>
      </w:r>
    </w:p>
    <w:p w14:paraId="48587574" w14:textId="77777777" w:rsidR="00207B1C" w:rsidRPr="005E3B43" w:rsidRDefault="00E20BA4" w:rsidP="00763BCF">
      <w:pPr>
        <w:pStyle w:val="notetext"/>
      </w:pPr>
      <w:r w:rsidRPr="005E3B43">
        <w:t>Note 2:</w:t>
      </w:r>
      <w:r w:rsidRPr="005E3B43">
        <w:tab/>
      </w:r>
      <w:r w:rsidR="00207B1C" w:rsidRPr="005E3B43">
        <w:t xml:space="preserve">The Australian Approved Names List may be published as part of a larger document, for example, the document entitled </w:t>
      </w:r>
      <w:r w:rsidR="00977060" w:rsidRPr="005E3B43">
        <w:t>TGA Approved Terminology for Therapeutic Goods</w:t>
      </w:r>
      <w:r w:rsidR="00207B1C" w:rsidRPr="005E3B43">
        <w:t>.</w:t>
      </w:r>
    </w:p>
    <w:p w14:paraId="049EBE8F" w14:textId="77777777" w:rsidR="00601443" w:rsidRPr="005E3B43" w:rsidRDefault="00601443" w:rsidP="00763BCF">
      <w:pPr>
        <w:pStyle w:val="Definition"/>
      </w:pPr>
      <w:r w:rsidRPr="005E3B43">
        <w:rPr>
          <w:b/>
          <w:i/>
        </w:rPr>
        <w:t>authorised officer</w:t>
      </w:r>
      <w:r w:rsidRPr="005E3B43">
        <w:t>, in relation to a provision of these Regulations, means an officer authorised by the Secretary to exercise powers under that provision.</w:t>
      </w:r>
    </w:p>
    <w:p w14:paraId="59011823" w14:textId="77777777" w:rsidR="00601443" w:rsidRPr="005E3B43" w:rsidRDefault="00601443" w:rsidP="00763BCF">
      <w:pPr>
        <w:pStyle w:val="notetext"/>
      </w:pPr>
      <w:r w:rsidRPr="005E3B43">
        <w:t>Note:</w:t>
      </w:r>
      <w:r w:rsidRPr="005E3B43">
        <w:tab/>
        <w:t>Regulation</w:t>
      </w:r>
      <w:r w:rsidR="004E6D00" w:rsidRPr="005E3B43">
        <w:t> </w:t>
      </w:r>
      <w:r w:rsidRPr="005E3B43">
        <w:t>2A provides for the Secretary to authorise certain officers to exercise powers under provisions of these Regulations.</w:t>
      </w:r>
    </w:p>
    <w:p w14:paraId="1A07ECA8" w14:textId="77777777" w:rsidR="00AD3860" w:rsidRPr="005E3B43" w:rsidRDefault="00AD3860" w:rsidP="00763BCF">
      <w:pPr>
        <w:pStyle w:val="Definition"/>
      </w:pPr>
      <w:r w:rsidRPr="005E3B43">
        <w:rPr>
          <w:b/>
          <w:i/>
        </w:rPr>
        <w:t>biological medicine</w:t>
      </w:r>
      <w:r w:rsidRPr="005E3B43">
        <w:t xml:space="preserve"> means:</w:t>
      </w:r>
    </w:p>
    <w:p w14:paraId="3D0E98C3" w14:textId="77777777" w:rsidR="00AD3860" w:rsidRPr="005E3B43" w:rsidRDefault="00AD3860" w:rsidP="00763BCF">
      <w:pPr>
        <w:pStyle w:val="paragraph"/>
      </w:pPr>
      <w:r w:rsidRPr="005E3B43">
        <w:tab/>
        <w:t>(a)</w:t>
      </w:r>
      <w:r w:rsidRPr="005E3B43">
        <w:tab/>
        <w:t>a medicine (other than an antibiotic) that is:</w:t>
      </w:r>
    </w:p>
    <w:p w14:paraId="74073F5D" w14:textId="183D5D84" w:rsidR="00AD3860" w:rsidRPr="005E3B43" w:rsidRDefault="00AD3860" w:rsidP="00763BCF">
      <w:pPr>
        <w:pStyle w:val="paragraphsub"/>
      </w:pPr>
      <w:r w:rsidRPr="005E3B43">
        <w:lastRenderedPageBreak/>
        <w:tab/>
        <w:t>(i)</w:t>
      </w:r>
      <w:r w:rsidRPr="005E3B43">
        <w:tab/>
        <w:t>a vaccine, a peptide, a protein or polysaccharide</w:t>
      </w:r>
      <w:r w:rsidR="007C3215">
        <w:noBreakHyphen/>
      </w:r>
      <w:r w:rsidRPr="005E3B43">
        <w:t>based; and</w:t>
      </w:r>
    </w:p>
    <w:p w14:paraId="5516BA69" w14:textId="77777777" w:rsidR="00AD3860" w:rsidRPr="005E3B43" w:rsidRDefault="00AD3860" w:rsidP="00763BCF">
      <w:pPr>
        <w:pStyle w:val="paragraphsub"/>
      </w:pPr>
      <w:r w:rsidRPr="005E3B43">
        <w:tab/>
        <w:t>(ii)</w:t>
      </w:r>
      <w:r w:rsidRPr="005E3B43">
        <w:tab/>
        <w:t>derived from a human, animal or other organism, or produced through recombinant technology or biotechnology; and</w:t>
      </w:r>
    </w:p>
    <w:p w14:paraId="63FA3013" w14:textId="4E341FFC" w:rsidR="00AD3860" w:rsidRPr="005E3B43" w:rsidRDefault="00AD3860" w:rsidP="00763BCF">
      <w:pPr>
        <w:pStyle w:val="paragraphsub"/>
      </w:pPr>
      <w:r w:rsidRPr="005E3B43">
        <w:tab/>
        <w:t>(iii)</w:t>
      </w:r>
      <w:r w:rsidRPr="005E3B43">
        <w:tab/>
        <w:t xml:space="preserve">of a kind specified in </w:t>
      </w:r>
      <w:r w:rsidR="007C3215">
        <w:t>item 1</w:t>
      </w:r>
      <w:r w:rsidRPr="005E3B43">
        <w:t xml:space="preserve"> of Part</w:t>
      </w:r>
      <w:r w:rsidR="004E6D00" w:rsidRPr="005E3B43">
        <w:t> </w:t>
      </w:r>
      <w:r w:rsidRPr="005E3B43">
        <w:t xml:space="preserve">1 of </w:t>
      </w:r>
      <w:r w:rsidR="008D1B4F" w:rsidRPr="005E3B43">
        <w:t>Schedule 1</w:t>
      </w:r>
      <w:r w:rsidRPr="005E3B43">
        <w:t>0; or</w:t>
      </w:r>
    </w:p>
    <w:p w14:paraId="10133241" w14:textId="77777777" w:rsidR="00AD3860" w:rsidRPr="005E3B43" w:rsidRDefault="00AD3860" w:rsidP="00763BCF">
      <w:pPr>
        <w:pStyle w:val="paragraph"/>
      </w:pPr>
      <w:r w:rsidRPr="005E3B43">
        <w:tab/>
        <w:t>(b)</w:t>
      </w:r>
      <w:r w:rsidRPr="005E3B43">
        <w:tab/>
        <w:t>a medicine that is a human blood product of a kind mentioned in Appendix A in Part</w:t>
      </w:r>
      <w:r w:rsidR="004E6D00" w:rsidRPr="005E3B43">
        <w:t> </w:t>
      </w:r>
      <w:r w:rsidRPr="005E3B43">
        <w:t>5 of the Poisons Standard.</w:t>
      </w:r>
    </w:p>
    <w:p w14:paraId="4B7BA9ED" w14:textId="77777777" w:rsidR="007F5E99" w:rsidRPr="005E3B43" w:rsidRDefault="007F5E99" w:rsidP="00763BCF">
      <w:pPr>
        <w:pStyle w:val="Definition"/>
      </w:pPr>
      <w:r w:rsidRPr="005E3B43">
        <w:rPr>
          <w:b/>
          <w:i/>
        </w:rPr>
        <w:t>biologicals (priority applicant) determination</w:t>
      </w:r>
      <w:r w:rsidRPr="005E3B43">
        <w:t xml:space="preserve"> has the meaning given by subsection 32DEA(2) of the Act.</w:t>
      </w:r>
    </w:p>
    <w:p w14:paraId="6232B96B" w14:textId="77777777" w:rsidR="00DC0D9A" w:rsidRPr="005E3B43" w:rsidRDefault="00DC0D9A" w:rsidP="00763BCF">
      <w:pPr>
        <w:pStyle w:val="Definition"/>
      </w:pPr>
      <w:r w:rsidRPr="005E3B43">
        <w:rPr>
          <w:b/>
          <w:i/>
        </w:rPr>
        <w:t>C1 (section</w:t>
      </w:r>
      <w:r w:rsidR="004E6D00" w:rsidRPr="005E3B43">
        <w:rPr>
          <w:b/>
          <w:i/>
        </w:rPr>
        <w:t> </w:t>
      </w:r>
      <w:r w:rsidRPr="005E3B43">
        <w:rPr>
          <w:b/>
          <w:i/>
        </w:rPr>
        <w:t>9D) application</w:t>
      </w:r>
      <w:r w:rsidRPr="005E3B43">
        <w:t xml:space="preserve"> has the meaning given by Part</w:t>
      </w:r>
      <w:r w:rsidR="004E6D00" w:rsidRPr="005E3B43">
        <w:t> </w:t>
      </w:r>
      <w:r w:rsidRPr="005E3B43">
        <w:t>1 of Schedule</w:t>
      </w:r>
      <w:r w:rsidR="004E6D00" w:rsidRPr="005E3B43">
        <w:t> </w:t>
      </w:r>
      <w:r w:rsidRPr="005E3B43">
        <w:t>9.</w:t>
      </w:r>
    </w:p>
    <w:p w14:paraId="4F003348" w14:textId="77777777" w:rsidR="00DC0D9A" w:rsidRPr="005E3B43" w:rsidRDefault="00DC0D9A" w:rsidP="00763BCF">
      <w:pPr>
        <w:pStyle w:val="Definition"/>
      </w:pPr>
      <w:r w:rsidRPr="005E3B43">
        <w:rPr>
          <w:b/>
          <w:i/>
        </w:rPr>
        <w:t>C1 (</w:t>
      </w:r>
      <w:r w:rsidR="00FB7FAA" w:rsidRPr="005E3B43">
        <w:rPr>
          <w:b/>
          <w:i/>
        </w:rPr>
        <w:t>section 2</w:t>
      </w:r>
      <w:r w:rsidRPr="005E3B43">
        <w:rPr>
          <w:b/>
          <w:i/>
        </w:rPr>
        <w:t>3) application</w:t>
      </w:r>
      <w:r w:rsidRPr="005E3B43">
        <w:t xml:space="preserve"> has the meaning given by Part</w:t>
      </w:r>
      <w:r w:rsidR="004E6D00" w:rsidRPr="005E3B43">
        <w:t> </w:t>
      </w:r>
      <w:r w:rsidRPr="005E3B43">
        <w:t>1 of Schedule</w:t>
      </w:r>
      <w:r w:rsidR="004E6D00" w:rsidRPr="005E3B43">
        <w:t> </w:t>
      </w:r>
      <w:r w:rsidRPr="005E3B43">
        <w:t>9.</w:t>
      </w:r>
    </w:p>
    <w:p w14:paraId="55BC4332" w14:textId="77777777" w:rsidR="00DC0D9A" w:rsidRPr="005E3B43" w:rsidRDefault="00DC0D9A" w:rsidP="00763BCF">
      <w:pPr>
        <w:pStyle w:val="Definition"/>
      </w:pPr>
      <w:r w:rsidRPr="005E3B43">
        <w:rPr>
          <w:b/>
          <w:i/>
        </w:rPr>
        <w:t>C2 (section</w:t>
      </w:r>
      <w:r w:rsidR="004E6D00" w:rsidRPr="005E3B43">
        <w:rPr>
          <w:b/>
          <w:i/>
        </w:rPr>
        <w:t> </w:t>
      </w:r>
      <w:r w:rsidRPr="005E3B43">
        <w:rPr>
          <w:b/>
          <w:i/>
        </w:rPr>
        <w:t>9D) application</w:t>
      </w:r>
      <w:r w:rsidRPr="005E3B43">
        <w:t xml:space="preserve"> has the meaning given by Part</w:t>
      </w:r>
      <w:r w:rsidR="004E6D00" w:rsidRPr="005E3B43">
        <w:t> </w:t>
      </w:r>
      <w:r w:rsidRPr="005E3B43">
        <w:t>1 of Schedule</w:t>
      </w:r>
      <w:r w:rsidR="004E6D00" w:rsidRPr="005E3B43">
        <w:t> </w:t>
      </w:r>
      <w:r w:rsidRPr="005E3B43">
        <w:t>9.</w:t>
      </w:r>
    </w:p>
    <w:p w14:paraId="326AC08A" w14:textId="77777777" w:rsidR="00DC0D9A" w:rsidRPr="005E3B43" w:rsidRDefault="00DC0D9A" w:rsidP="00763BCF">
      <w:pPr>
        <w:pStyle w:val="Definition"/>
      </w:pPr>
      <w:r w:rsidRPr="005E3B43">
        <w:rPr>
          <w:b/>
          <w:i/>
        </w:rPr>
        <w:t>C2 (</w:t>
      </w:r>
      <w:r w:rsidR="00FB7FAA" w:rsidRPr="005E3B43">
        <w:rPr>
          <w:b/>
          <w:i/>
        </w:rPr>
        <w:t>section 2</w:t>
      </w:r>
      <w:r w:rsidRPr="005E3B43">
        <w:rPr>
          <w:b/>
          <w:i/>
        </w:rPr>
        <w:t>3) application</w:t>
      </w:r>
      <w:r w:rsidRPr="005E3B43">
        <w:t xml:space="preserve"> has the meaning given by Part</w:t>
      </w:r>
      <w:r w:rsidR="004E6D00" w:rsidRPr="005E3B43">
        <w:t> </w:t>
      </w:r>
      <w:r w:rsidRPr="005E3B43">
        <w:t>1 of Schedule</w:t>
      </w:r>
      <w:r w:rsidR="004E6D00" w:rsidRPr="005E3B43">
        <w:t> </w:t>
      </w:r>
      <w:r w:rsidRPr="005E3B43">
        <w:t>9.</w:t>
      </w:r>
    </w:p>
    <w:p w14:paraId="44692CC6" w14:textId="77777777" w:rsidR="00DC0D9A" w:rsidRPr="005E3B43" w:rsidRDefault="00DC0D9A" w:rsidP="00763BCF">
      <w:pPr>
        <w:pStyle w:val="Definition"/>
      </w:pPr>
      <w:r w:rsidRPr="005E3B43">
        <w:rPr>
          <w:b/>
          <w:i/>
        </w:rPr>
        <w:t>C3 (section</w:t>
      </w:r>
      <w:r w:rsidR="004E6D00" w:rsidRPr="005E3B43">
        <w:rPr>
          <w:b/>
          <w:i/>
        </w:rPr>
        <w:t> </w:t>
      </w:r>
      <w:r w:rsidRPr="005E3B43">
        <w:rPr>
          <w:b/>
          <w:i/>
        </w:rPr>
        <w:t>9D) application</w:t>
      </w:r>
      <w:r w:rsidRPr="005E3B43">
        <w:t xml:space="preserve"> has the meaning given by Part</w:t>
      </w:r>
      <w:r w:rsidR="004E6D00" w:rsidRPr="005E3B43">
        <w:t> </w:t>
      </w:r>
      <w:r w:rsidRPr="005E3B43">
        <w:t>1 of Schedule</w:t>
      </w:r>
      <w:r w:rsidR="004E6D00" w:rsidRPr="005E3B43">
        <w:t> </w:t>
      </w:r>
      <w:r w:rsidRPr="005E3B43">
        <w:t>9.</w:t>
      </w:r>
    </w:p>
    <w:p w14:paraId="11E77C14" w14:textId="77777777" w:rsidR="00DC0D9A" w:rsidRPr="005E3B43" w:rsidRDefault="00DC0D9A" w:rsidP="00763BCF">
      <w:pPr>
        <w:pStyle w:val="Definition"/>
      </w:pPr>
      <w:r w:rsidRPr="005E3B43">
        <w:rPr>
          <w:b/>
          <w:i/>
        </w:rPr>
        <w:t>C3 (</w:t>
      </w:r>
      <w:r w:rsidR="00FB7FAA" w:rsidRPr="005E3B43">
        <w:rPr>
          <w:b/>
          <w:i/>
        </w:rPr>
        <w:t>section 2</w:t>
      </w:r>
      <w:r w:rsidRPr="005E3B43">
        <w:rPr>
          <w:b/>
          <w:i/>
        </w:rPr>
        <w:t>3) application</w:t>
      </w:r>
      <w:r w:rsidRPr="005E3B43">
        <w:t xml:space="preserve"> has the meaning given by Part</w:t>
      </w:r>
      <w:r w:rsidR="004E6D00" w:rsidRPr="005E3B43">
        <w:t> </w:t>
      </w:r>
      <w:r w:rsidRPr="005E3B43">
        <w:t>1 of Schedule</w:t>
      </w:r>
      <w:r w:rsidR="004E6D00" w:rsidRPr="005E3B43">
        <w:t> </w:t>
      </w:r>
      <w:r w:rsidRPr="005E3B43">
        <w:t>9.</w:t>
      </w:r>
    </w:p>
    <w:p w14:paraId="788FBE10" w14:textId="77777777" w:rsidR="00DC0D9A" w:rsidRPr="005E3B43" w:rsidRDefault="00DC0D9A" w:rsidP="00763BCF">
      <w:pPr>
        <w:pStyle w:val="Definition"/>
      </w:pPr>
      <w:r w:rsidRPr="005E3B43">
        <w:rPr>
          <w:b/>
          <w:i/>
        </w:rPr>
        <w:t>C4 (section</w:t>
      </w:r>
      <w:r w:rsidR="004E6D00" w:rsidRPr="005E3B43">
        <w:rPr>
          <w:b/>
          <w:i/>
        </w:rPr>
        <w:t> </w:t>
      </w:r>
      <w:r w:rsidRPr="005E3B43">
        <w:rPr>
          <w:b/>
          <w:i/>
        </w:rPr>
        <w:t>9D) application</w:t>
      </w:r>
      <w:r w:rsidRPr="005E3B43">
        <w:t xml:space="preserve"> has the meaning given by Part</w:t>
      </w:r>
      <w:r w:rsidR="004E6D00" w:rsidRPr="005E3B43">
        <w:t> </w:t>
      </w:r>
      <w:r w:rsidRPr="005E3B43">
        <w:t>1 of Schedule</w:t>
      </w:r>
      <w:r w:rsidR="004E6D00" w:rsidRPr="005E3B43">
        <w:t> </w:t>
      </w:r>
      <w:r w:rsidRPr="005E3B43">
        <w:t>9.</w:t>
      </w:r>
    </w:p>
    <w:p w14:paraId="3D7B71DC" w14:textId="77777777" w:rsidR="00DC0D9A" w:rsidRPr="005E3B43" w:rsidRDefault="00DC0D9A" w:rsidP="00763BCF">
      <w:pPr>
        <w:pStyle w:val="Definition"/>
      </w:pPr>
      <w:r w:rsidRPr="005E3B43">
        <w:rPr>
          <w:b/>
          <w:i/>
        </w:rPr>
        <w:t>C4 (</w:t>
      </w:r>
      <w:r w:rsidR="00FB7FAA" w:rsidRPr="005E3B43">
        <w:rPr>
          <w:b/>
          <w:i/>
        </w:rPr>
        <w:t>section 2</w:t>
      </w:r>
      <w:r w:rsidRPr="005E3B43">
        <w:rPr>
          <w:b/>
          <w:i/>
        </w:rPr>
        <w:t>3) application</w:t>
      </w:r>
      <w:r w:rsidRPr="005E3B43">
        <w:t xml:space="preserve"> has the meaning given by Part</w:t>
      </w:r>
      <w:r w:rsidR="004E6D00" w:rsidRPr="005E3B43">
        <w:t> </w:t>
      </w:r>
      <w:r w:rsidRPr="005E3B43">
        <w:t>1 of Schedule</w:t>
      </w:r>
      <w:r w:rsidR="004E6D00" w:rsidRPr="005E3B43">
        <w:t> </w:t>
      </w:r>
      <w:r w:rsidRPr="005E3B43">
        <w:t>9.</w:t>
      </w:r>
    </w:p>
    <w:p w14:paraId="43CBDD1D" w14:textId="77777777" w:rsidR="00AC2CA6" w:rsidRPr="005E3B43" w:rsidRDefault="00AC2CA6" w:rsidP="00763BCF">
      <w:pPr>
        <w:pStyle w:val="Definition"/>
      </w:pPr>
      <w:r w:rsidRPr="005E3B43">
        <w:rPr>
          <w:b/>
          <w:i/>
        </w:rPr>
        <w:t>changes table</w:t>
      </w:r>
      <w:r w:rsidRPr="005E3B43">
        <w:t xml:space="preserve"> means the table published on the Department’s website for the purposes of this definition, as in force from time to time.</w:t>
      </w:r>
    </w:p>
    <w:p w14:paraId="7EEE735A" w14:textId="77777777" w:rsidR="00E5654B" w:rsidRPr="005E3B43" w:rsidRDefault="00E5654B" w:rsidP="00763BCF">
      <w:pPr>
        <w:pStyle w:val="Definition"/>
      </w:pPr>
      <w:r w:rsidRPr="005E3B43">
        <w:rPr>
          <w:b/>
          <w:i/>
        </w:rPr>
        <w:t>Class 1 biological</w:t>
      </w:r>
      <w:r w:rsidRPr="005E3B43">
        <w:t xml:space="preserve"> means a biological</w:t>
      </w:r>
      <w:r w:rsidR="0091727F" w:rsidRPr="005E3B43">
        <w:t xml:space="preserve"> (other than an export only biological)</w:t>
      </w:r>
      <w:r w:rsidRPr="005E3B43">
        <w:t xml:space="preserve"> that is mentioned in </w:t>
      </w:r>
      <w:r w:rsidR="008D1B4F" w:rsidRPr="005E3B43">
        <w:t>Schedule 1</w:t>
      </w:r>
      <w:r w:rsidRPr="005E3B43">
        <w:t>6 as a Class 1 biological.</w:t>
      </w:r>
    </w:p>
    <w:p w14:paraId="1CCC5163" w14:textId="6A6C00B8" w:rsidR="005246A2" w:rsidRPr="005E3B43" w:rsidRDefault="005246A2" w:rsidP="00763BCF">
      <w:pPr>
        <w:pStyle w:val="Definition"/>
      </w:pPr>
      <w:r w:rsidRPr="005E3B43">
        <w:rPr>
          <w:b/>
          <w:i/>
        </w:rPr>
        <w:t>Class 1 IVD medical device</w:t>
      </w:r>
      <w:r w:rsidRPr="005E3B43">
        <w:t xml:space="preserve"> has the same meaning as in the </w:t>
      </w:r>
      <w:r w:rsidRPr="005E3B43">
        <w:rPr>
          <w:i/>
        </w:rPr>
        <w:t xml:space="preserve">Therapeutic Goods (Medical Devices) </w:t>
      </w:r>
      <w:r w:rsidR="007C3215">
        <w:rPr>
          <w:i/>
        </w:rPr>
        <w:t>Regulations 2</w:t>
      </w:r>
      <w:r w:rsidRPr="005E3B43">
        <w:rPr>
          <w:i/>
        </w:rPr>
        <w:t>002</w:t>
      </w:r>
      <w:r w:rsidRPr="005E3B43">
        <w:t>.</w:t>
      </w:r>
    </w:p>
    <w:p w14:paraId="655B0905" w14:textId="77777777" w:rsidR="00B118BE" w:rsidRPr="005E3B43" w:rsidRDefault="00B118BE" w:rsidP="00763BCF">
      <w:pPr>
        <w:pStyle w:val="Definition"/>
      </w:pPr>
      <w:r w:rsidRPr="005E3B43">
        <w:rPr>
          <w:b/>
          <w:i/>
        </w:rPr>
        <w:t>Class 2 biological</w:t>
      </w:r>
      <w:r w:rsidRPr="005E3B43">
        <w:t xml:space="preserve"> means a biological</w:t>
      </w:r>
      <w:r w:rsidR="0091727F" w:rsidRPr="005E3B43">
        <w:t xml:space="preserve"> (other than an export only biological)</w:t>
      </w:r>
      <w:r w:rsidRPr="005E3B43">
        <w:t>:</w:t>
      </w:r>
    </w:p>
    <w:p w14:paraId="7075FEA6" w14:textId="77777777" w:rsidR="00B118BE" w:rsidRPr="005E3B43" w:rsidRDefault="00B118BE" w:rsidP="00763BCF">
      <w:pPr>
        <w:pStyle w:val="paragraph"/>
      </w:pPr>
      <w:r w:rsidRPr="005E3B43">
        <w:tab/>
        <w:t>(a)</w:t>
      </w:r>
      <w:r w:rsidRPr="005E3B43">
        <w:tab/>
        <w:t>that:</w:t>
      </w:r>
    </w:p>
    <w:p w14:paraId="79B70D7A" w14:textId="77777777" w:rsidR="00B118BE" w:rsidRPr="005E3B43" w:rsidRDefault="00B118BE" w:rsidP="00763BCF">
      <w:pPr>
        <w:pStyle w:val="paragraphsub"/>
      </w:pPr>
      <w:r w:rsidRPr="005E3B43">
        <w:tab/>
        <w:t>(i)</w:t>
      </w:r>
      <w:r w:rsidRPr="005E3B43">
        <w:tab/>
        <w:t>has been subjected to only minimal manipulation; and</w:t>
      </w:r>
    </w:p>
    <w:p w14:paraId="7E8D062A" w14:textId="77777777" w:rsidR="00B118BE" w:rsidRPr="005E3B43" w:rsidRDefault="00B118BE" w:rsidP="00763BCF">
      <w:pPr>
        <w:pStyle w:val="paragraphsub"/>
      </w:pPr>
      <w:r w:rsidRPr="005E3B43">
        <w:tab/>
        <w:t>(ii)</w:t>
      </w:r>
      <w:r w:rsidRPr="005E3B43">
        <w:tab/>
        <w:t>is only for homologous use; and</w:t>
      </w:r>
    </w:p>
    <w:p w14:paraId="03327B6A" w14:textId="77777777" w:rsidR="00B118BE" w:rsidRPr="005E3B43" w:rsidRDefault="00B118BE" w:rsidP="00763BCF">
      <w:pPr>
        <w:pStyle w:val="paragraphsub"/>
      </w:pPr>
      <w:r w:rsidRPr="005E3B43">
        <w:tab/>
        <w:t>(iii)</w:t>
      </w:r>
      <w:r w:rsidRPr="005E3B43">
        <w:tab/>
        <w:t xml:space="preserve">is not mentioned in </w:t>
      </w:r>
      <w:r w:rsidR="008D1B4F" w:rsidRPr="005E3B43">
        <w:t>Schedule 1</w:t>
      </w:r>
      <w:r w:rsidRPr="005E3B43">
        <w:t>6 as a Class 1, 3 or 4 biological; or</w:t>
      </w:r>
    </w:p>
    <w:p w14:paraId="42B53240" w14:textId="77777777" w:rsidR="00B118BE" w:rsidRPr="005E3B43" w:rsidRDefault="00B118BE" w:rsidP="00763BCF">
      <w:pPr>
        <w:pStyle w:val="paragraph"/>
      </w:pPr>
      <w:r w:rsidRPr="005E3B43">
        <w:tab/>
        <w:t>(b)</w:t>
      </w:r>
      <w:r w:rsidRPr="005E3B43">
        <w:tab/>
        <w:t xml:space="preserve">that is mentioned in </w:t>
      </w:r>
      <w:r w:rsidR="008D1B4F" w:rsidRPr="005E3B43">
        <w:t>Schedule 1</w:t>
      </w:r>
      <w:r w:rsidRPr="005E3B43">
        <w:t>6 as a Class 2 biological.</w:t>
      </w:r>
    </w:p>
    <w:p w14:paraId="3C55A98E" w14:textId="44EF18A2" w:rsidR="005246A2" w:rsidRPr="005E3B43" w:rsidRDefault="005246A2" w:rsidP="00763BCF">
      <w:pPr>
        <w:pStyle w:val="Definition"/>
      </w:pPr>
      <w:r w:rsidRPr="005E3B43">
        <w:rPr>
          <w:b/>
          <w:i/>
        </w:rPr>
        <w:t>Class 2 IVD medical device</w:t>
      </w:r>
      <w:r w:rsidRPr="005E3B43">
        <w:t xml:space="preserve"> has the same meaning as in the </w:t>
      </w:r>
      <w:r w:rsidRPr="005E3B43">
        <w:rPr>
          <w:i/>
        </w:rPr>
        <w:t xml:space="preserve">Therapeutic Goods (Medical Devices) </w:t>
      </w:r>
      <w:r w:rsidR="007C3215">
        <w:rPr>
          <w:i/>
        </w:rPr>
        <w:t>Regulations 2</w:t>
      </w:r>
      <w:r w:rsidRPr="005E3B43">
        <w:rPr>
          <w:i/>
        </w:rPr>
        <w:t>002</w:t>
      </w:r>
      <w:r w:rsidRPr="005E3B43">
        <w:t>.</w:t>
      </w:r>
    </w:p>
    <w:p w14:paraId="3D567112" w14:textId="77777777" w:rsidR="00B118BE" w:rsidRPr="005E3B43" w:rsidRDefault="00B118BE" w:rsidP="00763BCF">
      <w:pPr>
        <w:pStyle w:val="Definition"/>
      </w:pPr>
      <w:r w:rsidRPr="005E3B43">
        <w:rPr>
          <w:b/>
          <w:i/>
        </w:rPr>
        <w:t>Class 3 biological</w:t>
      </w:r>
      <w:r w:rsidRPr="005E3B43">
        <w:t xml:space="preserve"> means a biological</w:t>
      </w:r>
      <w:r w:rsidR="0091727F" w:rsidRPr="005E3B43">
        <w:t xml:space="preserve"> (other than an export only biological)</w:t>
      </w:r>
      <w:r w:rsidRPr="005E3B43">
        <w:t>:</w:t>
      </w:r>
    </w:p>
    <w:p w14:paraId="383C9A21" w14:textId="77777777" w:rsidR="00B118BE" w:rsidRPr="005E3B43" w:rsidRDefault="00B118BE" w:rsidP="00763BCF">
      <w:pPr>
        <w:pStyle w:val="paragraph"/>
      </w:pPr>
      <w:r w:rsidRPr="005E3B43">
        <w:tab/>
        <w:t>(a)</w:t>
      </w:r>
      <w:r w:rsidRPr="005E3B43">
        <w:tab/>
        <w:t>that is not a Class 1, 2 or 4 biological; or</w:t>
      </w:r>
    </w:p>
    <w:p w14:paraId="07F1AE9F" w14:textId="77777777" w:rsidR="00B118BE" w:rsidRPr="005E3B43" w:rsidRDefault="00B118BE" w:rsidP="00763BCF">
      <w:pPr>
        <w:pStyle w:val="paragraph"/>
      </w:pPr>
      <w:r w:rsidRPr="005E3B43">
        <w:tab/>
        <w:t>(b)</w:t>
      </w:r>
      <w:r w:rsidRPr="005E3B43">
        <w:tab/>
        <w:t xml:space="preserve">that is mentioned in </w:t>
      </w:r>
      <w:r w:rsidR="008D1B4F" w:rsidRPr="005E3B43">
        <w:t>Schedule 1</w:t>
      </w:r>
      <w:r w:rsidRPr="005E3B43">
        <w:t>6 as a Class 3 biological.</w:t>
      </w:r>
    </w:p>
    <w:p w14:paraId="5DC4B9F0" w14:textId="05F879EF" w:rsidR="00CE1B7C" w:rsidRPr="005E3B43" w:rsidRDefault="00CE1B7C" w:rsidP="00763BCF">
      <w:pPr>
        <w:pStyle w:val="Definition"/>
      </w:pPr>
      <w:r w:rsidRPr="005E3B43">
        <w:rPr>
          <w:b/>
          <w:i/>
        </w:rPr>
        <w:t>Class 3 IVD medical device</w:t>
      </w:r>
      <w:r w:rsidRPr="005E3B43">
        <w:t xml:space="preserve"> has the same meaning as in the </w:t>
      </w:r>
      <w:r w:rsidRPr="005E3B43">
        <w:rPr>
          <w:i/>
        </w:rPr>
        <w:t xml:space="preserve">Therapeutic Goods (Medical Devices) </w:t>
      </w:r>
      <w:r w:rsidR="007C3215">
        <w:rPr>
          <w:i/>
        </w:rPr>
        <w:t>Regulations 2</w:t>
      </w:r>
      <w:r w:rsidRPr="005E3B43">
        <w:rPr>
          <w:i/>
        </w:rPr>
        <w:t>002</w:t>
      </w:r>
      <w:r w:rsidRPr="005E3B43">
        <w:t>.</w:t>
      </w:r>
    </w:p>
    <w:p w14:paraId="5F1E2485" w14:textId="193A9F72" w:rsidR="00C563B2" w:rsidRPr="005E3B43" w:rsidRDefault="00C563B2" w:rsidP="00763BCF">
      <w:pPr>
        <w:pStyle w:val="Definition"/>
      </w:pPr>
      <w:r w:rsidRPr="005E3B43">
        <w:rPr>
          <w:b/>
          <w:i/>
        </w:rPr>
        <w:lastRenderedPageBreak/>
        <w:t>Class III medical device</w:t>
      </w:r>
      <w:r w:rsidRPr="005E3B43">
        <w:t xml:space="preserve"> has the same meaning as in the </w:t>
      </w:r>
      <w:r w:rsidRPr="005E3B43">
        <w:rPr>
          <w:i/>
        </w:rPr>
        <w:t xml:space="preserve">Therapeutic Goods (Medical Devices) </w:t>
      </w:r>
      <w:r w:rsidR="007C3215">
        <w:rPr>
          <w:i/>
        </w:rPr>
        <w:t>Regulations 2</w:t>
      </w:r>
      <w:r w:rsidRPr="005E3B43">
        <w:rPr>
          <w:i/>
        </w:rPr>
        <w:t>002</w:t>
      </w:r>
      <w:r w:rsidRPr="005E3B43">
        <w:t>.</w:t>
      </w:r>
    </w:p>
    <w:p w14:paraId="226BF795" w14:textId="77777777" w:rsidR="00B118BE" w:rsidRPr="005E3B43" w:rsidRDefault="00B118BE" w:rsidP="00763BCF">
      <w:pPr>
        <w:pStyle w:val="Definition"/>
      </w:pPr>
      <w:r w:rsidRPr="005E3B43">
        <w:rPr>
          <w:b/>
          <w:i/>
        </w:rPr>
        <w:t>Class 4 biological</w:t>
      </w:r>
      <w:r w:rsidRPr="005E3B43">
        <w:t xml:space="preserve"> means a biological</w:t>
      </w:r>
      <w:r w:rsidR="0091727F" w:rsidRPr="005E3B43">
        <w:t xml:space="preserve"> (other than an export only biological)</w:t>
      </w:r>
      <w:r w:rsidRPr="005E3B43">
        <w:t xml:space="preserve"> that is mentioned in </w:t>
      </w:r>
      <w:r w:rsidR="008D1B4F" w:rsidRPr="005E3B43">
        <w:t>Schedule 1</w:t>
      </w:r>
      <w:r w:rsidRPr="005E3B43">
        <w:t>6 as a Class 4 biological.</w:t>
      </w:r>
    </w:p>
    <w:p w14:paraId="2305CCDF" w14:textId="1C226D13" w:rsidR="00CE1B7C" w:rsidRPr="005E3B43" w:rsidRDefault="00CE1B7C" w:rsidP="00763BCF">
      <w:pPr>
        <w:pStyle w:val="Definition"/>
      </w:pPr>
      <w:r w:rsidRPr="005E3B43">
        <w:rPr>
          <w:b/>
          <w:i/>
        </w:rPr>
        <w:t>Class 4 IVD medical device</w:t>
      </w:r>
      <w:r w:rsidRPr="005E3B43">
        <w:t xml:space="preserve"> has the same meaning as in the </w:t>
      </w:r>
      <w:r w:rsidRPr="005E3B43">
        <w:rPr>
          <w:i/>
        </w:rPr>
        <w:t xml:space="preserve">Therapeutic Goods (Medical Devices) </w:t>
      </w:r>
      <w:r w:rsidR="007C3215">
        <w:rPr>
          <w:i/>
        </w:rPr>
        <w:t>Regulations 2</w:t>
      </w:r>
      <w:r w:rsidRPr="005E3B43">
        <w:rPr>
          <w:i/>
        </w:rPr>
        <w:t>002</w:t>
      </w:r>
      <w:r w:rsidRPr="005E3B43">
        <w:t>.</w:t>
      </w:r>
    </w:p>
    <w:p w14:paraId="30915444" w14:textId="77777777" w:rsidR="00AE54BD" w:rsidRPr="005E3B43" w:rsidRDefault="00AE54BD" w:rsidP="00763BCF">
      <w:pPr>
        <w:pStyle w:val="Definition"/>
      </w:pPr>
      <w:r w:rsidRPr="005E3B43">
        <w:rPr>
          <w:b/>
          <w:i/>
        </w:rPr>
        <w:t>complementary medicine</w:t>
      </w:r>
      <w:r w:rsidRPr="005E3B43">
        <w:t xml:space="preserve"> means a therapeutic good consisting wholly or principally of 1 or more designated active ingredients, each of which has a clearly established identity and a traditional use.</w:t>
      </w:r>
    </w:p>
    <w:p w14:paraId="525A7298" w14:textId="77777777" w:rsidR="00AE54BD" w:rsidRPr="005E3B43" w:rsidRDefault="00AE54BD" w:rsidP="00763BCF">
      <w:pPr>
        <w:pStyle w:val="Definition"/>
      </w:pPr>
      <w:r w:rsidRPr="005E3B43">
        <w:rPr>
          <w:b/>
          <w:i/>
        </w:rPr>
        <w:t>designated active ingredients</w:t>
      </w:r>
      <w:r w:rsidRPr="005E3B43">
        <w:t xml:space="preserve">, for a complementary medicine, means an active ingredient, or a kind of active ingredient, mentioned in </w:t>
      </w:r>
      <w:r w:rsidR="008D1B4F" w:rsidRPr="005E3B43">
        <w:t>Schedule 1</w:t>
      </w:r>
      <w:r w:rsidRPr="005E3B43">
        <w:t>4.</w:t>
      </w:r>
    </w:p>
    <w:p w14:paraId="72EB0C67" w14:textId="77777777" w:rsidR="00207B1C" w:rsidRPr="005E3B43" w:rsidRDefault="00207B1C" w:rsidP="00763BCF">
      <w:pPr>
        <w:pStyle w:val="Definition"/>
      </w:pPr>
      <w:r w:rsidRPr="005E3B43">
        <w:rPr>
          <w:b/>
          <w:i/>
        </w:rPr>
        <w:t>designated orphan drug</w:t>
      </w:r>
      <w:r w:rsidRPr="005E3B43">
        <w:t xml:space="preserve"> means </w:t>
      </w:r>
      <w:r w:rsidR="00D05FF5" w:rsidRPr="005E3B43">
        <w:t>a medicine in relation to which a designation under regulation</w:t>
      </w:r>
      <w:r w:rsidR="004E6D00" w:rsidRPr="005E3B43">
        <w:t> </w:t>
      </w:r>
      <w:r w:rsidR="00D05FF5" w:rsidRPr="005E3B43">
        <w:t>16J is in force</w:t>
      </w:r>
      <w:r w:rsidRPr="005E3B43">
        <w:t>.</w:t>
      </w:r>
    </w:p>
    <w:p w14:paraId="3E47CDCB" w14:textId="77777777" w:rsidR="00207B1C" w:rsidRPr="005E3B43" w:rsidRDefault="00207B1C" w:rsidP="00763BCF">
      <w:pPr>
        <w:pStyle w:val="Definition"/>
      </w:pPr>
      <w:r w:rsidRPr="005E3B43">
        <w:rPr>
          <w:b/>
          <w:i/>
        </w:rPr>
        <w:t>disinfectant</w:t>
      </w:r>
      <w:r w:rsidRPr="005E3B43">
        <w:t xml:space="preserve"> means a substance:</w:t>
      </w:r>
    </w:p>
    <w:p w14:paraId="63AEC0AE" w14:textId="77777777" w:rsidR="00207B1C" w:rsidRPr="005E3B43" w:rsidRDefault="00207B1C" w:rsidP="00763BCF">
      <w:pPr>
        <w:pStyle w:val="paragraph"/>
      </w:pPr>
      <w:r w:rsidRPr="005E3B43">
        <w:tab/>
        <w:t>(a)</w:t>
      </w:r>
      <w:r w:rsidRPr="005E3B43">
        <w:tab/>
        <w:t>that is recommended by its manufacturer for application to an inanimate object to kill micro organisms; and</w:t>
      </w:r>
    </w:p>
    <w:p w14:paraId="4222CE8B" w14:textId="77777777" w:rsidR="00207B1C" w:rsidRPr="005E3B43" w:rsidRDefault="00207B1C" w:rsidP="00763BCF">
      <w:pPr>
        <w:pStyle w:val="paragraph"/>
      </w:pPr>
      <w:r w:rsidRPr="005E3B43">
        <w:tab/>
        <w:t>(b)</w:t>
      </w:r>
      <w:r w:rsidRPr="005E3B43">
        <w:tab/>
        <w:t>that is not represented by the manufacturer to be suitable for internal use.</w:t>
      </w:r>
    </w:p>
    <w:p w14:paraId="4C5A8396" w14:textId="77777777" w:rsidR="00F539F4" w:rsidRPr="005E3B43" w:rsidRDefault="00F539F4" w:rsidP="00F539F4">
      <w:pPr>
        <w:pStyle w:val="Definition"/>
      </w:pPr>
      <w:r w:rsidRPr="005E3B43">
        <w:rPr>
          <w:b/>
          <w:i/>
        </w:rPr>
        <w:t>disposable therapeutic vape</w:t>
      </w:r>
      <w:r w:rsidRPr="005E3B43">
        <w:t xml:space="preserve"> means a therapeutic good:</w:t>
      </w:r>
    </w:p>
    <w:p w14:paraId="4776EA35" w14:textId="77777777" w:rsidR="00F539F4" w:rsidRPr="005E3B43" w:rsidRDefault="00F539F4" w:rsidP="00F539F4">
      <w:pPr>
        <w:pStyle w:val="paragraph"/>
      </w:pPr>
      <w:r w:rsidRPr="005E3B43">
        <w:tab/>
        <w:t>(a)</w:t>
      </w:r>
      <w:r w:rsidRPr="005E3B43">
        <w:tab/>
        <w:t xml:space="preserve">that is a vaping device of the kind referred to in paragraph (a) of the definition of </w:t>
      </w:r>
      <w:r w:rsidRPr="005E3B43">
        <w:rPr>
          <w:b/>
          <w:i/>
        </w:rPr>
        <w:t>vaping device</w:t>
      </w:r>
      <w:r w:rsidRPr="005E3B43">
        <w:t xml:space="preserve"> in </w:t>
      </w:r>
      <w:r w:rsidR="00A9451E" w:rsidRPr="005E3B43">
        <w:t>subsection 41P(1) of the Act</w:t>
      </w:r>
      <w:r w:rsidRPr="005E3B43">
        <w:t>; and</w:t>
      </w:r>
    </w:p>
    <w:p w14:paraId="3803CF7E" w14:textId="77777777" w:rsidR="00F539F4" w:rsidRPr="005E3B43" w:rsidRDefault="00F539F4" w:rsidP="00F539F4">
      <w:pPr>
        <w:pStyle w:val="paragraph"/>
      </w:pPr>
      <w:r w:rsidRPr="005E3B43">
        <w:tab/>
        <w:t>(b)</w:t>
      </w:r>
      <w:r w:rsidRPr="005E3B43">
        <w:tab/>
        <w:t>that is fully assembled with all the constituent components fixed permanently in place and that is not designed or intended (by the person under whose name the vaping device is or is to be supplied) to be disassembled; and</w:t>
      </w:r>
    </w:p>
    <w:p w14:paraId="053BDF42" w14:textId="7FE66E6F" w:rsidR="00F539F4" w:rsidRPr="005E3B43" w:rsidRDefault="00F539F4" w:rsidP="00F539F4">
      <w:pPr>
        <w:pStyle w:val="paragraph"/>
      </w:pPr>
      <w:r w:rsidRPr="005E3B43">
        <w:tab/>
        <w:t>(c)</w:t>
      </w:r>
      <w:r w:rsidRPr="005E3B43">
        <w:tab/>
        <w:t>that is pre</w:t>
      </w:r>
      <w:r w:rsidR="007C3215">
        <w:noBreakHyphen/>
      </w:r>
      <w:r w:rsidRPr="005E3B43">
        <w:t>filled with a therapeutic vaping substance; and</w:t>
      </w:r>
    </w:p>
    <w:p w14:paraId="64F08938" w14:textId="77777777" w:rsidR="00F539F4" w:rsidRPr="005E3B43" w:rsidRDefault="00F539F4" w:rsidP="00F539F4">
      <w:pPr>
        <w:pStyle w:val="paragraph"/>
      </w:pPr>
      <w:r w:rsidRPr="005E3B43">
        <w:tab/>
        <w:t>(d)</w:t>
      </w:r>
      <w:r w:rsidRPr="005E3B43">
        <w:tab/>
        <w:t>that is not designed or intended (by the person under whose name the vaping device is or is to be supplied) to be refilled.</w:t>
      </w:r>
    </w:p>
    <w:p w14:paraId="7ACD038E" w14:textId="77777777" w:rsidR="00207B1C" w:rsidRPr="005E3B43" w:rsidRDefault="00207B1C" w:rsidP="00763BCF">
      <w:pPr>
        <w:pStyle w:val="Definition"/>
      </w:pPr>
      <w:r w:rsidRPr="005E3B43">
        <w:rPr>
          <w:b/>
          <w:i/>
        </w:rPr>
        <w:t>expiry date</w:t>
      </w:r>
      <w:r w:rsidRPr="005E3B43">
        <w:t>, for therapeutic goods, means the date (expressed as the month and year) after which the goods should not be used.</w:t>
      </w:r>
    </w:p>
    <w:p w14:paraId="260E531A" w14:textId="77777777" w:rsidR="003B615A" w:rsidRPr="005E3B43" w:rsidRDefault="003B615A" w:rsidP="00763BCF">
      <w:pPr>
        <w:pStyle w:val="Definition"/>
      </w:pPr>
      <w:r w:rsidRPr="005E3B43">
        <w:rPr>
          <w:b/>
          <w:i/>
        </w:rPr>
        <w:t>faecal microbiota transplant product</w:t>
      </w:r>
      <w:r w:rsidRPr="005E3B43">
        <w:t xml:space="preserve"> means a thing that:</w:t>
      </w:r>
    </w:p>
    <w:p w14:paraId="0E96D14F" w14:textId="77777777" w:rsidR="003B615A" w:rsidRPr="005E3B43" w:rsidRDefault="003B615A" w:rsidP="00763BCF">
      <w:pPr>
        <w:pStyle w:val="paragraph"/>
      </w:pPr>
      <w:r w:rsidRPr="005E3B43">
        <w:tab/>
        <w:t>(a)</w:t>
      </w:r>
      <w:r w:rsidRPr="005E3B43">
        <w:tab/>
        <w:t>comprises, contains or is derived from human stool; and</w:t>
      </w:r>
    </w:p>
    <w:p w14:paraId="4AE87467" w14:textId="77777777" w:rsidR="003B615A" w:rsidRPr="005E3B43" w:rsidRDefault="003B615A" w:rsidP="00763BCF">
      <w:pPr>
        <w:pStyle w:val="paragraph"/>
      </w:pPr>
      <w:r w:rsidRPr="005E3B43">
        <w:tab/>
        <w:t>(b)</w:t>
      </w:r>
      <w:r w:rsidRPr="005E3B43">
        <w:tab/>
        <w:t>is for introduction into a person for a therapeutic use.</w:t>
      </w:r>
    </w:p>
    <w:p w14:paraId="52C66FCE" w14:textId="77777777" w:rsidR="003865D8" w:rsidRPr="005E3B43" w:rsidRDefault="003865D8" w:rsidP="00763BCF">
      <w:pPr>
        <w:pStyle w:val="Definition"/>
      </w:pPr>
      <w:r w:rsidRPr="005E3B43">
        <w:rPr>
          <w:b/>
          <w:i/>
        </w:rPr>
        <w:t>Finance Minister</w:t>
      </w:r>
      <w:r w:rsidRPr="005E3B43">
        <w:t xml:space="preserve"> means the Minister who administers the </w:t>
      </w:r>
      <w:r w:rsidRPr="005E3B43">
        <w:rPr>
          <w:i/>
          <w:iCs/>
          <w:szCs w:val="22"/>
        </w:rPr>
        <w:t>Public Governance, Performance and Accountability Act 2013.</w:t>
      </w:r>
    </w:p>
    <w:p w14:paraId="21BC0A41" w14:textId="77777777" w:rsidR="00207B1C" w:rsidRPr="005E3B43" w:rsidRDefault="00207B1C" w:rsidP="00763BCF">
      <w:pPr>
        <w:pStyle w:val="Definition"/>
      </w:pPr>
      <w:r w:rsidRPr="005E3B43">
        <w:rPr>
          <w:b/>
          <w:i/>
        </w:rPr>
        <w:t>fungicide</w:t>
      </w:r>
      <w:r w:rsidRPr="005E3B43">
        <w:t xml:space="preserve"> means a chemical agent that kills a fungus or spores of a fungus.</w:t>
      </w:r>
    </w:p>
    <w:p w14:paraId="45E21FFA" w14:textId="77777777" w:rsidR="0068052E" w:rsidRPr="005E3B43" w:rsidRDefault="0068052E" w:rsidP="00763BCF">
      <w:pPr>
        <w:pStyle w:val="Definition"/>
      </w:pPr>
      <w:r w:rsidRPr="005E3B43">
        <w:rPr>
          <w:b/>
          <w:i/>
        </w:rPr>
        <w:t>generic product</w:t>
      </w:r>
      <w:r w:rsidRPr="005E3B43">
        <w:t xml:space="preserve"> means a medicine that, in comparison to a registered medicine or a medicine that has been registered but is no longer a registered medicine (the </w:t>
      </w:r>
      <w:r w:rsidRPr="005E3B43">
        <w:rPr>
          <w:b/>
          <w:i/>
        </w:rPr>
        <w:t>comparison medicine</w:t>
      </w:r>
      <w:r w:rsidRPr="005E3B43">
        <w:t>):</w:t>
      </w:r>
    </w:p>
    <w:p w14:paraId="0EF194C9" w14:textId="77777777" w:rsidR="0068052E" w:rsidRPr="005E3B43" w:rsidRDefault="0068052E" w:rsidP="00763BCF">
      <w:pPr>
        <w:pStyle w:val="paragraph"/>
      </w:pPr>
      <w:r w:rsidRPr="005E3B43">
        <w:lastRenderedPageBreak/>
        <w:tab/>
        <w:t>(a)</w:t>
      </w:r>
      <w:r w:rsidRPr="005E3B43">
        <w:tab/>
        <w:t>has the same quantitative composition of therapeutically active substances, being substances of similar quality to those used in the comparison medicine; and</w:t>
      </w:r>
    </w:p>
    <w:p w14:paraId="64E5AA20" w14:textId="77777777" w:rsidR="0068052E" w:rsidRPr="005E3B43" w:rsidRDefault="0068052E" w:rsidP="00763BCF">
      <w:pPr>
        <w:pStyle w:val="paragraph"/>
      </w:pPr>
      <w:r w:rsidRPr="005E3B43">
        <w:tab/>
        <w:t>(b)</w:t>
      </w:r>
      <w:r w:rsidRPr="005E3B43">
        <w:tab/>
        <w:t>has the same pharmaceutical form; and</w:t>
      </w:r>
    </w:p>
    <w:p w14:paraId="59BC75ED" w14:textId="77777777" w:rsidR="0068052E" w:rsidRPr="005E3B43" w:rsidRDefault="0068052E" w:rsidP="00763BCF">
      <w:pPr>
        <w:pStyle w:val="paragraph"/>
      </w:pPr>
      <w:r w:rsidRPr="005E3B43">
        <w:tab/>
        <w:t>(c)</w:t>
      </w:r>
      <w:r w:rsidRPr="005E3B43">
        <w:tab/>
        <w:t>is bioequivalent; and</w:t>
      </w:r>
    </w:p>
    <w:p w14:paraId="2E04D8F2" w14:textId="77777777" w:rsidR="0068052E" w:rsidRPr="005E3B43" w:rsidRDefault="0068052E" w:rsidP="00763BCF">
      <w:pPr>
        <w:pStyle w:val="paragraph"/>
      </w:pPr>
      <w:r w:rsidRPr="005E3B43">
        <w:tab/>
        <w:t>(d)</w:t>
      </w:r>
      <w:r w:rsidRPr="005E3B43">
        <w:tab/>
        <w:t>has the same safety and efficacy properties.</w:t>
      </w:r>
    </w:p>
    <w:p w14:paraId="0B037935" w14:textId="77777777" w:rsidR="00207B1C" w:rsidRPr="005E3B43" w:rsidRDefault="00207B1C" w:rsidP="00763BCF">
      <w:pPr>
        <w:pStyle w:val="Definition"/>
      </w:pPr>
      <w:r w:rsidRPr="005E3B43">
        <w:rPr>
          <w:b/>
          <w:i/>
        </w:rPr>
        <w:t>gene therapy</w:t>
      </w:r>
      <w:r w:rsidRPr="005E3B43">
        <w:t xml:space="preserve"> means the in vivo transfer of DNA or RNA into the cells of human recipients.</w:t>
      </w:r>
    </w:p>
    <w:p w14:paraId="1F4DB010" w14:textId="77777777" w:rsidR="00207B1C" w:rsidRPr="005E3B43" w:rsidRDefault="00207B1C" w:rsidP="00763BCF">
      <w:pPr>
        <w:pStyle w:val="Definition"/>
      </w:pPr>
      <w:r w:rsidRPr="005E3B43">
        <w:rPr>
          <w:b/>
          <w:i/>
        </w:rPr>
        <w:t>herbal substance</w:t>
      </w:r>
      <w:r w:rsidRPr="005E3B43">
        <w:t xml:space="preserve"> means all or part of a plant or substance (other than a pure chemical or a substance of bacterial origin):</w:t>
      </w:r>
    </w:p>
    <w:p w14:paraId="02680612" w14:textId="77777777" w:rsidR="00207B1C" w:rsidRPr="005E3B43" w:rsidRDefault="00207B1C" w:rsidP="00763BCF">
      <w:pPr>
        <w:pStyle w:val="paragraph"/>
      </w:pPr>
      <w:r w:rsidRPr="005E3B43">
        <w:tab/>
        <w:t>(a)</w:t>
      </w:r>
      <w:r w:rsidRPr="005E3B43">
        <w:tab/>
        <w:t>that is obtained only by drying, crushing, distilling, extracting, expressing, comminuting, mixing with an inert diluent substance or another herbal substance or mixing with water, ethanol, glycerol or aqueous ethanol; and</w:t>
      </w:r>
    </w:p>
    <w:p w14:paraId="6BBD931D" w14:textId="77777777" w:rsidR="00207B1C" w:rsidRPr="005E3B43" w:rsidRDefault="00207B1C" w:rsidP="00763BCF">
      <w:pPr>
        <w:pStyle w:val="paragraph"/>
      </w:pPr>
      <w:r w:rsidRPr="005E3B43">
        <w:tab/>
        <w:t>(b)</w:t>
      </w:r>
      <w:r w:rsidRPr="005E3B43">
        <w:tab/>
        <w:t>that is not subjected to any other treatment or process other than a treatment or process that is necessary for its presentation in a pharmaceutical form.</w:t>
      </w:r>
    </w:p>
    <w:p w14:paraId="62C1B0AD" w14:textId="77777777" w:rsidR="00EC1832" w:rsidRPr="005E3B43" w:rsidRDefault="00EC1832" w:rsidP="00763BCF">
      <w:pPr>
        <w:pStyle w:val="Definition"/>
      </w:pPr>
      <w:r w:rsidRPr="005E3B43">
        <w:rPr>
          <w:b/>
          <w:i/>
        </w:rPr>
        <w:t>high level disinfectant</w:t>
      </w:r>
      <w:r w:rsidRPr="005E3B43">
        <w:t xml:space="preserve"> means a disinfectant that kills all microbial pathogens, except bacterial endospores, when used as recommended by its manufacturer.</w:t>
      </w:r>
    </w:p>
    <w:p w14:paraId="3BA3D868" w14:textId="77777777" w:rsidR="00207B1C" w:rsidRPr="005E3B43" w:rsidRDefault="00207B1C" w:rsidP="00763BCF">
      <w:pPr>
        <w:pStyle w:val="Definition"/>
      </w:pPr>
      <w:r w:rsidRPr="005E3B43">
        <w:rPr>
          <w:b/>
          <w:i/>
        </w:rPr>
        <w:t>homoeopathic preparation</w:t>
      </w:r>
      <w:r w:rsidRPr="005E3B43">
        <w:t xml:space="preserve"> means a preparation:</w:t>
      </w:r>
    </w:p>
    <w:p w14:paraId="17B1D56A" w14:textId="77777777" w:rsidR="00207B1C" w:rsidRPr="005E3B43" w:rsidRDefault="00207B1C" w:rsidP="00763BCF">
      <w:pPr>
        <w:pStyle w:val="paragraph"/>
      </w:pPr>
      <w:r w:rsidRPr="005E3B43">
        <w:tab/>
        <w:t>(a)</w:t>
      </w:r>
      <w:r w:rsidRPr="005E3B43">
        <w:tab/>
        <w:t>formulated for use on the principle that it is capable of producing in a healthy person symptoms similar to those which it is administered to alleviate; and</w:t>
      </w:r>
    </w:p>
    <w:p w14:paraId="1C550FDD" w14:textId="77777777" w:rsidR="00207B1C" w:rsidRPr="005E3B43" w:rsidRDefault="00207B1C" w:rsidP="00763BCF">
      <w:pPr>
        <w:pStyle w:val="paragraph"/>
      </w:pPr>
      <w:r w:rsidRPr="005E3B43">
        <w:tab/>
        <w:t>(b)</w:t>
      </w:r>
      <w:r w:rsidRPr="005E3B43">
        <w:tab/>
        <w:t>prepared according to the practices of homoeopathic pharmacy using the methods of:</w:t>
      </w:r>
    </w:p>
    <w:p w14:paraId="064E4849" w14:textId="77777777" w:rsidR="00207B1C" w:rsidRPr="005E3B43" w:rsidRDefault="00207B1C" w:rsidP="00763BCF">
      <w:pPr>
        <w:pStyle w:val="paragraphsub"/>
      </w:pPr>
      <w:r w:rsidRPr="005E3B43">
        <w:tab/>
        <w:t>(i)</w:t>
      </w:r>
      <w:r w:rsidRPr="005E3B43">
        <w:tab/>
        <w:t>serial dilution and succussion of a mother tincture in water, ethanol, aqueous ethanol or glycerol; or</w:t>
      </w:r>
    </w:p>
    <w:p w14:paraId="0437D870" w14:textId="77777777" w:rsidR="00207B1C" w:rsidRPr="005E3B43" w:rsidRDefault="00207B1C" w:rsidP="00763BCF">
      <w:pPr>
        <w:pStyle w:val="paragraphsub"/>
      </w:pPr>
      <w:r w:rsidRPr="005E3B43">
        <w:tab/>
        <w:t>(ii)</w:t>
      </w:r>
      <w:r w:rsidRPr="005E3B43">
        <w:tab/>
        <w:t>serial trituration in lactose.</w:t>
      </w:r>
    </w:p>
    <w:p w14:paraId="6D76F1D7" w14:textId="77777777" w:rsidR="00B118BE" w:rsidRPr="005E3B43" w:rsidRDefault="00B118BE" w:rsidP="00763BCF">
      <w:pPr>
        <w:pStyle w:val="Definition"/>
      </w:pPr>
      <w:r w:rsidRPr="005E3B43">
        <w:rPr>
          <w:b/>
          <w:i/>
        </w:rPr>
        <w:t>homologous use</w:t>
      </w:r>
      <w:r w:rsidRPr="005E3B43">
        <w:t>: see regulation</w:t>
      </w:r>
      <w:r w:rsidR="004E6D00" w:rsidRPr="005E3B43">
        <w:t> </w:t>
      </w:r>
      <w:r w:rsidRPr="005E3B43">
        <w:t>3B.</w:t>
      </w:r>
    </w:p>
    <w:p w14:paraId="0728A4F1" w14:textId="77777777" w:rsidR="00207B1C" w:rsidRPr="005E3B43" w:rsidRDefault="00207B1C" w:rsidP="00763BCF">
      <w:pPr>
        <w:pStyle w:val="Definition"/>
      </w:pPr>
      <w:r w:rsidRPr="005E3B43">
        <w:rPr>
          <w:b/>
          <w:i/>
        </w:rPr>
        <w:t>hospital grade disinfectant</w:t>
      </w:r>
      <w:r w:rsidRPr="005E3B43">
        <w:t xml:space="preserve"> means a disinfectant that is represented to be suitable for therapeutic use:</w:t>
      </w:r>
    </w:p>
    <w:p w14:paraId="3D4C7151" w14:textId="77777777" w:rsidR="00207B1C" w:rsidRPr="005E3B43" w:rsidRDefault="00207B1C" w:rsidP="00763BCF">
      <w:pPr>
        <w:pStyle w:val="paragraph"/>
      </w:pPr>
      <w:r w:rsidRPr="005E3B43">
        <w:tab/>
        <w:t>(a)</w:t>
      </w:r>
      <w:r w:rsidRPr="005E3B43">
        <w:tab/>
        <w:t>in premises used for:</w:t>
      </w:r>
    </w:p>
    <w:p w14:paraId="38A3FA02" w14:textId="77777777" w:rsidR="00207B1C" w:rsidRPr="005E3B43" w:rsidRDefault="00207B1C" w:rsidP="00763BCF">
      <w:pPr>
        <w:pStyle w:val="paragraphsub"/>
      </w:pPr>
      <w:r w:rsidRPr="005E3B43">
        <w:tab/>
        <w:t>(i)</w:t>
      </w:r>
      <w:r w:rsidRPr="005E3B43">
        <w:tab/>
        <w:t>the investigation or treatment of a disease, ailment or injury; or</w:t>
      </w:r>
    </w:p>
    <w:p w14:paraId="05BAE071" w14:textId="77777777" w:rsidR="00207B1C" w:rsidRPr="005E3B43" w:rsidRDefault="00207B1C" w:rsidP="00763BCF">
      <w:pPr>
        <w:pStyle w:val="paragraphsub"/>
      </w:pPr>
      <w:r w:rsidRPr="005E3B43">
        <w:tab/>
        <w:t>(ii)</w:t>
      </w:r>
      <w:r w:rsidRPr="005E3B43">
        <w:tab/>
        <w:t>procedures that are carried out involving the penetration of the human skin; or</w:t>
      </w:r>
    </w:p>
    <w:p w14:paraId="6D410DFD" w14:textId="77777777" w:rsidR="00207B1C" w:rsidRPr="005E3B43" w:rsidRDefault="00207B1C" w:rsidP="00763BCF">
      <w:pPr>
        <w:pStyle w:val="paragraph"/>
      </w:pPr>
      <w:r w:rsidRPr="005E3B43">
        <w:tab/>
        <w:t>(b)</w:t>
      </w:r>
      <w:r w:rsidRPr="005E3B43">
        <w:tab/>
        <w:t>in connection with:</w:t>
      </w:r>
    </w:p>
    <w:p w14:paraId="73C292ED" w14:textId="77777777" w:rsidR="00207B1C" w:rsidRPr="005E3B43" w:rsidRDefault="00207B1C" w:rsidP="00763BCF">
      <w:pPr>
        <w:pStyle w:val="paragraphsub"/>
      </w:pPr>
      <w:r w:rsidRPr="005E3B43">
        <w:tab/>
        <w:t>(i)</w:t>
      </w:r>
      <w:r w:rsidRPr="005E3B43">
        <w:tab/>
        <w:t>the business of beauty therapy or hairdressing; or</w:t>
      </w:r>
    </w:p>
    <w:p w14:paraId="0A8B7D38" w14:textId="77777777" w:rsidR="00207B1C" w:rsidRPr="005E3B43" w:rsidRDefault="00207B1C" w:rsidP="00763BCF">
      <w:pPr>
        <w:pStyle w:val="paragraphsub"/>
      </w:pPr>
      <w:r w:rsidRPr="005E3B43">
        <w:tab/>
        <w:t>(ii)</w:t>
      </w:r>
      <w:r w:rsidRPr="005E3B43">
        <w:tab/>
        <w:t>the practice of podiatry;</w:t>
      </w:r>
    </w:p>
    <w:p w14:paraId="244F8F35" w14:textId="77777777" w:rsidR="00207B1C" w:rsidRPr="005E3B43" w:rsidRDefault="00207B1C" w:rsidP="00763BCF">
      <w:pPr>
        <w:pStyle w:val="subsection2"/>
      </w:pPr>
      <w:r w:rsidRPr="005E3B43">
        <w:t>but does not include:</w:t>
      </w:r>
    </w:p>
    <w:p w14:paraId="1B35B122" w14:textId="77777777" w:rsidR="00207B1C" w:rsidRPr="005E3B43" w:rsidRDefault="00207B1C" w:rsidP="00763BCF">
      <w:pPr>
        <w:pStyle w:val="paragraph"/>
      </w:pPr>
      <w:r w:rsidRPr="005E3B43">
        <w:tab/>
        <w:t>(c)</w:t>
      </w:r>
      <w:r w:rsidRPr="005E3B43">
        <w:tab/>
        <w:t>an antibacterial clothes preparation; or</w:t>
      </w:r>
    </w:p>
    <w:p w14:paraId="75D926C3" w14:textId="77777777" w:rsidR="00207B1C" w:rsidRPr="005E3B43" w:rsidRDefault="00207B1C" w:rsidP="00763BCF">
      <w:pPr>
        <w:pStyle w:val="paragraph"/>
      </w:pPr>
      <w:r w:rsidRPr="005E3B43">
        <w:tab/>
        <w:t>(d)</w:t>
      </w:r>
      <w:r w:rsidRPr="005E3B43">
        <w:tab/>
        <w:t>a sanitary fluid; or</w:t>
      </w:r>
    </w:p>
    <w:p w14:paraId="26B0F6A2" w14:textId="77777777" w:rsidR="00207B1C" w:rsidRPr="005E3B43" w:rsidRDefault="00207B1C" w:rsidP="00763BCF">
      <w:pPr>
        <w:pStyle w:val="paragraph"/>
      </w:pPr>
      <w:r w:rsidRPr="005E3B43">
        <w:tab/>
        <w:t>(e)</w:t>
      </w:r>
      <w:r w:rsidRPr="005E3B43">
        <w:tab/>
        <w:t>a sanitary powder; or</w:t>
      </w:r>
    </w:p>
    <w:p w14:paraId="6DF27EFD" w14:textId="77777777" w:rsidR="00207B1C" w:rsidRPr="005E3B43" w:rsidRDefault="00207B1C" w:rsidP="00763BCF">
      <w:pPr>
        <w:pStyle w:val="paragraph"/>
      </w:pPr>
      <w:r w:rsidRPr="005E3B43">
        <w:lastRenderedPageBreak/>
        <w:tab/>
        <w:t>(f)</w:t>
      </w:r>
      <w:r w:rsidRPr="005E3B43">
        <w:tab/>
        <w:t>a sanitiser.</w:t>
      </w:r>
    </w:p>
    <w:p w14:paraId="0AFE9D75" w14:textId="77777777" w:rsidR="00207B1C" w:rsidRPr="005E3B43" w:rsidRDefault="00207B1C" w:rsidP="00763BCF">
      <w:pPr>
        <w:pStyle w:val="Definition"/>
      </w:pPr>
      <w:r w:rsidRPr="005E3B43">
        <w:rPr>
          <w:b/>
          <w:i/>
        </w:rPr>
        <w:t>household grade disinfectant</w:t>
      </w:r>
      <w:r w:rsidRPr="005E3B43">
        <w:t xml:space="preserve"> means a disinfectant that is not:</w:t>
      </w:r>
    </w:p>
    <w:p w14:paraId="64EB5A8F" w14:textId="77777777" w:rsidR="00207B1C" w:rsidRPr="005E3B43" w:rsidRDefault="00207B1C" w:rsidP="00763BCF">
      <w:pPr>
        <w:pStyle w:val="paragraph"/>
      </w:pPr>
      <w:r w:rsidRPr="005E3B43">
        <w:tab/>
        <w:t>(a)</w:t>
      </w:r>
      <w:r w:rsidRPr="005E3B43">
        <w:tab/>
        <w:t>an antibacterial clothes preparation; or</w:t>
      </w:r>
    </w:p>
    <w:p w14:paraId="33FDFD9C" w14:textId="77777777" w:rsidR="00207B1C" w:rsidRPr="005E3B43" w:rsidRDefault="00207B1C" w:rsidP="00763BCF">
      <w:pPr>
        <w:pStyle w:val="paragraph"/>
      </w:pPr>
      <w:r w:rsidRPr="005E3B43">
        <w:tab/>
        <w:t>(b)</w:t>
      </w:r>
      <w:r w:rsidRPr="005E3B43">
        <w:tab/>
        <w:t>a hospital grade disinfectant; or</w:t>
      </w:r>
    </w:p>
    <w:p w14:paraId="31F72576" w14:textId="77777777" w:rsidR="00207B1C" w:rsidRPr="005E3B43" w:rsidRDefault="00207B1C" w:rsidP="00763BCF">
      <w:pPr>
        <w:pStyle w:val="paragraph"/>
      </w:pPr>
      <w:r w:rsidRPr="005E3B43">
        <w:tab/>
        <w:t>(c)</w:t>
      </w:r>
      <w:r w:rsidRPr="005E3B43">
        <w:tab/>
        <w:t>a sanitary fluid; or</w:t>
      </w:r>
    </w:p>
    <w:p w14:paraId="7164E6E6" w14:textId="77777777" w:rsidR="00207B1C" w:rsidRPr="005E3B43" w:rsidRDefault="00207B1C" w:rsidP="00763BCF">
      <w:pPr>
        <w:pStyle w:val="paragraph"/>
      </w:pPr>
      <w:r w:rsidRPr="005E3B43">
        <w:tab/>
        <w:t>(d)</w:t>
      </w:r>
      <w:r w:rsidRPr="005E3B43">
        <w:tab/>
        <w:t>a sanitary powder; or</w:t>
      </w:r>
    </w:p>
    <w:p w14:paraId="46FAE6E3" w14:textId="77777777" w:rsidR="00207B1C" w:rsidRPr="005E3B43" w:rsidRDefault="00207B1C" w:rsidP="00763BCF">
      <w:pPr>
        <w:pStyle w:val="paragraph"/>
      </w:pPr>
      <w:r w:rsidRPr="005E3B43">
        <w:tab/>
        <w:t>(e)</w:t>
      </w:r>
      <w:r w:rsidRPr="005E3B43">
        <w:tab/>
        <w:t>a sanitiser.</w:t>
      </w:r>
    </w:p>
    <w:p w14:paraId="22786A82" w14:textId="77777777" w:rsidR="00207B1C" w:rsidRPr="005E3B43" w:rsidRDefault="00207B1C" w:rsidP="00763BCF">
      <w:pPr>
        <w:pStyle w:val="Definition"/>
      </w:pPr>
      <w:r w:rsidRPr="005E3B43">
        <w:rPr>
          <w:b/>
          <w:i/>
        </w:rPr>
        <w:t>immediate family</w:t>
      </w:r>
      <w:r w:rsidRPr="005E3B43">
        <w:t>, in relation to a person, means the parents, grandparents, spouse,</w:t>
      </w:r>
      <w:r w:rsidR="00A171B2" w:rsidRPr="005E3B43">
        <w:t> </w:t>
      </w:r>
      <w:r w:rsidRPr="005E3B43">
        <w:rPr>
          <w:i/>
        </w:rPr>
        <w:t>de</w:t>
      </w:r>
      <w:r w:rsidR="00A171B2" w:rsidRPr="005E3B43">
        <w:rPr>
          <w:i/>
        </w:rPr>
        <w:t> </w:t>
      </w:r>
      <w:r w:rsidRPr="005E3B43">
        <w:rPr>
          <w:i/>
        </w:rPr>
        <w:t>facto</w:t>
      </w:r>
      <w:r w:rsidR="00A171B2" w:rsidRPr="005E3B43">
        <w:rPr>
          <w:i/>
        </w:rPr>
        <w:t> </w:t>
      </w:r>
      <w:r w:rsidRPr="005E3B43">
        <w:t>spouse, child or ward of that person.</w:t>
      </w:r>
    </w:p>
    <w:p w14:paraId="009AC11E" w14:textId="77777777" w:rsidR="00B11D7F" w:rsidRPr="005E3B43" w:rsidRDefault="00B11D7F" w:rsidP="00763BCF">
      <w:pPr>
        <w:pStyle w:val="Definition"/>
      </w:pPr>
      <w:r w:rsidRPr="005E3B43">
        <w:rPr>
          <w:b/>
          <w:i/>
        </w:rPr>
        <w:t>IN1 application</w:t>
      </w:r>
      <w:r w:rsidRPr="005E3B43">
        <w:rPr>
          <w:i/>
        </w:rPr>
        <w:t xml:space="preserve"> </w:t>
      </w:r>
      <w:r w:rsidRPr="005E3B43">
        <w:t>means an application made under sub</w:t>
      </w:r>
      <w:r w:rsidR="00FB7FAA" w:rsidRPr="005E3B43">
        <w:t>section 2</w:t>
      </w:r>
      <w:r w:rsidRPr="005E3B43">
        <w:t xml:space="preserve">6BD(1) of the Act for a recommendation to vary a </w:t>
      </w:r>
      <w:r w:rsidR="00FB7FAA" w:rsidRPr="005E3B43">
        <w:t>section 2</w:t>
      </w:r>
      <w:r w:rsidRPr="005E3B43">
        <w:t>6BB determination, if the variation is of a kind that requires:</w:t>
      </w:r>
    </w:p>
    <w:p w14:paraId="4BEF3EBD" w14:textId="77777777" w:rsidR="00B11D7F" w:rsidRPr="005E3B43" w:rsidRDefault="00B11D7F" w:rsidP="00763BCF">
      <w:pPr>
        <w:pStyle w:val="paragraph"/>
      </w:pPr>
      <w:r w:rsidRPr="005E3B43">
        <w:tab/>
        <w:t>(a)</w:t>
      </w:r>
      <w:r w:rsidRPr="005E3B43">
        <w:tab/>
        <w:t>an evaluation of the safety and quality of an ingredient based on evaluation reports from a competent regulatory authority of a foreign country or foreign jurisdiction determined under regulation 16GJ; or</w:t>
      </w:r>
    </w:p>
    <w:p w14:paraId="3446C442" w14:textId="77777777" w:rsidR="00B11D7F" w:rsidRPr="005E3B43" w:rsidRDefault="00B11D7F" w:rsidP="00763BCF">
      <w:pPr>
        <w:pStyle w:val="paragraph"/>
      </w:pPr>
      <w:r w:rsidRPr="005E3B43">
        <w:tab/>
        <w:t>(b)</w:t>
      </w:r>
      <w:r w:rsidRPr="005E3B43">
        <w:tab/>
        <w:t>an evaluation of:</w:t>
      </w:r>
    </w:p>
    <w:p w14:paraId="19E3F6FD" w14:textId="77777777" w:rsidR="00B11D7F" w:rsidRPr="005E3B43" w:rsidRDefault="00B11D7F" w:rsidP="00763BCF">
      <w:pPr>
        <w:pStyle w:val="paragraphsub"/>
      </w:pPr>
      <w:r w:rsidRPr="005E3B43">
        <w:tab/>
        <w:t>(i)</w:t>
      </w:r>
      <w:r w:rsidRPr="005E3B43">
        <w:tab/>
        <w:t>the safety of an ingredient based on evaluation reports from a competent regulatory authority of a foreign country or foreign jurisdiction determined under regulation 16GJ; and</w:t>
      </w:r>
    </w:p>
    <w:p w14:paraId="598707AC" w14:textId="77777777" w:rsidR="00B11D7F" w:rsidRPr="005E3B43" w:rsidRDefault="00B11D7F" w:rsidP="00763BCF">
      <w:pPr>
        <w:pStyle w:val="paragraphsub"/>
      </w:pPr>
      <w:r w:rsidRPr="005E3B43">
        <w:tab/>
        <w:t>(ii)</w:t>
      </w:r>
      <w:r w:rsidRPr="005E3B43">
        <w:tab/>
        <w:t>the quality of the ingredient based on a monograph contained in a default standard.</w:t>
      </w:r>
    </w:p>
    <w:p w14:paraId="2C3E416E" w14:textId="77777777" w:rsidR="007143C5" w:rsidRPr="005E3B43" w:rsidRDefault="007143C5" w:rsidP="00763BCF">
      <w:pPr>
        <w:pStyle w:val="Definition"/>
      </w:pPr>
      <w:r w:rsidRPr="005E3B43">
        <w:rPr>
          <w:b/>
          <w:i/>
        </w:rPr>
        <w:t>IN2 application</w:t>
      </w:r>
      <w:r w:rsidRPr="005E3B43">
        <w:rPr>
          <w:i/>
        </w:rPr>
        <w:t xml:space="preserve"> </w:t>
      </w:r>
      <w:r w:rsidRPr="005E3B43">
        <w:t xml:space="preserve">means an application made under </w:t>
      </w:r>
      <w:r w:rsidR="00DF1B3D" w:rsidRPr="005E3B43">
        <w:t>sub</w:t>
      </w:r>
      <w:r w:rsidR="00FB7FAA" w:rsidRPr="005E3B43">
        <w:t>section 2</w:t>
      </w:r>
      <w:r w:rsidR="00DF1B3D" w:rsidRPr="005E3B43">
        <w:t>6BD(1)</w:t>
      </w:r>
      <w:r w:rsidRPr="005E3B43">
        <w:t xml:space="preserve"> of the Act for a recommendation to vary a </w:t>
      </w:r>
      <w:r w:rsidR="00FB7FAA" w:rsidRPr="005E3B43">
        <w:t>section 2</w:t>
      </w:r>
      <w:r w:rsidRPr="005E3B43">
        <w:t>6BB determination, if the variation is of a kind that requires:</w:t>
      </w:r>
    </w:p>
    <w:p w14:paraId="6B60DAAC" w14:textId="77777777" w:rsidR="007143C5" w:rsidRPr="005E3B43" w:rsidRDefault="007143C5" w:rsidP="00763BCF">
      <w:pPr>
        <w:pStyle w:val="paragraph"/>
      </w:pPr>
      <w:r w:rsidRPr="005E3B43">
        <w:tab/>
        <w:t>(a)</w:t>
      </w:r>
      <w:r w:rsidRPr="005E3B43">
        <w:tab/>
        <w:t>an evaluation of the safety of an ingredient based on evaluation reports from a competent regulatory authority of a foreign country or foreign jurisdiction determined under regulation</w:t>
      </w:r>
      <w:r w:rsidR="004E6D00" w:rsidRPr="005E3B43">
        <w:t> </w:t>
      </w:r>
      <w:r w:rsidRPr="005E3B43">
        <w:t>16GJ; and</w:t>
      </w:r>
    </w:p>
    <w:p w14:paraId="7DB1DDC9" w14:textId="77777777" w:rsidR="007143C5" w:rsidRPr="005E3B43" w:rsidRDefault="007143C5" w:rsidP="00763BCF">
      <w:pPr>
        <w:pStyle w:val="paragraph"/>
      </w:pPr>
      <w:r w:rsidRPr="005E3B43">
        <w:tab/>
        <w:t>(b)</w:t>
      </w:r>
      <w:r w:rsidRPr="005E3B43">
        <w:tab/>
        <w:t>an independent evaluation of the quality of the ingredient.</w:t>
      </w:r>
    </w:p>
    <w:p w14:paraId="2B96580A" w14:textId="77777777" w:rsidR="007143C5" w:rsidRPr="005E3B43" w:rsidRDefault="007143C5" w:rsidP="00763BCF">
      <w:pPr>
        <w:pStyle w:val="Definition"/>
      </w:pPr>
      <w:r w:rsidRPr="005E3B43">
        <w:rPr>
          <w:b/>
          <w:i/>
        </w:rPr>
        <w:t>IN3 application</w:t>
      </w:r>
      <w:r w:rsidRPr="005E3B43">
        <w:rPr>
          <w:i/>
        </w:rPr>
        <w:t xml:space="preserve"> </w:t>
      </w:r>
      <w:r w:rsidRPr="005E3B43">
        <w:t xml:space="preserve">means an application made under </w:t>
      </w:r>
      <w:r w:rsidR="00DF1B3D" w:rsidRPr="005E3B43">
        <w:t>sub</w:t>
      </w:r>
      <w:r w:rsidR="00FB7FAA" w:rsidRPr="005E3B43">
        <w:t>section 2</w:t>
      </w:r>
      <w:r w:rsidR="00DF1B3D" w:rsidRPr="005E3B43">
        <w:t>6BD(1)</w:t>
      </w:r>
      <w:r w:rsidRPr="005E3B43">
        <w:t xml:space="preserve"> of the Act for a recommendation to vary a </w:t>
      </w:r>
      <w:r w:rsidR="00FB7FAA" w:rsidRPr="005E3B43">
        <w:t>section 2</w:t>
      </w:r>
      <w:r w:rsidRPr="005E3B43">
        <w:t>6BB determination, if the variation is of a kind that requires:</w:t>
      </w:r>
    </w:p>
    <w:p w14:paraId="41BC4063" w14:textId="77777777" w:rsidR="007143C5" w:rsidRPr="005E3B43" w:rsidRDefault="007143C5" w:rsidP="00763BCF">
      <w:pPr>
        <w:pStyle w:val="paragraph"/>
      </w:pPr>
      <w:r w:rsidRPr="005E3B43">
        <w:tab/>
        <w:t>(a)</w:t>
      </w:r>
      <w:r w:rsidRPr="005E3B43">
        <w:tab/>
        <w:t>an evaluation of the quality of an ingredient based on:</w:t>
      </w:r>
    </w:p>
    <w:p w14:paraId="6DFEFE1D" w14:textId="77777777" w:rsidR="007143C5" w:rsidRPr="005E3B43" w:rsidRDefault="007143C5" w:rsidP="00763BCF">
      <w:pPr>
        <w:pStyle w:val="paragraphsub"/>
      </w:pPr>
      <w:r w:rsidRPr="005E3B43">
        <w:tab/>
        <w:t>(i)</w:t>
      </w:r>
      <w:r w:rsidRPr="005E3B43">
        <w:tab/>
        <w:t>evaluation reports from a competent regulatory authority of a foreign country or foreign jurisdiction determined under regulation</w:t>
      </w:r>
      <w:r w:rsidR="004E6D00" w:rsidRPr="005E3B43">
        <w:t> </w:t>
      </w:r>
      <w:r w:rsidRPr="005E3B43">
        <w:t>16GJ; or</w:t>
      </w:r>
    </w:p>
    <w:p w14:paraId="6A678ACE" w14:textId="77777777" w:rsidR="007143C5" w:rsidRPr="005E3B43" w:rsidRDefault="007143C5" w:rsidP="00763BCF">
      <w:pPr>
        <w:pStyle w:val="paragraphsub"/>
      </w:pPr>
      <w:r w:rsidRPr="005E3B43">
        <w:tab/>
        <w:t>(ii)</w:t>
      </w:r>
      <w:r w:rsidRPr="005E3B43">
        <w:tab/>
        <w:t>a monograph contained in a default standard; and</w:t>
      </w:r>
    </w:p>
    <w:p w14:paraId="2144ECCF" w14:textId="77777777" w:rsidR="007143C5" w:rsidRPr="005E3B43" w:rsidRDefault="007143C5" w:rsidP="00763BCF">
      <w:pPr>
        <w:pStyle w:val="paragraph"/>
      </w:pPr>
      <w:r w:rsidRPr="005E3B43">
        <w:tab/>
        <w:t>(b)</w:t>
      </w:r>
      <w:r w:rsidRPr="005E3B43">
        <w:tab/>
        <w:t>an independent evaluation of the safety of the ingredient.</w:t>
      </w:r>
    </w:p>
    <w:p w14:paraId="6C3D9138" w14:textId="77777777" w:rsidR="007143C5" w:rsidRPr="005E3B43" w:rsidRDefault="007143C5" w:rsidP="00763BCF">
      <w:pPr>
        <w:pStyle w:val="Definition"/>
      </w:pPr>
      <w:r w:rsidRPr="005E3B43">
        <w:rPr>
          <w:b/>
          <w:i/>
        </w:rPr>
        <w:t>IN4 application</w:t>
      </w:r>
      <w:r w:rsidRPr="005E3B43">
        <w:rPr>
          <w:i/>
        </w:rPr>
        <w:t xml:space="preserve"> </w:t>
      </w:r>
      <w:r w:rsidRPr="005E3B43">
        <w:t xml:space="preserve">means an application made under </w:t>
      </w:r>
      <w:r w:rsidR="00DF1B3D" w:rsidRPr="005E3B43">
        <w:t>sub</w:t>
      </w:r>
      <w:r w:rsidR="00FB7FAA" w:rsidRPr="005E3B43">
        <w:t>section 2</w:t>
      </w:r>
      <w:r w:rsidR="00DF1B3D" w:rsidRPr="005E3B43">
        <w:t>6BD(1)</w:t>
      </w:r>
      <w:r w:rsidRPr="005E3B43">
        <w:t xml:space="preserve"> of the Act for a recommendation to vary a </w:t>
      </w:r>
      <w:r w:rsidR="00FB7FAA" w:rsidRPr="005E3B43">
        <w:t>section 2</w:t>
      </w:r>
      <w:r w:rsidRPr="005E3B43">
        <w:t>6BB determination, if the variation is of a kind that requires an evaluation of the safety and quality of an ingredient that is not based on an evaluation report from a competent regulatory authority of a foreign country or foreign jurisdiction determined under regulation</w:t>
      </w:r>
      <w:r w:rsidR="004E6D00" w:rsidRPr="005E3B43">
        <w:t> </w:t>
      </w:r>
      <w:r w:rsidRPr="005E3B43">
        <w:t>16GJ.</w:t>
      </w:r>
    </w:p>
    <w:p w14:paraId="10F91140" w14:textId="77777777" w:rsidR="007143C5" w:rsidRPr="005E3B43" w:rsidRDefault="007143C5" w:rsidP="00763BCF">
      <w:pPr>
        <w:pStyle w:val="Definition"/>
      </w:pPr>
      <w:r w:rsidRPr="005E3B43">
        <w:rPr>
          <w:b/>
          <w:i/>
        </w:rPr>
        <w:lastRenderedPageBreak/>
        <w:t>independent evaluation</w:t>
      </w:r>
      <w:r w:rsidRPr="005E3B43">
        <w:t xml:space="preserve"> means an evaluation that is not based on an evaluation report from a competent regulatory authority of a foreign country or foreign jurisdiction determined under regulation</w:t>
      </w:r>
      <w:r w:rsidR="004E6D00" w:rsidRPr="005E3B43">
        <w:t> </w:t>
      </w:r>
      <w:r w:rsidRPr="005E3B43">
        <w:t>16GJ.</w:t>
      </w:r>
    </w:p>
    <w:p w14:paraId="3E177A20" w14:textId="157C6FB8" w:rsidR="00CE1B7C" w:rsidRPr="005E3B43" w:rsidRDefault="00CE1B7C" w:rsidP="00763BCF">
      <w:pPr>
        <w:pStyle w:val="Definition"/>
      </w:pPr>
      <w:r w:rsidRPr="005E3B43">
        <w:rPr>
          <w:b/>
          <w:i/>
        </w:rPr>
        <w:t>in</w:t>
      </w:r>
      <w:r w:rsidR="007C3215">
        <w:rPr>
          <w:b/>
          <w:i/>
        </w:rPr>
        <w:noBreakHyphen/>
      </w:r>
      <w:r w:rsidRPr="005E3B43">
        <w:rPr>
          <w:b/>
          <w:i/>
        </w:rPr>
        <w:t>house IVD medical device</w:t>
      </w:r>
      <w:r w:rsidRPr="005E3B43">
        <w:t xml:space="preserve"> has the same meaning as in the </w:t>
      </w:r>
      <w:r w:rsidRPr="005E3B43">
        <w:rPr>
          <w:i/>
        </w:rPr>
        <w:t xml:space="preserve">Therapeutic Goods (Medical Devices) </w:t>
      </w:r>
      <w:r w:rsidR="007C3215">
        <w:rPr>
          <w:i/>
        </w:rPr>
        <w:t>Regulations 2</w:t>
      </w:r>
      <w:r w:rsidRPr="005E3B43">
        <w:rPr>
          <w:i/>
        </w:rPr>
        <w:t>002</w:t>
      </w:r>
      <w:r w:rsidRPr="005E3B43">
        <w:t>.</w:t>
      </w:r>
    </w:p>
    <w:p w14:paraId="25B4E81B" w14:textId="77777777" w:rsidR="00CE1B7C" w:rsidRPr="005E3B43" w:rsidRDefault="00CE1B7C" w:rsidP="00763BCF">
      <w:pPr>
        <w:pStyle w:val="Definition"/>
      </w:pPr>
      <w:r w:rsidRPr="005E3B43">
        <w:rPr>
          <w:b/>
          <w:i/>
        </w:rPr>
        <w:t>IVD device</w:t>
      </w:r>
      <w:r w:rsidRPr="005E3B43">
        <w:t xml:space="preserve"> means an IVD medical device:</w:t>
      </w:r>
    </w:p>
    <w:p w14:paraId="28391C6A" w14:textId="77777777" w:rsidR="00CE1B7C" w:rsidRPr="005E3B43" w:rsidRDefault="00CE1B7C" w:rsidP="00763BCF">
      <w:pPr>
        <w:pStyle w:val="paragraph"/>
      </w:pPr>
      <w:r w:rsidRPr="005E3B43">
        <w:tab/>
        <w:t>(a)</w:t>
      </w:r>
      <w:r w:rsidRPr="005E3B43">
        <w:tab/>
        <w:t>that is:</w:t>
      </w:r>
    </w:p>
    <w:p w14:paraId="3203E8B9" w14:textId="77777777" w:rsidR="00CE1B7C" w:rsidRPr="005E3B43" w:rsidRDefault="00CE1B7C" w:rsidP="00763BCF">
      <w:pPr>
        <w:pStyle w:val="paragraphsub"/>
      </w:pPr>
      <w:r w:rsidRPr="005E3B43">
        <w:tab/>
        <w:t>(i)</w:t>
      </w:r>
      <w:r w:rsidRPr="005E3B43">
        <w:tab/>
        <w:t>a Class 1 IVD medical device; or</w:t>
      </w:r>
    </w:p>
    <w:p w14:paraId="5B03CF5B" w14:textId="77777777" w:rsidR="00CE1B7C" w:rsidRPr="005E3B43" w:rsidRDefault="00CE1B7C" w:rsidP="00763BCF">
      <w:pPr>
        <w:pStyle w:val="paragraphsub"/>
      </w:pPr>
      <w:r w:rsidRPr="005E3B43">
        <w:tab/>
        <w:t>(ii)</w:t>
      </w:r>
      <w:r w:rsidRPr="005E3B43">
        <w:tab/>
        <w:t>a Class 2 IVD medical device; or</w:t>
      </w:r>
    </w:p>
    <w:p w14:paraId="3C36C135" w14:textId="77777777" w:rsidR="00CE1B7C" w:rsidRPr="005E3B43" w:rsidRDefault="00CE1B7C" w:rsidP="00763BCF">
      <w:pPr>
        <w:pStyle w:val="paragraphsub"/>
      </w:pPr>
      <w:r w:rsidRPr="005E3B43">
        <w:tab/>
        <w:t>(iii)</w:t>
      </w:r>
      <w:r w:rsidRPr="005E3B43">
        <w:tab/>
        <w:t>a Class 3 IVD medical device; or</w:t>
      </w:r>
    </w:p>
    <w:p w14:paraId="1B9EDE5B" w14:textId="77777777" w:rsidR="00CE1B7C" w:rsidRPr="005E3B43" w:rsidRDefault="00CE1B7C" w:rsidP="00763BCF">
      <w:pPr>
        <w:pStyle w:val="paragraphsub"/>
      </w:pPr>
      <w:r w:rsidRPr="005E3B43">
        <w:tab/>
        <w:t>(iv)</w:t>
      </w:r>
      <w:r w:rsidRPr="005E3B43">
        <w:tab/>
        <w:t>a Class 4 IVD medical device; and</w:t>
      </w:r>
    </w:p>
    <w:p w14:paraId="38C50334" w14:textId="0F660B0A" w:rsidR="00CE1B7C" w:rsidRPr="005E3B43" w:rsidRDefault="00CE1B7C" w:rsidP="00763BCF">
      <w:pPr>
        <w:pStyle w:val="paragraph"/>
      </w:pPr>
      <w:r w:rsidRPr="005E3B43">
        <w:tab/>
        <w:t>(b)</w:t>
      </w:r>
      <w:r w:rsidRPr="005E3B43">
        <w:tab/>
        <w:t>that is not an in</w:t>
      </w:r>
      <w:r w:rsidR="007C3215">
        <w:noBreakHyphen/>
      </w:r>
      <w:r w:rsidRPr="005E3B43">
        <w:t>house IVD medical device.</w:t>
      </w:r>
    </w:p>
    <w:p w14:paraId="7918B9EE" w14:textId="040C0AB4" w:rsidR="00CE1B7C" w:rsidRPr="005E3B43" w:rsidRDefault="00CE1B7C" w:rsidP="00763BCF">
      <w:pPr>
        <w:pStyle w:val="Definition"/>
      </w:pPr>
      <w:r w:rsidRPr="005E3B43">
        <w:rPr>
          <w:b/>
          <w:i/>
        </w:rPr>
        <w:t>IVD medical device</w:t>
      </w:r>
      <w:r w:rsidRPr="005E3B43">
        <w:t xml:space="preserve"> has the same meaning as in the </w:t>
      </w:r>
      <w:r w:rsidRPr="005E3B43">
        <w:rPr>
          <w:i/>
        </w:rPr>
        <w:t xml:space="preserve">Therapeutic Goods (Medical Devices) </w:t>
      </w:r>
      <w:r w:rsidR="007C3215">
        <w:rPr>
          <w:i/>
        </w:rPr>
        <w:t>Regulations 2</w:t>
      </w:r>
      <w:r w:rsidRPr="005E3B43">
        <w:rPr>
          <w:i/>
        </w:rPr>
        <w:t>002</w:t>
      </w:r>
      <w:r w:rsidRPr="005E3B43">
        <w:t>.</w:t>
      </w:r>
    </w:p>
    <w:p w14:paraId="44A1C9B6" w14:textId="60C7C568" w:rsidR="003865D8" w:rsidRPr="005E3B43" w:rsidRDefault="003865D8" w:rsidP="00763BCF">
      <w:pPr>
        <w:pStyle w:val="Definition"/>
      </w:pPr>
      <w:r w:rsidRPr="005E3B43">
        <w:rPr>
          <w:b/>
          <w:i/>
        </w:rPr>
        <w:t>joint replacement medical device</w:t>
      </w:r>
      <w:r w:rsidRPr="005E3B43">
        <w:t xml:space="preserve"> has the same meaning as in the </w:t>
      </w:r>
      <w:r w:rsidRPr="005E3B43">
        <w:rPr>
          <w:i/>
        </w:rPr>
        <w:t xml:space="preserve">Therapeutic Goods (Medical Devices) </w:t>
      </w:r>
      <w:r w:rsidR="007C3215">
        <w:rPr>
          <w:i/>
        </w:rPr>
        <w:t>Regulations 2</w:t>
      </w:r>
      <w:r w:rsidRPr="005E3B43">
        <w:rPr>
          <w:i/>
        </w:rPr>
        <w:t>002</w:t>
      </w:r>
      <w:r w:rsidRPr="005E3B43">
        <w:t>.</w:t>
      </w:r>
    </w:p>
    <w:p w14:paraId="0DC4147A" w14:textId="77777777" w:rsidR="00E2181E" w:rsidRPr="005E3B43" w:rsidRDefault="00E2181E" w:rsidP="00763BCF">
      <w:pPr>
        <w:pStyle w:val="Definition"/>
      </w:pPr>
      <w:r w:rsidRPr="005E3B43">
        <w:rPr>
          <w:b/>
          <w:i/>
        </w:rPr>
        <w:t>L(A)1 application</w:t>
      </w:r>
      <w:r w:rsidRPr="005E3B43">
        <w:rPr>
          <w:i/>
        </w:rPr>
        <w:t xml:space="preserve"> </w:t>
      </w:r>
      <w:r w:rsidRPr="005E3B43">
        <w:t xml:space="preserve">means an application made under </w:t>
      </w:r>
      <w:r w:rsidR="00FB7FAA" w:rsidRPr="005E3B43">
        <w:t>section 2</w:t>
      </w:r>
      <w:r w:rsidRPr="005E3B43">
        <w:t xml:space="preserve">3 of the Act to list a medicine under </w:t>
      </w:r>
      <w:r w:rsidR="00FB7FAA" w:rsidRPr="005E3B43">
        <w:t>section 2</w:t>
      </w:r>
      <w:r w:rsidRPr="005E3B43">
        <w:t xml:space="preserve">6AE of the Act, if the medicine is identical to a medicine listed under </w:t>
      </w:r>
      <w:r w:rsidR="00FB7FAA" w:rsidRPr="005E3B43">
        <w:t>section 2</w:t>
      </w:r>
      <w:r w:rsidRPr="005E3B43">
        <w:t>6AE of the Act (disregarding differences between presentation, colour, flavour or fragrance).</w:t>
      </w:r>
    </w:p>
    <w:p w14:paraId="36523921" w14:textId="77777777" w:rsidR="00E2181E" w:rsidRPr="005E3B43" w:rsidRDefault="00E2181E" w:rsidP="00763BCF">
      <w:pPr>
        <w:pStyle w:val="Definition"/>
      </w:pPr>
      <w:r w:rsidRPr="005E3B43">
        <w:rPr>
          <w:b/>
          <w:i/>
        </w:rPr>
        <w:t>L(A)2 application</w:t>
      </w:r>
      <w:r w:rsidRPr="005E3B43">
        <w:rPr>
          <w:i/>
        </w:rPr>
        <w:t xml:space="preserve"> </w:t>
      </w:r>
      <w:r w:rsidRPr="005E3B43">
        <w:t xml:space="preserve">means an application made under </w:t>
      </w:r>
      <w:r w:rsidR="00FB7FAA" w:rsidRPr="005E3B43">
        <w:t>section 2</w:t>
      </w:r>
      <w:r w:rsidRPr="005E3B43">
        <w:t xml:space="preserve">3 of the Act to list a medicine under </w:t>
      </w:r>
      <w:r w:rsidR="00FB7FAA" w:rsidRPr="005E3B43">
        <w:t>section 2</w:t>
      </w:r>
      <w:r w:rsidRPr="005E3B43">
        <w:t>6AE of the Act, if:</w:t>
      </w:r>
    </w:p>
    <w:p w14:paraId="0B66724B" w14:textId="77777777" w:rsidR="00E2181E" w:rsidRPr="005E3B43" w:rsidRDefault="00E2181E" w:rsidP="00763BCF">
      <w:pPr>
        <w:pStyle w:val="paragraph"/>
      </w:pPr>
      <w:r w:rsidRPr="005E3B43">
        <w:tab/>
        <w:t>(a)</w:t>
      </w:r>
      <w:r w:rsidRPr="005E3B43">
        <w:tab/>
        <w:t xml:space="preserve">the application is for a medicine that, in comparison to a medicine (the </w:t>
      </w:r>
      <w:r w:rsidRPr="005E3B43">
        <w:rPr>
          <w:b/>
          <w:i/>
        </w:rPr>
        <w:t>included medicine</w:t>
      </w:r>
      <w:r w:rsidRPr="005E3B43">
        <w:t xml:space="preserve">) that is or was listed under </w:t>
      </w:r>
      <w:r w:rsidR="00FB7FAA" w:rsidRPr="005E3B43">
        <w:t>section 2</w:t>
      </w:r>
      <w:r w:rsidRPr="005E3B43">
        <w:t>6AE of the Act:</w:t>
      </w:r>
    </w:p>
    <w:p w14:paraId="743B6FC6" w14:textId="77777777" w:rsidR="00E2181E" w:rsidRPr="005E3B43" w:rsidRDefault="00E2181E" w:rsidP="00763BCF">
      <w:pPr>
        <w:pStyle w:val="paragraphsub"/>
      </w:pPr>
      <w:r w:rsidRPr="005E3B43">
        <w:tab/>
        <w:t>(i)</w:t>
      </w:r>
      <w:r w:rsidRPr="005E3B43">
        <w:tab/>
        <w:t>has the same quantitative composition of therapeutically active substances, being substances of similar quality to those used in the included medicine; and</w:t>
      </w:r>
    </w:p>
    <w:p w14:paraId="273BF88A" w14:textId="77777777" w:rsidR="00E2181E" w:rsidRPr="005E3B43" w:rsidRDefault="00E2181E" w:rsidP="00763BCF">
      <w:pPr>
        <w:pStyle w:val="paragraphsub"/>
      </w:pPr>
      <w:r w:rsidRPr="005E3B43">
        <w:tab/>
        <w:t>(ii)</w:t>
      </w:r>
      <w:r w:rsidRPr="005E3B43">
        <w:tab/>
        <w:t>has the same pharmaceutical form; and</w:t>
      </w:r>
    </w:p>
    <w:p w14:paraId="42BA987B" w14:textId="77777777" w:rsidR="00E2181E" w:rsidRPr="005E3B43" w:rsidRDefault="00E2181E" w:rsidP="00763BCF">
      <w:pPr>
        <w:pStyle w:val="paragraphsub"/>
      </w:pPr>
      <w:r w:rsidRPr="005E3B43">
        <w:tab/>
        <w:t>(iii)</w:t>
      </w:r>
      <w:r w:rsidRPr="005E3B43">
        <w:tab/>
        <w:t>is bioequivalent; and</w:t>
      </w:r>
    </w:p>
    <w:p w14:paraId="0B787211" w14:textId="77777777" w:rsidR="00E2181E" w:rsidRPr="005E3B43" w:rsidRDefault="00E2181E" w:rsidP="00763BCF">
      <w:pPr>
        <w:pStyle w:val="paragraphsub"/>
      </w:pPr>
      <w:r w:rsidRPr="005E3B43">
        <w:tab/>
        <w:t>(iv)</w:t>
      </w:r>
      <w:r w:rsidRPr="005E3B43">
        <w:tab/>
        <w:t>has the same safety and efficacy properties; or</w:t>
      </w:r>
    </w:p>
    <w:p w14:paraId="26BC9F50" w14:textId="77777777" w:rsidR="00E2181E" w:rsidRPr="005E3B43" w:rsidRDefault="00E2181E" w:rsidP="00763BCF">
      <w:pPr>
        <w:pStyle w:val="paragraph"/>
      </w:pPr>
      <w:r w:rsidRPr="005E3B43">
        <w:tab/>
        <w:t>(b)</w:t>
      </w:r>
      <w:r w:rsidRPr="005E3B43">
        <w:tab/>
        <w:t>the application requires an evaluation of the efficacy of the medicine based on evaluation reports from a competent regulatory authority of a foreign country or foreign jurisdiction determined under regulation</w:t>
      </w:r>
      <w:r w:rsidR="004E6D00" w:rsidRPr="005E3B43">
        <w:t> </w:t>
      </w:r>
      <w:r w:rsidRPr="005E3B43">
        <w:t>16GJ.</w:t>
      </w:r>
    </w:p>
    <w:p w14:paraId="2D388F30" w14:textId="77777777" w:rsidR="00E2181E" w:rsidRPr="005E3B43" w:rsidRDefault="00E2181E" w:rsidP="00763BCF">
      <w:pPr>
        <w:pStyle w:val="Definition"/>
      </w:pPr>
      <w:r w:rsidRPr="005E3B43">
        <w:rPr>
          <w:b/>
          <w:i/>
        </w:rPr>
        <w:t>L(A)3 application</w:t>
      </w:r>
      <w:r w:rsidRPr="005E3B43">
        <w:rPr>
          <w:i/>
        </w:rPr>
        <w:t xml:space="preserve"> </w:t>
      </w:r>
      <w:r w:rsidRPr="005E3B43">
        <w:t xml:space="preserve">means an application made under </w:t>
      </w:r>
      <w:r w:rsidR="00FB7FAA" w:rsidRPr="005E3B43">
        <w:t>section 2</w:t>
      </w:r>
      <w:r w:rsidRPr="005E3B43">
        <w:t xml:space="preserve">3 of the Act to list a medicine under </w:t>
      </w:r>
      <w:r w:rsidR="00FB7FAA" w:rsidRPr="005E3B43">
        <w:t>section 2</w:t>
      </w:r>
      <w:r w:rsidRPr="005E3B43">
        <w:t>6AE of the Act, if:</w:t>
      </w:r>
    </w:p>
    <w:p w14:paraId="6DD9F715" w14:textId="77777777" w:rsidR="00E2181E" w:rsidRPr="005E3B43" w:rsidRDefault="00E2181E" w:rsidP="00763BCF">
      <w:pPr>
        <w:pStyle w:val="paragraph"/>
      </w:pPr>
      <w:r w:rsidRPr="005E3B43">
        <w:tab/>
        <w:t>(a)</w:t>
      </w:r>
      <w:r w:rsidRPr="005E3B43">
        <w:tab/>
        <w:t>either:</w:t>
      </w:r>
    </w:p>
    <w:p w14:paraId="5DE8C7E1" w14:textId="77777777" w:rsidR="00E2181E" w:rsidRPr="005E3B43" w:rsidRDefault="00E2181E" w:rsidP="00763BCF">
      <w:pPr>
        <w:pStyle w:val="paragraphsub"/>
      </w:pPr>
      <w:r w:rsidRPr="005E3B43">
        <w:tab/>
        <w:t>(i)</w:t>
      </w:r>
      <w:r w:rsidRPr="005E3B43">
        <w:tab/>
        <w:t>the application requires an independent evaluation of the efficacy of the medicine; or</w:t>
      </w:r>
    </w:p>
    <w:p w14:paraId="4648E844" w14:textId="77777777" w:rsidR="00E2181E" w:rsidRPr="005E3B43" w:rsidRDefault="00E2181E" w:rsidP="00763BCF">
      <w:pPr>
        <w:pStyle w:val="paragraphsub"/>
      </w:pPr>
      <w:r w:rsidRPr="005E3B43">
        <w:tab/>
        <w:t>(ii)</w:t>
      </w:r>
      <w:r w:rsidRPr="005E3B43">
        <w:tab/>
        <w:t xml:space="preserve">the application is for a medicine that is listed under </w:t>
      </w:r>
      <w:r w:rsidR="00FB7FAA" w:rsidRPr="005E3B43">
        <w:t>section 2</w:t>
      </w:r>
      <w:r w:rsidRPr="005E3B43">
        <w:t>6AE of the Act and is for a different active ingredient, indication, dosage form, strength or excipient; and</w:t>
      </w:r>
    </w:p>
    <w:p w14:paraId="76035742" w14:textId="77777777" w:rsidR="00E2181E" w:rsidRPr="005E3B43" w:rsidRDefault="00E2181E" w:rsidP="00763BCF">
      <w:pPr>
        <w:pStyle w:val="paragraph"/>
      </w:pPr>
      <w:r w:rsidRPr="005E3B43">
        <w:lastRenderedPageBreak/>
        <w:tab/>
        <w:t>(b)</w:t>
      </w:r>
      <w:r w:rsidRPr="005E3B43">
        <w:tab/>
        <w:t>the application is not an L(A)1 application or an L(A)2 application.</w:t>
      </w:r>
    </w:p>
    <w:p w14:paraId="79378804" w14:textId="77777777" w:rsidR="00BF510F" w:rsidRPr="005E3B43" w:rsidRDefault="00BF510F" w:rsidP="00763BCF">
      <w:pPr>
        <w:pStyle w:val="Definition"/>
      </w:pPr>
      <w:r w:rsidRPr="005E3B43">
        <w:rPr>
          <w:b/>
          <w:i/>
        </w:rPr>
        <w:t>L(A)C1 (section</w:t>
      </w:r>
      <w:r w:rsidR="004E6D00" w:rsidRPr="005E3B43">
        <w:rPr>
          <w:b/>
          <w:i/>
        </w:rPr>
        <w:t> </w:t>
      </w:r>
      <w:r w:rsidRPr="005E3B43">
        <w:rPr>
          <w:b/>
          <w:i/>
        </w:rPr>
        <w:t>9D) request</w:t>
      </w:r>
      <w:r w:rsidRPr="005E3B43">
        <w:t xml:space="preserve"> means a request under subsection</w:t>
      </w:r>
      <w:r w:rsidR="004E6D00" w:rsidRPr="005E3B43">
        <w:t> </w:t>
      </w:r>
      <w:r w:rsidRPr="005E3B43">
        <w:t>9D(1), (2) or (3) of the Act for a variation that:</w:t>
      </w:r>
    </w:p>
    <w:p w14:paraId="626A0A32" w14:textId="77777777" w:rsidR="00BF510F" w:rsidRPr="005E3B43" w:rsidRDefault="00BF510F" w:rsidP="00763BCF">
      <w:pPr>
        <w:pStyle w:val="paragraph"/>
      </w:pPr>
      <w:r w:rsidRPr="005E3B43">
        <w:tab/>
        <w:t>(a)</w:t>
      </w:r>
      <w:r w:rsidRPr="005E3B43">
        <w:tab/>
        <w:t xml:space="preserve">is of information included in an entry in the Register relating to a medicine that is listed under </w:t>
      </w:r>
      <w:r w:rsidR="00FB7FAA" w:rsidRPr="005E3B43">
        <w:t>section 2</w:t>
      </w:r>
      <w:r w:rsidRPr="005E3B43">
        <w:t>6AE of the Act; and</w:t>
      </w:r>
    </w:p>
    <w:p w14:paraId="19160D0A" w14:textId="77777777" w:rsidR="00BF510F" w:rsidRPr="005E3B43" w:rsidRDefault="00BF510F" w:rsidP="00763BCF">
      <w:pPr>
        <w:pStyle w:val="paragraph"/>
      </w:pPr>
      <w:r w:rsidRPr="005E3B43">
        <w:tab/>
        <w:t>(b)</w:t>
      </w:r>
      <w:r w:rsidRPr="005E3B43">
        <w:tab/>
        <w:t>is of a kind specified in the changes table as an L(A)C1 (section</w:t>
      </w:r>
      <w:r w:rsidR="004E6D00" w:rsidRPr="005E3B43">
        <w:t> </w:t>
      </w:r>
      <w:r w:rsidRPr="005E3B43">
        <w:t>9D) level change.</w:t>
      </w:r>
    </w:p>
    <w:p w14:paraId="7DFEE92F" w14:textId="77777777" w:rsidR="00BF510F" w:rsidRPr="005E3B43" w:rsidRDefault="00BF510F" w:rsidP="00763BCF">
      <w:pPr>
        <w:pStyle w:val="Definition"/>
      </w:pPr>
      <w:r w:rsidRPr="005E3B43">
        <w:rPr>
          <w:b/>
          <w:i/>
        </w:rPr>
        <w:t>L(A)C1 (</w:t>
      </w:r>
      <w:r w:rsidR="00FB7FAA" w:rsidRPr="005E3B43">
        <w:rPr>
          <w:b/>
          <w:i/>
        </w:rPr>
        <w:t>section 2</w:t>
      </w:r>
      <w:r w:rsidRPr="005E3B43">
        <w:rPr>
          <w:b/>
          <w:i/>
        </w:rPr>
        <w:t>3) application</w:t>
      </w:r>
      <w:r w:rsidRPr="005E3B43">
        <w:t xml:space="preserve"> means an application made under </w:t>
      </w:r>
      <w:r w:rsidR="00FB7FAA" w:rsidRPr="005E3B43">
        <w:t>section 2</w:t>
      </w:r>
      <w:r w:rsidRPr="005E3B43">
        <w:t xml:space="preserve">3 of the Act for the listing under </w:t>
      </w:r>
      <w:r w:rsidR="00FB7FAA" w:rsidRPr="005E3B43">
        <w:t>section 2</w:t>
      </w:r>
      <w:r w:rsidRPr="005E3B43">
        <w:t xml:space="preserve">6AE of the Act of a medicine (the </w:t>
      </w:r>
      <w:r w:rsidRPr="005E3B43">
        <w:rPr>
          <w:b/>
          <w:i/>
        </w:rPr>
        <w:t>new medicine</w:t>
      </w:r>
      <w:r w:rsidRPr="005E3B43">
        <w:t>), if:</w:t>
      </w:r>
    </w:p>
    <w:p w14:paraId="3744A4E3" w14:textId="77777777" w:rsidR="00BF510F" w:rsidRPr="005E3B43" w:rsidRDefault="00BF510F" w:rsidP="00763BCF">
      <w:pPr>
        <w:pStyle w:val="paragraph"/>
      </w:pPr>
      <w:r w:rsidRPr="005E3B43">
        <w:tab/>
        <w:t>(a)</w:t>
      </w:r>
      <w:r w:rsidRPr="005E3B43">
        <w:tab/>
        <w:t xml:space="preserve">the new medicine is a changed form of a medicine (the </w:t>
      </w:r>
      <w:r w:rsidRPr="005E3B43">
        <w:rPr>
          <w:b/>
          <w:i/>
        </w:rPr>
        <w:t>existing medicine</w:t>
      </w:r>
      <w:r w:rsidRPr="005E3B43">
        <w:t xml:space="preserve">) listed under </w:t>
      </w:r>
      <w:r w:rsidR="00FB7FAA" w:rsidRPr="005E3B43">
        <w:t>section 2</w:t>
      </w:r>
      <w:r w:rsidRPr="005E3B43">
        <w:t>6AE of the Act; and</w:t>
      </w:r>
    </w:p>
    <w:p w14:paraId="5F767932" w14:textId="2B823F6F" w:rsidR="00BF510F" w:rsidRPr="005E3B43" w:rsidRDefault="00BF510F" w:rsidP="00763BCF">
      <w:pPr>
        <w:pStyle w:val="paragraph"/>
      </w:pPr>
      <w:r w:rsidRPr="005E3B43">
        <w:tab/>
        <w:t>(b)</w:t>
      </w:r>
      <w:r w:rsidRPr="005E3B43">
        <w:tab/>
        <w:t xml:space="preserve">the new medicine and the existing medicine are separate and distinct for the purposes of </w:t>
      </w:r>
      <w:r w:rsidR="00BB758E" w:rsidRPr="005E3B43">
        <w:t>Part 3</w:t>
      </w:r>
      <w:r w:rsidR="007C3215">
        <w:noBreakHyphen/>
      </w:r>
      <w:r w:rsidRPr="005E3B43">
        <w:t>2 of the Act, but the new medicine forms part of the same gazetted therapeutic goods group as the existing medicine; and</w:t>
      </w:r>
    </w:p>
    <w:p w14:paraId="5F14601C" w14:textId="77777777" w:rsidR="00BF510F" w:rsidRPr="005E3B43" w:rsidRDefault="00BF510F" w:rsidP="00763BCF">
      <w:pPr>
        <w:pStyle w:val="paragraph"/>
      </w:pPr>
      <w:r w:rsidRPr="005E3B43">
        <w:tab/>
        <w:t>(c)</w:t>
      </w:r>
      <w:r w:rsidRPr="005E3B43">
        <w:tab/>
        <w:t>the change is of a kind specified in the changes table as an L(A)C1 (</w:t>
      </w:r>
      <w:r w:rsidR="00FB7FAA" w:rsidRPr="005E3B43">
        <w:t>section 2</w:t>
      </w:r>
      <w:r w:rsidRPr="005E3B43">
        <w:t>3) level change.</w:t>
      </w:r>
    </w:p>
    <w:p w14:paraId="2BB7F00F" w14:textId="77777777" w:rsidR="00BF510F" w:rsidRPr="005E3B43" w:rsidRDefault="00BF510F" w:rsidP="00763BCF">
      <w:pPr>
        <w:pStyle w:val="Definition"/>
      </w:pPr>
      <w:r w:rsidRPr="005E3B43">
        <w:rPr>
          <w:b/>
          <w:i/>
        </w:rPr>
        <w:t>L(A)C2 (section</w:t>
      </w:r>
      <w:r w:rsidR="004E6D00" w:rsidRPr="005E3B43">
        <w:rPr>
          <w:b/>
          <w:i/>
        </w:rPr>
        <w:t> </w:t>
      </w:r>
      <w:r w:rsidRPr="005E3B43">
        <w:rPr>
          <w:b/>
          <w:i/>
        </w:rPr>
        <w:t>9D) request</w:t>
      </w:r>
      <w:r w:rsidRPr="005E3B43">
        <w:t xml:space="preserve"> means a request under subsection</w:t>
      </w:r>
      <w:r w:rsidR="004E6D00" w:rsidRPr="005E3B43">
        <w:t> </w:t>
      </w:r>
      <w:r w:rsidRPr="005E3B43">
        <w:t>9D(1), (2) or (3) of the Act for a variation that:</w:t>
      </w:r>
    </w:p>
    <w:p w14:paraId="4A8139C7" w14:textId="77777777" w:rsidR="00BF510F" w:rsidRPr="005E3B43" w:rsidRDefault="00BF510F" w:rsidP="00763BCF">
      <w:pPr>
        <w:pStyle w:val="paragraph"/>
      </w:pPr>
      <w:r w:rsidRPr="005E3B43">
        <w:tab/>
        <w:t>(a)</w:t>
      </w:r>
      <w:r w:rsidRPr="005E3B43">
        <w:tab/>
        <w:t xml:space="preserve">is of information included in an entry in the Register relating to a medicine that is listed under </w:t>
      </w:r>
      <w:r w:rsidR="00FB7FAA" w:rsidRPr="005E3B43">
        <w:t>section 2</w:t>
      </w:r>
      <w:r w:rsidRPr="005E3B43">
        <w:t>6AE of the Act; and</w:t>
      </w:r>
    </w:p>
    <w:p w14:paraId="5A926853" w14:textId="77777777" w:rsidR="00BF510F" w:rsidRPr="005E3B43" w:rsidRDefault="00BF510F" w:rsidP="00763BCF">
      <w:pPr>
        <w:pStyle w:val="paragraph"/>
      </w:pPr>
      <w:r w:rsidRPr="005E3B43">
        <w:tab/>
        <w:t>(b)</w:t>
      </w:r>
      <w:r w:rsidRPr="005E3B43">
        <w:tab/>
        <w:t>is of a kind specified in the changes table as an L(A)C2 (section</w:t>
      </w:r>
      <w:r w:rsidR="004E6D00" w:rsidRPr="005E3B43">
        <w:t> </w:t>
      </w:r>
      <w:r w:rsidRPr="005E3B43">
        <w:t>9D) level change.</w:t>
      </w:r>
    </w:p>
    <w:p w14:paraId="3DB91A9C" w14:textId="77777777" w:rsidR="00BF510F" w:rsidRPr="005E3B43" w:rsidRDefault="00BF510F" w:rsidP="00763BCF">
      <w:pPr>
        <w:pStyle w:val="Definition"/>
      </w:pPr>
      <w:r w:rsidRPr="005E3B43">
        <w:rPr>
          <w:b/>
          <w:i/>
        </w:rPr>
        <w:t>L(A)C2 (</w:t>
      </w:r>
      <w:r w:rsidR="00FB7FAA" w:rsidRPr="005E3B43">
        <w:rPr>
          <w:b/>
          <w:i/>
        </w:rPr>
        <w:t>section 2</w:t>
      </w:r>
      <w:r w:rsidRPr="005E3B43">
        <w:rPr>
          <w:b/>
          <w:i/>
        </w:rPr>
        <w:t>3) application</w:t>
      </w:r>
      <w:r w:rsidRPr="005E3B43">
        <w:t xml:space="preserve"> means an application made under </w:t>
      </w:r>
      <w:r w:rsidR="00FB7FAA" w:rsidRPr="005E3B43">
        <w:t>section 2</w:t>
      </w:r>
      <w:r w:rsidRPr="005E3B43">
        <w:t xml:space="preserve">3 of the Act for the listing under </w:t>
      </w:r>
      <w:r w:rsidR="00FB7FAA" w:rsidRPr="005E3B43">
        <w:t>section 2</w:t>
      </w:r>
      <w:r w:rsidRPr="005E3B43">
        <w:t xml:space="preserve">6AE of the Act of a medicine (the </w:t>
      </w:r>
      <w:r w:rsidRPr="005E3B43">
        <w:rPr>
          <w:b/>
          <w:i/>
        </w:rPr>
        <w:t>new medicine</w:t>
      </w:r>
      <w:r w:rsidRPr="005E3B43">
        <w:t>), if:</w:t>
      </w:r>
    </w:p>
    <w:p w14:paraId="013EA014" w14:textId="77777777" w:rsidR="00BF510F" w:rsidRPr="005E3B43" w:rsidRDefault="00BF510F" w:rsidP="00763BCF">
      <w:pPr>
        <w:pStyle w:val="paragraph"/>
      </w:pPr>
      <w:r w:rsidRPr="005E3B43">
        <w:tab/>
        <w:t>(a)</w:t>
      </w:r>
      <w:r w:rsidRPr="005E3B43">
        <w:tab/>
        <w:t xml:space="preserve">the new medicine is a changed form of a medicine (the </w:t>
      </w:r>
      <w:r w:rsidRPr="005E3B43">
        <w:rPr>
          <w:b/>
          <w:i/>
        </w:rPr>
        <w:t>existing medicine</w:t>
      </w:r>
      <w:r w:rsidRPr="005E3B43">
        <w:t xml:space="preserve">) listed under </w:t>
      </w:r>
      <w:r w:rsidR="00FB7FAA" w:rsidRPr="005E3B43">
        <w:t>section 2</w:t>
      </w:r>
      <w:r w:rsidRPr="005E3B43">
        <w:t>6AE of the Act; and</w:t>
      </w:r>
    </w:p>
    <w:p w14:paraId="5A8FC4BA" w14:textId="25A77A93" w:rsidR="00BF510F" w:rsidRPr="005E3B43" w:rsidRDefault="00BF510F" w:rsidP="00763BCF">
      <w:pPr>
        <w:pStyle w:val="paragraph"/>
      </w:pPr>
      <w:r w:rsidRPr="005E3B43">
        <w:tab/>
        <w:t>(b)</w:t>
      </w:r>
      <w:r w:rsidRPr="005E3B43">
        <w:tab/>
        <w:t xml:space="preserve">the new medicine and the existing medicine are separate and distinct for the purposes of </w:t>
      </w:r>
      <w:r w:rsidR="00BB758E" w:rsidRPr="005E3B43">
        <w:t>Part 3</w:t>
      </w:r>
      <w:r w:rsidR="007C3215">
        <w:noBreakHyphen/>
      </w:r>
      <w:r w:rsidRPr="005E3B43">
        <w:t>2 of the Act, but the new medicine forms part of the same gazetted therapeutic goods group as the existing medicine; and</w:t>
      </w:r>
    </w:p>
    <w:p w14:paraId="587B0CE1" w14:textId="77777777" w:rsidR="00BF510F" w:rsidRPr="005E3B43" w:rsidRDefault="00BF510F" w:rsidP="00763BCF">
      <w:pPr>
        <w:pStyle w:val="paragraph"/>
      </w:pPr>
      <w:r w:rsidRPr="005E3B43">
        <w:tab/>
        <w:t>(c)</w:t>
      </w:r>
      <w:r w:rsidRPr="005E3B43">
        <w:tab/>
        <w:t>the change is of a kind specified in the changes table as an L(A)C2 (</w:t>
      </w:r>
      <w:r w:rsidR="00FB7FAA" w:rsidRPr="005E3B43">
        <w:t>section 2</w:t>
      </w:r>
      <w:r w:rsidRPr="005E3B43">
        <w:t>3) level change.</w:t>
      </w:r>
    </w:p>
    <w:p w14:paraId="03A9FBF8" w14:textId="77777777" w:rsidR="00BF510F" w:rsidRPr="005E3B43" w:rsidRDefault="00BF510F" w:rsidP="00763BCF">
      <w:pPr>
        <w:pStyle w:val="Definition"/>
      </w:pPr>
      <w:r w:rsidRPr="005E3B43">
        <w:rPr>
          <w:b/>
          <w:i/>
        </w:rPr>
        <w:t>L(A)CN (section</w:t>
      </w:r>
      <w:r w:rsidR="004E6D00" w:rsidRPr="005E3B43">
        <w:rPr>
          <w:b/>
          <w:i/>
        </w:rPr>
        <w:t> </w:t>
      </w:r>
      <w:r w:rsidRPr="005E3B43">
        <w:rPr>
          <w:b/>
          <w:i/>
        </w:rPr>
        <w:t>9D) request</w:t>
      </w:r>
      <w:r w:rsidRPr="005E3B43">
        <w:t xml:space="preserve"> means a request under subsection</w:t>
      </w:r>
      <w:r w:rsidR="004E6D00" w:rsidRPr="005E3B43">
        <w:t> </w:t>
      </w:r>
      <w:r w:rsidRPr="005E3B43">
        <w:t>9D(1), (2) or (3) of the Act for a variation that:</w:t>
      </w:r>
    </w:p>
    <w:p w14:paraId="2B33FF9C" w14:textId="77777777" w:rsidR="00BF510F" w:rsidRPr="005E3B43" w:rsidRDefault="00BF510F" w:rsidP="00763BCF">
      <w:pPr>
        <w:pStyle w:val="paragraph"/>
      </w:pPr>
      <w:r w:rsidRPr="005E3B43">
        <w:tab/>
        <w:t>(a)</w:t>
      </w:r>
      <w:r w:rsidRPr="005E3B43">
        <w:tab/>
        <w:t xml:space="preserve">is of information included in an entry in the Register relating to a medicine that is listed under </w:t>
      </w:r>
      <w:r w:rsidR="00FB7FAA" w:rsidRPr="005E3B43">
        <w:t>section 2</w:t>
      </w:r>
      <w:r w:rsidRPr="005E3B43">
        <w:t>6AE of the Act; and</w:t>
      </w:r>
    </w:p>
    <w:p w14:paraId="04E1C517" w14:textId="77777777" w:rsidR="00BF510F" w:rsidRPr="005E3B43" w:rsidRDefault="00BF510F" w:rsidP="00763BCF">
      <w:pPr>
        <w:pStyle w:val="paragraph"/>
      </w:pPr>
      <w:r w:rsidRPr="005E3B43">
        <w:tab/>
        <w:t>(b)</w:t>
      </w:r>
      <w:r w:rsidRPr="005E3B43">
        <w:tab/>
        <w:t>is of a kind specified in the changes table as an L(A)CN (section</w:t>
      </w:r>
      <w:r w:rsidR="004E6D00" w:rsidRPr="005E3B43">
        <w:t> </w:t>
      </w:r>
      <w:r w:rsidRPr="005E3B43">
        <w:t>9D) level change.</w:t>
      </w:r>
    </w:p>
    <w:p w14:paraId="6452A66C" w14:textId="77777777" w:rsidR="00BF510F" w:rsidRPr="005E3B43" w:rsidRDefault="00BF510F" w:rsidP="00763BCF">
      <w:pPr>
        <w:pStyle w:val="Definition"/>
      </w:pPr>
      <w:r w:rsidRPr="005E3B43">
        <w:rPr>
          <w:b/>
          <w:i/>
        </w:rPr>
        <w:t>L(A)CN (</w:t>
      </w:r>
      <w:r w:rsidR="00FB7FAA" w:rsidRPr="005E3B43">
        <w:rPr>
          <w:b/>
          <w:i/>
        </w:rPr>
        <w:t>section 2</w:t>
      </w:r>
      <w:r w:rsidRPr="005E3B43">
        <w:rPr>
          <w:b/>
          <w:i/>
        </w:rPr>
        <w:t>3) application</w:t>
      </w:r>
      <w:r w:rsidRPr="005E3B43">
        <w:t xml:space="preserve"> means an application made under </w:t>
      </w:r>
      <w:r w:rsidR="00FB7FAA" w:rsidRPr="005E3B43">
        <w:t>section 2</w:t>
      </w:r>
      <w:r w:rsidRPr="005E3B43">
        <w:t xml:space="preserve">3 of the Act for the listing under </w:t>
      </w:r>
      <w:r w:rsidR="00FB7FAA" w:rsidRPr="005E3B43">
        <w:t>section 2</w:t>
      </w:r>
      <w:r w:rsidRPr="005E3B43">
        <w:t xml:space="preserve">6AE of the Act of a medicine (the </w:t>
      </w:r>
      <w:r w:rsidRPr="005E3B43">
        <w:rPr>
          <w:b/>
          <w:i/>
        </w:rPr>
        <w:t>new medicine</w:t>
      </w:r>
      <w:r w:rsidRPr="005E3B43">
        <w:t>), if:</w:t>
      </w:r>
    </w:p>
    <w:p w14:paraId="51C7575F" w14:textId="77777777" w:rsidR="00BF510F" w:rsidRPr="005E3B43" w:rsidRDefault="00BF510F" w:rsidP="00763BCF">
      <w:pPr>
        <w:pStyle w:val="paragraph"/>
      </w:pPr>
      <w:r w:rsidRPr="005E3B43">
        <w:lastRenderedPageBreak/>
        <w:tab/>
        <w:t>(a)</w:t>
      </w:r>
      <w:r w:rsidRPr="005E3B43">
        <w:tab/>
        <w:t xml:space="preserve">the new medicine is a changed form of a medicine (the </w:t>
      </w:r>
      <w:r w:rsidRPr="005E3B43">
        <w:rPr>
          <w:b/>
          <w:i/>
        </w:rPr>
        <w:t>existing medicine</w:t>
      </w:r>
      <w:r w:rsidRPr="005E3B43">
        <w:t xml:space="preserve">) listed under </w:t>
      </w:r>
      <w:r w:rsidR="00FB7FAA" w:rsidRPr="005E3B43">
        <w:t>section 2</w:t>
      </w:r>
      <w:r w:rsidRPr="005E3B43">
        <w:t>6AE of the Act; and</w:t>
      </w:r>
    </w:p>
    <w:p w14:paraId="676FC50E" w14:textId="5AA55DA6" w:rsidR="00BF510F" w:rsidRPr="005E3B43" w:rsidRDefault="00BF510F" w:rsidP="00763BCF">
      <w:pPr>
        <w:pStyle w:val="paragraph"/>
      </w:pPr>
      <w:r w:rsidRPr="005E3B43">
        <w:tab/>
        <w:t>(b)</w:t>
      </w:r>
      <w:r w:rsidRPr="005E3B43">
        <w:tab/>
        <w:t xml:space="preserve">the new medicine and the existing medicine are separate and distinct for the purposes of </w:t>
      </w:r>
      <w:r w:rsidR="00BB758E" w:rsidRPr="005E3B43">
        <w:t>Part 3</w:t>
      </w:r>
      <w:r w:rsidR="007C3215">
        <w:noBreakHyphen/>
      </w:r>
      <w:r w:rsidRPr="005E3B43">
        <w:t>2 of the Act, but the new medicine forms part of the same gazetted therapeutic goods group as the existing medicine; and</w:t>
      </w:r>
    </w:p>
    <w:p w14:paraId="45E7995B" w14:textId="77777777" w:rsidR="00BF510F" w:rsidRPr="005E3B43" w:rsidRDefault="00BF510F" w:rsidP="00763BCF">
      <w:pPr>
        <w:pStyle w:val="paragraph"/>
      </w:pPr>
      <w:r w:rsidRPr="005E3B43">
        <w:tab/>
        <w:t>(c)</w:t>
      </w:r>
      <w:r w:rsidRPr="005E3B43">
        <w:tab/>
        <w:t>the change is of a kind specified in the changes table as an L(A)CN (</w:t>
      </w:r>
      <w:r w:rsidR="00FB7FAA" w:rsidRPr="005E3B43">
        <w:t>section 2</w:t>
      </w:r>
      <w:r w:rsidRPr="005E3B43">
        <w:t>3) level change.</w:t>
      </w:r>
    </w:p>
    <w:p w14:paraId="60F307C8" w14:textId="77777777" w:rsidR="003A74E2" w:rsidRPr="005E3B43" w:rsidRDefault="003A74E2" w:rsidP="00763BCF">
      <w:pPr>
        <w:pStyle w:val="Definition"/>
      </w:pPr>
      <w:r w:rsidRPr="005E3B43">
        <w:rPr>
          <w:b/>
          <w:i/>
        </w:rPr>
        <w:t>medicinal cannabis products</w:t>
      </w:r>
      <w:r w:rsidRPr="005E3B43">
        <w:t xml:space="preserve"> means therapeutic goods that contain, or are manufactured from, any part of a plant of the genus </w:t>
      </w:r>
      <w:r w:rsidRPr="005E3B43">
        <w:rPr>
          <w:i/>
        </w:rPr>
        <w:t>Cannabis</w:t>
      </w:r>
      <w:r w:rsidRPr="005E3B43">
        <w:t xml:space="preserve"> (including, for example, the flowers, fruiting tops, seeds, stems and leaves of the plant).</w:t>
      </w:r>
    </w:p>
    <w:p w14:paraId="667E67AF" w14:textId="43EAF1FE" w:rsidR="00FF6420" w:rsidRPr="005E3B43" w:rsidRDefault="00FF6420" w:rsidP="00763BCF">
      <w:pPr>
        <w:pStyle w:val="Definition"/>
      </w:pPr>
      <w:r w:rsidRPr="005E3B43">
        <w:rPr>
          <w:b/>
          <w:i/>
        </w:rPr>
        <w:t>mercury</w:t>
      </w:r>
      <w:r w:rsidRPr="005E3B43">
        <w:t xml:space="preserve"> means elemental mercury (Hg(0), CAS No. 7439</w:t>
      </w:r>
      <w:r w:rsidR="007C3215">
        <w:noBreakHyphen/>
      </w:r>
      <w:r w:rsidRPr="005E3B43">
        <w:t>97</w:t>
      </w:r>
      <w:r w:rsidR="007C3215">
        <w:noBreakHyphen/>
      </w:r>
      <w:r w:rsidRPr="005E3B43">
        <w:t>6), and includes mixtures of mercury (including alloys of mercury) with a mercury concentration of at least 95% by weight, but does not include non</w:t>
      </w:r>
      <w:r w:rsidR="007C3215">
        <w:noBreakHyphen/>
      </w:r>
      <w:r w:rsidRPr="005E3B43">
        <w:t>Minamata mercury.</w:t>
      </w:r>
    </w:p>
    <w:p w14:paraId="1A5C9139" w14:textId="1F0FC379" w:rsidR="00FF6420" w:rsidRPr="005E3B43" w:rsidRDefault="00FF6420" w:rsidP="00763BCF">
      <w:pPr>
        <w:pStyle w:val="Definition"/>
      </w:pPr>
      <w:r w:rsidRPr="005E3B43">
        <w:rPr>
          <w:b/>
          <w:i/>
        </w:rPr>
        <w:t>mercury</w:t>
      </w:r>
      <w:r w:rsidR="007C3215">
        <w:rPr>
          <w:b/>
          <w:i/>
        </w:rPr>
        <w:noBreakHyphen/>
      </w:r>
      <w:r w:rsidRPr="005E3B43">
        <w:rPr>
          <w:b/>
          <w:i/>
        </w:rPr>
        <w:t>added products</w:t>
      </w:r>
      <w:r w:rsidRPr="005E3B43">
        <w:t xml:space="preserve"> means the products listed in Part 1 of Annex A to the Minamata Convention that contain mercury, but does not include:</w:t>
      </w:r>
    </w:p>
    <w:p w14:paraId="6C3BF9B7" w14:textId="77777777" w:rsidR="00FF6420" w:rsidRPr="005E3B43" w:rsidRDefault="00FF6420" w:rsidP="00763BCF">
      <w:pPr>
        <w:pStyle w:val="paragraph"/>
      </w:pPr>
      <w:r w:rsidRPr="005E3B43">
        <w:tab/>
        <w:t>(a)</w:t>
      </w:r>
      <w:r w:rsidRPr="005E3B43">
        <w:tab/>
        <w:t>products essential for civil protection and military uses; or</w:t>
      </w:r>
    </w:p>
    <w:p w14:paraId="53E7E2A8" w14:textId="77777777" w:rsidR="00FF6420" w:rsidRPr="005E3B43" w:rsidRDefault="00FF6420" w:rsidP="00763BCF">
      <w:pPr>
        <w:pStyle w:val="paragraph"/>
      </w:pPr>
      <w:r w:rsidRPr="005E3B43">
        <w:tab/>
        <w:t>(b)</w:t>
      </w:r>
      <w:r w:rsidRPr="005E3B43">
        <w:tab/>
        <w:t>products for research, calibration of instrumentation, or for use as reference standards; or</w:t>
      </w:r>
    </w:p>
    <w:p w14:paraId="01EF2692" w14:textId="0CFDE7B9" w:rsidR="00FF6420" w:rsidRPr="005E3B43" w:rsidRDefault="00FF6420" w:rsidP="00763BCF">
      <w:pPr>
        <w:pStyle w:val="paragraph"/>
      </w:pPr>
      <w:r w:rsidRPr="005E3B43">
        <w:tab/>
        <w:t>(c)</w:t>
      </w:r>
      <w:r w:rsidRPr="005E3B43">
        <w:tab/>
        <w:t>if no feasible mercury</w:t>
      </w:r>
      <w:r w:rsidR="007C3215">
        <w:noBreakHyphen/>
      </w:r>
      <w:r w:rsidRPr="005E3B43">
        <w:t>free alternative for replacement is available—the following:</w:t>
      </w:r>
    </w:p>
    <w:p w14:paraId="4EA752DB" w14:textId="77777777" w:rsidR="00FF6420" w:rsidRPr="005E3B43" w:rsidRDefault="00FF6420" w:rsidP="00763BCF">
      <w:pPr>
        <w:pStyle w:val="paragraphsub"/>
      </w:pPr>
      <w:r w:rsidRPr="005E3B43">
        <w:tab/>
        <w:t>(i)</w:t>
      </w:r>
      <w:r w:rsidRPr="005E3B43">
        <w:tab/>
        <w:t>switches and relays;</w:t>
      </w:r>
    </w:p>
    <w:p w14:paraId="04226EA9" w14:textId="77777777" w:rsidR="00FF6420" w:rsidRPr="005E3B43" w:rsidRDefault="00FF6420" w:rsidP="00763BCF">
      <w:pPr>
        <w:pStyle w:val="paragraphsub"/>
      </w:pPr>
      <w:r w:rsidRPr="005E3B43">
        <w:tab/>
        <w:t>(ii)</w:t>
      </w:r>
      <w:r w:rsidRPr="005E3B43">
        <w:tab/>
        <w:t>cold cathode fluorescent lamps and external electrode fluorescent lamps for electronic displays;</w:t>
      </w:r>
    </w:p>
    <w:p w14:paraId="37FBFE5F" w14:textId="77777777" w:rsidR="00FF6420" w:rsidRPr="005E3B43" w:rsidRDefault="00FF6420" w:rsidP="00763BCF">
      <w:pPr>
        <w:pStyle w:val="paragraphsub"/>
      </w:pPr>
      <w:r w:rsidRPr="005E3B43">
        <w:tab/>
        <w:t>(iii)</w:t>
      </w:r>
      <w:r w:rsidRPr="005E3B43">
        <w:tab/>
        <w:t>measuring devices; or</w:t>
      </w:r>
    </w:p>
    <w:p w14:paraId="595A4619" w14:textId="77777777" w:rsidR="00FF6420" w:rsidRPr="005E3B43" w:rsidRDefault="00FF6420" w:rsidP="00763BCF">
      <w:pPr>
        <w:pStyle w:val="paragraph"/>
      </w:pPr>
      <w:r w:rsidRPr="005E3B43">
        <w:tab/>
        <w:t>(d)</w:t>
      </w:r>
      <w:r w:rsidRPr="005E3B43">
        <w:tab/>
        <w:t>products used in traditional or religious practices; or</w:t>
      </w:r>
    </w:p>
    <w:p w14:paraId="774000C6" w14:textId="77777777" w:rsidR="00FF6420" w:rsidRPr="005E3B43" w:rsidRDefault="00FF6420" w:rsidP="00763BCF">
      <w:pPr>
        <w:pStyle w:val="paragraph"/>
      </w:pPr>
      <w:r w:rsidRPr="005E3B43">
        <w:tab/>
        <w:t>(e)</w:t>
      </w:r>
      <w:r w:rsidRPr="005E3B43">
        <w:tab/>
        <w:t>vaccines containing thiomersal as preservatives.</w:t>
      </w:r>
    </w:p>
    <w:p w14:paraId="6D6AA802" w14:textId="77777777" w:rsidR="00FF6420" w:rsidRPr="005E3B43" w:rsidRDefault="00FF6420" w:rsidP="00763BCF">
      <w:pPr>
        <w:pStyle w:val="Definition"/>
      </w:pPr>
      <w:r w:rsidRPr="005E3B43">
        <w:rPr>
          <w:b/>
          <w:i/>
        </w:rPr>
        <w:t>Minamata Convention</w:t>
      </w:r>
      <w:r w:rsidRPr="005E3B43">
        <w:t xml:space="preserve"> means the Minamata Convention on Mercury done at Minamata on 10 October 2013, as in force for Australia from time to time.</w:t>
      </w:r>
    </w:p>
    <w:p w14:paraId="2FBC4D23" w14:textId="77777777" w:rsidR="00FF6420" w:rsidRPr="005E3B43" w:rsidRDefault="00FF6420" w:rsidP="00763BCF">
      <w:pPr>
        <w:pStyle w:val="notetext"/>
      </w:pPr>
      <w:r w:rsidRPr="005E3B43">
        <w:t>Note:</w:t>
      </w:r>
      <w:r w:rsidRPr="005E3B43">
        <w:tab/>
        <w:t>The Convention could in 2021 be viewed in the Australian Treaties Library on the AustLII website (http://www.austlii.edu.au).</w:t>
      </w:r>
    </w:p>
    <w:p w14:paraId="65E80DA8" w14:textId="77777777" w:rsidR="00B118BE" w:rsidRPr="005E3B43" w:rsidRDefault="00B118BE" w:rsidP="00763BCF">
      <w:pPr>
        <w:pStyle w:val="Definition"/>
      </w:pPr>
      <w:r w:rsidRPr="005E3B43">
        <w:rPr>
          <w:b/>
          <w:i/>
        </w:rPr>
        <w:t>minimal manipulation</w:t>
      </w:r>
      <w:r w:rsidRPr="005E3B43">
        <w:t>: see regulation</w:t>
      </w:r>
      <w:r w:rsidR="004E6D00" w:rsidRPr="005E3B43">
        <w:t> </w:t>
      </w:r>
      <w:r w:rsidRPr="005E3B43">
        <w:t>3B.</w:t>
      </w:r>
    </w:p>
    <w:p w14:paraId="1260CCFC" w14:textId="77777777" w:rsidR="00207B1C" w:rsidRPr="005E3B43" w:rsidRDefault="00207B1C" w:rsidP="00763BCF">
      <w:pPr>
        <w:pStyle w:val="Definition"/>
      </w:pPr>
      <w:r w:rsidRPr="005E3B43">
        <w:rPr>
          <w:b/>
          <w:i/>
        </w:rPr>
        <w:t>mother tincture</w:t>
      </w:r>
      <w:r w:rsidRPr="005E3B43">
        <w:t xml:space="preserve"> means a preparation prepared by the process of solution, extraction or trituration to prepare homoeopathic preparations.</w:t>
      </w:r>
    </w:p>
    <w:p w14:paraId="26A4A90E" w14:textId="77777777" w:rsidR="00DC0D9A" w:rsidRPr="005E3B43" w:rsidRDefault="00DC0D9A" w:rsidP="00763BCF">
      <w:pPr>
        <w:pStyle w:val="Definition"/>
      </w:pPr>
      <w:r w:rsidRPr="005E3B43">
        <w:rPr>
          <w:b/>
          <w:i/>
        </w:rPr>
        <w:t>N1 application</w:t>
      </w:r>
      <w:r w:rsidRPr="005E3B43">
        <w:t xml:space="preserve"> has the meaning given by Part</w:t>
      </w:r>
      <w:r w:rsidR="004E6D00" w:rsidRPr="005E3B43">
        <w:t> </w:t>
      </w:r>
      <w:r w:rsidRPr="005E3B43">
        <w:t>1 of Schedule</w:t>
      </w:r>
      <w:r w:rsidR="004E6D00" w:rsidRPr="005E3B43">
        <w:t> </w:t>
      </w:r>
      <w:r w:rsidRPr="005E3B43">
        <w:t>9.</w:t>
      </w:r>
    </w:p>
    <w:p w14:paraId="15F638D5" w14:textId="77777777" w:rsidR="00DC0D9A" w:rsidRPr="005E3B43" w:rsidRDefault="00DC0D9A" w:rsidP="00763BCF">
      <w:pPr>
        <w:pStyle w:val="Definition"/>
      </w:pPr>
      <w:r w:rsidRPr="005E3B43">
        <w:rPr>
          <w:b/>
          <w:i/>
        </w:rPr>
        <w:t>N2 application</w:t>
      </w:r>
      <w:r w:rsidRPr="005E3B43">
        <w:t xml:space="preserve"> has the meaning given by Part</w:t>
      </w:r>
      <w:r w:rsidR="004E6D00" w:rsidRPr="005E3B43">
        <w:t> </w:t>
      </w:r>
      <w:r w:rsidRPr="005E3B43">
        <w:t>1 of Schedule</w:t>
      </w:r>
      <w:r w:rsidR="004E6D00" w:rsidRPr="005E3B43">
        <w:t> </w:t>
      </w:r>
      <w:r w:rsidRPr="005E3B43">
        <w:t>9.</w:t>
      </w:r>
    </w:p>
    <w:p w14:paraId="21EF0671" w14:textId="77777777" w:rsidR="00DC0D9A" w:rsidRPr="005E3B43" w:rsidRDefault="00DC0D9A" w:rsidP="00763BCF">
      <w:pPr>
        <w:pStyle w:val="Definition"/>
      </w:pPr>
      <w:r w:rsidRPr="005E3B43">
        <w:rPr>
          <w:b/>
          <w:i/>
        </w:rPr>
        <w:t>N3 application</w:t>
      </w:r>
      <w:r w:rsidRPr="005E3B43">
        <w:t xml:space="preserve"> has the meaning given by Part</w:t>
      </w:r>
      <w:r w:rsidR="004E6D00" w:rsidRPr="005E3B43">
        <w:t> </w:t>
      </w:r>
      <w:r w:rsidRPr="005E3B43">
        <w:t>1 of Schedule</w:t>
      </w:r>
      <w:r w:rsidR="004E6D00" w:rsidRPr="005E3B43">
        <w:t> </w:t>
      </w:r>
      <w:r w:rsidRPr="005E3B43">
        <w:t>9.</w:t>
      </w:r>
    </w:p>
    <w:p w14:paraId="69D6E654" w14:textId="77777777" w:rsidR="00DC0D9A" w:rsidRPr="005E3B43" w:rsidRDefault="00DC0D9A" w:rsidP="00763BCF">
      <w:pPr>
        <w:pStyle w:val="Definition"/>
      </w:pPr>
      <w:r w:rsidRPr="005E3B43">
        <w:rPr>
          <w:b/>
          <w:i/>
        </w:rPr>
        <w:t>N4 application</w:t>
      </w:r>
      <w:r w:rsidRPr="005E3B43">
        <w:t xml:space="preserve"> has the meaning given by Part</w:t>
      </w:r>
      <w:r w:rsidR="004E6D00" w:rsidRPr="005E3B43">
        <w:t> </w:t>
      </w:r>
      <w:r w:rsidRPr="005E3B43">
        <w:t>1 of Schedule</w:t>
      </w:r>
      <w:r w:rsidR="004E6D00" w:rsidRPr="005E3B43">
        <w:t> </w:t>
      </w:r>
      <w:r w:rsidRPr="005E3B43">
        <w:t>9.</w:t>
      </w:r>
    </w:p>
    <w:p w14:paraId="744F1714" w14:textId="77777777" w:rsidR="00DC0D9A" w:rsidRPr="005E3B43" w:rsidRDefault="00DC0D9A" w:rsidP="00763BCF">
      <w:pPr>
        <w:pStyle w:val="Definition"/>
      </w:pPr>
      <w:r w:rsidRPr="005E3B43">
        <w:rPr>
          <w:b/>
          <w:i/>
        </w:rPr>
        <w:t>N5 application</w:t>
      </w:r>
      <w:r w:rsidRPr="005E3B43">
        <w:t xml:space="preserve"> has the meaning given by Part</w:t>
      </w:r>
      <w:r w:rsidR="004E6D00" w:rsidRPr="005E3B43">
        <w:t> </w:t>
      </w:r>
      <w:r w:rsidRPr="005E3B43">
        <w:t>1 of Schedule</w:t>
      </w:r>
      <w:r w:rsidR="004E6D00" w:rsidRPr="005E3B43">
        <w:t> </w:t>
      </w:r>
      <w:r w:rsidRPr="005E3B43">
        <w:t>9.</w:t>
      </w:r>
    </w:p>
    <w:p w14:paraId="1935500E" w14:textId="77777777" w:rsidR="00D05FF5" w:rsidRPr="005E3B43" w:rsidRDefault="00D05FF5" w:rsidP="00763BCF">
      <w:pPr>
        <w:pStyle w:val="Definition"/>
      </w:pPr>
      <w:r w:rsidRPr="005E3B43">
        <w:rPr>
          <w:b/>
          <w:i/>
        </w:rPr>
        <w:t>new dosage form medicine</w:t>
      </w:r>
      <w:r w:rsidRPr="005E3B43">
        <w:t xml:space="preserve"> means a medicine that:</w:t>
      </w:r>
    </w:p>
    <w:p w14:paraId="2D4CF13E" w14:textId="77777777" w:rsidR="00D05FF5" w:rsidRPr="005E3B43" w:rsidRDefault="00D05FF5" w:rsidP="00763BCF">
      <w:pPr>
        <w:pStyle w:val="paragraph"/>
      </w:pPr>
      <w:r w:rsidRPr="005E3B43">
        <w:lastRenderedPageBreak/>
        <w:tab/>
        <w:t>(a)</w:t>
      </w:r>
      <w:r w:rsidRPr="005E3B43">
        <w:tab/>
        <w:t>has the same chemical, biological or radiopharmaceutical active ingredient (or fixed combination of such ingredients) as another medicine that is included in the Register; and</w:t>
      </w:r>
    </w:p>
    <w:p w14:paraId="7BCFAE49" w14:textId="77777777" w:rsidR="00D05FF5" w:rsidRPr="005E3B43" w:rsidRDefault="00D05FF5" w:rsidP="00763BCF">
      <w:pPr>
        <w:pStyle w:val="paragraph"/>
      </w:pPr>
      <w:r w:rsidRPr="005E3B43">
        <w:tab/>
        <w:t>(b)</w:t>
      </w:r>
      <w:r w:rsidRPr="005E3B43">
        <w:tab/>
        <w:t>has an indication in common with that other medicine; and</w:t>
      </w:r>
    </w:p>
    <w:p w14:paraId="695E33C2" w14:textId="77777777" w:rsidR="00525E37" w:rsidRPr="005E3B43" w:rsidRDefault="00D05FF5" w:rsidP="00763BCF">
      <w:pPr>
        <w:pStyle w:val="paragraph"/>
      </w:pPr>
      <w:r w:rsidRPr="005E3B43">
        <w:tab/>
        <w:t>(c)</w:t>
      </w:r>
      <w:r w:rsidRPr="005E3B43">
        <w:tab/>
        <w:t>does not have the same dosage form as that other medicine.</w:t>
      </w:r>
    </w:p>
    <w:p w14:paraId="5DF48273" w14:textId="77777777" w:rsidR="00102755" w:rsidRPr="005E3B43" w:rsidRDefault="00102755" w:rsidP="00763BCF">
      <w:pPr>
        <w:pStyle w:val="Definition"/>
      </w:pPr>
      <w:r w:rsidRPr="005E3B43">
        <w:rPr>
          <w:b/>
          <w:i/>
        </w:rPr>
        <w:t xml:space="preserve">new indications medicine </w:t>
      </w:r>
      <w:r w:rsidRPr="005E3B43">
        <w:t>means a prescription medicine that:</w:t>
      </w:r>
    </w:p>
    <w:p w14:paraId="083D61FA" w14:textId="77777777" w:rsidR="00102755" w:rsidRPr="005E3B43" w:rsidRDefault="00102755" w:rsidP="00763BCF">
      <w:pPr>
        <w:pStyle w:val="paragraph"/>
      </w:pPr>
      <w:r w:rsidRPr="005E3B43">
        <w:tab/>
        <w:t>(a)</w:t>
      </w:r>
      <w:r w:rsidRPr="005E3B43">
        <w:tab/>
        <w:t>has the same chemical, biological or radiopharmaceutical active ingredient (or fixed combination of such ingredients) as another prescription medicine included in the Register; and</w:t>
      </w:r>
    </w:p>
    <w:p w14:paraId="35E47263" w14:textId="77777777" w:rsidR="00102755" w:rsidRPr="005E3B43" w:rsidRDefault="00102755" w:rsidP="00763BCF">
      <w:pPr>
        <w:pStyle w:val="paragraph"/>
      </w:pPr>
      <w:r w:rsidRPr="005E3B43">
        <w:tab/>
        <w:t>(b)</w:t>
      </w:r>
      <w:r w:rsidRPr="005E3B43">
        <w:tab/>
        <w:t>does not have the same indications as that other medicine.</w:t>
      </w:r>
    </w:p>
    <w:p w14:paraId="18050D25" w14:textId="77777777" w:rsidR="00102755" w:rsidRPr="005E3B43" w:rsidRDefault="00102755" w:rsidP="00763BCF">
      <w:pPr>
        <w:pStyle w:val="Definition"/>
      </w:pPr>
      <w:r w:rsidRPr="005E3B43">
        <w:rPr>
          <w:b/>
          <w:i/>
        </w:rPr>
        <w:t>new prescription medicine</w:t>
      </w:r>
      <w:r w:rsidRPr="005E3B43">
        <w:rPr>
          <w:b/>
        </w:rPr>
        <w:t xml:space="preserve"> </w:t>
      </w:r>
      <w:r w:rsidRPr="005E3B43">
        <w:t>means a prescription medicine that contains:</w:t>
      </w:r>
    </w:p>
    <w:p w14:paraId="14D5FB5E" w14:textId="77777777" w:rsidR="00102755" w:rsidRPr="005E3B43" w:rsidRDefault="00102755" w:rsidP="00763BCF">
      <w:pPr>
        <w:pStyle w:val="paragraph"/>
      </w:pPr>
      <w:r w:rsidRPr="005E3B43">
        <w:tab/>
        <w:t>(a)</w:t>
      </w:r>
      <w:r w:rsidRPr="005E3B43">
        <w:tab/>
        <w:t>a chemical, biological or radiopharmaceutical active ingredient that has not previously been included in an entry in the Register; or</w:t>
      </w:r>
    </w:p>
    <w:p w14:paraId="7018FE17" w14:textId="77777777" w:rsidR="00102755" w:rsidRPr="005E3B43" w:rsidRDefault="00102755" w:rsidP="00763BCF">
      <w:pPr>
        <w:pStyle w:val="paragraph"/>
      </w:pPr>
      <w:r w:rsidRPr="005E3B43">
        <w:tab/>
        <w:t>(b)</w:t>
      </w:r>
      <w:r w:rsidRPr="005E3B43">
        <w:tab/>
        <w:t>a fixed combination of chemical, biological or radiopharmaceutical active ingredients at least one of which has not previously been included in an entry in the Register.</w:t>
      </w:r>
    </w:p>
    <w:p w14:paraId="09D8BA5C" w14:textId="796A5EBE" w:rsidR="00E5654B" w:rsidRPr="005E3B43" w:rsidRDefault="00E5654B" w:rsidP="00763BCF">
      <w:pPr>
        <w:pStyle w:val="Definition"/>
      </w:pPr>
      <w:r w:rsidRPr="005E3B43">
        <w:rPr>
          <w:b/>
          <w:i/>
        </w:rPr>
        <w:t>nonconforming biological</w:t>
      </w:r>
      <w:r w:rsidRPr="005E3B43">
        <w:t xml:space="preserve"> means a biological that is included in the Register under </w:t>
      </w:r>
      <w:r w:rsidR="00BB758E" w:rsidRPr="005E3B43">
        <w:t>Part 3</w:t>
      </w:r>
      <w:r w:rsidR="007C3215">
        <w:noBreakHyphen/>
      </w:r>
      <w:r w:rsidRPr="005E3B43">
        <w:t>2A of the Act but does not conform with:</w:t>
      </w:r>
    </w:p>
    <w:p w14:paraId="5A721497" w14:textId="77777777" w:rsidR="00E5654B" w:rsidRPr="005E3B43" w:rsidRDefault="00E5654B" w:rsidP="00763BCF">
      <w:pPr>
        <w:pStyle w:val="paragraph"/>
      </w:pPr>
      <w:r w:rsidRPr="005E3B43">
        <w:tab/>
        <w:t>(a)</w:t>
      </w:r>
      <w:r w:rsidRPr="005E3B43">
        <w:tab/>
        <w:t>a standard applicable to the biological; or</w:t>
      </w:r>
    </w:p>
    <w:p w14:paraId="658CD565" w14:textId="77777777" w:rsidR="00E5654B" w:rsidRPr="005E3B43" w:rsidRDefault="00E5654B" w:rsidP="00763BCF">
      <w:pPr>
        <w:pStyle w:val="paragraph"/>
      </w:pPr>
      <w:r w:rsidRPr="005E3B43">
        <w:tab/>
        <w:t>(b)</w:t>
      </w:r>
      <w:r w:rsidRPr="005E3B43">
        <w:tab/>
        <w:t>any manufacturing requirements under the Act for the biological.</w:t>
      </w:r>
    </w:p>
    <w:p w14:paraId="66E37D26" w14:textId="1DA1D5DB" w:rsidR="00FF6420" w:rsidRPr="005E3B43" w:rsidRDefault="00FF6420" w:rsidP="00763BCF">
      <w:pPr>
        <w:pStyle w:val="Definition"/>
      </w:pPr>
      <w:r w:rsidRPr="005E3B43">
        <w:rPr>
          <w:b/>
          <w:i/>
        </w:rPr>
        <w:t>non</w:t>
      </w:r>
      <w:r w:rsidR="007C3215">
        <w:rPr>
          <w:b/>
          <w:i/>
        </w:rPr>
        <w:noBreakHyphen/>
      </w:r>
      <w:r w:rsidRPr="005E3B43">
        <w:rPr>
          <w:b/>
          <w:i/>
        </w:rPr>
        <w:t>Minamata mercury</w:t>
      </w:r>
      <w:r w:rsidRPr="005E3B43">
        <w:t xml:space="preserve"> means any of the following:</w:t>
      </w:r>
    </w:p>
    <w:p w14:paraId="40450581" w14:textId="687843FB" w:rsidR="00FF6420" w:rsidRPr="005E3B43" w:rsidRDefault="00FF6420" w:rsidP="00763BCF">
      <w:pPr>
        <w:pStyle w:val="paragraph"/>
      </w:pPr>
      <w:r w:rsidRPr="005E3B43">
        <w:tab/>
        <w:t>(a)</w:t>
      </w:r>
      <w:r w:rsidRPr="005E3B43">
        <w:tab/>
        <w:t>mercury to be used for laboratory</w:t>
      </w:r>
      <w:r w:rsidR="007C3215">
        <w:noBreakHyphen/>
      </w:r>
      <w:r w:rsidRPr="005E3B43">
        <w:t>scale research or as a reference standard;</w:t>
      </w:r>
    </w:p>
    <w:p w14:paraId="32F0F284" w14:textId="77777777" w:rsidR="00FF6420" w:rsidRPr="005E3B43" w:rsidRDefault="00FF6420" w:rsidP="00763BCF">
      <w:pPr>
        <w:pStyle w:val="paragraph"/>
      </w:pPr>
      <w:r w:rsidRPr="005E3B43">
        <w:tab/>
        <w:t>(b)</w:t>
      </w:r>
      <w:r w:rsidRPr="005E3B43">
        <w:tab/>
        <w:t>naturally occurring trace quantities of mercury present in:</w:t>
      </w:r>
    </w:p>
    <w:p w14:paraId="609484D2" w14:textId="494952D2" w:rsidR="00FF6420" w:rsidRPr="005E3B43" w:rsidRDefault="00FF6420" w:rsidP="00763BCF">
      <w:pPr>
        <w:pStyle w:val="paragraphsub"/>
      </w:pPr>
      <w:r w:rsidRPr="005E3B43">
        <w:tab/>
        <w:t>(i)</w:t>
      </w:r>
      <w:r w:rsidRPr="005E3B43">
        <w:tab/>
        <w:t>products such as non</w:t>
      </w:r>
      <w:r w:rsidR="007C3215">
        <w:noBreakHyphen/>
      </w:r>
      <w:r w:rsidRPr="005E3B43">
        <w:t>mercury metals, ores or mineral products (including coal); or</w:t>
      </w:r>
    </w:p>
    <w:p w14:paraId="3CB86872" w14:textId="77777777" w:rsidR="00FF6420" w:rsidRPr="005E3B43" w:rsidRDefault="00FF6420" w:rsidP="00763BCF">
      <w:pPr>
        <w:pStyle w:val="paragraphsub"/>
      </w:pPr>
      <w:r w:rsidRPr="005E3B43">
        <w:tab/>
        <w:t>(ii)</w:t>
      </w:r>
      <w:r w:rsidRPr="005E3B43">
        <w:tab/>
        <w:t>products derived from the products mentioned in subparagraph (i);</w:t>
      </w:r>
    </w:p>
    <w:p w14:paraId="098BB66F" w14:textId="77777777" w:rsidR="00FF6420" w:rsidRPr="005E3B43" w:rsidRDefault="00FF6420" w:rsidP="00763BCF">
      <w:pPr>
        <w:pStyle w:val="paragraph"/>
      </w:pPr>
      <w:r w:rsidRPr="005E3B43">
        <w:tab/>
        <w:t>(c)</w:t>
      </w:r>
      <w:r w:rsidRPr="005E3B43">
        <w:tab/>
        <w:t>unintentional trace quantities of mercury in chemical products.</w:t>
      </w:r>
    </w:p>
    <w:p w14:paraId="4FE26BB5" w14:textId="77777777" w:rsidR="00207B1C" w:rsidRPr="005E3B43" w:rsidRDefault="00207B1C" w:rsidP="00763BCF">
      <w:pPr>
        <w:pStyle w:val="Definition"/>
      </w:pPr>
      <w:r w:rsidRPr="005E3B43">
        <w:rPr>
          <w:b/>
          <w:i/>
        </w:rPr>
        <w:t>open shelf life</w:t>
      </w:r>
      <w:r w:rsidRPr="005E3B43">
        <w:t>, for therapeutic goods, means the time, after the container holding the goods is opened, after which the goods should not be used.</w:t>
      </w:r>
    </w:p>
    <w:p w14:paraId="3C4ADF1D" w14:textId="77777777" w:rsidR="00207B1C" w:rsidRPr="005E3B43" w:rsidRDefault="00E20BA4" w:rsidP="00763BCF">
      <w:pPr>
        <w:pStyle w:val="notetext"/>
      </w:pPr>
      <w:r w:rsidRPr="005E3B43">
        <w:t>Note:</w:t>
      </w:r>
      <w:r w:rsidRPr="005E3B43">
        <w:tab/>
      </w:r>
      <w:r w:rsidR="00207B1C" w:rsidRPr="005E3B43">
        <w:t xml:space="preserve">For </w:t>
      </w:r>
      <w:r w:rsidR="00207B1C" w:rsidRPr="005E3B43">
        <w:rPr>
          <w:b/>
          <w:i/>
        </w:rPr>
        <w:t>container</w:t>
      </w:r>
      <w:r w:rsidR="00207B1C" w:rsidRPr="005E3B43">
        <w:t>, see Act, subs 3(1).</w:t>
      </w:r>
    </w:p>
    <w:p w14:paraId="1F5E25A4" w14:textId="77777777" w:rsidR="00B118BE" w:rsidRPr="005E3B43" w:rsidRDefault="00B118BE" w:rsidP="00763BCF">
      <w:pPr>
        <w:pStyle w:val="Definition"/>
      </w:pPr>
      <w:r w:rsidRPr="005E3B43">
        <w:rPr>
          <w:b/>
          <w:i/>
        </w:rPr>
        <w:t>original cells or tissues</w:t>
      </w:r>
      <w:r w:rsidRPr="005E3B43">
        <w:t>: see regulation</w:t>
      </w:r>
      <w:r w:rsidR="004E6D00" w:rsidRPr="005E3B43">
        <w:t> </w:t>
      </w:r>
      <w:r w:rsidRPr="005E3B43">
        <w:t>3B.</w:t>
      </w:r>
    </w:p>
    <w:p w14:paraId="79D6D0B4" w14:textId="77777777" w:rsidR="00207B1C" w:rsidRPr="005E3B43" w:rsidRDefault="00207B1C" w:rsidP="00763BCF">
      <w:pPr>
        <w:pStyle w:val="Definition"/>
      </w:pPr>
      <w:r w:rsidRPr="005E3B43">
        <w:rPr>
          <w:b/>
          <w:i/>
        </w:rPr>
        <w:t xml:space="preserve">OTC medicine </w:t>
      </w:r>
      <w:r w:rsidRPr="005E3B43">
        <w:t xml:space="preserve">means therapeutic goods mentioned in </w:t>
      </w:r>
      <w:r w:rsidR="00BB758E" w:rsidRPr="005E3B43">
        <w:t>Part 3</w:t>
      </w:r>
      <w:r w:rsidRPr="005E3B43">
        <w:t xml:space="preserve"> of </w:t>
      </w:r>
      <w:r w:rsidR="008D1B4F" w:rsidRPr="005E3B43">
        <w:t>Schedule 1</w:t>
      </w:r>
      <w:r w:rsidRPr="005E3B43">
        <w:t>0.</w:t>
      </w:r>
    </w:p>
    <w:p w14:paraId="41117836" w14:textId="77777777" w:rsidR="00207B1C" w:rsidRPr="005E3B43" w:rsidRDefault="00207B1C" w:rsidP="00763BCF">
      <w:pPr>
        <w:pStyle w:val="Definition"/>
      </w:pPr>
      <w:r w:rsidRPr="005E3B43">
        <w:rPr>
          <w:b/>
          <w:i/>
        </w:rPr>
        <w:t xml:space="preserve">pharmaceutical benefit </w:t>
      </w:r>
      <w:r w:rsidRPr="005E3B43">
        <w:t xml:space="preserve">means a Commonwealth pharmaceutical benefit under the </w:t>
      </w:r>
      <w:r w:rsidRPr="005E3B43">
        <w:rPr>
          <w:i/>
        </w:rPr>
        <w:t xml:space="preserve">National Health Act 1953 </w:t>
      </w:r>
      <w:r w:rsidRPr="005E3B43">
        <w:t xml:space="preserve">or the </w:t>
      </w:r>
      <w:r w:rsidRPr="005E3B43">
        <w:rPr>
          <w:i/>
        </w:rPr>
        <w:t>Veterans’ Entitlements Act 1986</w:t>
      </w:r>
      <w:r w:rsidRPr="005E3B43">
        <w:t>.</w:t>
      </w:r>
    </w:p>
    <w:p w14:paraId="563D7BF8" w14:textId="77777777" w:rsidR="00207B1C" w:rsidRPr="005E3B43" w:rsidRDefault="00207B1C" w:rsidP="00763BCF">
      <w:pPr>
        <w:pStyle w:val="Definition"/>
      </w:pPr>
      <w:r w:rsidRPr="005E3B43">
        <w:rPr>
          <w:b/>
          <w:i/>
        </w:rPr>
        <w:t xml:space="preserve">Poisons Standard </w:t>
      </w:r>
      <w:r w:rsidRPr="005E3B43">
        <w:t xml:space="preserve">has the same meaning as </w:t>
      </w:r>
      <w:r w:rsidRPr="005E3B43">
        <w:rPr>
          <w:b/>
          <w:i/>
        </w:rPr>
        <w:t>current Poisons Standard</w:t>
      </w:r>
      <w:r w:rsidRPr="005E3B43">
        <w:t>.</w:t>
      </w:r>
    </w:p>
    <w:p w14:paraId="0FC9B675" w14:textId="77777777" w:rsidR="003B615A" w:rsidRPr="005E3B43" w:rsidRDefault="003B615A" w:rsidP="00763BCF">
      <w:pPr>
        <w:pStyle w:val="Definition"/>
      </w:pPr>
      <w:r w:rsidRPr="005E3B43">
        <w:rPr>
          <w:b/>
          <w:i/>
        </w:rPr>
        <w:t>Practice Guideline</w:t>
      </w:r>
      <w:r w:rsidRPr="005E3B43">
        <w:t xml:space="preserve"> has the meaning given by paragraph</w:t>
      </w:r>
      <w:r w:rsidR="004E6D00" w:rsidRPr="005E3B43">
        <w:t> </w:t>
      </w:r>
      <w:r w:rsidRPr="005E3B43">
        <w:t>12AB(2)(a).</w:t>
      </w:r>
    </w:p>
    <w:p w14:paraId="4869666B" w14:textId="77777777" w:rsidR="00207B1C" w:rsidRPr="005E3B43" w:rsidRDefault="00207B1C" w:rsidP="00763BCF">
      <w:pPr>
        <w:pStyle w:val="Definition"/>
      </w:pPr>
      <w:r w:rsidRPr="005E3B43">
        <w:rPr>
          <w:b/>
          <w:i/>
        </w:rPr>
        <w:t>principal investigator</w:t>
      </w:r>
      <w:r w:rsidRPr="005E3B43">
        <w:t>, in relation to a clinical trial of therapeutic goods, means the person who is in charge of the conduct of the trial.</w:t>
      </w:r>
    </w:p>
    <w:p w14:paraId="0E8AEE64" w14:textId="77777777" w:rsidR="00207B1C" w:rsidRPr="005E3B43" w:rsidRDefault="00207B1C" w:rsidP="00763BCF">
      <w:pPr>
        <w:pStyle w:val="Definition"/>
      </w:pPr>
      <w:r w:rsidRPr="005E3B43">
        <w:rPr>
          <w:b/>
          <w:i/>
        </w:rPr>
        <w:lastRenderedPageBreak/>
        <w:t xml:space="preserve">quarter </w:t>
      </w:r>
      <w:r w:rsidRPr="005E3B43">
        <w:t xml:space="preserve">means a period of 3 months commencing on </w:t>
      </w:r>
      <w:r w:rsidR="006B5D8E" w:rsidRPr="005E3B43">
        <w:t>1 January</w:t>
      </w:r>
      <w:r w:rsidRPr="005E3B43">
        <w:t>, 1</w:t>
      </w:r>
      <w:r w:rsidR="004E6D00" w:rsidRPr="005E3B43">
        <w:t> </w:t>
      </w:r>
      <w:r w:rsidRPr="005E3B43">
        <w:t xml:space="preserve">April, </w:t>
      </w:r>
      <w:r w:rsidR="006B5D8E" w:rsidRPr="005E3B43">
        <w:t>1 July</w:t>
      </w:r>
      <w:r w:rsidRPr="005E3B43">
        <w:t xml:space="preserve"> or </w:t>
      </w:r>
      <w:r w:rsidR="00BB758E" w:rsidRPr="005E3B43">
        <w:t>1 October</w:t>
      </w:r>
      <w:r w:rsidRPr="005E3B43">
        <w:t xml:space="preserve"> in a year.</w:t>
      </w:r>
    </w:p>
    <w:p w14:paraId="02E82BCD" w14:textId="77777777" w:rsidR="00E2181E" w:rsidRPr="005E3B43" w:rsidRDefault="00E2181E" w:rsidP="00763BCF">
      <w:pPr>
        <w:pStyle w:val="Definition"/>
      </w:pPr>
      <w:r w:rsidRPr="005E3B43">
        <w:rPr>
          <w:b/>
          <w:i/>
        </w:rPr>
        <w:t>RCM1 application</w:t>
      </w:r>
      <w:r w:rsidRPr="005E3B43">
        <w:rPr>
          <w:i/>
        </w:rPr>
        <w:t xml:space="preserve"> </w:t>
      </w:r>
      <w:r w:rsidRPr="005E3B43">
        <w:t xml:space="preserve">means an application made under </w:t>
      </w:r>
      <w:r w:rsidR="00FB7FAA" w:rsidRPr="005E3B43">
        <w:t>section 2</w:t>
      </w:r>
      <w:r w:rsidRPr="005E3B43">
        <w:t>3 of the Act to register a complementary medicine, if the medicine is identical to registered goods (disregarding differences between presentation, colour, flavour or fragrance).</w:t>
      </w:r>
    </w:p>
    <w:p w14:paraId="1FE5172A" w14:textId="77777777" w:rsidR="00E2181E" w:rsidRPr="005E3B43" w:rsidRDefault="00E2181E" w:rsidP="00763BCF">
      <w:pPr>
        <w:pStyle w:val="Definition"/>
      </w:pPr>
      <w:r w:rsidRPr="005E3B43">
        <w:rPr>
          <w:b/>
          <w:i/>
        </w:rPr>
        <w:t>RCM2 application</w:t>
      </w:r>
      <w:r w:rsidRPr="005E3B43">
        <w:rPr>
          <w:i/>
        </w:rPr>
        <w:t xml:space="preserve"> </w:t>
      </w:r>
      <w:r w:rsidRPr="005E3B43">
        <w:t xml:space="preserve">means an application made under </w:t>
      </w:r>
      <w:r w:rsidR="00FB7FAA" w:rsidRPr="005E3B43">
        <w:t>section 2</w:t>
      </w:r>
      <w:r w:rsidRPr="005E3B43">
        <w:t>3 of the Act to register a complementary medicine, if the application requires an evaluation of the safety, quality and efficacy of the medicine based on evaluation reports from a competent regulatory authority of a foreign country or foreign jurisdiction determined under regulation</w:t>
      </w:r>
      <w:r w:rsidR="004E6D00" w:rsidRPr="005E3B43">
        <w:t> </w:t>
      </w:r>
      <w:r w:rsidRPr="005E3B43">
        <w:t>16GJ.</w:t>
      </w:r>
    </w:p>
    <w:p w14:paraId="32B668DF" w14:textId="77777777" w:rsidR="00E2181E" w:rsidRPr="005E3B43" w:rsidRDefault="00E2181E" w:rsidP="00763BCF">
      <w:pPr>
        <w:pStyle w:val="Definition"/>
      </w:pPr>
      <w:r w:rsidRPr="005E3B43">
        <w:rPr>
          <w:b/>
          <w:i/>
        </w:rPr>
        <w:t>RCM3 application</w:t>
      </w:r>
      <w:r w:rsidRPr="005E3B43">
        <w:rPr>
          <w:i/>
        </w:rPr>
        <w:t xml:space="preserve"> </w:t>
      </w:r>
      <w:r w:rsidRPr="005E3B43">
        <w:t xml:space="preserve">means an application made under </w:t>
      </w:r>
      <w:r w:rsidR="00FB7FAA" w:rsidRPr="005E3B43">
        <w:t>section 2</w:t>
      </w:r>
      <w:r w:rsidRPr="005E3B43">
        <w:t>3 of the Act to register a complementary medicine, if:</w:t>
      </w:r>
    </w:p>
    <w:p w14:paraId="1AE20FDA" w14:textId="77777777" w:rsidR="00E2181E" w:rsidRPr="005E3B43" w:rsidRDefault="00E2181E" w:rsidP="00763BCF">
      <w:pPr>
        <w:pStyle w:val="paragraph"/>
      </w:pPr>
      <w:r w:rsidRPr="005E3B43">
        <w:tab/>
        <w:t>(a)</w:t>
      </w:r>
      <w:r w:rsidRPr="005E3B43">
        <w:tab/>
        <w:t>the application is for a generic product for which bioequivalence data is not needed for the purposes of evaluation of the medicine; or</w:t>
      </w:r>
    </w:p>
    <w:p w14:paraId="6D86D3B1" w14:textId="77777777" w:rsidR="00E2181E" w:rsidRPr="005E3B43" w:rsidRDefault="00E2181E" w:rsidP="00763BCF">
      <w:pPr>
        <w:pStyle w:val="paragraph"/>
      </w:pPr>
      <w:r w:rsidRPr="005E3B43">
        <w:tab/>
        <w:t>(b)</w:t>
      </w:r>
      <w:r w:rsidRPr="005E3B43">
        <w:tab/>
        <w:t>the application requires an independent evaluation of one of the following:</w:t>
      </w:r>
    </w:p>
    <w:p w14:paraId="687421AA" w14:textId="77777777" w:rsidR="00E2181E" w:rsidRPr="005E3B43" w:rsidRDefault="00E2181E" w:rsidP="00763BCF">
      <w:pPr>
        <w:pStyle w:val="paragraphsub"/>
      </w:pPr>
      <w:r w:rsidRPr="005E3B43">
        <w:tab/>
        <w:t>(i)</w:t>
      </w:r>
      <w:r w:rsidRPr="005E3B43">
        <w:tab/>
        <w:t>the safety of the medicine;</w:t>
      </w:r>
    </w:p>
    <w:p w14:paraId="4A3C540B" w14:textId="77777777" w:rsidR="00E2181E" w:rsidRPr="005E3B43" w:rsidRDefault="00E2181E" w:rsidP="00763BCF">
      <w:pPr>
        <w:pStyle w:val="paragraphsub"/>
      </w:pPr>
      <w:r w:rsidRPr="005E3B43">
        <w:tab/>
        <w:t>(ii)</w:t>
      </w:r>
      <w:r w:rsidRPr="005E3B43">
        <w:tab/>
        <w:t>the quality of the medicine;</w:t>
      </w:r>
    </w:p>
    <w:p w14:paraId="0771094F" w14:textId="77777777" w:rsidR="00E2181E" w:rsidRPr="005E3B43" w:rsidRDefault="00E2181E" w:rsidP="00763BCF">
      <w:pPr>
        <w:pStyle w:val="paragraphsub"/>
      </w:pPr>
      <w:r w:rsidRPr="005E3B43">
        <w:tab/>
        <w:t>(iii)</w:t>
      </w:r>
      <w:r w:rsidRPr="005E3B43">
        <w:tab/>
        <w:t>the efficacy of the medicine.</w:t>
      </w:r>
    </w:p>
    <w:p w14:paraId="167ED0FA" w14:textId="77777777" w:rsidR="00E2181E" w:rsidRPr="005E3B43" w:rsidRDefault="00E2181E" w:rsidP="00763BCF">
      <w:pPr>
        <w:pStyle w:val="Definition"/>
      </w:pPr>
      <w:r w:rsidRPr="005E3B43">
        <w:rPr>
          <w:b/>
          <w:i/>
        </w:rPr>
        <w:t>RCM4 application</w:t>
      </w:r>
      <w:r w:rsidRPr="005E3B43">
        <w:rPr>
          <w:i/>
        </w:rPr>
        <w:t xml:space="preserve"> </w:t>
      </w:r>
      <w:r w:rsidRPr="005E3B43">
        <w:t xml:space="preserve">means an application made under </w:t>
      </w:r>
      <w:r w:rsidR="00FB7FAA" w:rsidRPr="005E3B43">
        <w:t>section 2</w:t>
      </w:r>
      <w:r w:rsidRPr="005E3B43">
        <w:t>3 of the Act to register a complementary medicine, if:</w:t>
      </w:r>
    </w:p>
    <w:p w14:paraId="1A23BFEB" w14:textId="77777777" w:rsidR="00E2181E" w:rsidRPr="005E3B43" w:rsidRDefault="00E2181E" w:rsidP="00763BCF">
      <w:pPr>
        <w:pStyle w:val="paragraph"/>
      </w:pPr>
      <w:r w:rsidRPr="005E3B43">
        <w:tab/>
        <w:t>(a)</w:t>
      </w:r>
      <w:r w:rsidRPr="005E3B43">
        <w:tab/>
        <w:t>the application requires an independent evaluation of 2 of the following:</w:t>
      </w:r>
    </w:p>
    <w:p w14:paraId="68865D94" w14:textId="77777777" w:rsidR="00E2181E" w:rsidRPr="005E3B43" w:rsidRDefault="00E2181E" w:rsidP="00763BCF">
      <w:pPr>
        <w:pStyle w:val="paragraphsub"/>
      </w:pPr>
      <w:r w:rsidRPr="005E3B43">
        <w:tab/>
        <w:t>(i)</w:t>
      </w:r>
      <w:r w:rsidRPr="005E3B43">
        <w:tab/>
        <w:t>the safety of the medicine;</w:t>
      </w:r>
    </w:p>
    <w:p w14:paraId="05C0F459" w14:textId="77777777" w:rsidR="00E2181E" w:rsidRPr="005E3B43" w:rsidRDefault="00E2181E" w:rsidP="00763BCF">
      <w:pPr>
        <w:pStyle w:val="paragraphsub"/>
      </w:pPr>
      <w:r w:rsidRPr="005E3B43">
        <w:tab/>
        <w:t>(ii)</w:t>
      </w:r>
      <w:r w:rsidRPr="005E3B43">
        <w:tab/>
        <w:t>the quality of the medicine;</w:t>
      </w:r>
    </w:p>
    <w:p w14:paraId="566ABE4A" w14:textId="77777777" w:rsidR="00E2181E" w:rsidRPr="005E3B43" w:rsidRDefault="00E2181E" w:rsidP="00763BCF">
      <w:pPr>
        <w:pStyle w:val="paragraphsub"/>
      </w:pPr>
      <w:r w:rsidRPr="005E3B43">
        <w:tab/>
        <w:t>(iii)</w:t>
      </w:r>
      <w:r w:rsidRPr="005E3B43">
        <w:tab/>
        <w:t>the efficacy of the medicine; or</w:t>
      </w:r>
    </w:p>
    <w:p w14:paraId="5813136B" w14:textId="77777777" w:rsidR="00E2181E" w:rsidRPr="005E3B43" w:rsidRDefault="00E2181E" w:rsidP="00763BCF">
      <w:pPr>
        <w:pStyle w:val="paragraph"/>
      </w:pPr>
      <w:r w:rsidRPr="005E3B43">
        <w:tab/>
        <w:t>(b)</w:t>
      </w:r>
      <w:r w:rsidRPr="005E3B43">
        <w:tab/>
        <w:t>the application is for a generic product for which bioequivalence data is needed for the purposes of evaluation of the medicine; or</w:t>
      </w:r>
    </w:p>
    <w:p w14:paraId="6EDCD758" w14:textId="77777777" w:rsidR="00E2181E" w:rsidRPr="005E3B43" w:rsidRDefault="00E2181E" w:rsidP="00763BCF">
      <w:pPr>
        <w:pStyle w:val="paragraph"/>
      </w:pPr>
      <w:r w:rsidRPr="005E3B43">
        <w:tab/>
        <w:t>(c)</w:t>
      </w:r>
      <w:r w:rsidRPr="005E3B43">
        <w:tab/>
        <w:t>the application is for a medicine that is registered and is for one or more of the following:</w:t>
      </w:r>
    </w:p>
    <w:p w14:paraId="293E4541" w14:textId="77777777" w:rsidR="00E2181E" w:rsidRPr="005E3B43" w:rsidRDefault="00E2181E" w:rsidP="00763BCF">
      <w:pPr>
        <w:pStyle w:val="paragraphsub"/>
      </w:pPr>
      <w:r w:rsidRPr="005E3B43">
        <w:tab/>
        <w:t>(i)</w:t>
      </w:r>
      <w:r w:rsidRPr="005E3B43">
        <w:tab/>
        <w:t>an extension of indications of the medicine;</w:t>
      </w:r>
    </w:p>
    <w:p w14:paraId="54F392DF" w14:textId="77777777" w:rsidR="00E2181E" w:rsidRPr="005E3B43" w:rsidRDefault="00E2181E" w:rsidP="00763BCF">
      <w:pPr>
        <w:pStyle w:val="paragraphsub"/>
      </w:pPr>
      <w:r w:rsidRPr="005E3B43">
        <w:tab/>
        <w:t>(ii)</w:t>
      </w:r>
      <w:r w:rsidRPr="005E3B43">
        <w:tab/>
        <w:t>new directions for use of the medicine;</w:t>
      </w:r>
    </w:p>
    <w:p w14:paraId="1F566110" w14:textId="77777777" w:rsidR="00E2181E" w:rsidRPr="005E3B43" w:rsidRDefault="00E2181E" w:rsidP="00763BCF">
      <w:pPr>
        <w:pStyle w:val="paragraphsub"/>
      </w:pPr>
      <w:r w:rsidRPr="005E3B43">
        <w:tab/>
        <w:t>(iii)</w:t>
      </w:r>
      <w:r w:rsidRPr="005E3B43">
        <w:tab/>
        <w:t>an increase in the target population for the medicine.</w:t>
      </w:r>
    </w:p>
    <w:p w14:paraId="4FD65371" w14:textId="77777777" w:rsidR="00E2181E" w:rsidRPr="005E3B43" w:rsidRDefault="00E2181E" w:rsidP="00763BCF">
      <w:pPr>
        <w:pStyle w:val="Definition"/>
      </w:pPr>
      <w:r w:rsidRPr="005E3B43">
        <w:rPr>
          <w:b/>
          <w:i/>
        </w:rPr>
        <w:t>RCM5 application</w:t>
      </w:r>
      <w:r w:rsidRPr="005E3B43">
        <w:rPr>
          <w:i/>
        </w:rPr>
        <w:t xml:space="preserve"> </w:t>
      </w:r>
      <w:r w:rsidRPr="005E3B43">
        <w:t xml:space="preserve">means an application made under </w:t>
      </w:r>
      <w:r w:rsidR="00FB7FAA" w:rsidRPr="005E3B43">
        <w:t>section 2</w:t>
      </w:r>
      <w:r w:rsidRPr="005E3B43">
        <w:t>3 of the Act to register a complementary medicine, if:</w:t>
      </w:r>
    </w:p>
    <w:p w14:paraId="6C4BEB77" w14:textId="77777777" w:rsidR="00E2181E" w:rsidRPr="005E3B43" w:rsidRDefault="00E2181E" w:rsidP="00763BCF">
      <w:pPr>
        <w:pStyle w:val="paragraph"/>
      </w:pPr>
      <w:r w:rsidRPr="005E3B43">
        <w:tab/>
        <w:t>(a)</w:t>
      </w:r>
      <w:r w:rsidRPr="005E3B43">
        <w:tab/>
        <w:t>either:</w:t>
      </w:r>
    </w:p>
    <w:p w14:paraId="37953722" w14:textId="77777777" w:rsidR="00E2181E" w:rsidRPr="005E3B43" w:rsidRDefault="00E2181E" w:rsidP="00763BCF">
      <w:pPr>
        <w:pStyle w:val="paragraphsub"/>
      </w:pPr>
      <w:r w:rsidRPr="005E3B43">
        <w:tab/>
        <w:t>(i)</w:t>
      </w:r>
      <w:r w:rsidRPr="005E3B43">
        <w:tab/>
        <w:t>the application requires an independent evaluation of the safety, quality and efficacy of the medicine; or</w:t>
      </w:r>
    </w:p>
    <w:p w14:paraId="7270D36A" w14:textId="77777777" w:rsidR="00E2181E" w:rsidRPr="005E3B43" w:rsidRDefault="00E2181E" w:rsidP="00763BCF">
      <w:pPr>
        <w:pStyle w:val="paragraphsub"/>
      </w:pPr>
      <w:r w:rsidRPr="005E3B43">
        <w:tab/>
        <w:t>(ii)</w:t>
      </w:r>
      <w:r w:rsidRPr="005E3B43">
        <w:tab/>
        <w:t>the application is for a medicine that is registered and is for a new dosage form of the medicine, a new active ingredient of the medicine, an increase in the strength of an active ingredient of the medicine or the addition of an excipient not used in complementary medicines at the time the application is made; and</w:t>
      </w:r>
    </w:p>
    <w:p w14:paraId="6D6B6EF5" w14:textId="77777777" w:rsidR="00E2181E" w:rsidRPr="005E3B43" w:rsidRDefault="00E2181E" w:rsidP="00763BCF">
      <w:pPr>
        <w:pStyle w:val="paragraph"/>
      </w:pPr>
      <w:r w:rsidRPr="005E3B43">
        <w:lastRenderedPageBreak/>
        <w:tab/>
        <w:t>(b)</w:t>
      </w:r>
      <w:r w:rsidRPr="005E3B43">
        <w:tab/>
        <w:t>the application is not an RCM1 application, an RCM2 application, an RCM3 application or an RCM4 application.</w:t>
      </w:r>
    </w:p>
    <w:p w14:paraId="4D8CAB1C" w14:textId="77777777" w:rsidR="00E2181E" w:rsidRPr="005E3B43" w:rsidRDefault="00E2181E" w:rsidP="00763BCF">
      <w:pPr>
        <w:pStyle w:val="Definition"/>
      </w:pPr>
      <w:r w:rsidRPr="005E3B43">
        <w:rPr>
          <w:b/>
          <w:i/>
        </w:rPr>
        <w:t>RCMC1 (section</w:t>
      </w:r>
      <w:r w:rsidR="004E6D00" w:rsidRPr="005E3B43">
        <w:rPr>
          <w:b/>
          <w:i/>
        </w:rPr>
        <w:t> </w:t>
      </w:r>
      <w:r w:rsidRPr="005E3B43">
        <w:rPr>
          <w:b/>
          <w:i/>
        </w:rPr>
        <w:t>9D) request</w:t>
      </w:r>
      <w:r w:rsidRPr="005E3B43">
        <w:rPr>
          <w:i/>
        </w:rPr>
        <w:t xml:space="preserve"> </w:t>
      </w:r>
      <w:r w:rsidRPr="005E3B43">
        <w:t>means a request made under subsection</w:t>
      </w:r>
      <w:r w:rsidR="004E6D00" w:rsidRPr="005E3B43">
        <w:t> </w:t>
      </w:r>
      <w:r w:rsidRPr="005E3B43">
        <w:t>9D(1), (2) or (3) of the Act to vary information in the Register for a registered complementary medicine, if the variation is of a kind specified in the changes table as an RCMC1 (section</w:t>
      </w:r>
      <w:r w:rsidR="004E6D00" w:rsidRPr="005E3B43">
        <w:t> </w:t>
      </w:r>
      <w:r w:rsidRPr="005E3B43">
        <w:t>9D) level change.</w:t>
      </w:r>
    </w:p>
    <w:p w14:paraId="288D1FA0" w14:textId="77777777" w:rsidR="00E2181E" w:rsidRPr="005E3B43" w:rsidRDefault="00E2181E" w:rsidP="00763BCF">
      <w:pPr>
        <w:pStyle w:val="Definition"/>
      </w:pPr>
      <w:r w:rsidRPr="005E3B43">
        <w:rPr>
          <w:b/>
          <w:i/>
        </w:rPr>
        <w:t>RCMC1 (</w:t>
      </w:r>
      <w:r w:rsidR="00FB7FAA" w:rsidRPr="005E3B43">
        <w:rPr>
          <w:b/>
          <w:i/>
        </w:rPr>
        <w:t>section 2</w:t>
      </w:r>
      <w:r w:rsidRPr="005E3B43">
        <w:rPr>
          <w:b/>
          <w:i/>
        </w:rPr>
        <w:t>3) application</w:t>
      </w:r>
      <w:r w:rsidRPr="005E3B43">
        <w:rPr>
          <w:i/>
        </w:rPr>
        <w:t xml:space="preserve"> </w:t>
      </w:r>
      <w:r w:rsidRPr="005E3B43">
        <w:t xml:space="preserve">means an application made under </w:t>
      </w:r>
      <w:r w:rsidR="00FB7FAA" w:rsidRPr="005E3B43">
        <w:t>section 2</w:t>
      </w:r>
      <w:r w:rsidRPr="005E3B43">
        <w:t xml:space="preserve">3 of the Act to register a complementary medicine (the </w:t>
      </w:r>
      <w:r w:rsidRPr="005E3B43">
        <w:rPr>
          <w:b/>
          <w:i/>
        </w:rPr>
        <w:t>new medicine</w:t>
      </w:r>
      <w:r w:rsidRPr="005E3B43">
        <w:t>), if:</w:t>
      </w:r>
    </w:p>
    <w:p w14:paraId="4902F76B" w14:textId="77777777" w:rsidR="001D6A46" w:rsidRPr="005E3B43" w:rsidRDefault="001D6A46" w:rsidP="00763BCF">
      <w:pPr>
        <w:pStyle w:val="paragraph"/>
      </w:pPr>
      <w:r w:rsidRPr="005E3B43">
        <w:tab/>
        <w:t>(a)</w:t>
      </w:r>
      <w:r w:rsidRPr="005E3B43">
        <w:tab/>
        <w:t xml:space="preserve">the new medicine is a changed form of a registered complementary medicine (the </w:t>
      </w:r>
      <w:r w:rsidRPr="005E3B43">
        <w:rPr>
          <w:b/>
          <w:i/>
        </w:rPr>
        <w:t>existing medicine</w:t>
      </w:r>
      <w:r w:rsidRPr="005E3B43">
        <w:t>); and</w:t>
      </w:r>
    </w:p>
    <w:p w14:paraId="11DAA9DA" w14:textId="6B896C18" w:rsidR="001D6A46" w:rsidRPr="005E3B43" w:rsidRDefault="001D6A46" w:rsidP="00763BCF">
      <w:pPr>
        <w:pStyle w:val="paragraph"/>
      </w:pPr>
      <w:r w:rsidRPr="005E3B43">
        <w:tab/>
        <w:t>(b)</w:t>
      </w:r>
      <w:r w:rsidRPr="005E3B43">
        <w:tab/>
        <w:t xml:space="preserve">the new medicine and the existing medicine are separate and distinct for the purposes of </w:t>
      </w:r>
      <w:r w:rsidR="00BB758E" w:rsidRPr="005E3B43">
        <w:t>Part 3</w:t>
      </w:r>
      <w:r w:rsidR="007C3215">
        <w:noBreakHyphen/>
      </w:r>
      <w:r w:rsidRPr="005E3B43">
        <w:t>2 of the Act, but the new medicine forms part of the same gazetted therapeutic goods group as the existing medicine; and</w:t>
      </w:r>
    </w:p>
    <w:p w14:paraId="0CB2CBD7" w14:textId="77777777" w:rsidR="001D6A46" w:rsidRPr="005E3B43" w:rsidRDefault="001D6A46" w:rsidP="00763BCF">
      <w:pPr>
        <w:pStyle w:val="paragraph"/>
      </w:pPr>
      <w:r w:rsidRPr="005E3B43">
        <w:tab/>
        <w:t>(c)</w:t>
      </w:r>
      <w:r w:rsidRPr="005E3B43">
        <w:tab/>
        <w:t>the change is of a kind specified in the changes table as an RCMC1 (</w:t>
      </w:r>
      <w:r w:rsidR="00FB7FAA" w:rsidRPr="005E3B43">
        <w:t>section 2</w:t>
      </w:r>
      <w:r w:rsidRPr="005E3B43">
        <w:t>3) level change.</w:t>
      </w:r>
    </w:p>
    <w:p w14:paraId="4242C10F" w14:textId="77777777" w:rsidR="00E2181E" w:rsidRPr="005E3B43" w:rsidRDefault="00E2181E" w:rsidP="00763BCF">
      <w:pPr>
        <w:pStyle w:val="Definition"/>
      </w:pPr>
      <w:r w:rsidRPr="005E3B43">
        <w:rPr>
          <w:b/>
          <w:i/>
        </w:rPr>
        <w:t>RCMC2 (section</w:t>
      </w:r>
      <w:r w:rsidR="004E6D00" w:rsidRPr="005E3B43">
        <w:rPr>
          <w:b/>
          <w:i/>
        </w:rPr>
        <w:t> </w:t>
      </w:r>
      <w:r w:rsidRPr="005E3B43">
        <w:rPr>
          <w:b/>
          <w:i/>
        </w:rPr>
        <w:t>9D) request</w:t>
      </w:r>
      <w:r w:rsidRPr="005E3B43">
        <w:rPr>
          <w:i/>
        </w:rPr>
        <w:t xml:space="preserve"> </w:t>
      </w:r>
      <w:r w:rsidRPr="005E3B43">
        <w:t>means a request made under subsection</w:t>
      </w:r>
      <w:r w:rsidR="004E6D00" w:rsidRPr="005E3B43">
        <w:t> </w:t>
      </w:r>
      <w:r w:rsidRPr="005E3B43">
        <w:t>9D(3) of the Act to vary information in the Register for a registered complementary medicine, if the variation is of a kind specified in the changes table as an RCMC2 (section</w:t>
      </w:r>
      <w:r w:rsidR="004E6D00" w:rsidRPr="005E3B43">
        <w:t> </w:t>
      </w:r>
      <w:r w:rsidRPr="005E3B43">
        <w:t>9D) level change.</w:t>
      </w:r>
    </w:p>
    <w:p w14:paraId="15F54102" w14:textId="77777777" w:rsidR="00E2181E" w:rsidRPr="005E3B43" w:rsidRDefault="00E2181E" w:rsidP="00763BCF">
      <w:pPr>
        <w:pStyle w:val="Definition"/>
      </w:pPr>
      <w:r w:rsidRPr="005E3B43">
        <w:rPr>
          <w:b/>
          <w:i/>
        </w:rPr>
        <w:t>RCMC2 (</w:t>
      </w:r>
      <w:r w:rsidR="00FB7FAA" w:rsidRPr="005E3B43">
        <w:rPr>
          <w:b/>
          <w:i/>
        </w:rPr>
        <w:t>section 2</w:t>
      </w:r>
      <w:r w:rsidRPr="005E3B43">
        <w:rPr>
          <w:b/>
          <w:i/>
        </w:rPr>
        <w:t>3) application</w:t>
      </w:r>
      <w:r w:rsidRPr="005E3B43">
        <w:rPr>
          <w:i/>
        </w:rPr>
        <w:t xml:space="preserve"> </w:t>
      </w:r>
      <w:r w:rsidRPr="005E3B43">
        <w:t xml:space="preserve">means an application made under </w:t>
      </w:r>
      <w:r w:rsidR="00FB7FAA" w:rsidRPr="005E3B43">
        <w:t>section 2</w:t>
      </w:r>
      <w:r w:rsidRPr="005E3B43">
        <w:t xml:space="preserve">3 of the Act to register a complementary medicine (the </w:t>
      </w:r>
      <w:r w:rsidRPr="005E3B43">
        <w:rPr>
          <w:b/>
          <w:i/>
        </w:rPr>
        <w:t>new medicine</w:t>
      </w:r>
      <w:r w:rsidRPr="005E3B43">
        <w:t>), if:</w:t>
      </w:r>
    </w:p>
    <w:p w14:paraId="7CCB940F" w14:textId="77777777" w:rsidR="00812375" w:rsidRPr="005E3B43" w:rsidRDefault="00812375" w:rsidP="00763BCF">
      <w:pPr>
        <w:pStyle w:val="paragraph"/>
      </w:pPr>
      <w:r w:rsidRPr="005E3B43">
        <w:tab/>
        <w:t>(a)</w:t>
      </w:r>
      <w:r w:rsidRPr="005E3B43">
        <w:tab/>
        <w:t xml:space="preserve">the new medicine is a changed form of a registered complementary medicine (the </w:t>
      </w:r>
      <w:r w:rsidRPr="005E3B43">
        <w:rPr>
          <w:b/>
          <w:i/>
        </w:rPr>
        <w:t>existing medicine</w:t>
      </w:r>
      <w:r w:rsidRPr="005E3B43">
        <w:t>); and</w:t>
      </w:r>
    </w:p>
    <w:p w14:paraId="28FBF558" w14:textId="5B3BB801" w:rsidR="00812375" w:rsidRPr="005E3B43" w:rsidRDefault="00812375" w:rsidP="00763BCF">
      <w:pPr>
        <w:pStyle w:val="paragraph"/>
      </w:pPr>
      <w:r w:rsidRPr="005E3B43">
        <w:tab/>
        <w:t>(b)</w:t>
      </w:r>
      <w:r w:rsidRPr="005E3B43">
        <w:tab/>
        <w:t xml:space="preserve">the new medicine and the existing medicine are separate and distinct for the purposes of </w:t>
      </w:r>
      <w:r w:rsidR="00BB758E" w:rsidRPr="005E3B43">
        <w:t>Part 3</w:t>
      </w:r>
      <w:r w:rsidR="007C3215">
        <w:noBreakHyphen/>
      </w:r>
      <w:r w:rsidRPr="005E3B43">
        <w:t>2 of the Act, but the new medicine forms part of the same gazetted therapeutic goods group as the existing medicine; and</w:t>
      </w:r>
    </w:p>
    <w:p w14:paraId="64FFE80A" w14:textId="77777777" w:rsidR="00812375" w:rsidRPr="005E3B43" w:rsidRDefault="00812375" w:rsidP="00763BCF">
      <w:pPr>
        <w:pStyle w:val="paragraph"/>
      </w:pPr>
      <w:r w:rsidRPr="005E3B43">
        <w:tab/>
        <w:t>(c)</w:t>
      </w:r>
      <w:r w:rsidRPr="005E3B43">
        <w:tab/>
        <w:t>the change is of a kind specified in the changes table as an RCMC2 (</w:t>
      </w:r>
      <w:r w:rsidR="00FB7FAA" w:rsidRPr="005E3B43">
        <w:t>section 2</w:t>
      </w:r>
      <w:r w:rsidRPr="005E3B43">
        <w:t>3) level change.</w:t>
      </w:r>
    </w:p>
    <w:p w14:paraId="4875B4E1" w14:textId="77777777" w:rsidR="00E2181E" w:rsidRPr="005E3B43" w:rsidRDefault="00E2181E" w:rsidP="00763BCF">
      <w:pPr>
        <w:pStyle w:val="Definition"/>
      </w:pPr>
      <w:r w:rsidRPr="005E3B43">
        <w:rPr>
          <w:b/>
          <w:i/>
        </w:rPr>
        <w:t>RCMC3 (section</w:t>
      </w:r>
      <w:r w:rsidR="004E6D00" w:rsidRPr="005E3B43">
        <w:rPr>
          <w:b/>
          <w:i/>
        </w:rPr>
        <w:t> </w:t>
      </w:r>
      <w:r w:rsidRPr="005E3B43">
        <w:rPr>
          <w:b/>
          <w:i/>
        </w:rPr>
        <w:t>9D) request</w:t>
      </w:r>
      <w:r w:rsidRPr="005E3B43">
        <w:rPr>
          <w:i/>
        </w:rPr>
        <w:t xml:space="preserve"> </w:t>
      </w:r>
      <w:r w:rsidRPr="005E3B43">
        <w:t>means a request made under subsection</w:t>
      </w:r>
      <w:r w:rsidR="004E6D00" w:rsidRPr="005E3B43">
        <w:t> </w:t>
      </w:r>
      <w:r w:rsidRPr="005E3B43">
        <w:t>9D(3) of the Act to vary information in the Register for a registered complementary medicine, if the variation is of a kind specified in the changes table as an RCMC3 (section</w:t>
      </w:r>
      <w:r w:rsidR="004E6D00" w:rsidRPr="005E3B43">
        <w:t> </w:t>
      </w:r>
      <w:r w:rsidRPr="005E3B43">
        <w:t>9D) level change.</w:t>
      </w:r>
    </w:p>
    <w:p w14:paraId="66A8EF22" w14:textId="77777777" w:rsidR="00E2181E" w:rsidRPr="005E3B43" w:rsidRDefault="00E2181E" w:rsidP="00763BCF">
      <w:pPr>
        <w:pStyle w:val="Definition"/>
      </w:pPr>
      <w:r w:rsidRPr="005E3B43">
        <w:rPr>
          <w:b/>
          <w:i/>
        </w:rPr>
        <w:t>RCMC3 (</w:t>
      </w:r>
      <w:r w:rsidR="00FB7FAA" w:rsidRPr="005E3B43">
        <w:rPr>
          <w:b/>
          <w:i/>
        </w:rPr>
        <w:t>section 2</w:t>
      </w:r>
      <w:r w:rsidRPr="005E3B43">
        <w:rPr>
          <w:b/>
          <w:i/>
        </w:rPr>
        <w:t>3) application</w:t>
      </w:r>
      <w:r w:rsidRPr="005E3B43">
        <w:rPr>
          <w:i/>
        </w:rPr>
        <w:t xml:space="preserve"> </w:t>
      </w:r>
      <w:r w:rsidRPr="005E3B43">
        <w:t xml:space="preserve">means an application made under </w:t>
      </w:r>
      <w:r w:rsidR="00FB7FAA" w:rsidRPr="005E3B43">
        <w:t>section 2</w:t>
      </w:r>
      <w:r w:rsidRPr="005E3B43">
        <w:t xml:space="preserve">3 of the Act to register a complementary medicine (the </w:t>
      </w:r>
      <w:r w:rsidRPr="005E3B43">
        <w:rPr>
          <w:b/>
          <w:i/>
        </w:rPr>
        <w:t>new medicine</w:t>
      </w:r>
      <w:r w:rsidRPr="005E3B43">
        <w:t>), if:</w:t>
      </w:r>
    </w:p>
    <w:p w14:paraId="79EACB8E" w14:textId="77777777" w:rsidR="00812375" w:rsidRPr="005E3B43" w:rsidRDefault="00812375" w:rsidP="00763BCF">
      <w:pPr>
        <w:pStyle w:val="paragraph"/>
      </w:pPr>
      <w:r w:rsidRPr="005E3B43">
        <w:tab/>
        <w:t>(a)</w:t>
      </w:r>
      <w:r w:rsidRPr="005E3B43">
        <w:tab/>
        <w:t xml:space="preserve">the new medicine is a changed form of a registered complementary medicine (the </w:t>
      </w:r>
      <w:r w:rsidRPr="005E3B43">
        <w:rPr>
          <w:b/>
          <w:i/>
        </w:rPr>
        <w:t>existing medicine</w:t>
      </w:r>
      <w:r w:rsidRPr="005E3B43">
        <w:t>); and</w:t>
      </w:r>
    </w:p>
    <w:p w14:paraId="3F900F7B" w14:textId="5FC51AD3" w:rsidR="00812375" w:rsidRPr="005E3B43" w:rsidRDefault="00812375" w:rsidP="00763BCF">
      <w:pPr>
        <w:pStyle w:val="paragraph"/>
      </w:pPr>
      <w:r w:rsidRPr="005E3B43">
        <w:tab/>
        <w:t>(b)</w:t>
      </w:r>
      <w:r w:rsidRPr="005E3B43">
        <w:tab/>
        <w:t xml:space="preserve">the new medicine and the existing medicine are separate and distinct for the purposes of </w:t>
      </w:r>
      <w:r w:rsidR="00BB758E" w:rsidRPr="005E3B43">
        <w:t>Part 3</w:t>
      </w:r>
      <w:r w:rsidR="007C3215">
        <w:noBreakHyphen/>
      </w:r>
      <w:r w:rsidRPr="005E3B43">
        <w:t>2 of the Act, but the new medicine forms part of the same gazetted therapeutic goods group as the existing medicine; and</w:t>
      </w:r>
    </w:p>
    <w:p w14:paraId="14AEB621" w14:textId="77777777" w:rsidR="00812375" w:rsidRPr="005E3B43" w:rsidRDefault="00812375" w:rsidP="00763BCF">
      <w:pPr>
        <w:pStyle w:val="paragraph"/>
      </w:pPr>
      <w:r w:rsidRPr="005E3B43">
        <w:tab/>
        <w:t>(c)</w:t>
      </w:r>
      <w:r w:rsidRPr="005E3B43">
        <w:tab/>
        <w:t>the change is of a kind specified in the changes table as an RCMC3 (</w:t>
      </w:r>
      <w:r w:rsidR="00FB7FAA" w:rsidRPr="005E3B43">
        <w:t>section 2</w:t>
      </w:r>
      <w:r w:rsidRPr="005E3B43">
        <w:t>3) level change.</w:t>
      </w:r>
    </w:p>
    <w:p w14:paraId="0D8DDEAB" w14:textId="77777777" w:rsidR="00E2181E" w:rsidRPr="005E3B43" w:rsidRDefault="00E2181E" w:rsidP="00763BCF">
      <w:pPr>
        <w:pStyle w:val="Definition"/>
      </w:pPr>
      <w:r w:rsidRPr="005E3B43">
        <w:rPr>
          <w:b/>
          <w:i/>
        </w:rPr>
        <w:lastRenderedPageBreak/>
        <w:t>RCMC4 (section</w:t>
      </w:r>
      <w:r w:rsidR="004E6D00" w:rsidRPr="005E3B43">
        <w:rPr>
          <w:b/>
          <w:i/>
        </w:rPr>
        <w:t> </w:t>
      </w:r>
      <w:r w:rsidRPr="005E3B43">
        <w:rPr>
          <w:b/>
          <w:i/>
        </w:rPr>
        <w:t>9D) request</w:t>
      </w:r>
      <w:r w:rsidRPr="005E3B43">
        <w:rPr>
          <w:i/>
        </w:rPr>
        <w:t xml:space="preserve"> </w:t>
      </w:r>
      <w:r w:rsidRPr="005E3B43">
        <w:t>means a request made under subsection</w:t>
      </w:r>
      <w:r w:rsidR="004E6D00" w:rsidRPr="005E3B43">
        <w:t> </w:t>
      </w:r>
      <w:r w:rsidRPr="005E3B43">
        <w:t>9D(3) of the Act to vary information in the Register for a registered complementary medicine, if the variation is of a kind specified in the changes table as an RCMC4 (section</w:t>
      </w:r>
      <w:r w:rsidR="004E6D00" w:rsidRPr="005E3B43">
        <w:t> </w:t>
      </w:r>
      <w:r w:rsidRPr="005E3B43">
        <w:t>9D) level change.</w:t>
      </w:r>
    </w:p>
    <w:p w14:paraId="16A3EEF6" w14:textId="77777777" w:rsidR="00E2181E" w:rsidRPr="005E3B43" w:rsidRDefault="00E2181E" w:rsidP="00763BCF">
      <w:pPr>
        <w:pStyle w:val="Definition"/>
      </w:pPr>
      <w:r w:rsidRPr="005E3B43">
        <w:rPr>
          <w:b/>
          <w:i/>
        </w:rPr>
        <w:t>RCMC4 (</w:t>
      </w:r>
      <w:r w:rsidR="00FB7FAA" w:rsidRPr="005E3B43">
        <w:rPr>
          <w:b/>
          <w:i/>
        </w:rPr>
        <w:t>section 2</w:t>
      </w:r>
      <w:r w:rsidRPr="005E3B43">
        <w:rPr>
          <w:b/>
          <w:i/>
        </w:rPr>
        <w:t>3) application</w:t>
      </w:r>
      <w:r w:rsidRPr="005E3B43">
        <w:rPr>
          <w:i/>
        </w:rPr>
        <w:t xml:space="preserve"> </w:t>
      </w:r>
      <w:r w:rsidRPr="005E3B43">
        <w:t xml:space="preserve">means an application made under </w:t>
      </w:r>
      <w:r w:rsidR="00FB7FAA" w:rsidRPr="005E3B43">
        <w:t>section 2</w:t>
      </w:r>
      <w:r w:rsidRPr="005E3B43">
        <w:t xml:space="preserve">3 of the Act to register a complementary medicine (the </w:t>
      </w:r>
      <w:r w:rsidRPr="005E3B43">
        <w:rPr>
          <w:b/>
          <w:i/>
        </w:rPr>
        <w:t>new medicine</w:t>
      </w:r>
      <w:r w:rsidRPr="005E3B43">
        <w:t>), if:</w:t>
      </w:r>
    </w:p>
    <w:p w14:paraId="2A13069F" w14:textId="77777777" w:rsidR="00812375" w:rsidRPr="005E3B43" w:rsidRDefault="00812375" w:rsidP="00763BCF">
      <w:pPr>
        <w:pStyle w:val="paragraph"/>
      </w:pPr>
      <w:r w:rsidRPr="005E3B43">
        <w:tab/>
        <w:t>(a)</w:t>
      </w:r>
      <w:r w:rsidRPr="005E3B43">
        <w:tab/>
        <w:t xml:space="preserve">the new medicine is a changed form of a registered complementary medicine (the </w:t>
      </w:r>
      <w:r w:rsidRPr="005E3B43">
        <w:rPr>
          <w:b/>
          <w:i/>
        </w:rPr>
        <w:t>existing medicine</w:t>
      </w:r>
      <w:r w:rsidRPr="005E3B43">
        <w:t>); and</w:t>
      </w:r>
    </w:p>
    <w:p w14:paraId="36F1BE88" w14:textId="338E6CF8" w:rsidR="00812375" w:rsidRPr="005E3B43" w:rsidRDefault="00812375" w:rsidP="00763BCF">
      <w:pPr>
        <w:pStyle w:val="paragraph"/>
      </w:pPr>
      <w:r w:rsidRPr="005E3B43">
        <w:tab/>
        <w:t>(b)</w:t>
      </w:r>
      <w:r w:rsidRPr="005E3B43">
        <w:tab/>
        <w:t xml:space="preserve">the new medicine and the existing medicine are separate and distinct for the purposes of </w:t>
      </w:r>
      <w:r w:rsidR="00BB758E" w:rsidRPr="005E3B43">
        <w:t>Part 3</w:t>
      </w:r>
      <w:r w:rsidR="007C3215">
        <w:noBreakHyphen/>
      </w:r>
      <w:r w:rsidRPr="005E3B43">
        <w:t>2 of the Act, but the new medicine forms part of the same gazetted therapeutic goods group as the existing medicine; and</w:t>
      </w:r>
    </w:p>
    <w:p w14:paraId="732726CB" w14:textId="77777777" w:rsidR="00812375" w:rsidRPr="005E3B43" w:rsidRDefault="00812375" w:rsidP="00763BCF">
      <w:pPr>
        <w:pStyle w:val="paragraph"/>
      </w:pPr>
      <w:r w:rsidRPr="005E3B43">
        <w:tab/>
        <w:t>(c)</w:t>
      </w:r>
      <w:r w:rsidRPr="005E3B43">
        <w:tab/>
        <w:t>the change is of a kind specified in the changes table as an RCMC4 (</w:t>
      </w:r>
      <w:r w:rsidR="00FB7FAA" w:rsidRPr="005E3B43">
        <w:t>section 2</w:t>
      </w:r>
      <w:r w:rsidRPr="005E3B43">
        <w:t>3) level change.</w:t>
      </w:r>
    </w:p>
    <w:p w14:paraId="40082D36" w14:textId="77777777" w:rsidR="00B74531" w:rsidRPr="005E3B43" w:rsidRDefault="00B74531" w:rsidP="00763BCF">
      <w:pPr>
        <w:pStyle w:val="Definition"/>
      </w:pPr>
      <w:r w:rsidRPr="005E3B43">
        <w:rPr>
          <w:b/>
          <w:i/>
        </w:rPr>
        <w:t>Required Advisory Statements for Medicine Labels</w:t>
      </w:r>
      <w:r w:rsidRPr="005E3B43">
        <w:t xml:space="preserve"> means the advisory statements specified by the Minister by legislative instrument under </w:t>
      </w:r>
      <w:r w:rsidR="00842CCD" w:rsidRPr="005E3B43">
        <w:t>subsection 3</w:t>
      </w:r>
      <w:r w:rsidRPr="005E3B43">
        <w:t>(5A) of the Act.</w:t>
      </w:r>
    </w:p>
    <w:p w14:paraId="14BB4703" w14:textId="77777777" w:rsidR="00207B1C" w:rsidRPr="005E3B43" w:rsidRDefault="00207B1C" w:rsidP="00763BCF">
      <w:pPr>
        <w:pStyle w:val="Definition"/>
        <w:spacing w:line="240" w:lineRule="exact"/>
      </w:pPr>
      <w:r w:rsidRPr="005E3B43">
        <w:rPr>
          <w:b/>
          <w:i/>
        </w:rPr>
        <w:t xml:space="preserve">sample </w:t>
      </w:r>
      <w:r w:rsidRPr="005E3B43">
        <w:t>includes part of a sample.</w:t>
      </w:r>
    </w:p>
    <w:p w14:paraId="6FA0021F" w14:textId="77777777" w:rsidR="00207B1C" w:rsidRPr="005E3B43" w:rsidRDefault="00207B1C" w:rsidP="00763BCF">
      <w:pPr>
        <w:pStyle w:val="Definition"/>
      </w:pPr>
      <w:r w:rsidRPr="005E3B43">
        <w:rPr>
          <w:b/>
          <w:i/>
        </w:rPr>
        <w:t>serious</w:t>
      </w:r>
      <w:r w:rsidRPr="005E3B43">
        <w:t>, in relation to a form of a disease, condition, ailment or defect, means a form of the disease, condition, ailment or defect that is:</w:t>
      </w:r>
    </w:p>
    <w:p w14:paraId="687E5CC4" w14:textId="77777777" w:rsidR="00207B1C" w:rsidRPr="005E3B43" w:rsidRDefault="00207B1C" w:rsidP="00763BCF">
      <w:pPr>
        <w:pStyle w:val="paragraph"/>
      </w:pPr>
      <w:r w:rsidRPr="005E3B43">
        <w:tab/>
        <w:t>(a)</w:t>
      </w:r>
      <w:r w:rsidRPr="005E3B43">
        <w:tab/>
        <w:t>generally accepted as not being appropriate to be diagnosed or treated without consulting a suitably qualified health care professional; or</w:t>
      </w:r>
    </w:p>
    <w:p w14:paraId="52B9AEA2" w14:textId="77777777" w:rsidR="00207B1C" w:rsidRPr="005E3B43" w:rsidRDefault="00207B1C" w:rsidP="00763BCF">
      <w:pPr>
        <w:pStyle w:val="paragraph"/>
      </w:pPr>
      <w:r w:rsidRPr="005E3B43">
        <w:tab/>
        <w:t>(b)</w:t>
      </w:r>
      <w:r w:rsidRPr="005E3B43">
        <w:tab/>
        <w:t>generally accepted to be beyond the ability of the average person to evaluate accurately, or treat safely, without regular supervision by a suitably qualified health care professional.</w:t>
      </w:r>
    </w:p>
    <w:p w14:paraId="386D581D" w14:textId="77777777" w:rsidR="00207B1C" w:rsidRPr="005E3B43" w:rsidRDefault="00207B1C" w:rsidP="00763BCF">
      <w:pPr>
        <w:pStyle w:val="Definition"/>
      </w:pPr>
      <w:r w:rsidRPr="005E3B43">
        <w:rPr>
          <w:b/>
          <w:i/>
        </w:rPr>
        <w:t xml:space="preserve">specialist </w:t>
      </w:r>
      <w:r w:rsidRPr="005E3B43">
        <w:t xml:space="preserve">has the same meaning as in the </w:t>
      </w:r>
      <w:r w:rsidRPr="005E3B43">
        <w:rPr>
          <w:i/>
        </w:rPr>
        <w:t>Health Insurance Act 1973</w:t>
      </w:r>
      <w:r w:rsidRPr="005E3B43">
        <w:t>.</w:t>
      </w:r>
    </w:p>
    <w:p w14:paraId="55DA3384" w14:textId="77777777" w:rsidR="00207B1C" w:rsidRPr="005E3B43" w:rsidRDefault="00207B1C" w:rsidP="00763BCF">
      <w:pPr>
        <w:pStyle w:val="Definition"/>
      </w:pPr>
      <w:r w:rsidRPr="005E3B43">
        <w:rPr>
          <w:b/>
          <w:i/>
        </w:rPr>
        <w:t xml:space="preserve">sporicide </w:t>
      </w:r>
      <w:r w:rsidRPr="005E3B43">
        <w:t>means a chemical agent that:</w:t>
      </w:r>
    </w:p>
    <w:p w14:paraId="2EF726C5" w14:textId="77777777" w:rsidR="00207B1C" w:rsidRPr="005E3B43" w:rsidRDefault="00207B1C" w:rsidP="00763BCF">
      <w:pPr>
        <w:pStyle w:val="paragraph"/>
      </w:pPr>
      <w:r w:rsidRPr="005E3B43">
        <w:tab/>
        <w:t>(a)</w:t>
      </w:r>
      <w:r w:rsidRPr="005E3B43">
        <w:tab/>
        <w:t>kills bacterial spores; and</w:t>
      </w:r>
    </w:p>
    <w:p w14:paraId="5A9728E9" w14:textId="77777777" w:rsidR="00207B1C" w:rsidRPr="005E3B43" w:rsidRDefault="00207B1C" w:rsidP="00763BCF">
      <w:pPr>
        <w:pStyle w:val="paragraph"/>
      </w:pPr>
      <w:r w:rsidRPr="005E3B43">
        <w:tab/>
        <w:t>(b)</w:t>
      </w:r>
      <w:r w:rsidRPr="005E3B43">
        <w:tab/>
        <w:t>has the potential to act as a sterilising agent after prolonged contact with an inanimate object.</w:t>
      </w:r>
    </w:p>
    <w:p w14:paraId="74094836" w14:textId="19B64F88" w:rsidR="00207B1C" w:rsidRPr="005E3B43" w:rsidRDefault="00207B1C" w:rsidP="00763BCF">
      <w:pPr>
        <w:pStyle w:val="Definition"/>
      </w:pPr>
      <w:r w:rsidRPr="005E3B43">
        <w:rPr>
          <w:b/>
          <w:i/>
        </w:rPr>
        <w:t xml:space="preserve">sterilant </w:t>
      </w:r>
      <w:r w:rsidRPr="005E3B43">
        <w:t>means a chemical agent that kills microbes with the result that the sterility assurance level of a microbial survivor is less than 10</w:t>
      </w:r>
      <w:r w:rsidR="007C3215">
        <w:rPr>
          <w:vertAlign w:val="superscript"/>
        </w:rPr>
        <w:noBreakHyphen/>
      </w:r>
      <w:r w:rsidRPr="005E3B43">
        <w:rPr>
          <w:vertAlign w:val="superscript"/>
        </w:rPr>
        <w:t>6</w:t>
      </w:r>
      <w:r w:rsidRPr="005E3B43">
        <w:t>.</w:t>
      </w:r>
    </w:p>
    <w:p w14:paraId="23242A18" w14:textId="77777777" w:rsidR="00207B1C" w:rsidRPr="005E3B43" w:rsidRDefault="00207B1C" w:rsidP="00763BCF">
      <w:pPr>
        <w:pStyle w:val="Definition"/>
      </w:pPr>
      <w:r w:rsidRPr="005E3B43">
        <w:rPr>
          <w:b/>
          <w:i/>
        </w:rPr>
        <w:t xml:space="preserve">submission </w:t>
      </w:r>
      <w:r w:rsidRPr="005E3B43">
        <w:t>has the meaning given by subclause</w:t>
      </w:r>
      <w:r w:rsidR="004E6D00" w:rsidRPr="005E3B43">
        <w:t> </w:t>
      </w:r>
      <w:r w:rsidRPr="005E3B43">
        <w:t>1(2) in Part</w:t>
      </w:r>
      <w:r w:rsidR="004E6D00" w:rsidRPr="005E3B43">
        <w:t> </w:t>
      </w:r>
      <w:r w:rsidRPr="005E3B43">
        <w:t>1 of Schedule</w:t>
      </w:r>
      <w:r w:rsidR="004E6D00" w:rsidRPr="005E3B43">
        <w:t> </w:t>
      </w:r>
      <w:r w:rsidRPr="005E3B43">
        <w:t>9.</w:t>
      </w:r>
    </w:p>
    <w:p w14:paraId="3D6F928A" w14:textId="77777777" w:rsidR="00285154" w:rsidRPr="005E3B43" w:rsidRDefault="00285154" w:rsidP="00763BCF">
      <w:pPr>
        <w:pStyle w:val="Definition"/>
      </w:pPr>
      <w:r w:rsidRPr="005E3B43">
        <w:rPr>
          <w:b/>
          <w:i/>
        </w:rPr>
        <w:t>TGA notifications process guidance document</w:t>
      </w:r>
      <w:r w:rsidRPr="005E3B43">
        <w:t xml:space="preserve"> means </w:t>
      </w:r>
      <w:r w:rsidR="0091727F" w:rsidRPr="005E3B43">
        <w:t>Version 4.0</w:t>
      </w:r>
      <w:r w:rsidRPr="005E3B43">
        <w:t xml:space="preserve"> of the document published by the Therapeutic Goods Administration entitled </w:t>
      </w:r>
      <w:r w:rsidRPr="005E3B43">
        <w:rPr>
          <w:i/>
        </w:rPr>
        <w:t>Notifications process—requests to vary biologicals and registered medicines where quality, safety and efficacy are not affected</w:t>
      </w:r>
      <w:r w:rsidRPr="005E3B43">
        <w:t xml:space="preserve"> (as in force on </w:t>
      </w:r>
      <w:r w:rsidR="00857FE0" w:rsidRPr="005E3B43">
        <w:t>21 June</w:t>
      </w:r>
      <w:r w:rsidR="0091727F" w:rsidRPr="005E3B43">
        <w:t xml:space="preserve"> 2023</w:t>
      </w:r>
      <w:r w:rsidRPr="005E3B43">
        <w:t>).</w:t>
      </w:r>
    </w:p>
    <w:p w14:paraId="7C559E55" w14:textId="77777777" w:rsidR="00285154" w:rsidRPr="005E3B43" w:rsidRDefault="00285154" w:rsidP="00763BCF">
      <w:pPr>
        <w:pStyle w:val="notetext"/>
      </w:pPr>
      <w:r w:rsidRPr="005E3B43">
        <w:t>Note:</w:t>
      </w:r>
      <w:r w:rsidRPr="005E3B43">
        <w:tab/>
        <w:t xml:space="preserve">The TGA notifications process guidance document could in </w:t>
      </w:r>
      <w:r w:rsidR="0091727F" w:rsidRPr="005E3B43">
        <w:t>2023</w:t>
      </w:r>
      <w:r w:rsidRPr="005E3B43">
        <w:t xml:space="preserve"> be viewed on the Therapeutic Goods Administration’s website (http://www.tga.gov.au).</w:t>
      </w:r>
    </w:p>
    <w:p w14:paraId="7BA819C9" w14:textId="77777777" w:rsidR="00207B1C" w:rsidRPr="005E3B43" w:rsidRDefault="00207B1C" w:rsidP="00763BCF">
      <w:pPr>
        <w:pStyle w:val="Definition"/>
      </w:pPr>
      <w:r w:rsidRPr="005E3B43">
        <w:rPr>
          <w:b/>
          <w:i/>
        </w:rPr>
        <w:t xml:space="preserve">the Act </w:t>
      </w:r>
      <w:r w:rsidRPr="005E3B43">
        <w:t xml:space="preserve">means the </w:t>
      </w:r>
      <w:r w:rsidRPr="005E3B43">
        <w:rPr>
          <w:i/>
        </w:rPr>
        <w:t>Therapeutic Goods Act 1989</w:t>
      </w:r>
      <w:r w:rsidRPr="005E3B43">
        <w:t>.</w:t>
      </w:r>
    </w:p>
    <w:p w14:paraId="7AF23E69" w14:textId="77777777" w:rsidR="000A7E60" w:rsidRPr="005E3B43" w:rsidRDefault="000A7E60" w:rsidP="00763BCF">
      <w:pPr>
        <w:pStyle w:val="Definition"/>
      </w:pPr>
      <w:r w:rsidRPr="005E3B43">
        <w:rPr>
          <w:b/>
          <w:i/>
        </w:rPr>
        <w:lastRenderedPageBreak/>
        <w:t>Therapeutic Goods Administration</w:t>
      </w:r>
      <w:r w:rsidRPr="005E3B43">
        <w:t xml:space="preserve"> means that part of the Department known as the Therapeutic Goods Administration.</w:t>
      </w:r>
    </w:p>
    <w:p w14:paraId="3A512EDE" w14:textId="77777777" w:rsidR="00102755" w:rsidRPr="005E3B43" w:rsidRDefault="00102755" w:rsidP="00763BCF">
      <w:pPr>
        <w:pStyle w:val="Definition"/>
      </w:pPr>
      <w:r w:rsidRPr="005E3B43">
        <w:rPr>
          <w:b/>
          <w:i/>
        </w:rPr>
        <w:t>therapeuti</w:t>
      </w:r>
      <w:r w:rsidRPr="005E3B43">
        <w:rPr>
          <w:b/>
          <w:i/>
          <w:lang w:eastAsia="en-US"/>
        </w:rPr>
        <w:t>c</w:t>
      </w:r>
      <w:r w:rsidRPr="005E3B43">
        <w:rPr>
          <w:b/>
          <w:i/>
        </w:rPr>
        <w:t xml:space="preserve"> goods (priority applicant) determination</w:t>
      </w:r>
      <w:r w:rsidRPr="005E3B43">
        <w:t xml:space="preserve"> has the meaning given by sub</w:t>
      </w:r>
      <w:r w:rsidR="00FB7FAA" w:rsidRPr="005E3B43">
        <w:t>section 2</w:t>
      </w:r>
      <w:r w:rsidRPr="005E3B43">
        <w:t>5AAA(2) of the Act.</w:t>
      </w:r>
    </w:p>
    <w:p w14:paraId="577FC3B4" w14:textId="26006E9A" w:rsidR="00F539F4" w:rsidRPr="005E3B43" w:rsidRDefault="00F539F4" w:rsidP="00F539F4">
      <w:pPr>
        <w:pStyle w:val="Definition"/>
      </w:pPr>
      <w:r w:rsidRPr="005E3B43">
        <w:rPr>
          <w:b/>
          <w:i/>
        </w:rPr>
        <w:t>therapeutic vaping device</w:t>
      </w:r>
      <w:r w:rsidRPr="005E3B43">
        <w:t xml:space="preserve"> has the same meaning as in the </w:t>
      </w:r>
      <w:r w:rsidRPr="005E3B43">
        <w:rPr>
          <w:i/>
        </w:rPr>
        <w:t xml:space="preserve">Therapeutic Goods (Medical Devices) </w:t>
      </w:r>
      <w:r w:rsidR="007C3215">
        <w:rPr>
          <w:i/>
        </w:rPr>
        <w:t>Regulations 2</w:t>
      </w:r>
      <w:r w:rsidRPr="005E3B43">
        <w:rPr>
          <w:i/>
        </w:rPr>
        <w:t>002</w:t>
      </w:r>
      <w:r w:rsidRPr="005E3B43">
        <w:t>.</w:t>
      </w:r>
    </w:p>
    <w:p w14:paraId="5B83AE0D" w14:textId="02C20C6D" w:rsidR="00F539F4" w:rsidRPr="005E3B43" w:rsidRDefault="00F539F4" w:rsidP="00F539F4">
      <w:pPr>
        <w:pStyle w:val="Definition"/>
      </w:pPr>
      <w:r w:rsidRPr="005E3B43">
        <w:rPr>
          <w:b/>
          <w:i/>
        </w:rPr>
        <w:t>therapeutic vaping device accessory</w:t>
      </w:r>
      <w:r w:rsidRPr="005E3B43">
        <w:t xml:space="preserve"> has the same meaning as in the </w:t>
      </w:r>
      <w:r w:rsidRPr="005E3B43">
        <w:rPr>
          <w:i/>
        </w:rPr>
        <w:t xml:space="preserve">Therapeutic Goods (Medical Devices) </w:t>
      </w:r>
      <w:r w:rsidR="007C3215">
        <w:rPr>
          <w:i/>
        </w:rPr>
        <w:t>Regulations 2</w:t>
      </w:r>
      <w:r w:rsidRPr="005E3B43">
        <w:rPr>
          <w:i/>
        </w:rPr>
        <w:t>002</w:t>
      </w:r>
      <w:r w:rsidRPr="005E3B43">
        <w:t>.</w:t>
      </w:r>
    </w:p>
    <w:p w14:paraId="65B90482" w14:textId="77777777" w:rsidR="00F539F4" w:rsidRPr="005E3B43" w:rsidRDefault="00F539F4" w:rsidP="00F539F4">
      <w:pPr>
        <w:pStyle w:val="Definition"/>
      </w:pPr>
      <w:r w:rsidRPr="005E3B43">
        <w:rPr>
          <w:b/>
          <w:i/>
        </w:rPr>
        <w:t>therapeutic vaping good</w:t>
      </w:r>
      <w:r w:rsidRPr="005E3B43">
        <w:t xml:space="preserve"> means:</w:t>
      </w:r>
    </w:p>
    <w:p w14:paraId="05EEDCA0" w14:textId="77777777" w:rsidR="00F539F4" w:rsidRPr="005E3B43" w:rsidRDefault="00F539F4" w:rsidP="00F539F4">
      <w:pPr>
        <w:pStyle w:val="paragraph"/>
      </w:pPr>
      <w:r w:rsidRPr="005E3B43">
        <w:tab/>
        <w:t>(a)</w:t>
      </w:r>
      <w:r w:rsidRPr="005E3B43">
        <w:tab/>
        <w:t>a therapeutic vaping device; or</w:t>
      </w:r>
    </w:p>
    <w:p w14:paraId="3792A118" w14:textId="77777777" w:rsidR="00F539F4" w:rsidRPr="005E3B43" w:rsidRDefault="00F539F4" w:rsidP="00F539F4">
      <w:pPr>
        <w:pStyle w:val="paragraph"/>
      </w:pPr>
      <w:r w:rsidRPr="005E3B43">
        <w:tab/>
        <w:t>(b)</w:t>
      </w:r>
      <w:r w:rsidRPr="005E3B43">
        <w:tab/>
        <w:t>a therapeutic vaping device accessory; or</w:t>
      </w:r>
    </w:p>
    <w:p w14:paraId="0F3AEDB0" w14:textId="77777777" w:rsidR="00F539F4" w:rsidRPr="005E3B43" w:rsidRDefault="00F539F4" w:rsidP="00F539F4">
      <w:pPr>
        <w:pStyle w:val="paragraph"/>
      </w:pPr>
      <w:r w:rsidRPr="005E3B43">
        <w:tab/>
        <w:t>(c)</w:t>
      </w:r>
      <w:r w:rsidRPr="005E3B43">
        <w:tab/>
        <w:t>a therapeutic vaping substance; or</w:t>
      </w:r>
    </w:p>
    <w:p w14:paraId="62BD35DA" w14:textId="77777777" w:rsidR="00F539F4" w:rsidRPr="005E3B43" w:rsidRDefault="00F539F4" w:rsidP="00F539F4">
      <w:pPr>
        <w:pStyle w:val="paragraph"/>
      </w:pPr>
      <w:r w:rsidRPr="005E3B43">
        <w:tab/>
        <w:t>(d)</w:t>
      </w:r>
      <w:r w:rsidRPr="005E3B43">
        <w:tab/>
        <w:t>a therapeutic vaping substance accessory.</w:t>
      </w:r>
    </w:p>
    <w:p w14:paraId="0FC7DFE3" w14:textId="77777777" w:rsidR="00F539F4" w:rsidRPr="005E3B43" w:rsidRDefault="00F539F4" w:rsidP="00F539F4">
      <w:pPr>
        <w:pStyle w:val="Definition"/>
      </w:pPr>
      <w:r w:rsidRPr="005E3B43">
        <w:rPr>
          <w:b/>
          <w:i/>
        </w:rPr>
        <w:t>therapeutic vaping kit</w:t>
      </w:r>
      <w:r w:rsidRPr="005E3B43">
        <w:t xml:space="preserve"> means a kit, covered by subsection 7B(1) of the Act, that:</w:t>
      </w:r>
    </w:p>
    <w:p w14:paraId="01E4CC54" w14:textId="77777777" w:rsidR="00F539F4" w:rsidRPr="005E3B43" w:rsidRDefault="00F539F4" w:rsidP="00F539F4">
      <w:pPr>
        <w:pStyle w:val="paragraph"/>
      </w:pPr>
      <w:r w:rsidRPr="005E3B43">
        <w:tab/>
        <w:t>(a)</w:t>
      </w:r>
      <w:r w:rsidRPr="005E3B43">
        <w:tab/>
        <w:t>contains one or more therapeutic vaping substances or therapeutic vaping substance accessories; and</w:t>
      </w:r>
    </w:p>
    <w:p w14:paraId="417F6338" w14:textId="77777777" w:rsidR="00F539F4" w:rsidRPr="005E3B43" w:rsidRDefault="00F539F4" w:rsidP="00F539F4">
      <w:pPr>
        <w:pStyle w:val="paragraph"/>
      </w:pPr>
      <w:r w:rsidRPr="005E3B43">
        <w:tab/>
        <w:t>(b)</w:t>
      </w:r>
      <w:r w:rsidRPr="005E3B43">
        <w:tab/>
        <w:t>does not contain any other goods.</w:t>
      </w:r>
    </w:p>
    <w:p w14:paraId="4F0E37BB" w14:textId="77777777" w:rsidR="0061655D" w:rsidRPr="005E3B43" w:rsidRDefault="0061655D" w:rsidP="0061655D">
      <w:pPr>
        <w:pStyle w:val="Definition"/>
      </w:pPr>
      <w:r w:rsidRPr="005E3B43">
        <w:rPr>
          <w:b/>
          <w:i/>
        </w:rPr>
        <w:t xml:space="preserve">therapeutic vaping pack </w:t>
      </w:r>
      <w:r w:rsidRPr="005E3B43">
        <w:t>means a primary pack that:</w:t>
      </w:r>
    </w:p>
    <w:p w14:paraId="6F7CF059" w14:textId="77777777" w:rsidR="0061655D" w:rsidRPr="005E3B43" w:rsidRDefault="0061655D" w:rsidP="0061655D">
      <w:pPr>
        <w:pStyle w:val="paragraph"/>
      </w:pPr>
      <w:r w:rsidRPr="005E3B43">
        <w:tab/>
        <w:t>(a)</w:t>
      </w:r>
      <w:r w:rsidRPr="005E3B43">
        <w:tab/>
        <w:t>contains at least one therapeutic vaping substance or therapeutic vaping substance accessory; and</w:t>
      </w:r>
    </w:p>
    <w:p w14:paraId="271D8A5C" w14:textId="77777777" w:rsidR="0061655D" w:rsidRPr="005E3B43" w:rsidRDefault="0061655D" w:rsidP="0061655D">
      <w:pPr>
        <w:pStyle w:val="paragraph"/>
      </w:pPr>
      <w:r w:rsidRPr="005E3B43">
        <w:tab/>
        <w:t>(b)</w:t>
      </w:r>
      <w:r w:rsidRPr="005E3B43">
        <w:tab/>
        <w:t>contains at least one therapeutic vaping device or therapeutic vaping device accessory; and</w:t>
      </w:r>
    </w:p>
    <w:p w14:paraId="3351A0FF" w14:textId="77777777" w:rsidR="0061655D" w:rsidRPr="005E3B43" w:rsidRDefault="0061655D" w:rsidP="0061655D">
      <w:pPr>
        <w:pStyle w:val="paragraph"/>
      </w:pPr>
      <w:r w:rsidRPr="005E3B43">
        <w:tab/>
        <w:t>(c)</w:t>
      </w:r>
      <w:r w:rsidRPr="005E3B43">
        <w:tab/>
        <w:t>does not contain any other therapeutic goods.</w:t>
      </w:r>
    </w:p>
    <w:p w14:paraId="5D9A2B9B" w14:textId="77777777" w:rsidR="00F539F4" w:rsidRPr="005E3B43" w:rsidRDefault="00F539F4" w:rsidP="00F539F4">
      <w:pPr>
        <w:pStyle w:val="Definition"/>
      </w:pPr>
      <w:r w:rsidRPr="005E3B43">
        <w:rPr>
          <w:b/>
          <w:i/>
        </w:rPr>
        <w:t>therapeutic vaping substance</w:t>
      </w:r>
      <w:r w:rsidRPr="005E3B43">
        <w:t xml:space="preserve"> means a therapeutic good that is a liquid or other substance designed or intended for use in or with a vaping device.</w:t>
      </w:r>
    </w:p>
    <w:p w14:paraId="7E87B265" w14:textId="77777777" w:rsidR="0061655D" w:rsidRPr="005E3B43" w:rsidRDefault="0061655D" w:rsidP="0061655D">
      <w:pPr>
        <w:pStyle w:val="Definition"/>
      </w:pPr>
      <w:r w:rsidRPr="005E3B43">
        <w:rPr>
          <w:b/>
          <w:i/>
        </w:rPr>
        <w:t>therapeutic vaping substance accessory</w:t>
      </w:r>
      <w:r w:rsidRPr="005E3B43">
        <w:t xml:space="preserve"> means a vaping accessory that:</w:t>
      </w:r>
    </w:p>
    <w:p w14:paraId="36D3CBC5" w14:textId="77777777" w:rsidR="0061655D" w:rsidRPr="005E3B43" w:rsidRDefault="0061655D" w:rsidP="0061655D">
      <w:pPr>
        <w:pStyle w:val="paragraph"/>
      </w:pPr>
      <w:r w:rsidRPr="005E3B43">
        <w:tab/>
        <w:t>(a)</w:t>
      </w:r>
      <w:r w:rsidRPr="005E3B43">
        <w:tab/>
        <w:t>is designed or intended for use in, or with, a therapeutic vaping device; and</w:t>
      </w:r>
    </w:p>
    <w:p w14:paraId="763D20CD" w14:textId="77777777" w:rsidR="0061655D" w:rsidRPr="005E3B43" w:rsidRDefault="0061655D" w:rsidP="0061655D">
      <w:pPr>
        <w:pStyle w:val="paragraph"/>
      </w:pPr>
      <w:r w:rsidRPr="005E3B43">
        <w:tab/>
        <w:t>(b)</w:t>
      </w:r>
      <w:r w:rsidRPr="005E3B43">
        <w:tab/>
        <w:t>contains a therapeutic vaping substance.</w:t>
      </w:r>
    </w:p>
    <w:p w14:paraId="22204951" w14:textId="77777777" w:rsidR="00207B1C" w:rsidRPr="005E3B43" w:rsidRDefault="00207B1C" w:rsidP="00763BCF">
      <w:pPr>
        <w:pStyle w:val="Definition"/>
      </w:pPr>
      <w:r w:rsidRPr="005E3B43">
        <w:rPr>
          <w:b/>
          <w:i/>
        </w:rPr>
        <w:t>trade name</w:t>
      </w:r>
      <w:r w:rsidRPr="005E3B43">
        <w:t>, for therapeutic goods of a particular kind, means the commercial name:</w:t>
      </w:r>
    </w:p>
    <w:p w14:paraId="4BA9712E" w14:textId="77777777" w:rsidR="00207B1C" w:rsidRPr="005E3B43" w:rsidRDefault="00207B1C" w:rsidP="00763BCF">
      <w:pPr>
        <w:pStyle w:val="paragraph"/>
      </w:pPr>
      <w:r w:rsidRPr="005E3B43">
        <w:tab/>
        <w:t>(a)</w:t>
      </w:r>
      <w:r w:rsidRPr="005E3B43">
        <w:tab/>
        <w:t xml:space="preserve">given to goods of that kind by the manufacturer; and </w:t>
      </w:r>
    </w:p>
    <w:p w14:paraId="3E67D9DD" w14:textId="77777777" w:rsidR="00207B1C" w:rsidRPr="005E3B43" w:rsidRDefault="00207B1C" w:rsidP="00763BCF">
      <w:pPr>
        <w:pStyle w:val="paragraph"/>
      </w:pPr>
      <w:r w:rsidRPr="005E3B43">
        <w:tab/>
        <w:t>(b)</w:t>
      </w:r>
      <w:r w:rsidRPr="005E3B43">
        <w:tab/>
        <w:t>under which the goods are supplied.</w:t>
      </w:r>
    </w:p>
    <w:p w14:paraId="311DB932" w14:textId="77777777" w:rsidR="00AE54BD" w:rsidRPr="005E3B43" w:rsidRDefault="00AE54BD" w:rsidP="00763BCF">
      <w:pPr>
        <w:pStyle w:val="Definition"/>
      </w:pPr>
      <w:r w:rsidRPr="005E3B43">
        <w:rPr>
          <w:b/>
          <w:i/>
        </w:rPr>
        <w:t>traditional use</w:t>
      </w:r>
      <w:r w:rsidRPr="005E3B43">
        <w:t>, for a designated active ingredient, means use of the designated active ingredient that:</w:t>
      </w:r>
    </w:p>
    <w:p w14:paraId="5C5678B2" w14:textId="77777777" w:rsidR="00AE54BD" w:rsidRPr="005E3B43" w:rsidRDefault="00AE54BD" w:rsidP="00763BCF">
      <w:pPr>
        <w:pStyle w:val="paragraph"/>
      </w:pPr>
      <w:r w:rsidRPr="005E3B43">
        <w:tab/>
        <w:t>(a)</w:t>
      </w:r>
      <w:r w:rsidRPr="005E3B43">
        <w:tab/>
        <w:t>is well documented, or otherwise established, according to the accumulated experience of many traditional health care practitioners over an extended period of time; and</w:t>
      </w:r>
    </w:p>
    <w:p w14:paraId="7C613414" w14:textId="1812413E" w:rsidR="00AE54BD" w:rsidRPr="005E3B43" w:rsidRDefault="00AE54BD" w:rsidP="00763BCF">
      <w:pPr>
        <w:pStyle w:val="paragraph"/>
      </w:pPr>
      <w:r w:rsidRPr="005E3B43">
        <w:tab/>
        <w:t>(b)</w:t>
      </w:r>
      <w:r w:rsidRPr="005E3B43">
        <w:tab/>
        <w:t>accords with well</w:t>
      </w:r>
      <w:r w:rsidR="007C3215">
        <w:noBreakHyphen/>
      </w:r>
      <w:r w:rsidRPr="005E3B43">
        <w:t xml:space="preserve">established procedures of preparation, application and dosage. </w:t>
      </w:r>
    </w:p>
    <w:p w14:paraId="3817E74A" w14:textId="17211FE2" w:rsidR="00207B1C" w:rsidRPr="005E3B43" w:rsidRDefault="00207B1C" w:rsidP="00763BCF">
      <w:pPr>
        <w:pStyle w:val="Definition"/>
      </w:pPr>
      <w:r w:rsidRPr="005E3B43">
        <w:rPr>
          <w:b/>
          <w:i/>
        </w:rPr>
        <w:lastRenderedPageBreak/>
        <w:t xml:space="preserve">tuberculocide </w:t>
      </w:r>
      <w:r w:rsidRPr="005E3B43">
        <w:t xml:space="preserve">means a chemical agent that kills </w:t>
      </w:r>
      <w:r w:rsidRPr="005E3B43">
        <w:rPr>
          <w:i/>
        </w:rPr>
        <w:t xml:space="preserve">Mycobacterium tuberculosis </w:t>
      </w:r>
      <w:r w:rsidRPr="005E3B43">
        <w:t>and related acid</w:t>
      </w:r>
      <w:r w:rsidR="007C3215">
        <w:noBreakHyphen/>
      </w:r>
      <w:r w:rsidRPr="005E3B43">
        <w:t>fast bacteria.</w:t>
      </w:r>
    </w:p>
    <w:p w14:paraId="0810DDD3" w14:textId="77777777" w:rsidR="005F1D0A" w:rsidRPr="005E3B43" w:rsidRDefault="005F1D0A" w:rsidP="00763BCF">
      <w:pPr>
        <w:pStyle w:val="Definition"/>
      </w:pPr>
      <w:r w:rsidRPr="005E3B43">
        <w:rPr>
          <w:b/>
          <w:i/>
        </w:rPr>
        <w:t>turnover</w:t>
      </w:r>
      <w:r w:rsidRPr="005E3B43">
        <w:t xml:space="preserve"> of therapeutic goods, for </w:t>
      </w:r>
      <w:r w:rsidR="003C0723" w:rsidRPr="005E3B43">
        <w:t>Division 1</w:t>
      </w:r>
      <w:r w:rsidRPr="005E3B43">
        <w:t xml:space="preserve"> (other than Subdivision</w:t>
      </w:r>
      <w:r w:rsidR="004E6D00" w:rsidRPr="005E3B43">
        <w:t> </w:t>
      </w:r>
      <w:r w:rsidRPr="005E3B43">
        <w:t>3) of Part</w:t>
      </w:r>
      <w:r w:rsidR="004E6D00" w:rsidRPr="005E3B43">
        <w:t> </w:t>
      </w:r>
      <w:r w:rsidRPr="005E3B43">
        <w:t>7, has the meaning given by subregulation</w:t>
      </w:r>
      <w:r w:rsidR="004E6D00" w:rsidRPr="005E3B43">
        <w:t> </w:t>
      </w:r>
      <w:r w:rsidRPr="005E3B43">
        <w:t>43AAA(2).</w:t>
      </w:r>
    </w:p>
    <w:p w14:paraId="0A1A9643" w14:textId="77777777" w:rsidR="00E5654B" w:rsidRPr="005E3B43" w:rsidRDefault="00E5654B" w:rsidP="00763BCF">
      <w:pPr>
        <w:pStyle w:val="Definition"/>
      </w:pPr>
      <w:r w:rsidRPr="005E3B43">
        <w:rPr>
          <w:b/>
          <w:i/>
        </w:rPr>
        <w:t xml:space="preserve">unused emergency biological </w:t>
      </w:r>
      <w:r w:rsidRPr="005E3B43">
        <w:t>means a biological to which section</w:t>
      </w:r>
      <w:r w:rsidR="004E6D00" w:rsidRPr="005E3B43">
        <w:t> </w:t>
      </w:r>
      <w:r w:rsidRPr="005E3B43">
        <w:t>32CG of the Act applies.</w:t>
      </w:r>
    </w:p>
    <w:p w14:paraId="39033B11" w14:textId="77777777" w:rsidR="00207B1C" w:rsidRPr="005E3B43" w:rsidRDefault="00207B1C" w:rsidP="00763BCF">
      <w:pPr>
        <w:pStyle w:val="Definition"/>
      </w:pPr>
      <w:r w:rsidRPr="005E3B43">
        <w:rPr>
          <w:b/>
          <w:i/>
        </w:rPr>
        <w:t xml:space="preserve">unused emergency goods </w:t>
      </w:r>
      <w:r w:rsidRPr="005E3B43">
        <w:t>means goods to which section</w:t>
      </w:r>
      <w:r w:rsidR="004E6D00" w:rsidRPr="005E3B43">
        <w:t> </w:t>
      </w:r>
      <w:r w:rsidRPr="005E3B43">
        <w:t>30G of the Act applies.</w:t>
      </w:r>
    </w:p>
    <w:p w14:paraId="4BFDD3E4" w14:textId="2263E458" w:rsidR="00207B1C" w:rsidRPr="005E3B43" w:rsidRDefault="00207B1C" w:rsidP="00763BCF">
      <w:pPr>
        <w:pStyle w:val="Definition"/>
      </w:pPr>
      <w:r w:rsidRPr="005E3B43">
        <w:rPr>
          <w:b/>
          <w:i/>
        </w:rPr>
        <w:t xml:space="preserve">virucide </w:t>
      </w:r>
      <w:r w:rsidRPr="005E3B43">
        <w:t>means a chemical agent that renders a virus non</w:t>
      </w:r>
      <w:r w:rsidR="007C3215">
        <w:noBreakHyphen/>
      </w:r>
      <w:r w:rsidRPr="005E3B43">
        <w:t>infective.</w:t>
      </w:r>
    </w:p>
    <w:p w14:paraId="63B6AE10" w14:textId="77777777" w:rsidR="00F079C4" w:rsidRPr="005E3B43" w:rsidRDefault="00E20BA4" w:rsidP="00763BCF">
      <w:pPr>
        <w:pStyle w:val="notetext"/>
      </w:pPr>
      <w:r w:rsidRPr="005E3B43">
        <w:t>Note:</w:t>
      </w:r>
      <w:r w:rsidRPr="005E3B43">
        <w:tab/>
      </w:r>
      <w:r w:rsidR="00F079C4" w:rsidRPr="005E3B43">
        <w:t xml:space="preserve">For the definitions of the following terms, see </w:t>
      </w:r>
      <w:r w:rsidR="00842CCD" w:rsidRPr="005E3B43">
        <w:t>subsection 3</w:t>
      </w:r>
      <w:r w:rsidR="00F079C4" w:rsidRPr="005E3B43">
        <w:t>(1) of the Act:</w:t>
      </w:r>
    </w:p>
    <w:p w14:paraId="72408CA7" w14:textId="77777777" w:rsidR="00F079C4" w:rsidRPr="005E3B43" w:rsidRDefault="00F079C4" w:rsidP="00763BCF">
      <w:pPr>
        <w:pStyle w:val="notepara"/>
      </w:pPr>
      <w:r w:rsidRPr="005E3B43">
        <w:sym w:font="Symbol" w:char="F0B7"/>
      </w:r>
      <w:r w:rsidRPr="005E3B43">
        <w:tab/>
        <w:t>medicine</w:t>
      </w:r>
    </w:p>
    <w:p w14:paraId="3160D1A3" w14:textId="77777777" w:rsidR="00F079C4" w:rsidRPr="005E3B43" w:rsidRDefault="00F079C4" w:rsidP="00763BCF">
      <w:pPr>
        <w:pStyle w:val="notepara"/>
      </w:pPr>
      <w:r w:rsidRPr="005E3B43">
        <w:sym w:font="Symbol" w:char="F0B7"/>
      </w:r>
      <w:r w:rsidRPr="005E3B43">
        <w:tab/>
        <w:t>poison</w:t>
      </w:r>
    </w:p>
    <w:p w14:paraId="6A573480" w14:textId="77777777" w:rsidR="00F079C4" w:rsidRPr="005E3B43" w:rsidRDefault="00F079C4" w:rsidP="00763BCF">
      <w:pPr>
        <w:pStyle w:val="notepara"/>
      </w:pPr>
      <w:r w:rsidRPr="005E3B43">
        <w:sym w:font="Symbol" w:char="F0B7"/>
      </w:r>
      <w:r w:rsidRPr="005E3B43">
        <w:tab/>
        <w:t>product information</w:t>
      </w:r>
    </w:p>
    <w:p w14:paraId="2E860DFC" w14:textId="77777777" w:rsidR="00F079C4" w:rsidRPr="005E3B43" w:rsidRDefault="00F079C4" w:rsidP="00763BCF">
      <w:pPr>
        <w:pStyle w:val="notepara"/>
      </w:pPr>
      <w:r w:rsidRPr="005E3B43">
        <w:sym w:font="Symbol" w:char="F0B7"/>
      </w:r>
      <w:r w:rsidRPr="005E3B43">
        <w:tab/>
        <w:t>Secretary.</w:t>
      </w:r>
    </w:p>
    <w:p w14:paraId="67D33D35" w14:textId="77777777" w:rsidR="00207B1C" w:rsidRPr="005E3B43" w:rsidRDefault="00207B1C" w:rsidP="00763BCF">
      <w:pPr>
        <w:pStyle w:val="ActHead5"/>
      </w:pPr>
      <w:bookmarkStart w:id="3" w:name="_Toc187135598"/>
      <w:r w:rsidRPr="005E3B43">
        <w:rPr>
          <w:rStyle w:val="CharSectno"/>
        </w:rPr>
        <w:t>2A</w:t>
      </w:r>
      <w:r w:rsidR="00E20BA4" w:rsidRPr="005E3B43">
        <w:t xml:space="preserve">  </w:t>
      </w:r>
      <w:r w:rsidRPr="005E3B43">
        <w:t>Authorised officers</w:t>
      </w:r>
      <w:bookmarkEnd w:id="3"/>
    </w:p>
    <w:p w14:paraId="2DE01117" w14:textId="77777777" w:rsidR="00207B1C" w:rsidRPr="005E3B43" w:rsidRDefault="00207B1C" w:rsidP="00763BCF">
      <w:pPr>
        <w:pStyle w:val="subsection"/>
      </w:pPr>
      <w:r w:rsidRPr="005E3B43">
        <w:tab/>
      </w:r>
      <w:r w:rsidRPr="005E3B43">
        <w:tab/>
        <w:t>The Secretary may, in writing, authorise any of the following persons to exercise powers under a specified provision of these Regulations:</w:t>
      </w:r>
    </w:p>
    <w:p w14:paraId="07FC7C58" w14:textId="77777777" w:rsidR="00207B1C" w:rsidRPr="005E3B43" w:rsidRDefault="00207B1C" w:rsidP="00763BCF">
      <w:pPr>
        <w:pStyle w:val="paragraph"/>
      </w:pPr>
      <w:r w:rsidRPr="005E3B43">
        <w:tab/>
        <w:t>(a)</w:t>
      </w:r>
      <w:r w:rsidRPr="005E3B43">
        <w:tab/>
        <w:t>an officer of the Department, of another Department or of an authority of the Commonwealth;</w:t>
      </w:r>
    </w:p>
    <w:p w14:paraId="7C3AFF67" w14:textId="77777777" w:rsidR="00207B1C" w:rsidRPr="005E3B43" w:rsidRDefault="00207B1C" w:rsidP="00763BCF">
      <w:pPr>
        <w:pStyle w:val="paragraph"/>
      </w:pPr>
      <w:r w:rsidRPr="005E3B43">
        <w:tab/>
        <w:t>(b)</w:t>
      </w:r>
      <w:r w:rsidRPr="005E3B43">
        <w:tab/>
        <w:t>an officer of:</w:t>
      </w:r>
    </w:p>
    <w:p w14:paraId="7E64FE89" w14:textId="77777777" w:rsidR="00207B1C" w:rsidRPr="005E3B43" w:rsidRDefault="00207B1C" w:rsidP="00763BCF">
      <w:pPr>
        <w:pStyle w:val="paragraphsub"/>
      </w:pPr>
      <w:r w:rsidRPr="005E3B43">
        <w:tab/>
        <w:t>(i)</w:t>
      </w:r>
      <w:r w:rsidRPr="005E3B43">
        <w:tab/>
        <w:t>a Department of State of a State; or</w:t>
      </w:r>
    </w:p>
    <w:p w14:paraId="0385D22C" w14:textId="77777777" w:rsidR="00207B1C" w:rsidRPr="005E3B43" w:rsidRDefault="00207B1C" w:rsidP="00763BCF">
      <w:pPr>
        <w:pStyle w:val="paragraphsub"/>
      </w:pPr>
      <w:r w:rsidRPr="005E3B43">
        <w:tab/>
        <w:t>(ii)</w:t>
      </w:r>
      <w:r w:rsidRPr="005E3B43">
        <w:tab/>
        <w:t>a Department or administrative unit of the Public Service of a Territory; or</w:t>
      </w:r>
    </w:p>
    <w:p w14:paraId="3FDC93F6" w14:textId="77777777" w:rsidR="00207B1C" w:rsidRPr="005E3B43" w:rsidRDefault="00207B1C" w:rsidP="00763BCF">
      <w:pPr>
        <w:pStyle w:val="paragraphsub"/>
      </w:pPr>
      <w:r w:rsidRPr="005E3B43">
        <w:tab/>
        <w:t>(iii)</w:t>
      </w:r>
      <w:r w:rsidRPr="005E3B43">
        <w:tab/>
        <w:t>an authority of a State or of a Territory;</w:t>
      </w:r>
    </w:p>
    <w:p w14:paraId="0C252421" w14:textId="77777777" w:rsidR="00207B1C" w:rsidRPr="005E3B43" w:rsidRDefault="00207B1C" w:rsidP="00763BCF">
      <w:pPr>
        <w:pStyle w:val="paragraph"/>
      </w:pPr>
      <w:r w:rsidRPr="005E3B43">
        <w:tab/>
      </w:r>
      <w:r w:rsidRPr="005E3B43">
        <w:tab/>
        <w:t>being a Department, unit or authority that has functions relating to health matters.</w:t>
      </w:r>
    </w:p>
    <w:p w14:paraId="07E7BEB6" w14:textId="77777777" w:rsidR="00207B1C" w:rsidRPr="005E3B43" w:rsidRDefault="00207B1C" w:rsidP="00763BCF">
      <w:pPr>
        <w:pStyle w:val="ActHead5"/>
      </w:pPr>
      <w:bookmarkStart w:id="4" w:name="_Toc187135599"/>
      <w:r w:rsidRPr="005E3B43">
        <w:rPr>
          <w:rStyle w:val="CharSectno"/>
        </w:rPr>
        <w:t>3</w:t>
      </w:r>
      <w:r w:rsidR="00E20BA4" w:rsidRPr="005E3B43">
        <w:t xml:space="preserve">  </w:t>
      </w:r>
      <w:r w:rsidRPr="005E3B43">
        <w:t>Corresponding State law</w:t>
      </w:r>
      <w:bookmarkEnd w:id="4"/>
    </w:p>
    <w:p w14:paraId="608C12D9" w14:textId="77777777" w:rsidR="00207B1C" w:rsidRPr="005E3B43" w:rsidRDefault="00207B1C" w:rsidP="00763BCF">
      <w:pPr>
        <w:pStyle w:val="subsection"/>
      </w:pPr>
      <w:r w:rsidRPr="005E3B43">
        <w:tab/>
        <w:t>(1)</w:t>
      </w:r>
      <w:r w:rsidRPr="005E3B43">
        <w:tab/>
        <w:t>In this regulation:</w:t>
      </w:r>
    </w:p>
    <w:p w14:paraId="78BBFAA7" w14:textId="77777777" w:rsidR="00207B1C" w:rsidRPr="005E3B43" w:rsidRDefault="00207B1C" w:rsidP="00763BCF">
      <w:pPr>
        <w:pStyle w:val="Definition"/>
      </w:pPr>
      <w:r w:rsidRPr="005E3B43">
        <w:rPr>
          <w:b/>
          <w:i/>
        </w:rPr>
        <w:t xml:space="preserve">the Regulations </w:t>
      </w:r>
      <w:r w:rsidRPr="005E3B43">
        <w:t>means:</w:t>
      </w:r>
    </w:p>
    <w:p w14:paraId="5E8BC11E" w14:textId="4B3A5675" w:rsidR="00207B1C" w:rsidRPr="005E3B43" w:rsidRDefault="00207B1C" w:rsidP="00763BCF">
      <w:pPr>
        <w:pStyle w:val="paragraph"/>
      </w:pPr>
      <w:r w:rsidRPr="005E3B43">
        <w:tab/>
        <w:t>(a)</w:t>
      </w:r>
      <w:r w:rsidRPr="005E3B43">
        <w:tab/>
        <w:t xml:space="preserve">the </w:t>
      </w:r>
      <w:r w:rsidRPr="005E3B43">
        <w:rPr>
          <w:i/>
        </w:rPr>
        <w:t xml:space="preserve">Therapeutic Goods </w:t>
      </w:r>
      <w:r w:rsidR="007C3215">
        <w:rPr>
          <w:i/>
        </w:rPr>
        <w:t>Regulations 1</w:t>
      </w:r>
      <w:r w:rsidRPr="005E3B43">
        <w:rPr>
          <w:i/>
        </w:rPr>
        <w:t>990</w:t>
      </w:r>
      <w:r w:rsidRPr="005E3B43">
        <w:t>; and</w:t>
      </w:r>
    </w:p>
    <w:p w14:paraId="327C7DD5" w14:textId="22497CB0" w:rsidR="00207B1C" w:rsidRPr="005E3B43" w:rsidRDefault="00207B1C" w:rsidP="00763BCF">
      <w:pPr>
        <w:pStyle w:val="paragraph"/>
      </w:pPr>
      <w:r w:rsidRPr="005E3B43">
        <w:tab/>
        <w:t>(b)</w:t>
      </w:r>
      <w:r w:rsidRPr="005E3B43">
        <w:tab/>
        <w:t xml:space="preserve">the </w:t>
      </w:r>
      <w:r w:rsidRPr="005E3B43">
        <w:rPr>
          <w:i/>
        </w:rPr>
        <w:t xml:space="preserve">Therapeutic Goods (Medical Devices) </w:t>
      </w:r>
      <w:r w:rsidR="007C3215">
        <w:rPr>
          <w:i/>
        </w:rPr>
        <w:t>Regulations 2</w:t>
      </w:r>
      <w:r w:rsidRPr="005E3B43">
        <w:rPr>
          <w:i/>
        </w:rPr>
        <w:t>002</w:t>
      </w:r>
      <w:r w:rsidRPr="005E3B43">
        <w:t>.</w:t>
      </w:r>
    </w:p>
    <w:p w14:paraId="6CF4175D" w14:textId="77777777" w:rsidR="00207B1C" w:rsidRPr="005E3B43" w:rsidRDefault="00207B1C" w:rsidP="00763BCF">
      <w:pPr>
        <w:pStyle w:val="subsection"/>
      </w:pPr>
      <w:r w:rsidRPr="005E3B43">
        <w:tab/>
        <w:t>(3)</w:t>
      </w:r>
      <w:r w:rsidRPr="005E3B43">
        <w:tab/>
        <w:t xml:space="preserve">For the definition of </w:t>
      </w:r>
      <w:r w:rsidRPr="005E3B43">
        <w:rPr>
          <w:b/>
          <w:i/>
        </w:rPr>
        <w:t>corresponding State law</w:t>
      </w:r>
      <w:r w:rsidRPr="005E3B43">
        <w:t xml:space="preserve"> in </w:t>
      </w:r>
      <w:r w:rsidR="00842CCD" w:rsidRPr="005E3B43">
        <w:t>subsection 3</w:t>
      </w:r>
      <w:r w:rsidRPr="005E3B43">
        <w:t>(1) of the Act, each of the following State laws is declared to correspond to the Act and the Regulations:</w:t>
      </w:r>
    </w:p>
    <w:p w14:paraId="6B313375" w14:textId="77777777" w:rsidR="00207B1C" w:rsidRPr="005E3B43" w:rsidRDefault="00207B1C" w:rsidP="00763BCF">
      <w:pPr>
        <w:pStyle w:val="paragraph"/>
      </w:pPr>
      <w:r w:rsidRPr="005E3B43">
        <w:tab/>
        <w:t>(a)</w:t>
      </w:r>
      <w:r w:rsidRPr="005E3B43">
        <w:tab/>
        <w:t xml:space="preserve">the </w:t>
      </w:r>
      <w:r w:rsidRPr="005E3B43">
        <w:rPr>
          <w:i/>
        </w:rPr>
        <w:t xml:space="preserve">Poisons and Therapeutic Goods Act 1966 </w:t>
      </w:r>
      <w:r w:rsidRPr="005E3B43">
        <w:t>(NSW);</w:t>
      </w:r>
    </w:p>
    <w:p w14:paraId="59900644" w14:textId="77777777" w:rsidR="008C367D" w:rsidRPr="005E3B43" w:rsidRDefault="008C367D" w:rsidP="00763BCF">
      <w:pPr>
        <w:pStyle w:val="paragraph"/>
      </w:pPr>
      <w:r w:rsidRPr="005E3B43">
        <w:tab/>
        <w:t>(b)</w:t>
      </w:r>
      <w:r w:rsidRPr="005E3B43">
        <w:tab/>
        <w:t xml:space="preserve">the </w:t>
      </w:r>
      <w:r w:rsidRPr="005E3B43">
        <w:rPr>
          <w:i/>
        </w:rPr>
        <w:t>Poisons and Therapeutic Goods Regulation</w:t>
      </w:r>
      <w:r w:rsidR="004E6D00" w:rsidRPr="005E3B43">
        <w:rPr>
          <w:i/>
        </w:rPr>
        <w:t> </w:t>
      </w:r>
      <w:r w:rsidRPr="005E3B43">
        <w:rPr>
          <w:i/>
        </w:rPr>
        <w:t xml:space="preserve">2008 </w:t>
      </w:r>
      <w:r w:rsidRPr="005E3B43">
        <w:t>(NSW);</w:t>
      </w:r>
    </w:p>
    <w:p w14:paraId="054D34CD" w14:textId="77777777" w:rsidR="008C367D" w:rsidRPr="005E3B43" w:rsidRDefault="008C367D" w:rsidP="00763BCF">
      <w:pPr>
        <w:pStyle w:val="paragraph"/>
      </w:pPr>
      <w:r w:rsidRPr="005E3B43">
        <w:tab/>
        <w:t>(ba)</w:t>
      </w:r>
      <w:r w:rsidRPr="005E3B43">
        <w:tab/>
        <w:t xml:space="preserve">the </w:t>
      </w:r>
      <w:r w:rsidRPr="005E3B43">
        <w:rPr>
          <w:i/>
        </w:rPr>
        <w:t xml:space="preserve">Therapeutic Goods (Victoria) Act 2010 </w:t>
      </w:r>
      <w:r w:rsidRPr="005E3B43">
        <w:t>(Vic);</w:t>
      </w:r>
    </w:p>
    <w:p w14:paraId="7DEF44A1" w14:textId="77777777" w:rsidR="00C410E6" w:rsidRPr="005E3B43" w:rsidRDefault="00C410E6" w:rsidP="00763BCF">
      <w:pPr>
        <w:pStyle w:val="paragraph"/>
        <w:rPr>
          <w:lang w:eastAsia="en-US"/>
        </w:rPr>
      </w:pPr>
      <w:r w:rsidRPr="005E3B43">
        <w:tab/>
        <w:t>(baa)</w:t>
      </w:r>
      <w:r w:rsidRPr="005E3B43">
        <w:tab/>
        <w:t xml:space="preserve">the </w:t>
      </w:r>
      <w:r w:rsidRPr="005E3B43">
        <w:rPr>
          <w:i/>
          <w:lang w:eastAsia="en-US"/>
        </w:rPr>
        <w:t>Therapeutic Goods Act 2019</w:t>
      </w:r>
      <w:r w:rsidRPr="005E3B43">
        <w:rPr>
          <w:lang w:eastAsia="en-US"/>
        </w:rPr>
        <w:t xml:space="preserve"> (Qld);</w:t>
      </w:r>
    </w:p>
    <w:p w14:paraId="5F28E27A" w14:textId="77777777" w:rsidR="00C410E6" w:rsidRPr="005E3B43" w:rsidRDefault="00C410E6" w:rsidP="00763BCF">
      <w:pPr>
        <w:pStyle w:val="paragraph"/>
        <w:rPr>
          <w:lang w:eastAsia="en-US"/>
        </w:rPr>
      </w:pPr>
      <w:r w:rsidRPr="005E3B43">
        <w:tab/>
        <w:t>(bab)</w:t>
      </w:r>
      <w:r w:rsidRPr="005E3B43">
        <w:tab/>
        <w:t xml:space="preserve">the </w:t>
      </w:r>
      <w:r w:rsidRPr="005E3B43">
        <w:rPr>
          <w:i/>
          <w:lang w:eastAsia="en-US"/>
        </w:rPr>
        <w:t>Therapeutic Goods Regulation 2021</w:t>
      </w:r>
      <w:r w:rsidRPr="005E3B43">
        <w:rPr>
          <w:lang w:eastAsia="en-US"/>
        </w:rPr>
        <w:t xml:space="preserve"> (Qld);</w:t>
      </w:r>
    </w:p>
    <w:p w14:paraId="3E854441" w14:textId="77777777" w:rsidR="001C3C74" w:rsidRPr="005E3B43" w:rsidRDefault="001C3C74" w:rsidP="001C3C74">
      <w:pPr>
        <w:tabs>
          <w:tab w:val="right" w:pos="1531"/>
        </w:tabs>
        <w:spacing w:before="40" w:line="240" w:lineRule="auto"/>
        <w:ind w:left="1644" w:hanging="1644"/>
        <w:rPr>
          <w:rFonts w:eastAsia="Times New Roman" w:cs="Times New Roman"/>
          <w:lang w:eastAsia="en-AU"/>
        </w:rPr>
      </w:pPr>
      <w:r w:rsidRPr="005E3B43">
        <w:rPr>
          <w:rFonts w:eastAsia="Times New Roman" w:cs="Times New Roman"/>
          <w:lang w:eastAsia="en-AU"/>
        </w:rPr>
        <w:tab/>
        <w:t>(bac)</w:t>
      </w:r>
      <w:r w:rsidRPr="005E3B43">
        <w:rPr>
          <w:rFonts w:eastAsia="Times New Roman" w:cs="Times New Roman"/>
          <w:lang w:eastAsia="en-AU"/>
        </w:rPr>
        <w:tab/>
        <w:t xml:space="preserve">the </w:t>
      </w:r>
      <w:r w:rsidRPr="005E3B43">
        <w:rPr>
          <w:rFonts w:eastAsia="Times New Roman" w:cs="Times New Roman"/>
          <w:i/>
          <w:lang w:eastAsia="en-AU"/>
        </w:rPr>
        <w:t>Therapeutic Goods Law Application Act 2024</w:t>
      </w:r>
      <w:r w:rsidRPr="005E3B43">
        <w:rPr>
          <w:rFonts w:eastAsia="Times New Roman" w:cs="Times New Roman"/>
          <w:lang w:eastAsia="en-AU"/>
        </w:rPr>
        <w:t xml:space="preserve"> (WA);</w:t>
      </w:r>
    </w:p>
    <w:p w14:paraId="1998349A" w14:textId="77777777" w:rsidR="00C522C8" w:rsidRPr="005E3B43" w:rsidRDefault="00C522C8" w:rsidP="00763BCF">
      <w:pPr>
        <w:pStyle w:val="paragraph"/>
      </w:pPr>
      <w:r w:rsidRPr="005E3B43">
        <w:lastRenderedPageBreak/>
        <w:tab/>
        <w:t>(bb)</w:t>
      </w:r>
      <w:r w:rsidRPr="005E3B43">
        <w:tab/>
        <w:t xml:space="preserve">the </w:t>
      </w:r>
      <w:r w:rsidRPr="005E3B43">
        <w:rPr>
          <w:i/>
        </w:rPr>
        <w:t xml:space="preserve">Controlled Substances Act 1984 </w:t>
      </w:r>
      <w:r w:rsidRPr="005E3B43">
        <w:t>(SA);</w:t>
      </w:r>
    </w:p>
    <w:p w14:paraId="7F26BA41" w14:textId="75E0515B" w:rsidR="00C522C8" w:rsidRPr="005E3B43" w:rsidRDefault="00C522C8" w:rsidP="00763BCF">
      <w:pPr>
        <w:pStyle w:val="paragraph"/>
      </w:pPr>
      <w:r w:rsidRPr="005E3B43">
        <w:tab/>
        <w:t>(bc)</w:t>
      </w:r>
      <w:r w:rsidRPr="005E3B43">
        <w:tab/>
        <w:t xml:space="preserve">the </w:t>
      </w:r>
      <w:r w:rsidRPr="005E3B43">
        <w:rPr>
          <w:i/>
        </w:rPr>
        <w:t xml:space="preserve">Controlled Substances (Poisons) </w:t>
      </w:r>
      <w:r w:rsidR="007C3215">
        <w:rPr>
          <w:i/>
        </w:rPr>
        <w:t>Regulations 2</w:t>
      </w:r>
      <w:r w:rsidRPr="005E3B43">
        <w:rPr>
          <w:i/>
        </w:rPr>
        <w:t xml:space="preserve">011 </w:t>
      </w:r>
      <w:r w:rsidRPr="005E3B43">
        <w:t>(SA);</w:t>
      </w:r>
    </w:p>
    <w:p w14:paraId="0BC4464E" w14:textId="77777777" w:rsidR="00207B1C" w:rsidRPr="005E3B43" w:rsidRDefault="00207B1C" w:rsidP="00763BCF">
      <w:pPr>
        <w:pStyle w:val="paragraph"/>
      </w:pPr>
      <w:r w:rsidRPr="005E3B43">
        <w:tab/>
        <w:t>(c)</w:t>
      </w:r>
      <w:r w:rsidRPr="005E3B43">
        <w:tab/>
        <w:t xml:space="preserve">the </w:t>
      </w:r>
      <w:r w:rsidRPr="005E3B43">
        <w:rPr>
          <w:i/>
        </w:rPr>
        <w:t xml:space="preserve">Therapeutic Goods Act 2001 </w:t>
      </w:r>
      <w:r w:rsidRPr="005E3B43">
        <w:t>(Tas);</w:t>
      </w:r>
    </w:p>
    <w:p w14:paraId="03C9C707" w14:textId="00C8A1BF" w:rsidR="00207B1C" w:rsidRPr="005E3B43" w:rsidRDefault="00207B1C" w:rsidP="00763BCF">
      <w:pPr>
        <w:pStyle w:val="paragraph"/>
      </w:pPr>
      <w:r w:rsidRPr="005E3B43">
        <w:tab/>
        <w:t>(d)</w:t>
      </w:r>
      <w:r w:rsidRPr="005E3B43">
        <w:tab/>
        <w:t xml:space="preserve">the </w:t>
      </w:r>
      <w:r w:rsidRPr="005E3B43">
        <w:rPr>
          <w:i/>
        </w:rPr>
        <w:t xml:space="preserve">Therapeutic Goods </w:t>
      </w:r>
      <w:r w:rsidR="007C3215">
        <w:rPr>
          <w:i/>
        </w:rPr>
        <w:t>Regulations 2</w:t>
      </w:r>
      <w:r w:rsidRPr="005E3B43">
        <w:rPr>
          <w:i/>
        </w:rPr>
        <w:t xml:space="preserve">002 </w:t>
      </w:r>
      <w:r w:rsidR="00EC1832" w:rsidRPr="005E3B43">
        <w:t>(Tas);</w:t>
      </w:r>
    </w:p>
    <w:p w14:paraId="6EE4FCDB" w14:textId="77777777" w:rsidR="00EC1832" w:rsidRPr="005E3B43" w:rsidRDefault="00EC1832" w:rsidP="00763BCF">
      <w:pPr>
        <w:pStyle w:val="paragraph"/>
      </w:pPr>
      <w:r w:rsidRPr="005E3B43">
        <w:tab/>
        <w:t>(e)</w:t>
      </w:r>
      <w:r w:rsidRPr="005E3B43">
        <w:tab/>
      </w:r>
      <w:r w:rsidRPr="005E3B43">
        <w:rPr>
          <w:i/>
        </w:rPr>
        <w:t>Medicines, Poisons and Therapeutic Goods Act 2008</w:t>
      </w:r>
      <w:r w:rsidR="00AE54BD" w:rsidRPr="005E3B43">
        <w:rPr>
          <w:i/>
        </w:rPr>
        <w:t xml:space="preserve"> </w:t>
      </w:r>
      <w:r w:rsidR="00AE54BD" w:rsidRPr="005E3B43">
        <w:t>(ACT);</w:t>
      </w:r>
    </w:p>
    <w:p w14:paraId="61C548EE" w14:textId="77777777" w:rsidR="00AE54BD" w:rsidRPr="005E3B43" w:rsidRDefault="00AE54BD" w:rsidP="00763BCF">
      <w:pPr>
        <w:pStyle w:val="paragraph"/>
      </w:pPr>
      <w:r w:rsidRPr="005E3B43">
        <w:tab/>
        <w:t>(f)</w:t>
      </w:r>
      <w:r w:rsidRPr="005E3B43">
        <w:tab/>
      </w:r>
      <w:r w:rsidRPr="005E3B43">
        <w:rPr>
          <w:i/>
        </w:rPr>
        <w:t>Medicines, Poisons and Therapeutic Goods Regulation</w:t>
      </w:r>
      <w:r w:rsidR="004E6D00" w:rsidRPr="005E3B43">
        <w:rPr>
          <w:i/>
        </w:rPr>
        <w:t> </w:t>
      </w:r>
      <w:r w:rsidRPr="005E3B43">
        <w:rPr>
          <w:i/>
        </w:rPr>
        <w:t xml:space="preserve">2008 </w:t>
      </w:r>
      <w:r w:rsidRPr="005E3B43">
        <w:t>(ACT)</w:t>
      </w:r>
      <w:r w:rsidR="00313915" w:rsidRPr="005E3B43">
        <w:t>;</w:t>
      </w:r>
    </w:p>
    <w:p w14:paraId="688BB789" w14:textId="77777777" w:rsidR="00313915" w:rsidRPr="005E3B43" w:rsidRDefault="00313915" w:rsidP="00763BCF">
      <w:pPr>
        <w:pStyle w:val="paragraph"/>
      </w:pPr>
      <w:r w:rsidRPr="005E3B43">
        <w:tab/>
        <w:t>(g)</w:t>
      </w:r>
      <w:r w:rsidRPr="005E3B43">
        <w:tab/>
      </w:r>
      <w:r w:rsidRPr="005E3B43">
        <w:rPr>
          <w:i/>
        </w:rPr>
        <w:t xml:space="preserve">Medicines, Poisons and Therapeutic Goods Act </w:t>
      </w:r>
      <w:r w:rsidR="00601443" w:rsidRPr="005E3B43">
        <w:rPr>
          <w:i/>
        </w:rPr>
        <w:t xml:space="preserve">2012 </w:t>
      </w:r>
      <w:r w:rsidRPr="005E3B43">
        <w:t>(NT);</w:t>
      </w:r>
    </w:p>
    <w:p w14:paraId="530D043F" w14:textId="74505F05" w:rsidR="00313915" w:rsidRPr="005E3B43" w:rsidRDefault="00313915" w:rsidP="00763BCF">
      <w:pPr>
        <w:pStyle w:val="paragraph"/>
      </w:pPr>
      <w:r w:rsidRPr="005E3B43">
        <w:tab/>
        <w:t>(h)</w:t>
      </w:r>
      <w:r w:rsidRPr="005E3B43">
        <w:tab/>
      </w:r>
      <w:r w:rsidRPr="005E3B43">
        <w:rPr>
          <w:i/>
        </w:rPr>
        <w:t xml:space="preserve">Medicines, Poisons and Therapeutic Goods </w:t>
      </w:r>
      <w:r w:rsidR="007C3215">
        <w:rPr>
          <w:i/>
        </w:rPr>
        <w:t>Regulations 2</w:t>
      </w:r>
      <w:r w:rsidR="00601443" w:rsidRPr="005E3B43">
        <w:rPr>
          <w:i/>
        </w:rPr>
        <w:t>014</w:t>
      </w:r>
      <w:r w:rsidR="00200B0E" w:rsidRPr="005E3B43">
        <w:rPr>
          <w:i/>
        </w:rPr>
        <w:t xml:space="preserve"> </w:t>
      </w:r>
      <w:r w:rsidRPr="005E3B43">
        <w:t>(NT).</w:t>
      </w:r>
    </w:p>
    <w:p w14:paraId="3568B9EE" w14:textId="77777777" w:rsidR="00520845" w:rsidRPr="005E3B43" w:rsidRDefault="00520845" w:rsidP="00763BCF">
      <w:pPr>
        <w:pStyle w:val="ActHead5"/>
      </w:pPr>
      <w:bookmarkStart w:id="5" w:name="_Toc187135600"/>
      <w:r w:rsidRPr="005E3B43">
        <w:rPr>
          <w:rStyle w:val="CharSectno"/>
        </w:rPr>
        <w:t>3AA</w:t>
      </w:r>
      <w:r w:rsidR="00E20BA4" w:rsidRPr="005E3B43">
        <w:t xml:space="preserve">  </w:t>
      </w:r>
      <w:r w:rsidRPr="005E3B43">
        <w:t>Unacceptable presentation of therapeutic goods</w:t>
      </w:r>
      <w:r w:rsidR="00E20BA4" w:rsidRPr="005E3B43">
        <w:t>—</w:t>
      </w:r>
      <w:r w:rsidRPr="005E3B43">
        <w:t>prescribed class of medicine</w:t>
      </w:r>
      <w:bookmarkEnd w:id="5"/>
      <w:r w:rsidRPr="005E3B43">
        <w:t xml:space="preserve"> </w:t>
      </w:r>
    </w:p>
    <w:p w14:paraId="0DB1BF86" w14:textId="77777777" w:rsidR="00520845" w:rsidRPr="005E3B43" w:rsidRDefault="00520845" w:rsidP="00763BCF">
      <w:pPr>
        <w:pStyle w:val="subsection"/>
      </w:pPr>
      <w:r w:rsidRPr="005E3B43">
        <w:tab/>
      </w:r>
      <w:r w:rsidRPr="005E3B43">
        <w:tab/>
        <w:t xml:space="preserve">For </w:t>
      </w:r>
      <w:r w:rsidR="00842CCD" w:rsidRPr="005E3B43">
        <w:t>paragraph 3</w:t>
      </w:r>
      <w:r w:rsidRPr="005E3B43">
        <w:t xml:space="preserve">(5)(ca) of the Act, a prescribed class of medicine is medicine for supply in Australia that is not: </w:t>
      </w:r>
    </w:p>
    <w:p w14:paraId="770D25E8" w14:textId="77777777" w:rsidR="00520845" w:rsidRPr="005E3B43" w:rsidRDefault="00520845" w:rsidP="00763BCF">
      <w:pPr>
        <w:pStyle w:val="paragraph"/>
      </w:pPr>
      <w:r w:rsidRPr="005E3B43">
        <w:tab/>
        <w:t>(a)</w:t>
      </w:r>
      <w:r w:rsidRPr="005E3B43">
        <w:tab/>
        <w:t>a product of a kind mentioned in Part</w:t>
      </w:r>
      <w:r w:rsidR="004E6D00" w:rsidRPr="005E3B43">
        <w:t> </w:t>
      </w:r>
      <w:r w:rsidRPr="005E3B43">
        <w:t xml:space="preserve">1 of </w:t>
      </w:r>
      <w:r w:rsidR="008D1B4F" w:rsidRPr="005E3B43">
        <w:t>Schedule 1</w:t>
      </w:r>
      <w:r w:rsidRPr="005E3B43">
        <w:t>0; or</w:t>
      </w:r>
    </w:p>
    <w:p w14:paraId="4E743841" w14:textId="77777777" w:rsidR="00520845" w:rsidRPr="005E3B43" w:rsidRDefault="00520845" w:rsidP="00763BCF">
      <w:pPr>
        <w:pStyle w:val="paragraph"/>
      </w:pPr>
      <w:r w:rsidRPr="005E3B43">
        <w:tab/>
        <w:t>(b)</w:t>
      </w:r>
      <w:r w:rsidRPr="005E3B43">
        <w:tab/>
        <w:t xml:space="preserve">a medicine that satisfies the following requirements: </w:t>
      </w:r>
    </w:p>
    <w:p w14:paraId="5B9F02EF" w14:textId="77777777" w:rsidR="00520845" w:rsidRPr="005E3B43" w:rsidRDefault="00520845" w:rsidP="00763BCF">
      <w:pPr>
        <w:pStyle w:val="paragraphsub"/>
      </w:pPr>
      <w:r w:rsidRPr="005E3B43">
        <w:tab/>
        <w:t>(i)</w:t>
      </w:r>
      <w:r w:rsidRPr="005E3B43">
        <w:tab/>
        <w:t xml:space="preserve">the medicine’s label does not contain the advisory statement specified by the Minister under </w:t>
      </w:r>
      <w:r w:rsidR="00842CCD" w:rsidRPr="005E3B43">
        <w:t>subsection 3</w:t>
      </w:r>
      <w:r w:rsidRPr="005E3B43">
        <w:t xml:space="preserve">(5A) of the Act for the medicine; </w:t>
      </w:r>
    </w:p>
    <w:p w14:paraId="7E40652F" w14:textId="77777777" w:rsidR="00520845" w:rsidRPr="005E3B43" w:rsidRDefault="00520845" w:rsidP="00763BCF">
      <w:pPr>
        <w:pStyle w:val="paragraphsub"/>
      </w:pPr>
      <w:r w:rsidRPr="005E3B43">
        <w:tab/>
        <w:t>(ii)</w:t>
      </w:r>
      <w:r w:rsidRPr="005E3B43">
        <w:tab/>
        <w:t>the Secretary has given consent, under sections</w:t>
      </w:r>
      <w:r w:rsidR="004E6D00" w:rsidRPr="005E3B43">
        <w:t> </w:t>
      </w:r>
      <w:r w:rsidRPr="005E3B43">
        <w:t xml:space="preserve">14 and 14A of the Act, for the medicine to be imported into, exported from or supplied in Australia without the advisory statement mentioned in </w:t>
      </w:r>
      <w:r w:rsidR="004E6D00" w:rsidRPr="005E3B43">
        <w:t>subparagraph (</w:t>
      </w:r>
      <w:r w:rsidRPr="005E3B43">
        <w:t xml:space="preserve">i); </w:t>
      </w:r>
    </w:p>
    <w:p w14:paraId="0776BE87" w14:textId="77777777" w:rsidR="00520845" w:rsidRPr="005E3B43" w:rsidRDefault="00520845" w:rsidP="00763BCF">
      <w:pPr>
        <w:pStyle w:val="paragraphsub"/>
      </w:pPr>
      <w:r w:rsidRPr="005E3B43">
        <w:tab/>
        <w:t>(iii)</w:t>
      </w:r>
      <w:r w:rsidRPr="005E3B43">
        <w:tab/>
        <w:t xml:space="preserve">the medicine complies with the terms of the Secretary’s consent mentioned in </w:t>
      </w:r>
      <w:r w:rsidR="004E6D00" w:rsidRPr="005E3B43">
        <w:t>subparagraph (</w:t>
      </w:r>
      <w:r w:rsidRPr="005E3B43">
        <w:t>ii)</w:t>
      </w:r>
      <w:r w:rsidR="000A1045" w:rsidRPr="005E3B43">
        <w:t>; or</w:t>
      </w:r>
    </w:p>
    <w:p w14:paraId="7177FDA8" w14:textId="77777777" w:rsidR="000A1045" w:rsidRPr="005E3B43" w:rsidRDefault="000A1045" w:rsidP="00763BCF">
      <w:pPr>
        <w:pStyle w:val="paragraph"/>
      </w:pPr>
      <w:r w:rsidRPr="005E3B43">
        <w:tab/>
        <w:t>(c)</w:t>
      </w:r>
      <w:r w:rsidRPr="005E3B43">
        <w:tab/>
        <w:t>a medicine that satisfies the following requirements:</w:t>
      </w:r>
    </w:p>
    <w:p w14:paraId="234B1436" w14:textId="77777777" w:rsidR="000A1045" w:rsidRPr="005E3B43" w:rsidRDefault="000A1045" w:rsidP="00763BCF">
      <w:pPr>
        <w:pStyle w:val="paragraphsub"/>
      </w:pPr>
      <w:r w:rsidRPr="005E3B43">
        <w:tab/>
        <w:t>(i)</w:t>
      </w:r>
      <w:r w:rsidRPr="005E3B43">
        <w:tab/>
        <w:t>the medicine only contains ingredients that are specified in a determination under paragraph</w:t>
      </w:r>
      <w:r w:rsidR="004E6D00" w:rsidRPr="005E3B43">
        <w:t> </w:t>
      </w:r>
      <w:r w:rsidRPr="005E3B43">
        <w:t>26BB(1)(a) of the Act;</w:t>
      </w:r>
    </w:p>
    <w:p w14:paraId="125330F7" w14:textId="77777777" w:rsidR="000A1045" w:rsidRPr="005E3B43" w:rsidRDefault="000A1045" w:rsidP="00763BCF">
      <w:pPr>
        <w:pStyle w:val="paragraphsub"/>
      </w:pPr>
      <w:r w:rsidRPr="005E3B43">
        <w:tab/>
        <w:t>(ii)</w:t>
      </w:r>
      <w:r w:rsidRPr="005E3B43">
        <w:tab/>
        <w:t>if a determination under paragraph</w:t>
      </w:r>
      <w:r w:rsidR="004E6D00" w:rsidRPr="005E3B43">
        <w:t> </w:t>
      </w:r>
      <w:r w:rsidRPr="005E3B43">
        <w:t>26BB(1)(b) of the Act specifies requirements in relation to ingredients being contained in the medicine—none of the requirements have been contravened</w:t>
      </w:r>
      <w:r w:rsidR="007C6C3A" w:rsidRPr="005E3B43">
        <w:t>; or</w:t>
      </w:r>
    </w:p>
    <w:p w14:paraId="1C8A22F0" w14:textId="77777777" w:rsidR="007C6C3A" w:rsidRPr="005E3B43" w:rsidRDefault="007C6C3A" w:rsidP="00763BCF">
      <w:pPr>
        <w:pStyle w:val="paragraph"/>
      </w:pPr>
      <w:r w:rsidRPr="005E3B43">
        <w:tab/>
        <w:t>(d)</w:t>
      </w:r>
      <w:r w:rsidRPr="005E3B43">
        <w:tab/>
        <w:t>a medicine that satisfies the following requirements:</w:t>
      </w:r>
    </w:p>
    <w:p w14:paraId="7A6B154B" w14:textId="77777777" w:rsidR="007C6C3A" w:rsidRPr="005E3B43" w:rsidRDefault="007C6C3A" w:rsidP="00763BCF">
      <w:pPr>
        <w:pStyle w:val="paragraphsub"/>
      </w:pPr>
      <w:r w:rsidRPr="005E3B43">
        <w:tab/>
        <w:t>(i)</w:t>
      </w:r>
      <w:r w:rsidRPr="005E3B43">
        <w:tab/>
        <w:t xml:space="preserve">the medicine only </w:t>
      </w:r>
      <w:r w:rsidR="0042156D" w:rsidRPr="005E3B43">
        <w:t>has indications</w:t>
      </w:r>
      <w:r w:rsidRPr="005E3B43">
        <w:t xml:space="preserve"> that are covered by a determination under paragraph</w:t>
      </w:r>
      <w:r w:rsidR="004E6D00" w:rsidRPr="005E3B43">
        <w:t> </w:t>
      </w:r>
      <w:r w:rsidRPr="005E3B43">
        <w:t>26BF(1)(a) of the Act;</w:t>
      </w:r>
    </w:p>
    <w:p w14:paraId="791CE2B7" w14:textId="77777777" w:rsidR="007C6C3A" w:rsidRPr="005E3B43" w:rsidRDefault="007C6C3A" w:rsidP="00763BCF">
      <w:pPr>
        <w:pStyle w:val="paragraphsub"/>
      </w:pPr>
      <w:r w:rsidRPr="005E3B43">
        <w:tab/>
        <w:t>(ii)</w:t>
      </w:r>
      <w:r w:rsidRPr="005E3B43">
        <w:tab/>
        <w:t>if a determination under paragraph</w:t>
      </w:r>
      <w:r w:rsidR="004E6D00" w:rsidRPr="005E3B43">
        <w:t> </w:t>
      </w:r>
      <w:r w:rsidRPr="005E3B43">
        <w:t>26BF(1)(b) of the Act specifies requirements in relation to indications—none of the requirements have been contravened.</w:t>
      </w:r>
    </w:p>
    <w:p w14:paraId="64328C13" w14:textId="77777777" w:rsidR="00207B1C" w:rsidRPr="005E3B43" w:rsidRDefault="00207B1C" w:rsidP="00763BCF">
      <w:pPr>
        <w:pStyle w:val="ActHead5"/>
      </w:pPr>
      <w:bookmarkStart w:id="6" w:name="_Toc187135601"/>
      <w:r w:rsidRPr="005E3B43">
        <w:rPr>
          <w:rStyle w:val="CharSectno"/>
        </w:rPr>
        <w:t>3A</w:t>
      </w:r>
      <w:r w:rsidR="00E20BA4" w:rsidRPr="005E3B43">
        <w:t xml:space="preserve">  </w:t>
      </w:r>
      <w:r w:rsidRPr="005E3B43">
        <w:t>Unacceptable presentations</w:t>
      </w:r>
      <w:bookmarkEnd w:id="6"/>
    </w:p>
    <w:p w14:paraId="0234B003" w14:textId="77777777" w:rsidR="00207B1C" w:rsidRPr="005E3B43" w:rsidRDefault="00207B1C" w:rsidP="00763BCF">
      <w:pPr>
        <w:pStyle w:val="subsection"/>
      </w:pPr>
      <w:r w:rsidRPr="005E3B43">
        <w:tab/>
        <w:t>(1)</w:t>
      </w:r>
      <w:r w:rsidRPr="005E3B43">
        <w:tab/>
        <w:t xml:space="preserve">For </w:t>
      </w:r>
      <w:r w:rsidR="00842CCD" w:rsidRPr="005E3B43">
        <w:t>paragraph 3</w:t>
      </w:r>
      <w:r w:rsidRPr="005E3B43">
        <w:t>(5)(e) of the Act, any labelling, packaging or presentation of therapeutic goods (including novelty dosage forms in the shape of animals, robots, cartoon characters or other similar objects) that is likely to result in those goods being mistaken for or confused with confectionery or toys is an unacceptable presentation of the goods.</w:t>
      </w:r>
    </w:p>
    <w:p w14:paraId="3A512746" w14:textId="77777777" w:rsidR="00207B1C" w:rsidRPr="005E3B43" w:rsidRDefault="00207B1C" w:rsidP="00763BCF">
      <w:pPr>
        <w:pStyle w:val="subsection"/>
      </w:pPr>
      <w:r w:rsidRPr="005E3B43">
        <w:lastRenderedPageBreak/>
        <w:tab/>
        <w:t>(2)</w:t>
      </w:r>
      <w:r w:rsidRPr="005E3B43">
        <w:tab/>
        <w:t xml:space="preserve">For </w:t>
      </w:r>
      <w:r w:rsidR="00842CCD" w:rsidRPr="005E3B43">
        <w:t>paragraph 3</w:t>
      </w:r>
      <w:r w:rsidRPr="005E3B43">
        <w:t xml:space="preserve">(5)(e) of the Act, the presentation of therapeutic goods is unacceptable if the name applied to the goods is not sufficiently distinctive to allow for the identification of the goods for the purposes of </w:t>
      </w:r>
      <w:r w:rsidR="00F37A61" w:rsidRPr="005E3B43">
        <w:t>recall</w:t>
      </w:r>
      <w:r w:rsidRPr="005E3B43">
        <w:t>.</w:t>
      </w:r>
    </w:p>
    <w:p w14:paraId="565C8D82" w14:textId="77777777" w:rsidR="00B118BE" w:rsidRPr="005E3B43" w:rsidRDefault="00B118BE" w:rsidP="00763BCF">
      <w:pPr>
        <w:pStyle w:val="ActHead5"/>
      </w:pPr>
      <w:bookmarkStart w:id="7" w:name="_Toc187135602"/>
      <w:r w:rsidRPr="005E3B43">
        <w:rPr>
          <w:rStyle w:val="CharSectno"/>
        </w:rPr>
        <w:t>3B</w:t>
      </w:r>
      <w:r w:rsidRPr="005E3B43">
        <w:t xml:space="preserve">  Definitions relating to goods comprising etc. human cells and tissues</w:t>
      </w:r>
      <w:bookmarkEnd w:id="7"/>
    </w:p>
    <w:p w14:paraId="37ADA658" w14:textId="77777777" w:rsidR="00B118BE" w:rsidRPr="005E3B43" w:rsidRDefault="00B118BE" w:rsidP="00763BCF">
      <w:pPr>
        <w:pStyle w:val="subsection"/>
      </w:pPr>
      <w:r w:rsidRPr="005E3B43">
        <w:tab/>
        <w:t>(1)</w:t>
      </w:r>
      <w:r w:rsidRPr="005E3B43">
        <w:tab/>
        <w:t>This regulation applies to goods that comprise, contain, or are derived from human cells or tissues.</w:t>
      </w:r>
    </w:p>
    <w:p w14:paraId="1BD349F3" w14:textId="77777777" w:rsidR="00B118BE" w:rsidRPr="005E3B43" w:rsidRDefault="00B118BE" w:rsidP="00763BCF">
      <w:pPr>
        <w:pStyle w:val="subsection"/>
      </w:pPr>
      <w:r w:rsidRPr="005E3B43">
        <w:tab/>
        <w:t>(2)</w:t>
      </w:r>
      <w:r w:rsidRPr="005E3B43">
        <w:tab/>
        <w:t xml:space="preserve">The human cells or tissues are the </w:t>
      </w:r>
      <w:r w:rsidRPr="005E3B43">
        <w:rPr>
          <w:b/>
          <w:i/>
        </w:rPr>
        <w:t>original cells or tissues</w:t>
      </w:r>
      <w:r w:rsidRPr="005E3B43">
        <w:t>.</w:t>
      </w:r>
    </w:p>
    <w:p w14:paraId="13C8A9CD" w14:textId="77777777" w:rsidR="00B118BE" w:rsidRPr="005E3B43" w:rsidRDefault="00B118BE" w:rsidP="00763BCF">
      <w:pPr>
        <w:pStyle w:val="subsection"/>
      </w:pPr>
      <w:r w:rsidRPr="005E3B43">
        <w:tab/>
        <w:t>(3)</w:t>
      </w:r>
      <w:r w:rsidRPr="005E3B43">
        <w:tab/>
        <w:t xml:space="preserve">The goods have been subjected to </w:t>
      </w:r>
      <w:r w:rsidRPr="005E3B43">
        <w:rPr>
          <w:b/>
          <w:i/>
        </w:rPr>
        <w:t>minimal manipulation</w:t>
      </w:r>
      <w:r w:rsidRPr="005E3B43">
        <w:t xml:space="preserve"> if no process or processes to which the goods have been subjected have altered any of the biological characteristics, physiological functions or structural properties of the original cells or tissues that are relevant to the purpose for which the manufacturer of the goods intends the goods to be used.</w:t>
      </w:r>
    </w:p>
    <w:p w14:paraId="1426CBA2" w14:textId="77777777" w:rsidR="00B118BE" w:rsidRPr="005E3B43" w:rsidRDefault="00B118BE" w:rsidP="00763BCF">
      <w:pPr>
        <w:pStyle w:val="subsection"/>
      </w:pPr>
      <w:r w:rsidRPr="005E3B43">
        <w:tab/>
        <w:t>(4)</w:t>
      </w:r>
      <w:r w:rsidRPr="005E3B43">
        <w:tab/>
      </w:r>
      <w:r w:rsidRPr="005E3B43">
        <w:rPr>
          <w:b/>
          <w:i/>
        </w:rPr>
        <w:t>Homologous use</w:t>
      </w:r>
      <w:r w:rsidRPr="005E3B43">
        <w:t xml:space="preserve"> of the goods is use of the goods to repair, reconstruct, replace or supplement the cells or tissues of a person (the </w:t>
      </w:r>
      <w:r w:rsidRPr="005E3B43">
        <w:rPr>
          <w:b/>
          <w:i/>
        </w:rPr>
        <w:t>recipient</w:t>
      </w:r>
      <w:r w:rsidRPr="005E3B43">
        <w:t>), if the goods will perform the same basic function or functions in the recipient as the original cells or tissues performed in the person from whom they were collected.</w:t>
      </w:r>
    </w:p>
    <w:p w14:paraId="2F5EB522" w14:textId="77777777" w:rsidR="0091727F" w:rsidRPr="005E3B43" w:rsidRDefault="0091727F" w:rsidP="0091727F">
      <w:pPr>
        <w:pStyle w:val="ActHead5"/>
      </w:pPr>
      <w:bookmarkStart w:id="8" w:name="_Toc187135603"/>
      <w:r w:rsidRPr="005E3B43">
        <w:rPr>
          <w:rStyle w:val="CharSectno"/>
        </w:rPr>
        <w:t>3C</w:t>
      </w:r>
      <w:r w:rsidRPr="005E3B43">
        <w:t xml:space="preserve">  Classes of biologicals</w:t>
      </w:r>
      <w:bookmarkEnd w:id="8"/>
    </w:p>
    <w:p w14:paraId="5F57A46E" w14:textId="77777777" w:rsidR="0091727F" w:rsidRPr="005E3B43" w:rsidRDefault="0091727F" w:rsidP="0091727F">
      <w:pPr>
        <w:pStyle w:val="subsection"/>
      </w:pPr>
      <w:r w:rsidRPr="005E3B43">
        <w:tab/>
      </w:r>
      <w:r w:rsidRPr="005E3B43">
        <w:tab/>
        <w:t>For the purposes of section 32AA of the Act, the prescribed classes of biologicals are the following:</w:t>
      </w:r>
    </w:p>
    <w:p w14:paraId="404BE9F3" w14:textId="77777777" w:rsidR="0091727F" w:rsidRPr="005E3B43" w:rsidRDefault="0091727F" w:rsidP="0091727F">
      <w:pPr>
        <w:pStyle w:val="paragraph"/>
      </w:pPr>
      <w:r w:rsidRPr="005E3B43">
        <w:tab/>
        <w:t>(a)</w:t>
      </w:r>
      <w:r w:rsidRPr="005E3B43">
        <w:tab/>
        <w:t>Class 1 biological;</w:t>
      </w:r>
    </w:p>
    <w:p w14:paraId="3B5AEEE3" w14:textId="77777777" w:rsidR="0091727F" w:rsidRPr="005E3B43" w:rsidRDefault="0091727F" w:rsidP="0091727F">
      <w:pPr>
        <w:pStyle w:val="paragraph"/>
      </w:pPr>
      <w:r w:rsidRPr="005E3B43">
        <w:tab/>
        <w:t>(b)</w:t>
      </w:r>
      <w:r w:rsidRPr="005E3B43">
        <w:tab/>
        <w:t>Class 2 biological;</w:t>
      </w:r>
    </w:p>
    <w:p w14:paraId="2A8B4B9D" w14:textId="77777777" w:rsidR="0091727F" w:rsidRPr="005E3B43" w:rsidRDefault="0091727F" w:rsidP="0091727F">
      <w:pPr>
        <w:pStyle w:val="paragraph"/>
      </w:pPr>
      <w:r w:rsidRPr="005E3B43">
        <w:tab/>
        <w:t>(c)</w:t>
      </w:r>
      <w:r w:rsidRPr="005E3B43">
        <w:tab/>
        <w:t>Class 3 biological;</w:t>
      </w:r>
    </w:p>
    <w:p w14:paraId="3CE09503" w14:textId="77777777" w:rsidR="0091727F" w:rsidRPr="005E3B43" w:rsidRDefault="0091727F" w:rsidP="0091727F">
      <w:pPr>
        <w:pStyle w:val="paragraph"/>
      </w:pPr>
      <w:r w:rsidRPr="005E3B43">
        <w:tab/>
        <w:t>(d)</w:t>
      </w:r>
      <w:r w:rsidRPr="005E3B43">
        <w:tab/>
        <w:t>Class 4 biological;</w:t>
      </w:r>
    </w:p>
    <w:p w14:paraId="0EC158CD" w14:textId="77777777" w:rsidR="0091727F" w:rsidRPr="005E3B43" w:rsidRDefault="0091727F" w:rsidP="0091727F">
      <w:pPr>
        <w:pStyle w:val="paragraph"/>
      </w:pPr>
      <w:r w:rsidRPr="005E3B43">
        <w:tab/>
        <w:t>(e)</w:t>
      </w:r>
      <w:r w:rsidRPr="005E3B43">
        <w:tab/>
        <w:t>export only biological.</w:t>
      </w:r>
    </w:p>
    <w:p w14:paraId="2A78799B" w14:textId="77777777" w:rsidR="00207B1C" w:rsidRPr="005E3B43" w:rsidRDefault="006B5D8E" w:rsidP="00763BCF">
      <w:pPr>
        <w:pStyle w:val="ActHead2"/>
        <w:pageBreakBefore/>
      </w:pPr>
      <w:bookmarkStart w:id="9" w:name="_Toc187135604"/>
      <w:r w:rsidRPr="005E3B43">
        <w:rPr>
          <w:rStyle w:val="CharPartNo"/>
        </w:rPr>
        <w:lastRenderedPageBreak/>
        <w:t>Part 2</w:t>
      </w:r>
      <w:r w:rsidR="00E20BA4" w:rsidRPr="005E3B43">
        <w:t>—</w:t>
      </w:r>
      <w:r w:rsidR="00207B1C" w:rsidRPr="005E3B43">
        <w:rPr>
          <w:rStyle w:val="CharPartText"/>
        </w:rPr>
        <w:t>Advertisements</w:t>
      </w:r>
      <w:bookmarkEnd w:id="9"/>
    </w:p>
    <w:p w14:paraId="6ADDED92" w14:textId="77777777" w:rsidR="00207B1C" w:rsidRPr="005E3B43" w:rsidRDefault="003C0723" w:rsidP="00763BCF">
      <w:pPr>
        <w:pStyle w:val="ActHead3"/>
      </w:pPr>
      <w:bookmarkStart w:id="10" w:name="_Toc187135605"/>
      <w:r w:rsidRPr="005E3B43">
        <w:rPr>
          <w:rStyle w:val="CharDivNo"/>
        </w:rPr>
        <w:t>Division 1</w:t>
      </w:r>
      <w:r w:rsidR="00E20BA4" w:rsidRPr="005E3B43">
        <w:t>—</w:t>
      </w:r>
      <w:r w:rsidR="00207B1C" w:rsidRPr="005E3B43">
        <w:rPr>
          <w:rStyle w:val="CharDivText"/>
        </w:rPr>
        <w:t>Application of Part</w:t>
      </w:r>
      <w:bookmarkEnd w:id="10"/>
    </w:p>
    <w:p w14:paraId="5EEFF811" w14:textId="77777777" w:rsidR="00207B1C" w:rsidRPr="005E3B43" w:rsidRDefault="00207B1C" w:rsidP="00763BCF">
      <w:pPr>
        <w:pStyle w:val="ActHead5"/>
      </w:pPr>
      <w:bookmarkStart w:id="11" w:name="_Toc187135606"/>
      <w:r w:rsidRPr="005E3B43">
        <w:rPr>
          <w:rStyle w:val="CharSectno"/>
        </w:rPr>
        <w:t>4</w:t>
      </w:r>
      <w:r w:rsidR="00E20BA4" w:rsidRPr="005E3B43">
        <w:t xml:space="preserve">  </w:t>
      </w:r>
      <w:r w:rsidRPr="005E3B43">
        <w:t xml:space="preserve">Application of </w:t>
      </w:r>
      <w:r w:rsidR="006B5D8E" w:rsidRPr="005E3B43">
        <w:t>Part 2</w:t>
      </w:r>
      <w:bookmarkEnd w:id="11"/>
    </w:p>
    <w:p w14:paraId="370C9219" w14:textId="2B3DB0F2" w:rsidR="00207B1C" w:rsidRPr="005E3B43" w:rsidRDefault="00207B1C" w:rsidP="00763BCF">
      <w:pPr>
        <w:pStyle w:val="subsection"/>
      </w:pPr>
      <w:r w:rsidRPr="005E3B43">
        <w:tab/>
        <w:t>(1)</w:t>
      </w:r>
      <w:r w:rsidRPr="005E3B43">
        <w:tab/>
        <w:t>This Part applies to advertisements to which Part</w:t>
      </w:r>
      <w:r w:rsidR="004E6D00" w:rsidRPr="005E3B43">
        <w:t> </w:t>
      </w:r>
      <w:r w:rsidRPr="005E3B43">
        <w:t>5</w:t>
      </w:r>
      <w:r w:rsidR="007C3215">
        <w:noBreakHyphen/>
      </w:r>
      <w:r w:rsidRPr="005E3B43">
        <w:t>1 of the Act applies.</w:t>
      </w:r>
    </w:p>
    <w:p w14:paraId="784D8E76" w14:textId="77777777" w:rsidR="00207B1C" w:rsidRPr="005E3B43" w:rsidRDefault="00207B1C" w:rsidP="00763BCF">
      <w:pPr>
        <w:pStyle w:val="subsection"/>
      </w:pPr>
      <w:r w:rsidRPr="005E3B43">
        <w:tab/>
        <w:t>(2)</w:t>
      </w:r>
      <w:r w:rsidRPr="005E3B43">
        <w:tab/>
        <w:t>For subsection</w:t>
      </w:r>
      <w:r w:rsidR="004E6D00" w:rsidRPr="005E3B43">
        <w:t> </w:t>
      </w:r>
      <w:r w:rsidRPr="005E3B43">
        <w:t xml:space="preserve">42AA(2) of the Act, the bodies mentioned in </w:t>
      </w:r>
      <w:r w:rsidR="008D1B4F" w:rsidRPr="005E3B43">
        <w:t>Schedule 1</w:t>
      </w:r>
      <w:r w:rsidRPr="005E3B43">
        <w:t xml:space="preserve"> are prescribed.</w:t>
      </w:r>
    </w:p>
    <w:p w14:paraId="525F4CB6" w14:textId="77777777" w:rsidR="00207B1C" w:rsidRPr="005E3B43" w:rsidRDefault="00207B1C" w:rsidP="00763BCF">
      <w:pPr>
        <w:pStyle w:val="ActHead5"/>
      </w:pPr>
      <w:bookmarkStart w:id="12" w:name="_Toc187135607"/>
      <w:r w:rsidRPr="005E3B43">
        <w:rPr>
          <w:rStyle w:val="CharSectno"/>
        </w:rPr>
        <w:t>4A</w:t>
      </w:r>
      <w:r w:rsidR="00E20BA4" w:rsidRPr="005E3B43">
        <w:t xml:space="preserve">  </w:t>
      </w:r>
      <w:r w:rsidRPr="005E3B43">
        <w:t>Interpretation</w:t>
      </w:r>
      <w:bookmarkEnd w:id="12"/>
    </w:p>
    <w:p w14:paraId="2D0EC819" w14:textId="78423223" w:rsidR="00207B1C" w:rsidRPr="005E3B43" w:rsidRDefault="00207B1C" w:rsidP="00763BCF">
      <w:pPr>
        <w:pStyle w:val="subsection"/>
      </w:pPr>
      <w:r w:rsidRPr="005E3B43">
        <w:tab/>
      </w:r>
      <w:r w:rsidRPr="005E3B43">
        <w:tab/>
        <w:t>A term used in this Part and in Part</w:t>
      </w:r>
      <w:r w:rsidR="004E6D00" w:rsidRPr="005E3B43">
        <w:t> </w:t>
      </w:r>
      <w:r w:rsidRPr="005E3B43">
        <w:t>5</w:t>
      </w:r>
      <w:r w:rsidR="007C3215">
        <w:noBreakHyphen/>
      </w:r>
      <w:r w:rsidRPr="005E3B43">
        <w:t>1 of the Act has the same meaning in this Part as it has in Part</w:t>
      </w:r>
      <w:r w:rsidR="004E6D00" w:rsidRPr="005E3B43">
        <w:t> </w:t>
      </w:r>
      <w:r w:rsidRPr="005E3B43">
        <w:t>5</w:t>
      </w:r>
      <w:r w:rsidR="007C3215">
        <w:noBreakHyphen/>
      </w:r>
      <w:r w:rsidRPr="005E3B43">
        <w:t>1 of the Act.</w:t>
      </w:r>
    </w:p>
    <w:p w14:paraId="2B1F22BA" w14:textId="3B1C3CD5" w:rsidR="00207B1C" w:rsidRPr="005E3B43" w:rsidRDefault="00E20BA4" w:rsidP="00763BCF">
      <w:pPr>
        <w:pStyle w:val="notetext"/>
      </w:pPr>
      <w:r w:rsidRPr="005E3B43">
        <w:t>Note:</w:t>
      </w:r>
      <w:r w:rsidRPr="005E3B43">
        <w:tab/>
      </w:r>
      <w:r w:rsidR="00207B1C" w:rsidRPr="005E3B43">
        <w:t>See section</w:t>
      </w:r>
      <w:r w:rsidR="004E6D00" w:rsidRPr="005E3B43">
        <w:t> </w:t>
      </w:r>
      <w:r w:rsidR="00207B1C" w:rsidRPr="005E3B43">
        <w:t>42B of the Act for definitions of terms used in Part</w:t>
      </w:r>
      <w:r w:rsidR="004E6D00" w:rsidRPr="005E3B43">
        <w:t> </w:t>
      </w:r>
      <w:r w:rsidR="00207B1C" w:rsidRPr="005E3B43">
        <w:t>5</w:t>
      </w:r>
      <w:r w:rsidR="007C3215">
        <w:noBreakHyphen/>
      </w:r>
      <w:r w:rsidR="00207B1C" w:rsidRPr="005E3B43">
        <w:t>1 of the Act.</w:t>
      </w:r>
    </w:p>
    <w:p w14:paraId="64840386" w14:textId="77777777" w:rsidR="00207B1C" w:rsidRPr="005E3B43" w:rsidRDefault="00BE7FAC" w:rsidP="00763BCF">
      <w:pPr>
        <w:pStyle w:val="ActHead3"/>
        <w:pageBreakBefore/>
      </w:pPr>
      <w:bookmarkStart w:id="13" w:name="_Toc187135608"/>
      <w:r w:rsidRPr="005E3B43">
        <w:rPr>
          <w:rStyle w:val="CharDivNo"/>
        </w:rPr>
        <w:lastRenderedPageBreak/>
        <w:t>Division 3</w:t>
      </w:r>
      <w:r w:rsidR="00E20BA4" w:rsidRPr="005E3B43">
        <w:t>—</w:t>
      </w:r>
      <w:r w:rsidR="00207B1C" w:rsidRPr="005E3B43">
        <w:rPr>
          <w:rStyle w:val="CharDivText"/>
        </w:rPr>
        <w:t>General provisions about advertising therapeutic goods</w:t>
      </w:r>
      <w:bookmarkEnd w:id="13"/>
    </w:p>
    <w:p w14:paraId="3788103C" w14:textId="77777777" w:rsidR="00677E21" w:rsidRPr="005E3B43" w:rsidRDefault="00677E21" w:rsidP="00763BCF">
      <w:pPr>
        <w:pStyle w:val="ActHead5"/>
      </w:pPr>
      <w:bookmarkStart w:id="14" w:name="_Toc187135609"/>
      <w:r w:rsidRPr="005E3B43">
        <w:rPr>
          <w:rStyle w:val="CharSectno"/>
        </w:rPr>
        <w:t>6AA</w:t>
      </w:r>
      <w:r w:rsidR="00E20BA4" w:rsidRPr="005E3B43">
        <w:t xml:space="preserve">  </w:t>
      </w:r>
      <w:r w:rsidRPr="005E3B43">
        <w:t>Prescribed committees</w:t>
      </w:r>
      <w:bookmarkEnd w:id="14"/>
    </w:p>
    <w:p w14:paraId="79E39E7E" w14:textId="77777777" w:rsidR="00677E21" w:rsidRPr="005E3B43" w:rsidRDefault="00677E21" w:rsidP="00763BCF">
      <w:pPr>
        <w:pStyle w:val="subsection"/>
      </w:pPr>
      <w:r w:rsidRPr="005E3B43">
        <w:tab/>
      </w:r>
      <w:r w:rsidRPr="005E3B43">
        <w:tab/>
        <w:t>For paragraph</w:t>
      </w:r>
      <w:r w:rsidR="004E6D00" w:rsidRPr="005E3B43">
        <w:t> </w:t>
      </w:r>
      <w:r w:rsidRPr="005E3B43">
        <w:t>42DF(4)(b) of the Act, the following committees are prescribed:</w:t>
      </w:r>
    </w:p>
    <w:p w14:paraId="2C4439AA" w14:textId="77777777" w:rsidR="00AE2007" w:rsidRPr="005E3B43" w:rsidRDefault="00AE2007" w:rsidP="00763BCF">
      <w:pPr>
        <w:pStyle w:val="paragraph"/>
      </w:pPr>
      <w:r w:rsidRPr="005E3B43">
        <w:tab/>
        <w:t>(a)</w:t>
      </w:r>
      <w:r w:rsidRPr="005E3B43">
        <w:tab/>
        <w:t>Advisory Committee on Medicines;</w:t>
      </w:r>
    </w:p>
    <w:p w14:paraId="50650C31" w14:textId="77777777" w:rsidR="00677E21" w:rsidRPr="005E3B43" w:rsidRDefault="00677E21" w:rsidP="00763BCF">
      <w:pPr>
        <w:pStyle w:val="paragraph"/>
      </w:pPr>
      <w:r w:rsidRPr="005E3B43">
        <w:tab/>
        <w:t>(b)</w:t>
      </w:r>
      <w:r w:rsidRPr="005E3B43">
        <w:tab/>
        <w:t>Advisory Committee on Complementary Medicines</w:t>
      </w:r>
      <w:r w:rsidR="003A40BB" w:rsidRPr="005E3B43">
        <w:t>;</w:t>
      </w:r>
    </w:p>
    <w:p w14:paraId="4F91A10C" w14:textId="77777777" w:rsidR="003A40BB" w:rsidRPr="005E3B43" w:rsidRDefault="003A40BB" w:rsidP="00763BCF">
      <w:pPr>
        <w:pStyle w:val="paragraph"/>
      </w:pPr>
      <w:r w:rsidRPr="005E3B43">
        <w:tab/>
        <w:t>(c)</w:t>
      </w:r>
      <w:r w:rsidRPr="005E3B43">
        <w:tab/>
        <w:t>Advisory Committee on Medical Devices;</w:t>
      </w:r>
    </w:p>
    <w:p w14:paraId="20DC1CC2" w14:textId="77777777" w:rsidR="003A40BB" w:rsidRPr="005E3B43" w:rsidRDefault="003A40BB" w:rsidP="00763BCF">
      <w:pPr>
        <w:pStyle w:val="paragraph"/>
      </w:pPr>
      <w:r w:rsidRPr="005E3B43">
        <w:tab/>
        <w:t>(d)</w:t>
      </w:r>
      <w:r w:rsidRPr="005E3B43">
        <w:tab/>
        <w:t>Advisory Committee on Vaccines.</w:t>
      </w:r>
    </w:p>
    <w:p w14:paraId="3747F852" w14:textId="77777777" w:rsidR="00207B1C" w:rsidRPr="005E3B43" w:rsidRDefault="00207B1C" w:rsidP="00763BCF">
      <w:pPr>
        <w:pStyle w:val="ActHead5"/>
      </w:pPr>
      <w:bookmarkStart w:id="15" w:name="_Toc187135610"/>
      <w:r w:rsidRPr="005E3B43">
        <w:rPr>
          <w:rStyle w:val="CharSectno"/>
        </w:rPr>
        <w:t>6B</w:t>
      </w:r>
      <w:r w:rsidR="00E20BA4" w:rsidRPr="005E3B43">
        <w:t xml:space="preserve">  </w:t>
      </w:r>
      <w:r w:rsidRPr="005E3B43">
        <w:t>Prohibited and required representations</w:t>
      </w:r>
      <w:bookmarkEnd w:id="15"/>
    </w:p>
    <w:p w14:paraId="5F0E4451" w14:textId="77777777" w:rsidR="00CA3152" w:rsidRPr="005E3B43" w:rsidRDefault="00CA3152" w:rsidP="00763BCF">
      <w:pPr>
        <w:pStyle w:val="SubsectionHead"/>
      </w:pPr>
      <w:r w:rsidRPr="005E3B43">
        <w:t>Prohibited representations</w:t>
      </w:r>
    </w:p>
    <w:p w14:paraId="415FD229" w14:textId="77777777" w:rsidR="00CA3152" w:rsidRPr="005E3B43" w:rsidRDefault="00CA3152" w:rsidP="00763BCF">
      <w:pPr>
        <w:pStyle w:val="subsection"/>
      </w:pPr>
      <w:r w:rsidRPr="005E3B43">
        <w:tab/>
        <w:t>(1)</w:t>
      </w:r>
      <w:r w:rsidRPr="005E3B43">
        <w:tab/>
        <w:t>For the purposes of subsection 42DJ(1) of the Act:</w:t>
      </w:r>
    </w:p>
    <w:p w14:paraId="140E369B" w14:textId="77777777" w:rsidR="00CA3152" w:rsidRPr="005E3B43" w:rsidRDefault="00CA3152" w:rsidP="00763BCF">
      <w:pPr>
        <w:pStyle w:val="paragraph"/>
      </w:pPr>
      <w:r w:rsidRPr="005E3B43">
        <w:tab/>
        <w:t>(a)</w:t>
      </w:r>
      <w:r w:rsidRPr="005E3B43">
        <w:tab/>
        <w:t>the representations in column 2 of an item in the table in Part 1 of Schedule 2 are specified; and</w:t>
      </w:r>
    </w:p>
    <w:p w14:paraId="00518545" w14:textId="77777777" w:rsidR="00CA3152" w:rsidRPr="005E3B43" w:rsidRDefault="00CA3152" w:rsidP="00763BCF">
      <w:pPr>
        <w:pStyle w:val="paragraph"/>
      </w:pPr>
      <w:r w:rsidRPr="005E3B43">
        <w:tab/>
        <w:t>(b)</w:t>
      </w:r>
      <w:r w:rsidRPr="005E3B43">
        <w:tab/>
        <w:t>the therapeutic goods in column 3 of that item are specified.</w:t>
      </w:r>
    </w:p>
    <w:p w14:paraId="52725AF1" w14:textId="77777777" w:rsidR="00CA3152" w:rsidRPr="005E3B43" w:rsidRDefault="00CA3152" w:rsidP="00763BCF">
      <w:pPr>
        <w:pStyle w:val="notetext"/>
      </w:pPr>
      <w:r w:rsidRPr="005E3B43">
        <w:t>Note:</w:t>
      </w:r>
      <w:r w:rsidRPr="005E3B43">
        <w:tab/>
        <w:t>Under subsection 42DJ(1) of the Act, those representations about those goods are prohibited representations.</w:t>
      </w:r>
    </w:p>
    <w:p w14:paraId="0817B635" w14:textId="77777777" w:rsidR="00CA3152" w:rsidRPr="005E3B43" w:rsidRDefault="00CA3152" w:rsidP="00763BCF">
      <w:pPr>
        <w:pStyle w:val="SubsectionHead"/>
      </w:pPr>
      <w:r w:rsidRPr="005E3B43">
        <w:t>Required representations</w:t>
      </w:r>
    </w:p>
    <w:p w14:paraId="10B5CB46" w14:textId="77777777" w:rsidR="00207B1C" w:rsidRPr="005E3B43" w:rsidRDefault="00207B1C" w:rsidP="00763BCF">
      <w:pPr>
        <w:pStyle w:val="subsection"/>
      </w:pPr>
      <w:r w:rsidRPr="005E3B43">
        <w:tab/>
        <w:t>(2)</w:t>
      </w:r>
      <w:r w:rsidRPr="005E3B43">
        <w:tab/>
        <w:t>For subsection</w:t>
      </w:r>
      <w:r w:rsidR="004E6D00" w:rsidRPr="005E3B43">
        <w:t> </w:t>
      </w:r>
      <w:r w:rsidRPr="005E3B43">
        <w:t xml:space="preserve">42DJ(2) of the Act, the representations in column 2 of an item in </w:t>
      </w:r>
      <w:r w:rsidR="006B5D8E" w:rsidRPr="005E3B43">
        <w:t>Part 2</w:t>
      </w:r>
      <w:r w:rsidRPr="005E3B43">
        <w:t xml:space="preserve"> of Schedule</w:t>
      </w:r>
      <w:r w:rsidR="004E6D00" w:rsidRPr="005E3B43">
        <w:t> </w:t>
      </w:r>
      <w:r w:rsidRPr="005E3B43">
        <w:t>2 about therapeutic goods in column 3 of that item are required representations.</w:t>
      </w:r>
    </w:p>
    <w:p w14:paraId="294402DD" w14:textId="77777777" w:rsidR="00220823" w:rsidRPr="005E3B43" w:rsidRDefault="00220823" w:rsidP="00763BCF">
      <w:pPr>
        <w:pStyle w:val="ActHead5"/>
      </w:pPr>
      <w:bookmarkStart w:id="16" w:name="_Toc187135611"/>
      <w:r w:rsidRPr="005E3B43">
        <w:rPr>
          <w:rStyle w:val="CharSectno"/>
        </w:rPr>
        <w:t>7</w:t>
      </w:r>
      <w:r w:rsidRPr="005E3B43">
        <w:t xml:space="preserve">  Prescribed goods for advertising offence and civil penalty</w:t>
      </w:r>
      <w:bookmarkEnd w:id="16"/>
    </w:p>
    <w:p w14:paraId="312EA83C" w14:textId="77777777" w:rsidR="00220823" w:rsidRPr="005E3B43" w:rsidRDefault="00220823" w:rsidP="00763BCF">
      <w:pPr>
        <w:pStyle w:val="subsection"/>
      </w:pPr>
      <w:r w:rsidRPr="005E3B43">
        <w:tab/>
      </w:r>
      <w:r w:rsidRPr="005E3B43">
        <w:tab/>
        <w:t>For the purposes of subsections</w:t>
      </w:r>
      <w:r w:rsidR="004E6D00" w:rsidRPr="005E3B43">
        <w:t> </w:t>
      </w:r>
      <w:r w:rsidRPr="005E3B43">
        <w:t>42DL(12) and 42DLB(9) of the Act, the therapeutic goods are the following:</w:t>
      </w:r>
    </w:p>
    <w:p w14:paraId="65F8D85E" w14:textId="3F705944" w:rsidR="00220823" w:rsidRPr="005E3B43" w:rsidRDefault="00220823" w:rsidP="00763BCF">
      <w:pPr>
        <w:pStyle w:val="paragraph"/>
      </w:pPr>
      <w:r w:rsidRPr="005E3B43">
        <w:tab/>
        <w:t>(a)</w:t>
      </w:r>
      <w:r w:rsidRPr="005E3B43">
        <w:tab/>
        <w:t xml:space="preserve">therapeutic goods that are the subject of an approval or authority under </w:t>
      </w:r>
      <w:r w:rsidR="007C3215">
        <w:t>section 1</w:t>
      </w:r>
      <w:r w:rsidRPr="005E3B43">
        <w:t>9 of the Act;</w:t>
      </w:r>
    </w:p>
    <w:p w14:paraId="16916E6F" w14:textId="77777777" w:rsidR="00220823" w:rsidRPr="005E3B43" w:rsidRDefault="00220823" w:rsidP="00763BCF">
      <w:pPr>
        <w:pStyle w:val="paragraph"/>
      </w:pPr>
      <w:r w:rsidRPr="005E3B43">
        <w:tab/>
        <w:t>(b)</w:t>
      </w:r>
      <w:r w:rsidRPr="005E3B43">
        <w:tab/>
        <w:t>a medical device, or a kind of medical device, that is the subject of an approval under section</w:t>
      </w:r>
      <w:r w:rsidR="004E6D00" w:rsidRPr="005E3B43">
        <w:t> </w:t>
      </w:r>
      <w:r w:rsidRPr="005E3B43">
        <w:t>41HB of the Act or an authority under section</w:t>
      </w:r>
      <w:r w:rsidR="004E6D00" w:rsidRPr="005E3B43">
        <w:t> </w:t>
      </w:r>
      <w:r w:rsidRPr="005E3B43">
        <w:t>41HC of the Act;</w:t>
      </w:r>
    </w:p>
    <w:p w14:paraId="64465B75" w14:textId="77777777" w:rsidR="00220823" w:rsidRPr="005E3B43" w:rsidRDefault="00220823" w:rsidP="00763BCF">
      <w:pPr>
        <w:pStyle w:val="paragraph"/>
      </w:pPr>
      <w:r w:rsidRPr="005E3B43">
        <w:tab/>
        <w:t>(c)</w:t>
      </w:r>
      <w:r w:rsidRPr="005E3B43">
        <w:tab/>
        <w:t>medicines covered by an exemption under subregulation</w:t>
      </w:r>
      <w:r w:rsidR="004E6D00" w:rsidRPr="005E3B43">
        <w:t> </w:t>
      </w:r>
      <w:r w:rsidRPr="005E3B43">
        <w:t>12A(1);</w:t>
      </w:r>
    </w:p>
    <w:p w14:paraId="7A2F8E1D" w14:textId="0484B1A8" w:rsidR="00220823" w:rsidRPr="005E3B43" w:rsidRDefault="00220823" w:rsidP="00763BCF">
      <w:pPr>
        <w:pStyle w:val="paragraph"/>
      </w:pPr>
      <w:r w:rsidRPr="005E3B43">
        <w:tab/>
        <w:t>(d)</w:t>
      </w:r>
      <w:r w:rsidRPr="005E3B43">
        <w:tab/>
        <w:t xml:space="preserve">therapeutic goods specified in </w:t>
      </w:r>
      <w:r w:rsidR="007C3215">
        <w:t>item 1</w:t>
      </w:r>
      <w:r w:rsidRPr="005E3B43">
        <w:t xml:space="preserve"> of Schedule</w:t>
      </w:r>
      <w:r w:rsidR="004E6D00" w:rsidRPr="005E3B43">
        <w:t> </w:t>
      </w:r>
      <w:r w:rsidRPr="005E3B43">
        <w:t>5;</w:t>
      </w:r>
    </w:p>
    <w:p w14:paraId="0D6BDCFC" w14:textId="77777777" w:rsidR="00220823" w:rsidRPr="005E3B43" w:rsidRDefault="00220823" w:rsidP="00763BCF">
      <w:pPr>
        <w:pStyle w:val="paragraph"/>
      </w:pPr>
      <w:r w:rsidRPr="005E3B43">
        <w:tab/>
        <w:t>(e)</w:t>
      </w:r>
      <w:r w:rsidRPr="005E3B43">
        <w:tab/>
        <w:t>therapeutic goods or classes of therapeutic goods mentioned in column 2 of an item in Schedule</w:t>
      </w:r>
      <w:r w:rsidR="004E6D00" w:rsidRPr="005E3B43">
        <w:t> </w:t>
      </w:r>
      <w:r w:rsidRPr="005E3B43">
        <w:t>5A;</w:t>
      </w:r>
    </w:p>
    <w:p w14:paraId="7E095921" w14:textId="276C3802" w:rsidR="00220823" w:rsidRPr="005E3B43" w:rsidRDefault="00220823" w:rsidP="00763BCF">
      <w:pPr>
        <w:pStyle w:val="paragraph"/>
      </w:pPr>
      <w:r w:rsidRPr="005E3B43">
        <w:tab/>
        <w:t>(f)</w:t>
      </w:r>
      <w:r w:rsidRPr="005E3B43">
        <w:tab/>
        <w:t xml:space="preserve">a kind of medical device mentioned in </w:t>
      </w:r>
      <w:r w:rsidR="007C3215">
        <w:t>item 1</w:t>
      </w:r>
      <w:r w:rsidRPr="005E3B43">
        <w:t>.1 in Part</w:t>
      </w:r>
      <w:r w:rsidR="004E6D00" w:rsidRPr="005E3B43">
        <w:t> </w:t>
      </w:r>
      <w:r w:rsidRPr="005E3B43">
        <w:t>1 of Schedule</w:t>
      </w:r>
      <w:r w:rsidR="004E6D00" w:rsidRPr="005E3B43">
        <w:t> </w:t>
      </w:r>
      <w:r w:rsidRPr="005E3B43">
        <w:t xml:space="preserve">4 to the </w:t>
      </w:r>
      <w:r w:rsidRPr="005E3B43">
        <w:rPr>
          <w:i/>
        </w:rPr>
        <w:t xml:space="preserve">Therapeutic Goods (Medical Devices) </w:t>
      </w:r>
      <w:r w:rsidR="007C3215">
        <w:rPr>
          <w:i/>
        </w:rPr>
        <w:t>Regulations 2</w:t>
      </w:r>
      <w:r w:rsidRPr="005E3B43">
        <w:rPr>
          <w:i/>
        </w:rPr>
        <w:t>002</w:t>
      </w:r>
      <w:r w:rsidRPr="005E3B43">
        <w:t>;</w:t>
      </w:r>
    </w:p>
    <w:p w14:paraId="47AD3FEC" w14:textId="7D6BF2FD" w:rsidR="00220823" w:rsidRPr="005E3B43" w:rsidRDefault="00220823" w:rsidP="00763BCF">
      <w:pPr>
        <w:pStyle w:val="paragraph"/>
      </w:pPr>
      <w:r w:rsidRPr="005E3B43">
        <w:tab/>
        <w:t>(g)</w:t>
      </w:r>
      <w:r w:rsidRPr="005E3B43">
        <w:tab/>
        <w:t xml:space="preserve">a kind of medical device mentioned in column 2 of an item in </w:t>
      </w:r>
      <w:r w:rsidR="006B5D8E" w:rsidRPr="005E3B43">
        <w:t>Part 2</w:t>
      </w:r>
      <w:r w:rsidRPr="005E3B43">
        <w:t xml:space="preserve"> of Schedule</w:t>
      </w:r>
      <w:r w:rsidR="004E6D00" w:rsidRPr="005E3B43">
        <w:t> </w:t>
      </w:r>
      <w:r w:rsidRPr="005E3B43">
        <w:t xml:space="preserve">4 to the </w:t>
      </w:r>
      <w:r w:rsidRPr="005E3B43">
        <w:rPr>
          <w:i/>
        </w:rPr>
        <w:t xml:space="preserve">Therapeutic Goods (Medical Devices) </w:t>
      </w:r>
      <w:r w:rsidR="007C3215">
        <w:rPr>
          <w:i/>
        </w:rPr>
        <w:t>Regulations 2</w:t>
      </w:r>
      <w:r w:rsidRPr="005E3B43">
        <w:rPr>
          <w:i/>
        </w:rPr>
        <w:t>002</w:t>
      </w:r>
      <w:r w:rsidR="003E538C" w:rsidRPr="005E3B43">
        <w:rPr>
          <w:i/>
        </w:rPr>
        <w:t xml:space="preserve"> </w:t>
      </w:r>
      <w:r w:rsidR="003E538C" w:rsidRPr="005E3B43">
        <w:t xml:space="preserve">(except </w:t>
      </w:r>
      <w:r w:rsidR="007C3215">
        <w:t>items 2</w:t>
      </w:r>
      <w:r w:rsidR="003E538C" w:rsidRPr="005E3B43">
        <w:t>.12, 2.13, 2.14 and 2.15 of that Part)</w:t>
      </w:r>
      <w:r w:rsidRPr="005E3B43">
        <w:t>;</w:t>
      </w:r>
    </w:p>
    <w:p w14:paraId="5C7A212A" w14:textId="3580EF00" w:rsidR="00220823" w:rsidRPr="005E3B43" w:rsidRDefault="00220823" w:rsidP="00763BCF">
      <w:pPr>
        <w:pStyle w:val="paragraph"/>
      </w:pPr>
      <w:r w:rsidRPr="005E3B43">
        <w:lastRenderedPageBreak/>
        <w:tab/>
        <w:t>(h)</w:t>
      </w:r>
      <w:r w:rsidRPr="005E3B43">
        <w:tab/>
        <w:t>a kind of medical device covered by an exemption under regulation</w:t>
      </w:r>
      <w:r w:rsidR="004E6D00" w:rsidRPr="005E3B43">
        <w:t> </w:t>
      </w:r>
      <w:r w:rsidRPr="005E3B43">
        <w:t xml:space="preserve">7.2 of the </w:t>
      </w:r>
      <w:r w:rsidRPr="005E3B43">
        <w:rPr>
          <w:i/>
        </w:rPr>
        <w:t xml:space="preserve">Therapeutic Goods (Medical Devices) </w:t>
      </w:r>
      <w:r w:rsidR="007C3215">
        <w:rPr>
          <w:i/>
        </w:rPr>
        <w:t>Regulations 2</w:t>
      </w:r>
      <w:r w:rsidRPr="005E3B43">
        <w:rPr>
          <w:i/>
        </w:rPr>
        <w:t>002</w:t>
      </w:r>
      <w:r w:rsidRPr="005E3B43">
        <w:t>;</w:t>
      </w:r>
    </w:p>
    <w:p w14:paraId="54573FB1" w14:textId="77777777" w:rsidR="00220823" w:rsidRPr="005E3B43" w:rsidRDefault="00220823" w:rsidP="00763BCF">
      <w:pPr>
        <w:pStyle w:val="paragraph"/>
      </w:pPr>
      <w:r w:rsidRPr="005E3B43">
        <w:tab/>
        <w:t>(i)</w:t>
      </w:r>
      <w:r w:rsidRPr="005E3B43">
        <w:tab/>
        <w:t>therapeutic goods that are neither the subject of an exemption, approval or authority under the Act nor an exemption, approval or authority under regulations under the Act</w:t>
      </w:r>
      <w:r w:rsidR="00F96700" w:rsidRPr="005E3B43">
        <w:t>;</w:t>
      </w:r>
    </w:p>
    <w:p w14:paraId="323357AC" w14:textId="77777777" w:rsidR="00B11D7F" w:rsidRPr="005E3B43" w:rsidRDefault="00B11D7F" w:rsidP="00763BCF">
      <w:pPr>
        <w:pStyle w:val="paragraph"/>
      </w:pPr>
      <w:r w:rsidRPr="005E3B43">
        <w:tab/>
        <w:t>(j)</w:t>
      </w:r>
      <w:r w:rsidRPr="005E3B43">
        <w:tab/>
        <w:t>therapeutic goods that:</w:t>
      </w:r>
    </w:p>
    <w:p w14:paraId="76B72A50" w14:textId="77777777" w:rsidR="00B11D7F" w:rsidRPr="005E3B43" w:rsidRDefault="00B11D7F" w:rsidP="00763BCF">
      <w:pPr>
        <w:pStyle w:val="paragraphsub"/>
      </w:pPr>
      <w:r w:rsidRPr="005E3B43">
        <w:tab/>
        <w:t>(i)</w:t>
      </w:r>
      <w:r w:rsidRPr="005E3B43">
        <w:tab/>
        <w:t>are, or contain, a substance that is included in Schedule 3, 4 or 8 to the current Poisons Standard and is not included in Appendix H to the current Poisons Standard; and</w:t>
      </w:r>
    </w:p>
    <w:p w14:paraId="6BDF2E2E" w14:textId="77777777" w:rsidR="00B11D7F" w:rsidRPr="005E3B43" w:rsidRDefault="00B11D7F" w:rsidP="00763BCF">
      <w:pPr>
        <w:pStyle w:val="paragraphsub"/>
      </w:pPr>
      <w:r w:rsidRPr="005E3B43">
        <w:tab/>
        <w:t>(ii)</w:t>
      </w:r>
      <w:r w:rsidRPr="005E3B43">
        <w:tab/>
        <w:t>are extemporaneously compounded for a particular person for therapeutic application to that person.</w:t>
      </w:r>
    </w:p>
    <w:p w14:paraId="6BFB82EF" w14:textId="77777777" w:rsidR="00220823" w:rsidRPr="005E3B43" w:rsidRDefault="00220823" w:rsidP="00763BCF">
      <w:pPr>
        <w:pStyle w:val="ActHead5"/>
      </w:pPr>
      <w:bookmarkStart w:id="17" w:name="_Toc187135612"/>
      <w:r w:rsidRPr="005E3B43">
        <w:rPr>
          <w:rStyle w:val="CharSectno"/>
        </w:rPr>
        <w:t>7A</w:t>
      </w:r>
      <w:r w:rsidRPr="005E3B43">
        <w:t xml:space="preserve">  Publisher exception for civil penalty provisions</w:t>
      </w:r>
      <w:bookmarkEnd w:id="17"/>
    </w:p>
    <w:p w14:paraId="2ADAFE24" w14:textId="77777777" w:rsidR="00220823" w:rsidRPr="005E3B43" w:rsidRDefault="00220823" w:rsidP="00763BCF">
      <w:pPr>
        <w:pStyle w:val="subsection"/>
      </w:pPr>
      <w:r w:rsidRPr="005E3B43">
        <w:tab/>
      </w:r>
      <w:r w:rsidRPr="005E3B43">
        <w:tab/>
        <w:t>For the purposes of paragraphs 42DLB(10)(a) and 42DMA(2)(a) of the Act, a kind of person is a publisher of a print edition of a newspaper or magazine that is or was available to the public by way of purchase in Australia.</w:t>
      </w:r>
    </w:p>
    <w:p w14:paraId="2E547389" w14:textId="77777777" w:rsidR="00207B1C" w:rsidRPr="005E3B43" w:rsidRDefault="00BE7FAC" w:rsidP="00763BCF">
      <w:pPr>
        <w:pStyle w:val="ActHead3"/>
        <w:pageBreakBefore/>
      </w:pPr>
      <w:bookmarkStart w:id="18" w:name="_Toc187135613"/>
      <w:r w:rsidRPr="005E3B43">
        <w:rPr>
          <w:rStyle w:val="CharDivNo"/>
        </w:rPr>
        <w:lastRenderedPageBreak/>
        <w:t>Division 4</w:t>
      </w:r>
      <w:r w:rsidR="00E20BA4" w:rsidRPr="005E3B43">
        <w:t>—</w:t>
      </w:r>
      <w:r w:rsidR="00207B1C" w:rsidRPr="005E3B43">
        <w:rPr>
          <w:rStyle w:val="CharDivText"/>
        </w:rPr>
        <w:t>Generic information about ingredients or components of therapeutic goods</w:t>
      </w:r>
      <w:bookmarkEnd w:id="18"/>
    </w:p>
    <w:p w14:paraId="78E11B0B" w14:textId="77777777" w:rsidR="00207B1C" w:rsidRPr="005E3B43" w:rsidRDefault="00207B1C" w:rsidP="00763BCF">
      <w:pPr>
        <w:pStyle w:val="ActHead5"/>
      </w:pPr>
      <w:bookmarkStart w:id="19" w:name="_Toc187135614"/>
      <w:r w:rsidRPr="005E3B43">
        <w:rPr>
          <w:rStyle w:val="CharSectno"/>
        </w:rPr>
        <w:t>8</w:t>
      </w:r>
      <w:r w:rsidR="00E20BA4" w:rsidRPr="005E3B43">
        <w:t xml:space="preserve">  </w:t>
      </w:r>
      <w:r w:rsidRPr="005E3B43">
        <w:t>Compliance with the Code</w:t>
      </w:r>
      <w:bookmarkEnd w:id="19"/>
    </w:p>
    <w:p w14:paraId="6ED771C0" w14:textId="77777777" w:rsidR="00207B1C" w:rsidRPr="005E3B43" w:rsidRDefault="00207B1C" w:rsidP="00763BCF">
      <w:pPr>
        <w:pStyle w:val="subsection"/>
      </w:pPr>
      <w:r w:rsidRPr="005E3B43">
        <w:tab/>
      </w:r>
      <w:r w:rsidRPr="005E3B43">
        <w:tab/>
        <w:t>For section</w:t>
      </w:r>
      <w:r w:rsidR="004E6D00" w:rsidRPr="005E3B43">
        <w:t> </w:t>
      </w:r>
      <w:r w:rsidRPr="005E3B43">
        <w:t xml:space="preserve">42DO of the Act, </w:t>
      </w:r>
      <w:r w:rsidR="00CA3152" w:rsidRPr="005E3B43">
        <w:t>sections 8, 9, 10, 11, 12, 24 (to the extent that it relates to endorsements) and 26</w:t>
      </w:r>
      <w:r w:rsidR="006C2251" w:rsidRPr="005E3B43">
        <w:t xml:space="preserve"> of the Therapeutic Goods Advertising Code are prescribed</w:t>
      </w:r>
      <w:r w:rsidRPr="005E3B43">
        <w:t>.</w:t>
      </w:r>
    </w:p>
    <w:p w14:paraId="5A33BD39" w14:textId="77777777" w:rsidR="008B7F3D" w:rsidRPr="005E3B43" w:rsidRDefault="008B7F3D" w:rsidP="00763BCF">
      <w:pPr>
        <w:pStyle w:val="notetext"/>
      </w:pPr>
      <w:r w:rsidRPr="005E3B43">
        <w:t>Note:</w:t>
      </w:r>
      <w:r w:rsidRPr="005E3B43">
        <w:tab/>
        <w:t xml:space="preserve">The application of those sections is affected by </w:t>
      </w:r>
      <w:r w:rsidR="00CA3152" w:rsidRPr="005E3B43">
        <w:t>sections 5 and 6</w:t>
      </w:r>
      <w:r w:rsidRPr="005E3B43">
        <w:t xml:space="preserve"> of the Code.</w:t>
      </w:r>
    </w:p>
    <w:p w14:paraId="0DEF11E5" w14:textId="77777777" w:rsidR="00207B1C" w:rsidRPr="005E3B43" w:rsidRDefault="006B5D8E" w:rsidP="00763BCF">
      <w:pPr>
        <w:pStyle w:val="ActHead2"/>
        <w:pageBreakBefore/>
      </w:pPr>
      <w:bookmarkStart w:id="20" w:name="_Toc187135615"/>
      <w:r w:rsidRPr="005E3B43">
        <w:rPr>
          <w:rStyle w:val="CharPartNo"/>
        </w:rPr>
        <w:lastRenderedPageBreak/>
        <w:t>Part 2</w:t>
      </w:r>
      <w:r w:rsidR="00207B1C" w:rsidRPr="005E3B43">
        <w:rPr>
          <w:rStyle w:val="CharPartNo"/>
        </w:rPr>
        <w:t>A</w:t>
      </w:r>
      <w:r w:rsidR="00E20BA4" w:rsidRPr="005E3B43">
        <w:t>—</w:t>
      </w:r>
      <w:r w:rsidR="00207B1C" w:rsidRPr="005E3B43">
        <w:rPr>
          <w:rStyle w:val="CharPartText"/>
        </w:rPr>
        <w:t>Patient information</w:t>
      </w:r>
      <w:bookmarkEnd w:id="20"/>
    </w:p>
    <w:p w14:paraId="278E3E08" w14:textId="77777777" w:rsidR="00207B1C" w:rsidRPr="005E3B43" w:rsidRDefault="00E20BA4" w:rsidP="00763BCF">
      <w:pPr>
        <w:pStyle w:val="Header"/>
      </w:pPr>
      <w:r w:rsidRPr="005E3B43">
        <w:rPr>
          <w:rStyle w:val="CharDivNo"/>
        </w:rPr>
        <w:t xml:space="preserve"> </w:t>
      </w:r>
      <w:r w:rsidRPr="005E3B43">
        <w:rPr>
          <w:rStyle w:val="CharDivText"/>
        </w:rPr>
        <w:t xml:space="preserve"> </w:t>
      </w:r>
    </w:p>
    <w:p w14:paraId="16EE8975" w14:textId="77777777" w:rsidR="00207B1C" w:rsidRPr="005E3B43" w:rsidRDefault="00207B1C" w:rsidP="00763BCF">
      <w:pPr>
        <w:pStyle w:val="ActHead5"/>
      </w:pPr>
      <w:bookmarkStart w:id="21" w:name="_Toc187135616"/>
      <w:r w:rsidRPr="005E3B43">
        <w:rPr>
          <w:rStyle w:val="CharSectno"/>
        </w:rPr>
        <w:t>9A</w:t>
      </w:r>
      <w:r w:rsidR="00E20BA4" w:rsidRPr="005E3B43">
        <w:t xml:space="preserve">  </w:t>
      </w:r>
      <w:r w:rsidRPr="005E3B43">
        <w:t>Information about certain therapeutic goods to be supplied</w:t>
      </w:r>
      <w:bookmarkEnd w:id="21"/>
    </w:p>
    <w:p w14:paraId="581C0B18" w14:textId="77777777" w:rsidR="00207B1C" w:rsidRPr="005E3B43" w:rsidRDefault="00207B1C" w:rsidP="00763BCF">
      <w:pPr>
        <w:pStyle w:val="subsection"/>
      </w:pPr>
      <w:r w:rsidRPr="005E3B43">
        <w:tab/>
        <w:t>(1)</w:t>
      </w:r>
      <w:r w:rsidRPr="005E3B43">
        <w:tab/>
        <w:t>The sponsor of therapeutic goods that are specified in Part</w:t>
      </w:r>
      <w:r w:rsidR="004E6D00" w:rsidRPr="005E3B43">
        <w:t> </w:t>
      </w:r>
      <w:r w:rsidRPr="005E3B43">
        <w:t xml:space="preserve">1 of </w:t>
      </w:r>
      <w:r w:rsidR="008D1B4F" w:rsidRPr="005E3B43">
        <w:t>Schedule 1</w:t>
      </w:r>
      <w:r w:rsidRPr="005E3B43">
        <w:t xml:space="preserve">0 </w:t>
      </w:r>
      <w:r w:rsidR="004F7F14" w:rsidRPr="005E3B43">
        <w:t xml:space="preserve">and are included in the Register </w:t>
      </w:r>
      <w:r w:rsidRPr="005E3B43">
        <w:t xml:space="preserve">must not supply the goods if the sponsor does not supply with the goods written information about the goods that meets the requirements for a </w:t>
      </w:r>
      <w:r w:rsidR="00AF01CF" w:rsidRPr="005E3B43">
        <w:t>consumer medicine information document</w:t>
      </w:r>
      <w:r w:rsidRPr="005E3B43">
        <w:t xml:space="preserve"> set out in </w:t>
      </w:r>
      <w:r w:rsidR="008D1B4F" w:rsidRPr="005E3B43">
        <w:t>Schedule 1</w:t>
      </w:r>
      <w:r w:rsidRPr="005E3B43">
        <w:t>2.</w:t>
      </w:r>
    </w:p>
    <w:p w14:paraId="46E27D65" w14:textId="77777777" w:rsidR="00207B1C" w:rsidRPr="005E3B43" w:rsidRDefault="00E20BA4" w:rsidP="00763BCF">
      <w:pPr>
        <w:pStyle w:val="Penalty"/>
        <w:rPr>
          <w:color w:val="000000"/>
        </w:rPr>
      </w:pPr>
      <w:r w:rsidRPr="005E3B43">
        <w:t>Penalty:</w:t>
      </w:r>
      <w:r w:rsidRPr="005E3B43">
        <w:tab/>
      </w:r>
      <w:r w:rsidR="00207B1C" w:rsidRPr="005E3B43">
        <w:t>10</w:t>
      </w:r>
      <w:r w:rsidR="00207B1C" w:rsidRPr="005E3B43">
        <w:rPr>
          <w:color w:val="000000"/>
        </w:rPr>
        <w:t xml:space="preserve"> penalty units.</w:t>
      </w:r>
    </w:p>
    <w:p w14:paraId="79F1782F" w14:textId="77777777" w:rsidR="00207B1C" w:rsidRPr="005E3B43" w:rsidRDefault="00E20BA4" w:rsidP="00763BCF">
      <w:pPr>
        <w:pStyle w:val="notetext"/>
      </w:pPr>
      <w:r w:rsidRPr="005E3B43">
        <w:t>Note:</w:t>
      </w:r>
      <w:r w:rsidRPr="005E3B43">
        <w:tab/>
      </w:r>
      <w:r w:rsidR="00207B1C" w:rsidRPr="005E3B43">
        <w:t>Additional information must be provided in relation to certain therapeutic goods (other than medical devices) that are manufactured using a human embryo or human embryonic stem cell, or any other material sourced from a human embryo or human embryonic stem cell</w:t>
      </w:r>
      <w:r w:rsidRPr="005E3B43">
        <w:t>—</w:t>
      </w:r>
      <w:r w:rsidR="00207B1C" w:rsidRPr="005E3B43">
        <w:t>see regulation</w:t>
      </w:r>
      <w:r w:rsidR="004E6D00" w:rsidRPr="005E3B43">
        <w:t> </w:t>
      </w:r>
      <w:r w:rsidR="00207B1C" w:rsidRPr="005E3B43">
        <w:t>9B.</w:t>
      </w:r>
    </w:p>
    <w:p w14:paraId="3F9CA3E0" w14:textId="77777777" w:rsidR="00207B1C" w:rsidRPr="005E3B43" w:rsidRDefault="00B50921" w:rsidP="00763BCF">
      <w:pPr>
        <w:pStyle w:val="subsection"/>
      </w:pPr>
      <w:r w:rsidRPr="005E3B43">
        <w:tab/>
      </w:r>
      <w:r w:rsidR="00207B1C" w:rsidRPr="005E3B43">
        <w:t>(1AAA)</w:t>
      </w:r>
      <w:r w:rsidR="00207B1C" w:rsidRPr="005E3B43">
        <w:tab/>
        <w:t>For subregulation</w:t>
      </w:r>
      <w:r w:rsidR="002B4943" w:rsidRPr="005E3B43">
        <w:t> </w:t>
      </w:r>
      <w:r w:rsidR="00207B1C" w:rsidRPr="005E3B43">
        <w:t>(1), strict liability applies to the physical element that the goods are specified in Part</w:t>
      </w:r>
      <w:r w:rsidR="004E6D00" w:rsidRPr="005E3B43">
        <w:t> </w:t>
      </w:r>
      <w:r w:rsidR="00207B1C" w:rsidRPr="005E3B43">
        <w:t xml:space="preserve">1 of </w:t>
      </w:r>
      <w:r w:rsidR="008D1B4F" w:rsidRPr="005E3B43">
        <w:t>Schedule 1</w:t>
      </w:r>
      <w:r w:rsidR="00207B1C" w:rsidRPr="005E3B43">
        <w:t>0.</w:t>
      </w:r>
    </w:p>
    <w:p w14:paraId="7747AB81" w14:textId="77777777" w:rsidR="00207B1C" w:rsidRPr="005E3B43" w:rsidRDefault="00E20BA4" w:rsidP="00763BCF">
      <w:pPr>
        <w:pStyle w:val="notetext"/>
      </w:pPr>
      <w:r w:rsidRPr="005E3B43">
        <w:t>Note:</w:t>
      </w:r>
      <w:r w:rsidRPr="005E3B43">
        <w:tab/>
      </w:r>
      <w:r w:rsidR="00207B1C" w:rsidRPr="005E3B43">
        <w:t xml:space="preserve">For </w:t>
      </w:r>
      <w:r w:rsidR="00207B1C" w:rsidRPr="005E3B43">
        <w:rPr>
          <w:b/>
          <w:i/>
        </w:rPr>
        <w:t>strict liability</w:t>
      </w:r>
      <w:r w:rsidR="00207B1C" w:rsidRPr="005E3B43">
        <w:t>, see section</w:t>
      </w:r>
      <w:r w:rsidR="004E6D00" w:rsidRPr="005E3B43">
        <w:t> </w:t>
      </w:r>
      <w:r w:rsidR="00207B1C" w:rsidRPr="005E3B43">
        <w:t xml:space="preserve">6.1 of the </w:t>
      </w:r>
      <w:r w:rsidR="00207B1C" w:rsidRPr="005E3B43">
        <w:rPr>
          <w:i/>
        </w:rPr>
        <w:t>Criminal Code</w:t>
      </w:r>
      <w:r w:rsidR="00207B1C" w:rsidRPr="005E3B43">
        <w:t>.</w:t>
      </w:r>
    </w:p>
    <w:p w14:paraId="138B599E" w14:textId="77777777" w:rsidR="00207B1C" w:rsidRPr="005E3B43" w:rsidRDefault="00207B1C" w:rsidP="00763BCF">
      <w:pPr>
        <w:pStyle w:val="subsection"/>
      </w:pPr>
      <w:r w:rsidRPr="005E3B43">
        <w:tab/>
        <w:t>(1AA)</w:t>
      </w:r>
      <w:r w:rsidRPr="005E3B43">
        <w:tab/>
        <w:t>It is a defence to a prosecution under subregulation</w:t>
      </w:r>
      <w:r w:rsidR="002B4943" w:rsidRPr="005E3B43">
        <w:t> </w:t>
      </w:r>
      <w:r w:rsidRPr="005E3B43">
        <w:t>(1) if the goods are specified in Schedule</w:t>
      </w:r>
      <w:r w:rsidR="004E6D00" w:rsidRPr="005E3B43">
        <w:t> </w:t>
      </w:r>
      <w:r w:rsidRPr="005E3B43">
        <w:t>3 to the Poisons Standard.</w:t>
      </w:r>
    </w:p>
    <w:p w14:paraId="63F9CFA6" w14:textId="04015F07" w:rsidR="00207B1C" w:rsidRPr="005E3B43" w:rsidRDefault="00E20BA4" w:rsidP="00763BCF">
      <w:pPr>
        <w:pStyle w:val="notetext"/>
      </w:pPr>
      <w:r w:rsidRPr="005E3B43">
        <w:t>Note:</w:t>
      </w:r>
      <w:r w:rsidRPr="005E3B43">
        <w:tab/>
      </w:r>
      <w:r w:rsidR="00207B1C" w:rsidRPr="005E3B43">
        <w:t>A defendant bears an evidential burden in relation to the matters mentioned in subregulation</w:t>
      </w:r>
      <w:r w:rsidR="002B4943" w:rsidRPr="005E3B43">
        <w:t> </w:t>
      </w:r>
      <w:r w:rsidR="00207B1C" w:rsidRPr="005E3B43">
        <w:t xml:space="preserve">(1AA) (see </w:t>
      </w:r>
      <w:r w:rsidR="007C3215">
        <w:t>section 1</w:t>
      </w:r>
      <w:r w:rsidR="00207B1C" w:rsidRPr="005E3B43">
        <w:t xml:space="preserve">3.3 of the </w:t>
      </w:r>
      <w:r w:rsidR="00207B1C" w:rsidRPr="005E3B43">
        <w:rPr>
          <w:i/>
        </w:rPr>
        <w:t>Criminal Code</w:t>
      </w:r>
      <w:r w:rsidR="00207B1C" w:rsidRPr="005E3B43">
        <w:t>).</w:t>
      </w:r>
    </w:p>
    <w:p w14:paraId="019FF790" w14:textId="77777777" w:rsidR="00207B1C" w:rsidRPr="005E3B43" w:rsidRDefault="00207B1C" w:rsidP="00763BCF">
      <w:pPr>
        <w:pStyle w:val="subsection"/>
      </w:pPr>
      <w:r w:rsidRPr="005E3B43">
        <w:tab/>
        <w:t>(1A)</w:t>
      </w:r>
      <w:r w:rsidRPr="005E3B43">
        <w:tab/>
        <w:t>The sponsor of therapeutic goods that are:</w:t>
      </w:r>
    </w:p>
    <w:p w14:paraId="70E90422" w14:textId="77777777" w:rsidR="00207B1C" w:rsidRPr="005E3B43" w:rsidRDefault="00207B1C" w:rsidP="00763BCF">
      <w:pPr>
        <w:pStyle w:val="paragraph"/>
      </w:pPr>
      <w:r w:rsidRPr="005E3B43">
        <w:tab/>
        <w:t>(a)</w:t>
      </w:r>
      <w:r w:rsidRPr="005E3B43">
        <w:tab/>
        <w:t>specified in Schedule</w:t>
      </w:r>
      <w:r w:rsidR="004E6D00" w:rsidRPr="005E3B43">
        <w:t> </w:t>
      </w:r>
      <w:r w:rsidRPr="005E3B43">
        <w:t>3 of the Poisons Standard; and</w:t>
      </w:r>
    </w:p>
    <w:p w14:paraId="36508EBB" w14:textId="77777777" w:rsidR="00207B1C" w:rsidRPr="005E3B43" w:rsidRDefault="00207B1C" w:rsidP="00763BCF">
      <w:pPr>
        <w:pStyle w:val="paragraph"/>
      </w:pPr>
      <w:r w:rsidRPr="005E3B43">
        <w:tab/>
        <w:t>(b)</w:t>
      </w:r>
      <w:r w:rsidRPr="005E3B43">
        <w:tab/>
        <w:t>approved for registration on or after 4</w:t>
      </w:r>
      <w:r w:rsidR="004E6D00" w:rsidRPr="005E3B43">
        <w:t> </w:t>
      </w:r>
      <w:r w:rsidRPr="005E3B43">
        <w:t>July 1995;</w:t>
      </w:r>
      <w:r w:rsidR="004F7F14" w:rsidRPr="005E3B43">
        <w:t xml:space="preserve"> and</w:t>
      </w:r>
    </w:p>
    <w:p w14:paraId="4B805D0C" w14:textId="77777777" w:rsidR="004F7F14" w:rsidRPr="005E3B43" w:rsidRDefault="004F7F14" w:rsidP="00763BCF">
      <w:pPr>
        <w:pStyle w:val="paragraph"/>
      </w:pPr>
      <w:r w:rsidRPr="005E3B43">
        <w:tab/>
        <w:t>(c)</w:t>
      </w:r>
      <w:r w:rsidRPr="005E3B43">
        <w:tab/>
        <w:t>included in the Register;</w:t>
      </w:r>
    </w:p>
    <w:p w14:paraId="167E6948" w14:textId="77777777" w:rsidR="00207B1C" w:rsidRPr="005E3B43" w:rsidRDefault="00207B1C" w:rsidP="00763BCF">
      <w:pPr>
        <w:pStyle w:val="subsection2"/>
      </w:pPr>
      <w:r w:rsidRPr="005E3B43">
        <w:t xml:space="preserve">must not supply the goods if the sponsor does not supply with the goods written information about the goods that meets the requirements for a </w:t>
      </w:r>
      <w:r w:rsidR="00AF01CF" w:rsidRPr="005E3B43">
        <w:t>consumer medicine information document</w:t>
      </w:r>
      <w:r w:rsidRPr="005E3B43">
        <w:t xml:space="preserve"> set out in </w:t>
      </w:r>
      <w:r w:rsidR="008D1B4F" w:rsidRPr="005E3B43">
        <w:t>Schedule 1</w:t>
      </w:r>
      <w:r w:rsidRPr="005E3B43">
        <w:t>3.</w:t>
      </w:r>
    </w:p>
    <w:p w14:paraId="0A99B36B" w14:textId="77777777" w:rsidR="00207B1C" w:rsidRPr="005E3B43" w:rsidRDefault="00E20BA4" w:rsidP="00763BCF">
      <w:pPr>
        <w:pStyle w:val="Penalty"/>
      </w:pPr>
      <w:r w:rsidRPr="005E3B43">
        <w:t>Penalty:</w:t>
      </w:r>
      <w:r w:rsidRPr="005E3B43">
        <w:tab/>
      </w:r>
      <w:r w:rsidR="00207B1C" w:rsidRPr="005E3B43">
        <w:t>10 penalty units.</w:t>
      </w:r>
    </w:p>
    <w:p w14:paraId="4584D58E" w14:textId="77777777" w:rsidR="00207B1C" w:rsidRPr="005E3B43" w:rsidRDefault="00207B1C" w:rsidP="00763BCF">
      <w:pPr>
        <w:pStyle w:val="subsection"/>
      </w:pPr>
      <w:r w:rsidRPr="005E3B43">
        <w:tab/>
        <w:t>(1B)</w:t>
      </w:r>
      <w:r w:rsidRPr="005E3B43">
        <w:tab/>
        <w:t xml:space="preserve">For the purposes of an offence under subregulation (1A), strict liability applies to the physical element mentioned in </w:t>
      </w:r>
      <w:r w:rsidR="004E6D00" w:rsidRPr="005E3B43">
        <w:t>paragraph (</w:t>
      </w:r>
      <w:r w:rsidRPr="005E3B43">
        <w:t>1A)(a).</w:t>
      </w:r>
    </w:p>
    <w:p w14:paraId="14017F95" w14:textId="77777777" w:rsidR="00207B1C" w:rsidRPr="005E3B43" w:rsidRDefault="00E20BA4" w:rsidP="00763BCF">
      <w:pPr>
        <w:pStyle w:val="notetext"/>
      </w:pPr>
      <w:r w:rsidRPr="005E3B43">
        <w:t>Note:</w:t>
      </w:r>
      <w:r w:rsidRPr="005E3B43">
        <w:tab/>
      </w:r>
      <w:r w:rsidR="00207B1C" w:rsidRPr="005E3B43">
        <w:t xml:space="preserve">For </w:t>
      </w:r>
      <w:r w:rsidR="00207B1C" w:rsidRPr="005E3B43">
        <w:rPr>
          <w:b/>
          <w:i/>
        </w:rPr>
        <w:t>strict liability</w:t>
      </w:r>
      <w:r w:rsidR="00207B1C" w:rsidRPr="005E3B43">
        <w:t>, see section</w:t>
      </w:r>
      <w:r w:rsidR="004E6D00" w:rsidRPr="005E3B43">
        <w:t> </w:t>
      </w:r>
      <w:r w:rsidR="00207B1C" w:rsidRPr="005E3B43">
        <w:t xml:space="preserve">6.1 of the </w:t>
      </w:r>
      <w:r w:rsidR="00207B1C" w:rsidRPr="005E3B43">
        <w:rPr>
          <w:i/>
        </w:rPr>
        <w:t>Criminal Code</w:t>
      </w:r>
      <w:r w:rsidR="00207B1C" w:rsidRPr="005E3B43">
        <w:t>.</w:t>
      </w:r>
    </w:p>
    <w:p w14:paraId="18882630" w14:textId="77777777" w:rsidR="00207B1C" w:rsidRPr="005E3B43" w:rsidRDefault="00207B1C" w:rsidP="00763BCF">
      <w:pPr>
        <w:pStyle w:val="subsection"/>
      </w:pPr>
      <w:r w:rsidRPr="005E3B43">
        <w:tab/>
        <w:t>(2)</w:t>
      </w:r>
      <w:r w:rsidRPr="005E3B43">
        <w:tab/>
        <w:t>For the purposes of subregulation</w:t>
      </w:r>
      <w:r w:rsidR="002B4943" w:rsidRPr="005E3B43">
        <w:t> </w:t>
      </w:r>
      <w:r w:rsidRPr="005E3B43">
        <w:t>(1) or (1A), information must be provided:</w:t>
      </w:r>
    </w:p>
    <w:p w14:paraId="3A2DB59D" w14:textId="77777777" w:rsidR="00207B1C" w:rsidRPr="005E3B43" w:rsidRDefault="00207B1C" w:rsidP="00763BCF">
      <w:pPr>
        <w:pStyle w:val="paragraph"/>
      </w:pPr>
      <w:r w:rsidRPr="005E3B43">
        <w:tab/>
        <w:t>(a)</w:t>
      </w:r>
      <w:r w:rsidRPr="005E3B43">
        <w:tab/>
        <w:t>in the primary pack in which the therapeutic goods are supplied; or</w:t>
      </w:r>
    </w:p>
    <w:p w14:paraId="069D0807" w14:textId="77777777" w:rsidR="00207B1C" w:rsidRPr="005E3B43" w:rsidRDefault="00207B1C" w:rsidP="00763BCF">
      <w:pPr>
        <w:pStyle w:val="paragraph"/>
      </w:pPr>
      <w:r w:rsidRPr="005E3B43">
        <w:tab/>
        <w:t>(b)</w:t>
      </w:r>
      <w:r w:rsidRPr="005E3B43">
        <w:tab/>
        <w:t>in another manner that will enable the information to be given to a person to whom the goods are administered or otherwise dispensed.</w:t>
      </w:r>
    </w:p>
    <w:p w14:paraId="5149ACAA" w14:textId="77777777" w:rsidR="00207B1C" w:rsidRPr="005E3B43" w:rsidRDefault="00207B1C" w:rsidP="00763BCF">
      <w:pPr>
        <w:pStyle w:val="ActHead5"/>
      </w:pPr>
      <w:bookmarkStart w:id="22" w:name="_Toc187135617"/>
      <w:r w:rsidRPr="005E3B43">
        <w:rPr>
          <w:rStyle w:val="CharSectno"/>
        </w:rPr>
        <w:lastRenderedPageBreak/>
        <w:t>9B</w:t>
      </w:r>
      <w:r w:rsidR="00E20BA4" w:rsidRPr="005E3B43">
        <w:t xml:space="preserve">  </w:t>
      </w:r>
      <w:r w:rsidRPr="005E3B43">
        <w:t>Information about therapeutic goods manufactured using human embryos</w:t>
      </w:r>
      <w:bookmarkEnd w:id="22"/>
    </w:p>
    <w:p w14:paraId="1271D179" w14:textId="77777777" w:rsidR="00207B1C" w:rsidRPr="005E3B43" w:rsidRDefault="00207B1C" w:rsidP="00763BCF">
      <w:pPr>
        <w:pStyle w:val="subsection"/>
      </w:pPr>
      <w:r w:rsidRPr="005E3B43">
        <w:tab/>
        <w:t>(1)</w:t>
      </w:r>
      <w:r w:rsidRPr="005E3B43">
        <w:tab/>
        <w:t>A sponsor of therapeutic goods (other than medical devices) commits an offence if:</w:t>
      </w:r>
    </w:p>
    <w:p w14:paraId="337DCF06" w14:textId="77777777" w:rsidR="00207B1C" w:rsidRPr="005E3B43" w:rsidRDefault="00207B1C" w:rsidP="00763BCF">
      <w:pPr>
        <w:pStyle w:val="paragraph"/>
      </w:pPr>
      <w:r w:rsidRPr="005E3B43">
        <w:tab/>
        <w:t>(a)</w:t>
      </w:r>
      <w:r w:rsidRPr="005E3B43">
        <w:tab/>
        <w:t xml:space="preserve">the sponsor supplies the goods on or after </w:t>
      </w:r>
      <w:r w:rsidR="006B5D8E" w:rsidRPr="005E3B43">
        <w:t>1 July</w:t>
      </w:r>
      <w:r w:rsidRPr="005E3B43">
        <w:t xml:space="preserve"> 2004; and</w:t>
      </w:r>
    </w:p>
    <w:p w14:paraId="7C7BD844" w14:textId="77777777" w:rsidR="00207B1C" w:rsidRPr="005E3B43" w:rsidRDefault="00207B1C" w:rsidP="00763BCF">
      <w:pPr>
        <w:pStyle w:val="paragraph"/>
      </w:pPr>
      <w:r w:rsidRPr="005E3B43">
        <w:tab/>
        <w:t>(b)</w:t>
      </w:r>
      <w:r w:rsidRPr="005E3B43">
        <w:tab/>
        <w:t>the sponsor knows the goods were manufactured using a human embryo or human embryonic stem cell, or other material sourced from a human embryo or human embryonic stem cell; and</w:t>
      </w:r>
    </w:p>
    <w:p w14:paraId="3624A6A9" w14:textId="77777777" w:rsidR="00207B1C" w:rsidRPr="005E3B43" w:rsidRDefault="00207B1C" w:rsidP="00763BCF">
      <w:pPr>
        <w:pStyle w:val="paragraph"/>
      </w:pPr>
      <w:r w:rsidRPr="005E3B43">
        <w:tab/>
        <w:t>(c)</w:t>
      </w:r>
      <w:r w:rsidRPr="005E3B43">
        <w:tab/>
        <w:t>the goods are of a kind specified in Part</w:t>
      </w:r>
      <w:r w:rsidR="004E6D00" w:rsidRPr="005E3B43">
        <w:t> </w:t>
      </w:r>
      <w:r w:rsidRPr="005E3B43">
        <w:t xml:space="preserve">1 of </w:t>
      </w:r>
      <w:r w:rsidR="008D1B4F" w:rsidRPr="005E3B43">
        <w:t>Schedule 1</w:t>
      </w:r>
      <w:r w:rsidRPr="005E3B43">
        <w:t>0; and</w:t>
      </w:r>
    </w:p>
    <w:p w14:paraId="371A61E9" w14:textId="77777777" w:rsidR="00207B1C" w:rsidRPr="005E3B43" w:rsidRDefault="00207B1C" w:rsidP="00763BCF">
      <w:pPr>
        <w:pStyle w:val="paragraph"/>
      </w:pPr>
      <w:r w:rsidRPr="005E3B43">
        <w:tab/>
        <w:t>(d)</w:t>
      </w:r>
      <w:r w:rsidRPr="005E3B43">
        <w:tab/>
        <w:t xml:space="preserve">on or after </w:t>
      </w:r>
      <w:r w:rsidR="006B5D8E" w:rsidRPr="005E3B43">
        <w:t>1 July</w:t>
      </w:r>
      <w:r w:rsidRPr="005E3B43">
        <w:t xml:space="preserve"> 2004, the goods are included in the part of the Register for goods known as registered goods</w:t>
      </w:r>
      <w:r w:rsidR="006A1571" w:rsidRPr="005E3B43">
        <w:t xml:space="preserve"> or in the part of the Register for goods known as provisionally registered goods</w:t>
      </w:r>
      <w:r w:rsidRPr="005E3B43">
        <w:t>; and</w:t>
      </w:r>
    </w:p>
    <w:p w14:paraId="0A2AEA2F" w14:textId="77777777" w:rsidR="00207B1C" w:rsidRPr="005E3B43" w:rsidRDefault="00207B1C" w:rsidP="00763BCF">
      <w:pPr>
        <w:pStyle w:val="paragraph"/>
      </w:pPr>
      <w:r w:rsidRPr="005E3B43">
        <w:tab/>
        <w:t>(e)</w:t>
      </w:r>
      <w:r w:rsidRPr="005E3B43">
        <w:tab/>
        <w:t>the goods are supplied without written information stating that the goods were manufactured using a human embryo or human embryonic stem cell, or other material sourced from a human embryo or human embryonic stem cell.</w:t>
      </w:r>
    </w:p>
    <w:p w14:paraId="2B66CBF1" w14:textId="77777777" w:rsidR="00207B1C" w:rsidRPr="005E3B43" w:rsidRDefault="00E20BA4" w:rsidP="00763BCF">
      <w:pPr>
        <w:pStyle w:val="Penalty"/>
      </w:pPr>
      <w:r w:rsidRPr="005E3B43">
        <w:t>Penalty:</w:t>
      </w:r>
      <w:r w:rsidRPr="005E3B43">
        <w:tab/>
      </w:r>
      <w:r w:rsidR="00207B1C" w:rsidRPr="005E3B43">
        <w:t>10 penalty units.</w:t>
      </w:r>
    </w:p>
    <w:p w14:paraId="21AA9F3D" w14:textId="77777777" w:rsidR="00207B1C" w:rsidRPr="005E3B43" w:rsidRDefault="00207B1C" w:rsidP="00763BCF">
      <w:pPr>
        <w:pStyle w:val="subsection"/>
      </w:pPr>
      <w:r w:rsidRPr="005E3B43">
        <w:tab/>
        <w:t>(2)</w:t>
      </w:r>
      <w:r w:rsidRPr="005E3B43">
        <w:tab/>
        <w:t xml:space="preserve">Strict liability applies to the physical elements mentioned in </w:t>
      </w:r>
      <w:r w:rsidR="004E6D00" w:rsidRPr="005E3B43">
        <w:t>paragraphs (</w:t>
      </w:r>
      <w:r w:rsidRPr="005E3B43">
        <w:t>1)(c), (d) and (e).</w:t>
      </w:r>
    </w:p>
    <w:p w14:paraId="29ABB3F7" w14:textId="77777777" w:rsidR="00207B1C" w:rsidRPr="005E3B43" w:rsidRDefault="00207B1C" w:rsidP="00763BCF">
      <w:pPr>
        <w:pStyle w:val="subsection"/>
      </w:pPr>
      <w:r w:rsidRPr="005E3B43">
        <w:tab/>
        <w:t>(3)</w:t>
      </w:r>
      <w:r w:rsidRPr="005E3B43">
        <w:tab/>
        <w:t>The information in relation to the therapeutic goods must be included in:</w:t>
      </w:r>
    </w:p>
    <w:p w14:paraId="3B23C52D" w14:textId="77777777" w:rsidR="00207B1C" w:rsidRPr="005E3B43" w:rsidRDefault="00207B1C" w:rsidP="00763BCF">
      <w:pPr>
        <w:pStyle w:val="paragraph"/>
      </w:pPr>
      <w:r w:rsidRPr="005E3B43">
        <w:tab/>
        <w:t>(a)</w:t>
      </w:r>
      <w:r w:rsidRPr="005E3B43">
        <w:tab/>
        <w:t xml:space="preserve">the </w:t>
      </w:r>
      <w:r w:rsidR="00AF01CF" w:rsidRPr="005E3B43">
        <w:t>consumer medicine information document</w:t>
      </w:r>
      <w:r w:rsidRPr="005E3B43">
        <w:t xml:space="preserve"> required under regulation</w:t>
      </w:r>
      <w:r w:rsidR="004E6D00" w:rsidRPr="005E3B43">
        <w:t> </w:t>
      </w:r>
      <w:r w:rsidRPr="005E3B43">
        <w:t>9A; and</w:t>
      </w:r>
    </w:p>
    <w:p w14:paraId="66501CE5" w14:textId="77777777" w:rsidR="00207B1C" w:rsidRPr="005E3B43" w:rsidRDefault="00207B1C" w:rsidP="00763BCF">
      <w:pPr>
        <w:pStyle w:val="paragraph"/>
      </w:pPr>
      <w:r w:rsidRPr="005E3B43">
        <w:tab/>
        <w:t>(b)</w:t>
      </w:r>
      <w:r w:rsidRPr="005E3B43">
        <w:tab/>
        <w:t>the product information in relation to the goods.</w:t>
      </w:r>
    </w:p>
    <w:p w14:paraId="2A717D52" w14:textId="77777777" w:rsidR="00207B1C" w:rsidRPr="005E3B43" w:rsidRDefault="00207B1C" w:rsidP="00763BCF">
      <w:pPr>
        <w:pStyle w:val="subsection"/>
      </w:pPr>
      <w:r w:rsidRPr="005E3B43">
        <w:tab/>
        <w:t>(4)</w:t>
      </w:r>
      <w:r w:rsidRPr="005E3B43">
        <w:tab/>
        <w:t>In this regulation:</w:t>
      </w:r>
    </w:p>
    <w:p w14:paraId="5EE17D7E" w14:textId="220E658C" w:rsidR="00207B1C" w:rsidRPr="005E3B43" w:rsidRDefault="00207B1C" w:rsidP="00763BCF">
      <w:pPr>
        <w:pStyle w:val="Definition"/>
      </w:pPr>
      <w:r w:rsidRPr="005E3B43">
        <w:rPr>
          <w:b/>
          <w:i/>
        </w:rPr>
        <w:t xml:space="preserve">human embryo </w:t>
      </w:r>
      <w:r w:rsidRPr="005E3B43">
        <w:t>means a live embryo that has a human genome or an altered human genome and that has been developing for less than 8 weeks since the appearance of 2 pro</w:t>
      </w:r>
      <w:r w:rsidR="007C3215">
        <w:noBreakHyphen/>
      </w:r>
      <w:r w:rsidRPr="005E3B43">
        <w:t>nuclei or the initiation of its development by other means.</w:t>
      </w:r>
    </w:p>
    <w:p w14:paraId="0B98284A" w14:textId="77777777" w:rsidR="00207B1C" w:rsidRPr="005E3B43" w:rsidRDefault="00207B1C" w:rsidP="00763BCF">
      <w:pPr>
        <w:pStyle w:val="Definition"/>
      </w:pPr>
      <w:r w:rsidRPr="005E3B43">
        <w:rPr>
          <w:b/>
          <w:i/>
        </w:rPr>
        <w:t xml:space="preserve">human embryonic stem cell </w:t>
      </w:r>
      <w:r w:rsidRPr="005E3B43">
        <w:t>means undifferentiated cells derived from a human embryo that have the potential to become a wide variety of specialised cell types.</w:t>
      </w:r>
    </w:p>
    <w:p w14:paraId="674E465E" w14:textId="77777777" w:rsidR="00207B1C" w:rsidRPr="005E3B43" w:rsidRDefault="00207B1C" w:rsidP="00763BCF">
      <w:pPr>
        <w:pStyle w:val="subsection"/>
      </w:pPr>
      <w:r w:rsidRPr="005E3B43">
        <w:tab/>
        <w:t>(5)</w:t>
      </w:r>
      <w:r w:rsidRPr="005E3B43">
        <w:tab/>
        <w:t xml:space="preserve">For the purposes of the definition of </w:t>
      </w:r>
      <w:r w:rsidRPr="005E3B43">
        <w:rPr>
          <w:b/>
          <w:i/>
        </w:rPr>
        <w:t>human embryo</w:t>
      </w:r>
      <w:r w:rsidRPr="005E3B43">
        <w:t xml:space="preserve"> in subregulation</w:t>
      </w:r>
      <w:r w:rsidR="002B4943" w:rsidRPr="005E3B43">
        <w:t> </w:t>
      </w:r>
      <w:r w:rsidRPr="005E3B43">
        <w:t>(4), in working out the length of the period of development of a human embryo, any period when the development of the embryo is suspended is to be disregarded.</w:t>
      </w:r>
    </w:p>
    <w:p w14:paraId="40EE79C9" w14:textId="77777777" w:rsidR="00207B1C" w:rsidRPr="005E3B43" w:rsidRDefault="006B5D8E" w:rsidP="00763BCF">
      <w:pPr>
        <w:pStyle w:val="ActHead2"/>
        <w:pageBreakBefore/>
      </w:pPr>
      <w:bookmarkStart w:id="23" w:name="_Toc187135618"/>
      <w:r w:rsidRPr="005E3B43">
        <w:rPr>
          <w:rStyle w:val="CharPartNo"/>
        </w:rPr>
        <w:lastRenderedPageBreak/>
        <w:t>Part 2</w:t>
      </w:r>
      <w:r w:rsidR="00207B1C" w:rsidRPr="005E3B43">
        <w:rPr>
          <w:rStyle w:val="CharPartNo"/>
        </w:rPr>
        <w:t>C</w:t>
      </w:r>
      <w:r w:rsidR="00E20BA4" w:rsidRPr="005E3B43">
        <w:t>—</w:t>
      </w:r>
      <w:r w:rsidR="00207B1C" w:rsidRPr="005E3B43">
        <w:rPr>
          <w:rStyle w:val="CharPartText"/>
        </w:rPr>
        <w:t>Australian Register of Therapeutic Goods</w:t>
      </w:r>
      <w:bookmarkEnd w:id="23"/>
    </w:p>
    <w:p w14:paraId="17C2F49B" w14:textId="459AD536" w:rsidR="00207B1C" w:rsidRPr="005E3B43" w:rsidRDefault="007C3215" w:rsidP="00763BCF">
      <w:pPr>
        <w:pStyle w:val="ActHead3"/>
      </w:pPr>
      <w:bookmarkStart w:id="24" w:name="_Toc187135619"/>
      <w:r>
        <w:rPr>
          <w:rStyle w:val="CharDivNo"/>
        </w:rPr>
        <w:t>Division 2</w:t>
      </w:r>
      <w:r w:rsidR="00207B1C" w:rsidRPr="005E3B43">
        <w:rPr>
          <w:rStyle w:val="CharDivNo"/>
        </w:rPr>
        <w:t>C.1</w:t>
      </w:r>
      <w:r w:rsidR="00E20BA4" w:rsidRPr="005E3B43">
        <w:t>—</w:t>
      </w:r>
      <w:r w:rsidR="00207B1C" w:rsidRPr="005E3B43">
        <w:rPr>
          <w:rStyle w:val="CharDivText"/>
        </w:rPr>
        <w:t>Registered and listed therapeutic goods</w:t>
      </w:r>
      <w:bookmarkEnd w:id="24"/>
    </w:p>
    <w:p w14:paraId="2D2E96F5" w14:textId="77777777" w:rsidR="00207B1C" w:rsidRPr="005E3B43" w:rsidRDefault="00207B1C" w:rsidP="00763BCF">
      <w:pPr>
        <w:pStyle w:val="ActHead5"/>
      </w:pPr>
      <w:bookmarkStart w:id="25" w:name="_Toc187135620"/>
      <w:r w:rsidRPr="005E3B43">
        <w:rPr>
          <w:rStyle w:val="CharSectno"/>
        </w:rPr>
        <w:t>10</w:t>
      </w:r>
      <w:r w:rsidR="00E20BA4" w:rsidRPr="005E3B43">
        <w:t xml:space="preserve">  </w:t>
      </w:r>
      <w:r w:rsidRPr="005E3B43">
        <w:t>Goods to be included in parts of the Register (Act s 9A)</w:t>
      </w:r>
      <w:bookmarkEnd w:id="25"/>
    </w:p>
    <w:p w14:paraId="6F61F4C4" w14:textId="77777777" w:rsidR="00207B1C" w:rsidRPr="005E3B43" w:rsidRDefault="00207B1C" w:rsidP="00763BCF">
      <w:pPr>
        <w:pStyle w:val="subsection"/>
      </w:pPr>
      <w:r w:rsidRPr="005E3B43">
        <w:tab/>
      </w:r>
      <w:r w:rsidRPr="005E3B43">
        <w:tab/>
        <w:t>For paragraph</w:t>
      </w:r>
      <w:r w:rsidR="004E6D00" w:rsidRPr="005E3B43">
        <w:t> </w:t>
      </w:r>
      <w:r w:rsidRPr="005E3B43">
        <w:t>9A(4)(a) of the Act:</w:t>
      </w:r>
    </w:p>
    <w:p w14:paraId="1BF7F326" w14:textId="77777777" w:rsidR="00207B1C" w:rsidRPr="005E3B43" w:rsidRDefault="00207B1C" w:rsidP="00763BCF">
      <w:pPr>
        <w:pStyle w:val="paragraph"/>
      </w:pPr>
      <w:r w:rsidRPr="005E3B43">
        <w:tab/>
        <w:t>(a)</w:t>
      </w:r>
      <w:r w:rsidRPr="005E3B43">
        <w:tab/>
      </w:r>
      <w:r w:rsidR="000B20BC" w:rsidRPr="005E3B43">
        <w:t xml:space="preserve">subject to </w:t>
      </w:r>
      <w:r w:rsidR="004E6D00" w:rsidRPr="005E3B43">
        <w:t>paragraph (</w:t>
      </w:r>
      <w:r w:rsidR="000B20BC" w:rsidRPr="005E3B43">
        <w:t>aa), therapeutic goods,</w:t>
      </w:r>
      <w:r w:rsidR="0068599E" w:rsidRPr="005E3B43">
        <w:t xml:space="preserve"> </w:t>
      </w:r>
      <w:r w:rsidRPr="005E3B43">
        <w:t>and classes of therapeutic goods, of a kind mentioned in Schedule</w:t>
      </w:r>
      <w:r w:rsidR="004E6D00" w:rsidRPr="005E3B43">
        <w:t> </w:t>
      </w:r>
      <w:r w:rsidRPr="005E3B43">
        <w:t xml:space="preserve">3 that are included in the Register are to be included in the </w:t>
      </w:r>
      <w:r w:rsidR="005756D9" w:rsidRPr="005E3B43">
        <w:t>part of the Register for goods known as registered goods</w:t>
      </w:r>
      <w:r w:rsidRPr="005E3B43">
        <w:t>; and</w:t>
      </w:r>
    </w:p>
    <w:p w14:paraId="1237BAAB" w14:textId="77777777" w:rsidR="005756D9" w:rsidRPr="005E3B43" w:rsidRDefault="005756D9" w:rsidP="00763BCF">
      <w:pPr>
        <w:pStyle w:val="paragraph"/>
      </w:pPr>
      <w:r w:rsidRPr="005E3B43">
        <w:tab/>
        <w:t>(aa)</w:t>
      </w:r>
      <w:r w:rsidRPr="005E3B43">
        <w:tab/>
        <w:t>therapeutic goods, and classes of therapeutic goods, of a kind mentioned in Schedule</w:t>
      </w:r>
      <w:r w:rsidR="004E6D00" w:rsidRPr="005E3B43">
        <w:t> </w:t>
      </w:r>
      <w:r w:rsidRPr="005E3B43">
        <w:t>3 that are included in the Register as mentioned in paragraph</w:t>
      </w:r>
      <w:r w:rsidR="004E6D00" w:rsidRPr="005E3B43">
        <w:t> </w:t>
      </w:r>
      <w:r w:rsidRPr="005E3B43">
        <w:t>29(2)(c) of the Act are to be included in the part of the Register for goods known as provisionally registered goods; and</w:t>
      </w:r>
    </w:p>
    <w:p w14:paraId="7F00FEFE" w14:textId="77777777" w:rsidR="00207B1C" w:rsidRPr="005E3B43" w:rsidRDefault="00207B1C" w:rsidP="00763BCF">
      <w:pPr>
        <w:pStyle w:val="paragraph"/>
      </w:pPr>
      <w:r w:rsidRPr="005E3B43">
        <w:tab/>
        <w:t>(b)</w:t>
      </w:r>
      <w:r w:rsidRPr="005E3B43">
        <w:tab/>
        <w:t>therapeutic goods, and classes of therapeutic goods, of a kind mentioned in Schedule</w:t>
      </w:r>
      <w:r w:rsidR="004E6D00" w:rsidRPr="005E3B43">
        <w:t> </w:t>
      </w:r>
      <w:r w:rsidRPr="005E3B43">
        <w:t xml:space="preserve">4 that are included in the Register are to be included in the </w:t>
      </w:r>
      <w:r w:rsidR="00D81E9A" w:rsidRPr="005E3B43">
        <w:t xml:space="preserve">part of the Register for goods known as </w:t>
      </w:r>
      <w:r w:rsidR="0064241F" w:rsidRPr="005E3B43">
        <w:t xml:space="preserve">listed </w:t>
      </w:r>
      <w:r w:rsidR="00D81E9A" w:rsidRPr="005E3B43">
        <w:t>goods</w:t>
      </w:r>
      <w:r w:rsidRPr="005E3B43">
        <w:t>.</w:t>
      </w:r>
    </w:p>
    <w:p w14:paraId="64436469" w14:textId="77777777" w:rsidR="008247F6" w:rsidRPr="005E3B43" w:rsidRDefault="008247F6" w:rsidP="00763BCF">
      <w:pPr>
        <w:pStyle w:val="ActHead5"/>
      </w:pPr>
      <w:bookmarkStart w:id="26" w:name="_Toc187135621"/>
      <w:r w:rsidRPr="005E3B43">
        <w:rPr>
          <w:rStyle w:val="CharSectno"/>
        </w:rPr>
        <w:t>10AAA</w:t>
      </w:r>
      <w:r w:rsidRPr="005E3B43">
        <w:t xml:space="preserve">  Variation of entries in Register—registered complementary medicines and registered OTC medicines</w:t>
      </w:r>
      <w:bookmarkEnd w:id="26"/>
    </w:p>
    <w:p w14:paraId="08700004" w14:textId="77777777" w:rsidR="008247F6" w:rsidRPr="005E3B43" w:rsidRDefault="008247F6" w:rsidP="00763BCF">
      <w:pPr>
        <w:pStyle w:val="SubsectionHead"/>
      </w:pPr>
      <w:r w:rsidRPr="005E3B43">
        <w:t>Kinds of variations</w:t>
      </w:r>
    </w:p>
    <w:p w14:paraId="4BBD5432" w14:textId="77777777" w:rsidR="008247F6" w:rsidRPr="005E3B43" w:rsidRDefault="008247F6" w:rsidP="00763BCF">
      <w:pPr>
        <w:pStyle w:val="subsection"/>
      </w:pPr>
      <w:r w:rsidRPr="005E3B43">
        <w:tab/>
        <w:t>(1)</w:t>
      </w:r>
      <w:r w:rsidRPr="005E3B43">
        <w:tab/>
        <w:t>For the purposes of paragraph</w:t>
      </w:r>
      <w:r w:rsidR="004E6D00" w:rsidRPr="005E3B43">
        <w:t> </w:t>
      </w:r>
      <w:r w:rsidRPr="005E3B43">
        <w:t>9D(2C)(b) of the Act, a variation of an entry in the Register that relates to a registered complementary medicine or registered OTC medicine and is listed in the table in subregulation (2) is specified.</w:t>
      </w:r>
    </w:p>
    <w:p w14:paraId="3953EB97" w14:textId="77777777" w:rsidR="008247F6" w:rsidRPr="005E3B43" w:rsidRDefault="008247F6" w:rsidP="00763BCF">
      <w:pPr>
        <w:pStyle w:val="SubsectionHead"/>
      </w:pPr>
      <w:r w:rsidRPr="005E3B43">
        <w:t>Conditions</w:t>
      </w:r>
    </w:p>
    <w:p w14:paraId="6381C922" w14:textId="77777777" w:rsidR="008247F6" w:rsidRPr="005E3B43" w:rsidRDefault="008247F6" w:rsidP="00763BCF">
      <w:pPr>
        <w:pStyle w:val="subsection"/>
      </w:pPr>
      <w:r w:rsidRPr="005E3B43">
        <w:tab/>
        <w:t>(2)</w:t>
      </w:r>
      <w:r w:rsidRPr="005E3B43">
        <w:tab/>
        <w:t>For the purposes of paragraph</w:t>
      </w:r>
      <w:r w:rsidR="004E6D00" w:rsidRPr="005E3B43">
        <w:t> </w:t>
      </w:r>
      <w:r w:rsidRPr="005E3B43">
        <w:t>9D(2C)(c) of the Act, the following conditions are specified in relation to a variation of an entry in the Register that is listed in column 2 of an item in the following table:</w:t>
      </w:r>
    </w:p>
    <w:p w14:paraId="050E0FEC" w14:textId="77777777" w:rsidR="008247F6" w:rsidRPr="005E3B43" w:rsidRDefault="008247F6" w:rsidP="00763BCF">
      <w:pPr>
        <w:pStyle w:val="paragraph"/>
      </w:pPr>
      <w:r w:rsidRPr="005E3B43">
        <w:tab/>
        <w:t>(a)</w:t>
      </w:r>
      <w:r w:rsidRPr="005E3B43">
        <w:tab/>
        <w:t>the variation reflects a change that will be made to, or in relation to, the medicine;</w:t>
      </w:r>
    </w:p>
    <w:p w14:paraId="078579CD" w14:textId="77777777" w:rsidR="008247F6" w:rsidRPr="005E3B43" w:rsidRDefault="008247F6" w:rsidP="00763BCF">
      <w:pPr>
        <w:pStyle w:val="paragraph"/>
      </w:pPr>
      <w:r w:rsidRPr="005E3B43">
        <w:tab/>
        <w:t>(b)</w:t>
      </w:r>
      <w:r w:rsidRPr="005E3B43">
        <w:tab/>
        <w:t xml:space="preserve">the other conditions set out in </w:t>
      </w:r>
      <w:r w:rsidR="000A7E60" w:rsidRPr="005E3B43">
        <w:t>the TGA notifications process guidance document</w:t>
      </w:r>
      <w:r w:rsidRPr="005E3B43">
        <w:t xml:space="preserve"> in relation to the code listed in column 3 of the item are satisfied.</w:t>
      </w:r>
    </w:p>
    <w:p w14:paraId="269E4F44" w14:textId="77777777" w:rsidR="008247F6" w:rsidRPr="005E3B43" w:rsidRDefault="008247F6" w:rsidP="00763BC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58"/>
        <w:gridCol w:w="6110"/>
        <w:gridCol w:w="1261"/>
      </w:tblGrid>
      <w:tr w:rsidR="008247F6" w:rsidRPr="005E3B43" w14:paraId="01257479" w14:textId="77777777" w:rsidTr="005A786D">
        <w:trPr>
          <w:tblHeader/>
        </w:trPr>
        <w:tc>
          <w:tcPr>
            <w:tcW w:w="5000" w:type="pct"/>
            <w:gridSpan w:val="3"/>
            <w:tcBorders>
              <w:top w:val="single" w:sz="12" w:space="0" w:color="auto"/>
              <w:bottom w:val="single" w:sz="6" w:space="0" w:color="auto"/>
            </w:tcBorders>
            <w:shd w:val="clear" w:color="auto" w:fill="auto"/>
          </w:tcPr>
          <w:p w14:paraId="2253BA79" w14:textId="77777777" w:rsidR="008247F6" w:rsidRPr="005E3B43" w:rsidRDefault="008247F6" w:rsidP="00763BCF">
            <w:pPr>
              <w:pStyle w:val="TableHeading"/>
            </w:pPr>
            <w:r w:rsidRPr="005E3B43">
              <w:t>Kinds of variations—registered complementary medicines and registered OTC medicines</w:t>
            </w:r>
          </w:p>
        </w:tc>
      </w:tr>
      <w:tr w:rsidR="008247F6" w:rsidRPr="005E3B43" w14:paraId="2CE707AD" w14:textId="77777777" w:rsidTr="005A786D">
        <w:trPr>
          <w:tblHeader/>
        </w:trPr>
        <w:tc>
          <w:tcPr>
            <w:tcW w:w="679" w:type="pct"/>
            <w:tcBorders>
              <w:top w:val="single" w:sz="6" w:space="0" w:color="auto"/>
              <w:bottom w:val="single" w:sz="6" w:space="0" w:color="auto"/>
            </w:tcBorders>
            <w:shd w:val="clear" w:color="auto" w:fill="auto"/>
          </w:tcPr>
          <w:p w14:paraId="14F2087F" w14:textId="77777777" w:rsidR="008247F6" w:rsidRPr="005E3B43" w:rsidRDefault="008247F6" w:rsidP="00763BCF">
            <w:pPr>
              <w:pStyle w:val="TableHeading"/>
            </w:pPr>
            <w:r w:rsidRPr="005E3B43">
              <w:t>Column 1</w:t>
            </w:r>
          </w:p>
        </w:tc>
        <w:tc>
          <w:tcPr>
            <w:tcW w:w="3582" w:type="pct"/>
            <w:tcBorders>
              <w:top w:val="single" w:sz="6" w:space="0" w:color="auto"/>
              <w:bottom w:val="single" w:sz="6" w:space="0" w:color="auto"/>
            </w:tcBorders>
            <w:shd w:val="clear" w:color="auto" w:fill="auto"/>
          </w:tcPr>
          <w:p w14:paraId="243CAF01" w14:textId="77777777" w:rsidR="008247F6" w:rsidRPr="005E3B43" w:rsidRDefault="008247F6" w:rsidP="00763BCF">
            <w:pPr>
              <w:pStyle w:val="TableHeading"/>
            </w:pPr>
            <w:r w:rsidRPr="005E3B43">
              <w:t>Column 2</w:t>
            </w:r>
          </w:p>
        </w:tc>
        <w:tc>
          <w:tcPr>
            <w:tcW w:w="739" w:type="pct"/>
            <w:tcBorders>
              <w:top w:val="single" w:sz="6" w:space="0" w:color="auto"/>
              <w:bottom w:val="single" w:sz="6" w:space="0" w:color="auto"/>
            </w:tcBorders>
            <w:shd w:val="clear" w:color="auto" w:fill="auto"/>
          </w:tcPr>
          <w:p w14:paraId="4712878D" w14:textId="77777777" w:rsidR="008247F6" w:rsidRPr="005E3B43" w:rsidRDefault="008247F6" w:rsidP="00763BCF">
            <w:pPr>
              <w:pStyle w:val="TableHeading"/>
            </w:pPr>
            <w:r w:rsidRPr="005E3B43">
              <w:t>Column 3</w:t>
            </w:r>
          </w:p>
        </w:tc>
      </w:tr>
      <w:tr w:rsidR="008247F6" w:rsidRPr="005E3B43" w14:paraId="5688F04B" w14:textId="77777777" w:rsidTr="005A786D">
        <w:trPr>
          <w:tblHeader/>
        </w:trPr>
        <w:tc>
          <w:tcPr>
            <w:tcW w:w="679" w:type="pct"/>
            <w:tcBorders>
              <w:top w:val="single" w:sz="6" w:space="0" w:color="auto"/>
              <w:bottom w:val="single" w:sz="12" w:space="0" w:color="auto"/>
            </w:tcBorders>
            <w:shd w:val="clear" w:color="auto" w:fill="auto"/>
          </w:tcPr>
          <w:p w14:paraId="361E32BE" w14:textId="77777777" w:rsidR="008247F6" w:rsidRPr="005E3B43" w:rsidRDefault="008247F6" w:rsidP="00763BCF">
            <w:pPr>
              <w:pStyle w:val="TableHeading"/>
            </w:pPr>
            <w:r w:rsidRPr="005E3B43">
              <w:t>Item</w:t>
            </w:r>
          </w:p>
        </w:tc>
        <w:tc>
          <w:tcPr>
            <w:tcW w:w="3582" w:type="pct"/>
            <w:tcBorders>
              <w:top w:val="single" w:sz="6" w:space="0" w:color="auto"/>
              <w:bottom w:val="single" w:sz="12" w:space="0" w:color="auto"/>
            </w:tcBorders>
            <w:shd w:val="clear" w:color="auto" w:fill="auto"/>
          </w:tcPr>
          <w:p w14:paraId="3F8D7405" w14:textId="77777777" w:rsidR="008247F6" w:rsidRPr="005E3B43" w:rsidRDefault="008247F6" w:rsidP="00763BCF">
            <w:pPr>
              <w:pStyle w:val="TableHeading"/>
            </w:pPr>
            <w:r w:rsidRPr="005E3B43">
              <w:t>Variation</w:t>
            </w:r>
          </w:p>
        </w:tc>
        <w:tc>
          <w:tcPr>
            <w:tcW w:w="739" w:type="pct"/>
            <w:tcBorders>
              <w:top w:val="single" w:sz="6" w:space="0" w:color="auto"/>
              <w:bottom w:val="single" w:sz="12" w:space="0" w:color="auto"/>
            </w:tcBorders>
            <w:shd w:val="clear" w:color="auto" w:fill="auto"/>
          </w:tcPr>
          <w:p w14:paraId="30A8CB38" w14:textId="77777777" w:rsidR="008247F6" w:rsidRPr="005E3B43" w:rsidRDefault="008247F6" w:rsidP="00763BCF">
            <w:pPr>
              <w:pStyle w:val="TableHeading"/>
            </w:pPr>
            <w:r w:rsidRPr="005E3B43">
              <w:t>Code</w:t>
            </w:r>
          </w:p>
        </w:tc>
      </w:tr>
      <w:tr w:rsidR="008247F6" w:rsidRPr="005E3B43" w14:paraId="1558379B" w14:textId="77777777" w:rsidTr="005A786D">
        <w:tc>
          <w:tcPr>
            <w:tcW w:w="679" w:type="pct"/>
            <w:tcBorders>
              <w:top w:val="single" w:sz="12" w:space="0" w:color="auto"/>
            </w:tcBorders>
            <w:shd w:val="clear" w:color="auto" w:fill="auto"/>
          </w:tcPr>
          <w:p w14:paraId="5E775BFD" w14:textId="77777777" w:rsidR="008247F6" w:rsidRPr="005E3B43" w:rsidRDefault="008247F6" w:rsidP="00763BCF">
            <w:pPr>
              <w:pStyle w:val="Tabletext"/>
            </w:pPr>
            <w:r w:rsidRPr="005E3B43">
              <w:t>1</w:t>
            </w:r>
          </w:p>
        </w:tc>
        <w:tc>
          <w:tcPr>
            <w:tcW w:w="3582" w:type="pct"/>
            <w:tcBorders>
              <w:top w:val="single" w:sz="12" w:space="0" w:color="auto"/>
            </w:tcBorders>
            <w:shd w:val="clear" w:color="auto" w:fill="auto"/>
          </w:tcPr>
          <w:p w14:paraId="2410E496" w14:textId="77777777" w:rsidR="008247F6" w:rsidRPr="005E3B43" w:rsidRDefault="008247F6" w:rsidP="00763BCF">
            <w:pPr>
              <w:pStyle w:val="Tabletext"/>
            </w:pPr>
            <w:r w:rsidRPr="005E3B43">
              <w:t xml:space="preserve">The addition of a flash including the term “new” or “value pack” to a label or package insert </w:t>
            </w:r>
            <w:r w:rsidRPr="005E3B43">
              <w:rPr>
                <w:rFonts w:asciiTheme="majorHAnsi" w:hAnsiTheme="majorHAnsi"/>
              </w:rPr>
              <w:t>for the medicine</w:t>
            </w:r>
          </w:p>
        </w:tc>
        <w:tc>
          <w:tcPr>
            <w:tcW w:w="739" w:type="pct"/>
            <w:tcBorders>
              <w:top w:val="single" w:sz="12" w:space="0" w:color="auto"/>
            </w:tcBorders>
            <w:shd w:val="clear" w:color="auto" w:fill="auto"/>
          </w:tcPr>
          <w:p w14:paraId="371E02A5" w14:textId="77777777" w:rsidR="008247F6" w:rsidRPr="005E3B43" w:rsidRDefault="008247F6" w:rsidP="00763BCF">
            <w:pPr>
              <w:pStyle w:val="Tabletext"/>
            </w:pPr>
            <w:r w:rsidRPr="005E3B43">
              <w:t>LLN</w:t>
            </w:r>
          </w:p>
        </w:tc>
      </w:tr>
      <w:tr w:rsidR="008247F6" w:rsidRPr="005E3B43" w14:paraId="47C121A0" w14:textId="77777777" w:rsidTr="005A786D">
        <w:trPr>
          <w:cantSplit/>
        </w:trPr>
        <w:tc>
          <w:tcPr>
            <w:tcW w:w="679" w:type="pct"/>
            <w:shd w:val="clear" w:color="auto" w:fill="auto"/>
          </w:tcPr>
          <w:p w14:paraId="7459E99B" w14:textId="77777777" w:rsidR="008247F6" w:rsidRPr="005E3B43" w:rsidRDefault="008247F6" w:rsidP="00763BCF">
            <w:pPr>
              <w:pStyle w:val="Tabletext"/>
            </w:pPr>
            <w:r w:rsidRPr="005E3B43">
              <w:lastRenderedPageBreak/>
              <w:t>2</w:t>
            </w:r>
          </w:p>
        </w:tc>
        <w:tc>
          <w:tcPr>
            <w:tcW w:w="3582" w:type="pct"/>
            <w:shd w:val="clear" w:color="auto" w:fill="auto"/>
          </w:tcPr>
          <w:p w14:paraId="3863D745" w14:textId="77777777" w:rsidR="008247F6" w:rsidRPr="005E3B43" w:rsidRDefault="008247F6" w:rsidP="00763BCF">
            <w:pPr>
              <w:pStyle w:val="Tabletext"/>
            </w:pPr>
            <w:r w:rsidRPr="005E3B43">
              <w:t xml:space="preserve">If the name of the medicine’s sponsor is not included in the name of the medicine, a change to the sponsor’s details (including the sponsor’s logo) that are included in a label or package insert </w:t>
            </w:r>
            <w:r w:rsidRPr="005E3B43">
              <w:rPr>
                <w:rFonts w:asciiTheme="majorHAnsi" w:hAnsiTheme="majorHAnsi"/>
              </w:rPr>
              <w:t>for the medicine</w:t>
            </w:r>
          </w:p>
        </w:tc>
        <w:tc>
          <w:tcPr>
            <w:tcW w:w="739" w:type="pct"/>
            <w:shd w:val="clear" w:color="auto" w:fill="auto"/>
          </w:tcPr>
          <w:p w14:paraId="6946448F" w14:textId="77777777" w:rsidR="008247F6" w:rsidRPr="005E3B43" w:rsidRDefault="008247F6" w:rsidP="00763BCF">
            <w:pPr>
              <w:pStyle w:val="Tabletext"/>
            </w:pPr>
            <w:r w:rsidRPr="005E3B43">
              <w:t>LSP</w:t>
            </w:r>
          </w:p>
        </w:tc>
      </w:tr>
      <w:tr w:rsidR="008247F6" w:rsidRPr="005E3B43" w14:paraId="3BB8FE08" w14:textId="77777777" w:rsidTr="005A786D">
        <w:tc>
          <w:tcPr>
            <w:tcW w:w="679" w:type="pct"/>
            <w:shd w:val="clear" w:color="auto" w:fill="auto"/>
          </w:tcPr>
          <w:p w14:paraId="5733E4BE" w14:textId="77777777" w:rsidR="008247F6" w:rsidRPr="005E3B43" w:rsidRDefault="008247F6" w:rsidP="00763BCF">
            <w:pPr>
              <w:pStyle w:val="Tabletext"/>
            </w:pPr>
            <w:r w:rsidRPr="005E3B43">
              <w:t>3</w:t>
            </w:r>
          </w:p>
        </w:tc>
        <w:tc>
          <w:tcPr>
            <w:tcW w:w="3582" w:type="pct"/>
            <w:shd w:val="clear" w:color="auto" w:fill="auto"/>
          </w:tcPr>
          <w:p w14:paraId="7CDB4342" w14:textId="77777777" w:rsidR="008247F6" w:rsidRPr="005E3B43" w:rsidRDefault="008247F6" w:rsidP="00763BCF">
            <w:pPr>
              <w:pStyle w:val="Tabletext"/>
            </w:pPr>
            <w:r w:rsidRPr="005E3B43">
              <w:t>A change to the recommended storage conditions for the medicine that are included in a label or package insert for the medicine if the change makes the conditions more restrictive</w:t>
            </w:r>
          </w:p>
        </w:tc>
        <w:tc>
          <w:tcPr>
            <w:tcW w:w="739" w:type="pct"/>
            <w:shd w:val="clear" w:color="auto" w:fill="auto"/>
          </w:tcPr>
          <w:p w14:paraId="02B02CF2" w14:textId="77777777" w:rsidR="008247F6" w:rsidRPr="005E3B43" w:rsidRDefault="008247F6" w:rsidP="00763BCF">
            <w:pPr>
              <w:pStyle w:val="Tabletext"/>
            </w:pPr>
            <w:r w:rsidRPr="005E3B43">
              <w:t>PSC</w:t>
            </w:r>
          </w:p>
        </w:tc>
      </w:tr>
      <w:tr w:rsidR="008247F6" w:rsidRPr="005E3B43" w14:paraId="3668B23F" w14:textId="77777777" w:rsidTr="005A786D">
        <w:tc>
          <w:tcPr>
            <w:tcW w:w="679" w:type="pct"/>
            <w:shd w:val="clear" w:color="auto" w:fill="auto"/>
          </w:tcPr>
          <w:p w14:paraId="42F642A3" w14:textId="77777777" w:rsidR="008247F6" w:rsidRPr="005E3B43" w:rsidRDefault="008247F6" w:rsidP="00763BCF">
            <w:pPr>
              <w:pStyle w:val="Tabletext"/>
            </w:pPr>
            <w:r w:rsidRPr="005E3B43">
              <w:t>4</w:t>
            </w:r>
          </w:p>
        </w:tc>
        <w:tc>
          <w:tcPr>
            <w:tcW w:w="3582" w:type="pct"/>
            <w:shd w:val="clear" w:color="auto" w:fill="auto"/>
          </w:tcPr>
          <w:p w14:paraId="7C674DDD" w14:textId="77777777" w:rsidR="008247F6" w:rsidRPr="005E3B43" w:rsidRDefault="008247F6" w:rsidP="00763BCF">
            <w:pPr>
              <w:pStyle w:val="Tabletext"/>
            </w:pPr>
            <w:r w:rsidRPr="005E3B43">
              <w:t xml:space="preserve">A decrease in the shelf life of the medicine included in a label or package insert </w:t>
            </w:r>
            <w:r w:rsidRPr="005E3B43">
              <w:rPr>
                <w:rFonts w:asciiTheme="majorHAnsi" w:hAnsiTheme="majorHAnsi"/>
              </w:rPr>
              <w:t>for the medicine</w:t>
            </w:r>
          </w:p>
        </w:tc>
        <w:tc>
          <w:tcPr>
            <w:tcW w:w="739" w:type="pct"/>
            <w:shd w:val="clear" w:color="auto" w:fill="auto"/>
          </w:tcPr>
          <w:p w14:paraId="222311A5" w14:textId="77777777" w:rsidR="008247F6" w:rsidRPr="005E3B43" w:rsidRDefault="008247F6" w:rsidP="00763BCF">
            <w:pPr>
              <w:pStyle w:val="Tabletext"/>
            </w:pPr>
            <w:r w:rsidRPr="005E3B43">
              <w:t>PSR</w:t>
            </w:r>
          </w:p>
        </w:tc>
      </w:tr>
      <w:tr w:rsidR="008247F6" w:rsidRPr="005E3B43" w14:paraId="6886F464" w14:textId="77777777" w:rsidTr="005A786D">
        <w:tc>
          <w:tcPr>
            <w:tcW w:w="679" w:type="pct"/>
            <w:shd w:val="clear" w:color="auto" w:fill="auto"/>
          </w:tcPr>
          <w:p w14:paraId="698AE36A" w14:textId="77777777" w:rsidR="008247F6" w:rsidRPr="005E3B43" w:rsidRDefault="008247F6" w:rsidP="00763BCF">
            <w:pPr>
              <w:pStyle w:val="Tabletext"/>
            </w:pPr>
            <w:r w:rsidRPr="005E3B43">
              <w:t>5</w:t>
            </w:r>
          </w:p>
        </w:tc>
        <w:tc>
          <w:tcPr>
            <w:tcW w:w="3582" w:type="pct"/>
            <w:shd w:val="clear" w:color="auto" w:fill="auto"/>
          </w:tcPr>
          <w:p w14:paraId="1043531F" w14:textId="77777777" w:rsidR="008247F6" w:rsidRPr="005E3B43" w:rsidRDefault="008247F6" w:rsidP="00763BCF">
            <w:pPr>
              <w:pStyle w:val="Tabletext"/>
            </w:pPr>
            <w:r w:rsidRPr="005E3B43">
              <w:t>A reduction or removal of an overage for an active ingredient of the medicine</w:t>
            </w:r>
          </w:p>
        </w:tc>
        <w:tc>
          <w:tcPr>
            <w:tcW w:w="739" w:type="pct"/>
            <w:shd w:val="clear" w:color="auto" w:fill="auto"/>
          </w:tcPr>
          <w:p w14:paraId="01D8782C" w14:textId="77777777" w:rsidR="008247F6" w:rsidRPr="005E3B43" w:rsidRDefault="008247F6" w:rsidP="00763BCF">
            <w:pPr>
              <w:pStyle w:val="Tabletext"/>
            </w:pPr>
            <w:r w:rsidRPr="005E3B43">
              <w:t>AOV</w:t>
            </w:r>
          </w:p>
        </w:tc>
      </w:tr>
      <w:tr w:rsidR="008247F6" w:rsidRPr="005E3B43" w14:paraId="0E2799DD" w14:textId="77777777" w:rsidTr="005A786D">
        <w:tc>
          <w:tcPr>
            <w:tcW w:w="679" w:type="pct"/>
            <w:shd w:val="clear" w:color="auto" w:fill="auto"/>
          </w:tcPr>
          <w:p w14:paraId="1C5A9A51" w14:textId="77777777" w:rsidR="008247F6" w:rsidRPr="005E3B43" w:rsidRDefault="008247F6" w:rsidP="00763BCF">
            <w:pPr>
              <w:pStyle w:val="Tabletext"/>
            </w:pPr>
            <w:r w:rsidRPr="005E3B43">
              <w:t>6</w:t>
            </w:r>
          </w:p>
        </w:tc>
        <w:tc>
          <w:tcPr>
            <w:tcW w:w="3582" w:type="pct"/>
            <w:shd w:val="clear" w:color="auto" w:fill="auto"/>
          </w:tcPr>
          <w:p w14:paraId="5ADED4D0" w14:textId="77777777" w:rsidR="008247F6" w:rsidRPr="005E3B43" w:rsidRDefault="008247F6" w:rsidP="00763BCF">
            <w:pPr>
              <w:pStyle w:val="Tabletext"/>
            </w:pPr>
            <w:r w:rsidRPr="005E3B43">
              <w:t>A change to the type of starch (if any) used as an excipient in the medicine</w:t>
            </w:r>
          </w:p>
        </w:tc>
        <w:tc>
          <w:tcPr>
            <w:tcW w:w="739" w:type="pct"/>
            <w:shd w:val="clear" w:color="auto" w:fill="auto"/>
          </w:tcPr>
          <w:p w14:paraId="31972307" w14:textId="77777777" w:rsidR="008247F6" w:rsidRPr="005E3B43" w:rsidRDefault="008247F6" w:rsidP="00763BCF">
            <w:pPr>
              <w:pStyle w:val="Tabletext"/>
            </w:pPr>
            <w:r w:rsidRPr="005E3B43">
              <w:t>EST</w:t>
            </w:r>
          </w:p>
        </w:tc>
      </w:tr>
      <w:tr w:rsidR="008247F6" w:rsidRPr="005E3B43" w14:paraId="00ABBFA3" w14:textId="77777777" w:rsidTr="005A786D">
        <w:tc>
          <w:tcPr>
            <w:tcW w:w="679" w:type="pct"/>
            <w:shd w:val="clear" w:color="auto" w:fill="auto"/>
          </w:tcPr>
          <w:p w14:paraId="2046705B" w14:textId="77777777" w:rsidR="008247F6" w:rsidRPr="005E3B43" w:rsidRDefault="008247F6" w:rsidP="00763BCF">
            <w:pPr>
              <w:pStyle w:val="Tabletext"/>
            </w:pPr>
            <w:r w:rsidRPr="005E3B43">
              <w:t>7</w:t>
            </w:r>
          </w:p>
        </w:tc>
        <w:tc>
          <w:tcPr>
            <w:tcW w:w="3582" w:type="pct"/>
            <w:shd w:val="clear" w:color="auto" w:fill="auto"/>
          </w:tcPr>
          <w:p w14:paraId="495107F5" w14:textId="77777777" w:rsidR="008247F6" w:rsidRPr="005E3B43" w:rsidRDefault="008247F6" w:rsidP="00763BCF">
            <w:pPr>
              <w:pStyle w:val="Tabletext"/>
            </w:pPr>
            <w:r w:rsidRPr="005E3B43">
              <w:t>Either of the following:</w:t>
            </w:r>
          </w:p>
          <w:p w14:paraId="44AB24FC" w14:textId="77777777" w:rsidR="008247F6" w:rsidRPr="005E3B43" w:rsidRDefault="008247F6" w:rsidP="00763BCF">
            <w:pPr>
              <w:pStyle w:val="Tablea"/>
            </w:pPr>
            <w:r w:rsidRPr="005E3B43">
              <w:t>(a) if the specifications for the medicine incorporate a default standard—the replacement of that default standard with another default standard;</w:t>
            </w:r>
          </w:p>
          <w:p w14:paraId="74B6AF5C" w14:textId="32E22B8E" w:rsidR="008247F6" w:rsidRPr="005E3B43" w:rsidRDefault="008247F6" w:rsidP="00763BCF">
            <w:pPr>
              <w:pStyle w:val="Tablea"/>
            </w:pPr>
            <w:r w:rsidRPr="005E3B43">
              <w:t>(b) if the specifications for the medicine include in</w:t>
            </w:r>
            <w:r w:rsidR="007C3215">
              <w:noBreakHyphen/>
            </w:r>
            <w:r w:rsidRPr="005E3B43">
              <w:t>house tests—the replacement of those tests with a default standard</w:t>
            </w:r>
          </w:p>
        </w:tc>
        <w:tc>
          <w:tcPr>
            <w:tcW w:w="739" w:type="pct"/>
            <w:shd w:val="clear" w:color="auto" w:fill="auto"/>
          </w:tcPr>
          <w:p w14:paraId="1F725821" w14:textId="77777777" w:rsidR="008247F6" w:rsidRPr="005E3B43" w:rsidRDefault="008247F6" w:rsidP="00763BCF">
            <w:pPr>
              <w:pStyle w:val="Tabletext"/>
            </w:pPr>
            <w:r w:rsidRPr="005E3B43">
              <w:t>QFP</w:t>
            </w:r>
          </w:p>
        </w:tc>
      </w:tr>
      <w:tr w:rsidR="008247F6" w:rsidRPr="005E3B43" w14:paraId="04EB4E54" w14:textId="77777777" w:rsidTr="005A786D">
        <w:tc>
          <w:tcPr>
            <w:tcW w:w="679" w:type="pct"/>
            <w:shd w:val="clear" w:color="auto" w:fill="auto"/>
          </w:tcPr>
          <w:p w14:paraId="57E374EE" w14:textId="77777777" w:rsidR="008247F6" w:rsidRPr="005E3B43" w:rsidRDefault="008247F6" w:rsidP="00763BCF">
            <w:pPr>
              <w:pStyle w:val="Tabletext"/>
            </w:pPr>
            <w:r w:rsidRPr="005E3B43">
              <w:t>8</w:t>
            </w:r>
          </w:p>
        </w:tc>
        <w:tc>
          <w:tcPr>
            <w:tcW w:w="3582" w:type="pct"/>
            <w:shd w:val="clear" w:color="auto" w:fill="auto"/>
          </w:tcPr>
          <w:p w14:paraId="4C09A873" w14:textId="77777777" w:rsidR="008247F6" w:rsidRPr="005E3B43" w:rsidRDefault="008247F6" w:rsidP="00763BCF">
            <w:pPr>
              <w:pStyle w:val="Tabletext"/>
            </w:pPr>
            <w:r w:rsidRPr="005E3B43">
              <w:t>Either of the following:</w:t>
            </w:r>
          </w:p>
          <w:p w14:paraId="29902EDA" w14:textId="77777777" w:rsidR="008247F6" w:rsidRPr="005E3B43" w:rsidRDefault="008247F6" w:rsidP="00763BCF">
            <w:pPr>
              <w:pStyle w:val="Tablea"/>
            </w:pPr>
            <w:r w:rsidRPr="005E3B43">
              <w:t>(a) if the specifications for the starting materials of the medicine incorporate a default standard—the replacement of that default standard with another default standard;</w:t>
            </w:r>
          </w:p>
          <w:p w14:paraId="1B622A54" w14:textId="0A8DBDD5" w:rsidR="008247F6" w:rsidRPr="005E3B43" w:rsidRDefault="008247F6" w:rsidP="00763BCF">
            <w:pPr>
              <w:pStyle w:val="Tablea"/>
            </w:pPr>
            <w:r w:rsidRPr="005E3B43">
              <w:t>(b) if the specifications for the starting materials of the medicine include in</w:t>
            </w:r>
            <w:r w:rsidR="007C3215">
              <w:noBreakHyphen/>
            </w:r>
            <w:r w:rsidRPr="005E3B43">
              <w:t>house tests—the replacement of those tests with a default standard</w:t>
            </w:r>
          </w:p>
        </w:tc>
        <w:tc>
          <w:tcPr>
            <w:tcW w:w="739" w:type="pct"/>
            <w:shd w:val="clear" w:color="auto" w:fill="auto"/>
          </w:tcPr>
          <w:p w14:paraId="1FFE96C9" w14:textId="77777777" w:rsidR="008247F6" w:rsidRPr="005E3B43" w:rsidRDefault="008247F6" w:rsidP="00763BCF">
            <w:pPr>
              <w:pStyle w:val="Tabletext"/>
            </w:pPr>
            <w:r w:rsidRPr="005E3B43">
              <w:t>QSP</w:t>
            </w:r>
          </w:p>
        </w:tc>
      </w:tr>
      <w:tr w:rsidR="008247F6" w:rsidRPr="005E3B43" w14:paraId="0F4B8DB3" w14:textId="77777777" w:rsidTr="005A786D">
        <w:tc>
          <w:tcPr>
            <w:tcW w:w="679" w:type="pct"/>
            <w:shd w:val="clear" w:color="auto" w:fill="auto"/>
          </w:tcPr>
          <w:p w14:paraId="52288D8F" w14:textId="77777777" w:rsidR="008247F6" w:rsidRPr="005E3B43" w:rsidRDefault="008247F6" w:rsidP="00763BCF">
            <w:pPr>
              <w:pStyle w:val="Tabletext"/>
            </w:pPr>
            <w:r w:rsidRPr="005E3B43">
              <w:t>9</w:t>
            </w:r>
          </w:p>
        </w:tc>
        <w:tc>
          <w:tcPr>
            <w:tcW w:w="3582" w:type="pct"/>
            <w:shd w:val="clear" w:color="auto" w:fill="auto"/>
          </w:tcPr>
          <w:p w14:paraId="78CB84C2" w14:textId="77777777" w:rsidR="008247F6" w:rsidRPr="005E3B43" w:rsidRDefault="008247F6" w:rsidP="00763BCF">
            <w:pPr>
              <w:pStyle w:val="Tabletext"/>
            </w:pPr>
            <w:r w:rsidRPr="005E3B43">
              <w:t>If the medicine is in a solid dosage form, and the container is a blister pack, any of the following changes to a material from which the blister pack is made:</w:t>
            </w:r>
          </w:p>
          <w:p w14:paraId="32B0F034" w14:textId="77777777" w:rsidR="008247F6" w:rsidRPr="005E3B43" w:rsidRDefault="008247F6" w:rsidP="00763BCF">
            <w:pPr>
              <w:pStyle w:val="Tablea"/>
            </w:pPr>
            <w:r w:rsidRPr="005E3B43">
              <w:t>(a) if the material is polyvinyl chloride—a change to:</w:t>
            </w:r>
          </w:p>
          <w:p w14:paraId="48FBB9C1" w14:textId="77777777" w:rsidR="008247F6" w:rsidRPr="005E3B43" w:rsidRDefault="008247F6" w:rsidP="00763BCF">
            <w:pPr>
              <w:pStyle w:val="Tablei"/>
            </w:pPr>
            <w:r w:rsidRPr="005E3B43">
              <w:t>(i) a material consisting of polyvinyl chloride and polyvinylidene chloride; or</w:t>
            </w:r>
          </w:p>
          <w:p w14:paraId="7C120A29" w14:textId="77777777" w:rsidR="008247F6" w:rsidRPr="005E3B43" w:rsidRDefault="008247F6" w:rsidP="00763BCF">
            <w:pPr>
              <w:pStyle w:val="Tablei"/>
            </w:pPr>
            <w:r w:rsidRPr="005E3B43">
              <w:t>(ii) a material consisting of polyvinyl chloride and polychlorotrifluoroethylene;</w:t>
            </w:r>
          </w:p>
          <w:p w14:paraId="5B1CBA0F" w14:textId="77777777" w:rsidR="008247F6" w:rsidRPr="005E3B43" w:rsidRDefault="008247F6" w:rsidP="00763BCF">
            <w:pPr>
              <w:pStyle w:val="Tablea"/>
            </w:pPr>
            <w:r w:rsidRPr="005E3B43">
              <w:t>(b) if the material consists of polyvinyl chloride and polyvinylidene chloride—a change to a material consisting of polyvinyl chloride and polychlorotrifluoroethylene;</w:t>
            </w:r>
          </w:p>
          <w:p w14:paraId="781AB254" w14:textId="77777777" w:rsidR="008247F6" w:rsidRPr="005E3B43" w:rsidRDefault="008247F6" w:rsidP="00763BCF">
            <w:pPr>
              <w:pStyle w:val="Tablea"/>
            </w:pPr>
            <w:r w:rsidRPr="005E3B43">
              <w:t>(c) if the material is used in a plastic component of the blister pack—a change to a material with demonstrated equal or lesser water permeability</w:t>
            </w:r>
          </w:p>
        </w:tc>
        <w:tc>
          <w:tcPr>
            <w:tcW w:w="739" w:type="pct"/>
            <w:shd w:val="clear" w:color="auto" w:fill="auto"/>
          </w:tcPr>
          <w:p w14:paraId="33383B66" w14:textId="77777777" w:rsidR="008247F6" w:rsidRPr="005E3B43" w:rsidRDefault="008247F6" w:rsidP="00763BCF">
            <w:pPr>
              <w:pStyle w:val="Tabletext"/>
            </w:pPr>
            <w:r w:rsidRPr="005E3B43">
              <w:t>KBL</w:t>
            </w:r>
          </w:p>
        </w:tc>
      </w:tr>
      <w:tr w:rsidR="008247F6" w:rsidRPr="005E3B43" w14:paraId="02874D86" w14:textId="77777777" w:rsidTr="0010109C">
        <w:trPr>
          <w:cantSplit/>
        </w:trPr>
        <w:tc>
          <w:tcPr>
            <w:tcW w:w="679" w:type="pct"/>
            <w:shd w:val="clear" w:color="auto" w:fill="auto"/>
          </w:tcPr>
          <w:p w14:paraId="6087D71B" w14:textId="77777777" w:rsidR="008247F6" w:rsidRPr="005E3B43" w:rsidRDefault="008247F6" w:rsidP="00763BCF">
            <w:pPr>
              <w:pStyle w:val="Tabletext"/>
            </w:pPr>
            <w:r w:rsidRPr="005E3B43">
              <w:lastRenderedPageBreak/>
              <w:t>10</w:t>
            </w:r>
          </w:p>
        </w:tc>
        <w:tc>
          <w:tcPr>
            <w:tcW w:w="3582" w:type="pct"/>
            <w:shd w:val="clear" w:color="auto" w:fill="auto"/>
          </w:tcPr>
          <w:p w14:paraId="565400CC" w14:textId="77777777" w:rsidR="008247F6" w:rsidRPr="005E3B43" w:rsidRDefault="008247F6" w:rsidP="00763BCF">
            <w:pPr>
              <w:pStyle w:val="Tabletext"/>
            </w:pPr>
            <w:r w:rsidRPr="005E3B43">
              <w:t>If the medicine is in a solid dosage form, and the container is a bottle, any of the following changes to a material from which the bottle is made:</w:t>
            </w:r>
          </w:p>
          <w:p w14:paraId="6FAF71B7" w14:textId="77777777" w:rsidR="008247F6" w:rsidRPr="005E3B43" w:rsidRDefault="008247F6" w:rsidP="00763BCF">
            <w:pPr>
              <w:pStyle w:val="Tablea"/>
            </w:pPr>
            <w:r w:rsidRPr="005E3B43">
              <w:t>(a) if the material is polystyrene—a change to polyvinyl chloride, polyethylene, polypropylene or glass;</w:t>
            </w:r>
          </w:p>
          <w:p w14:paraId="38AA70FE" w14:textId="77777777" w:rsidR="008247F6" w:rsidRPr="005E3B43" w:rsidRDefault="008247F6" w:rsidP="00763BCF">
            <w:pPr>
              <w:pStyle w:val="Tablea"/>
            </w:pPr>
            <w:r w:rsidRPr="005E3B43">
              <w:t>(b) if the material is polyvinyl chloride—a change to polyethylene, polypropylene or glass;</w:t>
            </w:r>
          </w:p>
          <w:p w14:paraId="7DBD8F52" w14:textId="77777777" w:rsidR="008247F6" w:rsidRPr="005E3B43" w:rsidRDefault="008247F6" w:rsidP="00763BCF">
            <w:pPr>
              <w:pStyle w:val="Tablea"/>
            </w:pPr>
            <w:r w:rsidRPr="005E3B43">
              <w:t>(c) if the material is polyethylene:</w:t>
            </w:r>
          </w:p>
          <w:p w14:paraId="6C302ED4" w14:textId="77777777" w:rsidR="008247F6" w:rsidRPr="005E3B43" w:rsidRDefault="008247F6" w:rsidP="00763BCF">
            <w:pPr>
              <w:pStyle w:val="Tablei"/>
            </w:pPr>
            <w:r w:rsidRPr="005E3B43">
              <w:t>(i) an increase in the material’s density; or</w:t>
            </w:r>
          </w:p>
          <w:p w14:paraId="0F81668A" w14:textId="77777777" w:rsidR="008247F6" w:rsidRPr="005E3B43" w:rsidRDefault="008247F6" w:rsidP="00763BCF">
            <w:pPr>
              <w:pStyle w:val="Tablei"/>
            </w:pPr>
            <w:r w:rsidRPr="005E3B43">
              <w:t>(ii) a change to glass, or polypropylene of a density of at least 0.89 grams per cubic centimetre;</w:t>
            </w:r>
          </w:p>
          <w:p w14:paraId="724788C8" w14:textId="77777777" w:rsidR="008247F6" w:rsidRPr="005E3B43" w:rsidRDefault="008247F6" w:rsidP="00763BCF">
            <w:pPr>
              <w:pStyle w:val="Tablea"/>
            </w:pPr>
            <w:r w:rsidRPr="005E3B43">
              <w:t>(d) if the material is glass—a change to polyethylene of a density of at least 0.95 grams per cubic centimetre or polypropylene of a density of at least 0.89 grams per cubic centimetre;</w:t>
            </w:r>
          </w:p>
          <w:p w14:paraId="3D5759E4" w14:textId="77777777" w:rsidR="008247F6" w:rsidRPr="005E3B43" w:rsidRDefault="008247F6" w:rsidP="00763BCF">
            <w:pPr>
              <w:pStyle w:val="Tablea"/>
            </w:pPr>
            <w:r w:rsidRPr="005E3B43">
              <w:t>(e) if the material is polypropylene of a density of at least 0.89 grams per cubic centimetre—a change to glass, or polyethylene of a density of at least 0.95 grams per cubic centimetre</w:t>
            </w:r>
          </w:p>
        </w:tc>
        <w:tc>
          <w:tcPr>
            <w:tcW w:w="739" w:type="pct"/>
            <w:shd w:val="clear" w:color="auto" w:fill="auto"/>
          </w:tcPr>
          <w:p w14:paraId="5B2055C5" w14:textId="77777777" w:rsidR="008247F6" w:rsidRPr="005E3B43" w:rsidRDefault="008247F6" w:rsidP="00763BCF">
            <w:pPr>
              <w:pStyle w:val="Tabletext"/>
            </w:pPr>
            <w:r w:rsidRPr="005E3B43">
              <w:t>KBT</w:t>
            </w:r>
          </w:p>
        </w:tc>
      </w:tr>
      <w:tr w:rsidR="008247F6" w:rsidRPr="005E3B43" w14:paraId="3D185BAE" w14:textId="77777777" w:rsidTr="005A786D">
        <w:tc>
          <w:tcPr>
            <w:tcW w:w="679" w:type="pct"/>
            <w:shd w:val="clear" w:color="auto" w:fill="auto"/>
          </w:tcPr>
          <w:p w14:paraId="1BB5B0D3" w14:textId="77777777" w:rsidR="008247F6" w:rsidRPr="005E3B43" w:rsidRDefault="008247F6" w:rsidP="00763BCF">
            <w:pPr>
              <w:pStyle w:val="Tabletext"/>
            </w:pPr>
            <w:r w:rsidRPr="005E3B43">
              <w:t>11</w:t>
            </w:r>
          </w:p>
        </w:tc>
        <w:tc>
          <w:tcPr>
            <w:tcW w:w="3582" w:type="pct"/>
            <w:shd w:val="clear" w:color="auto" w:fill="auto"/>
          </w:tcPr>
          <w:p w14:paraId="244D4967" w14:textId="77777777" w:rsidR="008247F6" w:rsidRPr="005E3B43" w:rsidRDefault="008247F6" w:rsidP="00763BCF">
            <w:pPr>
              <w:pStyle w:val="Tabletext"/>
            </w:pPr>
            <w:r w:rsidRPr="005E3B43">
              <w:t>A change to the closure system for the medicine, unless:</w:t>
            </w:r>
          </w:p>
          <w:p w14:paraId="4405A81E" w14:textId="77777777" w:rsidR="008247F6" w:rsidRPr="005E3B43" w:rsidRDefault="008247F6" w:rsidP="00763BCF">
            <w:pPr>
              <w:pStyle w:val="Tablea"/>
            </w:pPr>
            <w:r w:rsidRPr="005E3B43">
              <w:t>(a) the closure system also functions as a metering component of the medicine; or</w:t>
            </w:r>
          </w:p>
          <w:p w14:paraId="280F6D7A" w14:textId="0B810489" w:rsidR="008247F6" w:rsidRPr="005E3B43" w:rsidRDefault="008247F6" w:rsidP="00763BCF">
            <w:pPr>
              <w:pStyle w:val="Tablea"/>
            </w:pPr>
            <w:r w:rsidRPr="005E3B43">
              <w:t>(b) the change involves a change to the pump, or components of the pump, of a metered</w:t>
            </w:r>
            <w:r w:rsidR="007C3215">
              <w:noBreakHyphen/>
            </w:r>
            <w:r w:rsidRPr="005E3B43">
              <w:t>dose aerosol</w:t>
            </w:r>
          </w:p>
        </w:tc>
        <w:tc>
          <w:tcPr>
            <w:tcW w:w="739" w:type="pct"/>
            <w:shd w:val="clear" w:color="auto" w:fill="auto"/>
          </w:tcPr>
          <w:p w14:paraId="72E7AE58" w14:textId="77777777" w:rsidR="008247F6" w:rsidRPr="005E3B43" w:rsidRDefault="008247F6" w:rsidP="00763BCF">
            <w:pPr>
              <w:pStyle w:val="Tabletext"/>
            </w:pPr>
            <w:r w:rsidRPr="005E3B43">
              <w:t>KCL</w:t>
            </w:r>
          </w:p>
        </w:tc>
      </w:tr>
      <w:tr w:rsidR="008247F6" w:rsidRPr="005E3B43" w14:paraId="3131F52A" w14:textId="77777777" w:rsidTr="005A786D">
        <w:tc>
          <w:tcPr>
            <w:tcW w:w="679" w:type="pct"/>
            <w:shd w:val="clear" w:color="auto" w:fill="auto"/>
          </w:tcPr>
          <w:p w14:paraId="6A8209D6" w14:textId="77777777" w:rsidR="008247F6" w:rsidRPr="005E3B43" w:rsidRDefault="008247F6" w:rsidP="00763BCF">
            <w:pPr>
              <w:pStyle w:val="Tabletext"/>
            </w:pPr>
            <w:r w:rsidRPr="005E3B43">
              <w:t>12</w:t>
            </w:r>
          </w:p>
        </w:tc>
        <w:tc>
          <w:tcPr>
            <w:tcW w:w="3582" w:type="pct"/>
            <w:shd w:val="clear" w:color="auto" w:fill="auto"/>
          </w:tcPr>
          <w:p w14:paraId="19C0389A" w14:textId="77777777" w:rsidR="008247F6" w:rsidRPr="005E3B43" w:rsidRDefault="008247F6" w:rsidP="00763BCF">
            <w:pPr>
              <w:pStyle w:val="Tabletext"/>
            </w:pPr>
            <w:r w:rsidRPr="005E3B43">
              <w:t xml:space="preserve">If a refill pack had previously been supplied with the medicine, the supply of the medicine without the refill pack </w:t>
            </w:r>
          </w:p>
        </w:tc>
        <w:tc>
          <w:tcPr>
            <w:tcW w:w="739" w:type="pct"/>
            <w:shd w:val="clear" w:color="auto" w:fill="auto"/>
          </w:tcPr>
          <w:p w14:paraId="7E4827F6" w14:textId="77777777" w:rsidR="008247F6" w:rsidRPr="005E3B43" w:rsidRDefault="008247F6" w:rsidP="00763BCF">
            <w:pPr>
              <w:pStyle w:val="Tabletext"/>
            </w:pPr>
            <w:r w:rsidRPr="005E3B43">
              <w:t>KRR</w:t>
            </w:r>
          </w:p>
        </w:tc>
      </w:tr>
      <w:tr w:rsidR="008247F6" w:rsidRPr="005E3B43" w14:paraId="42262753" w14:textId="77777777" w:rsidTr="005A786D">
        <w:tc>
          <w:tcPr>
            <w:tcW w:w="679" w:type="pct"/>
            <w:shd w:val="clear" w:color="auto" w:fill="auto"/>
          </w:tcPr>
          <w:p w14:paraId="64971C34" w14:textId="77777777" w:rsidR="008247F6" w:rsidRPr="005E3B43" w:rsidRDefault="008247F6" w:rsidP="00763BCF">
            <w:pPr>
              <w:pStyle w:val="Tabletext"/>
            </w:pPr>
            <w:r w:rsidRPr="005E3B43">
              <w:t>13</w:t>
            </w:r>
          </w:p>
        </w:tc>
        <w:tc>
          <w:tcPr>
            <w:tcW w:w="3582" w:type="pct"/>
            <w:shd w:val="clear" w:color="auto" w:fill="auto"/>
          </w:tcPr>
          <w:p w14:paraId="1421EFD4" w14:textId="28C919F5" w:rsidR="008247F6" w:rsidRPr="005E3B43" w:rsidRDefault="008247F6" w:rsidP="00763BCF">
            <w:pPr>
              <w:pStyle w:val="Tabletext"/>
            </w:pPr>
            <w:r w:rsidRPr="005E3B43">
              <w:t>If the medicine is non</w:t>
            </w:r>
            <w:r w:rsidR="007C3215">
              <w:noBreakHyphen/>
            </w:r>
            <w:r w:rsidRPr="005E3B43">
              <w:t>sterile, the performance of an additional step in the manufacture of the medicine by a manufacturer of the medicine</w:t>
            </w:r>
          </w:p>
        </w:tc>
        <w:tc>
          <w:tcPr>
            <w:tcW w:w="739" w:type="pct"/>
            <w:shd w:val="clear" w:color="auto" w:fill="auto"/>
          </w:tcPr>
          <w:p w14:paraId="74FA51EF" w14:textId="77777777" w:rsidR="008247F6" w:rsidRPr="005E3B43" w:rsidRDefault="008247F6" w:rsidP="00763BCF">
            <w:pPr>
              <w:pStyle w:val="Tabletext"/>
            </w:pPr>
            <w:r w:rsidRPr="005E3B43">
              <w:t>AMS</w:t>
            </w:r>
          </w:p>
        </w:tc>
      </w:tr>
      <w:tr w:rsidR="008247F6" w:rsidRPr="005E3B43" w14:paraId="1882DA9C" w14:textId="77777777" w:rsidTr="005A786D">
        <w:tc>
          <w:tcPr>
            <w:tcW w:w="679" w:type="pct"/>
            <w:shd w:val="clear" w:color="auto" w:fill="auto"/>
          </w:tcPr>
          <w:p w14:paraId="4CBF6B66" w14:textId="77777777" w:rsidR="008247F6" w:rsidRPr="005E3B43" w:rsidRDefault="008247F6" w:rsidP="00763BCF">
            <w:pPr>
              <w:pStyle w:val="Tabletext"/>
            </w:pPr>
            <w:r w:rsidRPr="005E3B43">
              <w:t>14</w:t>
            </w:r>
          </w:p>
        </w:tc>
        <w:tc>
          <w:tcPr>
            <w:tcW w:w="3582" w:type="pct"/>
            <w:shd w:val="clear" w:color="auto" w:fill="auto"/>
          </w:tcPr>
          <w:p w14:paraId="6688167F" w14:textId="79D738EF" w:rsidR="008247F6" w:rsidRPr="005E3B43" w:rsidRDefault="008247F6" w:rsidP="00763BCF">
            <w:pPr>
              <w:pStyle w:val="Tabletext"/>
            </w:pPr>
            <w:r w:rsidRPr="005E3B43">
              <w:t>If the medicine is non</w:t>
            </w:r>
            <w:r w:rsidR="007C3215">
              <w:noBreakHyphen/>
            </w:r>
            <w:r w:rsidRPr="005E3B43">
              <w:t>sterile, the manufacture of the medicine at an additional site</w:t>
            </w:r>
          </w:p>
        </w:tc>
        <w:tc>
          <w:tcPr>
            <w:tcW w:w="739" w:type="pct"/>
            <w:shd w:val="clear" w:color="auto" w:fill="auto"/>
          </w:tcPr>
          <w:p w14:paraId="0DD3FC4D" w14:textId="77777777" w:rsidR="008247F6" w:rsidRPr="005E3B43" w:rsidRDefault="008247F6" w:rsidP="00763BCF">
            <w:pPr>
              <w:pStyle w:val="Tabletext"/>
            </w:pPr>
            <w:r w:rsidRPr="005E3B43">
              <w:t>MMA</w:t>
            </w:r>
          </w:p>
        </w:tc>
      </w:tr>
      <w:tr w:rsidR="008247F6" w:rsidRPr="005E3B43" w14:paraId="5FEE71D3" w14:textId="77777777" w:rsidTr="005A786D">
        <w:tc>
          <w:tcPr>
            <w:tcW w:w="679" w:type="pct"/>
            <w:tcBorders>
              <w:bottom w:val="single" w:sz="2" w:space="0" w:color="auto"/>
            </w:tcBorders>
            <w:shd w:val="clear" w:color="auto" w:fill="auto"/>
          </w:tcPr>
          <w:p w14:paraId="6F0954D5" w14:textId="77777777" w:rsidR="008247F6" w:rsidRPr="005E3B43" w:rsidRDefault="008247F6" w:rsidP="00763BCF">
            <w:pPr>
              <w:pStyle w:val="Tabletext"/>
            </w:pPr>
            <w:r w:rsidRPr="005E3B43">
              <w:t>15</w:t>
            </w:r>
          </w:p>
        </w:tc>
        <w:tc>
          <w:tcPr>
            <w:tcW w:w="3582" w:type="pct"/>
            <w:tcBorders>
              <w:bottom w:val="single" w:sz="2" w:space="0" w:color="auto"/>
            </w:tcBorders>
            <w:shd w:val="clear" w:color="auto" w:fill="auto"/>
          </w:tcPr>
          <w:p w14:paraId="54085821" w14:textId="77777777" w:rsidR="008247F6" w:rsidRPr="005E3B43" w:rsidRDefault="008247F6" w:rsidP="00763BCF">
            <w:pPr>
              <w:pStyle w:val="Tabletext"/>
            </w:pPr>
            <w:r w:rsidRPr="005E3B43">
              <w:t>The cessation of the manufacture of the medicine by a manufacturer</w:t>
            </w:r>
          </w:p>
        </w:tc>
        <w:tc>
          <w:tcPr>
            <w:tcW w:w="739" w:type="pct"/>
            <w:tcBorders>
              <w:bottom w:val="single" w:sz="2" w:space="0" w:color="auto"/>
            </w:tcBorders>
            <w:shd w:val="clear" w:color="auto" w:fill="auto"/>
          </w:tcPr>
          <w:p w14:paraId="5F29C16E" w14:textId="77777777" w:rsidR="008247F6" w:rsidRPr="005E3B43" w:rsidRDefault="008247F6" w:rsidP="00763BCF">
            <w:pPr>
              <w:pStyle w:val="Tabletext"/>
            </w:pPr>
            <w:r w:rsidRPr="005E3B43">
              <w:t>MMD</w:t>
            </w:r>
          </w:p>
        </w:tc>
      </w:tr>
      <w:tr w:rsidR="008247F6" w:rsidRPr="005E3B43" w14:paraId="04259345" w14:textId="77777777" w:rsidTr="005A786D">
        <w:tc>
          <w:tcPr>
            <w:tcW w:w="679" w:type="pct"/>
            <w:tcBorders>
              <w:top w:val="single" w:sz="2" w:space="0" w:color="auto"/>
              <w:bottom w:val="single" w:sz="2" w:space="0" w:color="auto"/>
            </w:tcBorders>
            <w:shd w:val="clear" w:color="auto" w:fill="auto"/>
          </w:tcPr>
          <w:p w14:paraId="599195D3" w14:textId="77777777" w:rsidR="008247F6" w:rsidRPr="005E3B43" w:rsidRDefault="008247F6" w:rsidP="00763BCF">
            <w:pPr>
              <w:pStyle w:val="Tabletext"/>
            </w:pPr>
            <w:r w:rsidRPr="005E3B43">
              <w:t>16</w:t>
            </w:r>
          </w:p>
        </w:tc>
        <w:tc>
          <w:tcPr>
            <w:tcW w:w="3582" w:type="pct"/>
            <w:tcBorders>
              <w:top w:val="single" w:sz="2" w:space="0" w:color="auto"/>
              <w:bottom w:val="single" w:sz="2" w:space="0" w:color="auto"/>
            </w:tcBorders>
            <w:shd w:val="clear" w:color="auto" w:fill="auto"/>
          </w:tcPr>
          <w:p w14:paraId="412DA841" w14:textId="77777777" w:rsidR="008247F6" w:rsidRPr="005E3B43" w:rsidRDefault="008247F6" w:rsidP="00763BCF">
            <w:pPr>
              <w:pStyle w:val="Tabletext"/>
            </w:pPr>
            <w:r w:rsidRPr="005E3B43">
              <w:t>A reduction in the number of steps in the manufacture of the medicine performed by a manufacturer of the medicine</w:t>
            </w:r>
          </w:p>
        </w:tc>
        <w:tc>
          <w:tcPr>
            <w:tcW w:w="739" w:type="pct"/>
            <w:tcBorders>
              <w:top w:val="single" w:sz="2" w:space="0" w:color="auto"/>
              <w:bottom w:val="single" w:sz="2" w:space="0" w:color="auto"/>
            </w:tcBorders>
            <w:shd w:val="clear" w:color="auto" w:fill="auto"/>
          </w:tcPr>
          <w:p w14:paraId="0F9C8EF9" w14:textId="77777777" w:rsidR="008247F6" w:rsidRPr="005E3B43" w:rsidRDefault="008247F6" w:rsidP="00763BCF">
            <w:pPr>
              <w:pStyle w:val="Tabletext"/>
            </w:pPr>
            <w:r w:rsidRPr="005E3B43">
              <w:t>MSD</w:t>
            </w:r>
          </w:p>
        </w:tc>
      </w:tr>
      <w:tr w:rsidR="000A7E60" w:rsidRPr="005E3B43" w14:paraId="736B43FA" w14:textId="77777777" w:rsidTr="005A786D">
        <w:tc>
          <w:tcPr>
            <w:tcW w:w="679" w:type="pct"/>
            <w:tcBorders>
              <w:top w:val="single" w:sz="2" w:space="0" w:color="auto"/>
              <w:bottom w:val="single" w:sz="2" w:space="0" w:color="auto"/>
            </w:tcBorders>
            <w:shd w:val="clear" w:color="auto" w:fill="auto"/>
          </w:tcPr>
          <w:p w14:paraId="308F6302" w14:textId="77777777" w:rsidR="000A7E60" w:rsidRPr="005E3B43" w:rsidRDefault="000A7E60" w:rsidP="00763BCF">
            <w:pPr>
              <w:pStyle w:val="Tabletext"/>
            </w:pPr>
            <w:r w:rsidRPr="005E3B43">
              <w:t>17</w:t>
            </w:r>
          </w:p>
        </w:tc>
        <w:tc>
          <w:tcPr>
            <w:tcW w:w="3582" w:type="pct"/>
            <w:tcBorders>
              <w:top w:val="single" w:sz="2" w:space="0" w:color="auto"/>
              <w:bottom w:val="single" w:sz="2" w:space="0" w:color="auto"/>
            </w:tcBorders>
            <w:shd w:val="clear" w:color="auto" w:fill="auto"/>
            <w:vAlign w:val="center"/>
          </w:tcPr>
          <w:p w14:paraId="07D60C43" w14:textId="77777777" w:rsidR="000A7E60" w:rsidRPr="005E3B43" w:rsidRDefault="000A7E60" w:rsidP="00763BCF">
            <w:pPr>
              <w:pStyle w:val="Tabletext"/>
            </w:pPr>
            <w:r w:rsidRPr="005E3B43">
              <w:t>A change to the font, letter height or text size on a label for the medicine, other than a change on the main label for the medicine</w:t>
            </w:r>
          </w:p>
        </w:tc>
        <w:tc>
          <w:tcPr>
            <w:tcW w:w="739" w:type="pct"/>
            <w:tcBorders>
              <w:top w:val="single" w:sz="2" w:space="0" w:color="auto"/>
              <w:bottom w:val="single" w:sz="2" w:space="0" w:color="auto"/>
            </w:tcBorders>
            <w:shd w:val="clear" w:color="auto" w:fill="auto"/>
          </w:tcPr>
          <w:p w14:paraId="39A11339" w14:textId="77777777" w:rsidR="000A7E60" w:rsidRPr="005E3B43" w:rsidRDefault="000A7E60" w:rsidP="00763BCF">
            <w:pPr>
              <w:pStyle w:val="Tabletext"/>
            </w:pPr>
            <w:r w:rsidRPr="005E3B43">
              <w:t>LFT</w:t>
            </w:r>
          </w:p>
        </w:tc>
      </w:tr>
      <w:tr w:rsidR="000A7E60" w:rsidRPr="005E3B43" w14:paraId="51E574EE" w14:textId="77777777" w:rsidTr="005A786D">
        <w:tc>
          <w:tcPr>
            <w:tcW w:w="679" w:type="pct"/>
            <w:tcBorders>
              <w:top w:val="single" w:sz="2" w:space="0" w:color="auto"/>
              <w:bottom w:val="single" w:sz="2" w:space="0" w:color="auto"/>
            </w:tcBorders>
            <w:shd w:val="clear" w:color="auto" w:fill="auto"/>
          </w:tcPr>
          <w:p w14:paraId="751BB897" w14:textId="77777777" w:rsidR="000A7E60" w:rsidRPr="005E3B43" w:rsidRDefault="000A7E60" w:rsidP="00763BCF">
            <w:pPr>
              <w:pStyle w:val="Tabletext"/>
            </w:pPr>
            <w:r w:rsidRPr="005E3B43">
              <w:t>18</w:t>
            </w:r>
          </w:p>
        </w:tc>
        <w:tc>
          <w:tcPr>
            <w:tcW w:w="3582" w:type="pct"/>
            <w:tcBorders>
              <w:top w:val="single" w:sz="2" w:space="0" w:color="auto"/>
              <w:bottom w:val="single" w:sz="2" w:space="0" w:color="auto"/>
            </w:tcBorders>
            <w:shd w:val="clear" w:color="auto" w:fill="auto"/>
          </w:tcPr>
          <w:p w14:paraId="438572EA" w14:textId="77777777" w:rsidR="000A7E60" w:rsidRPr="005E3B43" w:rsidRDefault="000A7E60" w:rsidP="00763BCF">
            <w:pPr>
              <w:pStyle w:val="Tabletext"/>
            </w:pPr>
            <w:r w:rsidRPr="005E3B43">
              <w:t>Removal of a graphic from a label for the medicine, other than a graphic that relates to directions for:</w:t>
            </w:r>
          </w:p>
          <w:p w14:paraId="719650CC" w14:textId="77777777" w:rsidR="000A7E60" w:rsidRPr="005E3B43" w:rsidRDefault="000A7E60" w:rsidP="00763BCF">
            <w:pPr>
              <w:pStyle w:val="Tablea"/>
            </w:pPr>
            <w:r w:rsidRPr="005E3B43">
              <w:t>(a) use of the medicine; or</w:t>
            </w:r>
          </w:p>
          <w:p w14:paraId="2EA6A17D" w14:textId="77777777" w:rsidR="000A7E60" w:rsidRPr="005E3B43" w:rsidRDefault="000A7E60" w:rsidP="00763BCF">
            <w:pPr>
              <w:pStyle w:val="Tablea"/>
            </w:pPr>
            <w:r w:rsidRPr="005E3B43">
              <w:t>(b) use of a measuring device; or</w:t>
            </w:r>
          </w:p>
          <w:p w14:paraId="498E0A28" w14:textId="77777777" w:rsidR="000A7E60" w:rsidRPr="005E3B43" w:rsidRDefault="000A7E60" w:rsidP="00763BCF">
            <w:pPr>
              <w:pStyle w:val="Tablea"/>
            </w:pPr>
            <w:r w:rsidRPr="005E3B43">
              <w:t>(c) use of an applicator</w:t>
            </w:r>
          </w:p>
        </w:tc>
        <w:tc>
          <w:tcPr>
            <w:tcW w:w="739" w:type="pct"/>
            <w:tcBorders>
              <w:top w:val="single" w:sz="2" w:space="0" w:color="auto"/>
              <w:bottom w:val="single" w:sz="2" w:space="0" w:color="auto"/>
            </w:tcBorders>
            <w:shd w:val="clear" w:color="auto" w:fill="auto"/>
          </w:tcPr>
          <w:p w14:paraId="692880E3" w14:textId="77777777" w:rsidR="000A7E60" w:rsidRPr="005E3B43" w:rsidRDefault="000A7E60" w:rsidP="00763BCF">
            <w:pPr>
              <w:pStyle w:val="Tabletext"/>
            </w:pPr>
            <w:r w:rsidRPr="005E3B43">
              <w:t>RGN</w:t>
            </w:r>
          </w:p>
        </w:tc>
      </w:tr>
      <w:tr w:rsidR="000A7E60" w:rsidRPr="005E3B43" w14:paraId="3D66204A" w14:textId="77777777" w:rsidTr="005A786D">
        <w:tc>
          <w:tcPr>
            <w:tcW w:w="679" w:type="pct"/>
            <w:tcBorders>
              <w:top w:val="single" w:sz="2" w:space="0" w:color="auto"/>
              <w:bottom w:val="single" w:sz="2" w:space="0" w:color="auto"/>
            </w:tcBorders>
            <w:shd w:val="clear" w:color="auto" w:fill="auto"/>
          </w:tcPr>
          <w:p w14:paraId="6AC3C0F3" w14:textId="77777777" w:rsidR="000A7E60" w:rsidRPr="005E3B43" w:rsidRDefault="000A7E60" w:rsidP="00763BCF">
            <w:pPr>
              <w:pStyle w:val="Tabletext"/>
            </w:pPr>
            <w:r w:rsidRPr="005E3B43">
              <w:t>19</w:t>
            </w:r>
          </w:p>
        </w:tc>
        <w:tc>
          <w:tcPr>
            <w:tcW w:w="3582" w:type="pct"/>
            <w:tcBorders>
              <w:top w:val="single" w:sz="2" w:space="0" w:color="auto"/>
              <w:bottom w:val="single" w:sz="2" w:space="0" w:color="auto"/>
            </w:tcBorders>
            <w:shd w:val="clear" w:color="auto" w:fill="auto"/>
          </w:tcPr>
          <w:p w14:paraId="72CE1918" w14:textId="77777777" w:rsidR="000A7E60" w:rsidRPr="005E3B43" w:rsidRDefault="000A7E60" w:rsidP="00763BCF">
            <w:pPr>
              <w:pStyle w:val="Tabletext"/>
            </w:pPr>
            <w:r w:rsidRPr="005E3B43">
              <w:t>A change to the location of a graphic on the panel of a label for the medicine if:</w:t>
            </w:r>
          </w:p>
          <w:p w14:paraId="67A5A05B" w14:textId="77777777" w:rsidR="000A7E60" w:rsidRPr="005E3B43" w:rsidRDefault="000A7E60" w:rsidP="00763BCF">
            <w:pPr>
              <w:pStyle w:val="Tablea"/>
            </w:pPr>
            <w:r w:rsidRPr="005E3B43">
              <w:t>(a) there is no change to the size, shape or colour of the graphic; and</w:t>
            </w:r>
          </w:p>
          <w:p w14:paraId="5805BFF7" w14:textId="77777777" w:rsidR="000A7E60" w:rsidRPr="005E3B43" w:rsidRDefault="000A7E60" w:rsidP="00763BCF">
            <w:pPr>
              <w:pStyle w:val="Tablea"/>
            </w:pPr>
            <w:r w:rsidRPr="005E3B43">
              <w:t>(b) the change does not involve reformatting text</w:t>
            </w:r>
          </w:p>
        </w:tc>
        <w:tc>
          <w:tcPr>
            <w:tcW w:w="739" w:type="pct"/>
            <w:tcBorders>
              <w:top w:val="single" w:sz="2" w:space="0" w:color="auto"/>
              <w:bottom w:val="single" w:sz="2" w:space="0" w:color="auto"/>
            </w:tcBorders>
            <w:shd w:val="clear" w:color="auto" w:fill="auto"/>
          </w:tcPr>
          <w:p w14:paraId="6FA238B3" w14:textId="77777777" w:rsidR="000A7E60" w:rsidRPr="005E3B43" w:rsidRDefault="000A7E60" w:rsidP="00763BCF">
            <w:pPr>
              <w:pStyle w:val="Tabletext"/>
            </w:pPr>
            <w:r w:rsidRPr="005E3B43">
              <w:t>LGM</w:t>
            </w:r>
          </w:p>
        </w:tc>
      </w:tr>
      <w:tr w:rsidR="000A7E60" w:rsidRPr="005E3B43" w14:paraId="2493D346" w14:textId="77777777" w:rsidTr="0010109C">
        <w:trPr>
          <w:cantSplit/>
        </w:trPr>
        <w:tc>
          <w:tcPr>
            <w:tcW w:w="679" w:type="pct"/>
            <w:tcBorders>
              <w:top w:val="single" w:sz="2" w:space="0" w:color="auto"/>
              <w:bottom w:val="single" w:sz="2" w:space="0" w:color="auto"/>
            </w:tcBorders>
            <w:shd w:val="clear" w:color="auto" w:fill="auto"/>
          </w:tcPr>
          <w:p w14:paraId="11F19B11" w14:textId="77777777" w:rsidR="000A7E60" w:rsidRPr="005E3B43" w:rsidRDefault="000A7E60" w:rsidP="00763BCF">
            <w:pPr>
              <w:pStyle w:val="Tabletext"/>
            </w:pPr>
            <w:r w:rsidRPr="005E3B43">
              <w:lastRenderedPageBreak/>
              <w:t>20</w:t>
            </w:r>
          </w:p>
        </w:tc>
        <w:tc>
          <w:tcPr>
            <w:tcW w:w="3582" w:type="pct"/>
            <w:tcBorders>
              <w:top w:val="single" w:sz="2" w:space="0" w:color="auto"/>
              <w:bottom w:val="single" w:sz="2" w:space="0" w:color="auto"/>
            </w:tcBorders>
            <w:shd w:val="clear" w:color="auto" w:fill="auto"/>
          </w:tcPr>
          <w:p w14:paraId="7CD68907" w14:textId="77777777" w:rsidR="000A7E60" w:rsidRPr="005E3B43" w:rsidRDefault="000A7E60" w:rsidP="00763BCF">
            <w:pPr>
              <w:pStyle w:val="Tabletext"/>
            </w:pPr>
            <w:r w:rsidRPr="005E3B43">
              <w:t>If the medicine is in a solid dosage form, the addition of a new pack size that is within the pack size range for the medicine</w:t>
            </w:r>
          </w:p>
        </w:tc>
        <w:tc>
          <w:tcPr>
            <w:tcW w:w="739" w:type="pct"/>
            <w:tcBorders>
              <w:top w:val="single" w:sz="2" w:space="0" w:color="auto"/>
              <w:bottom w:val="single" w:sz="2" w:space="0" w:color="auto"/>
            </w:tcBorders>
            <w:shd w:val="clear" w:color="auto" w:fill="auto"/>
          </w:tcPr>
          <w:p w14:paraId="4D53D80A" w14:textId="77777777" w:rsidR="000A7E60" w:rsidRPr="005E3B43" w:rsidRDefault="000A7E60" w:rsidP="00763BCF">
            <w:pPr>
              <w:pStyle w:val="Tabletext"/>
            </w:pPr>
            <w:r w:rsidRPr="005E3B43">
              <w:t>PSN</w:t>
            </w:r>
          </w:p>
        </w:tc>
      </w:tr>
      <w:tr w:rsidR="000A7E60" w:rsidRPr="005E3B43" w14:paraId="58FE3256" w14:textId="77777777" w:rsidTr="005A786D">
        <w:tc>
          <w:tcPr>
            <w:tcW w:w="679" w:type="pct"/>
            <w:tcBorders>
              <w:top w:val="single" w:sz="2" w:space="0" w:color="auto"/>
              <w:bottom w:val="single" w:sz="2" w:space="0" w:color="auto"/>
            </w:tcBorders>
            <w:shd w:val="clear" w:color="auto" w:fill="auto"/>
          </w:tcPr>
          <w:p w14:paraId="561CDD86" w14:textId="77777777" w:rsidR="000A7E60" w:rsidRPr="005E3B43" w:rsidRDefault="000A7E60" w:rsidP="00763BCF">
            <w:pPr>
              <w:pStyle w:val="Tabletext"/>
            </w:pPr>
            <w:r w:rsidRPr="005E3B43">
              <w:t>21</w:t>
            </w:r>
          </w:p>
        </w:tc>
        <w:tc>
          <w:tcPr>
            <w:tcW w:w="3582" w:type="pct"/>
            <w:tcBorders>
              <w:top w:val="single" w:sz="2" w:space="0" w:color="auto"/>
              <w:bottom w:val="single" w:sz="2" w:space="0" w:color="auto"/>
            </w:tcBorders>
            <w:shd w:val="clear" w:color="auto" w:fill="auto"/>
          </w:tcPr>
          <w:p w14:paraId="2C6B4741" w14:textId="0FB89397" w:rsidR="000A7E60" w:rsidRPr="005E3B43" w:rsidRDefault="000A7E60" w:rsidP="00763BCF">
            <w:pPr>
              <w:pStyle w:val="Tabletext"/>
            </w:pPr>
            <w:r w:rsidRPr="005E3B43">
              <w:t>If the medicine is in a liquid or semi</w:t>
            </w:r>
            <w:r w:rsidR="007C3215">
              <w:noBreakHyphen/>
            </w:r>
            <w:r w:rsidRPr="005E3B43">
              <w:t>solid dosage form, the addition of a new pack size that is within the pack size range for the medicine</w:t>
            </w:r>
          </w:p>
        </w:tc>
        <w:tc>
          <w:tcPr>
            <w:tcW w:w="739" w:type="pct"/>
            <w:tcBorders>
              <w:top w:val="single" w:sz="2" w:space="0" w:color="auto"/>
              <w:bottom w:val="single" w:sz="2" w:space="0" w:color="auto"/>
            </w:tcBorders>
            <w:shd w:val="clear" w:color="auto" w:fill="auto"/>
          </w:tcPr>
          <w:p w14:paraId="2A995FD5" w14:textId="77777777" w:rsidR="000A7E60" w:rsidRPr="005E3B43" w:rsidRDefault="000A7E60" w:rsidP="00763BCF">
            <w:pPr>
              <w:pStyle w:val="Tabletext"/>
            </w:pPr>
            <w:r w:rsidRPr="005E3B43">
              <w:t>PLN</w:t>
            </w:r>
          </w:p>
        </w:tc>
      </w:tr>
      <w:tr w:rsidR="000A7E60" w:rsidRPr="005E3B43" w14:paraId="6A8624AB" w14:textId="77777777" w:rsidTr="005A786D">
        <w:tc>
          <w:tcPr>
            <w:tcW w:w="679" w:type="pct"/>
            <w:tcBorders>
              <w:top w:val="single" w:sz="2" w:space="0" w:color="auto"/>
              <w:bottom w:val="single" w:sz="2" w:space="0" w:color="auto"/>
            </w:tcBorders>
            <w:shd w:val="clear" w:color="auto" w:fill="auto"/>
          </w:tcPr>
          <w:p w14:paraId="2ADE03C8" w14:textId="77777777" w:rsidR="000A7E60" w:rsidRPr="005E3B43" w:rsidRDefault="000A7E60" w:rsidP="00763BCF">
            <w:pPr>
              <w:pStyle w:val="Tabletext"/>
            </w:pPr>
            <w:r w:rsidRPr="005E3B43">
              <w:t>22</w:t>
            </w:r>
          </w:p>
        </w:tc>
        <w:tc>
          <w:tcPr>
            <w:tcW w:w="3582" w:type="pct"/>
            <w:tcBorders>
              <w:top w:val="single" w:sz="2" w:space="0" w:color="auto"/>
              <w:bottom w:val="single" w:sz="2" w:space="0" w:color="auto"/>
            </w:tcBorders>
            <w:shd w:val="clear" w:color="auto" w:fill="auto"/>
          </w:tcPr>
          <w:p w14:paraId="2243D0C5" w14:textId="77777777" w:rsidR="000A7E60" w:rsidRPr="005E3B43" w:rsidRDefault="000A7E60" w:rsidP="00763BCF">
            <w:pPr>
              <w:pStyle w:val="Tabletext"/>
            </w:pPr>
            <w:r w:rsidRPr="005E3B43">
              <w:t>The deletion of a pack size for the medicine</w:t>
            </w:r>
          </w:p>
        </w:tc>
        <w:tc>
          <w:tcPr>
            <w:tcW w:w="739" w:type="pct"/>
            <w:tcBorders>
              <w:top w:val="single" w:sz="2" w:space="0" w:color="auto"/>
              <w:bottom w:val="single" w:sz="2" w:space="0" w:color="auto"/>
            </w:tcBorders>
            <w:shd w:val="clear" w:color="auto" w:fill="auto"/>
          </w:tcPr>
          <w:p w14:paraId="1EACE97D" w14:textId="77777777" w:rsidR="000A7E60" w:rsidRPr="005E3B43" w:rsidRDefault="000A7E60" w:rsidP="00763BCF">
            <w:pPr>
              <w:pStyle w:val="Tabletext"/>
            </w:pPr>
            <w:r w:rsidRPr="005E3B43">
              <w:t>PSD</w:t>
            </w:r>
          </w:p>
        </w:tc>
      </w:tr>
      <w:tr w:rsidR="000A7E60" w:rsidRPr="005E3B43" w14:paraId="6C0206D7" w14:textId="77777777" w:rsidTr="005A786D">
        <w:tc>
          <w:tcPr>
            <w:tcW w:w="679" w:type="pct"/>
            <w:tcBorders>
              <w:top w:val="single" w:sz="2" w:space="0" w:color="auto"/>
              <w:bottom w:val="single" w:sz="2" w:space="0" w:color="auto"/>
            </w:tcBorders>
            <w:shd w:val="clear" w:color="auto" w:fill="auto"/>
          </w:tcPr>
          <w:p w14:paraId="3739A02B" w14:textId="77777777" w:rsidR="000A7E60" w:rsidRPr="005E3B43" w:rsidRDefault="000A7E60" w:rsidP="00763BCF">
            <w:pPr>
              <w:pStyle w:val="Tabletext"/>
              <w:keepNext/>
            </w:pPr>
            <w:r w:rsidRPr="005E3B43">
              <w:t>23</w:t>
            </w:r>
          </w:p>
        </w:tc>
        <w:tc>
          <w:tcPr>
            <w:tcW w:w="3582" w:type="pct"/>
            <w:tcBorders>
              <w:top w:val="single" w:sz="2" w:space="0" w:color="auto"/>
              <w:bottom w:val="single" w:sz="2" w:space="0" w:color="auto"/>
            </w:tcBorders>
            <w:shd w:val="clear" w:color="auto" w:fill="auto"/>
          </w:tcPr>
          <w:p w14:paraId="38C2689D" w14:textId="77777777" w:rsidR="000A7E60" w:rsidRPr="005E3B43" w:rsidRDefault="000A7E60" w:rsidP="00763BCF">
            <w:pPr>
              <w:pStyle w:val="Tabletext"/>
            </w:pPr>
            <w:r w:rsidRPr="005E3B43">
              <w:t>If the medicine is sterile:</w:t>
            </w:r>
          </w:p>
          <w:p w14:paraId="15342475" w14:textId="77777777" w:rsidR="000A7E60" w:rsidRPr="005E3B43" w:rsidRDefault="000A7E60" w:rsidP="00763BCF">
            <w:pPr>
              <w:pStyle w:val="Tablea"/>
            </w:pPr>
            <w:r w:rsidRPr="005E3B43">
              <w:t>(a) the addition of a manufacturer of the medicine for the performance of any of the following steps:</w:t>
            </w:r>
          </w:p>
          <w:p w14:paraId="0C6752AE" w14:textId="77777777" w:rsidR="000A7E60" w:rsidRPr="005E3B43" w:rsidRDefault="000A7E60" w:rsidP="00763BCF">
            <w:pPr>
              <w:pStyle w:val="Tablei"/>
            </w:pPr>
            <w:r w:rsidRPr="005E3B43">
              <w:t>(i) release for supply;</w:t>
            </w:r>
          </w:p>
          <w:p w14:paraId="72DB9D32" w14:textId="77777777" w:rsidR="000A7E60" w:rsidRPr="005E3B43" w:rsidRDefault="000A7E60" w:rsidP="00763BCF">
            <w:pPr>
              <w:pStyle w:val="Tablei"/>
            </w:pPr>
            <w:r w:rsidRPr="005E3B43">
              <w:t>(ii) secondary packaging;</w:t>
            </w:r>
          </w:p>
          <w:p w14:paraId="6E2A8C02" w14:textId="77777777" w:rsidR="000A7E60" w:rsidRPr="005E3B43" w:rsidRDefault="000A7E60" w:rsidP="00763BCF">
            <w:pPr>
              <w:pStyle w:val="Tablei"/>
            </w:pPr>
            <w:r w:rsidRPr="005E3B43">
              <w:t>(iii) chemical, physical or microbial testing; or</w:t>
            </w:r>
          </w:p>
          <w:p w14:paraId="714A2AE0" w14:textId="77777777" w:rsidR="000A7E60" w:rsidRPr="005E3B43" w:rsidRDefault="000A7E60" w:rsidP="00763BCF">
            <w:pPr>
              <w:pStyle w:val="Tablea"/>
              <w:keepNext/>
            </w:pPr>
            <w:r w:rsidRPr="005E3B43">
              <w:t xml:space="preserve">(b) the inclusion of the performance of any of the steps mentioned in </w:t>
            </w:r>
            <w:r w:rsidR="004E6D00" w:rsidRPr="005E3B43">
              <w:t>paragraph (</w:t>
            </w:r>
            <w:r w:rsidRPr="005E3B43">
              <w:t>a) as an additional step in the manufacture of the medicine by a manufacturer of the medicine</w:t>
            </w:r>
          </w:p>
        </w:tc>
        <w:tc>
          <w:tcPr>
            <w:tcW w:w="739" w:type="pct"/>
            <w:tcBorders>
              <w:top w:val="single" w:sz="2" w:space="0" w:color="auto"/>
              <w:bottom w:val="single" w:sz="2" w:space="0" w:color="auto"/>
            </w:tcBorders>
            <w:shd w:val="clear" w:color="auto" w:fill="auto"/>
          </w:tcPr>
          <w:p w14:paraId="455BC0D8" w14:textId="77777777" w:rsidR="000A7E60" w:rsidRPr="005E3B43" w:rsidRDefault="000A7E60" w:rsidP="00763BCF">
            <w:pPr>
              <w:pStyle w:val="Tabletext"/>
            </w:pPr>
            <w:r w:rsidRPr="005E3B43">
              <w:t>MSS</w:t>
            </w:r>
          </w:p>
        </w:tc>
      </w:tr>
      <w:tr w:rsidR="000A7E60" w:rsidRPr="005E3B43" w14:paraId="08B39874" w14:textId="77777777" w:rsidTr="005A786D">
        <w:tc>
          <w:tcPr>
            <w:tcW w:w="679" w:type="pct"/>
            <w:tcBorders>
              <w:top w:val="single" w:sz="2" w:space="0" w:color="auto"/>
              <w:bottom w:val="single" w:sz="12" w:space="0" w:color="auto"/>
            </w:tcBorders>
            <w:shd w:val="clear" w:color="auto" w:fill="auto"/>
          </w:tcPr>
          <w:p w14:paraId="24CD6749" w14:textId="77777777" w:rsidR="000A7E60" w:rsidRPr="005E3B43" w:rsidRDefault="000A7E60" w:rsidP="00763BCF">
            <w:pPr>
              <w:pStyle w:val="Tabletext"/>
            </w:pPr>
            <w:r w:rsidRPr="005E3B43">
              <w:t>24</w:t>
            </w:r>
          </w:p>
        </w:tc>
        <w:tc>
          <w:tcPr>
            <w:tcW w:w="3582" w:type="pct"/>
            <w:tcBorders>
              <w:top w:val="single" w:sz="2" w:space="0" w:color="auto"/>
              <w:bottom w:val="single" w:sz="12" w:space="0" w:color="auto"/>
            </w:tcBorders>
            <w:shd w:val="clear" w:color="auto" w:fill="auto"/>
            <w:vAlign w:val="center"/>
          </w:tcPr>
          <w:p w14:paraId="770014B0" w14:textId="77777777" w:rsidR="000A7E60" w:rsidRPr="005E3B43" w:rsidRDefault="000A7E60" w:rsidP="00763BCF">
            <w:pPr>
              <w:pStyle w:val="Tabletext"/>
            </w:pPr>
            <w:r w:rsidRPr="005E3B43">
              <w:t>If a measuring device had previously been supplied with the medicine, the supply of the medicine without the measuring device, if:</w:t>
            </w:r>
          </w:p>
          <w:p w14:paraId="5926947B" w14:textId="77777777" w:rsidR="000A7E60" w:rsidRPr="005E3B43" w:rsidRDefault="000A7E60" w:rsidP="00763BCF">
            <w:pPr>
              <w:pStyle w:val="Tablea"/>
            </w:pPr>
            <w:r w:rsidRPr="005E3B43">
              <w:t>(a) other means of accurately measuring the dose are readily available; and</w:t>
            </w:r>
          </w:p>
          <w:p w14:paraId="381B05EE" w14:textId="77777777" w:rsidR="000A7E60" w:rsidRPr="005E3B43" w:rsidRDefault="000A7E60" w:rsidP="00763BCF">
            <w:pPr>
              <w:pStyle w:val="Tablea"/>
            </w:pPr>
            <w:r w:rsidRPr="005E3B43">
              <w:t>(b) any graphical representation of the device (including associated wording) is removed from any label for the medicine; and</w:t>
            </w:r>
          </w:p>
          <w:p w14:paraId="7FBF4DBB" w14:textId="77777777" w:rsidR="000A7E60" w:rsidRPr="005E3B43" w:rsidRDefault="000A7E60" w:rsidP="00763BCF">
            <w:pPr>
              <w:pStyle w:val="Tablea"/>
            </w:pPr>
            <w:r w:rsidRPr="005E3B43">
              <w:t>(c) there are no changes to the directions for use of the medicine</w:t>
            </w:r>
          </w:p>
        </w:tc>
        <w:tc>
          <w:tcPr>
            <w:tcW w:w="739" w:type="pct"/>
            <w:tcBorders>
              <w:top w:val="single" w:sz="2" w:space="0" w:color="auto"/>
              <w:bottom w:val="single" w:sz="12" w:space="0" w:color="auto"/>
            </w:tcBorders>
            <w:shd w:val="clear" w:color="auto" w:fill="auto"/>
          </w:tcPr>
          <w:p w14:paraId="6915E9B4" w14:textId="77777777" w:rsidR="000A7E60" w:rsidRPr="005E3B43" w:rsidRDefault="000A7E60" w:rsidP="00763BCF">
            <w:pPr>
              <w:pStyle w:val="Tabletext"/>
            </w:pPr>
            <w:r w:rsidRPr="005E3B43">
              <w:t>KMO</w:t>
            </w:r>
          </w:p>
        </w:tc>
      </w:tr>
    </w:tbl>
    <w:p w14:paraId="6CEC497E" w14:textId="77777777" w:rsidR="00AD3860" w:rsidRPr="005E3B43" w:rsidRDefault="00AD3860" w:rsidP="00763BCF">
      <w:pPr>
        <w:pStyle w:val="ActHead5"/>
      </w:pPr>
      <w:bookmarkStart w:id="27" w:name="_Toc187135622"/>
      <w:r w:rsidRPr="005E3B43">
        <w:rPr>
          <w:rStyle w:val="CharSectno"/>
        </w:rPr>
        <w:t>10AAB</w:t>
      </w:r>
      <w:r w:rsidRPr="005E3B43">
        <w:t xml:space="preserve">  Variation of entries in Register—prescription medicines other than biological medicines</w:t>
      </w:r>
      <w:bookmarkEnd w:id="27"/>
    </w:p>
    <w:p w14:paraId="3FCC5F2F" w14:textId="77777777" w:rsidR="00AD3860" w:rsidRPr="005E3B43" w:rsidRDefault="00AD3860" w:rsidP="00763BCF">
      <w:pPr>
        <w:pStyle w:val="SubsectionHead"/>
      </w:pPr>
      <w:r w:rsidRPr="005E3B43">
        <w:t>Kinds of variations</w:t>
      </w:r>
    </w:p>
    <w:p w14:paraId="1E6C6405" w14:textId="77777777" w:rsidR="00AD3860" w:rsidRPr="005E3B43" w:rsidRDefault="00AD3860" w:rsidP="00763BCF">
      <w:pPr>
        <w:pStyle w:val="subsection"/>
      </w:pPr>
      <w:r w:rsidRPr="005E3B43">
        <w:tab/>
        <w:t>(1)</w:t>
      </w:r>
      <w:r w:rsidRPr="005E3B43">
        <w:tab/>
        <w:t>For the purposes of paragraph</w:t>
      </w:r>
      <w:r w:rsidR="004E6D00" w:rsidRPr="005E3B43">
        <w:t> </w:t>
      </w:r>
      <w:r w:rsidRPr="005E3B43">
        <w:t>9D(2C)(b) of the Act, a variation of an entry in the Register that relates to a prescription medicine (other than a biological medicine) and is listed in the table in subregulation (2) is specified.</w:t>
      </w:r>
    </w:p>
    <w:p w14:paraId="3F45D468" w14:textId="77777777" w:rsidR="00AD3860" w:rsidRPr="005E3B43" w:rsidRDefault="00AD3860" w:rsidP="00763BCF">
      <w:pPr>
        <w:pStyle w:val="SubsectionHead"/>
      </w:pPr>
      <w:r w:rsidRPr="005E3B43">
        <w:t>Conditions</w:t>
      </w:r>
    </w:p>
    <w:p w14:paraId="74F26348" w14:textId="77777777" w:rsidR="00AD3860" w:rsidRPr="005E3B43" w:rsidRDefault="00AD3860" w:rsidP="00763BCF">
      <w:pPr>
        <w:pStyle w:val="subsection"/>
      </w:pPr>
      <w:r w:rsidRPr="005E3B43">
        <w:tab/>
        <w:t>(2)</w:t>
      </w:r>
      <w:r w:rsidRPr="005E3B43">
        <w:tab/>
        <w:t>For the purposes of paragraph</w:t>
      </w:r>
      <w:r w:rsidR="004E6D00" w:rsidRPr="005E3B43">
        <w:t> </w:t>
      </w:r>
      <w:r w:rsidRPr="005E3B43">
        <w:t>9D(2C)(c) of the Act, the following conditions are specified in relation to a variation of an entry in the Register that is listed in column 2 of an item in the following table:</w:t>
      </w:r>
    </w:p>
    <w:p w14:paraId="11D7C8A1" w14:textId="77777777" w:rsidR="00AD3860" w:rsidRPr="005E3B43" w:rsidRDefault="00AD3860" w:rsidP="00763BCF">
      <w:pPr>
        <w:pStyle w:val="paragraph"/>
      </w:pPr>
      <w:r w:rsidRPr="005E3B43">
        <w:tab/>
        <w:t>(a)</w:t>
      </w:r>
      <w:r w:rsidRPr="005E3B43">
        <w:tab/>
        <w:t>the variation reflects a change that will be made to, or in relation to, the medicine;</w:t>
      </w:r>
    </w:p>
    <w:p w14:paraId="1E388B8D" w14:textId="77777777" w:rsidR="00AD3860" w:rsidRPr="005E3B43" w:rsidRDefault="00AD3860" w:rsidP="00763BCF">
      <w:pPr>
        <w:pStyle w:val="paragraph"/>
      </w:pPr>
      <w:r w:rsidRPr="005E3B43">
        <w:tab/>
        <w:t>(b)</w:t>
      </w:r>
      <w:r w:rsidRPr="005E3B43">
        <w:tab/>
        <w:t xml:space="preserve">the other conditions set out in </w:t>
      </w:r>
      <w:r w:rsidR="000A7E60" w:rsidRPr="005E3B43">
        <w:t>the TGA notifications process guidance document</w:t>
      </w:r>
      <w:r w:rsidRPr="005E3B43">
        <w:t xml:space="preserve"> in relation to the code listed in column 3 of the item are satisfied.</w:t>
      </w:r>
    </w:p>
    <w:p w14:paraId="7A4E6980" w14:textId="77777777" w:rsidR="00AD3860" w:rsidRPr="005E3B43" w:rsidRDefault="00AD3860" w:rsidP="00763BC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58"/>
        <w:gridCol w:w="6110"/>
        <w:gridCol w:w="1261"/>
      </w:tblGrid>
      <w:tr w:rsidR="00AD3860" w:rsidRPr="005E3B43" w14:paraId="7CB6C9AC" w14:textId="77777777" w:rsidTr="005A786D">
        <w:trPr>
          <w:tblHeader/>
        </w:trPr>
        <w:tc>
          <w:tcPr>
            <w:tcW w:w="5000" w:type="pct"/>
            <w:gridSpan w:val="3"/>
            <w:tcBorders>
              <w:top w:val="single" w:sz="12" w:space="0" w:color="auto"/>
              <w:bottom w:val="single" w:sz="6" w:space="0" w:color="auto"/>
            </w:tcBorders>
            <w:shd w:val="clear" w:color="auto" w:fill="auto"/>
          </w:tcPr>
          <w:p w14:paraId="2D324611" w14:textId="77777777" w:rsidR="00AD3860" w:rsidRPr="005E3B43" w:rsidRDefault="00AD3860" w:rsidP="00763BCF">
            <w:pPr>
              <w:pStyle w:val="TableHeading"/>
            </w:pPr>
            <w:r w:rsidRPr="005E3B43">
              <w:lastRenderedPageBreak/>
              <w:t>Kinds of variations—prescription medicines other than biological medicines</w:t>
            </w:r>
          </w:p>
        </w:tc>
      </w:tr>
      <w:tr w:rsidR="00AD3860" w:rsidRPr="005E3B43" w14:paraId="50B0E90B" w14:textId="77777777" w:rsidTr="005A786D">
        <w:trPr>
          <w:tblHeader/>
        </w:trPr>
        <w:tc>
          <w:tcPr>
            <w:tcW w:w="679" w:type="pct"/>
            <w:tcBorders>
              <w:top w:val="single" w:sz="6" w:space="0" w:color="auto"/>
              <w:bottom w:val="single" w:sz="6" w:space="0" w:color="auto"/>
            </w:tcBorders>
            <w:shd w:val="clear" w:color="auto" w:fill="auto"/>
          </w:tcPr>
          <w:p w14:paraId="0B63C0FA" w14:textId="77777777" w:rsidR="00AD3860" w:rsidRPr="005E3B43" w:rsidRDefault="00AD3860" w:rsidP="00763BCF">
            <w:pPr>
              <w:pStyle w:val="TableHeading"/>
            </w:pPr>
            <w:r w:rsidRPr="005E3B43">
              <w:t>Column 1</w:t>
            </w:r>
          </w:p>
        </w:tc>
        <w:tc>
          <w:tcPr>
            <w:tcW w:w="3582" w:type="pct"/>
            <w:tcBorders>
              <w:top w:val="single" w:sz="6" w:space="0" w:color="auto"/>
              <w:bottom w:val="single" w:sz="6" w:space="0" w:color="auto"/>
            </w:tcBorders>
            <w:shd w:val="clear" w:color="auto" w:fill="auto"/>
          </w:tcPr>
          <w:p w14:paraId="0CEEE31B" w14:textId="77777777" w:rsidR="00AD3860" w:rsidRPr="005E3B43" w:rsidRDefault="00AD3860" w:rsidP="00763BCF">
            <w:pPr>
              <w:pStyle w:val="TableHeading"/>
            </w:pPr>
            <w:r w:rsidRPr="005E3B43">
              <w:t>Column 2</w:t>
            </w:r>
          </w:p>
        </w:tc>
        <w:tc>
          <w:tcPr>
            <w:tcW w:w="739" w:type="pct"/>
            <w:tcBorders>
              <w:top w:val="single" w:sz="6" w:space="0" w:color="auto"/>
              <w:bottom w:val="single" w:sz="6" w:space="0" w:color="auto"/>
            </w:tcBorders>
            <w:shd w:val="clear" w:color="auto" w:fill="auto"/>
          </w:tcPr>
          <w:p w14:paraId="438B43B2" w14:textId="77777777" w:rsidR="00AD3860" w:rsidRPr="005E3B43" w:rsidRDefault="00AD3860" w:rsidP="00763BCF">
            <w:pPr>
              <w:pStyle w:val="TableHeading"/>
            </w:pPr>
            <w:r w:rsidRPr="005E3B43">
              <w:t>Column 3</w:t>
            </w:r>
          </w:p>
        </w:tc>
      </w:tr>
      <w:tr w:rsidR="00AD3860" w:rsidRPr="005E3B43" w14:paraId="2F399AD7" w14:textId="77777777" w:rsidTr="005A786D">
        <w:trPr>
          <w:tblHeader/>
        </w:trPr>
        <w:tc>
          <w:tcPr>
            <w:tcW w:w="679" w:type="pct"/>
            <w:tcBorders>
              <w:top w:val="single" w:sz="6" w:space="0" w:color="auto"/>
              <w:bottom w:val="single" w:sz="12" w:space="0" w:color="auto"/>
            </w:tcBorders>
            <w:shd w:val="clear" w:color="auto" w:fill="auto"/>
          </w:tcPr>
          <w:p w14:paraId="2DE91B9F" w14:textId="77777777" w:rsidR="00AD3860" w:rsidRPr="005E3B43" w:rsidRDefault="00AD3860" w:rsidP="00763BCF">
            <w:pPr>
              <w:pStyle w:val="TableHeading"/>
            </w:pPr>
            <w:r w:rsidRPr="005E3B43">
              <w:t>Item</w:t>
            </w:r>
          </w:p>
        </w:tc>
        <w:tc>
          <w:tcPr>
            <w:tcW w:w="3582" w:type="pct"/>
            <w:tcBorders>
              <w:top w:val="single" w:sz="6" w:space="0" w:color="auto"/>
              <w:bottom w:val="single" w:sz="12" w:space="0" w:color="auto"/>
            </w:tcBorders>
            <w:shd w:val="clear" w:color="auto" w:fill="auto"/>
          </w:tcPr>
          <w:p w14:paraId="62D56752" w14:textId="77777777" w:rsidR="00AD3860" w:rsidRPr="005E3B43" w:rsidRDefault="00AD3860" w:rsidP="00763BCF">
            <w:pPr>
              <w:pStyle w:val="TableHeading"/>
            </w:pPr>
            <w:r w:rsidRPr="005E3B43">
              <w:t>Variation</w:t>
            </w:r>
          </w:p>
        </w:tc>
        <w:tc>
          <w:tcPr>
            <w:tcW w:w="739" w:type="pct"/>
            <w:tcBorders>
              <w:top w:val="single" w:sz="6" w:space="0" w:color="auto"/>
              <w:bottom w:val="single" w:sz="12" w:space="0" w:color="auto"/>
            </w:tcBorders>
            <w:shd w:val="clear" w:color="auto" w:fill="auto"/>
          </w:tcPr>
          <w:p w14:paraId="2FE99659" w14:textId="77777777" w:rsidR="00AD3860" w:rsidRPr="005E3B43" w:rsidRDefault="00AD3860" w:rsidP="00763BCF">
            <w:pPr>
              <w:pStyle w:val="TableHeading"/>
            </w:pPr>
            <w:r w:rsidRPr="005E3B43">
              <w:t>Code</w:t>
            </w:r>
          </w:p>
        </w:tc>
      </w:tr>
      <w:tr w:rsidR="00AD3860" w:rsidRPr="005E3B43" w14:paraId="30E6276C" w14:textId="77777777" w:rsidTr="005A786D">
        <w:tc>
          <w:tcPr>
            <w:tcW w:w="679" w:type="pct"/>
            <w:tcBorders>
              <w:top w:val="single" w:sz="12" w:space="0" w:color="auto"/>
            </w:tcBorders>
            <w:shd w:val="clear" w:color="auto" w:fill="auto"/>
          </w:tcPr>
          <w:p w14:paraId="4FF60106" w14:textId="77777777" w:rsidR="00AD3860" w:rsidRPr="005E3B43" w:rsidRDefault="00AD3860" w:rsidP="00763BCF">
            <w:pPr>
              <w:pStyle w:val="Tabletext"/>
            </w:pPr>
            <w:r w:rsidRPr="005E3B43">
              <w:t>1</w:t>
            </w:r>
          </w:p>
        </w:tc>
        <w:tc>
          <w:tcPr>
            <w:tcW w:w="3582" w:type="pct"/>
            <w:tcBorders>
              <w:top w:val="single" w:sz="12" w:space="0" w:color="auto"/>
            </w:tcBorders>
            <w:shd w:val="clear" w:color="auto" w:fill="auto"/>
          </w:tcPr>
          <w:p w14:paraId="2B9211A2" w14:textId="7D277113" w:rsidR="00AD3860" w:rsidRPr="005E3B43" w:rsidRDefault="00AD3860" w:rsidP="00763BCF">
            <w:pPr>
              <w:pStyle w:val="Tabletext"/>
            </w:pPr>
            <w:r w:rsidRPr="005E3B43">
              <w:t>A change to the container or closure system used to store a non</w:t>
            </w:r>
            <w:r w:rsidR="007C3215">
              <w:noBreakHyphen/>
            </w:r>
            <w:r w:rsidRPr="005E3B43">
              <w:t>sterile active pharmaceutical ingredient of the medicine</w:t>
            </w:r>
          </w:p>
        </w:tc>
        <w:tc>
          <w:tcPr>
            <w:tcW w:w="739" w:type="pct"/>
            <w:tcBorders>
              <w:top w:val="single" w:sz="12" w:space="0" w:color="auto"/>
            </w:tcBorders>
            <w:shd w:val="clear" w:color="auto" w:fill="auto"/>
          </w:tcPr>
          <w:p w14:paraId="1DBB2E26" w14:textId="77777777" w:rsidR="00AD3860" w:rsidRPr="005E3B43" w:rsidRDefault="00AD3860" w:rsidP="00763BCF">
            <w:pPr>
              <w:pStyle w:val="Tabletext"/>
            </w:pPr>
            <w:r w:rsidRPr="005E3B43">
              <w:rPr>
                <w:bCs/>
              </w:rPr>
              <w:t>ACCS</w:t>
            </w:r>
          </w:p>
        </w:tc>
      </w:tr>
      <w:tr w:rsidR="00AD3860" w:rsidRPr="005E3B43" w14:paraId="430A6CA5" w14:textId="77777777" w:rsidTr="005A786D">
        <w:tc>
          <w:tcPr>
            <w:tcW w:w="679" w:type="pct"/>
            <w:shd w:val="clear" w:color="auto" w:fill="auto"/>
          </w:tcPr>
          <w:p w14:paraId="088315E2" w14:textId="77777777" w:rsidR="00AD3860" w:rsidRPr="005E3B43" w:rsidRDefault="00AD3860" w:rsidP="00763BCF">
            <w:pPr>
              <w:pStyle w:val="Tabletext"/>
            </w:pPr>
            <w:r w:rsidRPr="005E3B43">
              <w:t>2</w:t>
            </w:r>
          </w:p>
        </w:tc>
        <w:tc>
          <w:tcPr>
            <w:tcW w:w="3582" w:type="pct"/>
            <w:shd w:val="clear" w:color="auto" w:fill="auto"/>
          </w:tcPr>
          <w:p w14:paraId="27EB22B2" w14:textId="77777777" w:rsidR="00AD3860" w:rsidRPr="005E3B43" w:rsidRDefault="00AD3860" w:rsidP="00763BCF">
            <w:pPr>
              <w:pStyle w:val="Tabletext"/>
            </w:pPr>
            <w:r w:rsidRPr="005E3B43">
              <w:t>A change to the synthesis of an active pharmaceutical ingredient of the medicine if:</w:t>
            </w:r>
          </w:p>
          <w:p w14:paraId="029EC4DC" w14:textId="77777777" w:rsidR="00AD3860" w:rsidRPr="005E3B43" w:rsidRDefault="00AD3860" w:rsidP="00763BCF">
            <w:pPr>
              <w:pStyle w:val="Tablea"/>
            </w:pPr>
            <w:r w:rsidRPr="005E3B43">
              <w:t>(a) the ingredient is not a synthetic polypeptide; and</w:t>
            </w:r>
          </w:p>
          <w:p w14:paraId="1FF2D642" w14:textId="77777777" w:rsidR="00AD3860" w:rsidRPr="005E3B43" w:rsidRDefault="00AD3860" w:rsidP="00763BCF">
            <w:pPr>
              <w:pStyle w:val="Tablea"/>
            </w:pPr>
            <w:r w:rsidRPr="005E3B43">
              <w:t>(b) the ingredient is not prepared by fermentation; and</w:t>
            </w:r>
          </w:p>
          <w:p w14:paraId="42126D82" w14:textId="77777777" w:rsidR="00AD3860" w:rsidRPr="005E3B43" w:rsidRDefault="00AD3860" w:rsidP="00763BCF">
            <w:pPr>
              <w:pStyle w:val="Tablea"/>
            </w:pPr>
            <w:r w:rsidRPr="005E3B43">
              <w:t>(c) the European Directorate for the Quality of Medicines and Healthcare has reviewed the change; and</w:t>
            </w:r>
          </w:p>
          <w:p w14:paraId="57FFE24D" w14:textId="77777777" w:rsidR="00AD3860" w:rsidRPr="005E3B43" w:rsidRDefault="00AD3860" w:rsidP="00763BCF">
            <w:pPr>
              <w:pStyle w:val="Tablea"/>
            </w:pPr>
            <w:r w:rsidRPr="005E3B43">
              <w:t>(d) the Directorate:</w:t>
            </w:r>
          </w:p>
          <w:p w14:paraId="0E998828" w14:textId="77777777" w:rsidR="00AD3860" w:rsidRPr="005E3B43" w:rsidRDefault="00AD3860" w:rsidP="00763BCF">
            <w:pPr>
              <w:pStyle w:val="Tablei"/>
            </w:pPr>
            <w:r w:rsidRPr="005E3B43">
              <w:t>(i) has issued a revised certificate of suitability in relation to the ingredient; or</w:t>
            </w:r>
          </w:p>
          <w:p w14:paraId="33091463" w14:textId="77777777" w:rsidR="00AD3860" w:rsidRPr="005E3B43" w:rsidRDefault="00AD3860" w:rsidP="00763BCF">
            <w:pPr>
              <w:pStyle w:val="Tablei"/>
            </w:pPr>
            <w:r w:rsidRPr="005E3B43">
              <w:t>(ii) has declared that the ingredient does not require a revised certificate of suitability</w:t>
            </w:r>
          </w:p>
        </w:tc>
        <w:tc>
          <w:tcPr>
            <w:tcW w:w="739" w:type="pct"/>
            <w:shd w:val="clear" w:color="auto" w:fill="auto"/>
          </w:tcPr>
          <w:p w14:paraId="7E5FFA18" w14:textId="77777777" w:rsidR="00AD3860" w:rsidRPr="005E3B43" w:rsidRDefault="00AD3860" w:rsidP="00763BCF">
            <w:pPr>
              <w:pStyle w:val="Tabletext"/>
              <w:rPr>
                <w:bCs/>
              </w:rPr>
            </w:pPr>
            <w:r w:rsidRPr="005E3B43">
              <w:rPr>
                <w:bCs/>
              </w:rPr>
              <w:t>ACEP</w:t>
            </w:r>
          </w:p>
        </w:tc>
      </w:tr>
      <w:tr w:rsidR="00AD3860" w:rsidRPr="005E3B43" w14:paraId="1F669E44" w14:textId="77777777" w:rsidTr="005A786D">
        <w:tc>
          <w:tcPr>
            <w:tcW w:w="679" w:type="pct"/>
            <w:shd w:val="clear" w:color="auto" w:fill="auto"/>
          </w:tcPr>
          <w:p w14:paraId="01F6CE96" w14:textId="77777777" w:rsidR="00AD3860" w:rsidRPr="005E3B43" w:rsidRDefault="00AD3860" w:rsidP="00763BCF">
            <w:pPr>
              <w:pStyle w:val="Tabletext"/>
            </w:pPr>
            <w:r w:rsidRPr="005E3B43">
              <w:t>3</w:t>
            </w:r>
          </w:p>
        </w:tc>
        <w:tc>
          <w:tcPr>
            <w:tcW w:w="3582" w:type="pct"/>
            <w:shd w:val="clear" w:color="auto" w:fill="auto"/>
          </w:tcPr>
          <w:p w14:paraId="745FFF65" w14:textId="5D7A0B8D" w:rsidR="00AD3860" w:rsidRPr="005E3B43" w:rsidRDefault="00AD3860" w:rsidP="00763BCF">
            <w:pPr>
              <w:pStyle w:val="Tabletext"/>
            </w:pPr>
            <w:r w:rsidRPr="005E3B43">
              <w:t>A change to the size of a manufacturing batch of a non</w:t>
            </w:r>
            <w:r w:rsidR="007C3215">
              <w:noBreakHyphen/>
            </w:r>
            <w:r w:rsidRPr="005E3B43">
              <w:t>sterile active pharmaceutical ingredient, or a non</w:t>
            </w:r>
            <w:r w:rsidR="007C3215">
              <w:noBreakHyphen/>
            </w:r>
            <w:r w:rsidRPr="005E3B43">
              <w:t>sterile intermediate of such an ingredient, of the medicine</w:t>
            </w:r>
          </w:p>
        </w:tc>
        <w:tc>
          <w:tcPr>
            <w:tcW w:w="739" w:type="pct"/>
            <w:shd w:val="clear" w:color="auto" w:fill="auto"/>
          </w:tcPr>
          <w:p w14:paraId="21D5BAA9" w14:textId="77777777" w:rsidR="00AD3860" w:rsidRPr="005E3B43" w:rsidRDefault="00AD3860" w:rsidP="00763BCF">
            <w:pPr>
              <w:pStyle w:val="Tabletext"/>
              <w:rPr>
                <w:bCs/>
              </w:rPr>
            </w:pPr>
            <w:r w:rsidRPr="005E3B43">
              <w:rPr>
                <w:bCs/>
              </w:rPr>
              <w:t>AMBS</w:t>
            </w:r>
          </w:p>
        </w:tc>
      </w:tr>
      <w:tr w:rsidR="00AD3860" w:rsidRPr="005E3B43" w14:paraId="5B356853" w14:textId="77777777" w:rsidTr="005A786D">
        <w:tc>
          <w:tcPr>
            <w:tcW w:w="679" w:type="pct"/>
            <w:shd w:val="clear" w:color="auto" w:fill="auto"/>
          </w:tcPr>
          <w:p w14:paraId="3ED26B5F" w14:textId="77777777" w:rsidR="00AD3860" w:rsidRPr="005E3B43" w:rsidRDefault="00AD3860" w:rsidP="00763BCF">
            <w:pPr>
              <w:pStyle w:val="Tabletext"/>
            </w:pPr>
            <w:r w:rsidRPr="005E3B43">
              <w:t>4</w:t>
            </w:r>
          </w:p>
        </w:tc>
        <w:tc>
          <w:tcPr>
            <w:tcW w:w="3582" w:type="pct"/>
            <w:shd w:val="clear" w:color="auto" w:fill="auto"/>
          </w:tcPr>
          <w:p w14:paraId="296DFF18" w14:textId="77777777" w:rsidR="00AD3860" w:rsidRPr="005E3B43" w:rsidRDefault="00AD3860" w:rsidP="00763BCF">
            <w:pPr>
              <w:pStyle w:val="Tabletext"/>
            </w:pPr>
            <w:r w:rsidRPr="005E3B43">
              <w:t>The cessation of the manufacture of an active pharmaceutical ingredient of the medicine at a manufacturing site</w:t>
            </w:r>
          </w:p>
        </w:tc>
        <w:tc>
          <w:tcPr>
            <w:tcW w:w="739" w:type="pct"/>
            <w:shd w:val="clear" w:color="auto" w:fill="auto"/>
          </w:tcPr>
          <w:p w14:paraId="7BDFFE8D" w14:textId="77777777" w:rsidR="00AD3860" w:rsidRPr="005E3B43" w:rsidRDefault="00AD3860" w:rsidP="00763BCF">
            <w:pPr>
              <w:pStyle w:val="Tabletext"/>
              <w:rPr>
                <w:bCs/>
              </w:rPr>
            </w:pPr>
            <w:r w:rsidRPr="005E3B43">
              <w:rPr>
                <w:bCs/>
              </w:rPr>
              <w:t>AMCS</w:t>
            </w:r>
          </w:p>
        </w:tc>
      </w:tr>
      <w:tr w:rsidR="00AD3860" w:rsidRPr="005E3B43" w14:paraId="1D12F6A7" w14:textId="77777777" w:rsidTr="005A786D">
        <w:tc>
          <w:tcPr>
            <w:tcW w:w="679" w:type="pct"/>
            <w:shd w:val="clear" w:color="auto" w:fill="auto"/>
          </w:tcPr>
          <w:p w14:paraId="2AF010CB" w14:textId="77777777" w:rsidR="00AD3860" w:rsidRPr="005E3B43" w:rsidRDefault="00AD3860" w:rsidP="00763BCF">
            <w:pPr>
              <w:pStyle w:val="Tabletext"/>
            </w:pPr>
            <w:r w:rsidRPr="005E3B43">
              <w:t>5</w:t>
            </w:r>
          </w:p>
        </w:tc>
        <w:tc>
          <w:tcPr>
            <w:tcW w:w="3582" w:type="pct"/>
            <w:shd w:val="clear" w:color="auto" w:fill="auto"/>
          </w:tcPr>
          <w:p w14:paraId="56C11103" w14:textId="77777777" w:rsidR="00AD3860" w:rsidRPr="005E3B43" w:rsidRDefault="00AD3860" w:rsidP="00763BCF">
            <w:pPr>
              <w:pStyle w:val="Tabletext"/>
            </w:pPr>
            <w:r w:rsidRPr="005E3B43">
              <w:t>The introduction, revision or discontinuation of:</w:t>
            </w:r>
          </w:p>
          <w:p w14:paraId="47B6950E" w14:textId="350E2FD3" w:rsidR="00AD3860" w:rsidRPr="005E3B43" w:rsidRDefault="00AD3860" w:rsidP="00763BCF">
            <w:pPr>
              <w:pStyle w:val="Tablea"/>
            </w:pPr>
            <w:r w:rsidRPr="005E3B43">
              <w:t>(a) an in</w:t>
            </w:r>
            <w:r w:rsidR="007C3215">
              <w:noBreakHyphen/>
            </w:r>
            <w:r w:rsidRPr="005E3B43">
              <w:t>process control test applied during the manufacture of an active pharmaceutical ingredient, or an intermediate of such an ingredient, of the medicine; or</w:t>
            </w:r>
          </w:p>
          <w:p w14:paraId="42810251" w14:textId="77777777" w:rsidR="00AD3860" w:rsidRPr="005E3B43" w:rsidRDefault="00AD3860" w:rsidP="00763BCF">
            <w:pPr>
              <w:pStyle w:val="Tablea"/>
            </w:pPr>
            <w:r w:rsidRPr="005E3B43">
              <w:t>(b) a limit associated with such a test in relation to the manufacture of the ingredient or intermediate</w:t>
            </w:r>
          </w:p>
        </w:tc>
        <w:tc>
          <w:tcPr>
            <w:tcW w:w="739" w:type="pct"/>
            <w:shd w:val="clear" w:color="auto" w:fill="auto"/>
          </w:tcPr>
          <w:p w14:paraId="6A42BB29" w14:textId="77777777" w:rsidR="00AD3860" w:rsidRPr="005E3B43" w:rsidRDefault="00AD3860" w:rsidP="00763BCF">
            <w:pPr>
              <w:pStyle w:val="Tabletext"/>
              <w:rPr>
                <w:bCs/>
              </w:rPr>
            </w:pPr>
            <w:r w:rsidRPr="005E3B43">
              <w:rPr>
                <w:bCs/>
              </w:rPr>
              <w:t>AMIT</w:t>
            </w:r>
          </w:p>
        </w:tc>
      </w:tr>
      <w:tr w:rsidR="00AD3860" w:rsidRPr="005E3B43" w14:paraId="5B6F9BBF" w14:textId="77777777" w:rsidTr="005A786D">
        <w:tc>
          <w:tcPr>
            <w:tcW w:w="679" w:type="pct"/>
            <w:shd w:val="clear" w:color="auto" w:fill="auto"/>
          </w:tcPr>
          <w:p w14:paraId="7B8D2793" w14:textId="77777777" w:rsidR="00AD3860" w:rsidRPr="005E3B43" w:rsidRDefault="00AD3860" w:rsidP="00763BCF">
            <w:pPr>
              <w:pStyle w:val="Tabletext"/>
            </w:pPr>
            <w:r w:rsidRPr="005E3B43">
              <w:t>7</w:t>
            </w:r>
          </w:p>
        </w:tc>
        <w:tc>
          <w:tcPr>
            <w:tcW w:w="3582" w:type="pct"/>
            <w:shd w:val="clear" w:color="auto" w:fill="auto"/>
          </w:tcPr>
          <w:p w14:paraId="71343A78" w14:textId="41A043FA" w:rsidR="00AD3860" w:rsidRPr="005E3B43" w:rsidRDefault="00AD3860" w:rsidP="00763BCF">
            <w:pPr>
              <w:pStyle w:val="Tabletext"/>
            </w:pPr>
            <w:r w:rsidRPr="005E3B43">
              <w:t>If an active pharmaceutical ingredient of the medicine is manufactured by multi</w:t>
            </w:r>
            <w:r w:rsidR="007C3215">
              <w:noBreakHyphen/>
            </w:r>
            <w:r w:rsidRPr="005E3B43">
              <w:t>step synthesis involving one or more intermediates of the ingredient (including one or more intermediates prepared wholly or partly by fermentation):</w:t>
            </w:r>
          </w:p>
          <w:p w14:paraId="7BB40866" w14:textId="77777777" w:rsidR="00AD3860" w:rsidRPr="005E3B43" w:rsidRDefault="00AD3860" w:rsidP="00763BCF">
            <w:pPr>
              <w:pStyle w:val="Tablea"/>
              <w:rPr>
                <w:rFonts w:asciiTheme="majorHAnsi" w:hAnsiTheme="majorHAnsi"/>
              </w:rPr>
            </w:pPr>
            <w:r w:rsidRPr="005E3B43">
              <w:t>(a) the transfer of the manufacture of such an intermediate to a different manufacturing site; or</w:t>
            </w:r>
          </w:p>
          <w:p w14:paraId="44B3262B" w14:textId="77777777" w:rsidR="00AD3860" w:rsidRPr="005E3B43" w:rsidRDefault="00AD3860" w:rsidP="00763BCF">
            <w:pPr>
              <w:pStyle w:val="Tablea"/>
            </w:pPr>
            <w:r w:rsidRPr="005E3B43">
              <w:t>(b) the manufacture of such an intermediate at an additional site</w:t>
            </w:r>
          </w:p>
        </w:tc>
        <w:tc>
          <w:tcPr>
            <w:tcW w:w="739" w:type="pct"/>
            <w:shd w:val="clear" w:color="auto" w:fill="auto"/>
          </w:tcPr>
          <w:p w14:paraId="27CC15DE" w14:textId="77777777" w:rsidR="00AD3860" w:rsidRPr="005E3B43" w:rsidRDefault="00AD3860" w:rsidP="00763BCF">
            <w:pPr>
              <w:pStyle w:val="Tabletext"/>
              <w:rPr>
                <w:bCs/>
              </w:rPr>
            </w:pPr>
            <w:r w:rsidRPr="005E3B43">
              <w:rPr>
                <w:bCs/>
              </w:rPr>
              <w:t>AMMF</w:t>
            </w:r>
          </w:p>
        </w:tc>
      </w:tr>
      <w:tr w:rsidR="00AD3860" w:rsidRPr="005E3B43" w14:paraId="58FB2837" w14:textId="77777777" w:rsidTr="005A786D">
        <w:tc>
          <w:tcPr>
            <w:tcW w:w="679" w:type="pct"/>
            <w:shd w:val="clear" w:color="auto" w:fill="auto"/>
          </w:tcPr>
          <w:p w14:paraId="63B6CDC5" w14:textId="77777777" w:rsidR="00AD3860" w:rsidRPr="005E3B43" w:rsidRDefault="00AD3860" w:rsidP="00763BCF">
            <w:pPr>
              <w:pStyle w:val="Tabletext"/>
            </w:pPr>
            <w:r w:rsidRPr="005E3B43">
              <w:t>8</w:t>
            </w:r>
          </w:p>
        </w:tc>
        <w:tc>
          <w:tcPr>
            <w:tcW w:w="3582" w:type="pct"/>
            <w:shd w:val="clear" w:color="auto" w:fill="auto"/>
          </w:tcPr>
          <w:p w14:paraId="7700E12B" w14:textId="4A5C4746" w:rsidR="00AD3860" w:rsidRPr="005E3B43" w:rsidRDefault="00AD3860" w:rsidP="00763BCF">
            <w:pPr>
              <w:pStyle w:val="Tabletext"/>
            </w:pPr>
            <w:r w:rsidRPr="005E3B43">
              <w:t>The transfer of the manufacture of a non</w:t>
            </w:r>
            <w:r w:rsidR="007C3215">
              <w:noBreakHyphen/>
            </w:r>
            <w:r w:rsidRPr="005E3B43">
              <w:t>sterile active pharmaceutical ingredient of the medicine to a different site, or the manufacture of such an ingredient at an additional site, if:</w:t>
            </w:r>
          </w:p>
          <w:p w14:paraId="77CB3052" w14:textId="77777777" w:rsidR="00AD3860" w:rsidRPr="005E3B43" w:rsidRDefault="00AD3860" w:rsidP="00763BCF">
            <w:pPr>
              <w:pStyle w:val="Tablea"/>
            </w:pPr>
            <w:r w:rsidRPr="005E3B43">
              <w:t>(a) the ingredient is not prepared by fermentation; and</w:t>
            </w:r>
          </w:p>
          <w:p w14:paraId="4909A3D0" w14:textId="77777777" w:rsidR="00AD3860" w:rsidRPr="005E3B43" w:rsidRDefault="00AD3860" w:rsidP="00763BCF">
            <w:pPr>
              <w:pStyle w:val="Tablea"/>
            </w:pPr>
            <w:r w:rsidRPr="005E3B43">
              <w:t>(b) the ingredient is a pure chemical entity; and</w:t>
            </w:r>
          </w:p>
          <w:p w14:paraId="11DE3D4E" w14:textId="77777777" w:rsidR="00AD3860" w:rsidRPr="005E3B43" w:rsidRDefault="00AD3860" w:rsidP="00763BCF">
            <w:pPr>
              <w:pStyle w:val="Tablea"/>
            </w:pPr>
            <w:r w:rsidRPr="005E3B43">
              <w:t>(c) the ingredient is prepared:</w:t>
            </w:r>
          </w:p>
          <w:p w14:paraId="15E28B8A" w14:textId="77777777" w:rsidR="00AD3860" w:rsidRPr="005E3B43" w:rsidRDefault="00AD3860" w:rsidP="00763BCF">
            <w:pPr>
              <w:pStyle w:val="Tablei"/>
            </w:pPr>
            <w:r w:rsidRPr="005E3B43">
              <w:t>(i) by chemical synthesis; or</w:t>
            </w:r>
          </w:p>
          <w:p w14:paraId="2F0FFB6F" w14:textId="77777777" w:rsidR="00AD3860" w:rsidRPr="005E3B43" w:rsidRDefault="00AD3860" w:rsidP="00763BCF">
            <w:pPr>
              <w:pStyle w:val="Tablei"/>
            </w:pPr>
            <w:r w:rsidRPr="005E3B43">
              <w:t>(ii) through isolation from a natural source</w:t>
            </w:r>
          </w:p>
        </w:tc>
        <w:tc>
          <w:tcPr>
            <w:tcW w:w="739" w:type="pct"/>
            <w:shd w:val="clear" w:color="auto" w:fill="auto"/>
          </w:tcPr>
          <w:p w14:paraId="132DA40C" w14:textId="77777777" w:rsidR="00AD3860" w:rsidRPr="005E3B43" w:rsidRDefault="00AD3860" w:rsidP="00763BCF">
            <w:pPr>
              <w:pStyle w:val="Tabletext"/>
              <w:rPr>
                <w:bCs/>
              </w:rPr>
            </w:pPr>
            <w:r w:rsidRPr="005E3B43">
              <w:rPr>
                <w:bCs/>
              </w:rPr>
              <w:t>AMTA</w:t>
            </w:r>
          </w:p>
        </w:tc>
      </w:tr>
      <w:tr w:rsidR="00AD3860" w:rsidRPr="005E3B43" w14:paraId="134F930C" w14:textId="77777777" w:rsidTr="0010109C">
        <w:trPr>
          <w:cantSplit/>
        </w:trPr>
        <w:tc>
          <w:tcPr>
            <w:tcW w:w="679" w:type="pct"/>
            <w:shd w:val="clear" w:color="auto" w:fill="auto"/>
          </w:tcPr>
          <w:p w14:paraId="3642A73D" w14:textId="77777777" w:rsidR="00AD3860" w:rsidRPr="005E3B43" w:rsidRDefault="00AD3860" w:rsidP="00763BCF">
            <w:pPr>
              <w:pStyle w:val="Tabletext"/>
            </w:pPr>
            <w:r w:rsidRPr="005E3B43">
              <w:lastRenderedPageBreak/>
              <w:t>9</w:t>
            </w:r>
          </w:p>
        </w:tc>
        <w:tc>
          <w:tcPr>
            <w:tcW w:w="3582" w:type="pct"/>
            <w:shd w:val="clear" w:color="auto" w:fill="auto"/>
          </w:tcPr>
          <w:p w14:paraId="3616A029" w14:textId="6388D7B0" w:rsidR="00AD3860" w:rsidRPr="005E3B43" w:rsidRDefault="00AD3860" w:rsidP="00763BCF">
            <w:pPr>
              <w:pStyle w:val="Tabletext"/>
            </w:pPr>
            <w:r w:rsidRPr="005E3B43">
              <w:t>A change to a non</w:t>
            </w:r>
            <w:r w:rsidR="007C3215">
              <w:noBreakHyphen/>
            </w:r>
            <w:r w:rsidRPr="005E3B43">
              <w:t>biological method used for assaying or residual solvent testing (including testing for water) any of the following:</w:t>
            </w:r>
          </w:p>
          <w:p w14:paraId="1D0B05EF" w14:textId="77777777" w:rsidR="00AD3860" w:rsidRPr="005E3B43" w:rsidRDefault="00AD3860" w:rsidP="00763BCF">
            <w:pPr>
              <w:pStyle w:val="Tablea"/>
            </w:pPr>
            <w:r w:rsidRPr="005E3B43">
              <w:t>(a) an active pharmaceutical ingredient of the medicine;</w:t>
            </w:r>
          </w:p>
          <w:p w14:paraId="4AEF6EC6" w14:textId="77777777" w:rsidR="00AD3860" w:rsidRPr="005E3B43" w:rsidRDefault="00AD3860" w:rsidP="00763BCF">
            <w:pPr>
              <w:pStyle w:val="Tablea"/>
            </w:pPr>
            <w:r w:rsidRPr="005E3B43">
              <w:t>(b) a starting material for the synthesis of an active pharmaceutical ingredient of the medicine;</w:t>
            </w:r>
          </w:p>
          <w:p w14:paraId="5E7990AC" w14:textId="77777777" w:rsidR="00AD3860" w:rsidRPr="005E3B43" w:rsidRDefault="00AD3860" w:rsidP="00763BCF">
            <w:pPr>
              <w:pStyle w:val="Tablea"/>
            </w:pPr>
            <w:r w:rsidRPr="005E3B43">
              <w:t>(c) an intermediate of an active pharmaceutical ingredient of the medicine created in the synthesis of the ingredient</w:t>
            </w:r>
          </w:p>
        </w:tc>
        <w:tc>
          <w:tcPr>
            <w:tcW w:w="739" w:type="pct"/>
            <w:shd w:val="clear" w:color="auto" w:fill="auto"/>
          </w:tcPr>
          <w:p w14:paraId="78B00227" w14:textId="77777777" w:rsidR="00AD3860" w:rsidRPr="005E3B43" w:rsidRDefault="00AD3860" w:rsidP="00763BCF">
            <w:pPr>
              <w:pStyle w:val="Tabletext"/>
              <w:rPr>
                <w:bCs/>
              </w:rPr>
            </w:pPr>
            <w:r w:rsidRPr="005E3B43">
              <w:rPr>
                <w:bCs/>
              </w:rPr>
              <w:t>ASAM</w:t>
            </w:r>
          </w:p>
        </w:tc>
      </w:tr>
      <w:tr w:rsidR="00AD3860" w:rsidRPr="005E3B43" w14:paraId="4F33E551" w14:textId="77777777" w:rsidTr="005A786D">
        <w:tc>
          <w:tcPr>
            <w:tcW w:w="679" w:type="pct"/>
            <w:shd w:val="clear" w:color="auto" w:fill="auto"/>
          </w:tcPr>
          <w:p w14:paraId="6EC8F704" w14:textId="77777777" w:rsidR="00AD3860" w:rsidRPr="005E3B43" w:rsidRDefault="00AD3860" w:rsidP="00763BCF">
            <w:pPr>
              <w:pStyle w:val="Tabletext"/>
              <w:keepNext/>
            </w:pPr>
            <w:r w:rsidRPr="005E3B43">
              <w:t>10</w:t>
            </w:r>
          </w:p>
        </w:tc>
        <w:tc>
          <w:tcPr>
            <w:tcW w:w="3582" w:type="pct"/>
            <w:shd w:val="clear" w:color="auto" w:fill="auto"/>
          </w:tcPr>
          <w:p w14:paraId="2EB9557B" w14:textId="77777777" w:rsidR="00AD3860" w:rsidRPr="005E3B43" w:rsidRDefault="00AD3860" w:rsidP="00763BCF">
            <w:pPr>
              <w:pStyle w:val="Tabletext"/>
            </w:pPr>
            <w:r w:rsidRPr="005E3B43">
              <w:t>Either of the following:</w:t>
            </w:r>
          </w:p>
          <w:p w14:paraId="1711216F" w14:textId="634B0E19" w:rsidR="00AD3860" w:rsidRPr="005E3B43" w:rsidRDefault="00AD3860" w:rsidP="00763BCF">
            <w:pPr>
              <w:pStyle w:val="Tablea"/>
            </w:pPr>
            <w:r w:rsidRPr="005E3B43">
              <w:t>(a) a shortening of the re</w:t>
            </w:r>
            <w:r w:rsidR="007C3215">
              <w:noBreakHyphen/>
            </w:r>
            <w:r w:rsidRPr="005E3B43">
              <w:t>test period for an active pharmaceutical ingredient of the medicine;</w:t>
            </w:r>
          </w:p>
          <w:p w14:paraId="073C5953" w14:textId="77777777" w:rsidR="00AD3860" w:rsidRPr="005E3B43" w:rsidRDefault="00AD3860" w:rsidP="00763BCF">
            <w:pPr>
              <w:pStyle w:val="Tablea"/>
            </w:pPr>
            <w:r w:rsidRPr="005E3B43">
              <w:t>(b) the application of more restrictive storage conditions in relation to an active pharmaceutical ingredient of the medicine</w:t>
            </w:r>
          </w:p>
        </w:tc>
        <w:tc>
          <w:tcPr>
            <w:tcW w:w="739" w:type="pct"/>
            <w:shd w:val="clear" w:color="auto" w:fill="auto"/>
          </w:tcPr>
          <w:p w14:paraId="313B68E5" w14:textId="77777777" w:rsidR="00AD3860" w:rsidRPr="005E3B43" w:rsidRDefault="00AD3860" w:rsidP="00763BCF">
            <w:pPr>
              <w:pStyle w:val="Tabletext"/>
              <w:rPr>
                <w:bCs/>
              </w:rPr>
            </w:pPr>
            <w:r w:rsidRPr="005E3B43">
              <w:rPr>
                <w:bCs/>
              </w:rPr>
              <w:t>ASDR</w:t>
            </w:r>
          </w:p>
        </w:tc>
      </w:tr>
      <w:tr w:rsidR="00AD3860" w:rsidRPr="005E3B43" w14:paraId="04FDF823" w14:textId="77777777" w:rsidTr="005A786D">
        <w:tc>
          <w:tcPr>
            <w:tcW w:w="679" w:type="pct"/>
            <w:shd w:val="clear" w:color="auto" w:fill="auto"/>
          </w:tcPr>
          <w:p w14:paraId="14F1433F" w14:textId="77777777" w:rsidR="00AD3860" w:rsidRPr="005E3B43" w:rsidRDefault="00AD3860" w:rsidP="00763BCF">
            <w:pPr>
              <w:pStyle w:val="Tabletext"/>
            </w:pPr>
            <w:r w:rsidRPr="005E3B43">
              <w:t>11</w:t>
            </w:r>
          </w:p>
        </w:tc>
        <w:tc>
          <w:tcPr>
            <w:tcW w:w="3582" w:type="pct"/>
            <w:shd w:val="clear" w:color="auto" w:fill="auto"/>
          </w:tcPr>
          <w:p w14:paraId="06AD942B" w14:textId="77777777" w:rsidR="00AD3860" w:rsidRPr="005E3B43" w:rsidRDefault="00AD3860" w:rsidP="00763BCF">
            <w:pPr>
              <w:pStyle w:val="Tabletext"/>
            </w:pPr>
            <w:r w:rsidRPr="005E3B43">
              <w:t>A change to an identification test used in relation to:</w:t>
            </w:r>
          </w:p>
          <w:p w14:paraId="4C19E5A6" w14:textId="77777777" w:rsidR="00AD3860" w:rsidRPr="005E3B43" w:rsidRDefault="00AD3860" w:rsidP="00763BCF">
            <w:pPr>
              <w:pStyle w:val="Tablea"/>
            </w:pPr>
            <w:r w:rsidRPr="005E3B43">
              <w:t>(a) an active pharmaceutical ingredient of the medicine; or</w:t>
            </w:r>
          </w:p>
          <w:p w14:paraId="188BFBB5" w14:textId="77777777" w:rsidR="00AD3860" w:rsidRPr="005E3B43" w:rsidRDefault="00AD3860" w:rsidP="00763BCF">
            <w:pPr>
              <w:pStyle w:val="Tablea"/>
            </w:pPr>
            <w:r w:rsidRPr="005E3B43">
              <w:t>(b) the starting materials for the synthesis of an active pharmaceutical ingredient of the medicine; or</w:t>
            </w:r>
          </w:p>
          <w:p w14:paraId="4D43FF88" w14:textId="77777777" w:rsidR="00AD3860" w:rsidRPr="005E3B43" w:rsidRDefault="00AD3860" w:rsidP="00763BCF">
            <w:pPr>
              <w:pStyle w:val="Tablea"/>
            </w:pPr>
            <w:r w:rsidRPr="005E3B43">
              <w:t>(c) an intermediate of an active pharmaceutical ingredient of the medicine created in the synthesis of the ingredient</w:t>
            </w:r>
          </w:p>
        </w:tc>
        <w:tc>
          <w:tcPr>
            <w:tcW w:w="739" w:type="pct"/>
            <w:shd w:val="clear" w:color="auto" w:fill="auto"/>
          </w:tcPr>
          <w:p w14:paraId="44AEE7C3" w14:textId="77777777" w:rsidR="00AD3860" w:rsidRPr="005E3B43" w:rsidRDefault="00AD3860" w:rsidP="00763BCF">
            <w:pPr>
              <w:pStyle w:val="Tabletext"/>
              <w:rPr>
                <w:bCs/>
              </w:rPr>
            </w:pPr>
            <w:r w:rsidRPr="005E3B43">
              <w:rPr>
                <w:bCs/>
              </w:rPr>
              <w:t>ASID</w:t>
            </w:r>
          </w:p>
        </w:tc>
      </w:tr>
      <w:tr w:rsidR="00AD3860" w:rsidRPr="005E3B43" w14:paraId="1875B1D1" w14:textId="77777777" w:rsidTr="005A786D">
        <w:tc>
          <w:tcPr>
            <w:tcW w:w="679" w:type="pct"/>
            <w:shd w:val="clear" w:color="auto" w:fill="auto"/>
          </w:tcPr>
          <w:p w14:paraId="1E251775" w14:textId="77777777" w:rsidR="00AD3860" w:rsidRPr="005E3B43" w:rsidRDefault="00AD3860" w:rsidP="00763BCF">
            <w:pPr>
              <w:pStyle w:val="Tabletext"/>
            </w:pPr>
            <w:r w:rsidRPr="005E3B43">
              <w:t>12</w:t>
            </w:r>
          </w:p>
        </w:tc>
        <w:tc>
          <w:tcPr>
            <w:tcW w:w="3582" w:type="pct"/>
            <w:shd w:val="clear" w:color="auto" w:fill="auto"/>
          </w:tcPr>
          <w:p w14:paraId="10019496" w14:textId="77777777" w:rsidR="00AD3860" w:rsidRPr="005E3B43" w:rsidRDefault="00AD3860" w:rsidP="00763BCF">
            <w:pPr>
              <w:pStyle w:val="Tabletext"/>
            </w:pPr>
            <w:r w:rsidRPr="005E3B43">
              <w:t>A change to the specifications for:</w:t>
            </w:r>
          </w:p>
          <w:p w14:paraId="27ADF0FF" w14:textId="77777777" w:rsidR="00AD3860" w:rsidRPr="005E3B43" w:rsidRDefault="00AD3860" w:rsidP="00763BCF">
            <w:pPr>
              <w:pStyle w:val="Tablea"/>
            </w:pPr>
            <w:r w:rsidRPr="005E3B43">
              <w:t>(a) an active pharmaceutical ingredient of the medicine; or</w:t>
            </w:r>
          </w:p>
          <w:p w14:paraId="57032A72" w14:textId="77777777" w:rsidR="00AD3860" w:rsidRPr="005E3B43" w:rsidRDefault="00AD3860" w:rsidP="00763BCF">
            <w:pPr>
              <w:pStyle w:val="Tablea"/>
            </w:pPr>
            <w:r w:rsidRPr="005E3B43">
              <w:t>(b) the starting materials for the synthesis of an active pharmaceutical ingredient of the medicine; or</w:t>
            </w:r>
          </w:p>
          <w:p w14:paraId="2F804004" w14:textId="77777777" w:rsidR="00AD3860" w:rsidRPr="005E3B43" w:rsidRDefault="00AD3860" w:rsidP="00763BCF">
            <w:pPr>
              <w:pStyle w:val="Tablea"/>
            </w:pPr>
            <w:r w:rsidRPr="005E3B43">
              <w:t>(c) an intermediate of an active pharmaceutical ingredient of the medicine created in the synthesis of the ingredient;</w:t>
            </w:r>
          </w:p>
          <w:p w14:paraId="6624A2CE" w14:textId="77777777" w:rsidR="00AD3860" w:rsidRPr="005E3B43" w:rsidRDefault="00AD3860" w:rsidP="00763BCF">
            <w:pPr>
              <w:pStyle w:val="Tabletext"/>
            </w:pPr>
            <w:r w:rsidRPr="005E3B43">
              <w:t>if the change makes a limit associated with a test for the ingredient, starting material or intermediate more stringent</w:t>
            </w:r>
          </w:p>
        </w:tc>
        <w:tc>
          <w:tcPr>
            <w:tcW w:w="739" w:type="pct"/>
            <w:shd w:val="clear" w:color="auto" w:fill="auto"/>
          </w:tcPr>
          <w:p w14:paraId="2686B25F" w14:textId="77777777" w:rsidR="00AD3860" w:rsidRPr="005E3B43" w:rsidRDefault="00AD3860" w:rsidP="00763BCF">
            <w:pPr>
              <w:pStyle w:val="Tabletext"/>
              <w:rPr>
                <w:bCs/>
              </w:rPr>
            </w:pPr>
            <w:r w:rsidRPr="005E3B43">
              <w:rPr>
                <w:bCs/>
              </w:rPr>
              <w:t>ASNL</w:t>
            </w:r>
          </w:p>
        </w:tc>
      </w:tr>
      <w:tr w:rsidR="00AD3860" w:rsidRPr="005E3B43" w14:paraId="6DB48713" w14:textId="77777777" w:rsidTr="005A786D">
        <w:tc>
          <w:tcPr>
            <w:tcW w:w="679" w:type="pct"/>
            <w:shd w:val="clear" w:color="auto" w:fill="auto"/>
          </w:tcPr>
          <w:p w14:paraId="76336774" w14:textId="77777777" w:rsidR="00AD3860" w:rsidRPr="005E3B43" w:rsidRDefault="00AD3860" w:rsidP="00763BCF">
            <w:pPr>
              <w:pStyle w:val="Tabletext"/>
            </w:pPr>
            <w:r w:rsidRPr="005E3B43">
              <w:t>13</w:t>
            </w:r>
          </w:p>
        </w:tc>
        <w:tc>
          <w:tcPr>
            <w:tcW w:w="3582" w:type="pct"/>
            <w:shd w:val="clear" w:color="auto" w:fill="auto"/>
          </w:tcPr>
          <w:p w14:paraId="2D14C6C0" w14:textId="77777777" w:rsidR="00AD3860" w:rsidRPr="005E3B43" w:rsidRDefault="00AD3860" w:rsidP="00763BCF">
            <w:pPr>
              <w:pStyle w:val="Tabletext"/>
            </w:pPr>
            <w:r w:rsidRPr="005E3B43">
              <w:t>A change, resulting from the addition of a new test and its associated limits, to the specifications for:</w:t>
            </w:r>
          </w:p>
          <w:p w14:paraId="11198619" w14:textId="77777777" w:rsidR="00AD3860" w:rsidRPr="005E3B43" w:rsidRDefault="00AD3860" w:rsidP="00763BCF">
            <w:pPr>
              <w:pStyle w:val="Tablea"/>
            </w:pPr>
            <w:r w:rsidRPr="005E3B43">
              <w:t>(a) an active pharmaceutical ingredient of the medicine; or</w:t>
            </w:r>
          </w:p>
          <w:p w14:paraId="1B3A3876" w14:textId="77777777" w:rsidR="00AD3860" w:rsidRPr="005E3B43" w:rsidRDefault="00AD3860" w:rsidP="00763BCF">
            <w:pPr>
              <w:pStyle w:val="Tablea"/>
            </w:pPr>
            <w:r w:rsidRPr="005E3B43">
              <w:t>(b) the starting materials for the synthesis of an active pharmaceutical ingredient of the medicine; or</w:t>
            </w:r>
          </w:p>
          <w:p w14:paraId="2394D65E" w14:textId="77777777" w:rsidR="00AD3860" w:rsidRPr="005E3B43" w:rsidRDefault="00AD3860" w:rsidP="00763BCF">
            <w:pPr>
              <w:pStyle w:val="Tablea"/>
            </w:pPr>
            <w:r w:rsidRPr="005E3B43">
              <w:t>(c) an intermediate of an active pharmaceutical ingredient of the medicine created in the synthesis of the ingredient</w:t>
            </w:r>
          </w:p>
        </w:tc>
        <w:tc>
          <w:tcPr>
            <w:tcW w:w="739" w:type="pct"/>
            <w:shd w:val="clear" w:color="auto" w:fill="auto"/>
          </w:tcPr>
          <w:p w14:paraId="1FF0A346" w14:textId="77777777" w:rsidR="00AD3860" w:rsidRPr="005E3B43" w:rsidRDefault="00AD3860" w:rsidP="00763BCF">
            <w:pPr>
              <w:pStyle w:val="Tabletext"/>
              <w:rPr>
                <w:bCs/>
              </w:rPr>
            </w:pPr>
            <w:r w:rsidRPr="005E3B43">
              <w:rPr>
                <w:bCs/>
              </w:rPr>
              <w:t>ASNT</w:t>
            </w:r>
          </w:p>
        </w:tc>
      </w:tr>
      <w:tr w:rsidR="00AD3860" w:rsidRPr="005E3B43" w14:paraId="615F9CE4" w14:textId="77777777" w:rsidTr="005A786D">
        <w:tc>
          <w:tcPr>
            <w:tcW w:w="679" w:type="pct"/>
            <w:shd w:val="clear" w:color="auto" w:fill="auto"/>
          </w:tcPr>
          <w:p w14:paraId="41AECB27" w14:textId="77777777" w:rsidR="00AD3860" w:rsidRPr="005E3B43" w:rsidRDefault="00AD3860" w:rsidP="00763BCF">
            <w:pPr>
              <w:pStyle w:val="Tabletext"/>
            </w:pPr>
            <w:r w:rsidRPr="005E3B43">
              <w:t>14</w:t>
            </w:r>
          </w:p>
        </w:tc>
        <w:tc>
          <w:tcPr>
            <w:tcW w:w="3582" w:type="pct"/>
            <w:shd w:val="clear" w:color="auto" w:fill="auto"/>
          </w:tcPr>
          <w:p w14:paraId="69B47CB2" w14:textId="77777777" w:rsidR="00AD3860" w:rsidRPr="005E3B43" w:rsidRDefault="00AD3860" w:rsidP="00763BCF">
            <w:pPr>
              <w:pStyle w:val="Tabletext"/>
            </w:pPr>
            <w:r w:rsidRPr="005E3B43">
              <w:t>A change to the specifications for an active pharmaceutical ingredient of the medicine made for the purposes of ensuring that the specifications are consistent with:</w:t>
            </w:r>
          </w:p>
          <w:p w14:paraId="4C209739" w14:textId="77777777" w:rsidR="00AD3860" w:rsidRPr="005E3B43" w:rsidRDefault="00AD3860" w:rsidP="00763BCF">
            <w:pPr>
              <w:pStyle w:val="Tablea"/>
            </w:pPr>
            <w:r w:rsidRPr="005E3B43">
              <w:t>(a) a default standard that applies to the medicine; or</w:t>
            </w:r>
          </w:p>
          <w:p w14:paraId="19564864" w14:textId="0394BF0D" w:rsidR="00AD3860" w:rsidRPr="005E3B43" w:rsidRDefault="00AD3860" w:rsidP="00763BCF">
            <w:pPr>
              <w:pStyle w:val="Tablea"/>
            </w:pPr>
            <w:r w:rsidRPr="005E3B43">
              <w:t>(b) an order in force under sub</w:t>
            </w:r>
            <w:r w:rsidR="007C3215">
              <w:t>section 1</w:t>
            </w:r>
            <w:r w:rsidRPr="005E3B43">
              <w:t>0(1) of the Act that applies to the medicine</w:t>
            </w:r>
          </w:p>
        </w:tc>
        <w:tc>
          <w:tcPr>
            <w:tcW w:w="739" w:type="pct"/>
            <w:shd w:val="clear" w:color="auto" w:fill="auto"/>
          </w:tcPr>
          <w:p w14:paraId="1E23E046" w14:textId="77777777" w:rsidR="00AD3860" w:rsidRPr="005E3B43" w:rsidRDefault="00AD3860" w:rsidP="00763BCF">
            <w:pPr>
              <w:pStyle w:val="Tabletext"/>
              <w:rPr>
                <w:bCs/>
              </w:rPr>
            </w:pPr>
            <w:r w:rsidRPr="005E3B43">
              <w:rPr>
                <w:bCs/>
              </w:rPr>
              <w:t>ASPT</w:t>
            </w:r>
          </w:p>
        </w:tc>
      </w:tr>
      <w:tr w:rsidR="00AD3860" w:rsidRPr="005E3B43" w14:paraId="082D8F26" w14:textId="77777777" w:rsidTr="005A786D">
        <w:tc>
          <w:tcPr>
            <w:tcW w:w="679" w:type="pct"/>
            <w:shd w:val="clear" w:color="auto" w:fill="auto"/>
          </w:tcPr>
          <w:p w14:paraId="2C12D143" w14:textId="77777777" w:rsidR="00AD3860" w:rsidRPr="005E3B43" w:rsidRDefault="00AD3860" w:rsidP="00763BCF">
            <w:pPr>
              <w:pStyle w:val="Tabletext"/>
            </w:pPr>
            <w:r w:rsidRPr="005E3B43">
              <w:t>15</w:t>
            </w:r>
          </w:p>
        </w:tc>
        <w:tc>
          <w:tcPr>
            <w:tcW w:w="3582" w:type="pct"/>
            <w:shd w:val="clear" w:color="auto" w:fill="auto"/>
          </w:tcPr>
          <w:p w14:paraId="68F2C989" w14:textId="77777777" w:rsidR="00AD3860" w:rsidRPr="005E3B43" w:rsidRDefault="00AD3860" w:rsidP="00763BCF">
            <w:pPr>
              <w:pStyle w:val="Tabletext"/>
            </w:pPr>
            <w:r w:rsidRPr="005E3B43">
              <w:t>A change to the size of a manufacturing batch of the dosage form of the medicine if the dosage form is not a modified release dosage form</w:t>
            </w:r>
          </w:p>
        </w:tc>
        <w:tc>
          <w:tcPr>
            <w:tcW w:w="739" w:type="pct"/>
            <w:shd w:val="clear" w:color="auto" w:fill="auto"/>
          </w:tcPr>
          <w:p w14:paraId="452A7093" w14:textId="77777777" w:rsidR="00AD3860" w:rsidRPr="005E3B43" w:rsidRDefault="00AD3860" w:rsidP="00763BCF">
            <w:pPr>
              <w:pStyle w:val="Tabletext"/>
              <w:rPr>
                <w:bCs/>
              </w:rPr>
            </w:pPr>
            <w:r w:rsidRPr="005E3B43">
              <w:rPr>
                <w:bCs/>
              </w:rPr>
              <w:t>DMBS</w:t>
            </w:r>
          </w:p>
        </w:tc>
      </w:tr>
      <w:tr w:rsidR="00AD3860" w:rsidRPr="005E3B43" w14:paraId="653992FA" w14:textId="77777777" w:rsidTr="0010109C">
        <w:trPr>
          <w:cantSplit/>
        </w:trPr>
        <w:tc>
          <w:tcPr>
            <w:tcW w:w="679" w:type="pct"/>
            <w:shd w:val="clear" w:color="auto" w:fill="auto"/>
          </w:tcPr>
          <w:p w14:paraId="56D94CD1" w14:textId="77777777" w:rsidR="00AD3860" w:rsidRPr="005E3B43" w:rsidRDefault="00AD3860" w:rsidP="00763BCF">
            <w:pPr>
              <w:pStyle w:val="Tabletext"/>
            </w:pPr>
            <w:r w:rsidRPr="005E3B43">
              <w:lastRenderedPageBreak/>
              <w:t>16</w:t>
            </w:r>
          </w:p>
        </w:tc>
        <w:tc>
          <w:tcPr>
            <w:tcW w:w="3582" w:type="pct"/>
            <w:shd w:val="clear" w:color="auto" w:fill="auto"/>
          </w:tcPr>
          <w:p w14:paraId="6964C79D" w14:textId="77777777" w:rsidR="00AD3860" w:rsidRPr="005E3B43" w:rsidRDefault="00AD3860" w:rsidP="00763BCF">
            <w:pPr>
              <w:pStyle w:val="Tabletext"/>
            </w:pPr>
            <w:r w:rsidRPr="005E3B43">
              <w:t>A change to the method or equipment used to manufacture the dosage form of the medicine if the dosage form is:</w:t>
            </w:r>
          </w:p>
          <w:p w14:paraId="5A4ABC22" w14:textId="3AF1040A" w:rsidR="00AD3860" w:rsidRPr="005E3B43" w:rsidRDefault="00AD3860" w:rsidP="00763BCF">
            <w:pPr>
              <w:pStyle w:val="Tablea"/>
            </w:pPr>
            <w:r w:rsidRPr="005E3B43">
              <w:t>(a) semi</w:t>
            </w:r>
            <w:r w:rsidR="007C3215">
              <w:noBreakHyphen/>
            </w:r>
            <w:r w:rsidRPr="005E3B43">
              <w:t>solid or liquid; and</w:t>
            </w:r>
          </w:p>
          <w:p w14:paraId="002045FD" w14:textId="77777777" w:rsidR="00AD3860" w:rsidRPr="005E3B43" w:rsidRDefault="00AD3860" w:rsidP="00763BCF">
            <w:pPr>
              <w:pStyle w:val="Tablea"/>
            </w:pPr>
            <w:r w:rsidRPr="005E3B43">
              <w:t>(b) not a modified release dosage form</w:t>
            </w:r>
          </w:p>
        </w:tc>
        <w:tc>
          <w:tcPr>
            <w:tcW w:w="739" w:type="pct"/>
            <w:shd w:val="clear" w:color="auto" w:fill="auto"/>
          </w:tcPr>
          <w:p w14:paraId="7129A205" w14:textId="77777777" w:rsidR="00AD3860" w:rsidRPr="005E3B43" w:rsidRDefault="00AD3860" w:rsidP="00763BCF">
            <w:pPr>
              <w:pStyle w:val="Tabletext"/>
              <w:rPr>
                <w:bCs/>
              </w:rPr>
            </w:pPr>
            <w:r w:rsidRPr="005E3B43">
              <w:rPr>
                <w:bCs/>
              </w:rPr>
              <w:t>DMEL</w:t>
            </w:r>
          </w:p>
        </w:tc>
      </w:tr>
      <w:tr w:rsidR="00AD3860" w:rsidRPr="005E3B43" w14:paraId="3FAFC4E6" w14:textId="77777777" w:rsidTr="005A786D">
        <w:tc>
          <w:tcPr>
            <w:tcW w:w="679" w:type="pct"/>
            <w:shd w:val="clear" w:color="auto" w:fill="auto"/>
          </w:tcPr>
          <w:p w14:paraId="6CC85E1B" w14:textId="77777777" w:rsidR="00AD3860" w:rsidRPr="005E3B43" w:rsidRDefault="00AD3860" w:rsidP="00763BCF">
            <w:pPr>
              <w:pStyle w:val="Tabletext"/>
            </w:pPr>
            <w:r w:rsidRPr="005E3B43">
              <w:t>17</w:t>
            </w:r>
          </w:p>
        </w:tc>
        <w:tc>
          <w:tcPr>
            <w:tcW w:w="3582" w:type="pct"/>
            <w:shd w:val="clear" w:color="auto" w:fill="auto"/>
          </w:tcPr>
          <w:p w14:paraId="5DCF111E" w14:textId="77777777" w:rsidR="00AD3860" w:rsidRPr="005E3B43" w:rsidRDefault="00AD3860" w:rsidP="00763BCF">
            <w:pPr>
              <w:pStyle w:val="Tabletext"/>
            </w:pPr>
            <w:r w:rsidRPr="005E3B43">
              <w:t>A change to the method or equipment used to manufacture the dosage form of the medicine if the dosage form is:</w:t>
            </w:r>
          </w:p>
          <w:p w14:paraId="6BD08789" w14:textId="77777777" w:rsidR="00AD3860" w:rsidRPr="005E3B43" w:rsidRDefault="00AD3860" w:rsidP="00763BCF">
            <w:pPr>
              <w:pStyle w:val="Tablea"/>
            </w:pPr>
            <w:r w:rsidRPr="005E3B43">
              <w:t>(a) nasal or oral inhalation; and</w:t>
            </w:r>
          </w:p>
          <w:p w14:paraId="39EC723B" w14:textId="77777777" w:rsidR="00AD3860" w:rsidRPr="005E3B43" w:rsidRDefault="00AD3860" w:rsidP="00763BCF">
            <w:pPr>
              <w:pStyle w:val="Tablea"/>
            </w:pPr>
            <w:r w:rsidRPr="005E3B43">
              <w:t>(b) not a modified release dosage form</w:t>
            </w:r>
          </w:p>
        </w:tc>
        <w:tc>
          <w:tcPr>
            <w:tcW w:w="739" w:type="pct"/>
            <w:shd w:val="clear" w:color="auto" w:fill="auto"/>
          </w:tcPr>
          <w:p w14:paraId="3EE704CB" w14:textId="77777777" w:rsidR="00AD3860" w:rsidRPr="005E3B43" w:rsidRDefault="00AD3860" w:rsidP="00763BCF">
            <w:pPr>
              <w:pStyle w:val="Tabletext"/>
              <w:rPr>
                <w:bCs/>
              </w:rPr>
            </w:pPr>
            <w:r w:rsidRPr="005E3B43">
              <w:rPr>
                <w:bCs/>
              </w:rPr>
              <w:t>DMEO</w:t>
            </w:r>
          </w:p>
        </w:tc>
      </w:tr>
      <w:tr w:rsidR="00AD3860" w:rsidRPr="005E3B43" w14:paraId="3A63D784" w14:textId="77777777" w:rsidTr="005A786D">
        <w:tc>
          <w:tcPr>
            <w:tcW w:w="679" w:type="pct"/>
            <w:shd w:val="clear" w:color="auto" w:fill="auto"/>
          </w:tcPr>
          <w:p w14:paraId="55218DA3" w14:textId="77777777" w:rsidR="00AD3860" w:rsidRPr="005E3B43" w:rsidRDefault="00AD3860" w:rsidP="00763BCF">
            <w:pPr>
              <w:pStyle w:val="Tabletext"/>
            </w:pPr>
            <w:r w:rsidRPr="005E3B43">
              <w:t>18</w:t>
            </w:r>
          </w:p>
        </w:tc>
        <w:tc>
          <w:tcPr>
            <w:tcW w:w="3582" w:type="pct"/>
            <w:shd w:val="clear" w:color="auto" w:fill="auto"/>
          </w:tcPr>
          <w:p w14:paraId="03437724" w14:textId="77777777" w:rsidR="00AD3860" w:rsidRPr="005E3B43" w:rsidRDefault="00AD3860" w:rsidP="00763BCF">
            <w:pPr>
              <w:pStyle w:val="Tabletext"/>
            </w:pPr>
            <w:r w:rsidRPr="005E3B43">
              <w:t>A change to the method or equipment used to manufacture the dosage form of the medicine if the dosage form is:</w:t>
            </w:r>
          </w:p>
          <w:p w14:paraId="4E3E5A26" w14:textId="77777777" w:rsidR="00AD3860" w:rsidRPr="005E3B43" w:rsidRDefault="00AD3860" w:rsidP="00763BCF">
            <w:pPr>
              <w:pStyle w:val="Tablea"/>
            </w:pPr>
            <w:r w:rsidRPr="005E3B43">
              <w:t>(a) solid; and</w:t>
            </w:r>
          </w:p>
          <w:p w14:paraId="491534E1" w14:textId="77777777" w:rsidR="00AD3860" w:rsidRPr="005E3B43" w:rsidRDefault="00AD3860" w:rsidP="00763BCF">
            <w:pPr>
              <w:pStyle w:val="Tablea"/>
            </w:pPr>
            <w:r w:rsidRPr="005E3B43">
              <w:t>(b) not a modified release dosage form</w:t>
            </w:r>
          </w:p>
        </w:tc>
        <w:tc>
          <w:tcPr>
            <w:tcW w:w="739" w:type="pct"/>
            <w:shd w:val="clear" w:color="auto" w:fill="auto"/>
          </w:tcPr>
          <w:p w14:paraId="4D9A7ABF" w14:textId="77777777" w:rsidR="00AD3860" w:rsidRPr="005E3B43" w:rsidRDefault="00AD3860" w:rsidP="00763BCF">
            <w:pPr>
              <w:pStyle w:val="Tabletext"/>
              <w:rPr>
                <w:bCs/>
              </w:rPr>
            </w:pPr>
            <w:r w:rsidRPr="005E3B43">
              <w:rPr>
                <w:bCs/>
              </w:rPr>
              <w:t>DMES</w:t>
            </w:r>
          </w:p>
        </w:tc>
      </w:tr>
      <w:tr w:rsidR="00AD3860" w:rsidRPr="005E3B43" w14:paraId="1B1E1A3E" w14:textId="77777777" w:rsidTr="005A786D">
        <w:tc>
          <w:tcPr>
            <w:tcW w:w="679" w:type="pct"/>
            <w:shd w:val="clear" w:color="auto" w:fill="auto"/>
          </w:tcPr>
          <w:p w14:paraId="234FAC89" w14:textId="77777777" w:rsidR="00AD3860" w:rsidRPr="005E3B43" w:rsidRDefault="00AD3860" w:rsidP="00763BCF">
            <w:pPr>
              <w:pStyle w:val="Tabletext"/>
            </w:pPr>
            <w:r w:rsidRPr="005E3B43">
              <w:t>19</w:t>
            </w:r>
          </w:p>
        </w:tc>
        <w:tc>
          <w:tcPr>
            <w:tcW w:w="3582" w:type="pct"/>
            <w:shd w:val="clear" w:color="auto" w:fill="auto"/>
          </w:tcPr>
          <w:p w14:paraId="429AC57B" w14:textId="77777777" w:rsidR="00AD3860" w:rsidRPr="005E3B43" w:rsidRDefault="00AD3860" w:rsidP="00763BCF">
            <w:pPr>
              <w:pStyle w:val="Tabletext"/>
            </w:pPr>
            <w:r w:rsidRPr="005E3B43">
              <w:t>The introduction, revision or discontinuation of:</w:t>
            </w:r>
          </w:p>
          <w:p w14:paraId="4696E4FD" w14:textId="454DDA86" w:rsidR="00AD3860" w:rsidRPr="005E3B43" w:rsidRDefault="00AD3860" w:rsidP="00763BCF">
            <w:pPr>
              <w:pStyle w:val="Tablea"/>
            </w:pPr>
            <w:r w:rsidRPr="005E3B43">
              <w:t>(a) an in</w:t>
            </w:r>
            <w:r w:rsidR="007C3215">
              <w:noBreakHyphen/>
            </w:r>
            <w:r w:rsidRPr="005E3B43">
              <w:t>process control test applied during the manufacture of the medicine; or</w:t>
            </w:r>
          </w:p>
          <w:p w14:paraId="25DB8791" w14:textId="6332A359" w:rsidR="00AD3860" w:rsidRPr="005E3B43" w:rsidRDefault="00AD3860" w:rsidP="00763BCF">
            <w:pPr>
              <w:pStyle w:val="Tablea"/>
            </w:pPr>
            <w:r w:rsidRPr="005E3B43">
              <w:t>(b) a limit associated with an in</w:t>
            </w:r>
            <w:r w:rsidR="007C3215">
              <w:noBreakHyphen/>
            </w:r>
            <w:r w:rsidRPr="005E3B43">
              <w:t>process control test applied during the manufacture of the medicine</w:t>
            </w:r>
          </w:p>
        </w:tc>
        <w:tc>
          <w:tcPr>
            <w:tcW w:w="739" w:type="pct"/>
            <w:shd w:val="clear" w:color="auto" w:fill="auto"/>
          </w:tcPr>
          <w:p w14:paraId="71EC8E5A" w14:textId="77777777" w:rsidR="00AD3860" w:rsidRPr="005E3B43" w:rsidRDefault="00AD3860" w:rsidP="00763BCF">
            <w:pPr>
              <w:pStyle w:val="Tabletext"/>
              <w:rPr>
                <w:bCs/>
              </w:rPr>
            </w:pPr>
            <w:r w:rsidRPr="005E3B43">
              <w:rPr>
                <w:bCs/>
              </w:rPr>
              <w:t>DMIT</w:t>
            </w:r>
          </w:p>
        </w:tc>
      </w:tr>
      <w:tr w:rsidR="00AD3860" w:rsidRPr="005E3B43" w14:paraId="4A1B08D6" w14:textId="77777777" w:rsidTr="005A786D">
        <w:tc>
          <w:tcPr>
            <w:tcW w:w="679" w:type="pct"/>
            <w:shd w:val="clear" w:color="auto" w:fill="auto"/>
          </w:tcPr>
          <w:p w14:paraId="6CE186A0" w14:textId="77777777" w:rsidR="00AD3860" w:rsidRPr="005E3B43" w:rsidRDefault="00AD3860" w:rsidP="00763BCF">
            <w:pPr>
              <w:pStyle w:val="Tabletext"/>
            </w:pPr>
            <w:r w:rsidRPr="005E3B43">
              <w:t>20</w:t>
            </w:r>
          </w:p>
        </w:tc>
        <w:tc>
          <w:tcPr>
            <w:tcW w:w="3582" w:type="pct"/>
            <w:shd w:val="clear" w:color="auto" w:fill="auto"/>
          </w:tcPr>
          <w:p w14:paraId="22F69A9E" w14:textId="77777777" w:rsidR="00AD3860" w:rsidRPr="005E3B43" w:rsidRDefault="00AD3860" w:rsidP="00763BCF">
            <w:pPr>
              <w:pStyle w:val="Tabletext"/>
            </w:pPr>
            <w:r w:rsidRPr="005E3B43">
              <w:t>A reduction or removal of an overage for an active pharmaceutical ingredient of, or excipient (other than an antioxidant) in, the medicine if the dosage form of the medicine is not a modified release dosage form</w:t>
            </w:r>
          </w:p>
        </w:tc>
        <w:tc>
          <w:tcPr>
            <w:tcW w:w="739" w:type="pct"/>
            <w:shd w:val="clear" w:color="auto" w:fill="auto"/>
          </w:tcPr>
          <w:p w14:paraId="699667DA" w14:textId="77777777" w:rsidR="00AD3860" w:rsidRPr="005E3B43" w:rsidRDefault="00AD3860" w:rsidP="00763BCF">
            <w:pPr>
              <w:pStyle w:val="Tabletext"/>
              <w:rPr>
                <w:bCs/>
              </w:rPr>
            </w:pPr>
            <w:r w:rsidRPr="005E3B43">
              <w:rPr>
                <w:bCs/>
              </w:rPr>
              <w:t>DMRO</w:t>
            </w:r>
          </w:p>
        </w:tc>
      </w:tr>
      <w:tr w:rsidR="00AD3860" w:rsidRPr="005E3B43" w14:paraId="4FFD3C40" w14:textId="77777777" w:rsidTr="005A786D">
        <w:tc>
          <w:tcPr>
            <w:tcW w:w="679" w:type="pct"/>
            <w:shd w:val="clear" w:color="auto" w:fill="auto"/>
          </w:tcPr>
          <w:p w14:paraId="0A2ED023" w14:textId="77777777" w:rsidR="00AD3860" w:rsidRPr="005E3B43" w:rsidRDefault="00AD3860" w:rsidP="00763BCF">
            <w:pPr>
              <w:pStyle w:val="Tabletext"/>
            </w:pPr>
            <w:r w:rsidRPr="005E3B43">
              <w:t>21</w:t>
            </w:r>
          </w:p>
        </w:tc>
        <w:tc>
          <w:tcPr>
            <w:tcW w:w="3582" w:type="pct"/>
            <w:shd w:val="clear" w:color="auto" w:fill="auto"/>
          </w:tcPr>
          <w:p w14:paraId="40F392C0" w14:textId="77777777" w:rsidR="00AD3860" w:rsidRPr="005E3B43" w:rsidRDefault="00AD3860" w:rsidP="00763BCF">
            <w:pPr>
              <w:pStyle w:val="Tabletext"/>
            </w:pPr>
            <w:r w:rsidRPr="005E3B43">
              <w:t>A change to the method or equipment used to manufacture the dosage form of the medicine if the dosage form is:</w:t>
            </w:r>
          </w:p>
          <w:p w14:paraId="5B51A6E4" w14:textId="77777777" w:rsidR="00AD3860" w:rsidRPr="005E3B43" w:rsidRDefault="00AD3860" w:rsidP="00763BCF">
            <w:pPr>
              <w:pStyle w:val="Tablea"/>
            </w:pPr>
            <w:r w:rsidRPr="005E3B43">
              <w:t>(a) sterile; and</w:t>
            </w:r>
          </w:p>
          <w:p w14:paraId="667C5C2E" w14:textId="77777777" w:rsidR="00AD3860" w:rsidRPr="005E3B43" w:rsidRDefault="00AD3860" w:rsidP="00763BCF">
            <w:pPr>
              <w:pStyle w:val="Tablea"/>
            </w:pPr>
            <w:r w:rsidRPr="005E3B43">
              <w:t>(b) not a modified release dosage form</w:t>
            </w:r>
          </w:p>
        </w:tc>
        <w:tc>
          <w:tcPr>
            <w:tcW w:w="739" w:type="pct"/>
            <w:shd w:val="clear" w:color="auto" w:fill="auto"/>
          </w:tcPr>
          <w:p w14:paraId="4BE94B5E" w14:textId="77777777" w:rsidR="00AD3860" w:rsidRPr="005E3B43" w:rsidRDefault="00AD3860" w:rsidP="00763BCF">
            <w:pPr>
              <w:pStyle w:val="Tabletext"/>
              <w:rPr>
                <w:bCs/>
              </w:rPr>
            </w:pPr>
            <w:r w:rsidRPr="005E3B43">
              <w:rPr>
                <w:bCs/>
              </w:rPr>
              <w:t>DMSE</w:t>
            </w:r>
          </w:p>
        </w:tc>
      </w:tr>
      <w:tr w:rsidR="00AD3860" w:rsidRPr="005E3B43" w14:paraId="77445E8F" w14:textId="77777777" w:rsidTr="005A786D">
        <w:tc>
          <w:tcPr>
            <w:tcW w:w="679" w:type="pct"/>
            <w:shd w:val="clear" w:color="auto" w:fill="auto"/>
          </w:tcPr>
          <w:p w14:paraId="40FD3AB1" w14:textId="77777777" w:rsidR="00AD3860" w:rsidRPr="005E3B43" w:rsidRDefault="00AD3860" w:rsidP="00763BCF">
            <w:pPr>
              <w:pStyle w:val="Tabletext"/>
            </w:pPr>
            <w:r w:rsidRPr="005E3B43">
              <w:t>22</w:t>
            </w:r>
          </w:p>
        </w:tc>
        <w:tc>
          <w:tcPr>
            <w:tcW w:w="3582" w:type="pct"/>
            <w:shd w:val="clear" w:color="auto" w:fill="auto"/>
          </w:tcPr>
          <w:p w14:paraId="4DC1712A" w14:textId="77777777" w:rsidR="00AD3860" w:rsidRPr="005E3B43" w:rsidRDefault="00AD3860" w:rsidP="00763BCF">
            <w:pPr>
              <w:pStyle w:val="Tabletext"/>
            </w:pPr>
            <w:r w:rsidRPr="005E3B43">
              <w:t>The cessation of the manufacture, or a step in the manufacture, of the medicine at a manufacturing site</w:t>
            </w:r>
          </w:p>
        </w:tc>
        <w:tc>
          <w:tcPr>
            <w:tcW w:w="739" w:type="pct"/>
            <w:shd w:val="clear" w:color="auto" w:fill="auto"/>
          </w:tcPr>
          <w:p w14:paraId="111F426F" w14:textId="77777777" w:rsidR="00AD3860" w:rsidRPr="005E3B43" w:rsidRDefault="00AD3860" w:rsidP="00763BCF">
            <w:pPr>
              <w:pStyle w:val="Tabletext"/>
              <w:rPr>
                <w:bCs/>
              </w:rPr>
            </w:pPr>
            <w:r w:rsidRPr="005E3B43">
              <w:rPr>
                <w:bCs/>
              </w:rPr>
              <w:t>DMDM</w:t>
            </w:r>
          </w:p>
        </w:tc>
      </w:tr>
      <w:tr w:rsidR="00AD3860" w:rsidRPr="005E3B43" w14:paraId="176C0394" w14:textId="77777777" w:rsidTr="005A786D">
        <w:tc>
          <w:tcPr>
            <w:tcW w:w="679" w:type="pct"/>
            <w:shd w:val="clear" w:color="auto" w:fill="auto"/>
          </w:tcPr>
          <w:p w14:paraId="14EC83AC" w14:textId="77777777" w:rsidR="00AD3860" w:rsidRPr="005E3B43" w:rsidRDefault="00AD3860" w:rsidP="00763BCF">
            <w:pPr>
              <w:pStyle w:val="Tabletext"/>
            </w:pPr>
            <w:r w:rsidRPr="005E3B43">
              <w:t>23</w:t>
            </w:r>
          </w:p>
        </w:tc>
        <w:tc>
          <w:tcPr>
            <w:tcW w:w="3582" w:type="pct"/>
            <w:shd w:val="clear" w:color="auto" w:fill="auto"/>
          </w:tcPr>
          <w:p w14:paraId="50840A5E" w14:textId="77777777" w:rsidR="00AD3860" w:rsidRPr="005E3B43" w:rsidRDefault="00AD3860" w:rsidP="00763BCF">
            <w:pPr>
              <w:pStyle w:val="Tabletext"/>
            </w:pPr>
            <w:r w:rsidRPr="005E3B43">
              <w:t>Any of the following:</w:t>
            </w:r>
          </w:p>
          <w:p w14:paraId="748E8A6B" w14:textId="77777777" w:rsidR="00AD3860" w:rsidRPr="005E3B43" w:rsidRDefault="00AD3860" w:rsidP="00763BCF">
            <w:pPr>
              <w:pStyle w:val="Tablea"/>
            </w:pPr>
            <w:r w:rsidRPr="005E3B43">
              <w:t>(a) if the dosage form of the medicine is sterile:</w:t>
            </w:r>
          </w:p>
          <w:p w14:paraId="1B6115A5" w14:textId="77777777" w:rsidR="00AD3860" w:rsidRPr="005E3B43" w:rsidRDefault="00AD3860" w:rsidP="00763BCF">
            <w:pPr>
              <w:pStyle w:val="Tablei"/>
            </w:pPr>
            <w:r w:rsidRPr="005E3B43">
              <w:t>(i) a change to the location of a site where the labelling and secondary packaging of the medicine are performed; or</w:t>
            </w:r>
          </w:p>
          <w:p w14:paraId="76882EA2" w14:textId="77777777" w:rsidR="00AD3860" w:rsidRPr="005E3B43" w:rsidRDefault="00AD3860" w:rsidP="00763BCF">
            <w:pPr>
              <w:pStyle w:val="Tablei"/>
            </w:pPr>
            <w:r w:rsidRPr="005E3B43">
              <w:t>(ii) the performance of those things at an additional site;</w:t>
            </w:r>
          </w:p>
          <w:p w14:paraId="6171F8EE" w14:textId="77777777" w:rsidR="00AD3860" w:rsidRPr="005E3B43" w:rsidRDefault="00AD3860" w:rsidP="00763BCF">
            <w:pPr>
              <w:pStyle w:val="Tablea"/>
            </w:pPr>
            <w:r w:rsidRPr="005E3B43">
              <w:t>(b) if the dosage form of the medicine is not sterile:</w:t>
            </w:r>
          </w:p>
          <w:p w14:paraId="6C67BADE" w14:textId="77777777" w:rsidR="00AD3860" w:rsidRPr="005E3B43" w:rsidRDefault="00AD3860" w:rsidP="00763BCF">
            <w:pPr>
              <w:pStyle w:val="Tablei"/>
            </w:pPr>
            <w:r w:rsidRPr="005E3B43">
              <w:t>(i) a change to the location of a site where the labelling and primary and secondary packaging of the medicine are performed; or</w:t>
            </w:r>
          </w:p>
          <w:p w14:paraId="6278D2E1" w14:textId="77777777" w:rsidR="00AD3860" w:rsidRPr="005E3B43" w:rsidRDefault="00AD3860" w:rsidP="00763BCF">
            <w:pPr>
              <w:pStyle w:val="Tablei"/>
            </w:pPr>
            <w:r w:rsidRPr="005E3B43">
              <w:t>(ii) the performance of those things at an additional site</w:t>
            </w:r>
          </w:p>
        </w:tc>
        <w:tc>
          <w:tcPr>
            <w:tcW w:w="739" w:type="pct"/>
            <w:shd w:val="clear" w:color="auto" w:fill="auto"/>
          </w:tcPr>
          <w:p w14:paraId="503EE1DF" w14:textId="77777777" w:rsidR="00AD3860" w:rsidRPr="005E3B43" w:rsidRDefault="00AD3860" w:rsidP="00763BCF">
            <w:pPr>
              <w:pStyle w:val="Tabletext"/>
              <w:rPr>
                <w:bCs/>
              </w:rPr>
            </w:pPr>
            <w:r w:rsidRPr="005E3B43">
              <w:rPr>
                <w:bCs/>
              </w:rPr>
              <w:t>DMPL</w:t>
            </w:r>
          </w:p>
        </w:tc>
      </w:tr>
      <w:tr w:rsidR="00AD3860" w:rsidRPr="005E3B43" w14:paraId="5ABD9B2C" w14:textId="77777777" w:rsidTr="005A786D">
        <w:tc>
          <w:tcPr>
            <w:tcW w:w="679" w:type="pct"/>
            <w:shd w:val="clear" w:color="auto" w:fill="auto"/>
          </w:tcPr>
          <w:p w14:paraId="25D1F6E5" w14:textId="77777777" w:rsidR="00AD3860" w:rsidRPr="005E3B43" w:rsidRDefault="00AD3860" w:rsidP="00763BCF">
            <w:pPr>
              <w:pStyle w:val="Tabletext"/>
            </w:pPr>
            <w:r w:rsidRPr="005E3B43">
              <w:t>24</w:t>
            </w:r>
          </w:p>
        </w:tc>
        <w:tc>
          <w:tcPr>
            <w:tcW w:w="3582" w:type="pct"/>
            <w:shd w:val="clear" w:color="auto" w:fill="auto"/>
          </w:tcPr>
          <w:p w14:paraId="02F97687" w14:textId="77777777" w:rsidR="00AD3860" w:rsidRPr="005E3B43" w:rsidRDefault="00AD3860" w:rsidP="00763BCF">
            <w:pPr>
              <w:pStyle w:val="Tabletext"/>
            </w:pPr>
            <w:r w:rsidRPr="005E3B43">
              <w:t>If the dosage form of the medicine is:</w:t>
            </w:r>
          </w:p>
          <w:p w14:paraId="3744C986" w14:textId="3D0D5364" w:rsidR="00AD3860" w:rsidRPr="005E3B43" w:rsidRDefault="00AD3860" w:rsidP="00763BCF">
            <w:pPr>
              <w:pStyle w:val="Tablea"/>
            </w:pPr>
            <w:r w:rsidRPr="005E3B43">
              <w:t>(a) non</w:t>
            </w:r>
            <w:r w:rsidR="007C3215">
              <w:noBreakHyphen/>
            </w:r>
            <w:r w:rsidRPr="005E3B43">
              <w:t>sterile semi</w:t>
            </w:r>
            <w:r w:rsidR="007C3215">
              <w:noBreakHyphen/>
            </w:r>
            <w:r w:rsidRPr="005E3B43">
              <w:t>solid or non</w:t>
            </w:r>
            <w:r w:rsidR="007C3215">
              <w:noBreakHyphen/>
            </w:r>
            <w:r w:rsidRPr="005E3B43">
              <w:t>sterile liquid; and</w:t>
            </w:r>
          </w:p>
          <w:p w14:paraId="64F3E129" w14:textId="77777777" w:rsidR="00AD3860" w:rsidRPr="005E3B43" w:rsidRDefault="00AD3860" w:rsidP="00763BCF">
            <w:pPr>
              <w:pStyle w:val="Tablea"/>
            </w:pPr>
            <w:r w:rsidRPr="005E3B43">
              <w:t>(b) not a modified release dosage form;</w:t>
            </w:r>
          </w:p>
          <w:p w14:paraId="7B11DDAC" w14:textId="77777777" w:rsidR="00AD3860" w:rsidRPr="005E3B43" w:rsidRDefault="00AD3860" w:rsidP="00763BCF">
            <w:pPr>
              <w:pStyle w:val="Tabletext"/>
            </w:pPr>
            <w:r w:rsidRPr="005E3B43">
              <w:t>either of the following:</w:t>
            </w:r>
          </w:p>
          <w:p w14:paraId="77721262" w14:textId="77777777" w:rsidR="00AD3860" w:rsidRPr="005E3B43" w:rsidRDefault="00AD3860" w:rsidP="00763BCF">
            <w:pPr>
              <w:pStyle w:val="Tablea"/>
            </w:pPr>
            <w:r w:rsidRPr="005E3B43">
              <w:t>(c) a change to the location of a site where the medicine is manufactured;</w:t>
            </w:r>
          </w:p>
          <w:p w14:paraId="6E382007" w14:textId="77777777" w:rsidR="00AD3860" w:rsidRPr="005E3B43" w:rsidRDefault="00AD3860" w:rsidP="00763BCF">
            <w:pPr>
              <w:pStyle w:val="Tablea"/>
            </w:pPr>
            <w:r w:rsidRPr="005E3B43">
              <w:t>(d) the manufacture of the medicine at an additional site</w:t>
            </w:r>
          </w:p>
        </w:tc>
        <w:tc>
          <w:tcPr>
            <w:tcW w:w="739" w:type="pct"/>
            <w:shd w:val="clear" w:color="auto" w:fill="auto"/>
          </w:tcPr>
          <w:p w14:paraId="7A319211" w14:textId="77777777" w:rsidR="00AD3860" w:rsidRPr="005E3B43" w:rsidRDefault="00AD3860" w:rsidP="00763BCF">
            <w:pPr>
              <w:pStyle w:val="Tabletext"/>
              <w:rPr>
                <w:bCs/>
              </w:rPr>
            </w:pPr>
            <w:r w:rsidRPr="005E3B43">
              <w:rPr>
                <w:bCs/>
              </w:rPr>
              <w:t>DMSL</w:t>
            </w:r>
          </w:p>
        </w:tc>
      </w:tr>
      <w:tr w:rsidR="00AD3860" w:rsidRPr="005E3B43" w14:paraId="75355E43" w14:textId="77777777" w:rsidTr="005A786D">
        <w:tc>
          <w:tcPr>
            <w:tcW w:w="679" w:type="pct"/>
            <w:shd w:val="clear" w:color="auto" w:fill="auto"/>
          </w:tcPr>
          <w:p w14:paraId="36F6D0B6" w14:textId="77777777" w:rsidR="00AD3860" w:rsidRPr="005E3B43" w:rsidRDefault="00AD3860" w:rsidP="00763BCF">
            <w:pPr>
              <w:pStyle w:val="Tabletext"/>
            </w:pPr>
            <w:r w:rsidRPr="005E3B43">
              <w:lastRenderedPageBreak/>
              <w:t>25</w:t>
            </w:r>
          </w:p>
        </w:tc>
        <w:tc>
          <w:tcPr>
            <w:tcW w:w="3582" w:type="pct"/>
            <w:shd w:val="clear" w:color="auto" w:fill="auto"/>
          </w:tcPr>
          <w:p w14:paraId="35B194E8" w14:textId="77777777" w:rsidR="00AD3860" w:rsidRPr="005E3B43" w:rsidRDefault="00AD3860" w:rsidP="00763BCF">
            <w:pPr>
              <w:pStyle w:val="Tabletext"/>
            </w:pPr>
            <w:r w:rsidRPr="005E3B43">
              <w:t>If the dosage form of the medicine is:</w:t>
            </w:r>
          </w:p>
          <w:p w14:paraId="78AA6A5C" w14:textId="0BF42AB2" w:rsidR="00AD3860" w:rsidRPr="005E3B43" w:rsidRDefault="00AD3860" w:rsidP="00763BCF">
            <w:pPr>
              <w:pStyle w:val="Tablea"/>
            </w:pPr>
            <w:r w:rsidRPr="005E3B43">
              <w:t>(a) non</w:t>
            </w:r>
            <w:r w:rsidR="007C3215">
              <w:noBreakHyphen/>
            </w:r>
            <w:r w:rsidRPr="005E3B43">
              <w:t>sterile oral, or non</w:t>
            </w:r>
            <w:r w:rsidR="007C3215">
              <w:noBreakHyphen/>
            </w:r>
            <w:r w:rsidRPr="005E3B43">
              <w:t>sterile nasal, inhalation; and</w:t>
            </w:r>
          </w:p>
          <w:p w14:paraId="3CBF42B5" w14:textId="77777777" w:rsidR="00AD3860" w:rsidRPr="005E3B43" w:rsidRDefault="00AD3860" w:rsidP="00763BCF">
            <w:pPr>
              <w:pStyle w:val="Tablea"/>
            </w:pPr>
            <w:r w:rsidRPr="005E3B43">
              <w:t>(b) not a modified release dosage form;</w:t>
            </w:r>
          </w:p>
          <w:p w14:paraId="106EFA31" w14:textId="77777777" w:rsidR="00AD3860" w:rsidRPr="005E3B43" w:rsidRDefault="00AD3860" w:rsidP="00763BCF">
            <w:pPr>
              <w:pStyle w:val="Tabletext"/>
            </w:pPr>
            <w:r w:rsidRPr="005E3B43">
              <w:t>either of the following:</w:t>
            </w:r>
          </w:p>
          <w:p w14:paraId="0C80D483" w14:textId="77777777" w:rsidR="00AD3860" w:rsidRPr="005E3B43" w:rsidRDefault="00AD3860" w:rsidP="00763BCF">
            <w:pPr>
              <w:pStyle w:val="Tablea"/>
            </w:pPr>
            <w:r w:rsidRPr="005E3B43">
              <w:t>(c) a change to the location of a site where the medicine is manufactured;</w:t>
            </w:r>
          </w:p>
          <w:p w14:paraId="45656D99" w14:textId="77777777" w:rsidR="00AD3860" w:rsidRPr="005E3B43" w:rsidRDefault="00AD3860" w:rsidP="00763BCF">
            <w:pPr>
              <w:pStyle w:val="Tablea"/>
            </w:pPr>
            <w:r w:rsidRPr="005E3B43">
              <w:t>(d) the manufacture of the medicine at an additional site</w:t>
            </w:r>
          </w:p>
        </w:tc>
        <w:tc>
          <w:tcPr>
            <w:tcW w:w="739" w:type="pct"/>
            <w:shd w:val="clear" w:color="auto" w:fill="auto"/>
          </w:tcPr>
          <w:p w14:paraId="5F2A4F69" w14:textId="77777777" w:rsidR="00AD3860" w:rsidRPr="005E3B43" w:rsidRDefault="00AD3860" w:rsidP="00763BCF">
            <w:pPr>
              <w:pStyle w:val="Tabletext"/>
              <w:rPr>
                <w:bCs/>
              </w:rPr>
            </w:pPr>
            <w:r w:rsidRPr="005E3B43">
              <w:rPr>
                <w:bCs/>
              </w:rPr>
              <w:t>DMSO</w:t>
            </w:r>
          </w:p>
        </w:tc>
      </w:tr>
      <w:tr w:rsidR="00AD3860" w:rsidRPr="005E3B43" w14:paraId="5489327A" w14:textId="77777777" w:rsidTr="005A786D">
        <w:trPr>
          <w:cantSplit/>
        </w:trPr>
        <w:tc>
          <w:tcPr>
            <w:tcW w:w="679" w:type="pct"/>
            <w:shd w:val="clear" w:color="auto" w:fill="auto"/>
          </w:tcPr>
          <w:p w14:paraId="1B6E187E" w14:textId="77777777" w:rsidR="00AD3860" w:rsidRPr="005E3B43" w:rsidRDefault="00AD3860" w:rsidP="00763BCF">
            <w:pPr>
              <w:pStyle w:val="Tabletext"/>
            </w:pPr>
            <w:r w:rsidRPr="005E3B43">
              <w:t>26</w:t>
            </w:r>
          </w:p>
        </w:tc>
        <w:tc>
          <w:tcPr>
            <w:tcW w:w="3582" w:type="pct"/>
            <w:shd w:val="clear" w:color="auto" w:fill="auto"/>
          </w:tcPr>
          <w:p w14:paraId="69AE5FD4" w14:textId="77777777" w:rsidR="00AD3860" w:rsidRPr="005E3B43" w:rsidRDefault="00AD3860" w:rsidP="00763BCF">
            <w:pPr>
              <w:pStyle w:val="Tabletext"/>
            </w:pPr>
            <w:r w:rsidRPr="005E3B43">
              <w:t>If the dosage form of the medicine is:</w:t>
            </w:r>
          </w:p>
          <w:p w14:paraId="619F41D9" w14:textId="4F36EFA4" w:rsidR="00AD3860" w:rsidRPr="005E3B43" w:rsidRDefault="00AD3860" w:rsidP="00763BCF">
            <w:pPr>
              <w:pStyle w:val="Tablea"/>
            </w:pPr>
            <w:r w:rsidRPr="005E3B43">
              <w:t>(a) non</w:t>
            </w:r>
            <w:r w:rsidR="007C3215">
              <w:noBreakHyphen/>
            </w:r>
            <w:r w:rsidRPr="005E3B43">
              <w:t>sterile solid; and</w:t>
            </w:r>
          </w:p>
          <w:p w14:paraId="35AE0902" w14:textId="77777777" w:rsidR="00AD3860" w:rsidRPr="005E3B43" w:rsidRDefault="00AD3860" w:rsidP="00763BCF">
            <w:pPr>
              <w:pStyle w:val="Tablea"/>
            </w:pPr>
            <w:r w:rsidRPr="005E3B43">
              <w:t>(b) not a modified release dosage form;</w:t>
            </w:r>
          </w:p>
          <w:p w14:paraId="709C7022" w14:textId="77777777" w:rsidR="00AD3860" w:rsidRPr="005E3B43" w:rsidRDefault="00AD3860" w:rsidP="00763BCF">
            <w:pPr>
              <w:pStyle w:val="Tabletext"/>
            </w:pPr>
            <w:r w:rsidRPr="005E3B43">
              <w:t>either of the following:</w:t>
            </w:r>
          </w:p>
          <w:p w14:paraId="3C86C376" w14:textId="77777777" w:rsidR="00AD3860" w:rsidRPr="005E3B43" w:rsidRDefault="00AD3860" w:rsidP="00763BCF">
            <w:pPr>
              <w:pStyle w:val="Tablea"/>
            </w:pPr>
            <w:r w:rsidRPr="005E3B43">
              <w:t>(c) a change to the location of a site where the medicine is manufactured;</w:t>
            </w:r>
          </w:p>
          <w:p w14:paraId="19054A21" w14:textId="77777777" w:rsidR="00AD3860" w:rsidRPr="005E3B43" w:rsidRDefault="00AD3860" w:rsidP="00763BCF">
            <w:pPr>
              <w:pStyle w:val="Tablea"/>
            </w:pPr>
            <w:r w:rsidRPr="005E3B43">
              <w:t>(d) the manufacture of the medicine at an additional site</w:t>
            </w:r>
          </w:p>
        </w:tc>
        <w:tc>
          <w:tcPr>
            <w:tcW w:w="739" w:type="pct"/>
            <w:shd w:val="clear" w:color="auto" w:fill="auto"/>
          </w:tcPr>
          <w:p w14:paraId="7AF999AB" w14:textId="77777777" w:rsidR="00AD3860" w:rsidRPr="005E3B43" w:rsidRDefault="00AD3860" w:rsidP="00763BCF">
            <w:pPr>
              <w:pStyle w:val="Tabletext"/>
              <w:rPr>
                <w:bCs/>
              </w:rPr>
            </w:pPr>
            <w:r w:rsidRPr="005E3B43">
              <w:rPr>
                <w:bCs/>
              </w:rPr>
              <w:t>DMSS</w:t>
            </w:r>
          </w:p>
        </w:tc>
      </w:tr>
      <w:tr w:rsidR="00AD3860" w:rsidRPr="005E3B43" w14:paraId="31C63682" w14:textId="77777777" w:rsidTr="005A786D">
        <w:tc>
          <w:tcPr>
            <w:tcW w:w="679" w:type="pct"/>
            <w:shd w:val="clear" w:color="auto" w:fill="auto"/>
          </w:tcPr>
          <w:p w14:paraId="2E6247D1" w14:textId="77777777" w:rsidR="00AD3860" w:rsidRPr="005E3B43" w:rsidRDefault="00AD3860" w:rsidP="00763BCF">
            <w:pPr>
              <w:pStyle w:val="Tabletext"/>
            </w:pPr>
            <w:r w:rsidRPr="005E3B43">
              <w:t>27</w:t>
            </w:r>
          </w:p>
        </w:tc>
        <w:tc>
          <w:tcPr>
            <w:tcW w:w="3582" w:type="pct"/>
            <w:shd w:val="clear" w:color="auto" w:fill="auto"/>
          </w:tcPr>
          <w:p w14:paraId="0B69DA12" w14:textId="77777777" w:rsidR="00AD3860" w:rsidRPr="005E3B43" w:rsidRDefault="00AD3860" w:rsidP="00763BCF">
            <w:pPr>
              <w:pStyle w:val="Tabletext"/>
            </w:pPr>
            <w:r w:rsidRPr="005E3B43">
              <w:t>Either of the following:</w:t>
            </w:r>
          </w:p>
          <w:p w14:paraId="76DFA067" w14:textId="77777777" w:rsidR="00AD3860" w:rsidRPr="005E3B43" w:rsidRDefault="00AD3860" w:rsidP="00763BCF">
            <w:pPr>
              <w:pStyle w:val="Tablea"/>
            </w:pPr>
            <w:r w:rsidRPr="005E3B43">
              <w:t>(a) a change to the location of a site where either of the following are performed in relation to the medicine:</w:t>
            </w:r>
          </w:p>
          <w:p w14:paraId="7C1994A3" w14:textId="77777777" w:rsidR="00AD3860" w:rsidRPr="005E3B43" w:rsidRDefault="00AD3860" w:rsidP="00763BCF">
            <w:pPr>
              <w:pStyle w:val="Tablei"/>
            </w:pPr>
            <w:r w:rsidRPr="005E3B43">
              <w:t>(i) quality control testing (including sterility, microbiological, chemical, physical and bacterial endotoxin or pyrogen testing);</w:t>
            </w:r>
          </w:p>
          <w:p w14:paraId="7C682FEA" w14:textId="77777777" w:rsidR="00AD3860" w:rsidRPr="005E3B43" w:rsidRDefault="00AD3860" w:rsidP="00763BCF">
            <w:pPr>
              <w:pStyle w:val="Tablei"/>
            </w:pPr>
            <w:r w:rsidRPr="005E3B43">
              <w:t>(ii) release for supply;</w:t>
            </w:r>
          </w:p>
          <w:p w14:paraId="44032A34" w14:textId="77777777" w:rsidR="00AD3860" w:rsidRPr="005E3B43" w:rsidRDefault="00AD3860" w:rsidP="00763BCF">
            <w:pPr>
              <w:pStyle w:val="Tablea"/>
            </w:pPr>
            <w:r w:rsidRPr="005E3B43">
              <w:t>(b) the performance of either of the following in relation to the medicine at an additional site:</w:t>
            </w:r>
          </w:p>
          <w:p w14:paraId="4876F305" w14:textId="77777777" w:rsidR="00AD3860" w:rsidRPr="005E3B43" w:rsidRDefault="00AD3860" w:rsidP="00763BCF">
            <w:pPr>
              <w:pStyle w:val="Tablei"/>
            </w:pPr>
            <w:r w:rsidRPr="005E3B43">
              <w:t>(i) quality control testing (including sterility, microbiological, chemical, physical and bacterial endotoxin or pyrogen testing);</w:t>
            </w:r>
          </w:p>
          <w:p w14:paraId="1655D066" w14:textId="77777777" w:rsidR="00AD3860" w:rsidRPr="005E3B43" w:rsidRDefault="00AD3860" w:rsidP="00763BCF">
            <w:pPr>
              <w:pStyle w:val="Tablei"/>
            </w:pPr>
            <w:r w:rsidRPr="005E3B43">
              <w:t>(ii) release for supply</w:t>
            </w:r>
          </w:p>
        </w:tc>
        <w:tc>
          <w:tcPr>
            <w:tcW w:w="739" w:type="pct"/>
            <w:shd w:val="clear" w:color="auto" w:fill="auto"/>
          </w:tcPr>
          <w:p w14:paraId="75289AC4" w14:textId="77777777" w:rsidR="00AD3860" w:rsidRPr="005E3B43" w:rsidRDefault="00AD3860" w:rsidP="00763BCF">
            <w:pPr>
              <w:pStyle w:val="Tabletext"/>
              <w:rPr>
                <w:bCs/>
              </w:rPr>
            </w:pPr>
            <w:r w:rsidRPr="005E3B43">
              <w:rPr>
                <w:bCs/>
              </w:rPr>
              <w:t>DMTR</w:t>
            </w:r>
          </w:p>
        </w:tc>
      </w:tr>
      <w:tr w:rsidR="00AD3860" w:rsidRPr="005E3B43" w14:paraId="636F9735" w14:textId="77777777" w:rsidTr="005A786D">
        <w:tc>
          <w:tcPr>
            <w:tcW w:w="679" w:type="pct"/>
            <w:shd w:val="clear" w:color="auto" w:fill="auto"/>
          </w:tcPr>
          <w:p w14:paraId="1C25E2E2" w14:textId="77777777" w:rsidR="00AD3860" w:rsidRPr="005E3B43" w:rsidRDefault="00AD3860" w:rsidP="00763BCF">
            <w:pPr>
              <w:pStyle w:val="Tabletext"/>
            </w:pPr>
            <w:r w:rsidRPr="005E3B43">
              <w:t>28</w:t>
            </w:r>
          </w:p>
        </w:tc>
        <w:tc>
          <w:tcPr>
            <w:tcW w:w="3582" w:type="pct"/>
            <w:shd w:val="clear" w:color="auto" w:fill="auto"/>
          </w:tcPr>
          <w:p w14:paraId="747DC0C7" w14:textId="1A46BA37" w:rsidR="00AD3860" w:rsidRPr="005E3B43" w:rsidRDefault="00AD3860" w:rsidP="00763BCF">
            <w:pPr>
              <w:pStyle w:val="Tabletext"/>
            </w:pPr>
            <w:r w:rsidRPr="005E3B43">
              <w:t>A change to a non</w:t>
            </w:r>
            <w:r w:rsidR="007C3215">
              <w:noBreakHyphen/>
            </w:r>
            <w:r w:rsidRPr="005E3B43">
              <w:t>biological method used to assay an active pharmaceutical ingredient of, or an excipient in, the medicine, if the medicine is not a radiopharmaceutical</w:t>
            </w:r>
          </w:p>
        </w:tc>
        <w:tc>
          <w:tcPr>
            <w:tcW w:w="739" w:type="pct"/>
            <w:shd w:val="clear" w:color="auto" w:fill="auto"/>
          </w:tcPr>
          <w:p w14:paraId="175999D7" w14:textId="77777777" w:rsidR="00AD3860" w:rsidRPr="005E3B43" w:rsidRDefault="00AD3860" w:rsidP="00763BCF">
            <w:pPr>
              <w:pStyle w:val="Tabletext"/>
              <w:rPr>
                <w:bCs/>
              </w:rPr>
            </w:pPr>
            <w:r w:rsidRPr="005E3B43">
              <w:rPr>
                <w:bCs/>
              </w:rPr>
              <w:t>DSAM</w:t>
            </w:r>
          </w:p>
        </w:tc>
      </w:tr>
      <w:tr w:rsidR="00AD3860" w:rsidRPr="005E3B43" w14:paraId="51F64CC7" w14:textId="77777777" w:rsidTr="005A786D">
        <w:tc>
          <w:tcPr>
            <w:tcW w:w="679" w:type="pct"/>
            <w:shd w:val="clear" w:color="auto" w:fill="auto"/>
          </w:tcPr>
          <w:p w14:paraId="4B08BEBE" w14:textId="77777777" w:rsidR="00AD3860" w:rsidRPr="005E3B43" w:rsidRDefault="00AD3860" w:rsidP="00763BCF">
            <w:pPr>
              <w:pStyle w:val="Tabletext"/>
            </w:pPr>
            <w:r w:rsidRPr="005E3B43">
              <w:t>29</w:t>
            </w:r>
          </w:p>
        </w:tc>
        <w:tc>
          <w:tcPr>
            <w:tcW w:w="3582" w:type="pct"/>
            <w:shd w:val="clear" w:color="auto" w:fill="auto"/>
          </w:tcPr>
          <w:p w14:paraId="298A6DD8" w14:textId="77777777" w:rsidR="00AD3860" w:rsidRPr="005E3B43" w:rsidRDefault="00AD3860" w:rsidP="00763BCF">
            <w:pPr>
              <w:pStyle w:val="Tabletext"/>
            </w:pPr>
            <w:r w:rsidRPr="005E3B43">
              <w:t>A change to one or more tests used to identify an active pharmaceutical ingredient of, or an excipient in, the medicine</w:t>
            </w:r>
          </w:p>
        </w:tc>
        <w:tc>
          <w:tcPr>
            <w:tcW w:w="739" w:type="pct"/>
            <w:shd w:val="clear" w:color="auto" w:fill="auto"/>
          </w:tcPr>
          <w:p w14:paraId="3EA4C3BF" w14:textId="77777777" w:rsidR="00AD3860" w:rsidRPr="005E3B43" w:rsidRDefault="00AD3860" w:rsidP="00763BCF">
            <w:pPr>
              <w:pStyle w:val="Tabletext"/>
            </w:pPr>
            <w:r w:rsidRPr="005E3B43">
              <w:t>DSID</w:t>
            </w:r>
          </w:p>
        </w:tc>
      </w:tr>
      <w:tr w:rsidR="00AD3860" w:rsidRPr="005E3B43" w14:paraId="080F50F3" w14:textId="77777777" w:rsidTr="005A786D">
        <w:tc>
          <w:tcPr>
            <w:tcW w:w="679" w:type="pct"/>
            <w:shd w:val="clear" w:color="auto" w:fill="auto"/>
          </w:tcPr>
          <w:p w14:paraId="70EC58B0" w14:textId="77777777" w:rsidR="00AD3860" w:rsidRPr="005E3B43" w:rsidRDefault="00AD3860" w:rsidP="00763BCF">
            <w:pPr>
              <w:pStyle w:val="Tabletext"/>
            </w:pPr>
            <w:r w:rsidRPr="005E3B43">
              <w:t>30</w:t>
            </w:r>
          </w:p>
        </w:tc>
        <w:tc>
          <w:tcPr>
            <w:tcW w:w="3582" w:type="pct"/>
            <w:shd w:val="clear" w:color="auto" w:fill="auto"/>
          </w:tcPr>
          <w:p w14:paraId="36135571" w14:textId="77777777" w:rsidR="00AD3860" w:rsidRPr="005E3B43" w:rsidRDefault="00AD3860" w:rsidP="00763BCF">
            <w:pPr>
              <w:pStyle w:val="Tabletext"/>
            </w:pPr>
            <w:r w:rsidRPr="005E3B43">
              <w:t>A change to the specifications for the medicine made for the purposes of ensuring that the specifications are consistent with a default standard if previously no default standard applied to the medicine</w:t>
            </w:r>
          </w:p>
        </w:tc>
        <w:tc>
          <w:tcPr>
            <w:tcW w:w="739" w:type="pct"/>
            <w:shd w:val="clear" w:color="auto" w:fill="auto"/>
          </w:tcPr>
          <w:p w14:paraId="1EC1B37C" w14:textId="77777777" w:rsidR="00AD3860" w:rsidRPr="005E3B43" w:rsidRDefault="00AD3860" w:rsidP="00763BCF">
            <w:pPr>
              <w:pStyle w:val="Tabletext"/>
            </w:pPr>
            <w:r w:rsidRPr="005E3B43">
              <w:t>DSIP</w:t>
            </w:r>
          </w:p>
        </w:tc>
      </w:tr>
      <w:tr w:rsidR="00AD3860" w:rsidRPr="005E3B43" w14:paraId="1F83211C" w14:textId="77777777" w:rsidTr="005A786D">
        <w:tc>
          <w:tcPr>
            <w:tcW w:w="679" w:type="pct"/>
            <w:shd w:val="clear" w:color="auto" w:fill="auto"/>
          </w:tcPr>
          <w:p w14:paraId="4EA136E5" w14:textId="77777777" w:rsidR="00AD3860" w:rsidRPr="005E3B43" w:rsidRDefault="00AD3860" w:rsidP="00763BCF">
            <w:pPr>
              <w:pStyle w:val="Tabletext"/>
            </w:pPr>
            <w:r w:rsidRPr="005E3B43">
              <w:t>31</w:t>
            </w:r>
          </w:p>
        </w:tc>
        <w:tc>
          <w:tcPr>
            <w:tcW w:w="3582" w:type="pct"/>
            <w:shd w:val="clear" w:color="auto" w:fill="auto"/>
          </w:tcPr>
          <w:p w14:paraId="19C3C703" w14:textId="77777777" w:rsidR="00AD3860" w:rsidRPr="005E3B43" w:rsidRDefault="00AD3860" w:rsidP="00763BCF">
            <w:pPr>
              <w:pStyle w:val="Tabletext"/>
            </w:pPr>
            <w:r w:rsidRPr="005E3B43">
              <w:t>A change to a limit associated with a test included in the specifications for the medicine if the change makes the limit more stringent</w:t>
            </w:r>
          </w:p>
        </w:tc>
        <w:tc>
          <w:tcPr>
            <w:tcW w:w="739" w:type="pct"/>
            <w:shd w:val="clear" w:color="auto" w:fill="auto"/>
          </w:tcPr>
          <w:p w14:paraId="06B66D13" w14:textId="77777777" w:rsidR="00AD3860" w:rsidRPr="005E3B43" w:rsidRDefault="00AD3860" w:rsidP="00763BCF">
            <w:pPr>
              <w:pStyle w:val="Tabletext"/>
            </w:pPr>
            <w:r w:rsidRPr="005E3B43">
              <w:t>DSNL</w:t>
            </w:r>
          </w:p>
        </w:tc>
      </w:tr>
      <w:tr w:rsidR="00AD3860" w:rsidRPr="005E3B43" w14:paraId="193FE5DC" w14:textId="77777777" w:rsidTr="005A786D">
        <w:tc>
          <w:tcPr>
            <w:tcW w:w="679" w:type="pct"/>
            <w:shd w:val="clear" w:color="auto" w:fill="auto"/>
          </w:tcPr>
          <w:p w14:paraId="0499F349" w14:textId="77777777" w:rsidR="00AD3860" w:rsidRPr="005E3B43" w:rsidRDefault="00AD3860" w:rsidP="00763BCF">
            <w:pPr>
              <w:pStyle w:val="Tabletext"/>
            </w:pPr>
            <w:r w:rsidRPr="005E3B43">
              <w:t>32</w:t>
            </w:r>
          </w:p>
        </w:tc>
        <w:tc>
          <w:tcPr>
            <w:tcW w:w="3582" w:type="pct"/>
            <w:shd w:val="clear" w:color="auto" w:fill="auto"/>
          </w:tcPr>
          <w:p w14:paraId="2116EF45" w14:textId="77777777" w:rsidR="00AD3860" w:rsidRPr="005E3B43" w:rsidRDefault="00AD3860" w:rsidP="00763BCF">
            <w:pPr>
              <w:pStyle w:val="Tabletext"/>
            </w:pPr>
            <w:r w:rsidRPr="005E3B43">
              <w:t>The addition of a new test and limits associated with the test to the specifications for the medicine</w:t>
            </w:r>
          </w:p>
        </w:tc>
        <w:tc>
          <w:tcPr>
            <w:tcW w:w="739" w:type="pct"/>
            <w:shd w:val="clear" w:color="auto" w:fill="auto"/>
          </w:tcPr>
          <w:p w14:paraId="07E5E2F1" w14:textId="77777777" w:rsidR="00AD3860" w:rsidRPr="005E3B43" w:rsidRDefault="00AD3860" w:rsidP="00763BCF">
            <w:pPr>
              <w:pStyle w:val="Tabletext"/>
              <w:rPr>
                <w:bCs/>
              </w:rPr>
            </w:pPr>
            <w:r w:rsidRPr="005E3B43">
              <w:rPr>
                <w:bCs/>
              </w:rPr>
              <w:t>DSNT</w:t>
            </w:r>
          </w:p>
        </w:tc>
      </w:tr>
      <w:tr w:rsidR="00AD3860" w:rsidRPr="005E3B43" w14:paraId="3818F3F4" w14:textId="77777777" w:rsidTr="005A786D">
        <w:tc>
          <w:tcPr>
            <w:tcW w:w="679" w:type="pct"/>
            <w:shd w:val="clear" w:color="auto" w:fill="auto"/>
          </w:tcPr>
          <w:p w14:paraId="4361E623" w14:textId="77777777" w:rsidR="00AD3860" w:rsidRPr="005E3B43" w:rsidRDefault="00AD3860" w:rsidP="00763BCF">
            <w:pPr>
              <w:pStyle w:val="Tabletext"/>
            </w:pPr>
            <w:r w:rsidRPr="005E3B43">
              <w:t>33</w:t>
            </w:r>
          </w:p>
        </w:tc>
        <w:tc>
          <w:tcPr>
            <w:tcW w:w="3582" w:type="pct"/>
            <w:shd w:val="clear" w:color="auto" w:fill="auto"/>
          </w:tcPr>
          <w:p w14:paraId="1DC6B5EB" w14:textId="77777777" w:rsidR="00AD3860" w:rsidRPr="005E3B43" w:rsidRDefault="00AD3860" w:rsidP="00763BCF">
            <w:pPr>
              <w:pStyle w:val="Tabletext"/>
            </w:pPr>
            <w:r w:rsidRPr="005E3B43">
              <w:t>A minor change to a method used to test physiochemical parameters of the medicine</w:t>
            </w:r>
          </w:p>
        </w:tc>
        <w:tc>
          <w:tcPr>
            <w:tcW w:w="739" w:type="pct"/>
            <w:shd w:val="clear" w:color="auto" w:fill="auto"/>
          </w:tcPr>
          <w:p w14:paraId="6B3DACBE" w14:textId="77777777" w:rsidR="00AD3860" w:rsidRPr="005E3B43" w:rsidRDefault="00AD3860" w:rsidP="00763BCF">
            <w:pPr>
              <w:pStyle w:val="Tabletext"/>
              <w:rPr>
                <w:bCs/>
              </w:rPr>
            </w:pPr>
            <w:r w:rsidRPr="005E3B43">
              <w:rPr>
                <w:bCs/>
              </w:rPr>
              <w:t>DSPL</w:t>
            </w:r>
          </w:p>
        </w:tc>
      </w:tr>
      <w:tr w:rsidR="00AD3860" w:rsidRPr="005E3B43" w14:paraId="710FDE18" w14:textId="77777777" w:rsidTr="005A786D">
        <w:tc>
          <w:tcPr>
            <w:tcW w:w="679" w:type="pct"/>
            <w:shd w:val="clear" w:color="auto" w:fill="auto"/>
          </w:tcPr>
          <w:p w14:paraId="3053A618" w14:textId="77777777" w:rsidR="00AD3860" w:rsidRPr="005E3B43" w:rsidRDefault="00AD3860" w:rsidP="00763BCF">
            <w:pPr>
              <w:pStyle w:val="Tabletext"/>
            </w:pPr>
            <w:r w:rsidRPr="005E3B43">
              <w:t>34</w:t>
            </w:r>
          </w:p>
        </w:tc>
        <w:tc>
          <w:tcPr>
            <w:tcW w:w="3582" w:type="pct"/>
            <w:shd w:val="clear" w:color="auto" w:fill="auto"/>
          </w:tcPr>
          <w:p w14:paraId="1417A104" w14:textId="77777777" w:rsidR="00AD3860" w:rsidRPr="005E3B43" w:rsidRDefault="00AD3860" w:rsidP="00763BCF">
            <w:pPr>
              <w:pStyle w:val="Tabletext"/>
            </w:pPr>
            <w:r w:rsidRPr="005E3B43">
              <w:t>A change to the specifications for the medicine made for the purposes of ensuring that the specifications are consistent with:</w:t>
            </w:r>
          </w:p>
          <w:p w14:paraId="6988D611" w14:textId="77777777" w:rsidR="00AD3860" w:rsidRPr="005E3B43" w:rsidRDefault="00AD3860" w:rsidP="00763BCF">
            <w:pPr>
              <w:pStyle w:val="Tablea"/>
            </w:pPr>
            <w:r w:rsidRPr="005E3B43">
              <w:t>(a) a default standard that applies to the medicine; or</w:t>
            </w:r>
          </w:p>
          <w:p w14:paraId="41892C2F" w14:textId="3EAF5180" w:rsidR="00AD3860" w:rsidRPr="005E3B43" w:rsidRDefault="00AD3860" w:rsidP="00763BCF">
            <w:pPr>
              <w:pStyle w:val="Tablea"/>
            </w:pPr>
            <w:r w:rsidRPr="005E3B43">
              <w:t>(b) an order in force under sub</w:t>
            </w:r>
            <w:r w:rsidR="007C3215">
              <w:t>section 1</w:t>
            </w:r>
            <w:r w:rsidRPr="005E3B43">
              <w:t>0(1) of the Act that applies to the medicine</w:t>
            </w:r>
          </w:p>
        </w:tc>
        <w:tc>
          <w:tcPr>
            <w:tcW w:w="739" w:type="pct"/>
            <w:shd w:val="clear" w:color="auto" w:fill="auto"/>
          </w:tcPr>
          <w:p w14:paraId="4670D107" w14:textId="77777777" w:rsidR="00AD3860" w:rsidRPr="005E3B43" w:rsidRDefault="00AD3860" w:rsidP="00763BCF">
            <w:pPr>
              <w:pStyle w:val="Tabletext"/>
              <w:rPr>
                <w:bCs/>
              </w:rPr>
            </w:pPr>
            <w:r w:rsidRPr="005E3B43">
              <w:rPr>
                <w:bCs/>
              </w:rPr>
              <w:t>DSPT</w:t>
            </w:r>
          </w:p>
        </w:tc>
      </w:tr>
      <w:tr w:rsidR="00AD3860" w:rsidRPr="005E3B43" w14:paraId="3BAB075D" w14:textId="77777777" w:rsidTr="005A786D">
        <w:tc>
          <w:tcPr>
            <w:tcW w:w="679" w:type="pct"/>
            <w:shd w:val="clear" w:color="auto" w:fill="auto"/>
          </w:tcPr>
          <w:p w14:paraId="08C835C9" w14:textId="77777777" w:rsidR="00AD3860" w:rsidRPr="005E3B43" w:rsidRDefault="00AD3860" w:rsidP="00763BCF">
            <w:pPr>
              <w:pStyle w:val="Tabletext"/>
            </w:pPr>
            <w:r w:rsidRPr="005E3B43">
              <w:lastRenderedPageBreak/>
              <w:t>35</w:t>
            </w:r>
          </w:p>
        </w:tc>
        <w:tc>
          <w:tcPr>
            <w:tcW w:w="3582" w:type="pct"/>
            <w:shd w:val="clear" w:color="auto" w:fill="auto"/>
          </w:tcPr>
          <w:p w14:paraId="03C40543" w14:textId="77777777" w:rsidR="00AD3860" w:rsidRPr="005E3B43" w:rsidRDefault="00AD3860" w:rsidP="00763BCF">
            <w:pPr>
              <w:pStyle w:val="Tabletext"/>
            </w:pPr>
            <w:r w:rsidRPr="005E3B43">
              <w:t>A change to a method used to test the sterility of the medicine</w:t>
            </w:r>
          </w:p>
        </w:tc>
        <w:tc>
          <w:tcPr>
            <w:tcW w:w="739" w:type="pct"/>
            <w:shd w:val="clear" w:color="auto" w:fill="auto"/>
          </w:tcPr>
          <w:p w14:paraId="120A9962" w14:textId="77777777" w:rsidR="00AD3860" w:rsidRPr="005E3B43" w:rsidRDefault="00AD3860" w:rsidP="00763BCF">
            <w:pPr>
              <w:pStyle w:val="Tabletext"/>
              <w:rPr>
                <w:bCs/>
              </w:rPr>
            </w:pPr>
            <w:r w:rsidRPr="005E3B43">
              <w:rPr>
                <w:bCs/>
              </w:rPr>
              <w:t>DSST</w:t>
            </w:r>
          </w:p>
        </w:tc>
      </w:tr>
      <w:tr w:rsidR="00AD3860" w:rsidRPr="005E3B43" w14:paraId="7408F44A" w14:textId="77777777" w:rsidTr="005A786D">
        <w:tc>
          <w:tcPr>
            <w:tcW w:w="679" w:type="pct"/>
            <w:shd w:val="clear" w:color="auto" w:fill="auto"/>
          </w:tcPr>
          <w:p w14:paraId="2B464E8E" w14:textId="77777777" w:rsidR="00AD3860" w:rsidRPr="005E3B43" w:rsidRDefault="00AD3860" w:rsidP="00763BCF">
            <w:pPr>
              <w:pStyle w:val="Tabletext"/>
            </w:pPr>
            <w:r w:rsidRPr="005E3B43">
              <w:t>36</w:t>
            </w:r>
          </w:p>
        </w:tc>
        <w:tc>
          <w:tcPr>
            <w:tcW w:w="3582" w:type="pct"/>
            <w:shd w:val="clear" w:color="auto" w:fill="auto"/>
          </w:tcPr>
          <w:p w14:paraId="43407A46" w14:textId="77777777" w:rsidR="00AD3860" w:rsidRPr="005E3B43" w:rsidRDefault="00AD3860" w:rsidP="00763BCF">
            <w:pPr>
              <w:pStyle w:val="Tabletext"/>
            </w:pPr>
            <w:r w:rsidRPr="005E3B43">
              <w:t>If:</w:t>
            </w:r>
          </w:p>
          <w:p w14:paraId="1B9F9D5C" w14:textId="2D1D6862" w:rsidR="00AD3860" w:rsidRPr="005E3B43" w:rsidRDefault="00AD3860" w:rsidP="00763BCF">
            <w:pPr>
              <w:pStyle w:val="Tablea"/>
            </w:pPr>
            <w:r w:rsidRPr="005E3B43">
              <w:t>(a) the medicine is not administered by the parenteral, ophthalmic or intra</w:t>
            </w:r>
            <w:r w:rsidR="007C3215">
              <w:noBreakHyphen/>
            </w:r>
            <w:r w:rsidRPr="005E3B43">
              <w:t>tracheal route; and</w:t>
            </w:r>
          </w:p>
          <w:p w14:paraId="5564824D" w14:textId="77777777" w:rsidR="00AD3860" w:rsidRPr="005E3B43" w:rsidRDefault="00AD3860" w:rsidP="00763BCF">
            <w:pPr>
              <w:pStyle w:val="Tablea"/>
            </w:pPr>
            <w:r w:rsidRPr="005E3B43">
              <w:t>(b) the source of an excipient in the medicine is Category IC ruminant tissue;</w:t>
            </w:r>
          </w:p>
          <w:p w14:paraId="0BE7A070" w14:textId="77777777" w:rsidR="00AD3860" w:rsidRPr="005E3B43" w:rsidRDefault="00AD3860" w:rsidP="00763BCF">
            <w:pPr>
              <w:pStyle w:val="Tabletext"/>
            </w:pPr>
            <w:r w:rsidRPr="005E3B43">
              <w:t>any of the following:</w:t>
            </w:r>
          </w:p>
          <w:p w14:paraId="5002A1B5" w14:textId="428182AC" w:rsidR="00AD3860" w:rsidRPr="005E3B43" w:rsidRDefault="00AD3860" w:rsidP="00763BCF">
            <w:pPr>
              <w:pStyle w:val="Tablea"/>
            </w:pPr>
            <w:r w:rsidRPr="005E3B43">
              <w:t>(c) a change in the source of the excipient to a non</w:t>
            </w:r>
            <w:r w:rsidR="007C3215">
              <w:noBreakHyphen/>
            </w:r>
            <w:r w:rsidRPr="005E3B43">
              <w:t>animal source;</w:t>
            </w:r>
          </w:p>
          <w:p w14:paraId="10027F5D" w14:textId="77777777" w:rsidR="00AD3860" w:rsidRPr="005E3B43" w:rsidRDefault="00AD3860" w:rsidP="00763BCF">
            <w:pPr>
              <w:pStyle w:val="Tablea"/>
            </w:pPr>
            <w:r w:rsidRPr="005E3B43">
              <w:t>(d) a change in the manufacturing process of the excipient;</w:t>
            </w:r>
          </w:p>
          <w:p w14:paraId="4ADCC7C2" w14:textId="77777777" w:rsidR="00AD3860" w:rsidRPr="005E3B43" w:rsidRDefault="00AD3860" w:rsidP="00763BCF">
            <w:pPr>
              <w:pStyle w:val="Tablea"/>
            </w:pPr>
            <w:r w:rsidRPr="005E3B43">
              <w:t>(e) a change to the location of a manufacturing site</w:t>
            </w:r>
          </w:p>
        </w:tc>
        <w:tc>
          <w:tcPr>
            <w:tcW w:w="739" w:type="pct"/>
            <w:shd w:val="clear" w:color="auto" w:fill="auto"/>
          </w:tcPr>
          <w:p w14:paraId="12E8476E" w14:textId="77777777" w:rsidR="00AD3860" w:rsidRPr="005E3B43" w:rsidRDefault="00AD3860" w:rsidP="00763BCF">
            <w:pPr>
              <w:pStyle w:val="Tabletext"/>
              <w:rPr>
                <w:bCs/>
              </w:rPr>
            </w:pPr>
            <w:r w:rsidRPr="005E3B43">
              <w:rPr>
                <w:bCs/>
              </w:rPr>
              <w:t>EMRS</w:t>
            </w:r>
          </w:p>
        </w:tc>
      </w:tr>
      <w:tr w:rsidR="00AD3860" w:rsidRPr="005E3B43" w14:paraId="5EE6D7E0" w14:textId="77777777" w:rsidTr="005A786D">
        <w:tc>
          <w:tcPr>
            <w:tcW w:w="679" w:type="pct"/>
            <w:shd w:val="clear" w:color="auto" w:fill="auto"/>
          </w:tcPr>
          <w:p w14:paraId="1690B6F8" w14:textId="77777777" w:rsidR="00AD3860" w:rsidRPr="005E3B43" w:rsidRDefault="00AD3860" w:rsidP="00763BCF">
            <w:pPr>
              <w:pStyle w:val="Tabletext"/>
            </w:pPr>
            <w:r w:rsidRPr="005E3B43">
              <w:t>37</w:t>
            </w:r>
          </w:p>
        </w:tc>
        <w:tc>
          <w:tcPr>
            <w:tcW w:w="3582" w:type="pct"/>
            <w:shd w:val="clear" w:color="auto" w:fill="auto"/>
          </w:tcPr>
          <w:p w14:paraId="48C7F3C7" w14:textId="77777777" w:rsidR="00AD3860" w:rsidRPr="005E3B43" w:rsidRDefault="00AD3860" w:rsidP="00763BCF">
            <w:pPr>
              <w:pStyle w:val="Tabletext"/>
            </w:pPr>
            <w:r w:rsidRPr="005E3B43">
              <w:t>A change to a method used to assay an excipient in the medicine</w:t>
            </w:r>
          </w:p>
        </w:tc>
        <w:tc>
          <w:tcPr>
            <w:tcW w:w="739" w:type="pct"/>
            <w:shd w:val="clear" w:color="auto" w:fill="auto"/>
          </w:tcPr>
          <w:p w14:paraId="39DFEF29" w14:textId="77777777" w:rsidR="00AD3860" w:rsidRPr="005E3B43" w:rsidRDefault="00AD3860" w:rsidP="00763BCF">
            <w:pPr>
              <w:pStyle w:val="Tabletext"/>
              <w:rPr>
                <w:bCs/>
              </w:rPr>
            </w:pPr>
            <w:r w:rsidRPr="005E3B43">
              <w:rPr>
                <w:bCs/>
              </w:rPr>
              <w:t>ESAM</w:t>
            </w:r>
          </w:p>
        </w:tc>
      </w:tr>
      <w:tr w:rsidR="00AD3860" w:rsidRPr="005E3B43" w14:paraId="4E2D2970" w14:textId="77777777" w:rsidTr="005A786D">
        <w:tc>
          <w:tcPr>
            <w:tcW w:w="679" w:type="pct"/>
            <w:shd w:val="clear" w:color="auto" w:fill="auto"/>
          </w:tcPr>
          <w:p w14:paraId="58F4A05D" w14:textId="77777777" w:rsidR="00AD3860" w:rsidRPr="005E3B43" w:rsidRDefault="00AD3860" w:rsidP="00763BCF">
            <w:pPr>
              <w:pStyle w:val="Tabletext"/>
            </w:pPr>
            <w:r w:rsidRPr="005E3B43">
              <w:t>38</w:t>
            </w:r>
          </w:p>
        </w:tc>
        <w:tc>
          <w:tcPr>
            <w:tcW w:w="3582" w:type="pct"/>
            <w:shd w:val="clear" w:color="auto" w:fill="auto"/>
          </w:tcPr>
          <w:p w14:paraId="3BB8F085" w14:textId="77777777" w:rsidR="00AD3860" w:rsidRPr="005E3B43" w:rsidRDefault="00AD3860" w:rsidP="00763BCF">
            <w:pPr>
              <w:pStyle w:val="Tabletext"/>
            </w:pPr>
            <w:r w:rsidRPr="005E3B43">
              <w:t>A change to the specifications for an excipient in the medicine made for the purposes of ensuring that the specifications are consistent with a default standard that applies to the excipient if previously no default standard applied to the excipient</w:t>
            </w:r>
          </w:p>
        </w:tc>
        <w:tc>
          <w:tcPr>
            <w:tcW w:w="739" w:type="pct"/>
            <w:shd w:val="clear" w:color="auto" w:fill="auto"/>
          </w:tcPr>
          <w:p w14:paraId="40EFE4E6" w14:textId="77777777" w:rsidR="00AD3860" w:rsidRPr="005E3B43" w:rsidRDefault="00AD3860" w:rsidP="00763BCF">
            <w:pPr>
              <w:pStyle w:val="Tabletext"/>
              <w:rPr>
                <w:bCs/>
              </w:rPr>
            </w:pPr>
            <w:r w:rsidRPr="005E3B43">
              <w:rPr>
                <w:bCs/>
              </w:rPr>
              <w:t>ESIP</w:t>
            </w:r>
          </w:p>
        </w:tc>
      </w:tr>
      <w:tr w:rsidR="00AD3860" w:rsidRPr="005E3B43" w14:paraId="5A48E714" w14:textId="77777777" w:rsidTr="005A786D">
        <w:tc>
          <w:tcPr>
            <w:tcW w:w="679" w:type="pct"/>
            <w:shd w:val="clear" w:color="auto" w:fill="auto"/>
          </w:tcPr>
          <w:p w14:paraId="359B9E61" w14:textId="77777777" w:rsidR="00AD3860" w:rsidRPr="005E3B43" w:rsidRDefault="00AD3860" w:rsidP="00763BCF">
            <w:pPr>
              <w:pStyle w:val="Tabletext"/>
            </w:pPr>
            <w:r w:rsidRPr="005E3B43">
              <w:t>39</w:t>
            </w:r>
          </w:p>
        </w:tc>
        <w:tc>
          <w:tcPr>
            <w:tcW w:w="3582" w:type="pct"/>
            <w:shd w:val="clear" w:color="auto" w:fill="auto"/>
          </w:tcPr>
          <w:p w14:paraId="2E17D046" w14:textId="77777777" w:rsidR="00AD3860" w:rsidRPr="005E3B43" w:rsidRDefault="00AD3860" w:rsidP="00763BCF">
            <w:pPr>
              <w:pStyle w:val="Tabletext"/>
            </w:pPr>
            <w:r w:rsidRPr="005E3B43">
              <w:t>A change to the specifications for testing an excipient in the medicine if the change makes the limits applied to the test results more stringent</w:t>
            </w:r>
          </w:p>
        </w:tc>
        <w:tc>
          <w:tcPr>
            <w:tcW w:w="739" w:type="pct"/>
            <w:shd w:val="clear" w:color="auto" w:fill="auto"/>
          </w:tcPr>
          <w:p w14:paraId="629DC985" w14:textId="77777777" w:rsidR="00AD3860" w:rsidRPr="005E3B43" w:rsidRDefault="00AD3860" w:rsidP="00763BCF">
            <w:pPr>
              <w:pStyle w:val="Tabletext"/>
              <w:rPr>
                <w:bCs/>
              </w:rPr>
            </w:pPr>
            <w:r w:rsidRPr="005E3B43">
              <w:rPr>
                <w:bCs/>
              </w:rPr>
              <w:t>ESNL</w:t>
            </w:r>
          </w:p>
        </w:tc>
      </w:tr>
      <w:tr w:rsidR="00AD3860" w:rsidRPr="005E3B43" w14:paraId="0EB1FA08" w14:textId="77777777" w:rsidTr="005A786D">
        <w:tc>
          <w:tcPr>
            <w:tcW w:w="679" w:type="pct"/>
            <w:shd w:val="clear" w:color="auto" w:fill="auto"/>
          </w:tcPr>
          <w:p w14:paraId="39D5DC75" w14:textId="77777777" w:rsidR="00AD3860" w:rsidRPr="005E3B43" w:rsidRDefault="00AD3860" w:rsidP="00763BCF">
            <w:pPr>
              <w:pStyle w:val="Tabletext"/>
            </w:pPr>
            <w:r w:rsidRPr="005E3B43">
              <w:t>40</w:t>
            </w:r>
          </w:p>
        </w:tc>
        <w:tc>
          <w:tcPr>
            <w:tcW w:w="3582" w:type="pct"/>
            <w:shd w:val="clear" w:color="auto" w:fill="auto"/>
          </w:tcPr>
          <w:p w14:paraId="5C774773" w14:textId="77777777" w:rsidR="00AD3860" w:rsidRPr="005E3B43" w:rsidRDefault="00AD3860" w:rsidP="00763BCF">
            <w:pPr>
              <w:pStyle w:val="Tabletext"/>
            </w:pPr>
            <w:r w:rsidRPr="005E3B43">
              <w:t>A change, resulting from the introduction of a new test and its associated limits, to the specifications for an excipient in the medicine</w:t>
            </w:r>
          </w:p>
        </w:tc>
        <w:tc>
          <w:tcPr>
            <w:tcW w:w="739" w:type="pct"/>
            <w:shd w:val="clear" w:color="auto" w:fill="auto"/>
          </w:tcPr>
          <w:p w14:paraId="66FCE389" w14:textId="77777777" w:rsidR="00AD3860" w:rsidRPr="005E3B43" w:rsidRDefault="00AD3860" w:rsidP="00763BCF">
            <w:pPr>
              <w:pStyle w:val="Tabletext"/>
              <w:rPr>
                <w:bCs/>
              </w:rPr>
            </w:pPr>
            <w:r w:rsidRPr="005E3B43">
              <w:rPr>
                <w:bCs/>
              </w:rPr>
              <w:t>ESNT</w:t>
            </w:r>
          </w:p>
        </w:tc>
      </w:tr>
      <w:tr w:rsidR="00AD3860" w:rsidRPr="005E3B43" w14:paraId="3EEF8826" w14:textId="77777777" w:rsidTr="005A786D">
        <w:tc>
          <w:tcPr>
            <w:tcW w:w="679" w:type="pct"/>
            <w:shd w:val="clear" w:color="auto" w:fill="auto"/>
          </w:tcPr>
          <w:p w14:paraId="5CD1B0AA" w14:textId="77777777" w:rsidR="00AD3860" w:rsidRPr="005E3B43" w:rsidRDefault="00AD3860" w:rsidP="00763BCF">
            <w:pPr>
              <w:pStyle w:val="Tabletext"/>
            </w:pPr>
            <w:r w:rsidRPr="005E3B43">
              <w:t>41</w:t>
            </w:r>
          </w:p>
        </w:tc>
        <w:tc>
          <w:tcPr>
            <w:tcW w:w="3582" w:type="pct"/>
            <w:shd w:val="clear" w:color="auto" w:fill="auto"/>
          </w:tcPr>
          <w:p w14:paraId="73734697" w14:textId="77777777" w:rsidR="00AD3860" w:rsidRPr="005E3B43" w:rsidRDefault="00AD3860" w:rsidP="00763BCF">
            <w:pPr>
              <w:pStyle w:val="Tabletext"/>
            </w:pPr>
            <w:r w:rsidRPr="005E3B43">
              <w:t>A change to the specifications for an excipient in the medicine made for the purposes of ensuring that the specifications are consistent with:</w:t>
            </w:r>
          </w:p>
          <w:p w14:paraId="28681115" w14:textId="77777777" w:rsidR="00AD3860" w:rsidRPr="005E3B43" w:rsidRDefault="00AD3860" w:rsidP="00763BCF">
            <w:pPr>
              <w:pStyle w:val="Tablea"/>
            </w:pPr>
            <w:r w:rsidRPr="005E3B43">
              <w:t>(a) a default standard that applies to the medicine; or</w:t>
            </w:r>
          </w:p>
          <w:p w14:paraId="3B6420C8" w14:textId="4BFEA0AD" w:rsidR="00AD3860" w:rsidRPr="005E3B43" w:rsidRDefault="00AD3860" w:rsidP="00763BCF">
            <w:pPr>
              <w:pStyle w:val="Tablea"/>
            </w:pPr>
            <w:r w:rsidRPr="005E3B43">
              <w:t>(b) an order in force under sub</w:t>
            </w:r>
            <w:r w:rsidR="007C3215">
              <w:t>section 1</w:t>
            </w:r>
            <w:r w:rsidRPr="005E3B43">
              <w:t>0(1) of the Act that applies to the medicine</w:t>
            </w:r>
          </w:p>
        </w:tc>
        <w:tc>
          <w:tcPr>
            <w:tcW w:w="739" w:type="pct"/>
            <w:shd w:val="clear" w:color="auto" w:fill="auto"/>
          </w:tcPr>
          <w:p w14:paraId="0B4A5D72" w14:textId="77777777" w:rsidR="00AD3860" w:rsidRPr="005E3B43" w:rsidRDefault="00AD3860" w:rsidP="00763BCF">
            <w:pPr>
              <w:pStyle w:val="Tabletext"/>
              <w:rPr>
                <w:bCs/>
              </w:rPr>
            </w:pPr>
            <w:r w:rsidRPr="005E3B43">
              <w:rPr>
                <w:bCs/>
              </w:rPr>
              <w:t>ESPT</w:t>
            </w:r>
          </w:p>
        </w:tc>
      </w:tr>
      <w:tr w:rsidR="00AD3860" w:rsidRPr="005E3B43" w14:paraId="166FC806" w14:textId="77777777" w:rsidTr="005A786D">
        <w:tc>
          <w:tcPr>
            <w:tcW w:w="679" w:type="pct"/>
            <w:shd w:val="clear" w:color="auto" w:fill="auto"/>
          </w:tcPr>
          <w:p w14:paraId="0646FA51" w14:textId="77777777" w:rsidR="00AD3860" w:rsidRPr="005E3B43" w:rsidRDefault="00AD3860" w:rsidP="00763BCF">
            <w:pPr>
              <w:pStyle w:val="Tabletext"/>
            </w:pPr>
            <w:r w:rsidRPr="005E3B43">
              <w:t>42</w:t>
            </w:r>
          </w:p>
        </w:tc>
        <w:tc>
          <w:tcPr>
            <w:tcW w:w="3582" w:type="pct"/>
            <w:shd w:val="clear" w:color="auto" w:fill="auto"/>
          </w:tcPr>
          <w:p w14:paraId="6BFDA71A" w14:textId="77777777" w:rsidR="00AD3860" w:rsidRPr="005E3B43" w:rsidRDefault="00AD3860" w:rsidP="00763BCF">
            <w:pPr>
              <w:pStyle w:val="Tabletext"/>
            </w:pPr>
            <w:r w:rsidRPr="005E3B43">
              <w:t>A change to the outer packaging, or a component of a container, of the medicine if the packaging or component does not touch the dosage form of the medicine</w:t>
            </w:r>
          </w:p>
        </w:tc>
        <w:tc>
          <w:tcPr>
            <w:tcW w:w="739" w:type="pct"/>
            <w:shd w:val="clear" w:color="auto" w:fill="auto"/>
          </w:tcPr>
          <w:p w14:paraId="7D007AB1" w14:textId="77777777" w:rsidR="00AD3860" w:rsidRPr="005E3B43" w:rsidRDefault="00AD3860" w:rsidP="00763BCF">
            <w:pPr>
              <w:pStyle w:val="Tabletext"/>
              <w:rPr>
                <w:bCs/>
              </w:rPr>
            </w:pPr>
            <w:r w:rsidRPr="005E3B43">
              <w:rPr>
                <w:bCs/>
              </w:rPr>
              <w:t>CCCA</w:t>
            </w:r>
          </w:p>
        </w:tc>
      </w:tr>
      <w:tr w:rsidR="00AD3860" w:rsidRPr="005E3B43" w14:paraId="2B73320A" w14:textId="77777777" w:rsidTr="005A786D">
        <w:tc>
          <w:tcPr>
            <w:tcW w:w="679" w:type="pct"/>
            <w:shd w:val="clear" w:color="auto" w:fill="auto"/>
          </w:tcPr>
          <w:p w14:paraId="59593B0F" w14:textId="77777777" w:rsidR="00AD3860" w:rsidRPr="005E3B43" w:rsidRDefault="00AD3860" w:rsidP="00763BCF">
            <w:pPr>
              <w:pStyle w:val="Tabletext"/>
            </w:pPr>
            <w:r w:rsidRPr="005E3B43">
              <w:t>43</w:t>
            </w:r>
          </w:p>
        </w:tc>
        <w:tc>
          <w:tcPr>
            <w:tcW w:w="3582" w:type="pct"/>
            <w:shd w:val="clear" w:color="auto" w:fill="auto"/>
          </w:tcPr>
          <w:p w14:paraId="4F3BA715" w14:textId="08C959F6" w:rsidR="00AD3860" w:rsidRPr="005E3B43" w:rsidRDefault="00AD3860" w:rsidP="00763BCF">
            <w:pPr>
              <w:pStyle w:val="Tabletext"/>
            </w:pPr>
            <w:r w:rsidRPr="005E3B43">
              <w:t>A change to the size or shape of a container or closure system for the medicine if the medicine is non</w:t>
            </w:r>
            <w:r w:rsidR="007C3215">
              <w:noBreakHyphen/>
            </w:r>
            <w:r w:rsidRPr="005E3B43">
              <w:t>sterile</w:t>
            </w:r>
          </w:p>
        </w:tc>
        <w:tc>
          <w:tcPr>
            <w:tcW w:w="739" w:type="pct"/>
            <w:shd w:val="clear" w:color="auto" w:fill="auto"/>
          </w:tcPr>
          <w:p w14:paraId="3E85BB67" w14:textId="77777777" w:rsidR="00AD3860" w:rsidRPr="005E3B43" w:rsidRDefault="00AD3860" w:rsidP="00763BCF">
            <w:pPr>
              <w:pStyle w:val="Tabletext"/>
              <w:rPr>
                <w:bCs/>
              </w:rPr>
            </w:pPr>
            <w:r w:rsidRPr="005E3B43">
              <w:rPr>
                <w:bCs/>
              </w:rPr>
              <w:t>CCSS</w:t>
            </w:r>
          </w:p>
        </w:tc>
      </w:tr>
      <w:tr w:rsidR="00AD3860" w:rsidRPr="005E3B43" w14:paraId="3098DA9A" w14:textId="77777777" w:rsidTr="005A786D">
        <w:tc>
          <w:tcPr>
            <w:tcW w:w="679" w:type="pct"/>
            <w:shd w:val="clear" w:color="auto" w:fill="auto"/>
          </w:tcPr>
          <w:p w14:paraId="7D537861" w14:textId="77777777" w:rsidR="00AD3860" w:rsidRPr="005E3B43" w:rsidRDefault="00AD3860" w:rsidP="00763BCF">
            <w:pPr>
              <w:pStyle w:val="Tabletext"/>
            </w:pPr>
            <w:r w:rsidRPr="005E3B43">
              <w:t>44</w:t>
            </w:r>
          </w:p>
        </w:tc>
        <w:tc>
          <w:tcPr>
            <w:tcW w:w="3582" w:type="pct"/>
            <w:shd w:val="clear" w:color="auto" w:fill="auto"/>
          </w:tcPr>
          <w:p w14:paraId="063E1DC6" w14:textId="77777777" w:rsidR="00AD3860" w:rsidRPr="005E3B43" w:rsidRDefault="00AD3860" w:rsidP="00763BCF">
            <w:pPr>
              <w:pStyle w:val="Tabletext"/>
            </w:pPr>
            <w:r w:rsidRPr="005E3B43">
              <w:t>Any of the following changes to the specifications for a container or closure system for the medicine:</w:t>
            </w:r>
          </w:p>
          <w:p w14:paraId="1808E436" w14:textId="77777777" w:rsidR="00AD3860" w:rsidRPr="005E3B43" w:rsidRDefault="00AD3860" w:rsidP="00763BCF">
            <w:pPr>
              <w:pStyle w:val="Tablea"/>
            </w:pPr>
            <w:r w:rsidRPr="005E3B43">
              <w:t>(a) the inclusion of a new test;</w:t>
            </w:r>
          </w:p>
          <w:p w14:paraId="2827B6B2" w14:textId="77777777" w:rsidR="00AD3860" w:rsidRPr="005E3B43" w:rsidRDefault="00AD3860" w:rsidP="00763BCF">
            <w:pPr>
              <w:pStyle w:val="Tablea"/>
            </w:pPr>
            <w:r w:rsidRPr="005E3B43">
              <w:t>(b) making a limit more stringent;</w:t>
            </w:r>
          </w:p>
          <w:p w14:paraId="1698A4A8" w14:textId="77777777" w:rsidR="00AD3860" w:rsidRPr="005E3B43" w:rsidRDefault="00AD3860" w:rsidP="00763BCF">
            <w:pPr>
              <w:pStyle w:val="Tablea"/>
            </w:pPr>
            <w:r w:rsidRPr="005E3B43">
              <w:t>(c) the deletion of a test procedure;</w:t>
            </w:r>
          </w:p>
          <w:p w14:paraId="78F17A46" w14:textId="77777777" w:rsidR="00AD3860" w:rsidRPr="005E3B43" w:rsidRDefault="00AD3860" w:rsidP="00763BCF">
            <w:pPr>
              <w:pStyle w:val="Tablea"/>
            </w:pPr>
            <w:r w:rsidRPr="005E3B43">
              <w:t>(d) a minor change to a test method</w:t>
            </w:r>
          </w:p>
        </w:tc>
        <w:tc>
          <w:tcPr>
            <w:tcW w:w="739" w:type="pct"/>
            <w:shd w:val="clear" w:color="auto" w:fill="auto"/>
          </w:tcPr>
          <w:p w14:paraId="62ECC6F0" w14:textId="77777777" w:rsidR="00AD3860" w:rsidRPr="005E3B43" w:rsidRDefault="00AD3860" w:rsidP="00763BCF">
            <w:pPr>
              <w:pStyle w:val="Tabletext"/>
              <w:rPr>
                <w:bCs/>
              </w:rPr>
            </w:pPr>
            <w:r w:rsidRPr="005E3B43">
              <w:rPr>
                <w:bCs/>
              </w:rPr>
              <w:t>CCST</w:t>
            </w:r>
          </w:p>
        </w:tc>
      </w:tr>
      <w:tr w:rsidR="00AD3860" w:rsidRPr="005E3B43" w14:paraId="557C8C26" w14:textId="77777777" w:rsidTr="005A786D">
        <w:tc>
          <w:tcPr>
            <w:tcW w:w="679" w:type="pct"/>
            <w:shd w:val="clear" w:color="auto" w:fill="auto"/>
          </w:tcPr>
          <w:p w14:paraId="7307119F" w14:textId="77777777" w:rsidR="00AD3860" w:rsidRPr="005E3B43" w:rsidRDefault="00AD3860" w:rsidP="00763BCF">
            <w:pPr>
              <w:pStyle w:val="Tabletext"/>
            </w:pPr>
            <w:r w:rsidRPr="005E3B43">
              <w:t>45</w:t>
            </w:r>
          </w:p>
        </w:tc>
        <w:tc>
          <w:tcPr>
            <w:tcW w:w="3582" w:type="pct"/>
            <w:shd w:val="clear" w:color="auto" w:fill="auto"/>
          </w:tcPr>
          <w:p w14:paraId="713BEC22" w14:textId="4207ED8A" w:rsidR="00AD3860" w:rsidRPr="005E3B43" w:rsidRDefault="00AD3860" w:rsidP="00763BCF">
            <w:pPr>
              <w:pStyle w:val="Tabletext"/>
            </w:pPr>
            <w:r w:rsidRPr="005E3B43">
              <w:t>If the dosage form of the medicine is non</w:t>
            </w:r>
            <w:r w:rsidR="007C3215">
              <w:noBreakHyphen/>
            </w:r>
            <w:r w:rsidRPr="005E3B43">
              <w:t>sterile, and solid or semi</w:t>
            </w:r>
            <w:r w:rsidR="007C3215">
              <w:noBreakHyphen/>
            </w:r>
            <w:r w:rsidRPr="005E3B43">
              <w:t>solid, a decrease in the thickness of aluminium foil, or laminate material in laminated aluminium foil, used in blister packs, strip packs or sachets containing the medicine</w:t>
            </w:r>
          </w:p>
        </w:tc>
        <w:tc>
          <w:tcPr>
            <w:tcW w:w="739" w:type="pct"/>
            <w:shd w:val="clear" w:color="auto" w:fill="auto"/>
          </w:tcPr>
          <w:p w14:paraId="22DEB96F" w14:textId="77777777" w:rsidR="00AD3860" w:rsidRPr="005E3B43" w:rsidRDefault="00AD3860" w:rsidP="00763BCF">
            <w:pPr>
              <w:pStyle w:val="Tabletext"/>
              <w:rPr>
                <w:bCs/>
              </w:rPr>
            </w:pPr>
            <w:r w:rsidRPr="005E3B43">
              <w:rPr>
                <w:bCs/>
              </w:rPr>
              <w:t>CMDT</w:t>
            </w:r>
          </w:p>
        </w:tc>
      </w:tr>
      <w:tr w:rsidR="00AD3860" w:rsidRPr="005E3B43" w14:paraId="55B9A90B" w14:textId="77777777" w:rsidTr="0010109C">
        <w:trPr>
          <w:cantSplit/>
        </w:trPr>
        <w:tc>
          <w:tcPr>
            <w:tcW w:w="679" w:type="pct"/>
            <w:shd w:val="clear" w:color="auto" w:fill="auto"/>
          </w:tcPr>
          <w:p w14:paraId="261969D2" w14:textId="77777777" w:rsidR="00AD3860" w:rsidRPr="005E3B43" w:rsidRDefault="00AD3860" w:rsidP="00763BCF">
            <w:pPr>
              <w:pStyle w:val="Tabletext"/>
            </w:pPr>
            <w:r w:rsidRPr="005E3B43">
              <w:lastRenderedPageBreak/>
              <w:t>46</w:t>
            </w:r>
          </w:p>
        </w:tc>
        <w:tc>
          <w:tcPr>
            <w:tcW w:w="3582" w:type="pct"/>
            <w:shd w:val="clear" w:color="auto" w:fill="auto"/>
          </w:tcPr>
          <w:p w14:paraId="37FD52DD" w14:textId="77777777" w:rsidR="00AD3860" w:rsidRPr="005E3B43" w:rsidRDefault="00AD3860" w:rsidP="00763BCF">
            <w:pPr>
              <w:pStyle w:val="Tabletext"/>
            </w:pPr>
            <w:r w:rsidRPr="005E3B43">
              <w:t>An increase in the thickness of material used in a container or closure system for the medicine if the medicine has a dosage form that is:</w:t>
            </w:r>
          </w:p>
          <w:p w14:paraId="0C60BD42" w14:textId="744351A5" w:rsidR="00AD3860" w:rsidRPr="005E3B43" w:rsidRDefault="00AD3860" w:rsidP="00763BCF">
            <w:pPr>
              <w:pStyle w:val="Tablea"/>
            </w:pPr>
            <w:r w:rsidRPr="005E3B43">
              <w:t>(a) non</w:t>
            </w:r>
            <w:r w:rsidR="007C3215">
              <w:noBreakHyphen/>
            </w:r>
            <w:r w:rsidRPr="005E3B43">
              <w:t>sterile; and</w:t>
            </w:r>
          </w:p>
          <w:p w14:paraId="76493FB3" w14:textId="422CE4A4" w:rsidR="00AD3860" w:rsidRPr="005E3B43" w:rsidRDefault="00AD3860" w:rsidP="00763BCF">
            <w:pPr>
              <w:pStyle w:val="Tablea"/>
            </w:pPr>
            <w:r w:rsidRPr="005E3B43">
              <w:t>(b) solid, semi</w:t>
            </w:r>
            <w:r w:rsidR="007C3215">
              <w:noBreakHyphen/>
            </w:r>
            <w:r w:rsidRPr="005E3B43">
              <w:t>solid, semi</w:t>
            </w:r>
            <w:r w:rsidR="007C3215">
              <w:noBreakHyphen/>
            </w:r>
            <w:r w:rsidRPr="005E3B43">
              <w:t>liquid or liquid</w:t>
            </w:r>
          </w:p>
        </w:tc>
        <w:tc>
          <w:tcPr>
            <w:tcW w:w="739" w:type="pct"/>
            <w:shd w:val="clear" w:color="auto" w:fill="auto"/>
          </w:tcPr>
          <w:p w14:paraId="731DB51A" w14:textId="77777777" w:rsidR="00AD3860" w:rsidRPr="005E3B43" w:rsidRDefault="00AD3860" w:rsidP="00763BCF">
            <w:pPr>
              <w:pStyle w:val="Tabletext"/>
              <w:rPr>
                <w:bCs/>
              </w:rPr>
            </w:pPr>
            <w:r w:rsidRPr="005E3B43">
              <w:rPr>
                <w:bCs/>
              </w:rPr>
              <w:t>CMIT</w:t>
            </w:r>
          </w:p>
        </w:tc>
      </w:tr>
      <w:tr w:rsidR="00AD3860" w:rsidRPr="005E3B43" w14:paraId="5E19623B" w14:textId="77777777" w:rsidTr="005A786D">
        <w:tc>
          <w:tcPr>
            <w:tcW w:w="679" w:type="pct"/>
            <w:shd w:val="clear" w:color="auto" w:fill="auto"/>
          </w:tcPr>
          <w:p w14:paraId="4E96FBEA" w14:textId="77777777" w:rsidR="00AD3860" w:rsidRPr="005E3B43" w:rsidRDefault="00AD3860" w:rsidP="00763BCF">
            <w:pPr>
              <w:pStyle w:val="Tabletext"/>
            </w:pPr>
            <w:r w:rsidRPr="005E3B43">
              <w:t>47</w:t>
            </w:r>
          </w:p>
        </w:tc>
        <w:tc>
          <w:tcPr>
            <w:tcW w:w="3582" w:type="pct"/>
            <w:shd w:val="clear" w:color="auto" w:fill="auto"/>
          </w:tcPr>
          <w:p w14:paraId="114B0F96" w14:textId="3E9BD768" w:rsidR="00AD3860" w:rsidRPr="005E3B43" w:rsidRDefault="00AD3860" w:rsidP="00763BCF">
            <w:pPr>
              <w:pStyle w:val="Tabletext"/>
            </w:pPr>
            <w:r w:rsidRPr="005E3B43">
              <w:t>A change to a label for the medicine to include the name of an excipient in the medicine (whether or not the name is required to be included in the label under an order in force under sub</w:t>
            </w:r>
            <w:r w:rsidR="007C3215">
              <w:t>section 1</w:t>
            </w:r>
            <w:r w:rsidRPr="005E3B43">
              <w:t>0(1) of the Act that applies to the medicine)</w:t>
            </w:r>
          </w:p>
        </w:tc>
        <w:tc>
          <w:tcPr>
            <w:tcW w:w="739" w:type="pct"/>
            <w:shd w:val="clear" w:color="auto" w:fill="auto"/>
          </w:tcPr>
          <w:p w14:paraId="07A19D3A" w14:textId="77777777" w:rsidR="00AD3860" w:rsidRPr="005E3B43" w:rsidRDefault="00AD3860" w:rsidP="00763BCF">
            <w:pPr>
              <w:pStyle w:val="Tabletext"/>
            </w:pPr>
            <w:r w:rsidRPr="005E3B43">
              <w:t>LQAE</w:t>
            </w:r>
          </w:p>
        </w:tc>
      </w:tr>
      <w:tr w:rsidR="00AD3860" w:rsidRPr="005E3B43" w14:paraId="5CCB0946" w14:textId="77777777" w:rsidTr="005A786D">
        <w:trPr>
          <w:cantSplit/>
        </w:trPr>
        <w:tc>
          <w:tcPr>
            <w:tcW w:w="679" w:type="pct"/>
            <w:shd w:val="clear" w:color="auto" w:fill="auto"/>
          </w:tcPr>
          <w:p w14:paraId="0EDA5910" w14:textId="77777777" w:rsidR="00AD3860" w:rsidRPr="005E3B43" w:rsidRDefault="00AD3860" w:rsidP="00763BCF">
            <w:pPr>
              <w:pStyle w:val="Tabletext"/>
            </w:pPr>
            <w:r w:rsidRPr="005E3B43">
              <w:t>48</w:t>
            </w:r>
          </w:p>
        </w:tc>
        <w:tc>
          <w:tcPr>
            <w:tcW w:w="3582" w:type="pct"/>
            <w:shd w:val="clear" w:color="auto" w:fill="auto"/>
          </w:tcPr>
          <w:p w14:paraId="6997764E" w14:textId="77777777" w:rsidR="00AD3860" w:rsidRPr="005E3B43" w:rsidRDefault="00AD3860" w:rsidP="00763BCF">
            <w:pPr>
              <w:pStyle w:val="Tabletext"/>
            </w:pPr>
            <w:r w:rsidRPr="005E3B43">
              <w:t>A change to a label for the medicine that relates to how the proportion of the medicine that consists of its active ingredient is expressed if the dosage form of the medicine is topical preparation</w:t>
            </w:r>
          </w:p>
        </w:tc>
        <w:tc>
          <w:tcPr>
            <w:tcW w:w="739" w:type="pct"/>
            <w:shd w:val="clear" w:color="auto" w:fill="auto"/>
          </w:tcPr>
          <w:p w14:paraId="72A270B7" w14:textId="77777777" w:rsidR="00AD3860" w:rsidRPr="005E3B43" w:rsidRDefault="00AD3860" w:rsidP="00763BCF">
            <w:pPr>
              <w:pStyle w:val="Tabletext"/>
              <w:rPr>
                <w:bCs/>
              </w:rPr>
            </w:pPr>
            <w:r w:rsidRPr="005E3B43">
              <w:rPr>
                <w:bCs/>
              </w:rPr>
              <w:t>LQAT</w:t>
            </w:r>
          </w:p>
        </w:tc>
      </w:tr>
      <w:tr w:rsidR="00AD3860" w:rsidRPr="005E3B43" w14:paraId="3B5CFDBE" w14:textId="77777777" w:rsidTr="005A786D">
        <w:tc>
          <w:tcPr>
            <w:tcW w:w="679" w:type="pct"/>
            <w:shd w:val="clear" w:color="auto" w:fill="auto"/>
          </w:tcPr>
          <w:p w14:paraId="742FB8BD" w14:textId="77777777" w:rsidR="00AD3860" w:rsidRPr="005E3B43" w:rsidRDefault="00AD3860" w:rsidP="00763BCF">
            <w:pPr>
              <w:pStyle w:val="Tabletext"/>
            </w:pPr>
            <w:r w:rsidRPr="005E3B43">
              <w:t>49</w:t>
            </w:r>
          </w:p>
        </w:tc>
        <w:tc>
          <w:tcPr>
            <w:tcW w:w="3582" w:type="pct"/>
            <w:shd w:val="clear" w:color="auto" w:fill="auto"/>
          </w:tcPr>
          <w:p w14:paraId="65CF2398" w14:textId="3D62016E" w:rsidR="00AD3860" w:rsidRPr="005E3B43" w:rsidRDefault="00AD3860" w:rsidP="00763BCF">
            <w:pPr>
              <w:pStyle w:val="Tabletext"/>
            </w:pPr>
            <w:r w:rsidRPr="005E3B43">
              <w:t>A change to a label for the medicine to include the term “hypotonic”, “hypertonic” or “isotonic” if the medicine is a large</w:t>
            </w:r>
            <w:r w:rsidR="007C3215">
              <w:noBreakHyphen/>
            </w:r>
            <w:r w:rsidRPr="005E3B43">
              <w:t>volume injection</w:t>
            </w:r>
          </w:p>
        </w:tc>
        <w:tc>
          <w:tcPr>
            <w:tcW w:w="739" w:type="pct"/>
            <w:shd w:val="clear" w:color="auto" w:fill="auto"/>
          </w:tcPr>
          <w:p w14:paraId="56955EA7" w14:textId="77777777" w:rsidR="00AD3860" w:rsidRPr="005E3B43" w:rsidRDefault="00AD3860" w:rsidP="00763BCF">
            <w:pPr>
              <w:pStyle w:val="Tabletext"/>
              <w:rPr>
                <w:bCs/>
              </w:rPr>
            </w:pPr>
            <w:r w:rsidRPr="005E3B43">
              <w:rPr>
                <w:bCs/>
              </w:rPr>
              <w:t>LQHI</w:t>
            </w:r>
          </w:p>
        </w:tc>
      </w:tr>
      <w:tr w:rsidR="00AD3860" w:rsidRPr="005E3B43" w14:paraId="3EA27EA9" w14:textId="77777777" w:rsidTr="005A786D">
        <w:tc>
          <w:tcPr>
            <w:tcW w:w="679" w:type="pct"/>
            <w:shd w:val="clear" w:color="auto" w:fill="auto"/>
          </w:tcPr>
          <w:p w14:paraId="797F2A07" w14:textId="77777777" w:rsidR="00AD3860" w:rsidRPr="005E3B43" w:rsidRDefault="00AD3860" w:rsidP="00763BCF">
            <w:pPr>
              <w:pStyle w:val="Tabletext"/>
            </w:pPr>
            <w:r w:rsidRPr="005E3B43">
              <w:t>50</w:t>
            </w:r>
          </w:p>
        </w:tc>
        <w:tc>
          <w:tcPr>
            <w:tcW w:w="3582" w:type="pct"/>
            <w:shd w:val="clear" w:color="auto" w:fill="auto"/>
          </w:tcPr>
          <w:p w14:paraId="1E7C3DBD" w14:textId="77777777" w:rsidR="00AD3860" w:rsidRPr="005E3B43" w:rsidRDefault="00AD3860" w:rsidP="00763BCF">
            <w:pPr>
              <w:pStyle w:val="Tabletext"/>
            </w:pPr>
            <w:r w:rsidRPr="005E3B43">
              <w:t>A change to a label for the medicine to include the release rate of the medicine if the medicine is a transdermal patch</w:t>
            </w:r>
          </w:p>
        </w:tc>
        <w:tc>
          <w:tcPr>
            <w:tcW w:w="739" w:type="pct"/>
            <w:shd w:val="clear" w:color="auto" w:fill="auto"/>
          </w:tcPr>
          <w:p w14:paraId="1F59446B" w14:textId="77777777" w:rsidR="00AD3860" w:rsidRPr="005E3B43" w:rsidRDefault="00AD3860" w:rsidP="00763BCF">
            <w:pPr>
              <w:pStyle w:val="Tabletext"/>
              <w:rPr>
                <w:bCs/>
              </w:rPr>
            </w:pPr>
            <w:r w:rsidRPr="005E3B43">
              <w:rPr>
                <w:bCs/>
              </w:rPr>
              <w:t>LQRT</w:t>
            </w:r>
          </w:p>
        </w:tc>
      </w:tr>
      <w:tr w:rsidR="00AD3860" w:rsidRPr="005E3B43" w14:paraId="1FC685D7" w14:textId="77777777" w:rsidTr="005A786D">
        <w:tc>
          <w:tcPr>
            <w:tcW w:w="679" w:type="pct"/>
            <w:tcBorders>
              <w:bottom w:val="single" w:sz="2" w:space="0" w:color="auto"/>
            </w:tcBorders>
            <w:shd w:val="clear" w:color="auto" w:fill="auto"/>
          </w:tcPr>
          <w:p w14:paraId="7AE1DF4D" w14:textId="77777777" w:rsidR="00AD3860" w:rsidRPr="005E3B43" w:rsidRDefault="00AD3860" w:rsidP="00763BCF">
            <w:pPr>
              <w:pStyle w:val="Tabletext"/>
            </w:pPr>
            <w:r w:rsidRPr="005E3B43">
              <w:t>51</w:t>
            </w:r>
          </w:p>
        </w:tc>
        <w:tc>
          <w:tcPr>
            <w:tcW w:w="3582" w:type="pct"/>
            <w:tcBorders>
              <w:bottom w:val="single" w:sz="2" w:space="0" w:color="auto"/>
            </w:tcBorders>
            <w:shd w:val="clear" w:color="auto" w:fill="auto"/>
          </w:tcPr>
          <w:p w14:paraId="464078DF" w14:textId="77777777" w:rsidR="00AD3860" w:rsidRPr="005E3B43" w:rsidRDefault="00AD3860" w:rsidP="00763BCF">
            <w:pPr>
              <w:pStyle w:val="Tabletext"/>
            </w:pPr>
            <w:r w:rsidRPr="005E3B43">
              <w:t xml:space="preserve">A change to a </w:t>
            </w:r>
            <w:r w:rsidRPr="005E3B43">
              <w:rPr>
                <w:rFonts w:asciiTheme="majorHAnsi" w:hAnsiTheme="majorHAnsi"/>
              </w:rPr>
              <w:t xml:space="preserve">label for the medicine </w:t>
            </w:r>
            <w:r w:rsidRPr="005E3B43">
              <w:t>to include a warning or cautionary statement that administering the medicine by an incorrect route or method may be hazardous</w:t>
            </w:r>
          </w:p>
        </w:tc>
        <w:tc>
          <w:tcPr>
            <w:tcW w:w="739" w:type="pct"/>
            <w:tcBorders>
              <w:bottom w:val="single" w:sz="2" w:space="0" w:color="auto"/>
            </w:tcBorders>
            <w:shd w:val="clear" w:color="auto" w:fill="auto"/>
          </w:tcPr>
          <w:p w14:paraId="3269CC11" w14:textId="77777777" w:rsidR="00AD3860" w:rsidRPr="005E3B43" w:rsidRDefault="00AD3860" w:rsidP="00763BCF">
            <w:pPr>
              <w:pStyle w:val="Tabletext"/>
              <w:rPr>
                <w:bCs/>
              </w:rPr>
            </w:pPr>
            <w:r w:rsidRPr="005E3B43">
              <w:rPr>
                <w:bCs/>
              </w:rPr>
              <w:t>LWAH</w:t>
            </w:r>
          </w:p>
        </w:tc>
      </w:tr>
      <w:tr w:rsidR="00AD3860" w:rsidRPr="005E3B43" w14:paraId="510F4283" w14:textId="77777777" w:rsidTr="005A786D">
        <w:tc>
          <w:tcPr>
            <w:tcW w:w="679" w:type="pct"/>
            <w:tcBorders>
              <w:top w:val="single" w:sz="2" w:space="0" w:color="auto"/>
              <w:bottom w:val="single" w:sz="2" w:space="0" w:color="auto"/>
            </w:tcBorders>
            <w:shd w:val="clear" w:color="auto" w:fill="auto"/>
          </w:tcPr>
          <w:p w14:paraId="1E093E88" w14:textId="77777777" w:rsidR="00AD3860" w:rsidRPr="005E3B43" w:rsidRDefault="00AD3860" w:rsidP="00763BCF">
            <w:pPr>
              <w:pStyle w:val="Tabletext"/>
            </w:pPr>
            <w:r w:rsidRPr="005E3B43">
              <w:t>52</w:t>
            </w:r>
          </w:p>
        </w:tc>
        <w:tc>
          <w:tcPr>
            <w:tcW w:w="3582" w:type="pct"/>
            <w:tcBorders>
              <w:top w:val="single" w:sz="2" w:space="0" w:color="auto"/>
              <w:bottom w:val="single" w:sz="2" w:space="0" w:color="auto"/>
            </w:tcBorders>
            <w:shd w:val="clear" w:color="auto" w:fill="auto"/>
          </w:tcPr>
          <w:p w14:paraId="63B0AE70" w14:textId="77777777" w:rsidR="00AD3860" w:rsidRPr="005E3B43" w:rsidRDefault="00AD3860" w:rsidP="00763BCF">
            <w:pPr>
              <w:pStyle w:val="Tabletext"/>
            </w:pPr>
            <w:r w:rsidRPr="005E3B43">
              <w:t>A change to a label for the medicine to include a warning or cautionary statement if:</w:t>
            </w:r>
          </w:p>
          <w:p w14:paraId="0C20E006" w14:textId="77777777" w:rsidR="00AD3860" w:rsidRPr="005E3B43" w:rsidRDefault="00AD3860" w:rsidP="00763BCF">
            <w:pPr>
              <w:pStyle w:val="Tablea"/>
            </w:pPr>
            <w:r w:rsidRPr="005E3B43">
              <w:t>(a) the Secretary, under subsection</w:t>
            </w:r>
            <w:r w:rsidR="004E6D00" w:rsidRPr="005E3B43">
              <w:t> </w:t>
            </w:r>
            <w:r w:rsidRPr="005E3B43">
              <w:t>9D(2) of the Act, has varied the entry in the Register that relates to the medicine to add that warning or cautionary statement; and</w:t>
            </w:r>
          </w:p>
          <w:p w14:paraId="643EF7C8" w14:textId="77777777" w:rsidR="00AD3860" w:rsidRPr="005E3B43" w:rsidRDefault="00AD3860" w:rsidP="00763BCF">
            <w:pPr>
              <w:pStyle w:val="Tablea"/>
            </w:pPr>
            <w:r w:rsidRPr="005E3B43">
              <w:t>(b) the Secretary, under sub</w:t>
            </w:r>
            <w:r w:rsidR="00FB7FAA" w:rsidRPr="005E3B43">
              <w:t>section 2</w:t>
            </w:r>
            <w:r w:rsidRPr="005E3B43">
              <w:t>5AA(4) of the Act, has varied the product information that is approved in relation to the medicine under sub</w:t>
            </w:r>
            <w:r w:rsidR="00FB7FAA" w:rsidRPr="005E3B43">
              <w:t>section 2</w:t>
            </w:r>
            <w:r w:rsidRPr="005E3B43">
              <w:t>5AA(1) of the Act to add that warning or cautionary statement</w:t>
            </w:r>
          </w:p>
        </w:tc>
        <w:tc>
          <w:tcPr>
            <w:tcW w:w="739" w:type="pct"/>
            <w:tcBorders>
              <w:top w:val="single" w:sz="2" w:space="0" w:color="auto"/>
              <w:bottom w:val="single" w:sz="2" w:space="0" w:color="auto"/>
            </w:tcBorders>
            <w:shd w:val="clear" w:color="auto" w:fill="auto"/>
          </w:tcPr>
          <w:p w14:paraId="5EB496EF" w14:textId="77777777" w:rsidR="00AD3860" w:rsidRPr="005E3B43" w:rsidRDefault="00AD3860" w:rsidP="00763BCF">
            <w:pPr>
              <w:pStyle w:val="Tabletext"/>
              <w:rPr>
                <w:bCs/>
              </w:rPr>
            </w:pPr>
            <w:r w:rsidRPr="005E3B43">
              <w:rPr>
                <w:bCs/>
              </w:rPr>
              <w:t>LWSR</w:t>
            </w:r>
          </w:p>
        </w:tc>
      </w:tr>
      <w:tr w:rsidR="000A7E60" w:rsidRPr="005E3B43" w14:paraId="301325DE" w14:textId="77777777" w:rsidTr="005A786D">
        <w:tc>
          <w:tcPr>
            <w:tcW w:w="679" w:type="pct"/>
            <w:tcBorders>
              <w:top w:val="single" w:sz="2" w:space="0" w:color="auto"/>
              <w:bottom w:val="single" w:sz="2" w:space="0" w:color="auto"/>
            </w:tcBorders>
            <w:shd w:val="clear" w:color="auto" w:fill="auto"/>
          </w:tcPr>
          <w:p w14:paraId="517786D0" w14:textId="77777777" w:rsidR="000A7E60" w:rsidRPr="005E3B43" w:rsidRDefault="000A7E60" w:rsidP="00763BCF">
            <w:pPr>
              <w:pStyle w:val="Tabletext"/>
            </w:pPr>
            <w:r w:rsidRPr="005E3B43">
              <w:t>53</w:t>
            </w:r>
          </w:p>
        </w:tc>
        <w:tc>
          <w:tcPr>
            <w:tcW w:w="3582" w:type="pct"/>
            <w:tcBorders>
              <w:top w:val="single" w:sz="2" w:space="0" w:color="auto"/>
              <w:bottom w:val="single" w:sz="2" w:space="0" w:color="auto"/>
            </w:tcBorders>
            <w:shd w:val="clear" w:color="auto" w:fill="auto"/>
            <w:vAlign w:val="center"/>
          </w:tcPr>
          <w:p w14:paraId="717BB0A0" w14:textId="77777777" w:rsidR="000A7E60" w:rsidRPr="005E3B43" w:rsidRDefault="000A7E60" w:rsidP="00763BCF">
            <w:pPr>
              <w:pStyle w:val="Tabletext"/>
            </w:pPr>
            <w:r w:rsidRPr="005E3B43">
              <w:t>A change to a physicochemical test method used for testing an active pharmaceutical ingredient of the medicine</w:t>
            </w:r>
          </w:p>
        </w:tc>
        <w:tc>
          <w:tcPr>
            <w:tcW w:w="739" w:type="pct"/>
            <w:tcBorders>
              <w:top w:val="single" w:sz="2" w:space="0" w:color="auto"/>
              <w:bottom w:val="single" w:sz="2" w:space="0" w:color="auto"/>
            </w:tcBorders>
            <w:shd w:val="clear" w:color="auto" w:fill="auto"/>
          </w:tcPr>
          <w:p w14:paraId="3133ECE0" w14:textId="77777777" w:rsidR="000A7E60" w:rsidRPr="005E3B43" w:rsidRDefault="000A7E60" w:rsidP="00763BCF">
            <w:pPr>
              <w:pStyle w:val="Tabletext"/>
              <w:rPr>
                <w:bCs/>
              </w:rPr>
            </w:pPr>
            <w:r w:rsidRPr="005E3B43">
              <w:t>ASPC</w:t>
            </w:r>
          </w:p>
        </w:tc>
      </w:tr>
      <w:tr w:rsidR="000A7E60" w:rsidRPr="005E3B43" w14:paraId="67C68D99" w14:textId="77777777" w:rsidTr="005A786D">
        <w:tc>
          <w:tcPr>
            <w:tcW w:w="679" w:type="pct"/>
            <w:tcBorders>
              <w:top w:val="single" w:sz="2" w:space="0" w:color="auto"/>
              <w:bottom w:val="single" w:sz="2" w:space="0" w:color="auto"/>
            </w:tcBorders>
            <w:shd w:val="clear" w:color="auto" w:fill="auto"/>
          </w:tcPr>
          <w:p w14:paraId="69A07CFA" w14:textId="77777777" w:rsidR="000A7E60" w:rsidRPr="005E3B43" w:rsidRDefault="000A7E60" w:rsidP="00763BCF">
            <w:pPr>
              <w:pStyle w:val="Tabletext"/>
            </w:pPr>
            <w:r w:rsidRPr="005E3B43">
              <w:t>54</w:t>
            </w:r>
          </w:p>
        </w:tc>
        <w:tc>
          <w:tcPr>
            <w:tcW w:w="3582" w:type="pct"/>
            <w:tcBorders>
              <w:top w:val="single" w:sz="2" w:space="0" w:color="auto"/>
              <w:bottom w:val="single" w:sz="2" w:space="0" w:color="auto"/>
            </w:tcBorders>
            <w:shd w:val="clear" w:color="auto" w:fill="auto"/>
            <w:vAlign w:val="center"/>
          </w:tcPr>
          <w:p w14:paraId="4CE78006" w14:textId="77777777" w:rsidR="000A7E60" w:rsidRPr="005E3B43" w:rsidRDefault="000A7E60" w:rsidP="00763BCF">
            <w:pPr>
              <w:pStyle w:val="Tabletext"/>
            </w:pPr>
            <w:r w:rsidRPr="005E3B43">
              <w:t>A minor change to:</w:t>
            </w:r>
          </w:p>
          <w:p w14:paraId="68275406" w14:textId="77777777" w:rsidR="000A7E60" w:rsidRPr="005E3B43" w:rsidRDefault="000A7E60" w:rsidP="00763BCF">
            <w:pPr>
              <w:pStyle w:val="Tablea"/>
            </w:pPr>
            <w:r w:rsidRPr="005E3B43">
              <w:t>(a) the manufacture of an active pharmaceutical ingredient of the medicine; or</w:t>
            </w:r>
          </w:p>
          <w:p w14:paraId="47CF4EF5" w14:textId="77777777" w:rsidR="000A7E60" w:rsidRPr="005E3B43" w:rsidRDefault="000A7E60" w:rsidP="00763BCF">
            <w:pPr>
              <w:pStyle w:val="Tablea"/>
            </w:pPr>
            <w:r w:rsidRPr="005E3B43">
              <w:t>(b) a starting material for the synthesis of an active pharmaceutical ingredient of the medicine; or</w:t>
            </w:r>
          </w:p>
          <w:p w14:paraId="7714F29B" w14:textId="77777777" w:rsidR="000A7E60" w:rsidRPr="005E3B43" w:rsidRDefault="000A7E60" w:rsidP="00763BCF">
            <w:pPr>
              <w:pStyle w:val="Tablea"/>
            </w:pPr>
            <w:r w:rsidRPr="005E3B43">
              <w:t>(c) an intermediate of an active pharmaceutical ingredient of the medicine;</w:t>
            </w:r>
          </w:p>
          <w:p w14:paraId="79AC09D5" w14:textId="77777777" w:rsidR="000A7E60" w:rsidRPr="005E3B43" w:rsidRDefault="000A7E60" w:rsidP="00763BCF">
            <w:pPr>
              <w:pStyle w:val="Tabletext"/>
            </w:pPr>
            <w:r w:rsidRPr="005E3B43">
              <w:t>if the change does not affect any step taken to sterilise the ingredient or intermediate</w:t>
            </w:r>
          </w:p>
        </w:tc>
        <w:tc>
          <w:tcPr>
            <w:tcW w:w="739" w:type="pct"/>
            <w:tcBorders>
              <w:top w:val="single" w:sz="2" w:space="0" w:color="auto"/>
              <w:bottom w:val="single" w:sz="2" w:space="0" w:color="auto"/>
            </w:tcBorders>
            <w:shd w:val="clear" w:color="auto" w:fill="auto"/>
          </w:tcPr>
          <w:p w14:paraId="58023560" w14:textId="77777777" w:rsidR="000A7E60" w:rsidRPr="005E3B43" w:rsidRDefault="000A7E60" w:rsidP="00763BCF">
            <w:pPr>
              <w:pStyle w:val="Tabletext"/>
              <w:rPr>
                <w:bCs/>
              </w:rPr>
            </w:pPr>
            <w:r w:rsidRPr="005E3B43">
              <w:t>AMMC</w:t>
            </w:r>
          </w:p>
        </w:tc>
      </w:tr>
      <w:tr w:rsidR="000A7E60" w:rsidRPr="005E3B43" w14:paraId="259C2003" w14:textId="77777777" w:rsidTr="0010109C">
        <w:trPr>
          <w:cantSplit/>
        </w:trPr>
        <w:tc>
          <w:tcPr>
            <w:tcW w:w="679" w:type="pct"/>
            <w:tcBorders>
              <w:top w:val="single" w:sz="2" w:space="0" w:color="auto"/>
              <w:bottom w:val="single" w:sz="2" w:space="0" w:color="auto"/>
            </w:tcBorders>
            <w:shd w:val="clear" w:color="auto" w:fill="auto"/>
          </w:tcPr>
          <w:p w14:paraId="47330BBC" w14:textId="77777777" w:rsidR="000A7E60" w:rsidRPr="005E3B43" w:rsidRDefault="000A7E60" w:rsidP="00763BCF">
            <w:pPr>
              <w:pStyle w:val="Tabletext"/>
            </w:pPr>
            <w:r w:rsidRPr="005E3B43">
              <w:lastRenderedPageBreak/>
              <w:t>55</w:t>
            </w:r>
          </w:p>
        </w:tc>
        <w:tc>
          <w:tcPr>
            <w:tcW w:w="3582" w:type="pct"/>
            <w:tcBorders>
              <w:top w:val="single" w:sz="2" w:space="0" w:color="auto"/>
              <w:bottom w:val="single" w:sz="2" w:space="0" w:color="auto"/>
            </w:tcBorders>
            <w:shd w:val="clear" w:color="auto" w:fill="auto"/>
            <w:vAlign w:val="center"/>
          </w:tcPr>
          <w:p w14:paraId="0C560D62" w14:textId="77777777" w:rsidR="000A7E60" w:rsidRPr="005E3B43" w:rsidRDefault="000A7E60" w:rsidP="00763BCF">
            <w:pPr>
              <w:pStyle w:val="Tabletext"/>
            </w:pPr>
            <w:r w:rsidRPr="005E3B43">
              <w:t>A change to a label for the medicine that deletes text from side or rear panels if:</w:t>
            </w:r>
          </w:p>
          <w:p w14:paraId="5C4C1329" w14:textId="77777777" w:rsidR="000A7E60" w:rsidRPr="005E3B43" w:rsidRDefault="000A7E60" w:rsidP="00763BCF">
            <w:pPr>
              <w:pStyle w:val="Tablea"/>
            </w:pPr>
            <w:r w:rsidRPr="005E3B43">
              <w:t>(a) the text is present elsewhere on the label for the medicine; and</w:t>
            </w:r>
          </w:p>
          <w:p w14:paraId="6D87EC53" w14:textId="4A9FAEBB" w:rsidR="000A7E60" w:rsidRPr="005E3B43" w:rsidRDefault="000A7E60" w:rsidP="00763BCF">
            <w:pPr>
              <w:pStyle w:val="Tablea"/>
            </w:pPr>
            <w:r w:rsidRPr="005E3B43">
              <w:t>(b) repetition of the information on the panel is not required by an order in force under sub</w:t>
            </w:r>
            <w:r w:rsidR="007C3215">
              <w:t>section 1</w:t>
            </w:r>
            <w:r w:rsidRPr="005E3B43">
              <w:t xml:space="preserve">0(1) of the Act, or a condition imposed by or under </w:t>
            </w:r>
            <w:r w:rsidR="00FB7FAA" w:rsidRPr="005E3B43">
              <w:t>section 2</w:t>
            </w:r>
            <w:r w:rsidRPr="005E3B43">
              <w:t>8 of the Act, that applies to the medicine</w:t>
            </w:r>
          </w:p>
        </w:tc>
        <w:tc>
          <w:tcPr>
            <w:tcW w:w="739" w:type="pct"/>
            <w:tcBorders>
              <w:top w:val="single" w:sz="2" w:space="0" w:color="auto"/>
              <w:bottom w:val="single" w:sz="2" w:space="0" w:color="auto"/>
            </w:tcBorders>
            <w:shd w:val="clear" w:color="auto" w:fill="auto"/>
          </w:tcPr>
          <w:p w14:paraId="12822397" w14:textId="77777777" w:rsidR="000A7E60" w:rsidRPr="005E3B43" w:rsidRDefault="000A7E60" w:rsidP="00763BCF">
            <w:pPr>
              <w:pStyle w:val="Tabletext"/>
              <w:rPr>
                <w:bCs/>
              </w:rPr>
            </w:pPr>
            <w:r w:rsidRPr="005E3B43">
              <w:t>LPDR</w:t>
            </w:r>
          </w:p>
        </w:tc>
      </w:tr>
      <w:tr w:rsidR="000A7E60" w:rsidRPr="005E3B43" w14:paraId="4FD3D3CE" w14:textId="77777777" w:rsidTr="005A786D">
        <w:tc>
          <w:tcPr>
            <w:tcW w:w="679" w:type="pct"/>
            <w:tcBorders>
              <w:top w:val="single" w:sz="2" w:space="0" w:color="auto"/>
              <w:bottom w:val="single" w:sz="2" w:space="0" w:color="auto"/>
            </w:tcBorders>
            <w:shd w:val="clear" w:color="auto" w:fill="auto"/>
          </w:tcPr>
          <w:p w14:paraId="7184E9DB" w14:textId="77777777" w:rsidR="000A7E60" w:rsidRPr="005E3B43" w:rsidRDefault="000A7E60" w:rsidP="00763BCF">
            <w:pPr>
              <w:pStyle w:val="Tabletext"/>
            </w:pPr>
            <w:r w:rsidRPr="005E3B43">
              <w:t>56</w:t>
            </w:r>
          </w:p>
        </w:tc>
        <w:tc>
          <w:tcPr>
            <w:tcW w:w="3582" w:type="pct"/>
            <w:tcBorders>
              <w:top w:val="single" w:sz="2" w:space="0" w:color="auto"/>
              <w:bottom w:val="single" w:sz="2" w:space="0" w:color="auto"/>
            </w:tcBorders>
            <w:shd w:val="clear" w:color="auto" w:fill="auto"/>
            <w:vAlign w:val="center"/>
          </w:tcPr>
          <w:p w14:paraId="130C5D70" w14:textId="77777777" w:rsidR="000A7E60" w:rsidRPr="005E3B43" w:rsidRDefault="000A7E60" w:rsidP="00763BCF">
            <w:pPr>
              <w:pStyle w:val="Tabletext"/>
            </w:pPr>
            <w:r w:rsidRPr="005E3B43">
              <w:t>A change to a label for the medicine to include, remove or amend the name or address of the Australian sponsor or distributor of the medicine</w:t>
            </w:r>
          </w:p>
        </w:tc>
        <w:tc>
          <w:tcPr>
            <w:tcW w:w="739" w:type="pct"/>
            <w:tcBorders>
              <w:top w:val="single" w:sz="2" w:space="0" w:color="auto"/>
              <w:bottom w:val="single" w:sz="2" w:space="0" w:color="auto"/>
            </w:tcBorders>
            <w:shd w:val="clear" w:color="auto" w:fill="auto"/>
          </w:tcPr>
          <w:p w14:paraId="5C69544C" w14:textId="77777777" w:rsidR="000A7E60" w:rsidRPr="005E3B43" w:rsidRDefault="000A7E60" w:rsidP="00763BCF">
            <w:pPr>
              <w:pStyle w:val="Tabletext"/>
              <w:rPr>
                <w:bCs/>
              </w:rPr>
            </w:pPr>
            <w:r w:rsidRPr="005E3B43">
              <w:t>LPCS</w:t>
            </w:r>
          </w:p>
        </w:tc>
      </w:tr>
      <w:tr w:rsidR="000A7E60" w:rsidRPr="005E3B43" w14:paraId="06D8A011" w14:textId="77777777" w:rsidTr="005A786D">
        <w:tc>
          <w:tcPr>
            <w:tcW w:w="679" w:type="pct"/>
            <w:tcBorders>
              <w:top w:val="single" w:sz="2" w:space="0" w:color="auto"/>
              <w:bottom w:val="single" w:sz="2" w:space="0" w:color="auto"/>
            </w:tcBorders>
            <w:shd w:val="clear" w:color="auto" w:fill="auto"/>
          </w:tcPr>
          <w:p w14:paraId="0C716AC5" w14:textId="77777777" w:rsidR="000A7E60" w:rsidRPr="005E3B43" w:rsidRDefault="000A7E60" w:rsidP="00763BCF">
            <w:pPr>
              <w:pStyle w:val="Tabletext"/>
            </w:pPr>
            <w:r w:rsidRPr="005E3B43">
              <w:t>57</w:t>
            </w:r>
          </w:p>
        </w:tc>
        <w:tc>
          <w:tcPr>
            <w:tcW w:w="3582" w:type="pct"/>
            <w:tcBorders>
              <w:top w:val="single" w:sz="2" w:space="0" w:color="auto"/>
              <w:bottom w:val="single" w:sz="2" w:space="0" w:color="auto"/>
            </w:tcBorders>
            <w:shd w:val="clear" w:color="auto" w:fill="auto"/>
            <w:vAlign w:val="center"/>
          </w:tcPr>
          <w:p w14:paraId="7619AE60" w14:textId="77777777" w:rsidR="000A7E60" w:rsidRPr="005E3B43" w:rsidRDefault="000A7E60" w:rsidP="00763BCF">
            <w:pPr>
              <w:pStyle w:val="Tabletext"/>
            </w:pPr>
            <w:r w:rsidRPr="005E3B43">
              <w:t>A change to a label for the medicine to include, remove or change the sponsor’s or distributor’s logo or livery</w:t>
            </w:r>
          </w:p>
        </w:tc>
        <w:tc>
          <w:tcPr>
            <w:tcW w:w="739" w:type="pct"/>
            <w:tcBorders>
              <w:top w:val="single" w:sz="2" w:space="0" w:color="auto"/>
              <w:bottom w:val="single" w:sz="2" w:space="0" w:color="auto"/>
            </w:tcBorders>
            <w:shd w:val="clear" w:color="auto" w:fill="auto"/>
          </w:tcPr>
          <w:p w14:paraId="52439C86" w14:textId="77777777" w:rsidR="000A7E60" w:rsidRPr="005E3B43" w:rsidRDefault="000A7E60" w:rsidP="00763BCF">
            <w:pPr>
              <w:pStyle w:val="Tabletext"/>
              <w:rPr>
                <w:bCs/>
              </w:rPr>
            </w:pPr>
            <w:r w:rsidRPr="005E3B43">
              <w:t>LPCL</w:t>
            </w:r>
          </w:p>
        </w:tc>
      </w:tr>
      <w:tr w:rsidR="000A7E60" w:rsidRPr="005E3B43" w14:paraId="52F43996" w14:textId="77777777" w:rsidTr="005A786D">
        <w:tc>
          <w:tcPr>
            <w:tcW w:w="679" w:type="pct"/>
            <w:tcBorders>
              <w:top w:val="single" w:sz="2" w:space="0" w:color="auto"/>
              <w:bottom w:val="single" w:sz="2" w:space="0" w:color="auto"/>
            </w:tcBorders>
            <w:shd w:val="clear" w:color="auto" w:fill="auto"/>
          </w:tcPr>
          <w:p w14:paraId="3F81686B" w14:textId="77777777" w:rsidR="000A7E60" w:rsidRPr="005E3B43" w:rsidRDefault="000A7E60" w:rsidP="00763BCF">
            <w:pPr>
              <w:pStyle w:val="Tabletext"/>
            </w:pPr>
            <w:r w:rsidRPr="005E3B43">
              <w:t>58</w:t>
            </w:r>
          </w:p>
        </w:tc>
        <w:tc>
          <w:tcPr>
            <w:tcW w:w="3582" w:type="pct"/>
            <w:tcBorders>
              <w:top w:val="single" w:sz="2" w:space="0" w:color="auto"/>
              <w:bottom w:val="single" w:sz="2" w:space="0" w:color="auto"/>
            </w:tcBorders>
            <w:shd w:val="clear" w:color="auto" w:fill="auto"/>
            <w:vAlign w:val="center"/>
          </w:tcPr>
          <w:p w14:paraId="628FAC35" w14:textId="77777777" w:rsidR="000A7E60" w:rsidRPr="005E3B43" w:rsidRDefault="000A7E60" w:rsidP="00763BCF">
            <w:pPr>
              <w:pStyle w:val="Tabletext"/>
            </w:pPr>
            <w:r w:rsidRPr="005E3B43">
              <w:t>A change to a label for the medicine to remove graphics, pictures or diagrams, and any associated text, other than a pictogram of the medicine or its dosage form</w:t>
            </w:r>
          </w:p>
        </w:tc>
        <w:tc>
          <w:tcPr>
            <w:tcW w:w="739" w:type="pct"/>
            <w:tcBorders>
              <w:top w:val="single" w:sz="2" w:space="0" w:color="auto"/>
              <w:bottom w:val="single" w:sz="2" w:space="0" w:color="auto"/>
            </w:tcBorders>
            <w:shd w:val="clear" w:color="auto" w:fill="auto"/>
          </w:tcPr>
          <w:p w14:paraId="3CCE5734" w14:textId="77777777" w:rsidR="000A7E60" w:rsidRPr="005E3B43" w:rsidRDefault="000A7E60" w:rsidP="00763BCF">
            <w:pPr>
              <w:pStyle w:val="Tabletext"/>
              <w:rPr>
                <w:bCs/>
              </w:rPr>
            </w:pPr>
            <w:r w:rsidRPr="005E3B43">
              <w:t>LPDG</w:t>
            </w:r>
          </w:p>
        </w:tc>
      </w:tr>
      <w:tr w:rsidR="000A7E60" w:rsidRPr="005E3B43" w14:paraId="5CBE76FA" w14:textId="77777777" w:rsidTr="005A786D">
        <w:tc>
          <w:tcPr>
            <w:tcW w:w="679" w:type="pct"/>
            <w:tcBorders>
              <w:top w:val="single" w:sz="2" w:space="0" w:color="auto"/>
              <w:bottom w:val="single" w:sz="2" w:space="0" w:color="auto"/>
            </w:tcBorders>
            <w:shd w:val="clear" w:color="auto" w:fill="auto"/>
          </w:tcPr>
          <w:p w14:paraId="7E520535" w14:textId="77777777" w:rsidR="000A7E60" w:rsidRPr="005E3B43" w:rsidRDefault="000A7E60" w:rsidP="00763BCF">
            <w:pPr>
              <w:pStyle w:val="Tabletext"/>
            </w:pPr>
            <w:r w:rsidRPr="005E3B43">
              <w:t>59</w:t>
            </w:r>
          </w:p>
        </w:tc>
        <w:tc>
          <w:tcPr>
            <w:tcW w:w="3582" w:type="pct"/>
            <w:tcBorders>
              <w:top w:val="single" w:sz="2" w:space="0" w:color="auto"/>
              <w:bottom w:val="single" w:sz="2" w:space="0" w:color="auto"/>
            </w:tcBorders>
            <w:shd w:val="clear" w:color="auto" w:fill="auto"/>
            <w:vAlign w:val="center"/>
          </w:tcPr>
          <w:p w14:paraId="2B9EBAAA" w14:textId="77777777" w:rsidR="000A7E60" w:rsidRPr="005E3B43" w:rsidRDefault="000A7E60" w:rsidP="00763BCF">
            <w:pPr>
              <w:pStyle w:val="Tabletext"/>
            </w:pPr>
            <w:r w:rsidRPr="005E3B43">
              <w:t>A change to a label for the medicine to include, remove or change a pictogram of the medicine or its dosage form</w:t>
            </w:r>
          </w:p>
        </w:tc>
        <w:tc>
          <w:tcPr>
            <w:tcW w:w="739" w:type="pct"/>
            <w:tcBorders>
              <w:top w:val="single" w:sz="2" w:space="0" w:color="auto"/>
              <w:bottom w:val="single" w:sz="2" w:space="0" w:color="auto"/>
            </w:tcBorders>
            <w:shd w:val="clear" w:color="auto" w:fill="auto"/>
          </w:tcPr>
          <w:p w14:paraId="036BE1B4" w14:textId="77777777" w:rsidR="000A7E60" w:rsidRPr="005E3B43" w:rsidRDefault="000A7E60" w:rsidP="00763BCF">
            <w:pPr>
              <w:pStyle w:val="Tabletext"/>
              <w:rPr>
                <w:bCs/>
              </w:rPr>
            </w:pPr>
            <w:r w:rsidRPr="005E3B43">
              <w:t>LPCP</w:t>
            </w:r>
          </w:p>
        </w:tc>
      </w:tr>
      <w:tr w:rsidR="000A7E60" w:rsidRPr="005E3B43" w14:paraId="6A3B83FE" w14:textId="77777777" w:rsidTr="005A786D">
        <w:tc>
          <w:tcPr>
            <w:tcW w:w="679" w:type="pct"/>
            <w:tcBorders>
              <w:top w:val="single" w:sz="2" w:space="0" w:color="auto"/>
              <w:bottom w:val="single" w:sz="2" w:space="0" w:color="auto"/>
            </w:tcBorders>
            <w:shd w:val="clear" w:color="auto" w:fill="auto"/>
          </w:tcPr>
          <w:p w14:paraId="11E744B1" w14:textId="77777777" w:rsidR="000A7E60" w:rsidRPr="005E3B43" w:rsidRDefault="000A7E60" w:rsidP="00763BCF">
            <w:pPr>
              <w:pStyle w:val="Tabletext"/>
            </w:pPr>
            <w:r w:rsidRPr="005E3B43">
              <w:t>60</w:t>
            </w:r>
          </w:p>
        </w:tc>
        <w:tc>
          <w:tcPr>
            <w:tcW w:w="3582" w:type="pct"/>
            <w:tcBorders>
              <w:top w:val="single" w:sz="2" w:space="0" w:color="auto"/>
              <w:bottom w:val="single" w:sz="2" w:space="0" w:color="auto"/>
            </w:tcBorders>
            <w:shd w:val="clear" w:color="auto" w:fill="auto"/>
            <w:vAlign w:val="center"/>
          </w:tcPr>
          <w:p w14:paraId="7042F50B" w14:textId="77777777" w:rsidR="000A7E60" w:rsidRPr="005E3B43" w:rsidRDefault="000A7E60" w:rsidP="00763BCF">
            <w:pPr>
              <w:pStyle w:val="Tabletext"/>
            </w:pPr>
            <w:r w:rsidRPr="005E3B43">
              <w:t>A change to a label for the medicine to include:</w:t>
            </w:r>
          </w:p>
          <w:p w14:paraId="53BF906B" w14:textId="77777777" w:rsidR="000A7E60" w:rsidRPr="005E3B43" w:rsidRDefault="000A7E60" w:rsidP="00763BCF">
            <w:pPr>
              <w:pStyle w:val="Tablea"/>
            </w:pPr>
            <w:r w:rsidRPr="005E3B43">
              <w:t>(a) simple instructions or information relating to the packaging of the medicine; or</w:t>
            </w:r>
          </w:p>
          <w:p w14:paraId="77144896" w14:textId="77777777" w:rsidR="000A7E60" w:rsidRPr="005E3B43" w:rsidRDefault="000A7E60" w:rsidP="00763BCF">
            <w:pPr>
              <w:pStyle w:val="Tablea"/>
            </w:pPr>
            <w:r w:rsidRPr="005E3B43">
              <w:t>(b) information describing a change in appearance of the dosage form</w:t>
            </w:r>
          </w:p>
        </w:tc>
        <w:tc>
          <w:tcPr>
            <w:tcW w:w="739" w:type="pct"/>
            <w:tcBorders>
              <w:top w:val="single" w:sz="2" w:space="0" w:color="auto"/>
              <w:bottom w:val="single" w:sz="2" w:space="0" w:color="auto"/>
            </w:tcBorders>
            <w:shd w:val="clear" w:color="auto" w:fill="auto"/>
          </w:tcPr>
          <w:p w14:paraId="60319C06" w14:textId="77777777" w:rsidR="000A7E60" w:rsidRPr="005E3B43" w:rsidRDefault="000A7E60" w:rsidP="00763BCF">
            <w:pPr>
              <w:pStyle w:val="Tabletext"/>
              <w:rPr>
                <w:bCs/>
              </w:rPr>
            </w:pPr>
            <w:r w:rsidRPr="005E3B43">
              <w:t>LPIA</w:t>
            </w:r>
          </w:p>
        </w:tc>
      </w:tr>
      <w:tr w:rsidR="000A7E60" w:rsidRPr="005E3B43" w14:paraId="077AB7DD" w14:textId="77777777" w:rsidTr="005A786D">
        <w:tc>
          <w:tcPr>
            <w:tcW w:w="679" w:type="pct"/>
            <w:tcBorders>
              <w:top w:val="single" w:sz="2" w:space="0" w:color="auto"/>
              <w:bottom w:val="single" w:sz="2" w:space="0" w:color="auto"/>
            </w:tcBorders>
            <w:shd w:val="clear" w:color="auto" w:fill="auto"/>
          </w:tcPr>
          <w:p w14:paraId="0843A41C" w14:textId="77777777" w:rsidR="000A7E60" w:rsidRPr="005E3B43" w:rsidRDefault="000A7E60" w:rsidP="00763BCF">
            <w:pPr>
              <w:pStyle w:val="Tabletext"/>
            </w:pPr>
            <w:r w:rsidRPr="005E3B43">
              <w:t>61</w:t>
            </w:r>
          </w:p>
        </w:tc>
        <w:tc>
          <w:tcPr>
            <w:tcW w:w="3582" w:type="pct"/>
            <w:tcBorders>
              <w:top w:val="single" w:sz="2" w:space="0" w:color="auto"/>
              <w:bottom w:val="single" w:sz="2" w:space="0" w:color="auto"/>
            </w:tcBorders>
            <w:shd w:val="clear" w:color="auto" w:fill="auto"/>
            <w:vAlign w:val="center"/>
          </w:tcPr>
          <w:p w14:paraId="25FB6AD0" w14:textId="77777777" w:rsidR="000A7E60" w:rsidRPr="005E3B43" w:rsidRDefault="000A7E60" w:rsidP="00763BCF">
            <w:pPr>
              <w:pStyle w:val="Tabletext"/>
            </w:pPr>
            <w:r w:rsidRPr="005E3B43">
              <w:t>A change to a label for the medicine to include or remove text written on the outer protective pouches, or the overwraps, of the container or primary pack of the medicine</w:t>
            </w:r>
          </w:p>
        </w:tc>
        <w:tc>
          <w:tcPr>
            <w:tcW w:w="739" w:type="pct"/>
            <w:tcBorders>
              <w:top w:val="single" w:sz="2" w:space="0" w:color="auto"/>
              <w:bottom w:val="single" w:sz="2" w:space="0" w:color="auto"/>
            </w:tcBorders>
            <w:shd w:val="clear" w:color="auto" w:fill="auto"/>
          </w:tcPr>
          <w:p w14:paraId="393D8095" w14:textId="77777777" w:rsidR="000A7E60" w:rsidRPr="005E3B43" w:rsidRDefault="000A7E60" w:rsidP="00763BCF">
            <w:pPr>
              <w:pStyle w:val="Tabletext"/>
              <w:rPr>
                <w:bCs/>
              </w:rPr>
            </w:pPr>
            <w:r w:rsidRPr="005E3B43">
              <w:t>LPOP</w:t>
            </w:r>
          </w:p>
        </w:tc>
      </w:tr>
      <w:tr w:rsidR="000A7E60" w:rsidRPr="005E3B43" w14:paraId="0CB29A02" w14:textId="77777777" w:rsidTr="005A786D">
        <w:tc>
          <w:tcPr>
            <w:tcW w:w="679" w:type="pct"/>
            <w:tcBorders>
              <w:top w:val="single" w:sz="2" w:space="0" w:color="auto"/>
              <w:bottom w:val="single" w:sz="2" w:space="0" w:color="auto"/>
            </w:tcBorders>
            <w:shd w:val="clear" w:color="auto" w:fill="auto"/>
          </w:tcPr>
          <w:p w14:paraId="09EC43B3" w14:textId="77777777" w:rsidR="000A7E60" w:rsidRPr="005E3B43" w:rsidRDefault="000A7E60" w:rsidP="00763BCF">
            <w:pPr>
              <w:pStyle w:val="Tabletext"/>
            </w:pPr>
            <w:r w:rsidRPr="005E3B43">
              <w:t>62</w:t>
            </w:r>
          </w:p>
        </w:tc>
        <w:tc>
          <w:tcPr>
            <w:tcW w:w="3582" w:type="pct"/>
            <w:tcBorders>
              <w:top w:val="single" w:sz="2" w:space="0" w:color="auto"/>
              <w:bottom w:val="single" w:sz="2" w:space="0" w:color="auto"/>
            </w:tcBorders>
            <w:shd w:val="clear" w:color="auto" w:fill="auto"/>
            <w:vAlign w:val="center"/>
          </w:tcPr>
          <w:p w14:paraId="47EDD629" w14:textId="77777777" w:rsidR="000A7E60" w:rsidRPr="005E3B43" w:rsidRDefault="000A7E60" w:rsidP="00763BCF">
            <w:pPr>
              <w:pStyle w:val="Tabletext"/>
            </w:pPr>
            <w:r w:rsidRPr="005E3B43">
              <w:t>A change to a label for the medicine as a consequence of:</w:t>
            </w:r>
          </w:p>
          <w:p w14:paraId="0A3DBC36" w14:textId="77777777" w:rsidR="000A7E60" w:rsidRPr="005E3B43" w:rsidRDefault="000A7E60" w:rsidP="00763BCF">
            <w:pPr>
              <w:pStyle w:val="Tablea"/>
            </w:pPr>
            <w:r w:rsidRPr="005E3B43">
              <w:t>(a) a variation, under subsection</w:t>
            </w:r>
            <w:r w:rsidR="004E6D00" w:rsidRPr="005E3B43">
              <w:t> </w:t>
            </w:r>
            <w:r w:rsidRPr="005E3B43">
              <w:t>9D(3) of the Act, of the entry in the Register that relates to the medicine; or</w:t>
            </w:r>
          </w:p>
          <w:p w14:paraId="7D6A2ADF" w14:textId="77777777" w:rsidR="000A7E60" w:rsidRPr="005E3B43" w:rsidRDefault="000A7E60" w:rsidP="00763BCF">
            <w:pPr>
              <w:pStyle w:val="Tablea"/>
            </w:pPr>
            <w:r w:rsidRPr="005E3B43">
              <w:t>(b) a condition imposed, under sub</w:t>
            </w:r>
            <w:r w:rsidR="00FB7FAA" w:rsidRPr="005E3B43">
              <w:t>section 2</w:t>
            </w:r>
            <w:r w:rsidRPr="005E3B43">
              <w:t>8(3) of the Act, on the listing or registration of the medicine</w:t>
            </w:r>
          </w:p>
        </w:tc>
        <w:tc>
          <w:tcPr>
            <w:tcW w:w="739" w:type="pct"/>
            <w:tcBorders>
              <w:top w:val="single" w:sz="2" w:space="0" w:color="auto"/>
              <w:bottom w:val="single" w:sz="2" w:space="0" w:color="auto"/>
            </w:tcBorders>
            <w:shd w:val="clear" w:color="auto" w:fill="auto"/>
          </w:tcPr>
          <w:p w14:paraId="6CFBA33F" w14:textId="77777777" w:rsidR="000A7E60" w:rsidRPr="005E3B43" w:rsidRDefault="000A7E60" w:rsidP="00763BCF">
            <w:pPr>
              <w:pStyle w:val="Tabletext"/>
              <w:rPr>
                <w:bCs/>
              </w:rPr>
            </w:pPr>
            <w:r w:rsidRPr="005E3B43">
              <w:t>LOCI</w:t>
            </w:r>
          </w:p>
        </w:tc>
      </w:tr>
      <w:tr w:rsidR="000A7E60" w:rsidRPr="005E3B43" w14:paraId="3B5EF14F" w14:textId="77777777" w:rsidTr="005A786D">
        <w:tc>
          <w:tcPr>
            <w:tcW w:w="679" w:type="pct"/>
            <w:tcBorders>
              <w:top w:val="single" w:sz="2" w:space="0" w:color="auto"/>
              <w:bottom w:val="single" w:sz="2" w:space="0" w:color="auto"/>
            </w:tcBorders>
            <w:shd w:val="clear" w:color="auto" w:fill="auto"/>
          </w:tcPr>
          <w:p w14:paraId="3ACAE46B" w14:textId="77777777" w:rsidR="000A7E60" w:rsidRPr="005E3B43" w:rsidRDefault="000A7E60" w:rsidP="00763BCF">
            <w:pPr>
              <w:pStyle w:val="Tabletext"/>
            </w:pPr>
            <w:r w:rsidRPr="005E3B43">
              <w:t>63</w:t>
            </w:r>
          </w:p>
        </w:tc>
        <w:tc>
          <w:tcPr>
            <w:tcW w:w="3582" w:type="pct"/>
            <w:tcBorders>
              <w:top w:val="single" w:sz="2" w:space="0" w:color="auto"/>
              <w:bottom w:val="single" w:sz="2" w:space="0" w:color="auto"/>
            </w:tcBorders>
            <w:shd w:val="clear" w:color="auto" w:fill="auto"/>
            <w:vAlign w:val="center"/>
          </w:tcPr>
          <w:p w14:paraId="14A99E5D" w14:textId="77777777" w:rsidR="000A7E60" w:rsidRPr="005E3B43" w:rsidRDefault="000A7E60" w:rsidP="00763BCF">
            <w:pPr>
              <w:pStyle w:val="Tabletext"/>
            </w:pPr>
            <w:r w:rsidRPr="005E3B43">
              <w:t>A change to a label for the medicine that removes phrases indicating novelty, such as “New formulation” or “New appearance”</w:t>
            </w:r>
          </w:p>
        </w:tc>
        <w:tc>
          <w:tcPr>
            <w:tcW w:w="739" w:type="pct"/>
            <w:tcBorders>
              <w:top w:val="single" w:sz="2" w:space="0" w:color="auto"/>
              <w:bottom w:val="single" w:sz="2" w:space="0" w:color="auto"/>
            </w:tcBorders>
            <w:shd w:val="clear" w:color="auto" w:fill="auto"/>
          </w:tcPr>
          <w:p w14:paraId="4A2CFFD2" w14:textId="77777777" w:rsidR="000A7E60" w:rsidRPr="005E3B43" w:rsidRDefault="000A7E60" w:rsidP="00763BCF">
            <w:pPr>
              <w:pStyle w:val="Tabletext"/>
              <w:rPr>
                <w:bCs/>
              </w:rPr>
            </w:pPr>
            <w:r w:rsidRPr="005E3B43">
              <w:t>LPRP</w:t>
            </w:r>
          </w:p>
        </w:tc>
      </w:tr>
      <w:tr w:rsidR="000A7E60" w:rsidRPr="005E3B43" w14:paraId="40468097" w14:textId="77777777" w:rsidTr="005A786D">
        <w:tc>
          <w:tcPr>
            <w:tcW w:w="679" w:type="pct"/>
            <w:tcBorders>
              <w:top w:val="single" w:sz="2" w:space="0" w:color="auto"/>
              <w:bottom w:val="single" w:sz="2" w:space="0" w:color="auto"/>
            </w:tcBorders>
            <w:shd w:val="clear" w:color="auto" w:fill="auto"/>
          </w:tcPr>
          <w:p w14:paraId="445C2B41" w14:textId="77777777" w:rsidR="000A7E60" w:rsidRPr="005E3B43" w:rsidRDefault="000A7E60" w:rsidP="00763BCF">
            <w:pPr>
              <w:pStyle w:val="Tabletext"/>
            </w:pPr>
            <w:r w:rsidRPr="005E3B43">
              <w:t>64</w:t>
            </w:r>
          </w:p>
        </w:tc>
        <w:tc>
          <w:tcPr>
            <w:tcW w:w="3582" w:type="pct"/>
            <w:tcBorders>
              <w:top w:val="single" w:sz="2" w:space="0" w:color="auto"/>
              <w:bottom w:val="single" w:sz="2" w:space="0" w:color="auto"/>
            </w:tcBorders>
            <w:shd w:val="clear" w:color="auto" w:fill="auto"/>
            <w:vAlign w:val="center"/>
          </w:tcPr>
          <w:p w14:paraId="1EF4485D" w14:textId="77777777" w:rsidR="000A7E60" w:rsidRPr="005E3B43" w:rsidRDefault="000A7E60" w:rsidP="00763BCF">
            <w:pPr>
              <w:pStyle w:val="Tabletext"/>
            </w:pPr>
            <w:r w:rsidRPr="005E3B43">
              <w:t>A change to a label for the medicine to include a QR code, if the link is:</w:t>
            </w:r>
          </w:p>
          <w:p w14:paraId="1C88D2E8" w14:textId="77777777" w:rsidR="000A7E60" w:rsidRPr="005E3B43" w:rsidRDefault="000A7E60" w:rsidP="00763BCF">
            <w:pPr>
              <w:pStyle w:val="Tablea"/>
            </w:pPr>
            <w:r w:rsidRPr="005E3B43">
              <w:t>(a) to a website owned by the person in relation to whom the medicine is included in the Register; and</w:t>
            </w:r>
          </w:p>
          <w:p w14:paraId="480FCDD2" w14:textId="18F0AD5E" w:rsidR="000A7E60" w:rsidRPr="005E3B43" w:rsidRDefault="000A7E60" w:rsidP="00763BCF">
            <w:pPr>
              <w:pStyle w:val="Tablea"/>
            </w:pPr>
            <w:r w:rsidRPr="005E3B43">
              <w:t>(b) to information that is non</w:t>
            </w:r>
            <w:r w:rsidR="007C3215">
              <w:noBreakHyphen/>
            </w:r>
            <w:r w:rsidRPr="005E3B43">
              <w:t>promotional</w:t>
            </w:r>
          </w:p>
        </w:tc>
        <w:tc>
          <w:tcPr>
            <w:tcW w:w="739" w:type="pct"/>
            <w:tcBorders>
              <w:top w:val="single" w:sz="2" w:space="0" w:color="auto"/>
              <w:bottom w:val="single" w:sz="2" w:space="0" w:color="auto"/>
            </w:tcBorders>
            <w:shd w:val="clear" w:color="auto" w:fill="auto"/>
          </w:tcPr>
          <w:p w14:paraId="2157CC54" w14:textId="77777777" w:rsidR="000A7E60" w:rsidRPr="005E3B43" w:rsidRDefault="000A7E60" w:rsidP="00763BCF">
            <w:pPr>
              <w:pStyle w:val="Tabletext"/>
              <w:rPr>
                <w:bCs/>
              </w:rPr>
            </w:pPr>
            <w:r w:rsidRPr="005E3B43">
              <w:t>LPQR</w:t>
            </w:r>
          </w:p>
        </w:tc>
      </w:tr>
      <w:tr w:rsidR="000A7E60" w:rsidRPr="005E3B43" w14:paraId="2CA16D0F" w14:textId="77777777" w:rsidTr="005A786D">
        <w:tc>
          <w:tcPr>
            <w:tcW w:w="679" w:type="pct"/>
            <w:tcBorders>
              <w:top w:val="single" w:sz="2" w:space="0" w:color="auto"/>
              <w:bottom w:val="single" w:sz="12" w:space="0" w:color="auto"/>
            </w:tcBorders>
            <w:shd w:val="clear" w:color="auto" w:fill="auto"/>
          </w:tcPr>
          <w:p w14:paraId="6BC00508" w14:textId="77777777" w:rsidR="000A7E60" w:rsidRPr="005E3B43" w:rsidRDefault="000A7E60" w:rsidP="00763BCF">
            <w:pPr>
              <w:pStyle w:val="Tabletext"/>
            </w:pPr>
            <w:r w:rsidRPr="005E3B43">
              <w:t>65</w:t>
            </w:r>
          </w:p>
        </w:tc>
        <w:tc>
          <w:tcPr>
            <w:tcW w:w="3582" w:type="pct"/>
            <w:tcBorders>
              <w:top w:val="single" w:sz="2" w:space="0" w:color="auto"/>
              <w:bottom w:val="single" w:sz="12" w:space="0" w:color="auto"/>
            </w:tcBorders>
            <w:shd w:val="clear" w:color="auto" w:fill="auto"/>
            <w:vAlign w:val="center"/>
          </w:tcPr>
          <w:p w14:paraId="408DFE7D" w14:textId="77777777" w:rsidR="000A7E60" w:rsidRPr="005E3B43" w:rsidRDefault="000A7E60" w:rsidP="00763BCF">
            <w:pPr>
              <w:pStyle w:val="Tabletext"/>
            </w:pPr>
            <w:r w:rsidRPr="005E3B43">
              <w:t>A change to a label for the medicine to include information about a patient support program</w:t>
            </w:r>
          </w:p>
        </w:tc>
        <w:tc>
          <w:tcPr>
            <w:tcW w:w="739" w:type="pct"/>
            <w:tcBorders>
              <w:top w:val="single" w:sz="2" w:space="0" w:color="auto"/>
              <w:bottom w:val="single" w:sz="12" w:space="0" w:color="auto"/>
            </w:tcBorders>
            <w:shd w:val="clear" w:color="auto" w:fill="auto"/>
          </w:tcPr>
          <w:p w14:paraId="2268E18C" w14:textId="77777777" w:rsidR="000A7E60" w:rsidRPr="005E3B43" w:rsidRDefault="000A7E60" w:rsidP="00763BCF">
            <w:pPr>
              <w:pStyle w:val="Tabletext"/>
              <w:rPr>
                <w:bCs/>
              </w:rPr>
            </w:pPr>
            <w:r w:rsidRPr="005E3B43">
              <w:t>LPPS</w:t>
            </w:r>
          </w:p>
        </w:tc>
      </w:tr>
    </w:tbl>
    <w:p w14:paraId="47E1B0F0" w14:textId="77777777" w:rsidR="00AD3860" w:rsidRPr="005E3B43" w:rsidRDefault="00AD3860" w:rsidP="00763BCF">
      <w:pPr>
        <w:pStyle w:val="ActHead5"/>
      </w:pPr>
      <w:bookmarkStart w:id="28" w:name="_Toc187135623"/>
      <w:r w:rsidRPr="005E3B43">
        <w:rPr>
          <w:rStyle w:val="CharSectno"/>
        </w:rPr>
        <w:t>10AAC</w:t>
      </w:r>
      <w:r w:rsidRPr="005E3B43">
        <w:t xml:space="preserve">  Variation of entries in Register—biological medicines</w:t>
      </w:r>
      <w:bookmarkEnd w:id="28"/>
    </w:p>
    <w:p w14:paraId="384DD4E2" w14:textId="77777777" w:rsidR="00AD3860" w:rsidRPr="005E3B43" w:rsidRDefault="00AD3860" w:rsidP="00763BCF">
      <w:pPr>
        <w:pStyle w:val="SubsectionHead"/>
      </w:pPr>
      <w:r w:rsidRPr="005E3B43">
        <w:t>Kinds of variations</w:t>
      </w:r>
    </w:p>
    <w:p w14:paraId="1CECB8F2" w14:textId="77777777" w:rsidR="00AD3860" w:rsidRPr="005E3B43" w:rsidRDefault="00AD3860" w:rsidP="00763BCF">
      <w:pPr>
        <w:pStyle w:val="subsection"/>
      </w:pPr>
      <w:r w:rsidRPr="005E3B43">
        <w:tab/>
        <w:t>(1)</w:t>
      </w:r>
      <w:r w:rsidRPr="005E3B43">
        <w:tab/>
        <w:t>For the purposes of paragraph</w:t>
      </w:r>
      <w:r w:rsidR="004E6D00" w:rsidRPr="005E3B43">
        <w:t> </w:t>
      </w:r>
      <w:r w:rsidRPr="005E3B43">
        <w:t>9D(2C)(b) of the Act, a variation of an entry in the Register that relates to a biological medicine and is listed in the table in subregulation (2) is specified.</w:t>
      </w:r>
    </w:p>
    <w:p w14:paraId="407FE365" w14:textId="77777777" w:rsidR="00AD3860" w:rsidRPr="005E3B43" w:rsidRDefault="00AD3860" w:rsidP="00763BCF">
      <w:pPr>
        <w:pStyle w:val="SubsectionHead"/>
      </w:pPr>
      <w:r w:rsidRPr="005E3B43">
        <w:lastRenderedPageBreak/>
        <w:t>Conditions</w:t>
      </w:r>
    </w:p>
    <w:p w14:paraId="05437E79" w14:textId="77777777" w:rsidR="00AD3860" w:rsidRPr="005E3B43" w:rsidRDefault="00AD3860" w:rsidP="00763BCF">
      <w:pPr>
        <w:pStyle w:val="subsection"/>
      </w:pPr>
      <w:r w:rsidRPr="005E3B43">
        <w:tab/>
        <w:t>(2)</w:t>
      </w:r>
      <w:r w:rsidRPr="005E3B43">
        <w:tab/>
        <w:t>For the purposes of paragraph</w:t>
      </w:r>
      <w:r w:rsidR="004E6D00" w:rsidRPr="005E3B43">
        <w:t> </w:t>
      </w:r>
      <w:r w:rsidRPr="005E3B43">
        <w:t>9D(2C)(c) of the Act, the following conditions are specified in relation to a variation of an entry in the Register that is listed in column 2 of an item in the following table:</w:t>
      </w:r>
    </w:p>
    <w:p w14:paraId="0957A733" w14:textId="77777777" w:rsidR="00AD3860" w:rsidRPr="005E3B43" w:rsidRDefault="00AD3860" w:rsidP="00763BCF">
      <w:pPr>
        <w:pStyle w:val="paragraph"/>
      </w:pPr>
      <w:r w:rsidRPr="005E3B43">
        <w:tab/>
        <w:t>(a)</w:t>
      </w:r>
      <w:r w:rsidRPr="005E3B43">
        <w:tab/>
        <w:t>the variation reflects a change that will be made to, or in relation to, the medicine;</w:t>
      </w:r>
    </w:p>
    <w:p w14:paraId="02B60EB2" w14:textId="77777777" w:rsidR="00AD3860" w:rsidRPr="005E3B43" w:rsidRDefault="00AD3860" w:rsidP="00763BCF">
      <w:pPr>
        <w:pStyle w:val="paragraph"/>
      </w:pPr>
      <w:r w:rsidRPr="005E3B43">
        <w:tab/>
        <w:t>(b)</w:t>
      </w:r>
      <w:r w:rsidRPr="005E3B43">
        <w:tab/>
        <w:t xml:space="preserve">the other conditions set out in </w:t>
      </w:r>
      <w:r w:rsidR="000A7E60" w:rsidRPr="005E3B43">
        <w:t>the TGA notifications process guidance document</w:t>
      </w:r>
      <w:r w:rsidRPr="005E3B43">
        <w:t xml:space="preserve"> in relation to the code listed in column 3 of the item are satisfied.</w:t>
      </w:r>
    </w:p>
    <w:p w14:paraId="1D5E7ADD" w14:textId="77777777" w:rsidR="00AD3860" w:rsidRPr="005E3B43" w:rsidRDefault="00AD3860" w:rsidP="00763BC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58"/>
        <w:gridCol w:w="6110"/>
        <w:gridCol w:w="1261"/>
      </w:tblGrid>
      <w:tr w:rsidR="00AD3860" w:rsidRPr="005E3B43" w14:paraId="1E680942" w14:textId="77777777" w:rsidTr="005A786D">
        <w:trPr>
          <w:tblHeader/>
        </w:trPr>
        <w:tc>
          <w:tcPr>
            <w:tcW w:w="5000" w:type="pct"/>
            <w:gridSpan w:val="3"/>
            <w:tcBorders>
              <w:top w:val="single" w:sz="12" w:space="0" w:color="auto"/>
              <w:bottom w:val="single" w:sz="6" w:space="0" w:color="auto"/>
            </w:tcBorders>
            <w:shd w:val="clear" w:color="auto" w:fill="auto"/>
          </w:tcPr>
          <w:p w14:paraId="4C9C2C9B" w14:textId="77777777" w:rsidR="00AD3860" w:rsidRPr="005E3B43" w:rsidRDefault="00AD3860" w:rsidP="00763BCF">
            <w:pPr>
              <w:pStyle w:val="TableHeading"/>
            </w:pPr>
            <w:r w:rsidRPr="005E3B43">
              <w:t>Kinds of variations—biological medicines</w:t>
            </w:r>
          </w:p>
        </w:tc>
      </w:tr>
      <w:tr w:rsidR="00AD3860" w:rsidRPr="005E3B43" w14:paraId="17BB61C7" w14:textId="77777777" w:rsidTr="005A786D">
        <w:trPr>
          <w:tblHeader/>
        </w:trPr>
        <w:tc>
          <w:tcPr>
            <w:tcW w:w="679" w:type="pct"/>
            <w:tcBorders>
              <w:top w:val="single" w:sz="6" w:space="0" w:color="auto"/>
              <w:bottom w:val="single" w:sz="6" w:space="0" w:color="auto"/>
            </w:tcBorders>
            <w:shd w:val="clear" w:color="auto" w:fill="auto"/>
          </w:tcPr>
          <w:p w14:paraId="1837DF61" w14:textId="77777777" w:rsidR="00AD3860" w:rsidRPr="005E3B43" w:rsidRDefault="00AD3860" w:rsidP="00763BCF">
            <w:pPr>
              <w:pStyle w:val="TableHeading"/>
            </w:pPr>
            <w:r w:rsidRPr="005E3B43">
              <w:t>Column 1</w:t>
            </w:r>
          </w:p>
        </w:tc>
        <w:tc>
          <w:tcPr>
            <w:tcW w:w="3582" w:type="pct"/>
            <w:tcBorders>
              <w:top w:val="single" w:sz="6" w:space="0" w:color="auto"/>
              <w:bottom w:val="single" w:sz="6" w:space="0" w:color="auto"/>
            </w:tcBorders>
            <w:shd w:val="clear" w:color="auto" w:fill="auto"/>
          </w:tcPr>
          <w:p w14:paraId="32813AC5" w14:textId="77777777" w:rsidR="00AD3860" w:rsidRPr="005E3B43" w:rsidRDefault="00AD3860" w:rsidP="00763BCF">
            <w:pPr>
              <w:pStyle w:val="TableHeading"/>
            </w:pPr>
            <w:r w:rsidRPr="005E3B43">
              <w:t>Column 2</w:t>
            </w:r>
          </w:p>
        </w:tc>
        <w:tc>
          <w:tcPr>
            <w:tcW w:w="739" w:type="pct"/>
            <w:tcBorders>
              <w:top w:val="single" w:sz="6" w:space="0" w:color="auto"/>
              <w:bottom w:val="single" w:sz="6" w:space="0" w:color="auto"/>
            </w:tcBorders>
            <w:shd w:val="clear" w:color="auto" w:fill="auto"/>
          </w:tcPr>
          <w:p w14:paraId="22B869B1" w14:textId="77777777" w:rsidR="00AD3860" w:rsidRPr="005E3B43" w:rsidRDefault="00AD3860" w:rsidP="00763BCF">
            <w:pPr>
              <w:pStyle w:val="TableHeading"/>
            </w:pPr>
            <w:r w:rsidRPr="005E3B43">
              <w:t>Column 3</w:t>
            </w:r>
          </w:p>
        </w:tc>
      </w:tr>
      <w:tr w:rsidR="00AD3860" w:rsidRPr="005E3B43" w14:paraId="50F066EC" w14:textId="77777777" w:rsidTr="005A786D">
        <w:trPr>
          <w:tblHeader/>
        </w:trPr>
        <w:tc>
          <w:tcPr>
            <w:tcW w:w="679" w:type="pct"/>
            <w:tcBorders>
              <w:top w:val="single" w:sz="6" w:space="0" w:color="auto"/>
              <w:bottom w:val="single" w:sz="12" w:space="0" w:color="auto"/>
            </w:tcBorders>
            <w:shd w:val="clear" w:color="auto" w:fill="auto"/>
          </w:tcPr>
          <w:p w14:paraId="0AA2C4CC" w14:textId="77777777" w:rsidR="00AD3860" w:rsidRPr="005E3B43" w:rsidRDefault="00AD3860" w:rsidP="00763BCF">
            <w:pPr>
              <w:pStyle w:val="TableHeading"/>
            </w:pPr>
            <w:r w:rsidRPr="005E3B43">
              <w:t>Item</w:t>
            </w:r>
          </w:p>
        </w:tc>
        <w:tc>
          <w:tcPr>
            <w:tcW w:w="3582" w:type="pct"/>
            <w:tcBorders>
              <w:top w:val="single" w:sz="6" w:space="0" w:color="auto"/>
              <w:bottom w:val="single" w:sz="12" w:space="0" w:color="auto"/>
            </w:tcBorders>
            <w:shd w:val="clear" w:color="auto" w:fill="auto"/>
          </w:tcPr>
          <w:p w14:paraId="21646DC0" w14:textId="77777777" w:rsidR="00AD3860" w:rsidRPr="005E3B43" w:rsidRDefault="00AD3860" w:rsidP="00763BCF">
            <w:pPr>
              <w:pStyle w:val="TableHeading"/>
            </w:pPr>
            <w:r w:rsidRPr="005E3B43">
              <w:t>Variation</w:t>
            </w:r>
          </w:p>
        </w:tc>
        <w:tc>
          <w:tcPr>
            <w:tcW w:w="739" w:type="pct"/>
            <w:tcBorders>
              <w:top w:val="single" w:sz="6" w:space="0" w:color="auto"/>
              <w:bottom w:val="single" w:sz="12" w:space="0" w:color="auto"/>
            </w:tcBorders>
            <w:shd w:val="clear" w:color="auto" w:fill="auto"/>
          </w:tcPr>
          <w:p w14:paraId="24D31599" w14:textId="77777777" w:rsidR="00AD3860" w:rsidRPr="005E3B43" w:rsidRDefault="00AD3860" w:rsidP="00763BCF">
            <w:pPr>
              <w:pStyle w:val="TableHeading"/>
            </w:pPr>
            <w:r w:rsidRPr="005E3B43">
              <w:t>Code</w:t>
            </w:r>
          </w:p>
        </w:tc>
      </w:tr>
      <w:tr w:rsidR="00AD3860" w:rsidRPr="005E3B43" w14:paraId="4D8C2F7D" w14:textId="77777777" w:rsidTr="005A786D">
        <w:tc>
          <w:tcPr>
            <w:tcW w:w="679" w:type="pct"/>
            <w:tcBorders>
              <w:top w:val="single" w:sz="12" w:space="0" w:color="auto"/>
            </w:tcBorders>
            <w:shd w:val="clear" w:color="auto" w:fill="auto"/>
          </w:tcPr>
          <w:p w14:paraId="31A94B7E" w14:textId="77777777" w:rsidR="00AD3860" w:rsidRPr="005E3B43" w:rsidRDefault="00AD3860" w:rsidP="00763BCF">
            <w:pPr>
              <w:pStyle w:val="Tabletext"/>
            </w:pPr>
            <w:r w:rsidRPr="005E3B43">
              <w:t>1</w:t>
            </w:r>
          </w:p>
        </w:tc>
        <w:tc>
          <w:tcPr>
            <w:tcW w:w="3582" w:type="pct"/>
            <w:tcBorders>
              <w:top w:val="single" w:sz="12" w:space="0" w:color="auto"/>
            </w:tcBorders>
            <w:shd w:val="clear" w:color="auto" w:fill="auto"/>
          </w:tcPr>
          <w:p w14:paraId="46C1FFDB" w14:textId="77777777" w:rsidR="00AD3860" w:rsidRPr="005E3B43" w:rsidRDefault="00AD3860" w:rsidP="00763BCF">
            <w:pPr>
              <w:pStyle w:val="Tabletext"/>
            </w:pPr>
            <w:r w:rsidRPr="005E3B43">
              <w:t>A change to the specifications for testing the medicine if the change makes the limits associated with the testing more stringent</w:t>
            </w:r>
          </w:p>
        </w:tc>
        <w:tc>
          <w:tcPr>
            <w:tcW w:w="739" w:type="pct"/>
            <w:tcBorders>
              <w:top w:val="single" w:sz="12" w:space="0" w:color="auto"/>
            </w:tcBorders>
            <w:shd w:val="clear" w:color="auto" w:fill="auto"/>
          </w:tcPr>
          <w:p w14:paraId="1B8161A8" w14:textId="77777777" w:rsidR="00AD3860" w:rsidRPr="005E3B43" w:rsidRDefault="00AD3860" w:rsidP="00763BCF">
            <w:pPr>
              <w:pStyle w:val="Tabletext"/>
            </w:pPr>
            <w:r w:rsidRPr="005E3B43">
              <w:t>PSNL</w:t>
            </w:r>
          </w:p>
        </w:tc>
      </w:tr>
      <w:tr w:rsidR="00AD3860" w:rsidRPr="005E3B43" w14:paraId="27A19C64" w14:textId="77777777" w:rsidTr="005A786D">
        <w:tc>
          <w:tcPr>
            <w:tcW w:w="679" w:type="pct"/>
            <w:shd w:val="clear" w:color="auto" w:fill="auto"/>
          </w:tcPr>
          <w:p w14:paraId="1606B6DD" w14:textId="77777777" w:rsidR="00AD3860" w:rsidRPr="005E3B43" w:rsidRDefault="00AD3860" w:rsidP="00763BCF">
            <w:pPr>
              <w:pStyle w:val="Tabletext"/>
            </w:pPr>
            <w:r w:rsidRPr="005E3B43">
              <w:t>2</w:t>
            </w:r>
          </w:p>
        </w:tc>
        <w:tc>
          <w:tcPr>
            <w:tcW w:w="3582" w:type="pct"/>
            <w:shd w:val="clear" w:color="auto" w:fill="auto"/>
          </w:tcPr>
          <w:p w14:paraId="1AA1F7B5" w14:textId="77777777" w:rsidR="00AD3860" w:rsidRPr="005E3B43" w:rsidRDefault="00AD3860" w:rsidP="00763BCF">
            <w:pPr>
              <w:pStyle w:val="Tabletext"/>
            </w:pPr>
            <w:r w:rsidRPr="005E3B43">
              <w:t>A change to the equipment used for quality control testing (including sterility, microbiological, chemical, physical and bacterial endotoxin or pyrogen testing) the medicine</w:t>
            </w:r>
          </w:p>
        </w:tc>
        <w:tc>
          <w:tcPr>
            <w:tcW w:w="739" w:type="pct"/>
            <w:shd w:val="clear" w:color="auto" w:fill="auto"/>
          </w:tcPr>
          <w:p w14:paraId="52A88FCD" w14:textId="77777777" w:rsidR="00AD3860" w:rsidRPr="005E3B43" w:rsidRDefault="00AD3860" w:rsidP="00763BCF">
            <w:pPr>
              <w:pStyle w:val="Tabletext"/>
            </w:pPr>
            <w:r w:rsidRPr="005E3B43">
              <w:t>PSQC</w:t>
            </w:r>
          </w:p>
        </w:tc>
      </w:tr>
      <w:tr w:rsidR="00AD3860" w:rsidRPr="005E3B43" w14:paraId="435B5288" w14:textId="77777777" w:rsidTr="005A786D">
        <w:tc>
          <w:tcPr>
            <w:tcW w:w="679" w:type="pct"/>
            <w:shd w:val="clear" w:color="auto" w:fill="auto"/>
          </w:tcPr>
          <w:p w14:paraId="7DF977E6" w14:textId="77777777" w:rsidR="00AD3860" w:rsidRPr="005E3B43" w:rsidRDefault="00AD3860" w:rsidP="00763BCF">
            <w:pPr>
              <w:pStyle w:val="Tabletext"/>
            </w:pPr>
            <w:r w:rsidRPr="005E3B43">
              <w:t>3</w:t>
            </w:r>
          </w:p>
        </w:tc>
        <w:tc>
          <w:tcPr>
            <w:tcW w:w="3582" w:type="pct"/>
            <w:shd w:val="clear" w:color="auto" w:fill="auto"/>
          </w:tcPr>
          <w:p w14:paraId="6679AF02" w14:textId="77777777" w:rsidR="00AD3860" w:rsidRPr="005E3B43" w:rsidRDefault="00AD3860" w:rsidP="00763BCF">
            <w:pPr>
              <w:pStyle w:val="Tabletext"/>
            </w:pPr>
            <w:r w:rsidRPr="005E3B43">
              <w:t>The release for supply of the medicine at an additional site</w:t>
            </w:r>
          </w:p>
        </w:tc>
        <w:tc>
          <w:tcPr>
            <w:tcW w:w="739" w:type="pct"/>
            <w:shd w:val="clear" w:color="auto" w:fill="auto"/>
          </w:tcPr>
          <w:p w14:paraId="653BD4B0" w14:textId="77777777" w:rsidR="00AD3860" w:rsidRPr="005E3B43" w:rsidRDefault="00AD3860" w:rsidP="00763BCF">
            <w:pPr>
              <w:pStyle w:val="Tabletext"/>
            </w:pPr>
            <w:r w:rsidRPr="005E3B43">
              <w:t>PMRS</w:t>
            </w:r>
          </w:p>
        </w:tc>
      </w:tr>
      <w:tr w:rsidR="00AD3860" w:rsidRPr="005E3B43" w14:paraId="4415D860" w14:textId="77777777" w:rsidTr="005A786D">
        <w:tc>
          <w:tcPr>
            <w:tcW w:w="679" w:type="pct"/>
            <w:shd w:val="clear" w:color="auto" w:fill="auto"/>
          </w:tcPr>
          <w:p w14:paraId="217A0925" w14:textId="77777777" w:rsidR="00AD3860" w:rsidRPr="005E3B43" w:rsidRDefault="00AD3860" w:rsidP="00763BCF">
            <w:pPr>
              <w:pStyle w:val="Tabletext"/>
            </w:pPr>
            <w:r w:rsidRPr="005E3B43">
              <w:t>4</w:t>
            </w:r>
          </w:p>
        </w:tc>
        <w:tc>
          <w:tcPr>
            <w:tcW w:w="3582" w:type="pct"/>
            <w:shd w:val="clear" w:color="auto" w:fill="auto"/>
          </w:tcPr>
          <w:p w14:paraId="61BD8CD5" w14:textId="77777777" w:rsidR="00AD3860" w:rsidRPr="005E3B43" w:rsidRDefault="00AD3860" w:rsidP="00763BCF">
            <w:pPr>
              <w:pStyle w:val="Tabletext"/>
            </w:pPr>
            <w:r w:rsidRPr="005E3B43">
              <w:t>A reduction in the column life of columns used in the purification process for the medicine</w:t>
            </w:r>
          </w:p>
        </w:tc>
        <w:tc>
          <w:tcPr>
            <w:tcW w:w="739" w:type="pct"/>
            <w:shd w:val="clear" w:color="auto" w:fill="auto"/>
          </w:tcPr>
          <w:p w14:paraId="3FD0B0A7" w14:textId="77777777" w:rsidR="00AD3860" w:rsidRPr="005E3B43" w:rsidRDefault="00AD3860" w:rsidP="00763BCF">
            <w:pPr>
              <w:pStyle w:val="Tabletext"/>
            </w:pPr>
            <w:r w:rsidRPr="005E3B43">
              <w:t>PPCR</w:t>
            </w:r>
          </w:p>
        </w:tc>
      </w:tr>
      <w:tr w:rsidR="00AD3860" w:rsidRPr="005E3B43" w14:paraId="36402C93" w14:textId="77777777" w:rsidTr="005A786D">
        <w:tc>
          <w:tcPr>
            <w:tcW w:w="679" w:type="pct"/>
            <w:shd w:val="clear" w:color="auto" w:fill="auto"/>
          </w:tcPr>
          <w:p w14:paraId="151AAF52" w14:textId="77777777" w:rsidR="00AD3860" w:rsidRPr="005E3B43" w:rsidRDefault="00AD3860" w:rsidP="00763BCF">
            <w:pPr>
              <w:pStyle w:val="Tabletext"/>
            </w:pPr>
            <w:r w:rsidRPr="005E3B43">
              <w:t>5</w:t>
            </w:r>
          </w:p>
        </w:tc>
        <w:tc>
          <w:tcPr>
            <w:tcW w:w="3582" w:type="pct"/>
            <w:shd w:val="clear" w:color="auto" w:fill="auto"/>
          </w:tcPr>
          <w:p w14:paraId="3BC4AB77" w14:textId="450AA9EF" w:rsidR="00AD3860" w:rsidRPr="005E3B43" w:rsidRDefault="00AD3860" w:rsidP="00763BCF">
            <w:pPr>
              <w:pStyle w:val="Tabletext"/>
            </w:pPr>
            <w:r w:rsidRPr="005E3B43">
              <w:t>A reduction in the holding time for a drug substance of the medicine, or an intermediate created during the manufacture of such a drug substance, if the medicine is not plasma</w:t>
            </w:r>
            <w:r w:rsidR="007C3215">
              <w:noBreakHyphen/>
            </w:r>
            <w:r w:rsidRPr="005E3B43">
              <w:t>derived</w:t>
            </w:r>
          </w:p>
        </w:tc>
        <w:tc>
          <w:tcPr>
            <w:tcW w:w="739" w:type="pct"/>
            <w:shd w:val="clear" w:color="auto" w:fill="auto"/>
          </w:tcPr>
          <w:p w14:paraId="02F2C36F" w14:textId="77777777" w:rsidR="00AD3860" w:rsidRPr="005E3B43" w:rsidRDefault="00AD3860" w:rsidP="00763BCF">
            <w:pPr>
              <w:pStyle w:val="Tabletext"/>
            </w:pPr>
            <w:r w:rsidRPr="005E3B43">
              <w:t>PPHR</w:t>
            </w:r>
          </w:p>
        </w:tc>
      </w:tr>
      <w:tr w:rsidR="00AD3860" w:rsidRPr="005E3B43" w14:paraId="1F6DD364" w14:textId="77777777" w:rsidTr="005A786D">
        <w:tc>
          <w:tcPr>
            <w:tcW w:w="679" w:type="pct"/>
            <w:shd w:val="clear" w:color="auto" w:fill="auto"/>
          </w:tcPr>
          <w:p w14:paraId="56FAE689" w14:textId="77777777" w:rsidR="00AD3860" w:rsidRPr="005E3B43" w:rsidRDefault="00AD3860" w:rsidP="00763BCF">
            <w:pPr>
              <w:pStyle w:val="Tabletext"/>
            </w:pPr>
            <w:r w:rsidRPr="005E3B43">
              <w:t>6</w:t>
            </w:r>
          </w:p>
        </w:tc>
        <w:tc>
          <w:tcPr>
            <w:tcW w:w="3582" w:type="pct"/>
            <w:shd w:val="clear" w:color="auto" w:fill="auto"/>
          </w:tcPr>
          <w:p w14:paraId="726AEC29" w14:textId="77777777" w:rsidR="00AD3860" w:rsidRPr="005E3B43" w:rsidRDefault="00AD3860" w:rsidP="00763BCF">
            <w:pPr>
              <w:pStyle w:val="Tabletext"/>
            </w:pPr>
            <w:r w:rsidRPr="005E3B43">
              <w:t>A change to the manufacturer of a filter used in a fermentation process for the medicine</w:t>
            </w:r>
          </w:p>
        </w:tc>
        <w:tc>
          <w:tcPr>
            <w:tcW w:w="739" w:type="pct"/>
            <w:shd w:val="clear" w:color="auto" w:fill="auto"/>
          </w:tcPr>
          <w:p w14:paraId="0AF2CB4C" w14:textId="77777777" w:rsidR="00AD3860" w:rsidRPr="005E3B43" w:rsidRDefault="00AD3860" w:rsidP="00763BCF">
            <w:pPr>
              <w:pStyle w:val="Tabletext"/>
            </w:pPr>
            <w:r w:rsidRPr="005E3B43">
              <w:t>FPFM</w:t>
            </w:r>
          </w:p>
        </w:tc>
      </w:tr>
      <w:tr w:rsidR="00AD3860" w:rsidRPr="005E3B43" w14:paraId="6944A75F" w14:textId="77777777" w:rsidTr="005A786D">
        <w:tc>
          <w:tcPr>
            <w:tcW w:w="679" w:type="pct"/>
            <w:shd w:val="clear" w:color="auto" w:fill="auto"/>
          </w:tcPr>
          <w:p w14:paraId="53536052" w14:textId="77777777" w:rsidR="00AD3860" w:rsidRPr="005E3B43" w:rsidRDefault="00AD3860" w:rsidP="00763BCF">
            <w:pPr>
              <w:pStyle w:val="Tabletext"/>
            </w:pPr>
            <w:r w:rsidRPr="005E3B43">
              <w:t>7</w:t>
            </w:r>
          </w:p>
        </w:tc>
        <w:tc>
          <w:tcPr>
            <w:tcW w:w="3582" w:type="pct"/>
            <w:shd w:val="clear" w:color="auto" w:fill="auto"/>
          </w:tcPr>
          <w:p w14:paraId="40A2FE15" w14:textId="77777777" w:rsidR="00AD3860" w:rsidRPr="005E3B43" w:rsidRDefault="00AD3860" w:rsidP="00763BCF">
            <w:pPr>
              <w:pStyle w:val="Tabletext"/>
            </w:pPr>
            <w:r w:rsidRPr="005E3B43">
              <w:t>The introduction of more stringent internal controls on a fermentation process for the medicine</w:t>
            </w:r>
          </w:p>
        </w:tc>
        <w:tc>
          <w:tcPr>
            <w:tcW w:w="739" w:type="pct"/>
            <w:shd w:val="clear" w:color="auto" w:fill="auto"/>
          </w:tcPr>
          <w:p w14:paraId="47FA52BB" w14:textId="77777777" w:rsidR="00AD3860" w:rsidRPr="005E3B43" w:rsidRDefault="00AD3860" w:rsidP="00763BCF">
            <w:pPr>
              <w:pStyle w:val="Tabletext"/>
            </w:pPr>
            <w:r w:rsidRPr="005E3B43">
              <w:t>FPNC</w:t>
            </w:r>
          </w:p>
        </w:tc>
      </w:tr>
      <w:tr w:rsidR="00AD3860" w:rsidRPr="005E3B43" w14:paraId="0956A78B" w14:textId="77777777" w:rsidTr="005A786D">
        <w:tc>
          <w:tcPr>
            <w:tcW w:w="679" w:type="pct"/>
            <w:shd w:val="clear" w:color="auto" w:fill="auto"/>
          </w:tcPr>
          <w:p w14:paraId="09D5E6BE" w14:textId="77777777" w:rsidR="00AD3860" w:rsidRPr="005E3B43" w:rsidRDefault="00AD3860" w:rsidP="00763BCF">
            <w:pPr>
              <w:pStyle w:val="Tabletext"/>
            </w:pPr>
            <w:r w:rsidRPr="005E3B43">
              <w:t>8</w:t>
            </w:r>
          </w:p>
        </w:tc>
        <w:tc>
          <w:tcPr>
            <w:tcW w:w="3582" w:type="pct"/>
            <w:shd w:val="clear" w:color="auto" w:fill="auto"/>
          </w:tcPr>
          <w:p w14:paraId="6E01CAD5" w14:textId="77777777" w:rsidR="00AD3860" w:rsidRPr="005E3B43" w:rsidRDefault="00AD3860" w:rsidP="00763BCF">
            <w:pPr>
              <w:pStyle w:val="Tabletext"/>
            </w:pPr>
            <w:r w:rsidRPr="005E3B43">
              <w:t>A reduction in the time required to culture and harvest the cell line for the medicine</w:t>
            </w:r>
          </w:p>
        </w:tc>
        <w:tc>
          <w:tcPr>
            <w:tcW w:w="739" w:type="pct"/>
            <w:shd w:val="clear" w:color="auto" w:fill="auto"/>
          </w:tcPr>
          <w:p w14:paraId="55CF35FA" w14:textId="77777777" w:rsidR="00AD3860" w:rsidRPr="005E3B43" w:rsidRDefault="00AD3860" w:rsidP="00763BCF">
            <w:pPr>
              <w:pStyle w:val="Tabletext"/>
            </w:pPr>
            <w:r w:rsidRPr="005E3B43">
              <w:t>FPRP</w:t>
            </w:r>
          </w:p>
        </w:tc>
      </w:tr>
      <w:tr w:rsidR="00AD3860" w:rsidRPr="005E3B43" w14:paraId="05B1E06C" w14:textId="77777777" w:rsidTr="005A786D">
        <w:tc>
          <w:tcPr>
            <w:tcW w:w="679" w:type="pct"/>
            <w:tcBorders>
              <w:bottom w:val="single" w:sz="2" w:space="0" w:color="auto"/>
            </w:tcBorders>
            <w:shd w:val="clear" w:color="auto" w:fill="auto"/>
          </w:tcPr>
          <w:p w14:paraId="5C662C4D" w14:textId="77777777" w:rsidR="00AD3860" w:rsidRPr="005E3B43" w:rsidRDefault="00AD3860" w:rsidP="00763BCF">
            <w:pPr>
              <w:pStyle w:val="Tabletext"/>
            </w:pPr>
            <w:r w:rsidRPr="005E3B43">
              <w:t>9</w:t>
            </w:r>
          </w:p>
        </w:tc>
        <w:tc>
          <w:tcPr>
            <w:tcW w:w="3582" w:type="pct"/>
            <w:tcBorders>
              <w:bottom w:val="single" w:sz="2" w:space="0" w:color="auto"/>
            </w:tcBorders>
            <w:shd w:val="clear" w:color="auto" w:fill="auto"/>
          </w:tcPr>
          <w:p w14:paraId="56BE77A3" w14:textId="77777777" w:rsidR="00AD3860" w:rsidRPr="005E3B43" w:rsidRDefault="00AD3860" w:rsidP="00763BCF">
            <w:pPr>
              <w:pStyle w:val="Tabletext"/>
            </w:pPr>
            <w:r w:rsidRPr="005E3B43">
              <w:t>A reduction in the column life of columns used in the plasma fractionation process in the manufacture of the medicine</w:t>
            </w:r>
          </w:p>
        </w:tc>
        <w:tc>
          <w:tcPr>
            <w:tcW w:w="739" w:type="pct"/>
            <w:tcBorders>
              <w:bottom w:val="single" w:sz="2" w:space="0" w:color="auto"/>
            </w:tcBorders>
            <w:shd w:val="clear" w:color="auto" w:fill="auto"/>
          </w:tcPr>
          <w:p w14:paraId="6400971B" w14:textId="77777777" w:rsidR="00AD3860" w:rsidRPr="005E3B43" w:rsidRDefault="00AD3860" w:rsidP="00763BCF">
            <w:pPr>
              <w:pStyle w:val="Tabletext"/>
            </w:pPr>
            <w:r w:rsidRPr="005E3B43">
              <w:t>PFCR</w:t>
            </w:r>
          </w:p>
        </w:tc>
      </w:tr>
      <w:tr w:rsidR="00AD3860" w:rsidRPr="005E3B43" w14:paraId="3D1A14AD" w14:textId="77777777" w:rsidTr="005A786D">
        <w:tc>
          <w:tcPr>
            <w:tcW w:w="679" w:type="pct"/>
            <w:tcBorders>
              <w:top w:val="single" w:sz="2" w:space="0" w:color="auto"/>
              <w:bottom w:val="single" w:sz="2" w:space="0" w:color="auto"/>
            </w:tcBorders>
            <w:shd w:val="clear" w:color="auto" w:fill="auto"/>
          </w:tcPr>
          <w:p w14:paraId="13FB3B25" w14:textId="77777777" w:rsidR="00AD3860" w:rsidRPr="005E3B43" w:rsidRDefault="00AD3860" w:rsidP="00763BCF">
            <w:pPr>
              <w:pStyle w:val="Tabletext"/>
            </w:pPr>
            <w:r w:rsidRPr="005E3B43">
              <w:t>10</w:t>
            </w:r>
          </w:p>
        </w:tc>
        <w:tc>
          <w:tcPr>
            <w:tcW w:w="3582" w:type="pct"/>
            <w:tcBorders>
              <w:top w:val="single" w:sz="2" w:space="0" w:color="auto"/>
              <w:bottom w:val="single" w:sz="2" w:space="0" w:color="auto"/>
            </w:tcBorders>
            <w:shd w:val="clear" w:color="auto" w:fill="auto"/>
          </w:tcPr>
          <w:p w14:paraId="2818BEDA" w14:textId="77777777" w:rsidR="00AD3860" w:rsidRPr="005E3B43" w:rsidRDefault="00AD3860" w:rsidP="00763BCF">
            <w:pPr>
              <w:pStyle w:val="Tabletext"/>
            </w:pPr>
            <w:r w:rsidRPr="005E3B43">
              <w:t>The introduction of more stringent internal controls on the plasma fractionation process in the manufacture of the medicine</w:t>
            </w:r>
          </w:p>
        </w:tc>
        <w:tc>
          <w:tcPr>
            <w:tcW w:w="739" w:type="pct"/>
            <w:tcBorders>
              <w:top w:val="single" w:sz="2" w:space="0" w:color="auto"/>
              <w:bottom w:val="single" w:sz="2" w:space="0" w:color="auto"/>
            </w:tcBorders>
            <w:shd w:val="clear" w:color="auto" w:fill="auto"/>
          </w:tcPr>
          <w:p w14:paraId="585E84D0" w14:textId="77777777" w:rsidR="00AD3860" w:rsidRPr="005E3B43" w:rsidRDefault="00AD3860" w:rsidP="00763BCF">
            <w:pPr>
              <w:pStyle w:val="Tabletext"/>
            </w:pPr>
            <w:r w:rsidRPr="005E3B43">
              <w:t>PFSC</w:t>
            </w:r>
          </w:p>
        </w:tc>
      </w:tr>
      <w:tr w:rsidR="002618F2" w:rsidRPr="005E3B43" w14:paraId="6AF3971A" w14:textId="77777777" w:rsidTr="005A786D">
        <w:tc>
          <w:tcPr>
            <w:tcW w:w="679" w:type="pct"/>
            <w:tcBorders>
              <w:top w:val="single" w:sz="2" w:space="0" w:color="auto"/>
              <w:bottom w:val="single" w:sz="2" w:space="0" w:color="auto"/>
            </w:tcBorders>
            <w:shd w:val="clear" w:color="auto" w:fill="auto"/>
          </w:tcPr>
          <w:p w14:paraId="2C980704" w14:textId="77777777" w:rsidR="002618F2" w:rsidRPr="005E3B43" w:rsidRDefault="002618F2" w:rsidP="00763BCF">
            <w:pPr>
              <w:pStyle w:val="Tabletext"/>
            </w:pPr>
            <w:r w:rsidRPr="005E3B43">
              <w:t>11</w:t>
            </w:r>
          </w:p>
        </w:tc>
        <w:tc>
          <w:tcPr>
            <w:tcW w:w="3582" w:type="pct"/>
            <w:tcBorders>
              <w:top w:val="single" w:sz="2" w:space="0" w:color="auto"/>
              <w:bottom w:val="single" w:sz="2" w:space="0" w:color="auto"/>
            </w:tcBorders>
            <w:shd w:val="clear" w:color="auto" w:fill="auto"/>
          </w:tcPr>
          <w:p w14:paraId="5F51F9F2" w14:textId="77777777" w:rsidR="002618F2" w:rsidRPr="005E3B43" w:rsidRDefault="002618F2" w:rsidP="00763BCF">
            <w:pPr>
              <w:pStyle w:val="Tabletext"/>
            </w:pPr>
            <w:r w:rsidRPr="005E3B43">
              <w:t>A change to the specifications for testing a drug substance or excipient of the medicine if the change makes a limit associated with the testing more stringent</w:t>
            </w:r>
          </w:p>
        </w:tc>
        <w:tc>
          <w:tcPr>
            <w:tcW w:w="739" w:type="pct"/>
            <w:tcBorders>
              <w:top w:val="single" w:sz="2" w:space="0" w:color="auto"/>
              <w:bottom w:val="single" w:sz="2" w:space="0" w:color="auto"/>
            </w:tcBorders>
            <w:shd w:val="clear" w:color="auto" w:fill="auto"/>
          </w:tcPr>
          <w:p w14:paraId="66EE9C6B" w14:textId="77777777" w:rsidR="002618F2" w:rsidRPr="005E3B43" w:rsidRDefault="002618F2" w:rsidP="00763BCF">
            <w:pPr>
              <w:pStyle w:val="Tabletext"/>
            </w:pPr>
            <w:r w:rsidRPr="005E3B43">
              <w:t>ISNL</w:t>
            </w:r>
          </w:p>
        </w:tc>
      </w:tr>
      <w:tr w:rsidR="002618F2" w:rsidRPr="005E3B43" w14:paraId="1473980F" w14:textId="77777777" w:rsidTr="005A786D">
        <w:tc>
          <w:tcPr>
            <w:tcW w:w="679" w:type="pct"/>
            <w:tcBorders>
              <w:top w:val="single" w:sz="2" w:space="0" w:color="auto"/>
              <w:bottom w:val="single" w:sz="2" w:space="0" w:color="auto"/>
            </w:tcBorders>
            <w:shd w:val="clear" w:color="auto" w:fill="auto"/>
          </w:tcPr>
          <w:p w14:paraId="1DF89F4F" w14:textId="77777777" w:rsidR="002618F2" w:rsidRPr="005E3B43" w:rsidRDefault="002618F2" w:rsidP="00763BCF">
            <w:pPr>
              <w:pStyle w:val="Tabletext"/>
            </w:pPr>
            <w:r w:rsidRPr="005E3B43">
              <w:t>12</w:t>
            </w:r>
          </w:p>
        </w:tc>
        <w:tc>
          <w:tcPr>
            <w:tcW w:w="3582" w:type="pct"/>
            <w:tcBorders>
              <w:top w:val="single" w:sz="2" w:space="0" w:color="auto"/>
              <w:bottom w:val="single" w:sz="2" w:space="0" w:color="auto"/>
            </w:tcBorders>
            <w:shd w:val="clear" w:color="auto" w:fill="auto"/>
          </w:tcPr>
          <w:p w14:paraId="66044BAD" w14:textId="77777777" w:rsidR="002618F2" w:rsidRPr="005E3B43" w:rsidRDefault="002618F2" w:rsidP="00763BCF">
            <w:pPr>
              <w:pStyle w:val="Tabletext"/>
            </w:pPr>
            <w:r w:rsidRPr="005E3B43">
              <w:t>A change to the specifications for a drug substance or excipient of the medicine made for the purposes of ensuring that the specifications are consistent with:</w:t>
            </w:r>
          </w:p>
          <w:p w14:paraId="4DD80B9B" w14:textId="77777777" w:rsidR="002618F2" w:rsidRPr="005E3B43" w:rsidRDefault="002618F2" w:rsidP="00763BCF">
            <w:pPr>
              <w:pStyle w:val="Tablea"/>
            </w:pPr>
            <w:r w:rsidRPr="005E3B43">
              <w:t>(a) a default standard that applies to the drug substance or excipient; or</w:t>
            </w:r>
          </w:p>
          <w:p w14:paraId="74421864" w14:textId="589C8B76" w:rsidR="002618F2" w:rsidRPr="005E3B43" w:rsidRDefault="002618F2" w:rsidP="00763BCF">
            <w:pPr>
              <w:pStyle w:val="Tablea"/>
            </w:pPr>
            <w:r w:rsidRPr="005E3B43">
              <w:t>(b) an order in force under sub</w:t>
            </w:r>
            <w:r w:rsidR="007C3215">
              <w:t>section 1</w:t>
            </w:r>
            <w:r w:rsidRPr="005E3B43">
              <w:t>0(1) of the Act that applies to the drug substance or excipient</w:t>
            </w:r>
          </w:p>
        </w:tc>
        <w:tc>
          <w:tcPr>
            <w:tcW w:w="739" w:type="pct"/>
            <w:tcBorders>
              <w:top w:val="single" w:sz="2" w:space="0" w:color="auto"/>
              <w:bottom w:val="single" w:sz="2" w:space="0" w:color="auto"/>
            </w:tcBorders>
            <w:shd w:val="clear" w:color="auto" w:fill="auto"/>
          </w:tcPr>
          <w:p w14:paraId="26AEA16D" w14:textId="77777777" w:rsidR="002618F2" w:rsidRPr="005E3B43" w:rsidRDefault="002618F2" w:rsidP="00763BCF">
            <w:pPr>
              <w:pStyle w:val="Tabletext"/>
            </w:pPr>
            <w:r w:rsidRPr="005E3B43">
              <w:t>ISPT</w:t>
            </w:r>
          </w:p>
        </w:tc>
      </w:tr>
      <w:tr w:rsidR="002618F2" w:rsidRPr="005E3B43" w14:paraId="3760950B" w14:textId="77777777" w:rsidTr="0010109C">
        <w:trPr>
          <w:cantSplit/>
        </w:trPr>
        <w:tc>
          <w:tcPr>
            <w:tcW w:w="679" w:type="pct"/>
            <w:tcBorders>
              <w:top w:val="single" w:sz="2" w:space="0" w:color="auto"/>
              <w:bottom w:val="single" w:sz="2" w:space="0" w:color="auto"/>
            </w:tcBorders>
            <w:shd w:val="clear" w:color="auto" w:fill="auto"/>
          </w:tcPr>
          <w:p w14:paraId="319D398A" w14:textId="77777777" w:rsidR="002618F2" w:rsidRPr="005E3B43" w:rsidRDefault="002618F2" w:rsidP="00763BCF">
            <w:pPr>
              <w:pStyle w:val="Tabletext"/>
            </w:pPr>
            <w:r w:rsidRPr="005E3B43">
              <w:lastRenderedPageBreak/>
              <w:t>13</w:t>
            </w:r>
          </w:p>
        </w:tc>
        <w:tc>
          <w:tcPr>
            <w:tcW w:w="3582" w:type="pct"/>
            <w:tcBorders>
              <w:top w:val="single" w:sz="2" w:space="0" w:color="auto"/>
              <w:bottom w:val="single" w:sz="2" w:space="0" w:color="auto"/>
            </w:tcBorders>
            <w:shd w:val="clear" w:color="auto" w:fill="auto"/>
          </w:tcPr>
          <w:p w14:paraId="77B51E8C" w14:textId="77777777" w:rsidR="002618F2" w:rsidRPr="005E3B43" w:rsidRDefault="002618F2" w:rsidP="00763BCF">
            <w:pPr>
              <w:pStyle w:val="Tabletext"/>
            </w:pPr>
            <w:r w:rsidRPr="005E3B43">
              <w:t>A change to a method used for testing a drug substance or excipient of the medicine if:</w:t>
            </w:r>
          </w:p>
          <w:p w14:paraId="7A61E2A2" w14:textId="77777777" w:rsidR="002618F2" w:rsidRPr="005E3B43" w:rsidRDefault="002618F2" w:rsidP="00763BCF">
            <w:pPr>
              <w:pStyle w:val="Tablea"/>
            </w:pPr>
            <w:r w:rsidRPr="005E3B43">
              <w:t>(a) the change is to adopt a method in a default standard; and</w:t>
            </w:r>
          </w:p>
          <w:p w14:paraId="184051C5" w14:textId="77777777" w:rsidR="002618F2" w:rsidRPr="005E3B43" w:rsidRDefault="002618F2" w:rsidP="00763BCF">
            <w:pPr>
              <w:pStyle w:val="Tablea"/>
            </w:pPr>
            <w:r w:rsidRPr="005E3B43">
              <w:t>(b) the test is not for viral safety</w:t>
            </w:r>
          </w:p>
        </w:tc>
        <w:tc>
          <w:tcPr>
            <w:tcW w:w="739" w:type="pct"/>
            <w:tcBorders>
              <w:top w:val="single" w:sz="2" w:space="0" w:color="auto"/>
              <w:bottom w:val="single" w:sz="2" w:space="0" w:color="auto"/>
            </w:tcBorders>
            <w:shd w:val="clear" w:color="auto" w:fill="auto"/>
          </w:tcPr>
          <w:p w14:paraId="768DC236" w14:textId="77777777" w:rsidR="002618F2" w:rsidRPr="005E3B43" w:rsidRDefault="002618F2" w:rsidP="00763BCF">
            <w:pPr>
              <w:pStyle w:val="Tabletext"/>
            </w:pPr>
            <w:r w:rsidRPr="005E3B43">
              <w:t>ISAM</w:t>
            </w:r>
          </w:p>
        </w:tc>
      </w:tr>
      <w:tr w:rsidR="002618F2" w:rsidRPr="005E3B43" w14:paraId="27B3A66B" w14:textId="77777777" w:rsidTr="005A786D">
        <w:tc>
          <w:tcPr>
            <w:tcW w:w="679" w:type="pct"/>
            <w:tcBorders>
              <w:top w:val="single" w:sz="2" w:space="0" w:color="auto"/>
              <w:bottom w:val="single" w:sz="2" w:space="0" w:color="auto"/>
            </w:tcBorders>
            <w:shd w:val="clear" w:color="auto" w:fill="auto"/>
          </w:tcPr>
          <w:p w14:paraId="0F42918E" w14:textId="77777777" w:rsidR="002618F2" w:rsidRPr="005E3B43" w:rsidRDefault="002618F2" w:rsidP="00763BCF">
            <w:pPr>
              <w:pStyle w:val="Tabletext"/>
            </w:pPr>
            <w:r w:rsidRPr="005E3B43">
              <w:t>14</w:t>
            </w:r>
          </w:p>
        </w:tc>
        <w:tc>
          <w:tcPr>
            <w:tcW w:w="3582" w:type="pct"/>
            <w:tcBorders>
              <w:top w:val="single" w:sz="2" w:space="0" w:color="auto"/>
              <w:bottom w:val="single" w:sz="2" w:space="0" w:color="auto"/>
            </w:tcBorders>
            <w:shd w:val="clear" w:color="auto" w:fill="auto"/>
          </w:tcPr>
          <w:p w14:paraId="07D69DCD" w14:textId="77777777" w:rsidR="002618F2" w:rsidRPr="005E3B43" w:rsidRDefault="002618F2" w:rsidP="00763BCF">
            <w:pPr>
              <w:pStyle w:val="Tabletext"/>
            </w:pPr>
            <w:r w:rsidRPr="005E3B43">
              <w:t>A change to the specifications for testing the medicine to include a new test and any associated limits if the new test is part of a default standard</w:t>
            </w:r>
          </w:p>
        </w:tc>
        <w:tc>
          <w:tcPr>
            <w:tcW w:w="739" w:type="pct"/>
            <w:tcBorders>
              <w:top w:val="single" w:sz="2" w:space="0" w:color="auto"/>
              <w:bottom w:val="single" w:sz="2" w:space="0" w:color="auto"/>
            </w:tcBorders>
            <w:shd w:val="clear" w:color="auto" w:fill="auto"/>
          </w:tcPr>
          <w:p w14:paraId="4F707134" w14:textId="77777777" w:rsidR="002618F2" w:rsidRPr="005E3B43" w:rsidRDefault="002618F2" w:rsidP="00763BCF">
            <w:pPr>
              <w:pStyle w:val="Tabletext"/>
            </w:pPr>
            <w:r w:rsidRPr="005E3B43">
              <w:t>PSNT</w:t>
            </w:r>
          </w:p>
        </w:tc>
      </w:tr>
      <w:tr w:rsidR="002618F2" w:rsidRPr="005E3B43" w14:paraId="4DB0FC2F" w14:textId="77777777" w:rsidTr="005A786D">
        <w:tc>
          <w:tcPr>
            <w:tcW w:w="679" w:type="pct"/>
            <w:tcBorders>
              <w:top w:val="single" w:sz="2" w:space="0" w:color="auto"/>
              <w:bottom w:val="single" w:sz="2" w:space="0" w:color="auto"/>
            </w:tcBorders>
            <w:shd w:val="clear" w:color="auto" w:fill="auto"/>
          </w:tcPr>
          <w:p w14:paraId="32041823" w14:textId="77777777" w:rsidR="002618F2" w:rsidRPr="005E3B43" w:rsidRDefault="002618F2" w:rsidP="00763BCF">
            <w:pPr>
              <w:pStyle w:val="Tabletext"/>
            </w:pPr>
            <w:r w:rsidRPr="005E3B43">
              <w:t>15</w:t>
            </w:r>
          </w:p>
        </w:tc>
        <w:tc>
          <w:tcPr>
            <w:tcW w:w="3582" w:type="pct"/>
            <w:tcBorders>
              <w:top w:val="single" w:sz="2" w:space="0" w:color="auto"/>
              <w:bottom w:val="single" w:sz="2" w:space="0" w:color="auto"/>
            </w:tcBorders>
            <w:shd w:val="clear" w:color="auto" w:fill="auto"/>
          </w:tcPr>
          <w:p w14:paraId="621EB235" w14:textId="77777777" w:rsidR="002618F2" w:rsidRPr="005E3B43" w:rsidRDefault="002618F2" w:rsidP="00763BCF">
            <w:pPr>
              <w:pStyle w:val="Tabletext"/>
            </w:pPr>
            <w:r w:rsidRPr="005E3B43">
              <w:t>A change to the specifications for the medicine made for the purposes of ensuring that the specifications are consistent with:</w:t>
            </w:r>
          </w:p>
          <w:p w14:paraId="4EA77DA2" w14:textId="77777777" w:rsidR="002618F2" w:rsidRPr="005E3B43" w:rsidRDefault="002618F2" w:rsidP="00763BCF">
            <w:pPr>
              <w:pStyle w:val="Tablea"/>
            </w:pPr>
            <w:r w:rsidRPr="005E3B43">
              <w:t>(a) a default standard that applies to the medicine; or</w:t>
            </w:r>
          </w:p>
          <w:p w14:paraId="0A8B9CA7" w14:textId="58817638" w:rsidR="002618F2" w:rsidRPr="005E3B43" w:rsidRDefault="002618F2" w:rsidP="00763BCF">
            <w:pPr>
              <w:pStyle w:val="Tablea"/>
            </w:pPr>
            <w:r w:rsidRPr="005E3B43">
              <w:t>(b) an order in force under sub</w:t>
            </w:r>
            <w:r w:rsidR="007C3215">
              <w:t>section 1</w:t>
            </w:r>
            <w:r w:rsidRPr="005E3B43">
              <w:t>0(1) of the Act that applies to the medicine</w:t>
            </w:r>
          </w:p>
        </w:tc>
        <w:tc>
          <w:tcPr>
            <w:tcW w:w="739" w:type="pct"/>
            <w:tcBorders>
              <w:top w:val="single" w:sz="2" w:space="0" w:color="auto"/>
              <w:bottom w:val="single" w:sz="2" w:space="0" w:color="auto"/>
            </w:tcBorders>
            <w:shd w:val="clear" w:color="auto" w:fill="auto"/>
          </w:tcPr>
          <w:p w14:paraId="29055C41" w14:textId="77777777" w:rsidR="002618F2" w:rsidRPr="005E3B43" w:rsidRDefault="002618F2" w:rsidP="00763BCF">
            <w:pPr>
              <w:pStyle w:val="Tabletext"/>
            </w:pPr>
            <w:r w:rsidRPr="005E3B43">
              <w:t>PSPT</w:t>
            </w:r>
          </w:p>
        </w:tc>
      </w:tr>
      <w:tr w:rsidR="002618F2" w:rsidRPr="005E3B43" w14:paraId="4BCA319C" w14:textId="77777777" w:rsidTr="005A786D">
        <w:tc>
          <w:tcPr>
            <w:tcW w:w="679" w:type="pct"/>
            <w:tcBorders>
              <w:top w:val="single" w:sz="2" w:space="0" w:color="auto"/>
              <w:bottom w:val="single" w:sz="2" w:space="0" w:color="auto"/>
            </w:tcBorders>
            <w:shd w:val="clear" w:color="auto" w:fill="auto"/>
          </w:tcPr>
          <w:p w14:paraId="19C7775C" w14:textId="77777777" w:rsidR="002618F2" w:rsidRPr="005E3B43" w:rsidRDefault="002618F2" w:rsidP="00763BCF">
            <w:pPr>
              <w:pStyle w:val="Tabletext"/>
              <w:keepNext/>
            </w:pPr>
            <w:r w:rsidRPr="005E3B43">
              <w:t>16</w:t>
            </w:r>
          </w:p>
        </w:tc>
        <w:tc>
          <w:tcPr>
            <w:tcW w:w="3582" w:type="pct"/>
            <w:tcBorders>
              <w:top w:val="single" w:sz="2" w:space="0" w:color="auto"/>
              <w:bottom w:val="single" w:sz="2" w:space="0" w:color="auto"/>
            </w:tcBorders>
            <w:shd w:val="clear" w:color="auto" w:fill="auto"/>
            <w:vAlign w:val="center"/>
          </w:tcPr>
          <w:p w14:paraId="143AC790" w14:textId="77777777" w:rsidR="002618F2" w:rsidRPr="005E3B43" w:rsidRDefault="002618F2" w:rsidP="00763BCF">
            <w:pPr>
              <w:pStyle w:val="Tabletext"/>
            </w:pPr>
            <w:r w:rsidRPr="005E3B43">
              <w:t>A minor change to a physicochemical test method used for testing the medicine</w:t>
            </w:r>
          </w:p>
        </w:tc>
        <w:tc>
          <w:tcPr>
            <w:tcW w:w="739" w:type="pct"/>
            <w:tcBorders>
              <w:top w:val="single" w:sz="2" w:space="0" w:color="auto"/>
              <w:bottom w:val="single" w:sz="2" w:space="0" w:color="auto"/>
            </w:tcBorders>
            <w:shd w:val="clear" w:color="auto" w:fill="auto"/>
          </w:tcPr>
          <w:p w14:paraId="2E068933" w14:textId="77777777" w:rsidR="002618F2" w:rsidRPr="005E3B43" w:rsidRDefault="002618F2" w:rsidP="00763BCF">
            <w:pPr>
              <w:pStyle w:val="Tabletext"/>
            </w:pPr>
            <w:r w:rsidRPr="005E3B43">
              <w:t>PMPL</w:t>
            </w:r>
          </w:p>
        </w:tc>
      </w:tr>
      <w:tr w:rsidR="002618F2" w:rsidRPr="005E3B43" w14:paraId="2968BDFD" w14:textId="77777777" w:rsidTr="005A786D">
        <w:tc>
          <w:tcPr>
            <w:tcW w:w="679" w:type="pct"/>
            <w:tcBorders>
              <w:top w:val="single" w:sz="2" w:space="0" w:color="auto"/>
              <w:bottom w:val="single" w:sz="2" w:space="0" w:color="auto"/>
            </w:tcBorders>
            <w:shd w:val="clear" w:color="auto" w:fill="auto"/>
          </w:tcPr>
          <w:p w14:paraId="26DDFD79" w14:textId="77777777" w:rsidR="002618F2" w:rsidRPr="005E3B43" w:rsidRDefault="002618F2" w:rsidP="00763BCF">
            <w:pPr>
              <w:pStyle w:val="Tabletext"/>
            </w:pPr>
            <w:r w:rsidRPr="005E3B43">
              <w:t>17</w:t>
            </w:r>
          </w:p>
        </w:tc>
        <w:tc>
          <w:tcPr>
            <w:tcW w:w="3582" w:type="pct"/>
            <w:tcBorders>
              <w:top w:val="single" w:sz="2" w:space="0" w:color="auto"/>
              <w:bottom w:val="single" w:sz="2" w:space="0" w:color="auto"/>
            </w:tcBorders>
            <w:shd w:val="clear" w:color="auto" w:fill="auto"/>
          </w:tcPr>
          <w:p w14:paraId="2D51CF98" w14:textId="1C42A620" w:rsidR="002618F2" w:rsidRPr="005E3B43" w:rsidRDefault="002618F2" w:rsidP="00763BCF">
            <w:pPr>
              <w:pStyle w:val="Tabletext"/>
            </w:pPr>
            <w:r w:rsidRPr="005E3B43">
              <w:t>The replacement of an in</w:t>
            </w:r>
            <w:r w:rsidR="007C3215">
              <w:noBreakHyphen/>
            </w:r>
            <w:r w:rsidRPr="005E3B43">
              <w:t>house reference standard with another if the protocol and acceptance criteria for establishing a replacement in</w:t>
            </w:r>
            <w:r w:rsidR="007C3215">
              <w:noBreakHyphen/>
            </w:r>
            <w:r w:rsidRPr="005E3B43">
              <w:t>house reference standard have been approved by the Therapeutic Goods Administration</w:t>
            </w:r>
          </w:p>
        </w:tc>
        <w:tc>
          <w:tcPr>
            <w:tcW w:w="739" w:type="pct"/>
            <w:tcBorders>
              <w:top w:val="single" w:sz="2" w:space="0" w:color="auto"/>
              <w:bottom w:val="single" w:sz="2" w:space="0" w:color="auto"/>
            </w:tcBorders>
            <w:shd w:val="clear" w:color="auto" w:fill="auto"/>
          </w:tcPr>
          <w:p w14:paraId="3695BC62" w14:textId="77777777" w:rsidR="002618F2" w:rsidRPr="005E3B43" w:rsidRDefault="002618F2" w:rsidP="00763BCF">
            <w:pPr>
              <w:pStyle w:val="Tabletext"/>
            </w:pPr>
            <w:r w:rsidRPr="005E3B43">
              <w:t>IRSR</w:t>
            </w:r>
          </w:p>
        </w:tc>
      </w:tr>
      <w:tr w:rsidR="002618F2" w:rsidRPr="005E3B43" w14:paraId="57D1BFF0" w14:textId="77777777" w:rsidTr="005A786D">
        <w:tc>
          <w:tcPr>
            <w:tcW w:w="679" w:type="pct"/>
            <w:tcBorders>
              <w:top w:val="single" w:sz="2" w:space="0" w:color="auto"/>
              <w:bottom w:val="single" w:sz="2" w:space="0" w:color="auto"/>
            </w:tcBorders>
            <w:shd w:val="clear" w:color="auto" w:fill="auto"/>
          </w:tcPr>
          <w:p w14:paraId="324D6A34" w14:textId="77777777" w:rsidR="002618F2" w:rsidRPr="005E3B43" w:rsidRDefault="002618F2" w:rsidP="00763BCF">
            <w:pPr>
              <w:pStyle w:val="Tabletext"/>
            </w:pPr>
            <w:r w:rsidRPr="005E3B43">
              <w:t>18</w:t>
            </w:r>
          </w:p>
        </w:tc>
        <w:tc>
          <w:tcPr>
            <w:tcW w:w="3582" w:type="pct"/>
            <w:tcBorders>
              <w:top w:val="single" w:sz="2" w:space="0" w:color="auto"/>
              <w:bottom w:val="single" w:sz="2" w:space="0" w:color="auto"/>
            </w:tcBorders>
            <w:shd w:val="clear" w:color="auto" w:fill="auto"/>
            <w:vAlign w:val="center"/>
          </w:tcPr>
          <w:p w14:paraId="5EF017D1" w14:textId="77777777" w:rsidR="002618F2" w:rsidRPr="005E3B43" w:rsidRDefault="002618F2" w:rsidP="00763BCF">
            <w:pPr>
              <w:pStyle w:val="Tabletext"/>
            </w:pPr>
            <w:r w:rsidRPr="005E3B43">
              <w:t>A change to a label for the medicine that deletes text from a side or rear panel if:</w:t>
            </w:r>
          </w:p>
          <w:p w14:paraId="3BCE9F58" w14:textId="77777777" w:rsidR="002618F2" w:rsidRPr="005E3B43" w:rsidRDefault="002618F2" w:rsidP="00763BCF">
            <w:pPr>
              <w:pStyle w:val="Tablea"/>
            </w:pPr>
            <w:r w:rsidRPr="005E3B43">
              <w:t>(a) the text is present elsewhere on the label for the medicine; and</w:t>
            </w:r>
          </w:p>
          <w:p w14:paraId="00C3B476" w14:textId="33CBD3DF" w:rsidR="002618F2" w:rsidRPr="005E3B43" w:rsidRDefault="002618F2" w:rsidP="00763BCF">
            <w:pPr>
              <w:pStyle w:val="Tablea"/>
            </w:pPr>
            <w:r w:rsidRPr="005E3B43">
              <w:t>(b) repetition of the information on the panel is not required by an order in force under sub</w:t>
            </w:r>
            <w:r w:rsidR="007C3215">
              <w:t>section 1</w:t>
            </w:r>
            <w:r w:rsidRPr="005E3B43">
              <w:t xml:space="preserve">0(1) of the Act, or a condition imposed by or under </w:t>
            </w:r>
            <w:r w:rsidR="00FB7FAA" w:rsidRPr="005E3B43">
              <w:t>section 2</w:t>
            </w:r>
            <w:r w:rsidRPr="005E3B43">
              <w:t>8 of the Act, that applies to the medicine</w:t>
            </w:r>
          </w:p>
        </w:tc>
        <w:tc>
          <w:tcPr>
            <w:tcW w:w="739" w:type="pct"/>
            <w:tcBorders>
              <w:top w:val="single" w:sz="2" w:space="0" w:color="auto"/>
              <w:bottom w:val="single" w:sz="2" w:space="0" w:color="auto"/>
            </w:tcBorders>
            <w:shd w:val="clear" w:color="auto" w:fill="auto"/>
          </w:tcPr>
          <w:p w14:paraId="6EEEBCE6" w14:textId="77777777" w:rsidR="002618F2" w:rsidRPr="005E3B43" w:rsidRDefault="002618F2" w:rsidP="00763BCF">
            <w:pPr>
              <w:pStyle w:val="Tabletext"/>
            </w:pPr>
            <w:r w:rsidRPr="005E3B43">
              <w:t>LPDR</w:t>
            </w:r>
          </w:p>
        </w:tc>
      </w:tr>
      <w:tr w:rsidR="002618F2" w:rsidRPr="005E3B43" w14:paraId="6B75857C" w14:textId="77777777" w:rsidTr="005A786D">
        <w:tc>
          <w:tcPr>
            <w:tcW w:w="679" w:type="pct"/>
            <w:tcBorders>
              <w:top w:val="single" w:sz="2" w:space="0" w:color="auto"/>
              <w:bottom w:val="single" w:sz="2" w:space="0" w:color="auto"/>
            </w:tcBorders>
            <w:shd w:val="clear" w:color="auto" w:fill="auto"/>
          </w:tcPr>
          <w:p w14:paraId="24BD2D49" w14:textId="77777777" w:rsidR="002618F2" w:rsidRPr="005E3B43" w:rsidRDefault="002618F2" w:rsidP="00763BCF">
            <w:pPr>
              <w:pStyle w:val="Tabletext"/>
            </w:pPr>
            <w:r w:rsidRPr="005E3B43">
              <w:t>19</w:t>
            </w:r>
          </w:p>
        </w:tc>
        <w:tc>
          <w:tcPr>
            <w:tcW w:w="3582" w:type="pct"/>
            <w:tcBorders>
              <w:top w:val="single" w:sz="2" w:space="0" w:color="auto"/>
              <w:bottom w:val="single" w:sz="2" w:space="0" w:color="auto"/>
            </w:tcBorders>
            <w:shd w:val="clear" w:color="auto" w:fill="auto"/>
            <w:vAlign w:val="center"/>
          </w:tcPr>
          <w:p w14:paraId="087F0DDC" w14:textId="77777777" w:rsidR="002618F2" w:rsidRPr="005E3B43" w:rsidRDefault="002618F2" w:rsidP="00763BCF">
            <w:pPr>
              <w:pStyle w:val="Tabletext"/>
            </w:pPr>
            <w:r w:rsidRPr="005E3B43">
              <w:t>A change to a label for the medicine to include, remove or amend the name or address of the Australian sponsor or distributor of the medicine</w:t>
            </w:r>
          </w:p>
        </w:tc>
        <w:tc>
          <w:tcPr>
            <w:tcW w:w="739" w:type="pct"/>
            <w:tcBorders>
              <w:top w:val="single" w:sz="2" w:space="0" w:color="auto"/>
              <w:bottom w:val="single" w:sz="2" w:space="0" w:color="auto"/>
            </w:tcBorders>
            <w:shd w:val="clear" w:color="auto" w:fill="auto"/>
          </w:tcPr>
          <w:p w14:paraId="0D435737" w14:textId="77777777" w:rsidR="002618F2" w:rsidRPr="005E3B43" w:rsidRDefault="002618F2" w:rsidP="00763BCF">
            <w:pPr>
              <w:pStyle w:val="Tabletext"/>
            </w:pPr>
            <w:r w:rsidRPr="005E3B43">
              <w:t>LPCS</w:t>
            </w:r>
          </w:p>
        </w:tc>
      </w:tr>
      <w:tr w:rsidR="002618F2" w:rsidRPr="005E3B43" w14:paraId="6DC739CB" w14:textId="77777777" w:rsidTr="005A786D">
        <w:tc>
          <w:tcPr>
            <w:tcW w:w="679" w:type="pct"/>
            <w:tcBorders>
              <w:top w:val="single" w:sz="2" w:space="0" w:color="auto"/>
              <w:bottom w:val="single" w:sz="2" w:space="0" w:color="auto"/>
            </w:tcBorders>
            <w:shd w:val="clear" w:color="auto" w:fill="auto"/>
          </w:tcPr>
          <w:p w14:paraId="168EE235" w14:textId="77777777" w:rsidR="002618F2" w:rsidRPr="005E3B43" w:rsidRDefault="002618F2" w:rsidP="00763BCF">
            <w:pPr>
              <w:pStyle w:val="Tabletext"/>
            </w:pPr>
            <w:r w:rsidRPr="005E3B43">
              <w:t>20</w:t>
            </w:r>
          </w:p>
        </w:tc>
        <w:tc>
          <w:tcPr>
            <w:tcW w:w="3582" w:type="pct"/>
            <w:tcBorders>
              <w:top w:val="single" w:sz="2" w:space="0" w:color="auto"/>
              <w:bottom w:val="single" w:sz="2" w:space="0" w:color="auto"/>
            </w:tcBorders>
            <w:shd w:val="clear" w:color="auto" w:fill="auto"/>
            <w:vAlign w:val="center"/>
          </w:tcPr>
          <w:p w14:paraId="0288BDFC" w14:textId="77777777" w:rsidR="002618F2" w:rsidRPr="005E3B43" w:rsidRDefault="002618F2" w:rsidP="00763BCF">
            <w:pPr>
              <w:pStyle w:val="Tabletext"/>
            </w:pPr>
            <w:r w:rsidRPr="005E3B43">
              <w:t>A change to a label for the medicine to include, remove or change the sponsor’s or distributor’s logo or livery</w:t>
            </w:r>
          </w:p>
        </w:tc>
        <w:tc>
          <w:tcPr>
            <w:tcW w:w="739" w:type="pct"/>
            <w:tcBorders>
              <w:top w:val="single" w:sz="2" w:space="0" w:color="auto"/>
              <w:bottom w:val="single" w:sz="2" w:space="0" w:color="auto"/>
            </w:tcBorders>
            <w:shd w:val="clear" w:color="auto" w:fill="auto"/>
          </w:tcPr>
          <w:p w14:paraId="52ED1EE6" w14:textId="77777777" w:rsidR="002618F2" w:rsidRPr="005E3B43" w:rsidRDefault="002618F2" w:rsidP="00763BCF">
            <w:pPr>
              <w:pStyle w:val="Tabletext"/>
            </w:pPr>
            <w:r w:rsidRPr="005E3B43">
              <w:t>LPCL</w:t>
            </w:r>
          </w:p>
        </w:tc>
      </w:tr>
      <w:tr w:rsidR="002618F2" w:rsidRPr="005E3B43" w14:paraId="3547AF1B" w14:textId="77777777" w:rsidTr="005A786D">
        <w:tc>
          <w:tcPr>
            <w:tcW w:w="679" w:type="pct"/>
            <w:tcBorders>
              <w:top w:val="single" w:sz="2" w:space="0" w:color="auto"/>
              <w:bottom w:val="single" w:sz="2" w:space="0" w:color="auto"/>
            </w:tcBorders>
            <w:shd w:val="clear" w:color="auto" w:fill="auto"/>
          </w:tcPr>
          <w:p w14:paraId="0F01023B" w14:textId="77777777" w:rsidR="002618F2" w:rsidRPr="005E3B43" w:rsidRDefault="002618F2" w:rsidP="00763BCF">
            <w:pPr>
              <w:pStyle w:val="Tabletext"/>
            </w:pPr>
            <w:r w:rsidRPr="005E3B43">
              <w:t>21</w:t>
            </w:r>
          </w:p>
        </w:tc>
        <w:tc>
          <w:tcPr>
            <w:tcW w:w="3582" w:type="pct"/>
            <w:tcBorders>
              <w:top w:val="single" w:sz="2" w:space="0" w:color="auto"/>
              <w:bottom w:val="single" w:sz="2" w:space="0" w:color="auto"/>
            </w:tcBorders>
            <w:shd w:val="clear" w:color="auto" w:fill="auto"/>
            <w:vAlign w:val="center"/>
          </w:tcPr>
          <w:p w14:paraId="34BF510C" w14:textId="77777777" w:rsidR="002618F2" w:rsidRPr="005E3B43" w:rsidRDefault="002618F2" w:rsidP="00763BCF">
            <w:pPr>
              <w:pStyle w:val="Tabletext"/>
            </w:pPr>
            <w:r w:rsidRPr="005E3B43">
              <w:t>A change to a label for the medicine to remove graphics, pictures or diagrams, and any associated text, other than a pictogram of the medicine or its dosage form</w:t>
            </w:r>
          </w:p>
        </w:tc>
        <w:tc>
          <w:tcPr>
            <w:tcW w:w="739" w:type="pct"/>
            <w:tcBorders>
              <w:top w:val="single" w:sz="2" w:space="0" w:color="auto"/>
              <w:bottom w:val="single" w:sz="2" w:space="0" w:color="auto"/>
            </w:tcBorders>
            <w:shd w:val="clear" w:color="auto" w:fill="auto"/>
          </w:tcPr>
          <w:p w14:paraId="2A951B5E" w14:textId="77777777" w:rsidR="002618F2" w:rsidRPr="005E3B43" w:rsidRDefault="002618F2" w:rsidP="00763BCF">
            <w:pPr>
              <w:pStyle w:val="Tabletext"/>
            </w:pPr>
            <w:r w:rsidRPr="005E3B43">
              <w:t>LPDG</w:t>
            </w:r>
          </w:p>
        </w:tc>
      </w:tr>
      <w:tr w:rsidR="002618F2" w:rsidRPr="005E3B43" w14:paraId="16ACAC06" w14:textId="77777777" w:rsidTr="005A786D">
        <w:tc>
          <w:tcPr>
            <w:tcW w:w="679" w:type="pct"/>
            <w:tcBorders>
              <w:top w:val="single" w:sz="2" w:space="0" w:color="auto"/>
              <w:bottom w:val="single" w:sz="2" w:space="0" w:color="auto"/>
            </w:tcBorders>
            <w:shd w:val="clear" w:color="auto" w:fill="auto"/>
          </w:tcPr>
          <w:p w14:paraId="1A155D00" w14:textId="77777777" w:rsidR="002618F2" w:rsidRPr="005E3B43" w:rsidRDefault="002618F2" w:rsidP="00763BCF">
            <w:pPr>
              <w:pStyle w:val="Tabletext"/>
            </w:pPr>
            <w:r w:rsidRPr="005E3B43">
              <w:t>22</w:t>
            </w:r>
          </w:p>
        </w:tc>
        <w:tc>
          <w:tcPr>
            <w:tcW w:w="3582" w:type="pct"/>
            <w:tcBorders>
              <w:top w:val="single" w:sz="2" w:space="0" w:color="auto"/>
              <w:bottom w:val="single" w:sz="2" w:space="0" w:color="auto"/>
            </w:tcBorders>
            <w:shd w:val="clear" w:color="auto" w:fill="auto"/>
            <w:vAlign w:val="center"/>
          </w:tcPr>
          <w:p w14:paraId="409D99B3" w14:textId="77777777" w:rsidR="002618F2" w:rsidRPr="005E3B43" w:rsidRDefault="002618F2" w:rsidP="00763BCF">
            <w:pPr>
              <w:pStyle w:val="Tabletext"/>
            </w:pPr>
            <w:r w:rsidRPr="005E3B43">
              <w:t>A change to a label for the medicine to include, remove or change a pictogram of the medicine or its dosage form</w:t>
            </w:r>
          </w:p>
        </w:tc>
        <w:tc>
          <w:tcPr>
            <w:tcW w:w="739" w:type="pct"/>
            <w:tcBorders>
              <w:top w:val="single" w:sz="2" w:space="0" w:color="auto"/>
              <w:bottom w:val="single" w:sz="2" w:space="0" w:color="auto"/>
            </w:tcBorders>
            <w:shd w:val="clear" w:color="auto" w:fill="auto"/>
          </w:tcPr>
          <w:p w14:paraId="791E338D" w14:textId="77777777" w:rsidR="002618F2" w:rsidRPr="005E3B43" w:rsidRDefault="002618F2" w:rsidP="00763BCF">
            <w:pPr>
              <w:pStyle w:val="Tabletext"/>
            </w:pPr>
            <w:r w:rsidRPr="005E3B43">
              <w:t>LPCP</w:t>
            </w:r>
          </w:p>
        </w:tc>
      </w:tr>
      <w:tr w:rsidR="002618F2" w:rsidRPr="005E3B43" w14:paraId="6B0BF59D" w14:textId="77777777" w:rsidTr="005A786D">
        <w:tc>
          <w:tcPr>
            <w:tcW w:w="679" w:type="pct"/>
            <w:tcBorders>
              <w:top w:val="single" w:sz="2" w:space="0" w:color="auto"/>
              <w:bottom w:val="single" w:sz="2" w:space="0" w:color="auto"/>
            </w:tcBorders>
            <w:shd w:val="clear" w:color="auto" w:fill="auto"/>
          </w:tcPr>
          <w:p w14:paraId="79502922" w14:textId="77777777" w:rsidR="002618F2" w:rsidRPr="005E3B43" w:rsidRDefault="002618F2" w:rsidP="00763BCF">
            <w:pPr>
              <w:pStyle w:val="Tabletext"/>
            </w:pPr>
            <w:r w:rsidRPr="005E3B43">
              <w:t>23</w:t>
            </w:r>
          </w:p>
        </w:tc>
        <w:tc>
          <w:tcPr>
            <w:tcW w:w="3582" w:type="pct"/>
            <w:tcBorders>
              <w:top w:val="single" w:sz="2" w:space="0" w:color="auto"/>
              <w:bottom w:val="single" w:sz="2" w:space="0" w:color="auto"/>
            </w:tcBorders>
            <w:shd w:val="clear" w:color="auto" w:fill="auto"/>
            <w:vAlign w:val="center"/>
          </w:tcPr>
          <w:p w14:paraId="1346FE15" w14:textId="77777777" w:rsidR="002618F2" w:rsidRPr="005E3B43" w:rsidRDefault="002618F2" w:rsidP="00763BCF">
            <w:pPr>
              <w:pStyle w:val="Tabletext"/>
            </w:pPr>
            <w:r w:rsidRPr="005E3B43">
              <w:t>A change to a label for the medicine to include:</w:t>
            </w:r>
          </w:p>
          <w:p w14:paraId="258E2181" w14:textId="77777777" w:rsidR="002618F2" w:rsidRPr="005E3B43" w:rsidRDefault="002618F2" w:rsidP="00763BCF">
            <w:pPr>
              <w:pStyle w:val="Tablea"/>
            </w:pPr>
            <w:r w:rsidRPr="005E3B43">
              <w:t>(a) simple instructions or information relating to the packaging of the medicine; or</w:t>
            </w:r>
          </w:p>
          <w:p w14:paraId="58A81C57" w14:textId="77777777" w:rsidR="002618F2" w:rsidRPr="005E3B43" w:rsidRDefault="002618F2" w:rsidP="00763BCF">
            <w:pPr>
              <w:pStyle w:val="Tablea"/>
            </w:pPr>
            <w:r w:rsidRPr="005E3B43">
              <w:t>(b) information describing a change in appearance of the dosage form</w:t>
            </w:r>
          </w:p>
        </w:tc>
        <w:tc>
          <w:tcPr>
            <w:tcW w:w="739" w:type="pct"/>
            <w:tcBorders>
              <w:top w:val="single" w:sz="2" w:space="0" w:color="auto"/>
              <w:bottom w:val="single" w:sz="2" w:space="0" w:color="auto"/>
            </w:tcBorders>
            <w:shd w:val="clear" w:color="auto" w:fill="auto"/>
          </w:tcPr>
          <w:p w14:paraId="44542493" w14:textId="77777777" w:rsidR="002618F2" w:rsidRPr="005E3B43" w:rsidRDefault="002618F2" w:rsidP="00763BCF">
            <w:pPr>
              <w:pStyle w:val="Tabletext"/>
            </w:pPr>
            <w:r w:rsidRPr="005E3B43">
              <w:t>LPIA</w:t>
            </w:r>
          </w:p>
        </w:tc>
      </w:tr>
      <w:tr w:rsidR="002618F2" w:rsidRPr="005E3B43" w14:paraId="7AEE170C" w14:textId="77777777" w:rsidTr="005A786D">
        <w:tc>
          <w:tcPr>
            <w:tcW w:w="679" w:type="pct"/>
            <w:tcBorders>
              <w:top w:val="single" w:sz="2" w:space="0" w:color="auto"/>
              <w:bottom w:val="single" w:sz="2" w:space="0" w:color="auto"/>
            </w:tcBorders>
            <w:shd w:val="clear" w:color="auto" w:fill="auto"/>
          </w:tcPr>
          <w:p w14:paraId="44DA7C8C" w14:textId="77777777" w:rsidR="002618F2" w:rsidRPr="005E3B43" w:rsidRDefault="002618F2" w:rsidP="00763BCF">
            <w:pPr>
              <w:pStyle w:val="Tabletext"/>
            </w:pPr>
            <w:r w:rsidRPr="005E3B43">
              <w:t>24</w:t>
            </w:r>
          </w:p>
        </w:tc>
        <w:tc>
          <w:tcPr>
            <w:tcW w:w="3582" w:type="pct"/>
            <w:tcBorders>
              <w:top w:val="single" w:sz="2" w:space="0" w:color="auto"/>
              <w:bottom w:val="single" w:sz="2" w:space="0" w:color="auto"/>
            </w:tcBorders>
            <w:shd w:val="clear" w:color="auto" w:fill="auto"/>
            <w:vAlign w:val="center"/>
          </w:tcPr>
          <w:p w14:paraId="0CE8F216" w14:textId="77777777" w:rsidR="002618F2" w:rsidRPr="005E3B43" w:rsidRDefault="002618F2" w:rsidP="00763BCF">
            <w:pPr>
              <w:pStyle w:val="Tabletext"/>
            </w:pPr>
            <w:r w:rsidRPr="005E3B43">
              <w:t>A change to a label for the medicine to include or remove text written on the outer protective pouches, or the overwraps, of the container or primary pack of the medicine</w:t>
            </w:r>
          </w:p>
        </w:tc>
        <w:tc>
          <w:tcPr>
            <w:tcW w:w="739" w:type="pct"/>
            <w:tcBorders>
              <w:top w:val="single" w:sz="2" w:space="0" w:color="auto"/>
              <w:bottom w:val="single" w:sz="2" w:space="0" w:color="auto"/>
            </w:tcBorders>
            <w:shd w:val="clear" w:color="auto" w:fill="auto"/>
          </w:tcPr>
          <w:p w14:paraId="5F9BE6B2" w14:textId="77777777" w:rsidR="002618F2" w:rsidRPr="005E3B43" w:rsidRDefault="002618F2" w:rsidP="00763BCF">
            <w:pPr>
              <w:pStyle w:val="Tabletext"/>
            </w:pPr>
            <w:r w:rsidRPr="005E3B43">
              <w:t>LPOP</w:t>
            </w:r>
          </w:p>
        </w:tc>
      </w:tr>
      <w:tr w:rsidR="002618F2" w:rsidRPr="005E3B43" w14:paraId="10EF8D90" w14:textId="77777777" w:rsidTr="005A786D">
        <w:tc>
          <w:tcPr>
            <w:tcW w:w="679" w:type="pct"/>
            <w:tcBorders>
              <w:top w:val="single" w:sz="2" w:space="0" w:color="auto"/>
              <w:bottom w:val="single" w:sz="2" w:space="0" w:color="auto"/>
            </w:tcBorders>
            <w:shd w:val="clear" w:color="auto" w:fill="auto"/>
          </w:tcPr>
          <w:p w14:paraId="1AF72624" w14:textId="77777777" w:rsidR="002618F2" w:rsidRPr="005E3B43" w:rsidRDefault="002618F2" w:rsidP="00763BCF">
            <w:pPr>
              <w:pStyle w:val="Tabletext"/>
            </w:pPr>
            <w:r w:rsidRPr="005E3B43">
              <w:t>25</w:t>
            </w:r>
          </w:p>
        </w:tc>
        <w:tc>
          <w:tcPr>
            <w:tcW w:w="3582" w:type="pct"/>
            <w:tcBorders>
              <w:top w:val="single" w:sz="2" w:space="0" w:color="auto"/>
              <w:bottom w:val="single" w:sz="2" w:space="0" w:color="auto"/>
            </w:tcBorders>
            <w:shd w:val="clear" w:color="auto" w:fill="auto"/>
            <w:vAlign w:val="center"/>
          </w:tcPr>
          <w:p w14:paraId="167EF372" w14:textId="77777777" w:rsidR="002618F2" w:rsidRPr="005E3B43" w:rsidRDefault="002618F2" w:rsidP="00763BCF">
            <w:pPr>
              <w:pStyle w:val="Tabletext"/>
            </w:pPr>
            <w:r w:rsidRPr="005E3B43">
              <w:t>A reduction in the shelf life of the drug substance of the medicine</w:t>
            </w:r>
          </w:p>
        </w:tc>
        <w:tc>
          <w:tcPr>
            <w:tcW w:w="739" w:type="pct"/>
            <w:tcBorders>
              <w:top w:val="single" w:sz="2" w:space="0" w:color="auto"/>
              <w:bottom w:val="single" w:sz="2" w:space="0" w:color="auto"/>
            </w:tcBorders>
            <w:shd w:val="clear" w:color="auto" w:fill="auto"/>
          </w:tcPr>
          <w:p w14:paraId="1F4E1104" w14:textId="77777777" w:rsidR="002618F2" w:rsidRPr="005E3B43" w:rsidRDefault="002618F2" w:rsidP="00763BCF">
            <w:pPr>
              <w:pStyle w:val="Tabletext"/>
            </w:pPr>
            <w:r w:rsidRPr="005E3B43">
              <w:t>ASRS</w:t>
            </w:r>
          </w:p>
        </w:tc>
      </w:tr>
      <w:tr w:rsidR="002618F2" w:rsidRPr="005E3B43" w14:paraId="1B4206AF" w14:textId="77777777" w:rsidTr="005A786D">
        <w:tc>
          <w:tcPr>
            <w:tcW w:w="679" w:type="pct"/>
            <w:tcBorders>
              <w:top w:val="single" w:sz="2" w:space="0" w:color="auto"/>
              <w:bottom w:val="single" w:sz="2" w:space="0" w:color="auto"/>
            </w:tcBorders>
            <w:shd w:val="clear" w:color="auto" w:fill="auto"/>
          </w:tcPr>
          <w:p w14:paraId="51168F40" w14:textId="77777777" w:rsidR="002618F2" w:rsidRPr="005E3B43" w:rsidRDefault="002618F2" w:rsidP="00763BCF">
            <w:pPr>
              <w:pStyle w:val="Tabletext"/>
            </w:pPr>
            <w:r w:rsidRPr="005E3B43">
              <w:t>26</w:t>
            </w:r>
          </w:p>
        </w:tc>
        <w:tc>
          <w:tcPr>
            <w:tcW w:w="3582" w:type="pct"/>
            <w:tcBorders>
              <w:top w:val="single" w:sz="2" w:space="0" w:color="auto"/>
              <w:bottom w:val="single" w:sz="2" w:space="0" w:color="auto"/>
            </w:tcBorders>
            <w:shd w:val="clear" w:color="auto" w:fill="auto"/>
            <w:vAlign w:val="center"/>
          </w:tcPr>
          <w:p w14:paraId="69825E18" w14:textId="77777777" w:rsidR="002618F2" w:rsidRPr="005E3B43" w:rsidRDefault="002618F2" w:rsidP="00763BCF">
            <w:pPr>
              <w:pStyle w:val="Tabletext"/>
            </w:pPr>
            <w:r w:rsidRPr="005E3B43">
              <w:t>A reduction in the shelf life of the medicine</w:t>
            </w:r>
          </w:p>
        </w:tc>
        <w:tc>
          <w:tcPr>
            <w:tcW w:w="739" w:type="pct"/>
            <w:tcBorders>
              <w:top w:val="single" w:sz="2" w:space="0" w:color="auto"/>
              <w:bottom w:val="single" w:sz="2" w:space="0" w:color="auto"/>
            </w:tcBorders>
            <w:shd w:val="clear" w:color="auto" w:fill="auto"/>
          </w:tcPr>
          <w:p w14:paraId="4960A260" w14:textId="77777777" w:rsidR="002618F2" w:rsidRPr="005E3B43" w:rsidRDefault="002618F2" w:rsidP="00763BCF">
            <w:pPr>
              <w:pStyle w:val="Tabletext"/>
            </w:pPr>
            <w:r w:rsidRPr="005E3B43">
              <w:t>PSLD</w:t>
            </w:r>
          </w:p>
        </w:tc>
      </w:tr>
      <w:tr w:rsidR="002618F2" w:rsidRPr="005E3B43" w14:paraId="48587223" w14:textId="77777777" w:rsidTr="0010109C">
        <w:trPr>
          <w:cantSplit/>
        </w:trPr>
        <w:tc>
          <w:tcPr>
            <w:tcW w:w="679" w:type="pct"/>
            <w:tcBorders>
              <w:top w:val="single" w:sz="2" w:space="0" w:color="auto"/>
              <w:bottom w:val="single" w:sz="2" w:space="0" w:color="auto"/>
            </w:tcBorders>
            <w:shd w:val="clear" w:color="auto" w:fill="auto"/>
          </w:tcPr>
          <w:p w14:paraId="4F0717D4" w14:textId="77777777" w:rsidR="002618F2" w:rsidRPr="005E3B43" w:rsidRDefault="002618F2" w:rsidP="00763BCF">
            <w:pPr>
              <w:pStyle w:val="Tabletext"/>
            </w:pPr>
            <w:r w:rsidRPr="005E3B43">
              <w:lastRenderedPageBreak/>
              <w:t>27</w:t>
            </w:r>
          </w:p>
        </w:tc>
        <w:tc>
          <w:tcPr>
            <w:tcW w:w="3582" w:type="pct"/>
            <w:tcBorders>
              <w:top w:val="single" w:sz="2" w:space="0" w:color="auto"/>
              <w:bottom w:val="single" w:sz="2" w:space="0" w:color="auto"/>
            </w:tcBorders>
            <w:shd w:val="clear" w:color="auto" w:fill="auto"/>
            <w:vAlign w:val="center"/>
          </w:tcPr>
          <w:p w14:paraId="5E29F8F4" w14:textId="4BBA46FE" w:rsidR="002618F2" w:rsidRPr="005E3B43" w:rsidRDefault="002618F2" w:rsidP="00763BCF">
            <w:pPr>
              <w:pStyle w:val="Tabletext"/>
            </w:pPr>
            <w:r w:rsidRPr="005E3B43">
              <w:t>The introduction of anti</w:t>
            </w:r>
            <w:r w:rsidR="007C3215">
              <w:noBreakHyphen/>
            </w:r>
            <w:r w:rsidRPr="005E3B43">
              <w:t>tamper packaging if the packaging material is not in contact with the medicine</w:t>
            </w:r>
          </w:p>
        </w:tc>
        <w:tc>
          <w:tcPr>
            <w:tcW w:w="739" w:type="pct"/>
            <w:tcBorders>
              <w:top w:val="single" w:sz="2" w:space="0" w:color="auto"/>
              <w:bottom w:val="single" w:sz="2" w:space="0" w:color="auto"/>
            </w:tcBorders>
            <w:shd w:val="clear" w:color="auto" w:fill="auto"/>
          </w:tcPr>
          <w:p w14:paraId="0B4099C9" w14:textId="77777777" w:rsidR="002618F2" w:rsidRPr="005E3B43" w:rsidRDefault="002618F2" w:rsidP="00763BCF">
            <w:pPr>
              <w:pStyle w:val="Tabletext"/>
            </w:pPr>
            <w:r w:rsidRPr="005E3B43">
              <w:t>PPAT</w:t>
            </w:r>
          </w:p>
        </w:tc>
      </w:tr>
      <w:tr w:rsidR="002618F2" w:rsidRPr="005E3B43" w14:paraId="4F09E995" w14:textId="77777777" w:rsidTr="005A786D">
        <w:tc>
          <w:tcPr>
            <w:tcW w:w="679" w:type="pct"/>
            <w:tcBorders>
              <w:top w:val="single" w:sz="2" w:space="0" w:color="auto"/>
              <w:bottom w:val="single" w:sz="2" w:space="0" w:color="auto"/>
            </w:tcBorders>
            <w:shd w:val="clear" w:color="auto" w:fill="auto"/>
          </w:tcPr>
          <w:p w14:paraId="041F7273" w14:textId="77777777" w:rsidR="002618F2" w:rsidRPr="005E3B43" w:rsidRDefault="002618F2" w:rsidP="00763BCF">
            <w:pPr>
              <w:pStyle w:val="Tabletext"/>
              <w:keepNext/>
            </w:pPr>
            <w:r w:rsidRPr="005E3B43">
              <w:t>28</w:t>
            </w:r>
          </w:p>
        </w:tc>
        <w:tc>
          <w:tcPr>
            <w:tcW w:w="3582" w:type="pct"/>
            <w:tcBorders>
              <w:top w:val="single" w:sz="2" w:space="0" w:color="auto"/>
              <w:bottom w:val="single" w:sz="2" w:space="0" w:color="auto"/>
            </w:tcBorders>
            <w:shd w:val="clear" w:color="auto" w:fill="auto"/>
            <w:vAlign w:val="center"/>
          </w:tcPr>
          <w:p w14:paraId="45764F10" w14:textId="77777777" w:rsidR="002618F2" w:rsidRPr="005E3B43" w:rsidRDefault="002618F2" w:rsidP="00763BCF">
            <w:pPr>
              <w:pStyle w:val="Tabletext"/>
            </w:pPr>
            <w:r w:rsidRPr="005E3B43">
              <w:t>Either or both of the following changes to the manufacture of the medicine:</w:t>
            </w:r>
          </w:p>
          <w:p w14:paraId="66C3F5DF" w14:textId="77777777" w:rsidR="002618F2" w:rsidRPr="005E3B43" w:rsidRDefault="002618F2" w:rsidP="00763BCF">
            <w:pPr>
              <w:pStyle w:val="Tablea"/>
            </w:pPr>
            <w:r w:rsidRPr="005E3B43">
              <w:t>(a) removal of a temperature excursion;</w:t>
            </w:r>
          </w:p>
          <w:p w14:paraId="06BC5CC8" w14:textId="77777777" w:rsidR="002618F2" w:rsidRPr="005E3B43" w:rsidRDefault="002618F2" w:rsidP="00763BCF">
            <w:pPr>
              <w:pStyle w:val="Tablea"/>
            </w:pPr>
            <w:r w:rsidRPr="005E3B43">
              <w:t>(b) reduction in the time spent out of refrigeration or freezer storage</w:t>
            </w:r>
          </w:p>
        </w:tc>
        <w:tc>
          <w:tcPr>
            <w:tcW w:w="739" w:type="pct"/>
            <w:tcBorders>
              <w:top w:val="single" w:sz="2" w:space="0" w:color="auto"/>
              <w:bottom w:val="single" w:sz="2" w:space="0" w:color="auto"/>
            </w:tcBorders>
            <w:shd w:val="clear" w:color="auto" w:fill="auto"/>
          </w:tcPr>
          <w:p w14:paraId="0340264C" w14:textId="77777777" w:rsidR="002618F2" w:rsidRPr="005E3B43" w:rsidRDefault="002618F2" w:rsidP="00763BCF">
            <w:pPr>
              <w:pStyle w:val="Tabletext"/>
            </w:pPr>
            <w:r w:rsidRPr="005E3B43">
              <w:t>PSET</w:t>
            </w:r>
          </w:p>
        </w:tc>
      </w:tr>
      <w:tr w:rsidR="002618F2" w:rsidRPr="005E3B43" w14:paraId="2C77A63C" w14:textId="77777777" w:rsidTr="005A786D">
        <w:tc>
          <w:tcPr>
            <w:tcW w:w="679" w:type="pct"/>
            <w:tcBorders>
              <w:top w:val="single" w:sz="2" w:space="0" w:color="auto"/>
              <w:bottom w:val="single" w:sz="2" w:space="0" w:color="auto"/>
            </w:tcBorders>
            <w:shd w:val="clear" w:color="auto" w:fill="auto"/>
          </w:tcPr>
          <w:p w14:paraId="4A52C6E8" w14:textId="77777777" w:rsidR="002618F2" w:rsidRPr="005E3B43" w:rsidRDefault="002618F2" w:rsidP="00763BCF">
            <w:pPr>
              <w:pStyle w:val="Tabletext"/>
            </w:pPr>
            <w:r w:rsidRPr="005E3B43">
              <w:t>29</w:t>
            </w:r>
          </w:p>
        </w:tc>
        <w:tc>
          <w:tcPr>
            <w:tcW w:w="3582" w:type="pct"/>
            <w:tcBorders>
              <w:top w:val="single" w:sz="2" w:space="0" w:color="auto"/>
              <w:bottom w:val="single" w:sz="2" w:space="0" w:color="auto"/>
            </w:tcBorders>
            <w:shd w:val="clear" w:color="auto" w:fill="auto"/>
            <w:vAlign w:val="center"/>
          </w:tcPr>
          <w:p w14:paraId="64A59197" w14:textId="77777777" w:rsidR="002618F2" w:rsidRPr="005E3B43" w:rsidRDefault="002618F2" w:rsidP="00763BCF">
            <w:pPr>
              <w:pStyle w:val="Tabletext"/>
            </w:pPr>
            <w:r w:rsidRPr="005E3B43">
              <w:t>The addition of a storage condition for the medicine</w:t>
            </w:r>
          </w:p>
        </w:tc>
        <w:tc>
          <w:tcPr>
            <w:tcW w:w="739" w:type="pct"/>
            <w:tcBorders>
              <w:top w:val="single" w:sz="2" w:space="0" w:color="auto"/>
              <w:bottom w:val="single" w:sz="2" w:space="0" w:color="auto"/>
            </w:tcBorders>
            <w:shd w:val="clear" w:color="auto" w:fill="auto"/>
          </w:tcPr>
          <w:p w14:paraId="3ECF297E" w14:textId="77777777" w:rsidR="002618F2" w:rsidRPr="005E3B43" w:rsidRDefault="002618F2" w:rsidP="00763BCF">
            <w:pPr>
              <w:pStyle w:val="Tabletext"/>
            </w:pPr>
            <w:r w:rsidRPr="005E3B43">
              <w:t>PSAR</w:t>
            </w:r>
          </w:p>
        </w:tc>
      </w:tr>
      <w:tr w:rsidR="002618F2" w:rsidRPr="005E3B43" w14:paraId="1ADCB28D" w14:textId="77777777" w:rsidTr="005A786D">
        <w:tc>
          <w:tcPr>
            <w:tcW w:w="679" w:type="pct"/>
            <w:tcBorders>
              <w:top w:val="single" w:sz="2" w:space="0" w:color="auto"/>
              <w:bottom w:val="single" w:sz="12" w:space="0" w:color="auto"/>
            </w:tcBorders>
            <w:shd w:val="clear" w:color="auto" w:fill="auto"/>
          </w:tcPr>
          <w:p w14:paraId="05310F03" w14:textId="77777777" w:rsidR="002618F2" w:rsidRPr="005E3B43" w:rsidRDefault="002618F2" w:rsidP="00763BCF">
            <w:pPr>
              <w:pStyle w:val="Tabletext"/>
            </w:pPr>
            <w:r w:rsidRPr="005E3B43">
              <w:t>30</w:t>
            </w:r>
          </w:p>
        </w:tc>
        <w:tc>
          <w:tcPr>
            <w:tcW w:w="3582" w:type="pct"/>
            <w:tcBorders>
              <w:top w:val="single" w:sz="2" w:space="0" w:color="auto"/>
              <w:bottom w:val="single" w:sz="12" w:space="0" w:color="auto"/>
            </w:tcBorders>
            <w:shd w:val="clear" w:color="auto" w:fill="auto"/>
            <w:vAlign w:val="center"/>
          </w:tcPr>
          <w:p w14:paraId="461996F1" w14:textId="77777777" w:rsidR="002618F2" w:rsidRPr="005E3B43" w:rsidRDefault="002618F2" w:rsidP="00763BCF">
            <w:pPr>
              <w:pStyle w:val="Tabletext"/>
            </w:pPr>
            <w:r w:rsidRPr="005E3B43">
              <w:t>A change to the name or contact details of an albumin manufacturer or supplier, if the site or process has not changed</w:t>
            </w:r>
          </w:p>
        </w:tc>
        <w:tc>
          <w:tcPr>
            <w:tcW w:w="739" w:type="pct"/>
            <w:tcBorders>
              <w:top w:val="single" w:sz="2" w:space="0" w:color="auto"/>
              <w:bottom w:val="single" w:sz="12" w:space="0" w:color="auto"/>
            </w:tcBorders>
            <w:shd w:val="clear" w:color="auto" w:fill="auto"/>
          </w:tcPr>
          <w:p w14:paraId="5EC085DF" w14:textId="77777777" w:rsidR="002618F2" w:rsidRPr="005E3B43" w:rsidRDefault="002618F2" w:rsidP="00763BCF">
            <w:pPr>
              <w:pStyle w:val="Tabletext"/>
            </w:pPr>
            <w:r w:rsidRPr="005E3B43">
              <w:t>OAMS</w:t>
            </w:r>
          </w:p>
        </w:tc>
      </w:tr>
    </w:tbl>
    <w:p w14:paraId="1FBA8C56" w14:textId="77777777" w:rsidR="002618F2" w:rsidRPr="005E3B43" w:rsidRDefault="002618F2" w:rsidP="00763BCF">
      <w:pPr>
        <w:pStyle w:val="ActHead5"/>
      </w:pPr>
      <w:bookmarkStart w:id="29" w:name="_Toc187135624"/>
      <w:r w:rsidRPr="005E3B43">
        <w:rPr>
          <w:rStyle w:val="CharSectno"/>
        </w:rPr>
        <w:t>10AAD</w:t>
      </w:r>
      <w:r w:rsidRPr="005E3B43">
        <w:t xml:space="preserve">  Variation of entries in Register—biologicals</w:t>
      </w:r>
      <w:bookmarkEnd w:id="29"/>
    </w:p>
    <w:p w14:paraId="52A69329" w14:textId="77777777" w:rsidR="002618F2" w:rsidRPr="005E3B43" w:rsidRDefault="002618F2" w:rsidP="00763BCF">
      <w:pPr>
        <w:pStyle w:val="SubsectionHead"/>
      </w:pPr>
      <w:r w:rsidRPr="005E3B43">
        <w:t>Kinds of variations</w:t>
      </w:r>
    </w:p>
    <w:p w14:paraId="5B687684" w14:textId="77777777" w:rsidR="002618F2" w:rsidRPr="005E3B43" w:rsidRDefault="002618F2" w:rsidP="00763BCF">
      <w:pPr>
        <w:pStyle w:val="subsection"/>
      </w:pPr>
      <w:r w:rsidRPr="005E3B43">
        <w:tab/>
        <w:t>(1)</w:t>
      </w:r>
      <w:r w:rsidRPr="005E3B43">
        <w:tab/>
        <w:t>For the purposes of paragraph</w:t>
      </w:r>
      <w:r w:rsidR="004E6D00" w:rsidRPr="005E3B43">
        <w:t> </w:t>
      </w:r>
      <w:r w:rsidRPr="005E3B43">
        <w:t>9D(3AC)(b) of the Act, a variation:</w:t>
      </w:r>
    </w:p>
    <w:p w14:paraId="51979200" w14:textId="77777777" w:rsidR="002618F2" w:rsidRPr="005E3B43" w:rsidRDefault="002618F2" w:rsidP="00763BCF">
      <w:pPr>
        <w:pStyle w:val="paragraph"/>
      </w:pPr>
      <w:r w:rsidRPr="005E3B43">
        <w:tab/>
        <w:t>(a)</w:t>
      </w:r>
      <w:r w:rsidRPr="005E3B43">
        <w:tab/>
        <w:t>of an entry in the Register that relates to a biological; and</w:t>
      </w:r>
    </w:p>
    <w:p w14:paraId="3EC8E0FE" w14:textId="77777777" w:rsidR="002618F2" w:rsidRPr="005E3B43" w:rsidRDefault="002618F2" w:rsidP="00763BCF">
      <w:pPr>
        <w:pStyle w:val="paragraph"/>
      </w:pPr>
      <w:r w:rsidRPr="005E3B43">
        <w:tab/>
        <w:t>(b)</w:t>
      </w:r>
      <w:r w:rsidRPr="005E3B43">
        <w:tab/>
        <w:t>that is listed in the table in subregulation (2);</w:t>
      </w:r>
    </w:p>
    <w:p w14:paraId="3B6C45B1" w14:textId="77777777" w:rsidR="002618F2" w:rsidRPr="005E3B43" w:rsidRDefault="002618F2" w:rsidP="00763BCF">
      <w:pPr>
        <w:pStyle w:val="subsection2"/>
      </w:pPr>
      <w:r w:rsidRPr="005E3B43">
        <w:t>is specified.</w:t>
      </w:r>
    </w:p>
    <w:p w14:paraId="43BA73D6" w14:textId="77777777" w:rsidR="002618F2" w:rsidRPr="005E3B43" w:rsidRDefault="002618F2" w:rsidP="00763BCF">
      <w:pPr>
        <w:pStyle w:val="SubsectionHead"/>
      </w:pPr>
      <w:r w:rsidRPr="005E3B43">
        <w:t>Conditions</w:t>
      </w:r>
    </w:p>
    <w:p w14:paraId="62FABF18" w14:textId="77777777" w:rsidR="002618F2" w:rsidRPr="005E3B43" w:rsidRDefault="002618F2" w:rsidP="00763BCF">
      <w:pPr>
        <w:pStyle w:val="subsection"/>
      </w:pPr>
      <w:r w:rsidRPr="005E3B43">
        <w:tab/>
        <w:t>(2)</w:t>
      </w:r>
      <w:r w:rsidRPr="005E3B43">
        <w:tab/>
        <w:t>For the purposes of paragraph</w:t>
      </w:r>
      <w:r w:rsidR="004E6D00" w:rsidRPr="005E3B43">
        <w:t> </w:t>
      </w:r>
      <w:r w:rsidRPr="005E3B43">
        <w:t>9D(3AC)(c) of the Act, the following conditions are specified in relation to a variation of an entry in the Register that is listed in column 1 of an item in the following table:</w:t>
      </w:r>
    </w:p>
    <w:p w14:paraId="4881DA34" w14:textId="77777777" w:rsidR="002618F2" w:rsidRPr="005E3B43" w:rsidRDefault="002618F2" w:rsidP="00763BCF">
      <w:pPr>
        <w:pStyle w:val="paragraph"/>
      </w:pPr>
      <w:r w:rsidRPr="005E3B43">
        <w:tab/>
        <w:t>(a)</w:t>
      </w:r>
      <w:r w:rsidRPr="005E3B43">
        <w:tab/>
        <w:t>the variation reflects a change that will be made to, or in relation to, the biological;</w:t>
      </w:r>
    </w:p>
    <w:p w14:paraId="389CD89B" w14:textId="77777777" w:rsidR="002618F2" w:rsidRPr="005E3B43" w:rsidRDefault="002618F2" w:rsidP="00763BCF">
      <w:pPr>
        <w:pStyle w:val="paragraph"/>
      </w:pPr>
      <w:r w:rsidRPr="005E3B43">
        <w:tab/>
        <w:t>(b)</w:t>
      </w:r>
      <w:r w:rsidRPr="005E3B43">
        <w:tab/>
        <w:t>the other conditions set out in the TGA notifications process guidance document in relation to the code listed in column 2 of the item are satisfied.</w:t>
      </w:r>
    </w:p>
    <w:p w14:paraId="742E725F" w14:textId="77777777" w:rsidR="002618F2" w:rsidRPr="005E3B43" w:rsidRDefault="002618F2" w:rsidP="00763BC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58"/>
        <w:gridCol w:w="6110"/>
        <w:gridCol w:w="1261"/>
      </w:tblGrid>
      <w:tr w:rsidR="002618F2" w:rsidRPr="005E3B43" w14:paraId="0B945A7A" w14:textId="77777777" w:rsidTr="005A786D">
        <w:trPr>
          <w:tblHeader/>
        </w:trPr>
        <w:tc>
          <w:tcPr>
            <w:tcW w:w="5000" w:type="pct"/>
            <w:gridSpan w:val="3"/>
            <w:tcBorders>
              <w:top w:val="single" w:sz="12" w:space="0" w:color="auto"/>
              <w:bottom w:val="single" w:sz="6" w:space="0" w:color="auto"/>
            </w:tcBorders>
            <w:shd w:val="clear" w:color="auto" w:fill="auto"/>
          </w:tcPr>
          <w:p w14:paraId="34E68BF7" w14:textId="77777777" w:rsidR="002618F2" w:rsidRPr="005E3B43" w:rsidRDefault="002618F2" w:rsidP="00763BCF">
            <w:pPr>
              <w:pStyle w:val="TableHeading"/>
            </w:pPr>
            <w:r w:rsidRPr="005E3B43">
              <w:t>Kinds of variations—biologicals</w:t>
            </w:r>
          </w:p>
        </w:tc>
      </w:tr>
      <w:tr w:rsidR="002618F2" w:rsidRPr="005E3B43" w14:paraId="521BAE2E" w14:textId="77777777" w:rsidTr="005A786D">
        <w:trPr>
          <w:trHeight w:val="636"/>
          <w:tblHeader/>
        </w:trPr>
        <w:tc>
          <w:tcPr>
            <w:tcW w:w="679" w:type="pct"/>
            <w:tcBorders>
              <w:top w:val="single" w:sz="6" w:space="0" w:color="auto"/>
            </w:tcBorders>
            <w:shd w:val="clear" w:color="auto" w:fill="auto"/>
          </w:tcPr>
          <w:p w14:paraId="555FA255" w14:textId="77777777" w:rsidR="002618F2" w:rsidRPr="005E3B43" w:rsidRDefault="002618F2" w:rsidP="00763BCF">
            <w:pPr>
              <w:pStyle w:val="TableHeading"/>
            </w:pPr>
            <w:r w:rsidRPr="005E3B43">
              <w:t>Item</w:t>
            </w:r>
          </w:p>
        </w:tc>
        <w:tc>
          <w:tcPr>
            <w:tcW w:w="3582" w:type="pct"/>
            <w:tcBorders>
              <w:top w:val="single" w:sz="6" w:space="0" w:color="auto"/>
            </w:tcBorders>
            <w:shd w:val="clear" w:color="auto" w:fill="auto"/>
          </w:tcPr>
          <w:p w14:paraId="50E37091" w14:textId="77777777" w:rsidR="002618F2" w:rsidRPr="005E3B43" w:rsidRDefault="002618F2" w:rsidP="00763BCF">
            <w:pPr>
              <w:pStyle w:val="TableHeading"/>
            </w:pPr>
            <w:r w:rsidRPr="005E3B43">
              <w:t>Column 1</w:t>
            </w:r>
          </w:p>
          <w:p w14:paraId="406254C6" w14:textId="77777777" w:rsidR="002618F2" w:rsidRPr="005E3B43" w:rsidRDefault="002618F2" w:rsidP="00763BCF">
            <w:pPr>
              <w:pStyle w:val="TableHeading"/>
            </w:pPr>
            <w:r w:rsidRPr="005E3B43">
              <w:t>Variation</w:t>
            </w:r>
          </w:p>
        </w:tc>
        <w:tc>
          <w:tcPr>
            <w:tcW w:w="739" w:type="pct"/>
            <w:tcBorders>
              <w:top w:val="single" w:sz="6" w:space="0" w:color="auto"/>
            </w:tcBorders>
            <w:shd w:val="clear" w:color="auto" w:fill="auto"/>
          </w:tcPr>
          <w:p w14:paraId="175B1190" w14:textId="77777777" w:rsidR="002618F2" w:rsidRPr="005E3B43" w:rsidRDefault="002618F2" w:rsidP="00763BCF">
            <w:pPr>
              <w:pStyle w:val="TableHeading"/>
            </w:pPr>
            <w:r w:rsidRPr="005E3B43">
              <w:t>Column 2</w:t>
            </w:r>
          </w:p>
          <w:p w14:paraId="1BBD8ECA" w14:textId="77777777" w:rsidR="002618F2" w:rsidRPr="005E3B43" w:rsidRDefault="002618F2" w:rsidP="00763BCF">
            <w:pPr>
              <w:pStyle w:val="TableHeading"/>
            </w:pPr>
            <w:r w:rsidRPr="005E3B43">
              <w:t>Code</w:t>
            </w:r>
          </w:p>
        </w:tc>
      </w:tr>
      <w:tr w:rsidR="002618F2" w:rsidRPr="005E3B43" w14:paraId="14C47C4C" w14:textId="77777777" w:rsidTr="005A786D">
        <w:tc>
          <w:tcPr>
            <w:tcW w:w="679" w:type="pct"/>
            <w:tcBorders>
              <w:top w:val="single" w:sz="12" w:space="0" w:color="auto"/>
            </w:tcBorders>
            <w:shd w:val="clear" w:color="auto" w:fill="auto"/>
          </w:tcPr>
          <w:p w14:paraId="0AF5E98A" w14:textId="77777777" w:rsidR="002618F2" w:rsidRPr="005E3B43" w:rsidRDefault="002618F2" w:rsidP="00763BCF">
            <w:pPr>
              <w:pStyle w:val="Tabletext"/>
            </w:pPr>
            <w:r w:rsidRPr="005E3B43">
              <w:t>1</w:t>
            </w:r>
          </w:p>
        </w:tc>
        <w:tc>
          <w:tcPr>
            <w:tcW w:w="3582" w:type="pct"/>
            <w:tcBorders>
              <w:top w:val="single" w:sz="12" w:space="0" w:color="auto"/>
            </w:tcBorders>
            <w:shd w:val="clear" w:color="auto" w:fill="auto"/>
            <w:vAlign w:val="center"/>
          </w:tcPr>
          <w:p w14:paraId="170D09E9" w14:textId="77777777" w:rsidR="002618F2" w:rsidRPr="005E3B43" w:rsidRDefault="002618F2" w:rsidP="00763BCF">
            <w:pPr>
              <w:pStyle w:val="Tabletext"/>
            </w:pPr>
            <w:r w:rsidRPr="005E3B43">
              <w:t>A change to the specifications of the biological for the purposes of ensuring that the specifications are consistent with:</w:t>
            </w:r>
          </w:p>
          <w:p w14:paraId="6A41DAA7" w14:textId="77777777" w:rsidR="002618F2" w:rsidRPr="005E3B43" w:rsidRDefault="002618F2" w:rsidP="00763BCF">
            <w:pPr>
              <w:pStyle w:val="Tablea"/>
            </w:pPr>
            <w:r w:rsidRPr="005E3B43">
              <w:t>(a) a default standard that applies to the biological; or</w:t>
            </w:r>
          </w:p>
          <w:p w14:paraId="7B6E1C8B" w14:textId="67718F14" w:rsidR="002618F2" w:rsidRPr="005E3B43" w:rsidRDefault="002618F2" w:rsidP="00763BCF">
            <w:pPr>
              <w:pStyle w:val="Tablea"/>
            </w:pPr>
            <w:r w:rsidRPr="005E3B43">
              <w:t>(b) an order in force under sub</w:t>
            </w:r>
            <w:r w:rsidR="007C3215">
              <w:t>section 1</w:t>
            </w:r>
            <w:r w:rsidRPr="005E3B43">
              <w:t>0(1) of the Act that applies to the biological</w:t>
            </w:r>
          </w:p>
        </w:tc>
        <w:tc>
          <w:tcPr>
            <w:tcW w:w="739" w:type="pct"/>
            <w:tcBorders>
              <w:top w:val="single" w:sz="12" w:space="0" w:color="auto"/>
            </w:tcBorders>
            <w:shd w:val="clear" w:color="auto" w:fill="auto"/>
          </w:tcPr>
          <w:p w14:paraId="4A4A0592" w14:textId="77777777" w:rsidR="002618F2" w:rsidRPr="005E3B43" w:rsidRDefault="002618F2" w:rsidP="00763BCF">
            <w:pPr>
              <w:pStyle w:val="Tabletext"/>
            </w:pPr>
            <w:r w:rsidRPr="005E3B43">
              <w:t>PT</w:t>
            </w:r>
          </w:p>
        </w:tc>
      </w:tr>
      <w:tr w:rsidR="002618F2" w:rsidRPr="005E3B43" w14:paraId="4B030BA3" w14:textId="77777777" w:rsidTr="005A786D">
        <w:tc>
          <w:tcPr>
            <w:tcW w:w="679" w:type="pct"/>
            <w:shd w:val="clear" w:color="auto" w:fill="auto"/>
          </w:tcPr>
          <w:p w14:paraId="50E1234F" w14:textId="77777777" w:rsidR="002618F2" w:rsidRPr="005E3B43" w:rsidRDefault="002618F2" w:rsidP="00763BCF">
            <w:pPr>
              <w:pStyle w:val="Tabletext"/>
            </w:pPr>
            <w:r w:rsidRPr="005E3B43">
              <w:t>2</w:t>
            </w:r>
          </w:p>
        </w:tc>
        <w:tc>
          <w:tcPr>
            <w:tcW w:w="3582" w:type="pct"/>
            <w:shd w:val="clear" w:color="auto" w:fill="auto"/>
            <w:vAlign w:val="center"/>
          </w:tcPr>
          <w:p w14:paraId="68147446" w14:textId="77777777" w:rsidR="002618F2" w:rsidRPr="005E3B43" w:rsidRDefault="002618F2" w:rsidP="00763BCF">
            <w:pPr>
              <w:pStyle w:val="Tabletext"/>
            </w:pPr>
            <w:r w:rsidRPr="005E3B43">
              <w:t>A change to the donor selection criteria for the starting materials for the biological to make the criteria more stringent</w:t>
            </w:r>
          </w:p>
        </w:tc>
        <w:tc>
          <w:tcPr>
            <w:tcW w:w="739" w:type="pct"/>
            <w:shd w:val="clear" w:color="auto" w:fill="auto"/>
          </w:tcPr>
          <w:p w14:paraId="73BD94D1" w14:textId="77777777" w:rsidR="002618F2" w:rsidRPr="005E3B43" w:rsidRDefault="002618F2" w:rsidP="00763BCF">
            <w:pPr>
              <w:pStyle w:val="Tabletext"/>
            </w:pPr>
            <w:r w:rsidRPr="005E3B43">
              <w:t>DS</w:t>
            </w:r>
          </w:p>
        </w:tc>
      </w:tr>
      <w:tr w:rsidR="002618F2" w:rsidRPr="005E3B43" w14:paraId="6BB72F2E" w14:textId="77777777" w:rsidTr="005A786D">
        <w:tc>
          <w:tcPr>
            <w:tcW w:w="679" w:type="pct"/>
            <w:shd w:val="clear" w:color="auto" w:fill="auto"/>
          </w:tcPr>
          <w:p w14:paraId="4EE253D7" w14:textId="77777777" w:rsidR="002618F2" w:rsidRPr="005E3B43" w:rsidRDefault="002618F2" w:rsidP="00763BCF">
            <w:pPr>
              <w:pStyle w:val="Tabletext"/>
            </w:pPr>
            <w:r w:rsidRPr="005E3B43">
              <w:t>3</w:t>
            </w:r>
          </w:p>
        </w:tc>
        <w:tc>
          <w:tcPr>
            <w:tcW w:w="3582" w:type="pct"/>
            <w:shd w:val="clear" w:color="auto" w:fill="auto"/>
            <w:vAlign w:val="center"/>
          </w:tcPr>
          <w:p w14:paraId="5BB740F6" w14:textId="77777777" w:rsidR="002618F2" w:rsidRPr="005E3B43" w:rsidRDefault="002618F2" w:rsidP="00763BCF">
            <w:pPr>
              <w:pStyle w:val="Tabletext"/>
            </w:pPr>
            <w:r w:rsidRPr="005E3B43">
              <w:t>A change to an infectious disease test kit used to test the starting materials for the biological if the change does not decrease the kit’s ability to detect an infectious disease</w:t>
            </w:r>
          </w:p>
        </w:tc>
        <w:tc>
          <w:tcPr>
            <w:tcW w:w="739" w:type="pct"/>
            <w:shd w:val="clear" w:color="auto" w:fill="auto"/>
          </w:tcPr>
          <w:p w14:paraId="2043FFC0" w14:textId="77777777" w:rsidR="002618F2" w:rsidRPr="005E3B43" w:rsidRDefault="002618F2" w:rsidP="00763BCF">
            <w:pPr>
              <w:pStyle w:val="Tabletext"/>
            </w:pPr>
            <w:r w:rsidRPr="005E3B43">
              <w:t>TK</w:t>
            </w:r>
          </w:p>
        </w:tc>
      </w:tr>
      <w:tr w:rsidR="002618F2" w:rsidRPr="005E3B43" w14:paraId="597892D0" w14:textId="77777777" w:rsidTr="005A786D">
        <w:tc>
          <w:tcPr>
            <w:tcW w:w="679" w:type="pct"/>
            <w:shd w:val="clear" w:color="auto" w:fill="auto"/>
          </w:tcPr>
          <w:p w14:paraId="6D99EE05" w14:textId="77777777" w:rsidR="002618F2" w:rsidRPr="005E3B43" w:rsidRDefault="002618F2" w:rsidP="00763BCF">
            <w:pPr>
              <w:pStyle w:val="Tabletext"/>
              <w:keepNext/>
            </w:pPr>
            <w:r w:rsidRPr="005E3B43">
              <w:lastRenderedPageBreak/>
              <w:t>4</w:t>
            </w:r>
          </w:p>
        </w:tc>
        <w:tc>
          <w:tcPr>
            <w:tcW w:w="3582" w:type="pct"/>
            <w:shd w:val="clear" w:color="auto" w:fill="auto"/>
            <w:vAlign w:val="center"/>
          </w:tcPr>
          <w:p w14:paraId="454D2ED3" w14:textId="77777777" w:rsidR="002618F2" w:rsidRPr="005E3B43" w:rsidRDefault="002618F2" w:rsidP="00763BCF">
            <w:pPr>
              <w:pStyle w:val="Tabletext"/>
            </w:pPr>
            <w:r w:rsidRPr="005E3B43">
              <w:t>A change to a critical material used in the manufacture of the biological if:</w:t>
            </w:r>
          </w:p>
          <w:p w14:paraId="3D0A3BFB" w14:textId="77777777" w:rsidR="002618F2" w:rsidRPr="005E3B43" w:rsidRDefault="002618F2" w:rsidP="00763BCF">
            <w:pPr>
              <w:pStyle w:val="Tablea"/>
            </w:pPr>
            <w:r w:rsidRPr="005E3B43">
              <w:t>(a) the critical parameters for the changed material are equivalent or of greater quality; and</w:t>
            </w:r>
          </w:p>
          <w:p w14:paraId="4CABD22B" w14:textId="77777777" w:rsidR="002618F2" w:rsidRPr="005E3B43" w:rsidRDefault="002618F2" w:rsidP="00763BCF">
            <w:pPr>
              <w:pStyle w:val="Tablea"/>
            </w:pPr>
            <w:r w:rsidRPr="005E3B43">
              <w:t>(b) the material is not of human or animal origin; and</w:t>
            </w:r>
          </w:p>
          <w:p w14:paraId="76AA881F" w14:textId="77777777" w:rsidR="002618F2" w:rsidRPr="005E3B43" w:rsidRDefault="002618F2" w:rsidP="00763BCF">
            <w:pPr>
              <w:pStyle w:val="Tablea"/>
            </w:pPr>
            <w:r w:rsidRPr="005E3B43">
              <w:t>(c) the material is not an excipient; and</w:t>
            </w:r>
          </w:p>
          <w:p w14:paraId="0734F890" w14:textId="77777777" w:rsidR="002618F2" w:rsidRPr="005E3B43" w:rsidRDefault="002618F2" w:rsidP="00763BCF">
            <w:pPr>
              <w:pStyle w:val="Tablea"/>
            </w:pPr>
            <w:r w:rsidRPr="005E3B43">
              <w:t>(d) in the case of critical material that is a container for the biological—the change is not a change to the composition of the material</w:t>
            </w:r>
          </w:p>
        </w:tc>
        <w:tc>
          <w:tcPr>
            <w:tcW w:w="739" w:type="pct"/>
            <w:shd w:val="clear" w:color="auto" w:fill="auto"/>
          </w:tcPr>
          <w:p w14:paraId="163063FD" w14:textId="77777777" w:rsidR="002618F2" w:rsidRPr="005E3B43" w:rsidRDefault="002618F2" w:rsidP="00763BCF">
            <w:pPr>
              <w:pStyle w:val="Tabletext"/>
            </w:pPr>
            <w:r w:rsidRPr="005E3B43">
              <w:t>SM</w:t>
            </w:r>
          </w:p>
        </w:tc>
      </w:tr>
      <w:tr w:rsidR="002618F2" w:rsidRPr="005E3B43" w14:paraId="2A27A947" w14:textId="77777777" w:rsidTr="005A786D">
        <w:tc>
          <w:tcPr>
            <w:tcW w:w="679" w:type="pct"/>
            <w:shd w:val="clear" w:color="auto" w:fill="auto"/>
          </w:tcPr>
          <w:p w14:paraId="01A50E5B" w14:textId="77777777" w:rsidR="002618F2" w:rsidRPr="005E3B43" w:rsidRDefault="002618F2" w:rsidP="00763BCF">
            <w:pPr>
              <w:pStyle w:val="Tabletext"/>
            </w:pPr>
            <w:r w:rsidRPr="005E3B43">
              <w:t>5</w:t>
            </w:r>
          </w:p>
        </w:tc>
        <w:tc>
          <w:tcPr>
            <w:tcW w:w="3582" w:type="pct"/>
            <w:shd w:val="clear" w:color="auto" w:fill="auto"/>
            <w:vAlign w:val="center"/>
          </w:tcPr>
          <w:p w14:paraId="342475E7" w14:textId="3F3E2D97" w:rsidR="002618F2" w:rsidRPr="005E3B43" w:rsidRDefault="002618F2" w:rsidP="00763BCF">
            <w:pPr>
              <w:pStyle w:val="Tabletext"/>
            </w:pPr>
            <w:r w:rsidRPr="005E3B43">
              <w:t>The introduction of more stringent limits to an in</w:t>
            </w:r>
            <w:r w:rsidR="007C3215">
              <w:noBreakHyphen/>
            </w:r>
            <w:r w:rsidRPr="005E3B43">
              <w:t>process control test applied during the manufacture of the biological</w:t>
            </w:r>
          </w:p>
        </w:tc>
        <w:tc>
          <w:tcPr>
            <w:tcW w:w="739" w:type="pct"/>
            <w:shd w:val="clear" w:color="auto" w:fill="auto"/>
          </w:tcPr>
          <w:p w14:paraId="75CBE546" w14:textId="77777777" w:rsidR="002618F2" w:rsidRPr="005E3B43" w:rsidRDefault="002618F2" w:rsidP="00763BCF">
            <w:pPr>
              <w:pStyle w:val="Tabletext"/>
            </w:pPr>
            <w:r w:rsidRPr="005E3B43">
              <w:t>MI</w:t>
            </w:r>
          </w:p>
        </w:tc>
      </w:tr>
      <w:tr w:rsidR="002618F2" w:rsidRPr="005E3B43" w14:paraId="3EF7102D" w14:textId="77777777" w:rsidTr="005A786D">
        <w:tc>
          <w:tcPr>
            <w:tcW w:w="679" w:type="pct"/>
            <w:shd w:val="clear" w:color="auto" w:fill="auto"/>
          </w:tcPr>
          <w:p w14:paraId="4E95C7CF" w14:textId="77777777" w:rsidR="002618F2" w:rsidRPr="005E3B43" w:rsidRDefault="002618F2" w:rsidP="00763BCF">
            <w:pPr>
              <w:pStyle w:val="Tabletext"/>
            </w:pPr>
            <w:r w:rsidRPr="005E3B43">
              <w:t>6</w:t>
            </w:r>
          </w:p>
        </w:tc>
        <w:tc>
          <w:tcPr>
            <w:tcW w:w="3582" w:type="pct"/>
            <w:shd w:val="clear" w:color="auto" w:fill="auto"/>
            <w:vAlign w:val="center"/>
          </w:tcPr>
          <w:p w14:paraId="631F20D2" w14:textId="77777777" w:rsidR="002618F2" w:rsidRPr="005E3B43" w:rsidRDefault="002618F2" w:rsidP="00763BCF">
            <w:pPr>
              <w:pStyle w:val="Tabletext"/>
            </w:pPr>
            <w:r w:rsidRPr="005E3B43">
              <w:t>The removal of a product if the biological is a Class 2 biological</w:t>
            </w:r>
          </w:p>
        </w:tc>
        <w:tc>
          <w:tcPr>
            <w:tcW w:w="739" w:type="pct"/>
            <w:shd w:val="clear" w:color="auto" w:fill="auto"/>
          </w:tcPr>
          <w:p w14:paraId="3C3B0336" w14:textId="77777777" w:rsidR="002618F2" w:rsidRPr="005E3B43" w:rsidRDefault="002618F2" w:rsidP="00763BCF">
            <w:pPr>
              <w:pStyle w:val="Tabletext"/>
            </w:pPr>
            <w:r w:rsidRPr="005E3B43">
              <w:t>BR</w:t>
            </w:r>
          </w:p>
        </w:tc>
      </w:tr>
      <w:tr w:rsidR="002618F2" w:rsidRPr="005E3B43" w14:paraId="583FF039" w14:textId="77777777" w:rsidTr="005A786D">
        <w:tc>
          <w:tcPr>
            <w:tcW w:w="679" w:type="pct"/>
            <w:shd w:val="clear" w:color="auto" w:fill="auto"/>
          </w:tcPr>
          <w:p w14:paraId="273454DB" w14:textId="77777777" w:rsidR="002618F2" w:rsidRPr="005E3B43" w:rsidRDefault="002618F2" w:rsidP="00763BCF">
            <w:pPr>
              <w:pStyle w:val="Tabletext"/>
            </w:pPr>
            <w:r w:rsidRPr="005E3B43">
              <w:t>7</w:t>
            </w:r>
          </w:p>
        </w:tc>
        <w:tc>
          <w:tcPr>
            <w:tcW w:w="3582" w:type="pct"/>
            <w:shd w:val="clear" w:color="auto" w:fill="auto"/>
            <w:vAlign w:val="center"/>
          </w:tcPr>
          <w:p w14:paraId="1DA82C7A" w14:textId="77777777" w:rsidR="002618F2" w:rsidRPr="005E3B43" w:rsidRDefault="002618F2" w:rsidP="00763BCF">
            <w:pPr>
              <w:pStyle w:val="Tabletext"/>
            </w:pPr>
            <w:r w:rsidRPr="005E3B43">
              <w:t>The addition of a site at which secondary packaging or storage of the biological is performed</w:t>
            </w:r>
          </w:p>
        </w:tc>
        <w:tc>
          <w:tcPr>
            <w:tcW w:w="739" w:type="pct"/>
            <w:shd w:val="clear" w:color="auto" w:fill="auto"/>
          </w:tcPr>
          <w:p w14:paraId="57BF12C5" w14:textId="77777777" w:rsidR="002618F2" w:rsidRPr="005E3B43" w:rsidRDefault="002618F2" w:rsidP="00763BCF">
            <w:pPr>
              <w:pStyle w:val="Tabletext"/>
            </w:pPr>
            <w:r w:rsidRPr="005E3B43">
              <w:t>MA</w:t>
            </w:r>
          </w:p>
        </w:tc>
      </w:tr>
      <w:tr w:rsidR="002618F2" w:rsidRPr="005E3B43" w14:paraId="1B1DA176" w14:textId="77777777" w:rsidTr="005A786D">
        <w:tc>
          <w:tcPr>
            <w:tcW w:w="679" w:type="pct"/>
            <w:shd w:val="clear" w:color="auto" w:fill="auto"/>
          </w:tcPr>
          <w:p w14:paraId="27EFA0B0" w14:textId="77777777" w:rsidR="002618F2" w:rsidRPr="005E3B43" w:rsidRDefault="002618F2" w:rsidP="00763BCF">
            <w:pPr>
              <w:pStyle w:val="Tabletext"/>
              <w:keepNext/>
            </w:pPr>
            <w:r w:rsidRPr="005E3B43">
              <w:t>8</w:t>
            </w:r>
          </w:p>
        </w:tc>
        <w:tc>
          <w:tcPr>
            <w:tcW w:w="3582" w:type="pct"/>
            <w:shd w:val="clear" w:color="auto" w:fill="auto"/>
            <w:vAlign w:val="center"/>
          </w:tcPr>
          <w:p w14:paraId="2EF43B95" w14:textId="77777777" w:rsidR="002618F2" w:rsidRPr="005E3B43" w:rsidRDefault="002618F2" w:rsidP="00763BCF">
            <w:pPr>
              <w:pStyle w:val="Tabletext"/>
            </w:pPr>
            <w:r w:rsidRPr="005E3B43">
              <w:t>A change to the location of a site at which either or both of the following are performed in relation to the biological, or the addition of a site at which either or both of the following are performed in relation to the biological:</w:t>
            </w:r>
          </w:p>
          <w:p w14:paraId="6A9E8D15" w14:textId="77777777" w:rsidR="002618F2" w:rsidRPr="005E3B43" w:rsidRDefault="002618F2" w:rsidP="00763BCF">
            <w:pPr>
              <w:pStyle w:val="Tablea"/>
            </w:pPr>
            <w:r w:rsidRPr="005E3B43">
              <w:t>(a) quality control testing;</w:t>
            </w:r>
          </w:p>
          <w:p w14:paraId="5F97432E" w14:textId="77777777" w:rsidR="002618F2" w:rsidRPr="005E3B43" w:rsidRDefault="002618F2" w:rsidP="00763BCF">
            <w:pPr>
              <w:pStyle w:val="Tablea"/>
            </w:pPr>
            <w:r w:rsidRPr="005E3B43">
              <w:t>(b) infectious disease testing</w:t>
            </w:r>
          </w:p>
        </w:tc>
        <w:tc>
          <w:tcPr>
            <w:tcW w:w="739" w:type="pct"/>
            <w:shd w:val="clear" w:color="auto" w:fill="auto"/>
          </w:tcPr>
          <w:p w14:paraId="48F932C6" w14:textId="77777777" w:rsidR="002618F2" w:rsidRPr="005E3B43" w:rsidRDefault="002618F2" w:rsidP="00763BCF">
            <w:pPr>
              <w:pStyle w:val="Tabletext"/>
            </w:pPr>
            <w:r w:rsidRPr="005E3B43">
              <w:t>MT</w:t>
            </w:r>
          </w:p>
        </w:tc>
      </w:tr>
      <w:tr w:rsidR="002618F2" w:rsidRPr="005E3B43" w14:paraId="1668620E" w14:textId="77777777" w:rsidTr="005A786D">
        <w:tc>
          <w:tcPr>
            <w:tcW w:w="679" w:type="pct"/>
            <w:shd w:val="clear" w:color="auto" w:fill="auto"/>
          </w:tcPr>
          <w:p w14:paraId="5AC7E2F0" w14:textId="77777777" w:rsidR="002618F2" w:rsidRPr="005E3B43" w:rsidRDefault="002618F2" w:rsidP="00763BCF">
            <w:pPr>
              <w:pStyle w:val="Tabletext"/>
            </w:pPr>
            <w:r w:rsidRPr="005E3B43">
              <w:t>9</w:t>
            </w:r>
          </w:p>
        </w:tc>
        <w:tc>
          <w:tcPr>
            <w:tcW w:w="3582" w:type="pct"/>
            <w:shd w:val="clear" w:color="auto" w:fill="auto"/>
            <w:vAlign w:val="center"/>
          </w:tcPr>
          <w:p w14:paraId="4159FE6F" w14:textId="77777777" w:rsidR="002618F2" w:rsidRPr="005E3B43" w:rsidRDefault="002618F2" w:rsidP="00763BCF">
            <w:pPr>
              <w:pStyle w:val="Tabletext"/>
            </w:pPr>
            <w:r w:rsidRPr="005E3B43">
              <w:t>The cessation of the manufacture or a step in the manufacture of the biological at a manufacturing site</w:t>
            </w:r>
          </w:p>
        </w:tc>
        <w:tc>
          <w:tcPr>
            <w:tcW w:w="739" w:type="pct"/>
            <w:shd w:val="clear" w:color="auto" w:fill="auto"/>
          </w:tcPr>
          <w:p w14:paraId="3482BBB8" w14:textId="77777777" w:rsidR="002618F2" w:rsidRPr="005E3B43" w:rsidRDefault="002618F2" w:rsidP="00763BCF">
            <w:pPr>
              <w:pStyle w:val="Tabletext"/>
            </w:pPr>
            <w:r w:rsidRPr="005E3B43">
              <w:t>MR</w:t>
            </w:r>
          </w:p>
        </w:tc>
      </w:tr>
      <w:tr w:rsidR="002618F2" w:rsidRPr="005E3B43" w14:paraId="513213EF" w14:textId="77777777" w:rsidTr="005A786D">
        <w:tc>
          <w:tcPr>
            <w:tcW w:w="679" w:type="pct"/>
            <w:shd w:val="clear" w:color="auto" w:fill="auto"/>
          </w:tcPr>
          <w:p w14:paraId="3D866F41" w14:textId="77777777" w:rsidR="002618F2" w:rsidRPr="005E3B43" w:rsidRDefault="002618F2" w:rsidP="00763BCF">
            <w:pPr>
              <w:pStyle w:val="Tabletext"/>
            </w:pPr>
            <w:r w:rsidRPr="005E3B43">
              <w:t>10</w:t>
            </w:r>
          </w:p>
        </w:tc>
        <w:tc>
          <w:tcPr>
            <w:tcW w:w="3582" w:type="pct"/>
            <w:shd w:val="clear" w:color="auto" w:fill="auto"/>
            <w:vAlign w:val="center"/>
          </w:tcPr>
          <w:p w14:paraId="6966E4FB" w14:textId="77777777" w:rsidR="002618F2" w:rsidRPr="005E3B43" w:rsidRDefault="002618F2" w:rsidP="00763BCF">
            <w:pPr>
              <w:pStyle w:val="Tabletext"/>
            </w:pPr>
            <w:r w:rsidRPr="005E3B43">
              <w:t>The introduction of more stringent limits to a release test applied during the manufacture of the biological</w:t>
            </w:r>
          </w:p>
        </w:tc>
        <w:tc>
          <w:tcPr>
            <w:tcW w:w="739" w:type="pct"/>
            <w:shd w:val="clear" w:color="auto" w:fill="auto"/>
          </w:tcPr>
          <w:p w14:paraId="2B6B5F41" w14:textId="77777777" w:rsidR="002618F2" w:rsidRPr="005E3B43" w:rsidRDefault="002618F2" w:rsidP="00763BCF">
            <w:pPr>
              <w:pStyle w:val="Tabletext"/>
            </w:pPr>
            <w:r w:rsidRPr="005E3B43">
              <w:t>BS</w:t>
            </w:r>
          </w:p>
        </w:tc>
      </w:tr>
      <w:tr w:rsidR="002618F2" w:rsidRPr="005E3B43" w14:paraId="3AB7624D" w14:textId="77777777" w:rsidTr="005A786D">
        <w:tc>
          <w:tcPr>
            <w:tcW w:w="679" w:type="pct"/>
            <w:tcBorders>
              <w:bottom w:val="single" w:sz="2" w:space="0" w:color="auto"/>
            </w:tcBorders>
            <w:shd w:val="clear" w:color="auto" w:fill="auto"/>
          </w:tcPr>
          <w:p w14:paraId="09339111" w14:textId="77777777" w:rsidR="002618F2" w:rsidRPr="005E3B43" w:rsidRDefault="002618F2" w:rsidP="00763BCF">
            <w:pPr>
              <w:pStyle w:val="Tabletext"/>
            </w:pPr>
            <w:r w:rsidRPr="005E3B43">
              <w:t>11</w:t>
            </w:r>
          </w:p>
        </w:tc>
        <w:tc>
          <w:tcPr>
            <w:tcW w:w="3582" w:type="pct"/>
            <w:tcBorders>
              <w:bottom w:val="single" w:sz="2" w:space="0" w:color="auto"/>
            </w:tcBorders>
            <w:shd w:val="clear" w:color="auto" w:fill="auto"/>
            <w:vAlign w:val="center"/>
          </w:tcPr>
          <w:p w14:paraId="1A50F978" w14:textId="77777777" w:rsidR="002618F2" w:rsidRPr="005E3B43" w:rsidRDefault="002618F2" w:rsidP="00763BCF">
            <w:pPr>
              <w:pStyle w:val="Tabletext"/>
            </w:pPr>
            <w:r w:rsidRPr="005E3B43">
              <w:t>A reduction in the shelf life or shipping timeframe of the biological</w:t>
            </w:r>
          </w:p>
        </w:tc>
        <w:tc>
          <w:tcPr>
            <w:tcW w:w="739" w:type="pct"/>
            <w:tcBorders>
              <w:bottom w:val="single" w:sz="2" w:space="0" w:color="auto"/>
            </w:tcBorders>
            <w:shd w:val="clear" w:color="auto" w:fill="auto"/>
          </w:tcPr>
          <w:p w14:paraId="2F7F1E3A" w14:textId="77777777" w:rsidR="002618F2" w:rsidRPr="005E3B43" w:rsidRDefault="002618F2" w:rsidP="00763BCF">
            <w:pPr>
              <w:pStyle w:val="Tabletext"/>
            </w:pPr>
            <w:r w:rsidRPr="005E3B43">
              <w:t>BT</w:t>
            </w:r>
          </w:p>
        </w:tc>
      </w:tr>
      <w:tr w:rsidR="002618F2" w:rsidRPr="005E3B43" w14:paraId="07B900E2" w14:textId="77777777" w:rsidTr="000D7E6A">
        <w:tc>
          <w:tcPr>
            <w:tcW w:w="679" w:type="pct"/>
            <w:tcBorders>
              <w:top w:val="single" w:sz="2" w:space="0" w:color="auto"/>
              <w:bottom w:val="single" w:sz="2" w:space="0" w:color="auto"/>
            </w:tcBorders>
            <w:shd w:val="clear" w:color="auto" w:fill="auto"/>
          </w:tcPr>
          <w:p w14:paraId="2842E589" w14:textId="77777777" w:rsidR="002618F2" w:rsidRPr="005E3B43" w:rsidRDefault="002618F2" w:rsidP="00763BCF">
            <w:pPr>
              <w:pStyle w:val="Tabletext"/>
            </w:pPr>
            <w:r w:rsidRPr="005E3B43">
              <w:t>12</w:t>
            </w:r>
          </w:p>
        </w:tc>
        <w:tc>
          <w:tcPr>
            <w:tcW w:w="3582" w:type="pct"/>
            <w:tcBorders>
              <w:top w:val="single" w:sz="2" w:space="0" w:color="auto"/>
              <w:bottom w:val="single" w:sz="2" w:space="0" w:color="auto"/>
            </w:tcBorders>
            <w:shd w:val="clear" w:color="auto" w:fill="auto"/>
            <w:vAlign w:val="center"/>
          </w:tcPr>
          <w:p w14:paraId="296C9023" w14:textId="77777777" w:rsidR="002618F2" w:rsidRPr="005E3B43" w:rsidRDefault="002618F2" w:rsidP="00763BCF">
            <w:pPr>
              <w:pStyle w:val="Tabletext"/>
            </w:pPr>
            <w:r w:rsidRPr="005E3B43">
              <w:t>A change to the label or supporting documentation for the biological to:</w:t>
            </w:r>
          </w:p>
          <w:p w14:paraId="44E2609D" w14:textId="77777777" w:rsidR="002618F2" w:rsidRPr="005E3B43" w:rsidRDefault="002618F2" w:rsidP="00763BCF">
            <w:pPr>
              <w:pStyle w:val="Tablea"/>
            </w:pPr>
            <w:r w:rsidRPr="005E3B43">
              <w:t>(a) change the name, address or other contact details of the sponsor, manufacturer or distributor; or</w:t>
            </w:r>
          </w:p>
          <w:p w14:paraId="3BA12EF8" w14:textId="77777777" w:rsidR="002618F2" w:rsidRPr="005E3B43" w:rsidRDefault="002618F2" w:rsidP="00763BCF">
            <w:pPr>
              <w:pStyle w:val="Tablea"/>
            </w:pPr>
            <w:r w:rsidRPr="005E3B43">
              <w:t>(b) change the name of an active ingredient as a result of a change to the Australian Cell and Tissue Name for the ingredient</w:t>
            </w:r>
          </w:p>
        </w:tc>
        <w:tc>
          <w:tcPr>
            <w:tcW w:w="739" w:type="pct"/>
            <w:tcBorders>
              <w:top w:val="single" w:sz="2" w:space="0" w:color="auto"/>
              <w:bottom w:val="single" w:sz="2" w:space="0" w:color="auto"/>
            </w:tcBorders>
            <w:shd w:val="clear" w:color="auto" w:fill="auto"/>
          </w:tcPr>
          <w:p w14:paraId="3193A1F5" w14:textId="77777777" w:rsidR="002618F2" w:rsidRPr="005E3B43" w:rsidRDefault="002618F2" w:rsidP="00763BCF">
            <w:pPr>
              <w:pStyle w:val="Tabletext"/>
            </w:pPr>
            <w:r w:rsidRPr="005E3B43">
              <w:t>LC</w:t>
            </w:r>
          </w:p>
        </w:tc>
      </w:tr>
      <w:tr w:rsidR="0091727F" w:rsidRPr="005E3B43" w14:paraId="4F48F934" w14:textId="77777777" w:rsidTr="005A786D">
        <w:tc>
          <w:tcPr>
            <w:tcW w:w="679" w:type="pct"/>
            <w:tcBorders>
              <w:top w:val="single" w:sz="2" w:space="0" w:color="auto"/>
              <w:bottom w:val="single" w:sz="12" w:space="0" w:color="auto"/>
            </w:tcBorders>
            <w:shd w:val="clear" w:color="auto" w:fill="auto"/>
          </w:tcPr>
          <w:p w14:paraId="5F639F83" w14:textId="77777777" w:rsidR="0091727F" w:rsidRPr="005E3B43" w:rsidRDefault="0091727F" w:rsidP="0091727F">
            <w:pPr>
              <w:pStyle w:val="Tabletext"/>
            </w:pPr>
            <w:r w:rsidRPr="005E3B43">
              <w:t>13</w:t>
            </w:r>
          </w:p>
        </w:tc>
        <w:tc>
          <w:tcPr>
            <w:tcW w:w="3582" w:type="pct"/>
            <w:tcBorders>
              <w:top w:val="single" w:sz="2" w:space="0" w:color="auto"/>
              <w:bottom w:val="single" w:sz="12" w:space="0" w:color="auto"/>
            </w:tcBorders>
            <w:shd w:val="clear" w:color="auto" w:fill="auto"/>
            <w:vAlign w:val="center"/>
          </w:tcPr>
          <w:p w14:paraId="0BEB5463" w14:textId="77777777" w:rsidR="0091727F" w:rsidRPr="005E3B43" w:rsidRDefault="0091727F" w:rsidP="0091727F">
            <w:pPr>
              <w:pStyle w:val="Tabletext"/>
            </w:pPr>
            <w:r w:rsidRPr="005E3B43">
              <w:t>For an export only biological, a change to information included in the entry in the Register for the export only biological</w:t>
            </w:r>
          </w:p>
        </w:tc>
        <w:tc>
          <w:tcPr>
            <w:tcW w:w="739" w:type="pct"/>
            <w:tcBorders>
              <w:top w:val="single" w:sz="2" w:space="0" w:color="auto"/>
              <w:bottom w:val="single" w:sz="12" w:space="0" w:color="auto"/>
            </w:tcBorders>
            <w:shd w:val="clear" w:color="auto" w:fill="auto"/>
          </w:tcPr>
          <w:p w14:paraId="5E110DBD" w14:textId="77777777" w:rsidR="0091727F" w:rsidRPr="005E3B43" w:rsidRDefault="0091727F" w:rsidP="0091727F">
            <w:pPr>
              <w:pStyle w:val="Tabletext"/>
            </w:pPr>
            <w:r w:rsidRPr="005E3B43">
              <w:t>EX</w:t>
            </w:r>
          </w:p>
        </w:tc>
      </w:tr>
    </w:tbl>
    <w:p w14:paraId="3D8D2F29" w14:textId="77777777" w:rsidR="00E911EA" w:rsidRPr="005E3B43" w:rsidRDefault="00E911EA" w:rsidP="00763BCF">
      <w:pPr>
        <w:pStyle w:val="ActHead5"/>
      </w:pPr>
      <w:bookmarkStart w:id="30" w:name="_Toc187135625"/>
      <w:r w:rsidRPr="005E3B43">
        <w:rPr>
          <w:rStyle w:val="CharSectno"/>
        </w:rPr>
        <w:t>10AA</w:t>
      </w:r>
      <w:r w:rsidRPr="005E3B43">
        <w:t xml:space="preserve">  Prescribed requests for variations of entries in Register</w:t>
      </w:r>
      <w:bookmarkEnd w:id="30"/>
    </w:p>
    <w:p w14:paraId="6C57079E" w14:textId="77777777" w:rsidR="00E911EA" w:rsidRPr="005E3B43" w:rsidRDefault="00E911EA" w:rsidP="00763BCF">
      <w:pPr>
        <w:pStyle w:val="subsection"/>
      </w:pPr>
      <w:r w:rsidRPr="005E3B43">
        <w:tab/>
      </w:r>
      <w:r w:rsidR="002D0C64" w:rsidRPr="005E3B43">
        <w:t>(1)</w:t>
      </w:r>
      <w:r w:rsidR="002D0C64" w:rsidRPr="005E3B43">
        <w:tab/>
        <w:t>A kind</w:t>
      </w:r>
      <w:r w:rsidRPr="005E3B43">
        <w:t xml:space="preserve"> of request mentioned in any of the following definitions is prescribed for the purposes of subparagraph</w:t>
      </w:r>
      <w:r w:rsidR="004E6D00" w:rsidRPr="005E3B43">
        <w:t> </w:t>
      </w:r>
      <w:r w:rsidRPr="005E3B43">
        <w:t>9D(7)(b)(ii) of the Act:</w:t>
      </w:r>
    </w:p>
    <w:p w14:paraId="61CC1C6D" w14:textId="77777777" w:rsidR="00E911EA" w:rsidRPr="005E3B43" w:rsidRDefault="00E911EA" w:rsidP="00763BCF">
      <w:pPr>
        <w:pStyle w:val="paragraph"/>
      </w:pPr>
      <w:r w:rsidRPr="005E3B43">
        <w:tab/>
        <w:t>(a)</w:t>
      </w:r>
      <w:r w:rsidRPr="005E3B43">
        <w:tab/>
        <w:t xml:space="preserve">the definition of </w:t>
      </w:r>
      <w:r w:rsidRPr="005E3B43">
        <w:rPr>
          <w:b/>
          <w:i/>
        </w:rPr>
        <w:t>C1 (section</w:t>
      </w:r>
      <w:r w:rsidR="004E6D00" w:rsidRPr="005E3B43">
        <w:rPr>
          <w:b/>
          <w:i/>
        </w:rPr>
        <w:t> </w:t>
      </w:r>
      <w:r w:rsidRPr="005E3B43">
        <w:rPr>
          <w:b/>
          <w:i/>
        </w:rPr>
        <w:t>9D) application</w:t>
      </w:r>
      <w:r w:rsidRPr="005E3B43">
        <w:t>;</w:t>
      </w:r>
    </w:p>
    <w:p w14:paraId="6E6B6E51" w14:textId="77777777" w:rsidR="00E911EA" w:rsidRPr="005E3B43" w:rsidRDefault="00E911EA" w:rsidP="00763BCF">
      <w:pPr>
        <w:pStyle w:val="paragraph"/>
      </w:pPr>
      <w:r w:rsidRPr="005E3B43">
        <w:tab/>
        <w:t>(b)</w:t>
      </w:r>
      <w:r w:rsidRPr="005E3B43">
        <w:tab/>
        <w:t xml:space="preserve">the definition of </w:t>
      </w:r>
      <w:r w:rsidRPr="005E3B43">
        <w:rPr>
          <w:b/>
          <w:i/>
        </w:rPr>
        <w:t>C2 (section</w:t>
      </w:r>
      <w:r w:rsidR="004E6D00" w:rsidRPr="005E3B43">
        <w:rPr>
          <w:b/>
          <w:i/>
        </w:rPr>
        <w:t> </w:t>
      </w:r>
      <w:r w:rsidRPr="005E3B43">
        <w:rPr>
          <w:b/>
          <w:i/>
        </w:rPr>
        <w:t>9D) application</w:t>
      </w:r>
      <w:r w:rsidRPr="005E3B43">
        <w:t>;</w:t>
      </w:r>
    </w:p>
    <w:p w14:paraId="2A7408C5" w14:textId="77777777" w:rsidR="00E911EA" w:rsidRPr="005E3B43" w:rsidRDefault="00E911EA" w:rsidP="00763BCF">
      <w:pPr>
        <w:pStyle w:val="paragraph"/>
      </w:pPr>
      <w:r w:rsidRPr="005E3B43">
        <w:tab/>
        <w:t>(c)</w:t>
      </w:r>
      <w:r w:rsidRPr="005E3B43">
        <w:tab/>
        <w:t xml:space="preserve">the definition of </w:t>
      </w:r>
      <w:r w:rsidRPr="005E3B43">
        <w:rPr>
          <w:b/>
          <w:i/>
        </w:rPr>
        <w:t>C3 (section</w:t>
      </w:r>
      <w:r w:rsidR="004E6D00" w:rsidRPr="005E3B43">
        <w:rPr>
          <w:b/>
          <w:i/>
        </w:rPr>
        <w:t> </w:t>
      </w:r>
      <w:r w:rsidRPr="005E3B43">
        <w:rPr>
          <w:b/>
          <w:i/>
        </w:rPr>
        <w:t>9D) application</w:t>
      </w:r>
      <w:r w:rsidRPr="005E3B43">
        <w:t>;</w:t>
      </w:r>
    </w:p>
    <w:p w14:paraId="40814469" w14:textId="77777777" w:rsidR="00E911EA" w:rsidRPr="005E3B43" w:rsidRDefault="00E911EA" w:rsidP="00763BCF">
      <w:pPr>
        <w:pStyle w:val="paragraph"/>
      </w:pPr>
      <w:r w:rsidRPr="005E3B43">
        <w:tab/>
        <w:t>(d)</w:t>
      </w:r>
      <w:r w:rsidRPr="005E3B43">
        <w:tab/>
        <w:t xml:space="preserve">the definition of </w:t>
      </w:r>
      <w:r w:rsidRPr="005E3B43">
        <w:rPr>
          <w:b/>
          <w:i/>
        </w:rPr>
        <w:t>C4 (section</w:t>
      </w:r>
      <w:r w:rsidR="004E6D00" w:rsidRPr="005E3B43">
        <w:rPr>
          <w:b/>
          <w:i/>
        </w:rPr>
        <w:t> </w:t>
      </w:r>
      <w:r w:rsidRPr="005E3B43">
        <w:rPr>
          <w:b/>
          <w:i/>
        </w:rPr>
        <w:t>9D) application</w:t>
      </w:r>
      <w:r w:rsidR="00ED76E2" w:rsidRPr="005E3B43">
        <w:t>;</w:t>
      </w:r>
    </w:p>
    <w:p w14:paraId="3A2A37A0" w14:textId="77777777" w:rsidR="00812375" w:rsidRPr="005E3B43" w:rsidRDefault="00812375" w:rsidP="00763BCF">
      <w:pPr>
        <w:pStyle w:val="paragraph"/>
      </w:pPr>
      <w:r w:rsidRPr="005E3B43">
        <w:tab/>
        <w:t>(da)</w:t>
      </w:r>
      <w:r w:rsidRPr="005E3B43">
        <w:tab/>
        <w:t xml:space="preserve">the definition of </w:t>
      </w:r>
      <w:r w:rsidRPr="005E3B43">
        <w:rPr>
          <w:b/>
          <w:i/>
        </w:rPr>
        <w:t>L(A)C1 (section</w:t>
      </w:r>
      <w:r w:rsidR="004E6D00" w:rsidRPr="005E3B43">
        <w:rPr>
          <w:b/>
          <w:i/>
        </w:rPr>
        <w:t> </w:t>
      </w:r>
      <w:r w:rsidRPr="005E3B43">
        <w:rPr>
          <w:b/>
          <w:i/>
        </w:rPr>
        <w:t>9D) request</w:t>
      </w:r>
      <w:r w:rsidRPr="005E3B43">
        <w:t>;</w:t>
      </w:r>
    </w:p>
    <w:p w14:paraId="00A4D9E8" w14:textId="77777777" w:rsidR="00812375" w:rsidRPr="005E3B43" w:rsidRDefault="00812375" w:rsidP="00763BCF">
      <w:pPr>
        <w:pStyle w:val="paragraph"/>
      </w:pPr>
      <w:r w:rsidRPr="005E3B43">
        <w:tab/>
        <w:t>(db)</w:t>
      </w:r>
      <w:r w:rsidRPr="005E3B43">
        <w:tab/>
        <w:t xml:space="preserve">the definition of </w:t>
      </w:r>
      <w:r w:rsidRPr="005E3B43">
        <w:rPr>
          <w:b/>
          <w:i/>
        </w:rPr>
        <w:t>L(A)C2 (section</w:t>
      </w:r>
      <w:r w:rsidR="004E6D00" w:rsidRPr="005E3B43">
        <w:rPr>
          <w:b/>
          <w:i/>
        </w:rPr>
        <w:t> </w:t>
      </w:r>
      <w:r w:rsidRPr="005E3B43">
        <w:rPr>
          <w:b/>
          <w:i/>
        </w:rPr>
        <w:t>9D) request</w:t>
      </w:r>
      <w:r w:rsidRPr="005E3B43">
        <w:t>;</w:t>
      </w:r>
    </w:p>
    <w:p w14:paraId="4F485885" w14:textId="77777777" w:rsidR="00812375" w:rsidRPr="005E3B43" w:rsidRDefault="00812375" w:rsidP="00763BCF">
      <w:pPr>
        <w:pStyle w:val="paragraph"/>
      </w:pPr>
      <w:r w:rsidRPr="005E3B43">
        <w:lastRenderedPageBreak/>
        <w:tab/>
        <w:t>(dc)</w:t>
      </w:r>
      <w:r w:rsidRPr="005E3B43">
        <w:tab/>
        <w:t xml:space="preserve">the definition of </w:t>
      </w:r>
      <w:r w:rsidRPr="005E3B43">
        <w:rPr>
          <w:b/>
          <w:i/>
        </w:rPr>
        <w:t>L(A)CN (section</w:t>
      </w:r>
      <w:r w:rsidR="004E6D00" w:rsidRPr="005E3B43">
        <w:rPr>
          <w:b/>
          <w:i/>
        </w:rPr>
        <w:t> </w:t>
      </w:r>
      <w:r w:rsidRPr="005E3B43">
        <w:rPr>
          <w:b/>
          <w:i/>
        </w:rPr>
        <w:t>9D) request</w:t>
      </w:r>
      <w:r w:rsidRPr="005E3B43">
        <w:t>;</w:t>
      </w:r>
    </w:p>
    <w:p w14:paraId="2578CBD9" w14:textId="77777777" w:rsidR="00ED76E2" w:rsidRPr="005E3B43" w:rsidRDefault="00ED76E2" w:rsidP="00763BCF">
      <w:pPr>
        <w:pStyle w:val="paragraph"/>
      </w:pPr>
      <w:r w:rsidRPr="005E3B43">
        <w:tab/>
        <w:t>(e)</w:t>
      </w:r>
      <w:r w:rsidRPr="005E3B43">
        <w:tab/>
        <w:t xml:space="preserve">the definition of </w:t>
      </w:r>
      <w:r w:rsidRPr="005E3B43">
        <w:rPr>
          <w:b/>
          <w:i/>
        </w:rPr>
        <w:t>RCMC1 (section</w:t>
      </w:r>
      <w:r w:rsidR="004E6D00" w:rsidRPr="005E3B43">
        <w:rPr>
          <w:b/>
          <w:i/>
        </w:rPr>
        <w:t> </w:t>
      </w:r>
      <w:r w:rsidRPr="005E3B43">
        <w:rPr>
          <w:b/>
          <w:i/>
        </w:rPr>
        <w:t>9D) request</w:t>
      </w:r>
      <w:r w:rsidRPr="005E3B43">
        <w:t>;</w:t>
      </w:r>
    </w:p>
    <w:p w14:paraId="2631077F" w14:textId="77777777" w:rsidR="00ED76E2" w:rsidRPr="005E3B43" w:rsidRDefault="00ED76E2" w:rsidP="00763BCF">
      <w:pPr>
        <w:pStyle w:val="paragraph"/>
      </w:pPr>
      <w:r w:rsidRPr="005E3B43">
        <w:tab/>
        <w:t>(f)</w:t>
      </w:r>
      <w:r w:rsidRPr="005E3B43">
        <w:tab/>
        <w:t xml:space="preserve">the definition of </w:t>
      </w:r>
      <w:r w:rsidRPr="005E3B43">
        <w:rPr>
          <w:b/>
          <w:i/>
        </w:rPr>
        <w:t>RCMC2 (section</w:t>
      </w:r>
      <w:r w:rsidR="004E6D00" w:rsidRPr="005E3B43">
        <w:rPr>
          <w:b/>
          <w:i/>
        </w:rPr>
        <w:t> </w:t>
      </w:r>
      <w:r w:rsidRPr="005E3B43">
        <w:rPr>
          <w:b/>
          <w:i/>
        </w:rPr>
        <w:t>9D) request</w:t>
      </w:r>
      <w:r w:rsidRPr="005E3B43">
        <w:t>;</w:t>
      </w:r>
    </w:p>
    <w:p w14:paraId="41F94770" w14:textId="77777777" w:rsidR="00ED76E2" w:rsidRPr="005E3B43" w:rsidRDefault="00ED76E2" w:rsidP="00763BCF">
      <w:pPr>
        <w:pStyle w:val="paragraph"/>
      </w:pPr>
      <w:r w:rsidRPr="005E3B43">
        <w:tab/>
        <w:t>(g)</w:t>
      </w:r>
      <w:r w:rsidRPr="005E3B43">
        <w:tab/>
        <w:t xml:space="preserve">the definition of </w:t>
      </w:r>
      <w:r w:rsidRPr="005E3B43">
        <w:rPr>
          <w:b/>
          <w:i/>
        </w:rPr>
        <w:t>RCMC3 (section</w:t>
      </w:r>
      <w:r w:rsidR="004E6D00" w:rsidRPr="005E3B43">
        <w:rPr>
          <w:b/>
          <w:i/>
        </w:rPr>
        <w:t> </w:t>
      </w:r>
      <w:r w:rsidRPr="005E3B43">
        <w:rPr>
          <w:b/>
          <w:i/>
        </w:rPr>
        <w:t>9D) request</w:t>
      </w:r>
      <w:r w:rsidRPr="005E3B43">
        <w:t>;</w:t>
      </w:r>
    </w:p>
    <w:p w14:paraId="1336654A" w14:textId="77777777" w:rsidR="00ED76E2" w:rsidRPr="005E3B43" w:rsidRDefault="00ED76E2" w:rsidP="00763BCF">
      <w:pPr>
        <w:pStyle w:val="paragraph"/>
      </w:pPr>
      <w:r w:rsidRPr="005E3B43">
        <w:tab/>
        <w:t>(h)</w:t>
      </w:r>
      <w:r w:rsidRPr="005E3B43">
        <w:tab/>
        <w:t xml:space="preserve">the definition of </w:t>
      </w:r>
      <w:r w:rsidRPr="005E3B43">
        <w:rPr>
          <w:b/>
          <w:i/>
        </w:rPr>
        <w:t>RCMC4 (section</w:t>
      </w:r>
      <w:r w:rsidR="004E6D00" w:rsidRPr="005E3B43">
        <w:rPr>
          <w:b/>
          <w:i/>
        </w:rPr>
        <w:t> </w:t>
      </w:r>
      <w:r w:rsidRPr="005E3B43">
        <w:rPr>
          <w:b/>
          <w:i/>
        </w:rPr>
        <w:t>9D) request</w:t>
      </w:r>
      <w:r w:rsidRPr="005E3B43">
        <w:t>.</w:t>
      </w:r>
    </w:p>
    <w:p w14:paraId="28D873F1" w14:textId="77777777" w:rsidR="005A03E4" w:rsidRPr="005E3B43" w:rsidRDefault="005A03E4" w:rsidP="00763BCF">
      <w:pPr>
        <w:pStyle w:val="subsection"/>
      </w:pPr>
      <w:r w:rsidRPr="005E3B43">
        <w:tab/>
        <w:t>(2)</w:t>
      </w:r>
      <w:r w:rsidRPr="005E3B43">
        <w:tab/>
        <w:t>A request that is made under subsection</w:t>
      </w:r>
      <w:r w:rsidR="004E6D00" w:rsidRPr="005E3B43">
        <w:t> </w:t>
      </w:r>
      <w:r w:rsidRPr="005E3B43">
        <w:t>9D(3) of the Act to vary information included in an entry in the Register that relates to a medicine that is a product of a kind specified in Part</w:t>
      </w:r>
      <w:r w:rsidR="004E6D00" w:rsidRPr="005E3B43">
        <w:t> </w:t>
      </w:r>
      <w:r w:rsidRPr="005E3B43">
        <w:t xml:space="preserve">1 of </w:t>
      </w:r>
      <w:r w:rsidR="008D1B4F" w:rsidRPr="005E3B43">
        <w:t>Schedule 1</w:t>
      </w:r>
      <w:r w:rsidRPr="005E3B43">
        <w:t>0 to these Regulations is prescribed for the purposes of subparagraph</w:t>
      </w:r>
      <w:r w:rsidR="004E6D00" w:rsidRPr="005E3B43">
        <w:t> </w:t>
      </w:r>
      <w:r w:rsidRPr="005E3B43">
        <w:t>9D(7)(b)(ii) of the Act.</w:t>
      </w:r>
    </w:p>
    <w:p w14:paraId="12E4B6E6" w14:textId="77777777" w:rsidR="00577B3A" w:rsidRPr="005E3B43" w:rsidRDefault="00577B3A" w:rsidP="00763BCF">
      <w:pPr>
        <w:pStyle w:val="ActHead5"/>
      </w:pPr>
      <w:bookmarkStart w:id="31" w:name="_Toc187135626"/>
      <w:r w:rsidRPr="005E3B43">
        <w:rPr>
          <w:rStyle w:val="CharSectno"/>
        </w:rPr>
        <w:t>10AB</w:t>
      </w:r>
      <w:r w:rsidRPr="005E3B43">
        <w:t xml:space="preserve">  Change of person in whose name goods are listed or registered</w:t>
      </w:r>
      <w:bookmarkEnd w:id="31"/>
    </w:p>
    <w:p w14:paraId="6B4960EE" w14:textId="77777777" w:rsidR="00577B3A" w:rsidRPr="005E3B43" w:rsidRDefault="00577B3A" w:rsidP="00763BCF">
      <w:pPr>
        <w:pStyle w:val="SubsectionHead"/>
      </w:pPr>
      <w:r w:rsidRPr="005E3B43">
        <w:t>Application</w:t>
      </w:r>
    </w:p>
    <w:p w14:paraId="79188052" w14:textId="77777777" w:rsidR="00577B3A" w:rsidRPr="005E3B43" w:rsidRDefault="00577B3A" w:rsidP="00763BCF">
      <w:pPr>
        <w:pStyle w:val="subsection"/>
      </w:pPr>
      <w:r w:rsidRPr="005E3B43">
        <w:tab/>
        <w:t>(1)</w:t>
      </w:r>
      <w:r w:rsidRPr="005E3B43">
        <w:tab/>
        <w:t xml:space="preserve">This regulation applies in relation to a person (the </w:t>
      </w:r>
      <w:r w:rsidRPr="005E3B43">
        <w:rPr>
          <w:b/>
          <w:i/>
        </w:rPr>
        <w:t>relevant person</w:t>
      </w:r>
      <w:r w:rsidRPr="005E3B43">
        <w:t>) in relation to whom therapeutic goods are registered or listed.</w:t>
      </w:r>
    </w:p>
    <w:p w14:paraId="3BFFBF5A" w14:textId="77777777" w:rsidR="00577B3A" w:rsidRPr="005E3B43" w:rsidRDefault="00577B3A" w:rsidP="00763BCF">
      <w:pPr>
        <w:pStyle w:val="SubsectionHead"/>
      </w:pPr>
      <w:r w:rsidRPr="005E3B43">
        <w:t>Death of person</w:t>
      </w:r>
    </w:p>
    <w:p w14:paraId="5D5CB962" w14:textId="77777777" w:rsidR="00577B3A" w:rsidRPr="005E3B43" w:rsidRDefault="00577B3A" w:rsidP="00763BCF">
      <w:pPr>
        <w:pStyle w:val="subsection"/>
      </w:pPr>
      <w:r w:rsidRPr="005E3B43">
        <w:tab/>
        <w:t>(2)</w:t>
      </w:r>
      <w:r w:rsidRPr="005E3B43">
        <w:tab/>
        <w:t xml:space="preserve">If the relevant person dies, the legal personal representative (the </w:t>
      </w:r>
      <w:r w:rsidRPr="005E3B43">
        <w:rPr>
          <w:b/>
          <w:i/>
        </w:rPr>
        <w:t>notifying person</w:t>
      </w:r>
      <w:r w:rsidRPr="005E3B43">
        <w:t>) of the dead person:</w:t>
      </w:r>
    </w:p>
    <w:p w14:paraId="4940CEB3" w14:textId="77777777" w:rsidR="00577B3A" w:rsidRPr="005E3B43" w:rsidRDefault="00577B3A" w:rsidP="00763BCF">
      <w:pPr>
        <w:pStyle w:val="paragraph"/>
      </w:pPr>
      <w:r w:rsidRPr="005E3B43">
        <w:tab/>
        <w:t>(a)</w:t>
      </w:r>
      <w:r w:rsidRPr="005E3B43">
        <w:tab/>
        <w:t>is taken to be the person in relation to whom the therapeutic goods are registered or listed; and</w:t>
      </w:r>
    </w:p>
    <w:p w14:paraId="56468AA8" w14:textId="77777777" w:rsidR="00577B3A" w:rsidRPr="005E3B43" w:rsidRDefault="00577B3A" w:rsidP="00763BCF">
      <w:pPr>
        <w:pStyle w:val="paragraph"/>
      </w:pPr>
      <w:r w:rsidRPr="005E3B43">
        <w:tab/>
        <w:t>(b)</w:t>
      </w:r>
      <w:r w:rsidRPr="005E3B43">
        <w:tab/>
        <w:t>must notify the Secretary, in a form or a manner approved by the Secretary, of the death within 3 months after it occurred.</w:t>
      </w:r>
    </w:p>
    <w:p w14:paraId="6B4242DE" w14:textId="77777777" w:rsidR="00577B3A" w:rsidRPr="005E3B43" w:rsidRDefault="00577B3A" w:rsidP="00763BCF">
      <w:pPr>
        <w:pStyle w:val="SubsectionHead"/>
      </w:pPr>
      <w:r w:rsidRPr="005E3B43">
        <w:t>Bankruptcy of person</w:t>
      </w:r>
    </w:p>
    <w:p w14:paraId="680C37CE" w14:textId="77777777" w:rsidR="00577B3A" w:rsidRPr="005E3B43" w:rsidRDefault="00577B3A" w:rsidP="00763BCF">
      <w:pPr>
        <w:pStyle w:val="subsection"/>
      </w:pPr>
      <w:r w:rsidRPr="005E3B43">
        <w:tab/>
        <w:t>(3)</w:t>
      </w:r>
      <w:r w:rsidRPr="005E3B43">
        <w:tab/>
        <w:t xml:space="preserve">If the relevant person becomes bankrupt, the trustee in bankruptcy (the </w:t>
      </w:r>
      <w:r w:rsidRPr="005E3B43">
        <w:rPr>
          <w:b/>
          <w:i/>
        </w:rPr>
        <w:t>notifying person</w:t>
      </w:r>
      <w:r w:rsidRPr="005E3B43">
        <w:t>) of the estate of the bankrupt:</w:t>
      </w:r>
    </w:p>
    <w:p w14:paraId="37C5CF19" w14:textId="77777777" w:rsidR="00577B3A" w:rsidRPr="005E3B43" w:rsidRDefault="00577B3A" w:rsidP="00763BCF">
      <w:pPr>
        <w:pStyle w:val="paragraph"/>
      </w:pPr>
      <w:r w:rsidRPr="005E3B43">
        <w:tab/>
        <w:t>(a)</w:t>
      </w:r>
      <w:r w:rsidRPr="005E3B43">
        <w:tab/>
        <w:t>is taken to be the person in relation to whom the therapeutic goods are registered or listed; and</w:t>
      </w:r>
    </w:p>
    <w:p w14:paraId="3AA6D630" w14:textId="77777777" w:rsidR="00577B3A" w:rsidRPr="005E3B43" w:rsidRDefault="00577B3A" w:rsidP="00763BCF">
      <w:pPr>
        <w:pStyle w:val="paragraph"/>
      </w:pPr>
      <w:r w:rsidRPr="005E3B43">
        <w:tab/>
        <w:t>(b)</w:t>
      </w:r>
      <w:r w:rsidRPr="005E3B43">
        <w:tab/>
        <w:t>must notify the Secretary, in a form or a manner approved by the Secretary, of the bankruptcy within 3 months after the relevant person became bankrupt.</w:t>
      </w:r>
    </w:p>
    <w:p w14:paraId="2D73BCB1" w14:textId="77777777" w:rsidR="00577B3A" w:rsidRPr="005E3B43" w:rsidRDefault="00577B3A" w:rsidP="00763BCF">
      <w:pPr>
        <w:pStyle w:val="SubsectionHead"/>
      </w:pPr>
      <w:r w:rsidRPr="005E3B43">
        <w:t>Winding up of body corporate</w:t>
      </w:r>
    </w:p>
    <w:p w14:paraId="4C1A9031" w14:textId="77777777" w:rsidR="00577B3A" w:rsidRPr="005E3B43" w:rsidRDefault="00577B3A" w:rsidP="00763BCF">
      <w:pPr>
        <w:pStyle w:val="subsection"/>
      </w:pPr>
      <w:r w:rsidRPr="005E3B43">
        <w:tab/>
        <w:t>(4)</w:t>
      </w:r>
      <w:r w:rsidRPr="005E3B43">
        <w:tab/>
        <w:t xml:space="preserve">If the relevant person is a body corporate that is being wound up, the liquidator (the </w:t>
      </w:r>
      <w:r w:rsidRPr="005E3B43">
        <w:rPr>
          <w:b/>
          <w:i/>
        </w:rPr>
        <w:t>notifying person</w:t>
      </w:r>
      <w:r w:rsidRPr="005E3B43">
        <w:t>) of the body corporate:</w:t>
      </w:r>
    </w:p>
    <w:p w14:paraId="321A82FD" w14:textId="77777777" w:rsidR="00577B3A" w:rsidRPr="005E3B43" w:rsidRDefault="00577B3A" w:rsidP="00763BCF">
      <w:pPr>
        <w:pStyle w:val="paragraph"/>
      </w:pPr>
      <w:r w:rsidRPr="005E3B43">
        <w:tab/>
        <w:t>(a)</w:t>
      </w:r>
      <w:r w:rsidRPr="005E3B43">
        <w:tab/>
        <w:t>is taken to be the person in relation to whom the therapeutic goods are registered or listed; and</w:t>
      </w:r>
    </w:p>
    <w:p w14:paraId="3E1FFFEC" w14:textId="77777777" w:rsidR="00577B3A" w:rsidRPr="005E3B43" w:rsidRDefault="00577B3A" w:rsidP="00763BCF">
      <w:pPr>
        <w:pStyle w:val="paragraph"/>
      </w:pPr>
      <w:r w:rsidRPr="005E3B43">
        <w:tab/>
        <w:t>(b)</w:t>
      </w:r>
      <w:r w:rsidRPr="005E3B43">
        <w:tab/>
        <w:t>must notify the Secretary, in a form or a manner approved by the Secretary, of the winding up within 3 months after the body corporate is wound up.</w:t>
      </w:r>
    </w:p>
    <w:p w14:paraId="6CA9DCAB" w14:textId="77777777" w:rsidR="00577B3A" w:rsidRPr="005E3B43" w:rsidRDefault="00577B3A" w:rsidP="00763BCF">
      <w:pPr>
        <w:pStyle w:val="SubsectionHead"/>
      </w:pPr>
      <w:r w:rsidRPr="005E3B43">
        <w:lastRenderedPageBreak/>
        <w:t>Transfer or assignment of business</w:t>
      </w:r>
    </w:p>
    <w:p w14:paraId="4B838774" w14:textId="77777777" w:rsidR="00577B3A" w:rsidRPr="005E3B43" w:rsidRDefault="00577B3A" w:rsidP="00763BCF">
      <w:pPr>
        <w:pStyle w:val="subsection"/>
      </w:pPr>
      <w:r w:rsidRPr="005E3B43">
        <w:tab/>
        <w:t>(5)</w:t>
      </w:r>
      <w:r w:rsidRPr="005E3B43">
        <w:tab/>
        <w:t xml:space="preserve">If the relevant person transfers or assigns, in whole or in part, the business to which the therapeutic goods relate or the person’s interest in the therapeutic goods and also agrees to transfer or assign the registration or listing of the therapeutic goods in the Register, the person (the </w:t>
      </w:r>
      <w:r w:rsidRPr="005E3B43">
        <w:rPr>
          <w:b/>
          <w:i/>
        </w:rPr>
        <w:t>notifying person</w:t>
      </w:r>
      <w:r w:rsidRPr="005E3B43">
        <w:t>) to whom the business or interest is transferred or assigned:</w:t>
      </w:r>
    </w:p>
    <w:p w14:paraId="0FF04662" w14:textId="77777777" w:rsidR="00577B3A" w:rsidRPr="005E3B43" w:rsidRDefault="00577B3A" w:rsidP="00763BCF">
      <w:pPr>
        <w:pStyle w:val="paragraph"/>
      </w:pPr>
      <w:r w:rsidRPr="005E3B43">
        <w:tab/>
        <w:t>(a)</w:t>
      </w:r>
      <w:r w:rsidRPr="005E3B43">
        <w:tab/>
        <w:t>is taken to be the person in relation to whom the therapeutic goods are registered or listed; and</w:t>
      </w:r>
    </w:p>
    <w:p w14:paraId="0FC8DDE5" w14:textId="77777777" w:rsidR="00577B3A" w:rsidRPr="005E3B43" w:rsidRDefault="00577B3A" w:rsidP="00763BCF">
      <w:pPr>
        <w:pStyle w:val="paragraph"/>
      </w:pPr>
      <w:r w:rsidRPr="005E3B43">
        <w:tab/>
        <w:t>(b)</w:t>
      </w:r>
      <w:r w:rsidRPr="005E3B43">
        <w:tab/>
        <w:t>must, within 3 months after the transfer or assignment, in a form or a manner approved by the Secretary, notify the Secretary in writing of the transfer or assignment.</w:t>
      </w:r>
    </w:p>
    <w:p w14:paraId="27F547D3" w14:textId="77777777" w:rsidR="00577B3A" w:rsidRPr="005E3B43" w:rsidRDefault="00577B3A" w:rsidP="00763BCF">
      <w:pPr>
        <w:pStyle w:val="SubsectionHead"/>
      </w:pPr>
      <w:r w:rsidRPr="005E3B43">
        <w:t>Secretary may request further information</w:t>
      </w:r>
    </w:p>
    <w:p w14:paraId="07D134E2" w14:textId="77777777" w:rsidR="00577B3A" w:rsidRPr="005E3B43" w:rsidRDefault="00577B3A" w:rsidP="00763BCF">
      <w:pPr>
        <w:pStyle w:val="subsection"/>
      </w:pPr>
      <w:r w:rsidRPr="005E3B43">
        <w:tab/>
        <w:t>(6)</w:t>
      </w:r>
      <w:r w:rsidRPr="005E3B43">
        <w:tab/>
        <w:t xml:space="preserve">If the notifying person notifies the Secretary of an event under </w:t>
      </w:r>
      <w:r w:rsidR="004E6D00" w:rsidRPr="005E3B43">
        <w:t>paragraph (</w:t>
      </w:r>
      <w:r w:rsidRPr="005E3B43">
        <w:t>2)(b), (3)(b), (4)(b) or (5)(b), the Secretary may, in writing, request the person to provide further information to the Secretary in relation to the event.</w:t>
      </w:r>
    </w:p>
    <w:p w14:paraId="7FE683A9" w14:textId="77777777" w:rsidR="00577B3A" w:rsidRPr="005E3B43" w:rsidRDefault="00577B3A" w:rsidP="00763BCF">
      <w:pPr>
        <w:pStyle w:val="SubsectionHead"/>
      </w:pPr>
      <w:r w:rsidRPr="005E3B43">
        <w:t>Secretary must amend the Register and provide new certificate</w:t>
      </w:r>
    </w:p>
    <w:p w14:paraId="4955E820" w14:textId="77777777" w:rsidR="00577B3A" w:rsidRPr="005E3B43" w:rsidRDefault="00577B3A" w:rsidP="00763BCF">
      <w:pPr>
        <w:pStyle w:val="subsection"/>
      </w:pPr>
      <w:r w:rsidRPr="005E3B43">
        <w:tab/>
        <w:t>(7)</w:t>
      </w:r>
      <w:r w:rsidRPr="005E3B43">
        <w:tab/>
        <w:t xml:space="preserve">If the notifying person notifies the Secretary of an event under </w:t>
      </w:r>
      <w:r w:rsidR="004E6D00" w:rsidRPr="005E3B43">
        <w:t>paragraph (</w:t>
      </w:r>
      <w:r w:rsidRPr="005E3B43">
        <w:t>2)(b), (3)(b), (4)(b) or (5)(b), and the person also provides any further information requested under subregulation (6), the Secretary must:</w:t>
      </w:r>
    </w:p>
    <w:p w14:paraId="7FB6E5AB" w14:textId="77777777" w:rsidR="00577B3A" w:rsidRPr="005E3B43" w:rsidRDefault="00577B3A" w:rsidP="00763BCF">
      <w:pPr>
        <w:pStyle w:val="paragraph"/>
      </w:pPr>
      <w:r w:rsidRPr="005E3B43">
        <w:tab/>
        <w:t>(a)</w:t>
      </w:r>
      <w:r w:rsidRPr="005E3B43">
        <w:tab/>
        <w:t>amend the Register accordingly; and</w:t>
      </w:r>
    </w:p>
    <w:p w14:paraId="2695CD5B" w14:textId="77777777" w:rsidR="00577B3A" w:rsidRPr="005E3B43" w:rsidRDefault="00577B3A" w:rsidP="00763BCF">
      <w:pPr>
        <w:pStyle w:val="paragraph"/>
      </w:pPr>
      <w:r w:rsidRPr="005E3B43">
        <w:tab/>
        <w:t>(b)</w:t>
      </w:r>
      <w:r w:rsidRPr="005E3B43">
        <w:tab/>
        <w:t>as soon as practicable after amending the Register:</w:t>
      </w:r>
    </w:p>
    <w:p w14:paraId="5BF3D5D4" w14:textId="77777777" w:rsidR="00577B3A" w:rsidRPr="005E3B43" w:rsidRDefault="00577B3A" w:rsidP="00763BCF">
      <w:pPr>
        <w:pStyle w:val="paragraphsub"/>
      </w:pPr>
      <w:r w:rsidRPr="005E3B43">
        <w:tab/>
        <w:t>(i)</w:t>
      </w:r>
      <w:r w:rsidRPr="005E3B43">
        <w:tab/>
      </w:r>
      <w:r w:rsidRPr="005E3B43">
        <w:rPr>
          <w:szCs w:val="22"/>
        </w:rPr>
        <w:t>inform the person of the amendment; and</w:t>
      </w:r>
    </w:p>
    <w:p w14:paraId="345F0194" w14:textId="77777777" w:rsidR="00577B3A" w:rsidRPr="005E3B43" w:rsidRDefault="00577B3A" w:rsidP="00763BCF">
      <w:pPr>
        <w:pStyle w:val="paragraphsub"/>
      </w:pPr>
      <w:r w:rsidRPr="005E3B43">
        <w:tab/>
        <w:t>(ii)</w:t>
      </w:r>
      <w:r w:rsidRPr="005E3B43">
        <w:tab/>
      </w:r>
      <w:r w:rsidRPr="005E3B43">
        <w:rPr>
          <w:szCs w:val="22"/>
        </w:rPr>
        <w:t xml:space="preserve">make available to the person </w:t>
      </w:r>
      <w:r w:rsidRPr="005E3B43">
        <w:t>a certificate of registration or listing.</w:t>
      </w:r>
    </w:p>
    <w:p w14:paraId="3BCC6342" w14:textId="77777777" w:rsidR="00577B3A" w:rsidRPr="005E3B43" w:rsidRDefault="00577B3A" w:rsidP="00763BCF">
      <w:pPr>
        <w:pStyle w:val="ActHead5"/>
      </w:pPr>
      <w:bookmarkStart w:id="32" w:name="_Toc187135627"/>
      <w:r w:rsidRPr="005E3B43">
        <w:rPr>
          <w:rStyle w:val="CharSectno"/>
        </w:rPr>
        <w:t>10AC</w:t>
      </w:r>
      <w:r w:rsidRPr="005E3B43">
        <w:t xml:space="preserve">  Change of name of person</w:t>
      </w:r>
      <w:bookmarkEnd w:id="32"/>
    </w:p>
    <w:p w14:paraId="2B08A24F" w14:textId="77777777" w:rsidR="00577B3A" w:rsidRPr="005E3B43" w:rsidRDefault="00577B3A" w:rsidP="00763BCF">
      <w:pPr>
        <w:pStyle w:val="SubsectionHead"/>
      </w:pPr>
      <w:r w:rsidRPr="005E3B43">
        <w:t>Application</w:t>
      </w:r>
    </w:p>
    <w:p w14:paraId="0547878C" w14:textId="77777777" w:rsidR="00577B3A" w:rsidRPr="005E3B43" w:rsidRDefault="00577B3A" w:rsidP="00763BCF">
      <w:pPr>
        <w:pStyle w:val="subsection"/>
      </w:pPr>
      <w:r w:rsidRPr="005E3B43">
        <w:tab/>
        <w:t>(1)</w:t>
      </w:r>
      <w:r w:rsidRPr="005E3B43">
        <w:tab/>
        <w:t>This regulation applies in relation to a person in relation to whom therapeutic goods are registered or listed.</w:t>
      </w:r>
    </w:p>
    <w:p w14:paraId="2427A6FB" w14:textId="77777777" w:rsidR="00577B3A" w:rsidRPr="005E3B43" w:rsidRDefault="00577B3A" w:rsidP="00763BCF">
      <w:pPr>
        <w:pStyle w:val="SubsectionHead"/>
      </w:pPr>
      <w:r w:rsidRPr="005E3B43">
        <w:t>Change of name of person</w:t>
      </w:r>
    </w:p>
    <w:p w14:paraId="203DA99A" w14:textId="77777777" w:rsidR="00577B3A" w:rsidRPr="005E3B43" w:rsidRDefault="00577B3A" w:rsidP="00763BCF">
      <w:pPr>
        <w:pStyle w:val="subsection"/>
      </w:pPr>
      <w:r w:rsidRPr="005E3B43">
        <w:tab/>
        <w:t>(2)</w:t>
      </w:r>
      <w:r w:rsidRPr="005E3B43">
        <w:tab/>
        <w:t>If the person changes his, her or its name or, being a corporation, amalgamates with another corporation under a name that is different from the name entered in the Register, the person must, within 3 months after the change of name or amalgamation, notify the Secretary, in a form or a manner approved by the Secretary, of the person’s new name and the circumstance giving rise to it.</w:t>
      </w:r>
    </w:p>
    <w:p w14:paraId="78A0382F" w14:textId="77777777" w:rsidR="00577B3A" w:rsidRPr="005E3B43" w:rsidRDefault="00577B3A" w:rsidP="00763BCF">
      <w:pPr>
        <w:pStyle w:val="SubsectionHead"/>
      </w:pPr>
      <w:r w:rsidRPr="005E3B43">
        <w:t>Secretary may request further information</w:t>
      </w:r>
    </w:p>
    <w:p w14:paraId="3598489A" w14:textId="77777777" w:rsidR="00577B3A" w:rsidRPr="005E3B43" w:rsidRDefault="00577B3A" w:rsidP="00763BCF">
      <w:pPr>
        <w:pStyle w:val="subsection"/>
      </w:pPr>
      <w:r w:rsidRPr="005E3B43">
        <w:tab/>
        <w:t>(3)</w:t>
      </w:r>
      <w:r w:rsidRPr="005E3B43">
        <w:tab/>
        <w:t>The Secretary may, in writing, request the person to provide further information to the Secretary about the change of name.</w:t>
      </w:r>
    </w:p>
    <w:p w14:paraId="2E261A95" w14:textId="77777777" w:rsidR="00577B3A" w:rsidRPr="005E3B43" w:rsidRDefault="00577B3A" w:rsidP="00763BCF">
      <w:pPr>
        <w:pStyle w:val="SubsectionHead"/>
      </w:pPr>
      <w:r w:rsidRPr="005E3B43">
        <w:lastRenderedPageBreak/>
        <w:t>Secretary must amend the Register and provide new certificate</w:t>
      </w:r>
    </w:p>
    <w:p w14:paraId="06D6896B" w14:textId="77777777" w:rsidR="00577B3A" w:rsidRPr="005E3B43" w:rsidRDefault="00577B3A" w:rsidP="00763BCF">
      <w:pPr>
        <w:pStyle w:val="subsection"/>
      </w:pPr>
      <w:r w:rsidRPr="005E3B43">
        <w:tab/>
        <w:t>(4)</w:t>
      </w:r>
      <w:r w:rsidRPr="005E3B43">
        <w:tab/>
        <w:t>If the person notifies the Secretary under subregulation (2) of a new name, and the person also provides any further information requested under subregulation (3), the Secretary must:</w:t>
      </w:r>
    </w:p>
    <w:p w14:paraId="6F6285B1" w14:textId="77777777" w:rsidR="00577B3A" w:rsidRPr="005E3B43" w:rsidRDefault="00577B3A" w:rsidP="00763BCF">
      <w:pPr>
        <w:pStyle w:val="paragraph"/>
      </w:pPr>
      <w:r w:rsidRPr="005E3B43">
        <w:tab/>
        <w:t>(a)</w:t>
      </w:r>
      <w:r w:rsidRPr="005E3B43">
        <w:tab/>
        <w:t>amend the Register by entering the new name as the name of the person in relation to whom the therapeutic goods are registered or listed; and</w:t>
      </w:r>
    </w:p>
    <w:p w14:paraId="31AFBD81" w14:textId="77777777" w:rsidR="00577B3A" w:rsidRPr="005E3B43" w:rsidRDefault="00577B3A" w:rsidP="00763BCF">
      <w:pPr>
        <w:pStyle w:val="paragraph"/>
      </w:pPr>
      <w:r w:rsidRPr="005E3B43">
        <w:tab/>
        <w:t>(b)</w:t>
      </w:r>
      <w:r w:rsidRPr="005E3B43">
        <w:tab/>
        <w:t>as soon as practicable after entering the new name:</w:t>
      </w:r>
    </w:p>
    <w:p w14:paraId="3E05CE69" w14:textId="77777777" w:rsidR="00577B3A" w:rsidRPr="005E3B43" w:rsidRDefault="00577B3A" w:rsidP="00763BCF">
      <w:pPr>
        <w:pStyle w:val="paragraphsub"/>
      </w:pPr>
      <w:r w:rsidRPr="005E3B43">
        <w:tab/>
        <w:t>(i)</w:t>
      </w:r>
      <w:r w:rsidRPr="005E3B43">
        <w:tab/>
      </w:r>
      <w:r w:rsidRPr="005E3B43">
        <w:rPr>
          <w:szCs w:val="22"/>
        </w:rPr>
        <w:t>inform the person that the new name has been entered in the Register; and</w:t>
      </w:r>
    </w:p>
    <w:p w14:paraId="7FCC7618" w14:textId="77777777" w:rsidR="00577B3A" w:rsidRPr="005E3B43" w:rsidRDefault="00577B3A" w:rsidP="00763BCF">
      <w:pPr>
        <w:pStyle w:val="paragraphsub"/>
      </w:pPr>
      <w:r w:rsidRPr="005E3B43">
        <w:tab/>
        <w:t>(ii)</w:t>
      </w:r>
      <w:r w:rsidRPr="005E3B43">
        <w:tab/>
      </w:r>
      <w:r w:rsidRPr="005E3B43">
        <w:rPr>
          <w:szCs w:val="22"/>
        </w:rPr>
        <w:t xml:space="preserve">make available to the person </w:t>
      </w:r>
      <w:r w:rsidRPr="005E3B43">
        <w:t>a new certificate of registration or listing.</w:t>
      </w:r>
    </w:p>
    <w:p w14:paraId="61DB82C2" w14:textId="77777777" w:rsidR="00E5654B" w:rsidRPr="005E3B43" w:rsidRDefault="00E5654B" w:rsidP="00763BCF">
      <w:pPr>
        <w:pStyle w:val="ActHead5"/>
      </w:pPr>
      <w:bookmarkStart w:id="33" w:name="_Toc187135628"/>
      <w:r w:rsidRPr="005E3B43">
        <w:rPr>
          <w:rStyle w:val="CharSectno"/>
        </w:rPr>
        <w:t>10B</w:t>
      </w:r>
      <w:r w:rsidR="00E20BA4" w:rsidRPr="005E3B43">
        <w:t xml:space="preserve">  </w:t>
      </w:r>
      <w:r w:rsidRPr="005E3B43">
        <w:t>Transfers within the Register</w:t>
      </w:r>
      <w:bookmarkEnd w:id="33"/>
    </w:p>
    <w:p w14:paraId="3D34390C" w14:textId="77777777" w:rsidR="00E5654B" w:rsidRPr="005E3B43" w:rsidRDefault="00E5654B" w:rsidP="00763BCF">
      <w:pPr>
        <w:pStyle w:val="subsection"/>
      </w:pPr>
      <w:r w:rsidRPr="005E3B43">
        <w:tab/>
        <w:t>(1)</w:t>
      </w:r>
      <w:r w:rsidRPr="005E3B43">
        <w:tab/>
        <w:t>The person in whose name goods (other than medical devices) are entered in the part of the Register for listed goods must apply to the Secretary to transfer the entry for the goods:</w:t>
      </w:r>
    </w:p>
    <w:p w14:paraId="177D62C5" w14:textId="77777777" w:rsidR="00E5654B" w:rsidRPr="005E3B43" w:rsidRDefault="00E5654B" w:rsidP="00763BCF">
      <w:pPr>
        <w:pStyle w:val="paragraph"/>
      </w:pPr>
      <w:r w:rsidRPr="005E3B43">
        <w:tab/>
        <w:t>(a)</w:t>
      </w:r>
      <w:r w:rsidRPr="005E3B43">
        <w:tab/>
        <w:t>if the goods become subject to inclusion in the part of the Register for registered goods</w:t>
      </w:r>
      <w:r w:rsidR="00E20BA4" w:rsidRPr="005E3B43">
        <w:t>—</w:t>
      </w:r>
      <w:r w:rsidRPr="005E3B43">
        <w:t>to the part of the Register for registered goods; or</w:t>
      </w:r>
    </w:p>
    <w:p w14:paraId="4042D823" w14:textId="77777777" w:rsidR="00E5654B" w:rsidRPr="005E3B43" w:rsidRDefault="00E5654B" w:rsidP="00763BCF">
      <w:pPr>
        <w:pStyle w:val="paragraph"/>
      </w:pPr>
      <w:r w:rsidRPr="005E3B43">
        <w:tab/>
        <w:t>(b)</w:t>
      </w:r>
      <w:r w:rsidRPr="005E3B43">
        <w:tab/>
        <w:t xml:space="preserve">if the goods are specified by the Secretary to be a biological under </w:t>
      </w:r>
      <w:r w:rsidR="00842CCD" w:rsidRPr="005E3B43">
        <w:t>subsection 3</w:t>
      </w:r>
      <w:r w:rsidRPr="005E3B43">
        <w:t>2A(2) of the Act</w:t>
      </w:r>
      <w:r w:rsidR="00E20BA4" w:rsidRPr="005E3B43">
        <w:t>—</w:t>
      </w:r>
      <w:r w:rsidRPr="005E3B43">
        <w:t>to the part of the Register for biologicals.</w:t>
      </w:r>
    </w:p>
    <w:p w14:paraId="5F6A95DF" w14:textId="77777777" w:rsidR="00E5654B" w:rsidRPr="005E3B43" w:rsidRDefault="00E5654B" w:rsidP="00763BCF">
      <w:pPr>
        <w:pStyle w:val="subsection"/>
      </w:pPr>
      <w:r w:rsidRPr="005E3B43">
        <w:tab/>
        <w:t>(2)</w:t>
      </w:r>
      <w:r w:rsidRPr="005E3B43">
        <w:tab/>
        <w:t>If goods (other than medical devices) that are included in the part of the Register for registered goods become subject to inclusion in the part of the Register for listed goods, the person in whose name the goods are entered in the Register may apply to the Secretary:</w:t>
      </w:r>
    </w:p>
    <w:p w14:paraId="17048014" w14:textId="77777777" w:rsidR="00E5654B" w:rsidRPr="005E3B43" w:rsidRDefault="00E5654B" w:rsidP="00763BCF">
      <w:pPr>
        <w:pStyle w:val="paragraph"/>
      </w:pPr>
      <w:r w:rsidRPr="005E3B43">
        <w:tab/>
        <w:t>(a)</w:t>
      </w:r>
      <w:r w:rsidRPr="005E3B43">
        <w:tab/>
        <w:t>to transfer the entry for the goods to the part of the Register for listed goods; or</w:t>
      </w:r>
    </w:p>
    <w:p w14:paraId="22B2409B" w14:textId="77777777" w:rsidR="00E5654B" w:rsidRPr="005E3B43" w:rsidRDefault="00E5654B" w:rsidP="00763BCF">
      <w:pPr>
        <w:pStyle w:val="paragraph"/>
      </w:pPr>
      <w:r w:rsidRPr="005E3B43">
        <w:tab/>
        <w:t>(b)</w:t>
      </w:r>
      <w:r w:rsidRPr="005E3B43">
        <w:tab/>
        <w:t>to retain the entry in the part of the Register for registered goods.</w:t>
      </w:r>
    </w:p>
    <w:p w14:paraId="2B653CC6" w14:textId="77777777" w:rsidR="00E5654B" w:rsidRPr="005E3B43" w:rsidRDefault="00E5654B" w:rsidP="00763BCF">
      <w:pPr>
        <w:pStyle w:val="subsection"/>
      </w:pPr>
      <w:r w:rsidRPr="005E3B43">
        <w:tab/>
        <w:t>(3)</w:t>
      </w:r>
      <w:r w:rsidRPr="005E3B43">
        <w:tab/>
        <w:t xml:space="preserve">If goods (other than medical devices) that are included in the part of the Register for registered goods are specified by the Secretary to be a biological under </w:t>
      </w:r>
      <w:r w:rsidR="00842CCD" w:rsidRPr="005E3B43">
        <w:t>subsection 3</w:t>
      </w:r>
      <w:r w:rsidRPr="005E3B43">
        <w:t>2A(2) of the Act, the person in whose name the goods are entered in the Register must apply to the Secretary to transfer the entry for the goods to the part of the Register for biologicals.</w:t>
      </w:r>
    </w:p>
    <w:p w14:paraId="65D92FD3" w14:textId="59FB0A52" w:rsidR="00E5654B" w:rsidRPr="005E3B43" w:rsidRDefault="00E5654B" w:rsidP="00763BCF">
      <w:pPr>
        <w:pStyle w:val="subsection"/>
      </w:pPr>
      <w:r w:rsidRPr="005E3B43">
        <w:tab/>
        <w:t>(4)</w:t>
      </w:r>
      <w:r w:rsidRPr="005E3B43">
        <w:tab/>
        <w:t xml:space="preserve">If goods that are included in the Register under </w:t>
      </w:r>
      <w:r w:rsidR="00BB758E" w:rsidRPr="005E3B43">
        <w:t>Part 3</w:t>
      </w:r>
      <w:r w:rsidR="007C3215">
        <w:noBreakHyphen/>
      </w:r>
      <w:r w:rsidRPr="005E3B43">
        <w:t xml:space="preserve">2A of the Act cease to be a biological because of a determination made by the Secretary under </w:t>
      </w:r>
      <w:r w:rsidR="00842CCD" w:rsidRPr="005E3B43">
        <w:t>subsection 3</w:t>
      </w:r>
      <w:r w:rsidRPr="005E3B43">
        <w:t>2A(3) of the Act, the person in whose name the goods are included in the Register must apply to the Secretary to transfer the entry for the goods to the part of the Register for:</w:t>
      </w:r>
    </w:p>
    <w:p w14:paraId="580C9ED2" w14:textId="77777777" w:rsidR="00E5654B" w:rsidRPr="005E3B43" w:rsidRDefault="00E5654B" w:rsidP="00763BCF">
      <w:pPr>
        <w:pStyle w:val="paragraph"/>
      </w:pPr>
      <w:r w:rsidRPr="005E3B43">
        <w:tab/>
        <w:t>(a)</w:t>
      </w:r>
      <w:r w:rsidRPr="005E3B43">
        <w:tab/>
        <w:t>listed goods; or</w:t>
      </w:r>
    </w:p>
    <w:p w14:paraId="7735D113" w14:textId="77777777" w:rsidR="00E5654B" w:rsidRPr="005E3B43" w:rsidRDefault="00E5654B" w:rsidP="00763BCF">
      <w:pPr>
        <w:pStyle w:val="paragraph"/>
      </w:pPr>
      <w:r w:rsidRPr="005E3B43">
        <w:tab/>
        <w:t>(b)</w:t>
      </w:r>
      <w:r w:rsidRPr="005E3B43">
        <w:tab/>
        <w:t>registered goods; or</w:t>
      </w:r>
    </w:p>
    <w:p w14:paraId="66A2D098" w14:textId="77777777" w:rsidR="00E5654B" w:rsidRPr="005E3B43" w:rsidRDefault="00E5654B" w:rsidP="00763BCF">
      <w:pPr>
        <w:pStyle w:val="paragraph"/>
      </w:pPr>
      <w:r w:rsidRPr="005E3B43">
        <w:tab/>
        <w:t>(c)</w:t>
      </w:r>
      <w:r w:rsidRPr="005E3B43">
        <w:tab/>
        <w:t>medical devices.</w:t>
      </w:r>
    </w:p>
    <w:p w14:paraId="0F293974" w14:textId="77777777" w:rsidR="00E5654B" w:rsidRPr="005E3B43" w:rsidRDefault="00E5654B" w:rsidP="00763BCF">
      <w:pPr>
        <w:pStyle w:val="subsection"/>
      </w:pPr>
      <w:r w:rsidRPr="005E3B43">
        <w:tab/>
        <w:t>(5)</w:t>
      </w:r>
      <w:r w:rsidRPr="005E3B43">
        <w:tab/>
        <w:t>The person in whose name goods are included in the Register under Chapter</w:t>
      </w:r>
      <w:r w:rsidR="004E6D00" w:rsidRPr="005E3B43">
        <w:t> </w:t>
      </w:r>
      <w:r w:rsidRPr="005E3B43">
        <w:t xml:space="preserve">4 of the Act as a kind of medical device may apply to the Secretary to transfer the entry for the goods to the part of the Register for registered goods or the part of </w:t>
      </w:r>
      <w:r w:rsidRPr="005E3B43">
        <w:lastRenderedPageBreak/>
        <w:t>the Register for listed goods if the goods cease to be a medical device because of a declaration under subsection</w:t>
      </w:r>
      <w:r w:rsidR="004E6D00" w:rsidRPr="005E3B43">
        <w:t> </w:t>
      </w:r>
      <w:r w:rsidRPr="005E3B43">
        <w:t>41BD(3) of the Act.</w:t>
      </w:r>
    </w:p>
    <w:p w14:paraId="3B8DCFA3" w14:textId="77777777" w:rsidR="00E5654B" w:rsidRPr="005E3B43" w:rsidRDefault="00E5654B" w:rsidP="00763BCF">
      <w:pPr>
        <w:pStyle w:val="subsection"/>
      </w:pPr>
      <w:r w:rsidRPr="005E3B43">
        <w:tab/>
        <w:t>(6)</w:t>
      </w:r>
      <w:r w:rsidRPr="005E3B43">
        <w:tab/>
        <w:t>The person in whose name goods are included in a part of the Register must apply to the Secretary to transfer the entry for the goods to the part of the Register for biologicals if the goods:</w:t>
      </w:r>
    </w:p>
    <w:p w14:paraId="4A637868" w14:textId="77777777" w:rsidR="00E5654B" w:rsidRPr="005E3B43" w:rsidRDefault="00E5654B" w:rsidP="00763BCF">
      <w:pPr>
        <w:pStyle w:val="paragraph"/>
      </w:pPr>
      <w:r w:rsidRPr="005E3B43">
        <w:tab/>
        <w:t>(a)</w:t>
      </w:r>
      <w:r w:rsidRPr="005E3B43">
        <w:tab/>
        <w:t>are included in the Register as a medical device under Chapter</w:t>
      </w:r>
      <w:r w:rsidR="004E6D00" w:rsidRPr="005E3B43">
        <w:t> </w:t>
      </w:r>
      <w:r w:rsidRPr="005E3B43">
        <w:t>4 of the Act; and</w:t>
      </w:r>
    </w:p>
    <w:p w14:paraId="650EFF9A" w14:textId="77777777" w:rsidR="00E5654B" w:rsidRPr="005E3B43" w:rsidRDefault="00E5654B" w:rsidP="00763BCF">
      <w:pPr>
        <w:pStyle w:val="paragraph"/>
      </w:pPr>
      <w:r w:rsidRPr="005E3B43">
        <w:tab/>
        <w:t>(b)</w:t>
      </w:r>
      <w:r w:rsidRPr="005E3B43">
        <w:tab/>
        <w:t>cease to be a medical device because of a declaration under subsection</w:t>
      </w:r>
      <w:r w:rsidR="004E6D00" w:rsidRPr="005E3B43">
        <w:t> </w:t>
      </w:r>
      <w:r w:rsidRPr="005E3B43">
        <w:t>41BD(3) of the Act; and</w:t>
      </w:r>
    </w:p>
    <w:p w14:paraId="0B709E46" w14:textId="77777777" w:rsidR="00E5654B" w:rsidRPr="005E3B43" w:rsidRDefault="00E5654B" w:rsidP="00763BCF">
      <w:pPr>
        <w:pStyle w:val="paragraph"/>
      </w:pPr>
      <w:r w:rsidRPr="005E3B43">
        <w:tab/>
        <w:t>(c)</w:t>
      </w:r>
      <w:r w:rsidRPr="005E3B43">
        <w:tab/>
        <w:t>are a biological.</w:t>
      </w:r>
    </w:p>
    <w:p w14:paraId="7A74A969" w14:textId="77777777" w:rsidR="00E5654B" w:rsidRPr="005E3B43" w:rsidRDefault="00E5654B" w:rsidP="00763BCF">
      <w:pPr>
        <w:pStyle w:val="subsection"/>
      </w:pPr>
      <w:r w:rsidRPr="005E3B43">
        <w:tab/>
        <w:t>(7)</w:t>
      </w:r>
      <w:r w:rsidRPr="005E3B43">
        <w:tab/>
        <w:t>An application under subregulation</w:t>
      </w:r>
      <w:r w:rsidR="002B4943" w:rsidRPr="005E3B43">
        <w:t> </w:t>
      </w:r>
      <w:r w:rsidRPr="005E3B43">
        <w:t>(1), (3), (4) or (6) must be made:</w:t>
      </w:r>
    </w:p>
    <w:p w14:paraId="68941402" w14:textId="77777777" w:rsidR="00E5654B" w:rsidRPr="005E3B43" w:rsidRDefault="00E5654B" w:rsidP="00763BCF">
      <w:pPr>
        <w:pStyle w:val="paragraph"/>
      </w:pPr>
      <w:r w:rsidRPr="005E3B43">
        <w:tab/>
        <w:t>(a)</w:t>
      </w:r>
      <w:r w:rsidRPr="005E3B43">
        <w:tab/>
        <w:t>if the Secretary notifies the person in whose name the goods are entered in the Register of a reasonable period within which the application must be made</w:t>
      </w:r>
      <w:r w:rsidR="00E20BA4" w:rsidRPr="005E3B43">
        <w:t>—</w:t>
      </w:r>
      <w:r w:rsidRPr="005E3B43">
        <w:t>within that period; or</w:t>
      </w:r>
    </w:p>
    <w:p w14:paraId="13D07C1A" w14:textId="77777777" w:rsidR="00E5654B" w:rsidRPr="005E3B43" w:rsidRDefault="00E5654B" w:rsidP="00763BCF">
      <w:pPr>
        <w:pStyle w:val="paragraph"/>
      </w:pPr>
      <w:r w:rsidRPr="005E3B43">
        <w:tab/>
        <w:t>(b)</w:t>
      </w:r>
      <w:r w:rsidRPr="005E3B43">
        <w:tab/>
        <w:t>in any other case</w:t>
      </w:r>
      <w:r w:rsidR="00E20BA4" w:rsidRPr="005E3B43">
        <w:t>—</w:t>
      </w:r>
      <w:r w:rsidRPr="005E3B43">
        <w:t>within 15 months after the day when the goods:</w:t>
      </w:r>
    </w:p>
    <w:p w14:paraId="4035B016" w14:textId="77777777" w:rsidR="00E5654B" w:rsidRPr="005E3B43" w:rsidRDefault="00E5654B" w:rsidP="00763BCF">
      <w:pPr>
        <w:pStyle w:val="paragraphsub"/>
      </w:pPr>
      <w:r w:rsidRPr="005E3B43">
        <w:tab/>
        <w:t>(i)</w:t>
      </w:r>
      <w:r w:rsidRPr="005E3B43">
        <w:tab/>
        <w:t>became subject to inclusion in the part of the Register for registered goods; or</w:t>
      </w:r>
    </w:p>
    <w:p w14:paraId="66B11022" w14:textId="77777777" w:rsidR="00E5654B" w:rsidRPr="005E3B43" w:rsidRDefault="00E5654B" w:rsidP="00763BCF">
      <w:pPr>
        <w:pStyle w:val="paragraphsub"/>
      </w:pPr>
      <w:r w:rsidRPr="005E3B43">
        <w:tab/>
        <w:t>(ii)</w:t>
      </w:r>
      <w:r w:rsidRPr="005E3B43">
        <w:tab/>
        <w:t xml:space="preserve">were specified by the Secretary to be a biological under </w:t>
      </w:r>
      <w:r w:rsidR="00842CCD" w:rsidRPr="005E3B43">
        <w:t>subsection 3</w:t>
      </w:r>
      <w:r w:rsidRPr="005E3B43">
        <w:t>2A(2) of the Act.</w:t>
      </w:r>
    </w:p>
    <w:p w14:paraId="31C4E7E1" w14:textId="77777777" w:rsidR="00E5654B" w:rsidRPr="005E3B43" w:rsidRDefault="00E20BA4" w:rsidP="00763BCF">
      <w:pPr>
        <w:pStyle w:val="Penalty"/>
      </w:pPr>
      <w:r w:rsidRPr="005E3B43">
        <w:t>Penalty:</w:t>
      </w:r>
      <w:r w:rsidRPr="005E3B43">
        <w:tab/>
      </w:r>
      <w:r w:rsidR="00E5654B" w:rsidRPr="005E3B43">
        <w:t>5 penalty units.</w:t>
      </w:r>
    </w:p>
    <w:p w14:paraId="6A00826B" w14:textId="77777777" w:rsidR="00E5654B" w:rsidRPr="005E3B43" w:rsidRDefault="00E5654B" w:rsidP="00763BCF">
      <w:pPr>
        <w:pStyle w:val="subsection"/>
      </w:pPr>
      <w:r w:rsidRPr="005E3B43">
        <w:tab/>
        <w:t>(8)</w:t>
      </w:r>
      <w:r w:rsidRPr="005E3B43">
        <w:tab/>
        <w:t>An offence under subregulation (7) is an offence of strict liability.</w:t>
      </w:r>
    </w:p>
    <w:p w14:paraId="3098415A" w14:textId="77777777" w:rsidR="00E5654B" w:rsidRPr="005E3B43" w:rsidRDefault="00E20BA4" w:rsidP="00763BCF">
      <w:pPr>
        <w:pStyle w:val="notetext"/>
      </w:pPr>
      <w:r w:rsidRPr="005E3B43">
        <w:t>Note:</w:t>
      </w:r>
      <w:r w:rsidRPr="005E3B43">
        <w:tab/>
      </w:r>
      <w:r w:rsidR="00E5654B" w:rsidRPr="005E3B43">
        <w:t xml:space="preserve">For </w:t>
      </w:r>
      <w:r w:rsidR="00E5654B" w:rsidRPr="005E3B43">
        <w:rPr>
          <w:b/>
          <w:i/>
        </w:rPr>
        <w:t>strict liability</w:t>
      </w:r>
      <w:r w:rsidR="00E5654B" w:rsidRPr="005E3B43">
        <w:t>, see section</w:t>
      </w:r>
      <w:r w:rsidR="004E6D00" w:rsidRPr="005E3B43">
        <w:t> </w:t>
      </w:r>
      <w:r w:rsidR="00E5654B" w:rsidRPr="005E3B43">
        <w:t xml:space="preserve">6.1 of the </w:t>
      </w:r>
      <w:r w:rsidR="00E5654B" w:rsidRPr="005E3B43">
        <w:rPr>
          <w:i/>
        </w:rPr>
        <w:t>Criminal Code</w:t>
      </w:r>
      <w:r w:rsidR="00E5654B" w:rsidRPr="005E3B43">
        <w:t>.</w:t>
      </w:r>
    </w:p>
    <w:p w14:paraId="5C0FE48C" w14:textId="77777777" w:rsidR="00E5654B" w:rsidRPr="005E3B43" w:rsidRDefault="00E5654B" w:rsidP="00763BCF">
      <w:pPr>
        <w:pStyle w:val="subsection"/>
      </w:pPr>
      <w:r w:rsidRPr="005E3B43">
        <w:tab/>
        <w:t>(9)</w:t>
      </w:r>
      <w:r w:rsidRPr="005E3B43">
        <w:tab/>
        <w:t xml:space="preserve">In determining a period of notice for </w:t>
      </w:r>
      <w:r w:rsidR="004E6D00" w:rsidRPr="005E3B43">
        <w:t>paragraph (</w:t>
      </w:r>
      <w:r w:rsidRPr="005E3B43">
        <w:t>7)(a), the Secretary must consider:</w:t>
      </w:r>
    </w:p>
    <w:p w14:paraId="68BFBA4E" w14:textId="77777777" w:rsidR="00E5654B" w:rsidRPr="005E3B43" w:rsidRDefault="00E5654B" w:rsidP="00763BCF">
      <w:pPr>
        <w:pStyle w:val="paragraph"/>
      </w:pPr>
      <w:r w:rsidRPr="005E3B43">
        <w:tab/>
        <w:t>(a)</w:t>
      </w:r>
      <w:r w:rsidRPr="005E3B43">
        <w:tab/>
        <w:t>the ability of the person in whose name the goods are entered in the Register to provide the information necessary to support the transfer of the entry; and</w:t>
      </w:r>
    </w:p>
    <w:p w14:paraId="1E5B2E4F" w14:textId="77777777" w:rsidR="00E5654B" w:rsidRPr="005E3B43" w:rsidRDefault="00E5654B" w:rsidP="00763BCF">
      <w:pPr>
        <w:pStyle w:val="paragraph"/>
      </w:pPr>
      <w:r w:rsidRPr="005E3B43">
        <w:tab/>
        <w:t>(b)</w:t>
      </w:r>
      <w:r w:rsidRPr="005E3B43">
        <w:tab/>
        <w:t>the reasons for the transfer in relation to the protection of the public.</w:t>
      </w:r>
    </w:p>
    <w:p w14:paraId="2B0C5CB9" w14:textId="250BD416" w:rsidR="00E5654B" w:rsidRPr="005E3B43" w:rsidRDefault="00E5654B" w:rsidP="00763BCF">
      <w:pPr>
        <w:pStyle w:val="subsection"/>
      </w:pPr>
      <w:r w:rsidRPr="005E3B43">
        <w:tab/>
        <w:t>(10)</w:t>
      </w:r>
      <w:r w:rsidRPr="005E3B43">
        <w:tab/>
        <w:t>It is not an offence for the sponsor of goods to which subregulation</w:t>
      </w:r>
      <w:r w:rsidR="002B4943" w:rsidRPr="005E3B43">
        <w:t> </w:t>
      </w:r>
      <w:r w:rsidRPr="005E3B43">
        <w:t>(1), (3), (4) or (6) applies to import, export, supply or manufacture the goods as listed goods, registered goods, medical devices included in the Register under Chapter</w:t>
      </w:r>
      <w:r w:rsidR="004E6D00" w:rsidRPr="005E3B43">
        <w:t> </w:t>
      </w:r>
      <w:r w:rsidRPr="005E3B43">
        <w:t xml:space="preserve">4 of the Act or biologicals included in the Register under </w:t>
      </w:r>
      <w:r w:rsidR="00BB758E" w:rsidRPr="005E3B43">
        <w:t>Part 3</w:t>
      </w:r>
      <w:r w:rsidR="007C3215">
        <w:noBreakHyphen/>
      </w:r>
      <w:r w:rsidRPr="005E3B43">
        <w:t>2A of the Act until the later of:</w:t>
      </w:r>
    </w:p>
    <w:p w14:paraId="144DFEC0" w14:textId="77777777" w:rsidR="00E5654B" w:rsidRPr="005E3B43" w:rsidRDefault="00E5654B" w:rsidP="00763BCF">
      <w:pPr>
        <w:pStyle w:val="paragraph"/>
      </w:pPr>
      <w:r w:rsidRPr="005E3B43">
        <w:tab/>
        <w:t>(a)</w:t>
      </w:r>
      <w:r w:rsidRPr="005E3B43">
        <w:tab/>
        <w:t>expiry of the time for making the application under subregulation</w:t>
      </w:r>
      <w:r w:rsidR="002B4943" w:rsidRPr="005E3B43">
        <w:t> </w:t>
      </w:r>
      <w:r w:rsidRPr="005E3B43">
        <w:t>(7); or</w:t>
      </w:r>
    </w:p>
    <w:p w14:paraId="0F32C18D" w14:textId="77777777" w:rsidR="00E5654B" w:rsidRPr="005E3B43" w:rsidRDefault="00E5654B" w:rsidP="00763BCF">
      <w:pPr>
        <w:pStyle w:val="paragraph"/>
      </w:pPr>
      <w:r w:rsidRPr="005E3B43">
        <w:tab/>
        <w:t>(b)</w:t>
      </w:r>
      <w:r w:rsidRPr="005E3B43">
        <w:tab/>
        <w:t>if an application is made</w:t>
      </w:r>
      <w:r w:rsidR="00E20BA4" w:rsidRPr="005E3B43">
        <w:t>—</w:t>
      </w:r>
      <w:r w:rsidRPr="005E3B43">
        <w:t>when the application is determined.</w:t>
      </w:r>
    </w:p>
    <w:p w14:paraId="293801BC" w14:textId="77777777" w:rsidR="00E5654B" w:rsidRPr="005E3B43" w:rsidRDefault="00E5654B" w:rsidP="00763BCF">
      <w:pPr>
        <w:pStyle w:val="subsection"/>
      </w:pPr>
      <w:r w:rsidRPr="005E3B43">
        <w:tab/>
        <w:t>(11)</w:t>
      </w:r>
      <w:r w:rsidRPr="005E3B43">
        <w:tab/>
        <w:t>An application under this regulation is taken to be an application for registration, listing or inclusion of the goods.</w:t>
      </w:r>
    </w:p>
    <w:p w14:paraId="64A75606" w14:textId="52AEE98D" w:rsidR="00207B1C" w:rsidRPr="005E3B43" w:rsidRDefault="00207B1C" w:rsidP="00763BCF">
      <w:pPr>
        <w:pStyle w:val="ActHead5"/>
      </w:pPr>
      <w:bookmarkStart w:id="34" w:name="_Toc187135629"/>
      <w:r w:rsidRPr="005E3B43">
        <w:rPr>
          <w:rStyle w:val="CharSectno"/>
        </w:rPr>
        <w:lastRenderedPageBreak/>
        <w:t>10C</w:t>
      </w:r>
      <w:r w:rsidR="00E20BA4" w:rsidRPr="005E3B43">
        <w:t xml:space="preserve">  </w:t>
      </w:r>
      <w:r w:rsidRPr="005E3B43">
        <w:t>Re</w:t>
      </w:r>
      <w:r w:rsidR="007C3215">
        <w:noBreakHyphen/>
      </w:r>
      <w:r w:rsidRPr="005E3B43">
        <w:t>assignment of registration or listing numbers</w:t>
      </w:r>
      <w:bookmarkEnd w:id="34"/>
    </w:p>
    <w:p w14:paraId="029BFE06" w14:textId="77777777" w:rsidR="00207B1C" w:rsidRPr="005E3B43" w:rsidRDefault="00207B1C" w:rsidP="00763BCF">
      <w:pPr>
        <w:pStyle w:val="subsection"/>
      </w:pPr>
      <w:r w:rsidRPr="005E3B43">
        <w:tab/>
        <w:t>(1)</w:t>
      </w:r>
      <w:r w:rsidRPr="005E3B43">
        <w:tab/>
        <w:t>A person in whose name therapeutic goods or grouped therapeutic goods are registered or listed may apply for the therapeutic goods to be assigned a different registration or listing number.</w:t>
      </w:r>
    </w:p>
    <w:p w14:paraId="356CD77D" w14:textId="77777777" w:rsidR="00207B1C" w:rsidRPr="005E3B43" w:rsidRDefault="00207B1C" w:rsidP="00763BCF">
      <w:pPr>
        <w:pStyle w:val="subsection"/>
      </w:pPr>
      <w:r w:rsidRPr="005E3B43">
        <w:tab/>
        <w:t>(2)</w:t>
      </w:r>
      <w:r w:rsidRPr="005E3B43">
        <w:tab/>
        <w:t>An application:</w:t>
      </w:r>
    </w:p>
    <w:p w14:paraId="2B93AFCE" w14:textId="77777777" w:rsidR="00207B1C" w:rsidRPr="005E3B43" w:rsidRDefault="00207B1C" w:rsidP="00763BCF">
      <w:pPr>
        <w:pStyle w:val="paragraph"/>
      </w:pPr>
      <w:r w:rsidRPr="005E3B43">
        <w:tab/>
        <w:t>(a)</w:t>
      </w:r>
      <w:r w:rsidRPr="005E3B43">
        <w:tab/>
        <w:t>must be made in writing to the Secretary and delivered to an office of the Department; and</w:t>
      </w:r>
    </w:p>
    <w:p w14:paraId="5BCC30B3" w14:textId="77777777" w:rsidR="00207B1C" w:rsidRPr="005E3B43" w:rsidRDefault="00207B1C" w:rsidP="00763BCF">
      <w:pPr>
        <w:pStyle w:val="paragraph"/>
      </w:pPr>
      <w:r w:rsidRPr="005E3B43">
        <w:tab/>
        <w:t>(b)</w:t>
      </w:r>
      <w:r w:rsidRPr="005E3B43">
        <w:tab/>
        <w:t>must have with it written information in such detail as is reasonably necessary to allow the application to be properly considered; and</w:t>
      </w:r>
    </w:p>
    <w:p w14:paraId="43752C14" w14:textId="77777777" w:rsidR="00207B1C" w:rsidRPr="005E3B43" w:rsidRDefault="00207B1C" w:rsidP="00763BCF">
      <w:pPr>
        <w:pStyle w:val="paragraph"/>
      </w:pPr>
      <w:r w:rsidRPr="005E3B43">
        <w:tab/>
        <w:t>(c)</w:t>
      </w:r>
      <w:r w:rsidRPr="005E3B43">
        <w:tab/>
        <w:t xml:space="preserve">may contain a nomination referred to in </w:t>
      </w:r>
      <w:r w:rsidR="004E6D00" w:rsidRPr="005E3B43">
        <w:t>subparagraph (</w:t>
      </w:r>
      <w:r w:rsidRPr="005E3B43">
        <w:t>6)(b)(ii).</w:t>
      </w:r>
    </w:p>
    <w:p w14:paraId="0128C812" w14:textId="77777777" w:rsidR="00207B1C" w:rsidRPr="005E3B43" w:rsidRDefault="00207B1C" w:rsidP="00763BCF">
      <w:pPr>
        <w:pStyle w:val="subsection"/>
      </w:pPr>
      <w:r w:rsidRPr="005E3B43">
        <w:tab/>
        <w:t>(3)</w:t>
      </w:r>
      <w:r w:rsidRPr="005E3B43">
        <w:tab/>
        <w:t>The Secretary may assign to therapeutic goods that:</w:t>
      </w:r>
    </w:p>
    <w:p w14:paraId="149014FC" w14:textId="77777777" w:rsidR="00207B1C" w:rsidRPr="005E3B43" w:rsidRDefault="00207B1C" w:rsidP="00763BCF">
      <w:pPr>
        <w:pStyle w:val="paragraph"/>
      </w:pPr>
      <w:r w:rsidRPr="005E3B43">
        <w:tab/>
        <w:t>(a)</w:t>
      </w:r>
      <w:r w:rsidRPr="005E3B43">
        <w:tab/>
        <w:t>were grouped therapeutic goods when a registration or listing number was assigned, or last assigned, to the goods; and</w:t>
      </w:r>
    </w:p>
    <w:p w14:paraId="7681D519" w14:textId="77777777" w:rsidR="00207B1C" w:rsidRPr="005E3B43" w:rsidRDefault="00207B1C" w:rsidP="00763BCF">
      <w:pPr>
        <w:pStyle w:val="paragraph"/>
      </w:pPr>
      <w:r w:rsidRPr="005E3B43">
        <w:tab/>
        <w:t>(b)</w:t>
      </w:r>
      <w:r w:rsidRPr="005E3B43">
        <w:tab/>
        <w:t>are not grouped therapeutic goods when:</w:t>
      </w:r>
    </w:p>
    <w:p w14:paraId="6DD90558" w14:textId="77777777" w:rsidR="00207B1C" w:rsidRPr="005E3B43" w:rsidRDefault="00207B1C" w:rsidP="00763BCF">
      <w:pPr>
        <w:pStyle w:val="paragraphsub"/>
      </w:pPr>
      <w:r w:rsidRPr="005E3B43">
        <w:tab/>
        <w:t>(i)</w:t>
      </w:r>
      <w:r w:rsidRPr="005E3B43">
        <w:tab/>
        <w:t>the application is decided; or</w:t>
      </w:r>
    </w:p>
    <w:p w14:paraId="39AF00B9" w14:textId="0CCD1691" w:rsidR="00207B1C" w:rsidRPr="005E3B43" w:rsidRDefault="00207B1C" w:rsidP="00763BCF">
      <w:pPr>
        <w:pStyle w:val="paragraphsub"/>
      </w:pPr>
      <w:r w:rsidRPr="005E3B43">
        <w:tab/>
        <w:t>(ii)</w:t>
      </w:r>
      <w:r w:rsidRPr="005E3B43">
        <w:tab/>
        <w:t xml:space="preserve">an order is made under </w:t>
      </w:r>
      <w:r w:rsidR="007C3215">
        <w:t>section 1</w:t>
      </w:r>
      <w:r w:rsidRPr="005E3B43">
        <w:t>6 of the Act in relation to the goods;</w:t>
      </w:r>
    </w:p>
    <w:p w14:paraId="09BB8783" w14:textId="77777777" w:rsidR="00207B1C" w:rsidRPr="005E3B43" w:rsidRDefault="00207B1C" w:rsidP="00763BCF">
      <w:pPr>
        <w:pStyle w:val="subsection2"/>
      </w:pPr>
      <w:r w:rsidRPr="005E3B43">
        <w:t>a registration or listing number that is not assigned to other therapeutic goods or grouped therapeutic goods.</w:t>
      </w:r>
    </w:p>
    <w:p w14:paraId="7A4A58F2" w14:textId="77777777" w:rsidR="00207B1C" w:rsidRPr="005E3B43" w:rsidRDefault="00207B1C" w:rsidP="00763BCF">
      <w:pPr>
        <w:pStyle w:val="subsection"/>
      </w:pPr>
      <w:r w:rsidRPr="005E3B43">
        <w:tab/>
        <w:t>(5)</w:t>
      </w:r>
      <w:r w:rsidRPr="005E3B43">
        <w:tab/>
        <w:t>The Secretary must assign to therapeutic goods that:</w:t>
      </w:r>
    </w:p>
    <w:p w14:paraId="11432A23" w14:textId="77777777" w:rsidR="00207B1C" w:rsidRPr="005E3B43" w:rsidRDefault="00207B1C" w:rsidP="00763BCF">
      <w:pPr>
        <w:pStyle w:val="paragraph"/>
      </w:pPr>
      <w:r w:rsidRPr="005E3B43">
        <w:tab/>
        <w:t>(a)</w:t>
      </w:r>
      <w:r w:rsidRPr="005E3B43">
        <w:tab/>
        <w:t>were not grouped therapeutic goods when a registration or listing number was assigned, or last assigned, to the goods; and</w:t>
      </w:r>
    </w:p>
    <w:p w14:paraId="58B43BAF" w14:textId="77777777" w:rsidR="00207B1C" w:rsidRPr="005E3B43" w:rsidRDefault="00207B1C" w:rsidP="00763BCF">
      <w:pPr>
        <w:pStyle w:val="paragraph"/>
      </w:pPr>
      <w:r w:rsidRPr="005E3B43">
        <w:tab/>
        <w:t>(b)</w:t>
      </w:r>
      <w:r w:rsidRPr="005E3B43">
        <w:tab/>
        <w:t>are grouped therapeutic goods when:</w:t>
      </w:r>
    </w:p>
    <w:p w14:paraId="1562808B" w14:textId="77777777" w:rsidR="00207B1C" w:rsidRPr="005E3B43" w:rsidRDefault="00207B1C" w:rsidP="00763BCF">
      <w:pPr>
        <w:pStyle w:val="paragraphsub"/>
      </w:pPr>
      <w:r w:rsidRPr="005E3B43">
        <w:tab/>
        <w:t>(i)</w:t>
      </w:r>
      <w:r w:rsidRPr="005E3B43">
        <w:tab/>
        <w:t>the application is decided; or</w:t>
      </w:r>
    </w:p>
    <w:p w14:paraId="7EEA1169" w14:textId="7315E6DF" w:rsidR="00207B1C" w:rsidRPr="005E3B43" w:rsidRDefault="00207B1C" w:rsidP="00763BCF">
      <w:pPr>
        <w:pStyle w:val="paragraphsub"/>
      </w:pPr>
      <w:r w:rsidRPr="005E3B43">
        <w:tab/>
        <w:t>(ii)</w:t>
      </w:r>
      <w:r w:rsidRPr="005E3B43">
        <w:tab/>
        <w:t xml:space="preserve">an order is made under </w:t>
      </w:r>
      <w:r w:rsidR="007C3215">
        <w:t>section 1</w:t>
      </w:r>
      <w:r w:rsidRPr="005E3B43">
        <w:t>6 of the Act in relation to the goods;</w:t>
      </w:r>
    </w:p>
    <w:p w14:paraId="74AADCD5" w14:textId="77777777" w:rsidR="00207B1C" w:rsidRPr="005E3B43" w:rsidRDefault="00207B1C" w:rsidP="00763BCF">
      <w:pPr>
        <w:pStyle w:val="subsection2"/>
      </w:pPr>
      <w:r w:rsidRPr="005E3B43">
        <w:t>a registration or listing number in accordance with subregulation</w:t>
      </w:r>
      <w:r w:rsidR="002B4943" w:rsidRPr="005E3B43">
        <w:t> </w:t>
      </w:r>
      <w:r w:rsidRPr="005E3B43">
        <w:t>(6).</w:t>
      </w:r>
    </w:p>
    <w:p w14:paraId="59E6C29A" w14:textId="77777777" w:rsidR="00207B1C" w:rsidRPr="005E3B43" w:rsidRDefault="00207B1C" w:rsidP="00763BCF">
      <w:pPr>
        <w:pStyle w:val="subsection"/>
      </w:pPr>
      <w:r w:rsidRPr="005E3B43">
        <w:tab/>
        <w:t>(6)</w:t>
      </w:r>
      <w:r w:rsidRPr="005E3B43">
        <w:tab/>
        <w:t>The Secretary:</w:t>
      </w:r>
    </w:p>
    <w:p w14:paraId="04C46517" w14:textId="77777777" w:rsidR="00207B1C" w:rsidRPr="005E3B43" w:rsidRDefault="00207B1C" w:rsidP="00763BCF">
      <w:pPr>
        <w:pStyle w:val="paragraph"/>
      </w:pPr>
      <w:r w:rsidRPr="005E3B43">
        <w:tab/>
        <w:t>(a)</w:t>
      </w:r>
      <w:r w:rsidRPr="005E3B43">
        <w:tab/>
        <w:t>may assign to grouped therapeutic goods to which subregulation</w:t>
      </w:r>
      <w:r w:rsidR="002B4943" w:rsidRPr="005E3B43">
        <w:t> </w:t>
      </w:r>
      <w:r w:rsidRPr="005E3B43">
        <w:t>(5) applies another registration or listing number; and</w:t>
      </w:r>
    </w:p>
    <w:p w14:paraId="7D66E058" w14:textId="77777777" w:rsidR="00207B1C" w:rsidRPr="005E3B43" w:rsidRDefault="00207B1C" w:rsidP="00763BCF">
      <w:pPr>
        <w:pStyle w:val="paragraph"/>
      </w:pPr>
      <w:r w:rsidRPr="005E3B43">
        <w:tab/>
        <w:t>(b)</w:t>
      </w:r>
      <w:r w:rsidRPr="005E3B43">
        <w:tab/>
        <w:t>must assign to those goods a registration or listing number that:</w:t>
      </w:r>
    </w:p>
    <w:p w14:paraId="6EB98AA0" w14:textId="77777777" w:rsidR="00207B1C" w:rsidRPr="005E3B43" w:rsidRDefault="00207B1C" w:rsidP="00763BCF">
      <w:pPr>
        <w:pStyle w:val="paragraphsub"/>
      </w:pPr>
      <w:r w:rsidRPr="005E3B43">
        <w:tab/>
        <w:t>(i)</w:t>
      </w:r>
      <w:r w:rsidRPr="005E3B43">
        <w:tab/>
        <w:t>was assigned, or last assigned, to the goods; and</w:t>
      </w:r>
    </w:p>
    <w:p w14:paraId="5F08034D" w14:textId="77777777" w:rsidR="00207B1C" w:rsidRPr="005E3B43" w:rsidRDefault="00207B1C" w:rsidP="00763BCF">
      <w:pPr>
        <w:pStyle w:val="paragraphsub"/>
      </w:pPr>
      <w:r w:rsidRPr="005E3B43">
        <w:tab/>
        <w:t>(ii)</w:t>
      </w:r>
      <w:r w:rsidRPr="005E3B43">
        <w:tab/>
        <w:t>is nominated by the person in whose name the goods are registered or listed;</w:t>
      </w:r>
    </w:p>
    <w:p w14:paraId="51737F75" w14:textId="77777777" w:rsidR="00207B1C" w:rsidRPr="005E3B43" w:rsidRDefault="00207B1C" w:rsidP="00763BCF">
      <w:pPr>
        <w:pStyle w:val="subsection2"/>
      </w:pPr>
      <w:r w:rsidRPr="005E3B43">
        <w:t>not being a registration or listing number that is assigned to other therapeutic goods or grouped therapeutic goods.</w:t>
      </w:r>
    </w:p>
    <w:p w14:paraId="56ED8737" w14:textId="77777777" w:rsidR="00207B1C" w:rsidRPr="005E3B43" w:rsidRDefault="00207B1C" w:rsidP="00763BCF">
      <w:pPr>
        <w:pStyle w:val="ActHead5"/>
      </w:pPr>
      <w:bookmarkStart w:id="35" w:name="_Toc187135630"/>
      <w:r w:rsidRPr="005E3B43">
        <w:rPr>
          <w:rStyle w:val="CharSectno"/>
        </w:rPr>
        <w:t>10D</w:t>
      </w:r>
      <w:r w:rsidR="00E20BA4" w:rsidRPr="005E3B43">
        <w:t xml:space="preserve">  </w:t>
      </w:r>
      <w:r w:rsidRPr="005E3B43">
        <w:t>Notice of reassignment of registration or listing numbers</w:t>
      </w:r>
      <w:bookmarkEnd w:id="35"/>
    </w:p>
    <w:p w14:paraId="71692F68" w14:textId="77777777" w:rsidR="00207B1C" w:rsidRPr="005E3B43" w:rsidRDefault="00207B1C" w:rsidP="00763BCF">
      <w:pPr>
        <w:pStyle w:val="subsection"/>
      </w:pPr>
      <w:r w:rsidRPr="005E3B43">
        <w:tab/>
      </w:r>
      <w:r w:rsidRPr="005E3B43">
        <w:tab/>
        <w:t>The Secretary must give notice, in writing, to a person in whose name therapeutic goods, or kinds of therapeutic goods, are registered or listed if a registration or listing number is assigned to the goods under regulation</w:t>
      </w:r>
      <w:r w:rsidR="004E6D00" w:rsidRPr="005E3B43">
        <w:t> </w:t>
      </w:r>
      <w:r w:rsidRPr="005E3B43">
        <w:t>10C.</w:t>
      </w:r>
    </w:p>
    <w:p w14:paraId="6B4C8E3B" w14:textId="40E015B4" w:rsidR="00207B1C" w:rsidRPr="005E3B43" w:rsidRDefault="007C3215" w:rsidP="00763BCF">
      <w:pPr>
        <w:pStyle w:val="ActHead3"/>
        <w:pageBreakBefore/>
      </w:pPr>
      <w:bookmarkStart w:id="36" w:name="_Toc187135631"/>
      <w:r>
        <w:rPr>
          <w:rStyle w:val="CharDivNo"/>
        </w:rPr>
        <w:lastRenderedPageBreak/>
        <w:t>Division 2</w:t>
      </w:r>
      <w:r w:rsidR="00207B1C" w:rsidRPr="005E3B43">
        <w:rPr>
          <w:rStyle w:val="CharDivNo"/>
        </w:rPr>
        <w:t>C.2</w:t>
      </w:r>
      <w:r w:rsidR="00E20BA4" w:rsidRPr="005E3B43">
        <w:t>—</w:t>
      </w:r>
      <w:r w:rsidR="00207B1C" w:rsidRPr="005E3B43">
        <w:rPr>
          <w:rStyle w:val="CharDivText"/>
        </w:rPr>
        <w:t>Medical devices included in the Register under Chapter</w:t>
      </w:r>
      <w:r w:rsidR="004E6D00" w:rsidRPr="005E3B43">
        <w:rPr>
          <w:rStyle w:val="CharDivText"/>
        </w:rPr>
        <w:t> </w:t>
      </w:r>
      <w:r w:rsidR="00207B1C" w:rsidRPr="005E3B43">
        <w:rPr>
          <w:rStyle w:val="CharDivText"/>
        </w:rPr>
        <w:t>4</w:t>
      </w:r>
      <w:bookmarkEnd w:id="36"/>
    </w:p>
    <w:p w14:paraId="72F96B89" w14:textId="77777777" w:rsidR="00207B1C" w:rsidRPr="005E3B43" w:rsidRDefault="00207B1C" w:rsidP="00763BCF">
      <w:pPr>
        <w:pStyle w:val="ActHead5"/>
      </w:pPr>
      <w:bookmarkStart w:id="37" w:name="_Toc187135632"/>
      <w:r w:rsidRPr="005E3B43">
        <w:rPr>
          <w:rStyle w:val="CharSectno"/>
        </w:rPr>
        <w:t>10E</w:t>
      </w:r>
      <w:r w:rsidR="00E20BA4" w:rsidRPr="005E3B43">
        <w:t xml:space="preserve">  </w:t>
      </w:r>
      <w:r w:rsidRPr="005E3B43">
        <w:t>Goods to be included in part of the Register for medical devices (Act s 9A)</w:t>
      </w:r>
      <w:bookmarkEnd w:id="37"/>
    </w:p>
    <w:p w14:paraId="659F5B95" w14:textId="77777777" w:rsidR="00207B1C" w:rsidRPr="005E3B43" w:rsidRDefault="00207B1C" w:rsidP="00763BCF">
      <w:pPr>
        <w:pStyle w:val="subsection"/>
      </w:pPr>
      <w:r w:rsidRPr="005E3B43">
        <w:tab/>
      </w:r>
      <w:r w:rsidRPr="005E3B43">
        <w:tab/>
        <w:t>For paragraph</w:t>
      </w:r>
      <w:r w:rsidR="004E6D00" w:rsidRPr="005E3B43">
        <w:t> </w:t>
      </w:r>
      <w:r w:rsidRPr="005E3B43">
        <w:t>9A(4)(a) of the Act, therapeutic goods, and classes of therapeutic goods, that are medical devices and that are included in the Register under Chapter</w:t>
      </w:r>
      <w:r w:rsidR="004E6D00" w:rsidRPr="005E3B43">
        <w:t> </w:t>
      </w:r>
      <w:r w:rsidRPr="005E3B43">
        <w:t>4 of the Act are to be included in the part of the Register for medical devices.</w:t>
      </w:r>
    </w:p>
    <w:p w14:paraId="2D8943DD" w14:textId="77777777" w:rsidR="00577B3A" w:rsidRPr="005E3B43" w:rsidRDefault="00577B3A" w:rsidP="00763BCF">
      <w:pPr>
        <w:pStyle w:val="ActHead5"/>
      </w:pPr>
      <w:bookmarkStart w:id="38" w:name="_Toc187135633"/>
      <w:r w:rsidRPr="005E3B43">
        <w:rPr>
          <w:rStyle w:val="CharSectno"/>
        </w:rPr>
        <w:t>10F</w:t>
      </w:r>
      <w:r w:rsidRPr="005E3B43">
        <w:t xml:space="preserve">  Change of person in relation to whom a medical device is included in the Register under Chapter</w:t>
      </w:r>
      <w:r w:rsidR="004E6D00" w:rsidRPr="005E3B43">
        <w:t> </w:t>
      </w:r>
      <w:r w:rsidRPr="005E3B43">
        <w:t>4 of the Act</w:t>
      </w:r>
      <w:bookmarkEnd w:id="38"/>
    </w:p>
    <w:p w14:paraId="05FD3BDF" w14:textId="77777777" w:rsidR="00577B3A" w:rsidRPr="005E3B43" w:rsidRDefault="00577B3A" w:rsidP="00763BCF">
      <w:pPr>
        <w:pStyle w:val="SubsectionHead"/>
      </w:pPr>
      <w:r w:rsidRPr="005E3B43">
        <w:t>Application</w:t>
      </w:r>
    </w:p>
    <w:p w14:paraId="5EEE9188" w14:textId="77777777" w:rsidR="00577B3A" w:rsidRPr="005E3B43" w:rsidRDefault="00577B3A" w:rsidP="00763BCF">
      <w:pPr>
        <w:pStyle w:val="subsection"/>
      </w:pPr>
      <w:r w:rsidRPr="005E3B43">
        <w:tab/>
        <w:t>(1)</w:t>
      </w:r>
      <w:r w:rsidRPr="005E3B43">
        <w:tab/>
        <w:t xml:space="preserve">This regulation applies in relation to a person (the </w:t>
      </w:r>
      <w:r w:rsidRPr="005E3B43">
        <w:rPr>
          <w:b/>
          <w:i/>
        </w:rPr>
        <w:t>relevant person</w:t>
      </w:r>
      <w:r w:rsidRPr="005E3B43">
        <w:t>) in relation to whom a kind of medical device is included in the Register under Chapter</w:t>
      </w:r>
      <w:r w:rsidR="004E6D00" w:rsidRPr="005E3B43">
        <w:t> </w:t>
      </w:r>
      <w:r w:rsidRPr="005E3B43">
        <w:t>4 of the Act.</w:t>
      </w:r>
    </w:p>
    <w:p w14:paraId="0151FF1A" w14:textId="77777777" w:rsidR="00577B3A" w:rsidRPr="005E3B43" w:rsidRDefault="00577B3A" w:rsidP="00763BCF">
      <w:pPr>
        <w:pStyle w:val="SubsectionHead"/>
      </w:pPr>
      <w:r w:rsidRPr="005E3B43">
        <w:t>Death of person</w:t>
      </w:r>
    </w:p>
    <w:p w14:paraId="41B4431D" w14:textId="77777777" w:rsidR="00577B3A" w:rsidRPr="005E3B43" w:rsidRDefault="00577B3A" w:rsidP="00763BCF">
      <w:pPr>
        <w:pStyle w:val="subsection"/>
      </w:pPr>
      <w:r w:rsidRPr="005E3B43">
        <w:tab/>
        <w:t>(2)</w:t>
      </w:r>
      <w:r w:rsidRPr="005E3B43">
        <w:tab/>
        <w:t xml:space="preserve">If the relevant person dies, the legal personal representative (the </w:t>
      </w:r>
      <w:r w:rsidRPr="005E3B43">
        <w:rPr>
          <w:b/>
          <w:i/>
        </w:rPr>
        <w:t>notifying person</w:t>
      </w:r>
      <w:r w:rsidRPr="005E3B43">
        <w:t>) of the dead person:</w:t>
      </w:r>
    </w:p>
    <w:p w14:paraId="3B7F91FE" w14:textId="77777777" w:rsidR="00577B3A" w:rsidRPr="005E3B43" w:rsidRDefault="00577B3A" w:rsidP="00763BCF">
      <w:pPr>
        <w:pStyle w:val="paragraph"/>
      </w:pPr>
      <w:r w:rsidRPr="005E3B43">
        <w:tab/>
        <w:t>(a)</w:t>
      </w:r>
      <w:r w:rsidRPr="005E3B43">
        <w:tab/>
        <w:t>is taken to be the person in relation to whom the kind of device is included in the Register under Chapter</w:t>
      </w:r>
      <w:r w:rsidR="004E6D00" w:rsidRPr="005E3B43">
        <w:t> </w:t>
      </w:r>
      <w:r w:rsidRPr="005E3B43">
        <w:t>4 of the Act; and</w:t>
      </w:r>
    </w:p>
    <w:p w14:paraId="28109624" w14:textId="77777777" w:rsidR="00577B3A" w:rsidRPr="005E3B43" w:rsidRDefault="00577B3A" w:rsidP="00763BCF">
      <w:pPr>
        <w:pStyle w:val="paragraph"/>
      </w:pPr>
      <w:r w:rsidRPr="005E3B43">
        <w:tab/>
        <w:t>(b)</w:t>
      </w:r>
      <w:r w:rsidRPr="005E3B43">
        <w:tab/>
        <w:t>must notify the Secretary, in a form or a manner approved by the Secretary, of the death within 3 months after it occurred.</w:t>
      </w:r>
    </w:p>
    <w:p w14:paraId="1F5CA6E4" w14:textId="77777777" w:rsidR="00577B3A" w:rsidRPr="005E3B43" w:rsidRDefault="00577B3A" w:rsidP="00763BCF">
      <w:pPr>
        <w:pStyle w:val="SubsectionHead"/>
      </w:pPr>
      <w:r w:rsidRPr="005E3B43">
        <w:t>Bankruptcy of person</w:t>
      </w:r>
    </w:p>
    <w:p w14:paraId="407B3B11" w14:textId="77777777" w:rsidR="00577B3A" w:rsidRPr="005E3B43" w:rsidRDefault="00577B3A" w:rsidP="00763BCF">
      <w:pPr>
        <w:pStyle w:val="subsection"/>
      </w:pPr>
      <w:r w:rsidRPr="005E3B43">
        <w:tab/>
        <w:t>(3)</w:t>
      </w:r>
      <w:r w:rsidRPr="005E3B43">
        <w:tab/>
        <w:t xml:space="preserve">If the relevant person becomes bankrupt, the trustee in bankruptcy (the </w:t>
      </w:r>
      <w:r w:rsidRPr="005E3B43">
        <w:rPr>
          <w:b/>
          <w:i/>
        </w:rPr>
        <w:t>notifying person</w:t>
      </w:r>
      <w:r w:rsidRPr="005E3B43">
        <w:t>) of the estate of the bankrupt:</w:t>
      </w:r>
    </w:p>
    <w:p w14:paraId="5295C488" w14:textId="77777777" w:rsidR="00577B3A" w:rsidRPr="005E3B43" w:rsidRDefault="00577B3A" w:rsidP="00763BCF">
      <w:pPr>
        <w:pStyle w:val="paragraph"/>
      </w:pPr>
      <w:r w:rsidRPr="005E3B43">
        <w:tab/>
        <w:t>(a)</w:t>
      </w:r>
      <w:r w:rsidRPr="005E3B43">
        <w:tab/>
        <w:t>is taken to be the person in relation to whom the kind of device is included in the Register under Chapter</w:t>
      </w:r>
      <w:r w:rsidR="004E6D00" w:rsidRPr="005E3B43">
        <w:t> </w:t>
      </w:r>
      <w:r w:rsidRPr="005E3B43">
        <w:t>4 of the Act; and</w:t>
      </w:r>
    </w:p>
    <w:p w14:paraId="56A16893" w14:textId="77777777" w:rsidR="00577B3A" w:rsidRPr="005E3B43" w:rsidRDefault="00577B3A" w:rsidP="00763BCF">
      <w:pPr>
        <w:pStyle w:val="paragraph"/>
      </w:pPr>
      <w:r w:rsidRPr="005E3B43">
        <w:tab/>
        <w:t>(b)</w:t>
      </w:r>
      <w:r w:rsidRPr="005E3B43">
        <w:tab/>
        <w:t>must notify the Secretary, in a form or a manner approved by the Secretary, of the bankruptcy within 3 months after the relevant person became bankrupt.</w:t>
      </w:r>
    </w:p>
    <w:p w14:paraId="0935C112" w14:textId="77777777" w:rsidR="00577B3A" w:rsidRPr="005E3B43" w:rsidRDefault="00577B3A" w:rsidP="00763BCF">
      <w:pPr>
        <w:pStyle w:val="SubsectionHead"/>
      </w:pPr>
      <w:r w:rsidRPr="005E3B43">
        <w:t>Winding up of body corporate</w:t>
      </w:r>
    </w:p>
    <w:p w14:paraId="6E3C9811" w14:textId="77777777" w:rsidR="00577B3A" w:rsidRPr="005E3B43" w:rsidRDefault="00577B3A" w:rsidP="00763BCF">
      <w:pPr>
        <w:pStyle w:val="subsection"/>
      </w:pPr>
      <w:r w:rsidRPr="005E3B43">
        <w:tab/>
        <w:t>(4)</w:t>
      </w:r>
      <w:r w:rsidRPr="005E3B43">
        <w:tab/>
        <w:t xml:space="preserve">If the relevant person is a body corporate that is being wound up, the liquidator (the </w:t>
      </w:r>
      <w:r w:rsidRPr="005E3B43">
        <w:rPr>
          <w:b/>
          <w:i/>
        </w:rPr>
        <w:t>notifying person</w:t>
      </w:r>
      <w:r w:rsidRPr="005E3B43">
        <w:t>) of the body corporate:</w:t>
      </w:r>
    </w:p>
    <w:p w14:paraId="25A2BDC9" w14:textId="77777777" w:rsidR="00577B3A" w:rsidRPr="005E3B43" w:rsidRDefault="00577B3A" w:rsidP="00763BCF">
      <w:pPr>
        <w:pStyle w:val="paragraph"/>
      </w:pPr>
      <w:r w:rsidRPr="005E3B43">
        <w:tab/>
        <w:t>(a)</w:t>
      </w:r>
      <w:r w:rsidRPr="005E3B43">
        <w:tab/>
        <w:t>is taken to be the person in relation to whom the kind of device is included in the Register under Chapter</w:t>
      </w:r>
      <w:r w:rsidR="004E6D00" w:rsidRPr="005E3B43">
        <w:t> </w:t>
      </w:r>
      <w:r w:rsidRPr="005E3B43">
        <w:t>4 of the Act; and</w:t>
      </w:r>
    </w:p>
    <w:p w14:paraId="6F579A5D" w14:textId="77777777" w:rsidR="00577B3A" w:rsidRPr="005E3B43" w:rsidRDefault="00577B3A" w:rsidP="00763BCF">
      <w:pPr>
        <w:pStyle w:val="paragraph"/>
      </w:pPr>
      <w:r w:rsidRPr="005E3B43">
        <w:tab/>
        <w:t>(b)</w:t>
      </w:r>
      <w:r w:rsidRPr="005E3B43">
        <w:tab/>
        <w:t>must notify the Secretary, in a form or a manner approved by the Secretary, of the winding up within 3 months after the body corporate is wound up.</w:t>
      </w:r>
    </w:p>
    <w:p w14:paraId="0EC9D388" w14:textId="77777777" w:rsidR="00577B3A" w:rsidRPr="005E3B43" w:rsidRDefault="00577B3A" w:rsidP="00763BCF">
      <w:pPr>
        <w:pStyle w:val="SubsectionHead"/>
      </w:pPr>
      <w:r w:rsidRPr="005E3B43">
        <w:lastRenderedPageBreak/>
        <w:t>Transfer or assignment of business</w:t>
      </w:r>
    </w:p>
    <w:p w14:paraId="6FC4B1B0" w14:textId="77777777" w:rsidR="00577B3A" w:rsidRPr="005E3B43" w:rsidRDefault="00577B3A" w:rsidP="00763BCF">
      <w:pPr>
        <w:pStyle w:val="subsection"/>
      </w:pPr>
      <w:r w:rsidRPr="005E3B43">
        <w:tab/>
        <w:t>(5)</w:t>
      </w:r>
      <w:r w:rsidRPr="005E3B43">
        <w:tab/>
        <w:t xml:space="preserve">If the relevant person transfers or assigns, in whole or in part, the business to which the kind of medical device relates or the person’s interest in the kind of medical device and also agrees to transfer or assign the inclusion of the kind of medical device in the Register, the person (the </w:t>
      </w:r>
      <w:r w:rsidRPr="005E3B43">
        <w:rPr>
          <w:b/>
          <w:i/>
        </w:rPr>
        <w:t>notifying person</w:t>
      </w:r>
      <w:r w:rsidRPr="005E3B43">
        <w:t>) to whom the business or interest is transferred or assigned:</w:t>
      </w:r>
    </w:p>
    <w:p w14:paraId="67E1B05C" w14:textId="77777777" w:rsidR="00577B3A" w:rsidRPr="005E3B43" w:rsidRDefault="00577B3A" w:rsidP="00763BCF">
      <w:pPr>
        <w:pStyle w:val="paragraph"/>
      </w:pPr>
      <w:r w:rsidRPr="005E3B43">
        <w:tab/>
        <w:t>(a)</w:t>
      </w:r>
      <w:r w:rsidRPr="005E3B43">
        <w:tab/>
        <w:t>is taken to be the person in relation to whom the kind of medical device is included in the Register under Chapter</w:t>
      </w:r>
      <w:r w:rsidR="004E6D00" w:rsidRPr="005E3B43">
        <w:t> </w:t>
      </w:r>
      <w:r w:rsidRPr="005E3B43">
        <w:t>4 of the Act; and</w:t>
      </w:r>
    </w:p>
    <w:p w14:paraId="5837AA56" w14:textId="77777777" w:rsidR="00577B3A" w:rsidRPr="005E3B43" w:rsidRDefault="00577B3A" w:rsidP="00763BCF">
      <w:pPr>
        <w:pStyle w:val="paragraph"/>
      </w:pPr>
      <w:r w:rsidRPr="005E3B43">
        <w:tab/>
        <w:t>(b)</w:t>
      </w:r>
      <w:r w:rsidRPr="005E3B43">
        <w:tab/>
        <w:t>must, within 3 months after the transfer or assignment, in a form or a manner approved by the Secretary, notify the Secretary in writing of the transfer or assignment.</w:t>
      </w:r>
    </w:p>
    <w:p w14:paraId="6A8E9B2D" w14:textId="77777777" w:rsidR="00577B3A" w:rsidRPr="005E3B43" w:rsidRDefault="00577B3A" w:rsidP="00763BCF">
      <w:pPr>
        <w:pStyle w:val="SubsectionHead"/>
      </w:pPr>
      <w:r w:rsidRPr="005E3B43">
        <w:t>Secretary may request further information</w:t>
      </w:r>
    </w:p>
    <w:p w14:paraId="7BE409CD" w14:textId="77777777" w:rsidR="00577B3A" w:rsidRPr="005E3B43" w:rsidRDefault="00577B3A" w:rsidP="00763BCF">
      <w:pPr>
        <w:pStyle w:val="subsection"/>
      </w:pPr>
      <w:r w:rsidRPr="005E3B43">
        <w:tab/>
        <w:t>(6)</w:t>
      </w:r>
      <w:r w:rsidRPr="005E3B43">
        <w:tab/>
        <w:t xml:space="preserve">If the notifying person notifies the Secretary of an event under </w:t>
      </w:r>
      <w:r w:rsidR="004E6D00" w:rsidRPr="005E3B43">
        <w:t>paragraph (</w:t>
      </w:r>
      <w:r w:rsidRPr="005E3B43">
        <w:t>2)(b), (3)(b), (4)(b) or (5)(b), the Secretary may, in writing, request the person to provide further information to the Secretary in relation to the event.</w:t>
      </w:r>
    </w:p>
    <w:p w14:paraId="7658F25C" w14:textId="77777777" w:rsidR="00577B3A" w:rsidRPr="005E3B43" w:rsidRDefault="00577B3A" w:rsidP="00763BCF">
      <w:pPr>
        <w:pStyle w:val="SubsectionHead"/>
      </w:pPr>
      <w:r w:rsidRPr="005E3B43">
        <w:t>Secretary must amend the Register and provide new certificate</w:t>
      </w:r>
    </w:p>
    <w:p w14:paraId="4D569B0C" w14:textId="77777777" w:rsidR="00577B3A" w:rsidRPr="005E3B43" w:rsidRDefault="00577B3A" w:rsidP="00763BCF">
      <w:pPr>
        <w:pStyle w:val="subsection"/>
      </w:pPr>
      <w:r w:rsidRPr="005E3B43">
        <w:tab/>
        <w:t>(7)</w:t>
      </w:r>
      <w:r w:rsidRPr="005E3B43">
        <w:tab/>
        <w:t xml:space="preserve">If the notifying person notifies the Secretary of an event under </w:t>
      </w:r>
      <w:r w:rsidR="004E6D00" w:rsidRPr="005E3B43">
        <w:t>paragraph (</w:t>
      </w:r>
      <w:r w:rsidRPr="005E3B43">
        <w:t>2)(b), (3)(b), (4)(b) or (5)(b), and the person also provides any further information requested under subregulation (6), the Secretary must:</w:t>
      </w:r>
    </w:p>
    <w:p w14:paraId="0E86FD4B" w14:textId="77777777" w:rsidR="00577B3A" w:rsidRPr="005E3B43" w:rsidRDefault="00577B3A" w:rsidP="00763BCF">
      <w:pPr>
        <w:pStyle w:val="paragraph"/>
      </w:pPr>
      <w:r w:rsidRPr="005E3B43">
        <w:tab/>
        <w:t>(a)</w:t>
      </w:r>
      <w:r w:rsidRPr="005E3B43">
        <w:tab/>
        <w:t>amend the Register accordingly; and</w:t>
      </w:r>
    </w:p>
    <w:p w14:paraId="6BAFE93B" w14:textId="77777777" w:rsidR="00577B3A" w:rsidRPr="005E3B43" w:rsidRDefault="00577B3A" w:rsidP="00763BCF">
      <w:pPr>
        <w:pStyle w:val="paragraph"/>
      </w:pPr>
      <w:r w:rsidRPr="005E3B43">
        <w:tab/>
        <w:t>(b)</w:t>
      </w:r>
      <w:r w:rsidRPr="005E3B43">
        <w:tab/>
        <w:t>as soon as practicable after amending the Register:</w:t>
      </w:r>
    </w:p>
    <w:p w14:paraId="5693651B" w14:textId="77777777" w:rsidR="00577B3A" w:rsidRPr="005E3B43" w:rsidRDefault="00577B3A" w:rsidP="00763BCF">
      <w:pPr>
        <w:pStyle w:val="paragraphsub"/>
      </w:pPr>
      <w:r w:rsidRPr="005E3B43">
        <w:tab/>
        <w:t>(i)</w:t>
      </w:r>
      <w:r w:rsidRPr="005E3B43">
        <w:tab/>
      </w:r>
      <w:r w:rsidRPr="005E3B43">
        <w:rPr>
          <w:szCs w:val="22"/>
        </w:rPr>
        <w:t>inform the person of the amendment; and</w:t>
      </w:r>
    </w:p>
    <w:p w14:paraId="6F9AB391" w14:textId="77777777" w:rsidR="00577B3A" w:rsidRPr="005E3B43" w:rsidRDefault="00577B3A" w:rsidP="00763BCF">
      <w:pPr>
        <w:pStyle w:val="paragraphsub"/>
      </w:pPr>
      <w:r w:rsidRPr="005E3B43">
        <w:tab/>
        <w:t>(ii)</w:t>
      </w:r>
      <w:r w:rsidRPr="005E3B43">
        <w:tab/>
      </w:r>
      <w:r w:rsidRPr="005E3B43">
        <w:rPr>
          <w:szCs w:val="22"/>
        </w:rPr>
        <w:t xml:space="preserve">make available to the person </w:t>
      </w:r>
      <w:r w:rsidRPr="005E3B43">
        <w:t>a certificate of the inclusion of the kind of device in the Register under Chapter</w:t>
      </w:r>
      <w:r w:rsidR="004E6D00" w:rsidRPr="005E3B43">
        <w:t> </w:t>
      </w:r>
      <w:r w:rsidRPr="005E3B43">
        <w:t>4 of the Act.</w:t>
      </w:r>
    </w:p>
    <w:p w14:paraId="1CE7BE0F" w14:textId="77777777" w:rsidR="00577B3A" w:rsidRPr="005E3B43" w:rsidRDefault="00577B3A" w:rsidP="00763BCF">
      <w:pPr>
        <w:pStyle w:val="ActHead5"/>
      </w:pPr>
      <w:bookmarkStart w:id="39" w:name="_Toc187135634"/>
      <w:r w:rsidRPr="005E3B43">
        <w:rPr>
          <w:rStyle w:val="CharSectno"/>
        </w:rPr>
        <w:t>10FA</w:t>
      </w:r>
      <w:r w:rsidRPr="005E3B43">
        <w:t xml:space="preserve">  Change of name of person</w:t>
      </w:r>
      <w:bookmarkEnd w:id="39"/>
    </w:p>
    <w:p w14:paraId="01730D03" w14:textId="77777777" w:rsidR="00577B3A" w:rsidRPr="005E3B43" w:rsidRDefault="00577B3A" w:rsidP="00763BCF">
      <w:pPr>
        <w:pStyle w:val="SubsectionHead"/>
      </w:pPr>
      <w:r w:rsidRPr="005E3B43">
        <w:t>Application</w:t>
      </w:r>
    </w:p>
    <w:p w14:paraId="35C6CB1C" w14:textId="77777777" w:rsidR="00577B3A" w:rsidRPr="005E3B43" w:rsidRDefault="00577B3A" w:rsidP="00763BCF">
      <w:pPr>
        <w:pStyle w:val="subsection"/>
      </w:pPr>
      <w:r w:rsidRPr="005E3B43">
        <w:tab/>
        <w:t>(1)</w:t>
      </w:r>
      <w:r w:rsidRPr="005E3B43">
        <w:tab/>
        <w:t>This regulation applies in relation to a person in relation to whom a kind of medical device is included in the Register under Chapter</w:t>
      </w:r>
      <w:r w:rsidR="004E6D00" w:rsidRPr="005E3B43">
        <w:t> </w:t>
      </w:r>
      <w:r w:rsidRPr="005E3B43">
        <w:t>4 of the Act.</w:t>
      </w:r>
    </w:p>
    <w:p w14:paraId="266AD2A8" w14:textId="77777777" w:rsidR="00577B3A" w:rsidRPr="005E3B43" w:rsidRDefault="00577B3A" w:rsidP="00763BCF">
      <w:pPr>
        <w:pStyle w:val="SubsectionHead"/>
      </w:pPr>
      <w:r w:rsidRPr="005E3B43">
        <w:t>Change of name of person</w:t>
      </w:r>
    </w:p>
    <w:p w14:paraId="6B204208" w14:textId="77777777" w:rsidR="00577B3A" w:rsidRPr="005E3B43" w:rsidRDefault="00577B3A" w:rsidP="00763BCF">
      <w:pPr>
        <w:pStyle w:val="subsection"/>
      </w:pPr>
      <w:r w:rsidRPr="005E3B43">
        <w:tab/>
        <w:t>(2)</w:t>
      </w:r>
      <w:r w:rsidRPr="005E3B43">
        <w:tab/>
        <w:t>If the person changes his, her or its name or, being a corporation, amalgamates with another corporation under a name that is different from the name entered in the Register in relation to the kind of medical device, the person must, within 3 months after the change of name or amalgamation, notify the Secretary, in a form or a manner approved by the Secretary, of the person’s new name and the circumstance giving rise to it.</w:t>
      </w:r>
    </w:p>
    <w:p w14:paraId="4F92264A" w14:textId="77777777" w:rsidR="00577B3A" w:rsidRPr="005E3B43" w:rsidRDefault="00577B3A" w:rsidP="00763BCF">
      <w:pPr>
        <w:pStyle w:val="SubsectionHead"/>
      </w:pPr>
      <w:r w:rsidRPr="005E3B43">
        <w:t>Secretary may request further information</w:t>
      </w:r>
    </w:p>
    <w:p w14:paraId="34D3C89D" w14:textId="77777777" w:rsidR="00577B3A" w:rsidRPr="005E3B43" w:rsidRDefault="00577B3A" w:rsidP="00763BCF">
      <w:pPr>
        <w:pStyle w:val="subsection"/>
      </w:pPr>
      <w:r w:rsidRPr="005E3B43">
        <w:tab/>
        <w:t>(3)</w:t>
      </w:r>
      <w:r w:rsidRPr="005E3B43">
        <w:tab/>
        <w:t>The Secretary may, in writing, request the person to provide further information to the Secretary about the change of name.</w:t>
      </w:r>
    </w:p>
    <w:p w14:paraId="3BC3FFCF" w14:textId="77777777" w:rsidR="00577B3A" w:rsidRPr="005E3B43" w:rsidRDefault="00577B3A" w:rsidP="00763BCF">
      <w:pPr>
        <w:pStyle w:val="SubsectionHead"/>
      </w:pPr>
      <w:r w:rsidRPr="005E3B43">
        <w:lastRenderedPageBreak/>
        <w:t>Secretary must amend the Register and provide new certificate</w:t>
      </w:r>
    </w:p>
    <w:p w14:paraId="69397AB1" w14:textId="77777777" w:rsidR="00577B3A" w:rsidRPr="005E3B43" w:rsidRDefault="00577B3A" w:rsidP="00763BCF">
      <w:pPr>
        <w:pStyle w:val="subsection"/>
      </w:pPr>
      <w:r w:rsidRPr="005E3B43">
        <w:tab/>
        <w:t>(4)</w:t>
      </w:r>
      <w:r w:rsidRPr="005E3B43">
        <w:tab/>
        <w:t>If the person notifies the Secretary under subregulation (2) of a new name, and the person also provides any further information requested by the Secretary under subregulation (3), the Secretary must:</w:t>
      </w:r>
    </w:p>
    <w:p w14:paraId="5D24D7FA" w14:textId="77777777" w:rsidR="00577B3A" w:rsidRPr="005E3B43" w:rsidRDefault="00577B3A" w:rsidP="00763BCF">
      <w:pPr>
        <w:pStyle w:val="paragraph"/>
      </w:pPr>
      <w:r w:rsidRPr="005E3B43">
        <w:tab/>
        <w:t>(a)</w:t>
      </w:r>
      <w:r w:rsidRPr="005E3B43">
        <w:tab/>
        <w:t>amend the Register by entering the new name as the name of the person in relation to whom the kind of device is included in the Register under Chapter</w:t>
      </w:r>
      <w:r w:rsidR="004E6D00" w:rsidRPr="005E3B43">
        <w:t> </w:t>
      </w:r>
      <w:r w:rsidRPr="005E3B43">
        <w:t>4 of the Act; and</w:t>
      </w:r>
    </w:p>
    <w:p w14:paraId="697E7F70" w14:textId="77777777" w:rsidR="00577B3A" w:rsidRPr="005E3B43" w:rsidRDefault="00577B3A" w:rsidP="00763BCF">
      <w:pPr>
        <w:pStyle w:val="paragraph"/>
      </w:pPr>
      <w:r w:rsidRPr="005E3B43">
        <w:tab/>
        <w:t>(b)</w:t>
      </w:r>
      <w:r w:rsidRPr="005E3B43">
        <w:tab/>
        <w:t>as soon as practicable after entering the new name:</w:t>
      </w:r>
    </w:p>
    <w:p w14:paraId="34EBE1ED" w14:textId="77777777" w:rsidR="00577B3A" w:rsidRPr="005E3B43" w:rsidRDefault="00577B3A" w:rsidP="00763BCF">
      <w:pPr>
        <w:pStyle w:val="paragraphsub"/>
      </w:pPr>
      <w:r w:rsidRPr="005E3B43">
        <w:tab/>
        <w:t>(i)</w:t>
      </w:r>
      <w:r w:rsidRPr="005E3B43">
        <w:tab/>
      </w:r>
      <w:r w:rsidRPr="005E3B43">
        <w:rPr>
          <w:szCs w:val="22"/>
        </w:rPr>
        <w:t>inform the person that the new name has been entered in the Register; and</w:t>
      </w:r>
    </w:p>
    <w:p w14:paraId="58470CB3" w14:textId="77777777" w:rsidR="00577B3A" w:rsidRPr="005E3B43" w:rsidRDefault="00577B3A" w:rsidP="00763BCF">
      <w:pPr>
        <w:pStyle w:val="paragraphsub"/>
      </w:pPr>
      <w:r w:rsidRPr="005E3B43">
        <w:tab/>
        <w:t>(ii)</w:t>
      </w:r>
      <w:r w:rsidRPr="005E3B43">
        <w:tab/>
      </w:r>
      <w:r w:rsidRPr="005E3B43">
        <w:rPr>
          <w:szCs w:val="22"/>
        </w:rPr>
        <w:t xml:space="preserve">make available to the person </w:t>
      </w:r>
      <w:r w:rsidRPr="005E3B43">
        <w:t>a new certificate of the inclusion of the kind of device in the Register under that Chapter.</w:t>
      </w:r>
    </w:p>
    <w:p w14:paraId="38BF136F" w14:textId="48367DEC" w:rsidR="00641236" w:rsidRPr="005E3B43" w:rsidRDefault="007C3215" w:rsidP="00763BCF">
      <w:pPr>
        <w:pStyle w:val="ActHead3"/>
        <w:pageBreakBefore/>
      </w:pPr>
      <w:bookmarkStart w:id="40" w:name="_Toc187135635"/>
      <w:r>
        <w:rPr>
          <w:rStyle w:val="CharDivNo"/>
        </w:rPr>
        <w:lastRenderedPageBreak/>
        <w:t>Division 2</w:t>
      </w:r>
      <w:r w:rsidR="00641236" w:rsidRPr="005E3B43">
        <w:rPr>
          <w:rStyle w:val="CharDivNo"/>
        </w:rPr>
        <w:t>C.3</w:t>
      </w:r>
      <w:r w:rsidR="00E20BA4" w:rsidRPr="005E3B43">
        <w:t>—</w:t>
      </w:r>
      <w:r w:rsidR="00641236" w:rsidRPr="005E3B43">
        <w:rPr>
          <w:rStyle w:val="CharDivText"/>
        </w:rPr>
        <w:t>Biologicals included in the Register</w:t>
      </w:r>
      <w:bookmarkEnd w:id="40"/>
    </w:p>
    <w:p w14:paraId="15594C17" w14:textId="77777777" w:rsidR="00641236" w:rsidRPr="005E3B43" w:rsidRDefault="00641236" w:rsidP="00763BCF">
      <w:pPr>
        <w:pStyle w:val="ActHead5"/>
      </w:pPr>
      <w:bookmarkStart w:id="41" w:name="_Toc187135636"/>
      <w:r w:rsidRPr="005E3B43">
        <w:rPr>
          <w:rStyle w:val="CharSectno"/>
        </w:rPr>
        <w:t>10G</w:t>
      </w:r>
      <w:r w:rsidR="00E20BA4" w:rsidRPr="005E3B43">
        <w:t xml:space="preserve">  </w:t>
      </w:r>
      <w:r w:rsidRPr="005E3B43">
        <w:t>Goods to be included in the part of the Register for biologicals</w:t>
      </w:r>
      <w:bookmarkEnd w:id="41"/>
    </w:p>
    <w:p w14:paraId="1DC8BBC4" w14:textId="38C5BB1C" w:rsidR="00641236" w:rsidRPr="005E3B43" w:rsidRDefault="00641236" w:rsidP="00763BCF">
      <w:pPr>
        <w:pStyle w:val="subsection"/>
      </w:pPr>
      <w:r w:rsidRPr="005E3B43">
        <w:tab/>
      </w:r>
      <w:r w:rsidRPr="005E3B43">
        <w:tab/>
        <w:t>For paragraph</w:t>
      </w:r>
      <w:r w:rsidR="004E6D00" w:rsidRPr="005E3B43">
        <w:t> </w:t>
      </w:r>
      <w:r w:rsidRPr="005E3B43">
        <w:t xml:space="preserve">9A(4)(a) of the Act, therapeutic goods, and classes of therapeutic goods, that are biologicals and that are included in the Register under </w:t>
      </w:r>
      <w:r w:rsidR="00BB758E" w:rsidRPr="005E3B43">
        <w:t>Part 3</w:t>
      </w:r>
      <w:r w:rsidR="007C3215">
        <w:noBreakHyphen/>
      </w:r>
      <w:r w:rsidRPr="005E3B43">
        <w:t>2A of the Act are to be included in the part of the Register for biologicals.</w:t>
      </w:r>
    </w:p>
    <w:p w14:paraId="38D80487" w14:textId="083377D9" w:rsidR="00577B3A" w:rsidRPr="005E3B43" w:rsidRDefault="00577B3A" w:rsidP="00763BCF">
      <w:pPr>
        <w:pStyle w:val="ActHead5"/>
      </w:pPr>
      <w:bookmarkStart w:id="42" w:name="_Toc187135637"/>
      <w:r w:rsidRPr="005E3B43">
        <w:rPr>
          <w:rStyle w:val="CharSectno"/>
        </w:rPr>
        <w:t>10H</w:t>
      </w:r>
      <w:r w:rsidRPr="005E3B43">
        <w:t xml:space="preserve">  Change of person for whom a biological is included in the Register under </w:t>
      </w:r>
      <w:r w:rsidR="00BB758E" w:rsidRPr="005E3B43">
        <w:t>Part 3</w:t>
      </w:r>
      <w:r w:rsidR="007C3215">
        <w:noBreakHyphen/>
      </w:r>
      <w:r w:rsidRPr="005E3B43">
        <w:t>2A of the Act</w:t>
      </w:r>
      <w:bookmarkEnd w:id="42"/>
    </w:p>
    <w:p w14:paraId="52327CF8" w14:textId="77777777" w:rsidR="00577B3A" w:rsidRPr="005E3B43" w:rsidRDefault="00577B3A" w:rsidP="00763BCF">
      <w:pPr>
        <w:pStyle w:val="SubsectionHead"/>
      </w:pPr>
      <w:r w:rsidRPr="005E3B43">
        <w:t>Application</w:t>
      </w:r>
    </w:p>
    <w:p w14:paraId="75F10C55" w14:textId="10983C1C" w:rsidR="00577B3A" w:rsidRPr="005E3B43" w:rsidRDefault="00577B3A" w:rsidP="00763BCF">
      <w:pPr>
        <w:pStyle w:val="subsection"/>
      </w:pPr>
      <w:r w:rsidRPr="005E3B43">
        <w:tab/>
        <w:t>(1)</w:t>
      </w:r>
      <w:r w:rsidRPr="005E3B43">
        <w:tab/>
        <w:t xml:space="preserve">This regulation applies to a person (the </w:t>
      </w:r>
      <w:r w:rsidRPr="005E3B43">
        <w:rPr>
          <w:b/>
          <w:i/>
        </w:rPr>
        <w:t>relevant person</w:t>
      </w:r>
      <w:r w:rsidRPr="005E3B43">
        <w:t xml:space="preserve">) in relation to whom a biological is included in the Register under </w:t>
      </w:r>
      <w:r w:rsidR="00BB758E" w:rsidRPr="005E3B43">
        <w:t>Part 3</w:t>
      </w:r>
      <w:r w:rsidR="007C3215">
        <w:noBreakHyphen/>
      </w:r>
      <w:r w:rsidRPr="005E3B43">
        <w:t>2A of the Act.</w:t>
      </w:r>
    </w:p>
    <w:p w14:paraId="3B731BB4" w14:textId="77777777" w:rsidR="00577B3A" w:rsidRPr="005E3B43" w:rsidRDefault="00577B3A" w:rsidP="00763BCF">
      <w:pPr>
        <w:pStyle w:val="SubsectionHead"/>
      </w:pPr>
      <w:r w:rsidRPr="005E3B43">
        <w:t>Death of person</w:t>
      </w:r>
    </w:p>
    <w:p w14:paraId="49FAA7ED" w14:textId="77777777" w:rsidR="00577B3A" w:rsidRPr="005E3B43" w:rsidRDefault="00577B3A" w:rsidP="00763BCF">
      <w:pPr>
        <w:pStyle w:val="subsection"/>
      </w:pPr>
      <w:r w:rsidRPr="005E3B43">
        <w:tab/>
        <w:t>(2)</w:t>
      </w:r>
      <w:r w:rsidRPr="005E3B43">
        <w:tab/>
        <w:t xml:space="preserve">If the relevant person dies, the legal personal representative (the </w:t>
      </w:r>
      <w:r w:rsidRPr="005E3B43">
        <w:rPr>
          <w:b/>
          <w:i/>
        </w:rPr>
        <w:t>notifying person</w:t>
      </w:r>
      <w:r w:rsidRPr="005E3B43">
        <w:t>) of the dead person:</w:t>
      </w:r>
    </w:p>
    <w:p w14:paraId="3008F947" w14:textId="2302D481" w:rsidR="00577B3A" w:rsidRPr="005E3B43" w:rsidRDefault="00577B3A" w:rsidP="00763BCF">
      <w:pPr>
        <w:pStyle w:val="paragraph"/>
      </w:pPr>
      <w:r w:rsidRPr="005E3B43">
        <w:tab/>
        <w:t>(a)</w:t>
      </w:r>
      <w:r w:rsidRPr="005E3B43">
        <w:tab/>
        <w:t xml:space="preserve">is taken to be the person in relation to whom the biological is included in the Register under </w:t>
      </w:r>
      <w:r w:rsidR="00BB758E" w:rsidRPr="005E3B43">
        <w:t>Part 3</w:t>
      </w:r>
      <w:r w:rsidR="007C3215">
        <w:noBreakHyphen/>
      </w:r>
      <w:r w:rsidRPr="005E3B43">
        <w:t>2A of the Act; and</w:t>
      </w:r>
    </w:p>
    <w:p w14:paraId="634FEBE3" w14:textId="77777777" w:rsidR="00577B3A" w:rsidRPr="005E3B43" w:rsidRDefault="00577B3A" w:rsidP="00763BCF">
      <w:pPr>
        <w:pStyle w:val="paragraph"/>
      </w:pPr>
      <w:r w:rsidRPr="005E3B43">
        <w:tab/>
        <w:t>(b)</w:t>
      </w:r>
      <w:r w:rsidRPr="005E3B43">
        <w:tab/>
        <w:t>must notify the Secretary, in a form or a manner approved by the Secretary, of the death within 3 months after it occurred.</w:t>
      </w:r>
    </w:p>
    <w:p w14:paraId="0C194E2B" w14:textId="77777777" w:rsidR="00577B3A" w:rsidRPr="005E3B43" w:rsidRDefault="00577B3A" w:rsidP="00763BCF">
      <w:pPr>
        <w:pStyle w:val="SubsectionHead"/>
      </w:pPr>
      <w:r w:rsidRPr="005E3B43">
        <w:t>Bankruptcy of person</w:t>
      </w:r>
    </w:p>
    <w:p w14:paraId="41D86DE9" w14:textId="77777777" w:rsidR="00577B3A" w:rsidRPr="005E3B43" w:rsidRDefault="00577B3A" w:rsidP="00763BCF">
      <w:pPr>
        <w:pStyle w:val="subsection"/>
      </w:pPr>
      <w:r w:rsidRPr="005E3B43">
        <w:tab/>
        <w:t>(3)</w:t>
      </w:r>
      <w:r w:rsidRPr="005E3B43">
        <w:tab/>
        <w:t xml:space="preserve">If the relevant person becomes bankrupt, the trustee in bankruptcy (the </w:t>
      </w:r>
      <w:r w:rsidRPr="005E3B43">
        <w:rPr>
          <w:b/>
          <w:i/>
        </w:rPr>
        <w:t>notifying person</w:t>
      </w:r>
      <w:r w:rsidRPr="005E3B43">
        <w:t>) of the estate of the bankrupt:</w:t>
      </w:r>
    </w:p>
    <w:p w14:paraId="26FD5684" w14:textId="784FC443" w:rsidR="00577B3A" w:rsidRPr="005E3B43" w:rsidRDefault="00577B3A" w:rsidP="00763BCF">
      <w:pPr>
        <w:pStyle w:val="paragraph"/>
      </w:pPr>
      <w:r w:rsidRPr="005E3B43">
        <w:tab/>
        <w:t>(a)</w:t>
      </w:r>
      <w:r w:rsidRPr="005E3B43">
        <w:tab/>
        <w:t xml:space="preserve">is taken to be the person in relation to whom the biological is included in the Register under </w:t>
      </w:r>
      <w:r w:rsidR="00BB758E" w:rsidRPr="005E3B43">
        <w:t>Part 3</w:t>
      </w:r>
      <w:r w:rsidR="007C3215">
        <w:noBreakHyphen/>
      </w:r>
      <w:r w:rsidRPr="005E3B43">
        <w:t>2A of the Act; and</w:t>
      </w:r>
    </w:p>
    <w:p w14:paraId="5FECDBBF" w14:textId="77777777" w:rsidR="00577B3A" w:rsidRPr="005E3B43" w:rsidRDefault="00577B3A" w:rsidP="00763BCF">
      <w:pPr>
        <w:pStyle w:val="paragraph"/>
      </w:pPr>
      <w:r w:rsidRPr="005E3B43">
        <w:tab/>
        <w:t>(b)</w:t>
      </w:r>
      <w:r w:rsidRPr="005E3B43">
        <w:tab/>
        <w:t>must notify the Secretary, in a form or a manner approved by the Secretary, of the bankruptcy within 3 months after the relevant person became bankrupt.</w:t>
      </w:r>
    </w:p>
    <w:p w14:paraId="1CB70767" w14:textId="77777777" w:rsidR="00577B3A" w:rsidRPr="005E3B43" w:rsidRDefault="00577B3A" w:rsidP="00763BCF">
      <w:pPr>
        <w:pStyle w:val="SubsectionHead"/>
      </w:pPr>
      <w:r w:rsidRPr="005E3B43">
        <w:t>Winding up of body corporate</w:t>
      </w:r>
    </w:p>
    <w:p w14:paraId="34A3CC2A" w14:textId="77777777" w:rsidR="00577B3A" w:rsidRPr="005E3B43" w:rsidRDefault="00577B3A" w:rsidP="00763BCF">
      <w:pPr>
        <w:pStyle w:val="subsection"/>
      </w:pPr>
      <w:r w:rsidRPr="005E3B43">
        <w:tab/>
        <w:t>(4)</w:t>
      </w:r>
      <w:r w:rsidRPr="005E3B43">
        <w:tab/>
        <w:t xml:space="preserve">If the relevant person is a body corporate that is being wound up, the liquidator (the </w:t>
      </w:r>
      <w:r w:rsidRPr="005E3B43">
        <w:rPr>
          <w:b/>
          <w:i/>
        </w:rPr>
        <w:t>notifying person</w:t>
      </w:r>
      <w:r w:rsidRPr="005E3B43">
        <w:t>) of the body corporate:</w:t>
      </w:r>
    </w:p>
    <w:p w14:paraId="0ADC479F" w14:textId="75737F1A" w:rsidR="00577B3A" w:rsidRPr="005E3B43" w:rsidRDefault="00577B3A" w:rsidP="00763BCF">
      <w:pPr>
        <w:pStyle w:val="paragraph"/>
      </w:pPr>
      <w:r w:rsidRPr="005E3B43">
        <w:tab/>
        <w:t>(a)</w:t>
      </w:r>
      <w:r w:rsidRPr="005E3B43">
        <w:tab/>
        <w:t xml:space="preserve">is taken to be the person in relation to whom the biological is included in the Register under </w:t>
      </w:r>
      <w:r w:rsidR="00BB758E" w:rsidRPr="005E3B43">
        <w:t>Part 3</w:t>
      </w:r>
      <w:r w:rsidR="007C3215">
        <w:noBreakHyphen/>
      </w:r>
      <w:r w:rsidRPr="005E3B43">
        <w:t>2A of the Act; and</w:t>
      </w:r>
    </w:p>
    <w:p w14:paraId="3FB44281" w14:textId="77777777" w:rsidR="00577B3A" w:rsidRPr="005E3B43" w:rsidRDefault="00577B3A" w:rsidP="00763BCF">
      <w:pPr>
        <w:pStyle w:val="paragraph"/>
      </w:pPr>
      <w:r w:rsidRPr="005E3B43">
        <w:tab/>
        <w:t>(b)</w:t>
      </w:r>
      <w:r w:rsidRPr="005E3B43">
        <w:tab/>
        <w:t>must notify the Secretary, in a form or a manner approved by the Secretary, of the winding up within 3 months after the body corporate is wound up.</w:t>
      </w:r>
    </w:p>
    <w:p w14:paraId="01681AFF" w14:textId="77777777" w:rsidR="00577B3A" w:rsidRPr="005E3B43" w:rsidRDefault="00577B3A" w:rsidP="00763BCF">
      <w:pPr>
        <w:pStyle w:val="SubsectionHead"/>
      </w:pPr>
      <w:r w:rsidRPr="005E3B43">
        <w:t>Transfer or assignment of business</w:t>
      </w:r>
    </w:p>
    <w:p w14:paraId="11E04ABB" w14:textId="77777777" w:rsidR="00577B3A" w:rsidRPr="005E3B43" w:rsidRDefault="00577B3A" w:rsidP="00763BCF">
      <w:pPr>
        <w:pStyle w:val="subsection"/>
      </w:pPr>
      <w:r w:rsidRPr="005E3B43">
        <w:tab/>
        <w:t>(5)</w:t>
      </w:r>
      <w:r w:rsidRPr="005E3B43">
        <w:tab/>
        <w:t xml:space="preserve">If the relevant person transfers or assigns, in whole or in part, the business to which the biological relates or the person’s interest in the biological and also </w:t>
      </w:r>
      <w:r w:rsidRPr="005E3B43">
        <w:lastRenderedPageBreak/>
        <w:t xml:space="preserve">agrees to transfer or assign the inclusion of the biological in the Register, the person (the </w:t>
      </w:r>
      <w:r w:rsidRPr="005E3B43">
        <w:rPr>
          <w:b/>
          <w:i/>
        </w:rPr>
        <w:t>notifying person</w:t>
      </w:r>
      <w:r w:rsidRPr="005E3B43">
        <w:t>) to whom the business or interest is transferred or assigned:</w:t>
      </w:r>
    </w:p>
    <w:p w14:paraId="649FB436" w14:textId="3084B0F2" w:rsidR="00577B3A" w:rsidRPr="005E3B43" w:rsidRDefault="00577B3A" w:rsidP="00763BCF">
      <w:pPr>
        <w:pStyle w:val="paragraph"/>
      </w:pPr>
      <w:r w:rsidRPr="005E3B43">
        <w:tab/>
        <w:t>(a)</w:t>
      </w:r>
      <w:r w:rsidRPr="005E3B43">
        <w:tab/>
        <w:t xml:space="preserve">is taken to be the person in relation to whom the biological is included in the Register under </w:t>
      </w:r>
      <w:r w:rsidR="00BB758E" w:rsidRPr="005E3B43">
        <w:t>Part 3</w:t>
      </w:r>
      <w:r w:rsidR="007C3215">
        <w:noBreakHyphen/>
      </w:r>
      <w:r w:rsidRPr="005E3B43">
        <w:t>2A of the Act; and</w:t>
      </w:r>
    </w:p>
    <w:p w14:paraId="5DD15D82" w14:textId="77777777" w:rsidR="00577B3A" w:rsidRPr="005E3B43" w:rsidRDefault="00577B3A" w:rsidP="00763BCF">
      <w:pPr>
        <w:pStyle w:val="paragraph"/>
      </w:pPr>
      <w:r w:rsidRPr="005E3B43">
        <w:tab/>
        <w:t>(b)</w:t>
      </w:r>
      <w:r w:rsidRPr="005E3B43">
        <w:tab/>
        <w:t>must notify the Secretary, in a form or a manner approved by the Secretary, of the transfer or assignment within 3 months after the transfer or assignment.</w:t>
      </w:r>
    </w:p>
    <w:p w14:paraId="43FD3D50" w14:textId="77777777" w:rsidR="00577B3A" w:rsidRPr="005E3B43" w:rsidRDefault="00577B3A" w:rsidP="00763BCF">
      <w:pPr>
        <w:pStyle w:val="SubsectionHead"/>
      </w:pPr>
      <w:r w:rsidRPr="005E3B43">
        <w:t>Secretary may request further information</w:t>
      </w:r>
    </w:p>
    <w:p w14:paraId="6525EDEB" w14:textId="77777777" w:rsidR="00577B3A" w:rsidRPr="005E3B43" w:rsidRDefault="00577B3A" w:rsidP="00763BCF">
      <w:pPr>
        <w:pStyle w:val="subsection"/>
      </w:pPr>
      <w:r w:rsidRPr="005E3B43">
        <w:tab/>
        <w:t>(6)</w:t>
      </w:r>
      <w:r w:rsidRPr="005E3B43">
        <w:tab/>
        <w:t xml:space="preserve">If the notifying person notifies the Secretary of an event under </w:t>
      </w:r>
      <w:r w:rsidR="004E6D00" w:rsidRPr="005E3B43">
        <w:t>paragraph (</w:t>
      </w:r>
      <w:r w:rsidRPr="005E3B43">
        <w:t>2)(b), (3)(b), (4)(b) or (5)(b), the Secretary may, in writing, request the person to provide further information to the Secretary in relation to the event.</w:t>
      </w:r>
    </w:p>
    <w:p w14:paraId="7B2531A0" w14:textId="77777777" w:rsidR="00577B3A" w:rsidRPr="005E3B43" w:rsidRDefault="00577B3A" w:rsidP="00763BCF">
      <w:pPr>
        <w:pStyle w:val="SubsectionHead"/>
      </w:pPr>
      <w:r w:rsidRPr="005E3B43">
        <w:t>Secretary must amend the Register and provide new certificate</w:t>
      </w:r>
    </w:p>
    <w:p w14:paraId="5CEDBE7C" w14:textId="77777777" w:rsidR="00577B3A" w:rsidRPr="005E3B43" w:rsidRDefault="00577B3A" w:rsidP="00763BCF">
      <w:pPr>
        <w:pStyle w:val="subsection"/>
      </w:pPr>
      <w:r w:rsidRPr="005E3B43">
        <w:tab/>
        <w:t>(7)</w:t>
      </w:r>
      <w:r w:rsidRPr="005E3B43">
        <w:tab/>
        <w:t xml:space="preserve">If the notifying person notifies the Secretary of an event under </w:t>
      </w:r>
      <w:r w:rsidR="004E6D00" w:rsidRPr="005E3B43">
        <w:t>paragraph (</w:t>
      </w:r>
      <w:r w:rsidRPr="005E3B43">
        <w:t>2)(b), (3)(b), (4)(b) or (5)(b), and the person also provides any further information requested by the Secretary under subregulation (6), the Secretary must:</w:t>
      </w:r>
    </w:p>
    <w:p w14:paraId="27B18286" w14:textId="77777777" w:rsidR="00577B3A" w:rsidRPr="005E3B43" w:rsidRDefault="00577B3A" w:rsidP="00763BCF">
      <w:pPr>
        <w:pStyle w:val="paragraph"/>
      </w:pPr>
      <w:r w:rsidRPr="005E3B43">
        <w:tab/>
        <w:t>(a)</w:t>
      </w:r>
      <w:r w:rsidRPr="005E3B43">
        <w:tab/>
        <w:t>amend the Register accordingly; and</w:t>
      </w:r>
    </w:p>
    <w:p w14:paraId="5FE92299" w14:textId="77777777" w:rsidR="00577B3A" w:rsidRPr="005E3B43" w:rsidRDefault="00577B3A" w:rsidP="00763BCF">
      <w:pPr>
        <w:pStyle w:val="paragraph"/>
      </w:pPr>
      <w:r w:rsidRPr="005E3B43">
        <w:tab/>
        <w:t>(b)</w:t>
      </w:r>
      <w:r w:rsidRPr="005E3B43">
        <w:tab/>
        <w:t>as soon as practicable after amending the Register:</w:t>
      </w:r>
    </w:p>
    <w:p w14:paraId="0DE13235" w14:textId="77777777" w:rsidR="00577B3A" w:rsidRPr="005E3B43" w:rsidRDefault="00577B3A" w:rsidP="00763BCF">
      <w:pPr>
        <w:pStyle w:val="paragraphsub"/>
      </w:pPr>
      <w:r w:rsidRPr="005E3B43">
        <w:tab/>
        <w:t>(i)</w:t>
      </w:r>
      <w:r w:rsidRPr="005E3B43">
        <w:tab/>
      </w:r>
      <w:r w:rsidRPr="005E3B43">
        <w:rPr>
          <w:szCs w:val="22"/>
        </w:rPr>
        <w:t>inform the person of the amendment; and</w:t>
      </w:r>
    </w:p>
    <w:p w14:paraId="134FE0F1" w14:textId="22DB08E5" w:rsidR="00577B3A" w:rsidRPr="005E3B43" w:rsidRDefault="00577B3A" w:rsidP="00763BCF">
      <w:pPr>
        <w:pStyle w:val="paragraphsub"/>
      </w:pPr>
      <w:r w:rsidRPr="005E3B43">
        <w:tab/>
        <w:t>(ii)</w:t>
      </w:r>
      <w:r w:rsidRPr="005E3B43">
        <w:tab/>
      </w:r>
      <w:r w:rsidRPr="005E3B43">
        <w:rPr>
          <w:szCs w:val="22"/>
        </w:rPr>
        <w:t xml:space="preserve">make available to the person </w:t>
      </w:r>
      <w:r w:rsidRPr="005E3B43">
        <w:t xml:space="preserve">a certificate of the inclusion of the biological in the Register under </w:t>
      </w:r>
      <w:r w:rsidR="00BB758E" w:rsidRPr="005E3B43">
        <w:t>Part 3</w:t>
      </w:r>
      <w:r w:rsidR="007C3215">
        <w:noBreakHyphen/>
      </w:r>
      <w:r w:rsidRPr="005E3B43">
        <w:t>2A of the Act.</w:t>
      </w:r>
    </w:p>
    <w:p w14:paraId="7A752E2D" w14:textId="77777777" w:rsidR="00577B3A" w:rsidRPr="005E3B43" w:rsidRDefault="00577B3A" w:rsidP="00763BCF">
      <w:pPr>
        <w:pStyle w:val="ActHead5"/>
      </w:pPr>
      <w:bookmarkStart w:id="43" w:name="_Toc187135638"/>
      <w:r w:rsidRPr="005E3B43">
        <w:rPr>
          <w:rStyle w:val="CharSectno"/>
        </w:rPr>
        <w:t>10HA</w:t>
      </w:r>
      <w:r w:rsidRPr="005E3B43">
        <w:t xml:space="preserve">  Change of name of person</w:t>
      </w:r>
      <w:bookmarkEnd w:id="43"/>
    </w:p>
    <w:p w14:paraId="7C797020" w14:textId="77777777" w:rsidR="00577B3A" w:rsidRPr="005E3B43" w:rsidRDefault="00577B3A" w:rsidP="00763BCF">
      <w:pPr>
        <w:pStyle w:val="SubsectionHead"/>
      </w:pPr>
      <w:r w:rsidRPr="005E3B43">
        <w:t>Application</w:t>
      </w:r>
    </w:p>
    <w:p w14:paraId="59CF7E86" w14:textId="00E22BBA" w:rsidR="00577B3A" w:rsidRPr="005E3B43" w:rsidRDefault="00577B3A" w:rsidP="00763BCF">
      <w:pPr>
        <w:pStyle w:val="subsection"/>
      </w:pPr>
      <w:r w:rsidRPr="005E3B43">
        <w:tab/>
        <w:t>(1)</w:t>
      </w:r>
      <w:r w:rsidRPr="005E3B43">
        <w:tab/>
        <w:t xml:space="preserve">This regulation applies to a person in relation to whom a biological is included in the Register under </w:t>
      </w:r>
      <w:r w:rsidR="00BB758E" w:rsidRPr="005E3B43">
        <w:t>Part 3</w:t>
      </w:r>
      <w:r w:rsidR="007C3215">
        <w:noBreakHyphen/>
      </w:r>
      <w:r w:rsidRPr="005E3B43">
        <w:t>2A of the Act.</w:t>
      </w:r>
    </w:p>
    <w:p w14:paraId="0835C11C" w14:textId="77777777" w:rsidR="00577B3A" w:rsidRPr="005E3B43" w:rsidRDefault="00577B3A" w:rsidP="00763BCF">
      <w:pPr>
        <w:pStyle w:val="SubsectionHead"/>
      </w:pPr>
      <w:r w:rsidRPr="005E3B43">
        <w:t>Change of name of person</w:t>
      </w:r>
    </w:p>
    <w:p w14:paraId="113E0E44" w14:textId="77777777" w:rsidR="00577B3A" w:rsidRPr="005E3B43" w:rsidRDefault="00577B3A" w:rsidP="00763BCF">
      <w:pPr>
        <w:pStyle w:val="subsection"/>
      </w:pPr>
      <w:r w:rsidRPr="005E3B43">
        <w:tab/>
        <w:t>(2)</w:t>
      </w:r>
      <w:r w:rsidRPr="005E3B43">
        <w:tab/>
        <w:t>If the person changes his, her or its name or, being a corporation, amalgamates with another corporation under a name that is different from the name entered in the Register in relation to the biological, the person must, within 3 months after the change of name or amalgamation, notify the Secretary, in a form or a manner approved by the Secretary, of the person’s new name and the circumstance giving rise to it.</w:t>
      </w:r>
    </w:p>
    <w:p w14:paraId="14B5F7EF" w14:textId="77777777" w:rsidR="00577B3A" w:rsidRPr="005E3B43" w:rsidRDefault="00577B3A" w:rsidP="00763BCF">
      <w:pPr>
        <w:pStyle w:val="SubsectionHead"/>
      </w:pPr>
      <w:r w:rsidRPr="005E3B43">
        <w:t>Secretary may request further information</w:t>
      </w:r>
    </w:p>
    <w:p w14:paraId="23F54C44" w14:textId="77777777" w:rsidR="00577B3A" w:rsidRPr="005E3B43" w:rsidRDefault="00577B3A" w:rsidP="00763BCF">
      <w:pPr>
        <w:pStyle w:val="subsection"/>
      </w:pPr>
      <w:r w:rsidRPr="005E3B43">
        <w:tab/>
        <w:t>(3)</w:t>
      </w:r>
      <w:r w:rsidRPr="005E3B43">
        <w:tab/>
        <w:t>The Secretary may, in writing, request the person to provide further information to the Secretary about the change of name.</w:t>
      </w:r>
    </w:p>
    <w:p w14:paraId="147B8846" w14:textId="77777777" w:rsidR="00577B3A" w:rsidRPr="005E3B43" w:rsidRDefault="00577B3A" w:rsidP="00763BCF">
      <w:pPr>
        <w:pStyle w:val="SubsectionHead"/>
      </w:pPr>
      <w:r w:rsidRPr="005E3B43">
        <w:lastRenderedPageBreak/>
        <w:t>Secretary must amend the Register and provide new certificate</w:t>
      </w:r>
    </w:p>
    <w:p w14:paraId="6227A86A" w14:textId="77777777" w:rsidR="00577B3A" w:rsidRPr="005E3B43" w:rsidRDefault="00577B3A" w:rsidP="00763BCF">
      <w:pPr>
        <w:pStyle w:val="subsection"/>
      </w:pPr>
      <w:r w:rsidRPr="005E3B43">
        <w:tab/>
        <w:t>(4)</w:t>
      </w:r>
      <w:r w:rsidRPr="005E3B43">
        <w:tab/>
        <w:t>If the person notifies the Secretary under subregulation (2) of a new name, and the person also provides any further information requested by the Secretary under subregulation (3), the Secretary must:</w:t>
      </w:r>
    </w:p>
    <w:p w14:paraId="2674D32F" w14:textId="407D7630" w:rsidR="00577B3A" w:rsidRPr="005E3B43" w:rsidRDefault="00577B3A" w:rsidP="00763BCF">
      <w:pPr>
        <w:pStyle w:val="paragraph"/>
      </w:pPr>
      <w:r w:rsidRPr="005E3B43">
        <w:tab/>
        <w:t>(a)</w:t>
      </w:r>
      <w:r w:rsidRPr="005E3B43">
        <w:tab/>
        <w:t xml:space="preserve">amend the Register by entering the new name as the name of the person in relation to whom the biological is included in the Register under </w:t>
      </w:r>
      <w:r w:rsidR="00BB758E" w:rsidRPr="005E3B43">
        <w:t>Part 3</w:t>
      </w:r>
      <w:r w:rsidR="007C3215">
        <w:noBreakHyphen/>
      </w:r>
      <w:r w:rsidRPr="005E3B43">
        <w:t>2A of the Act; and</w:t>
      </w:r>
    </w:p>
    <w:p w14:paraId="6AD68265" w14:textId="77777777" w:rsidR="00577B3A" w:rsidRPr="005E3B43" w:rsidRDefault="00577B3A" w:rsidP="00763BCF">
      <w:pPr>
        <w:pStyle w:val="paragraph"/>
      </w:pPr>
      <w:r w:rsidRPr="005E3B43">
        <w:tab/>
        <w:t>(b)</w:t>
      </w:r>
      <w:r w:rsidRPr="005E3B43">
        <w:tab/>
        <w:t>as soon as practicable after entering the new name:</w:t>
      </w:r>
    </w:p>
    <w:p w14:paraId="4255521B" w14:textId="77777777" w:rsidR="00577B3A" w:rsidRPr="005E3B43" w:rsidRDefault="00577B3A" w:rsidP="00763BCF">
      <w:pPr>
        <w:pStyle w:val="paragraphsub"/>
      </w:pPr>
      <w:r w:rsidRPr="005E3B43">
        <w:tab/>
        <w:t>(i)</w:t>
      </w:r>
      <w:r w:rsidRPr="005E3B43">
        <w:tab/>
      </w:r>
      <w:r w:rsidRPr="005E3B43">
        <w:rPr>
          <w:szCs w:val="22"/>
        </w:rPr>
        <w:t>inform the person that the new name has been entered in the Register; and</w:t>
      </w:r>
    </w:p>
    <w:p w14:paraId="5E3BA18F" w14:textId="77777777" w:rsidR="00577B3A" w:rsidRPr="005E3B43" w:rsidRDefault="00577B3A" w:rsidP="00763BCF">
      <w:pPr>
        <w:pStyle w:val="paragraphsub"/>
      </w:pPr>
      <w:r w:rsidRPr="005E3B43">
        <w:tab/>
        <w:t>(ii)</w:t>
      </w:r>
      <w:r w:rsidRPr="005E3B43">
        <w:tab/>
      </w:r>
      <w:r w:rsidRPr="005E3B43">
        <w:rPr>
          <w:szCs w:val="22"/>
        </w:rPr>
        <w:t xml:space="preserve">make available to the person a new certificate </w:t>
      </w:r>
      <w:r w:rsidRPr="005E3B43">
        <w:t>of the inclusion of the biological in the Register under that Part.</w:t>
      </w:r>
    </w:p>
    <w:p w14:paraId="30B1DD4B" w14:textId="348D7DE7" w:rsidR="00641236" w:rsidRPr="005E3B43" w:rsidRDefault="00641236" w:rsidP="00763BCF">
      <w:pPr>
        <w:pStyle w:val="ActHead5"/>
      </w:pPr>
      <w:bookmarkStart w:id="44" w:name="_Toc187135639"/>
      <w:r w:rsidRPr="005E3B43">
        <w:rPr>
          <w:rStyle w:val="CharSectno"/>
        </w:rPr>
        <w:t>10I</w:t>
      </w:r>
      <w:r w:rsidR="00E20BA4" w:rsidRPr="005E3B43">
        <w:t xml:space="preserve">  </w:t>
      </w:r>
      <w:r w:rsidRPr="005E3B43">
        <w:t>Re</w:t>
      </w:r>
      <w:r w:rsidR="007C3215">
        <w:noBreakHyphen/>
      </w:r>
      <w:r w:rsidRPr="005E3B43">
        <w:t>assignment of biological numbers</w:t>
      </w:r>
      <w:bookmarkEnd w:id="44"/>
    </w:p>
    <w:p w14:paraId="328340C4" w14:textId="4C896E10" w:rsidR="00641236" w:rsidRPr="005E3B43" w:rsidRDefault="00641236" w:rsidP="00763BCF">
      <w:pPr>
        <w:pStyle w:val="subsection"/>
      </w:pPr>
      <w:r w:rsidRPr="005E3B43">
        <w:tab/>
        <w:t>(1)</w:t>
      </w:r>
      <w:r w:rsidRPr="005E3B43">
        <w:tab/>
        <w:t xml:space="preserve">A person in whose name a biological is included in the Register under </w:t>
      </w:r>
      <w:r w:rsidR="00BB758E" w:rsidRPr="005E3B43">
        <w:t>Part 3</w:t>
      </w:r>
      <w:r w:rsidR="007C3215">
        <w:noBreakHyphen/>
      </w:r>
      <w:r w:rsidRPr="005E3B43">
        <w:t>2A of the Act may apply for the biological to be assigned a different biological number.</w:t>
      </w:r>
    </w:p>
    <w:p w14:paraId="705873B8" w14:textId="77777777" w:rsidR="00641236" w:rsidRPr="005E3B43" w:rsidRDefault="00641236" w:rsidP="00763BCF">
      <w:pPr>
        <w:pStyle w:val="subsection"/>
      </w:pPr>
      <w:r w:rsidRPr="005E3B43">
        <w:tab/>
        <w:t>(2)</w:t>
      </w:r>
      <w:r w:rsidRPr="005E3B43">
        <w:tab/>
        <w:t>The application:</w:t>
      </w:r>
    </w:p>
    <w:p w14:paraId="0C5C55DB" w14:textId="77777777" w:rsidR="00641236" w:rsidRPr="005E3B43" w:rsidRDefault="00641236" w:rsidP="00763BCF">
      <w:pPr>
        <w:pStyle w:val="paragraph"/>
      </w:pPr>
      <w:r w:rsidRPr="005E3B43">
        <w:tab/>
        <w:t>(a)</w:t>
      </w:r>
      <w:r w:rsidRPr="005E3B43">
        <w:tab/>
        <w:t>must be made in writing to the Secretary and delivered to an office of the Department; and</w:t>
      </w:r>
    </w:p>
    <w:p w14:paraId="4D565759" w14:textId="77777777" w:rsidR="00641236" w:rsidRPr="005E3B43" w:rsidRDefault="00641236" w:rsidP="00763BCF">
      <w:pPr>
        <w:pStyle w:val="paragraph"/>
      </w:pPr>
      <w:r w:rsidRPr="005E3B43">
        <w:tab/>
        <w:t>(b)</w:t>
      </w:r>
      <w:r w:rsidRPr="005E3B43">
        <w:tab/>
        <w:t>must have with it written information in sufficient detail to allow the application to be properly considered.</w:t>
      </w:r>
    </w:p>
    <w:p w14:paraId="0461D24B" w14:textId="77777777" w:rsidR="00641236" w:rsidRPr="005E3B43" w:rsidRDefault="00641236" w:rsidP="00763BCF">
      <w:pPr>
        <w:pStyle w:val="subsection"/>
      </w:pPr>
      <w:r w:rsidRPr="005E3B43">
        <w:tab/>
        <w:t>(3)</w:t>
      </w:r>
      <w:r w:rsidRPr="005E3B43">
        <w:tab/>
        <w:t>The Secretary may assign to the biological a biological number that is not assigned to another biological.</w:t>
      </w:r>
    </w:p>
    <w:p w14:paraId="37CD3C5F" w14:textId="77777777" w:rsidR="00641236" w:rsidRPr="005E3B43" w:rsidRDefault="00641236" w:rsidP="00763BCF">
      <w:pPr>
        <w:pStyle w:val="ActHead5"/>
      </w:pPr>
      <w:bookmarkStart w:id="45" w:name="_Toc187135640"/>
      <w:r w:rsidRPr="005E3B43">
        <w:rPr>
          <w:rStyle w:val="CharSectno"/>
        </w:rPr>
        <w:t>10J</w:t>
      </w:r>
      <w:r w:rsidR="00E20BA4" w:rsidRPr="005E3B43">
        <w:t xml:space="preserve">  </w:t>
      </w:r>
      <w:r w:rsidRPr="005E3B43">
        <w:t>Notice of reassignment of biological numbers</w:t>
      </w:r>
      <w:bookmarkEnd w:id="45"/>
    </w:p>
    <w:p w14:paraId="5791DA08" w14:textId="510AB1A7" w:rsidR="00641236" w:rsidRPr="005E3B43" w:rsidRDefault="00641236" w:rsidP="00763BCF">
      <w:pPr>
        <w:pStyle w:val="subsection"/>
      </w:pPr>
      <w:r w:rsidRPr="005E3B43">
        <w:tab/>
      </w:r>
      <w:r w:rsidRPr="005E3B43">
        <w:tab/>
        <w:t xml:space="preserve">The Secretary must give notice, in writing, to a person in whose name a biological is included in the Register under </w:t>
      </w:r>
      <w:r w:rsidR="00BB758E" w:rsidRPr="005E3B43">
        <w:t>Part 3</w:t>
      </w:r>
      <w:r w:rsidR="007C3215">
        <w:noBreakHyphen/>
      </w:r>
      <w:r w:rsidRPr="005E3B43">
        <w:t>2A of the Act if a biological number is assigned to the biological under regulation</w:t>
      </w:r>
      <w:r w:rsidR="004E6D00" w:rsidRPr="005E3B43">
        <w:t> </w:t>
      </w:r>
      <w:r w:rsidRPr="005E3B43">
        <w:t>10I.</w:t>
      </w:r>
    </w:p>
    <w:p w14:paraId="116656BA" w14:textId="77777777" w:rsidR="00FF6420" w:rsidRPr="005E3B43" w:rsidRDefault="006B5D8E" w:rsidP="00763BCF">
      <w:pPr>
        <w:pStyle w:val="ActHead2"/>
        <w:pageBreakBefore/>
      </w:pPr>
      <w:bookmarkStart w:id="46" w:name="_Toc187135641"/>
      <w:r w:rsidRPr="005E3B43">
        <w:rPr>
          <w:rStyle w:val="CharPartNo"/>
        </w:rPr>
        <w:lastRenderedPageBreak/>
        <w:t>Part 2</w:t>
      </w:r>
      <w:r w:rsidR="00FF6420" w:rsidRPr="005E3B43">
        <w:rPr>
          <w:rStyle w:val="CharPartNo"/>
        </w:rPr>
        <w:t>CA</w:t>
      </w:r>
      <w:r w:rsidR="00FF6420" w:rsidRPr="005E3B43">
        <w:t>—</w:t>
      </w:r>
      <w:r w:rsidR="00FF6420" w:rsidRPr="005E3B43">
        <w:rPr>
          <w:rStyle w:val="CharPartText"/>
        </w:rPr>
        <w:t>Prohibition on import, export or manufacture of certain therapeutic goods—international agreements</w:t>
      </w:r>
      <w:bookmarkEnd w:id="46"/>
    </w:p>
    <w:p w14:paraId="1E19CDAD" w14:textId="77777777" w:rsidR="00FF6420" w:rsidRPr="005E3B43" w:rsidRDefault="00FF6420" w:rsidP="00763BCF">
      <w:pPr>
        <w:pStyle w:val="ActHead3"/>
      </w:pPr>
      <w:bookmarkStart w:id="47" w:name="_Toc187135642"/>
      <w:r w:rsidRPr="005E3B43">
        <w:rPr>
          <w:rStyle w:val="CharDivNo"/>
        </w:rPr>
        <w:t>Division 1</w:t>
      </w:r>
      <w:r w:rsidRPr="005E3B43">
        <w:t>—</w:t>
      </w:r>
      <w:r w:rsidRPr="005E3B43">
        <w:rPr>
          <w:rStyle w:val="CharDivText"/>
        </w:rPr>
        <w:t>Prescribed international agreements</w:t>
      </w:r>
      <w:bookmarkEnd w:id="47"/>
    </w:p>
    <w:p w14:paraId="5EF430D9" w14:textId="77777777" w:rsidR="00FF6420" w:rsidRPr="005E3B43" w:rsidRDefault="00FF6420" w:rsidP="00763BCF">
      <w:pPr>
        <w:pStyle w:val="ActHead5"/>
      </w:pPr>
      <w:bookmarkStart w:id="48" w:name="_Toc187135643"/>
      <w:r w:rsidRPr="005E3B43">
        <w:rPr>
          <w:rStyle w:val="CharSectno"/>
        </w:rPr>
        <w:t>10JA</w:t>
      </w:r>
      <w:r w:rsidRPr="005E3B43">
        <w:t xml:space="preserve">  Prescribed international agreements</w:t>
      </w:r>
      <w:bookmarkEnd w:id="48"/>
    </w:p>
    <w:p w14:paraId="5902EE37" w14:textId="77777777" w:rsidR="00FF6420" w:rsidRPr="005E3B43" w:rsidRDefault="00FF6420" w:rsidP="00763BCF">
      <w:pPr>
        <w:pStyle w:val="subsection"/>
      </w:pPr>
      <w:r w:rsidRPr="005E3B43">
        <w:tab/>
        <w:t>(1)</w:t>
      </w:r>
      <w:r w:rsidRPr="005E3B43">
        <w:tab/>
        <w:t>For the purposes of subsection 9K(1) of the Act, the Minamata Convention is prescribed.</w:t>
      </w:r>
    </w:p>
    <w:p w14:paraId="607997B5" w14:textId="77777777" w:rsidR="00FF6420" w:rsidRPr="005E3B43" w:rsidRDefault="00FF6420" w:rsidP="00763BCF">
      <w:pPr>
        <w:pStyle w:val="subsection"/>
      </w:pPr>
      <w:r w:rsidRPr="005E3B43">
        <w:tab/>
        <w:t>(2)</w:t>
      </w:r>
      <w:r w:rsidRPr="005E3B43">
        <w:tab/>
        <w:t>For the purposes of subsection 9K(3) of the Act, the Minamata Convention is prescribed.</w:t>
      </w:r>
    </w:p>
    <w:p w14:paraId="33BDF1E4" w14:textId="77777777" w:rsidR="00FF6420" w:rsidRPr="005E3B43" w:rsidRDefault="00FF6420" w:rsidP="00763BCF">
      <w:pPr>
        <w:pStyle w:val="subsection"/>
      </w:pPr>
      <w:r w:rsidRPr="005E3B43">
        <w:tab/>
        <w:t>(3)</w:t>
      </w:r>
      <w:r w:rsidRPr="005E3B43">
        <w:tab/>
        <w:t>Unless the contrary intention appears, an expression used in both this Part and the Minamata Convention has the same meaning in this Part as in that Convention.</w:t>
      </w:r>
    </w:p>
    <w:p w14:paraId="18F58A54" w14:textId="4FCFA98A" w:rsidR="00FF6420" w:rsidRPr="005E3B43" w:rsidRDefault="007C3215" w:rsidP="00763BCF">
      <w:pPr>
        <w:pStyle w:val="ActHead3"/>
        <w:pageBreakBefore/>
      </w:pPr>
      <w:bookmarkStart w:id="49" w:name="_Toc187135644"/>
      <w:r>
        <w:rPr>
          <w:rStyle w:val="CharDivNo"/>
        </w:rPr>
        <w:lastRenderedPageBreak/>
        <w:t>Division 2</w:t>
      </w:r>
      <w:r w:rsidR="00FF6420" w:rsidRPr="005E3B43">
        <w:t>—</w:t>
      </w:r>
      <w:r w:rsidR="00FF6420" w:rsidRPr="005E3B43">
        <w:rPr>
          <w:rStyle w:val="CharDivText"/>
        </w:rPr>
        <w:t>Prohibition on importation of mercury</w:t>
      </w:r>
      <w:bookmarkEnd w:id="49"/>
    </w:p>
    <w:p w14:paraId="1EC86B78" w14:textId="2D42D9BE" w:rsidR="00FF6420" w:rsidRPr="005E3B43" w:rsidRDefault="00FF6420" w:rsidP="00763BCF">
      <w:pPr>
        <w:pStyle w:val="ActHead5"/>
      </w:pPr>
      <w:bookmarkStart w:id="50" w:name="_Toc187135645"/>
      <w:r w:rsidRPr="005E3B43">
        <w:rPr>
          <w:rStyle w:val="CharSectno"/>
        </w:rPr>
        <w:t>10JB</w:t>
      </w:r>
      <w:r w:rsidRPr="005E3B43">
        <w:t xml:space="preserve">  Importation of a therapeutic good that is mercury from a non</w:t>
      </w:r>
      <w:r w:rsidR="007C3215">
        <w:noBreakHyphen/>
      </w:r>
      <w:r w:rsidRPr="005E3B43">
        <w:t>party to the Minamata Convention is prohibited unless approved by the Secretary before importation</w:t>
      </w:r>
      <w:bookmarkEnd w:id="50"/>
    </w:p>
    <w:p w14:paraId="09CFA1DB" w14:textId="73BF263F" w:rsidR="00FF6420" w:rsidRPr="005E3B43" w:rsidRDefault="00FF6420" w:rsidP="00763BCF">
      <w:pPr>
        <w:pStyle w:val="subsection"/>
      </w:pPr>
      <w:r w:rsidRPr="005E3B43">
        <w:tab/>
      </w:r>
      <w:r w:rsidRPr="005E3B43">
        <w:tab/>
        <w:t>For the purposes of paragraph 9K(1)(a) of the Act, the importation into Australia of a therapeutic good that is mercury from a non</w:t>
      </w:r>
      <w:r w:rsidR="007C3215">
        <w:noBreakHyphen/>
      </w:r>
      <w:r w:rsidRPr="005E3B43">
        <w:t>party to the Minamata Convention is prohibited unless the Secretary has, in accordance with Division 4, approved, in writing, the importation before the mercury is imported.</w:t>
      </w:r>
    </w:p>
    <w:p w14:paraId="7D80F811" w14:textId="77777777" w:rsidR="00FF6420" w:rsidRPr="005E3B43" w:rsidRDefault="00FF6420" w:rsidP="00763BCF">
      <w:pPr>
        <w:pStyle w:val="ActHead3"/>
        <w:pageBreakBefore/>
      </w:pPr>
      <w:bookmarkStart w:id="51" w:name="_Toc187135646"/>
      <w:r w:rsidRPr="005E3B43">
        <w:rPr>
          <w:rStyle w:val="CharDivNo"/>
        </w:rPr>
        <w:lastRenderedPageBreak/>
        <w:t>Division 3</w:t>
      </w:r>
      <w:r w:rsidRPr="005E3B43">
        <w:t>—</w:t>
      </w:r>
      <w:r w:rsidRPr="005E3B43">
        <w:rPr>
          <w:rStyle w:val="CharDivText"/>
        </w:rPr>
        <w:t>Prohibition on export of mercury</w:t>
      </w:r>
      <w:bookmarkEnd w:id="51"/>
    </w:p>
    <w:p w14:paraId="57B99624" w14:textId="77777777" w:rsidR="00FF6420" w:rsidRPr="005E3B43" w:rsidRDefault="00FF6420" w:rsidP="00763BCF">
      <w:pPr>
        <w:pStyle w:val="ActHead5"/>
      </w:pPr>
      <w:bookmarkStart w:id="52" w:name="_Toc187135647"/>
      <w:r w:rsidRPr="005E3B43">
        <w:rPr>
          <w:rStyle w:val="CharSectno"/>
        </w:rPr>
        <w:t>10JC</w:t>
      </w:r>
      <w:r w:rsidRPr="005E3B43">
        <w:t xml:space="preserve">  Export of a therapeutic good that is mercury is prohibited unless approved by the Secretary before exportation</w:t>
      </w:r>
      <w:bookmarkEnd w:id="52"/>
    </w:p>
    <w:p w14:paraId="05C1C790" w14:textId="77777777" w:rsidR="00FF6420" w:rsidRPr="005E3B43" w:rsidRDefault="00FF6420" w:rsidP="00763BCF">
      <w:pPr>
        <w:pStyle w:val="subsection"/>
      </w:pPr>
      <w:r w:rsidRPr="005E3B43">
        <w:tab/>
      </w:r>
      <w:r w:rsidRPr="005E3B43">
        <w:tab/>
        <w:t>For the purposes of paragraph 9K(1)(b) of the Act, the export from Australia of a therapeutic good that is mercury is prohibited unless the Secretary has, in accordance with Division 4, approved, in writing, the export before the mercury is exported.</w:t>
      </w:r>
    </w:p>
    <w:p w14:paraId="761182AD" w14:textId="77777777" w:rsidR="00FF6420" w:rsidRPr="005E3B43" w:rsidRDefault="00FF6420" w:rsidP="00763BCF">
      <w:pPr>
        <w:pStyle w:val="ActHead3"/>
        <w:pageBreakBefore/>
      </w:pPr>
      <w:bookmarkStart w:id="53" w:name="_Toc187135648"/>
      <w:r w:rsidRPr="005E3B43">
        <w:rPr>
          <w:rStyle w:val="CharDivNo"/>
        </w:rPr>
        <w:lastRenderedPageBreak/>
        <w:t>Division 4</w:t>
      </w:r>
      <w:r w:rsidRPr="005E3B43">
        <w:t>—</w:t>
      </w:r>
      <w:r w:rsidRPr="005E3B43">
        <w:rPr>
          <w:rStyle w:val="CharDivText"/>
        </w:rPr>
        <w:t>Applications to import or export mercury</w:t>
      </w:r>
      <w:bookmarkEnd w:id="53"/>
    </w:p>
    <w:p w14:paraId="18CF1CDD" w14:textId="77777777" w:rsidR="00FF6420" w:rsidRPr="005E3B43" w:rsidRDefault="00FF6420" w:rsidP="00763BCF">
      <w:pPr>
        <w:pStyle w:val="ActHead5"/>
      </w:pPr>
      <w:bookmarkStart w:id="54" w:name="_Toc187135649"/>
      <w:r w:rsidRPr="005E3B43">
        <w:rPr>
          <w:rStyle w:val="CharSectno"/>
        </w:rPr>
        <w:t>10JD</w:t>
      </w:r>
      <w:r w:rsidRPr="005E3B43">
        <w:t xml:space="preserve">  Applications to import or export mercury</w:t>
      </w:r>
      <w:bookmarkEnd w:id="54"/>
    </w:p>
    <w:p w14:paraId="5C93010E" w14:textId="77777777" w:rsidR="00FF6420" w:rsidRPr="005E3B43" w:rsidRDefault="00FF6420" w:rsidP="00763BCF">
      <w:pPr>
        <w:pStyle w:val="subsection"/>
      </w:pPr>
      <w:r w:rsidRPr="005E3B43">
        <w:tab/>
        <w:t>(1)</w:t>
      </w:r>
      <w:r w:rsidRPr="005E3B43">
        <w:tab/>
        <w:t>A person may apply to the Secretary for approval:</w:t>
      </w:r>
    </w:p>
    <w:p w14:paraId="0E9C6DD3" w14:textId="1CE757BB" w:rsidR="00FF6420" w:rsidRPr="005E3B43" w:rsidRDefault="00FF6420" w:rsidP="00763BCF">
      <w:pPr>
        <w:pStyle w:val="paragraph"/>
      </w:pPr>
      <w:r w:rsidRPr="005E3B43">
        <w:tab/>
        <w:t>(a)</w:t>
      </w:r>
      <w:r w:rsidRPr="005E3B43">
        <w:tab/>
        <w:t>to import into Australia a therapeutic good that is mercury from a non</w:t>
      </w:r>
      <w:r w:rsidR="007C3215">
        <w:noBreakHyphen/>
      </w:r>
      <w:r w:rsidRPr="005E3B43">
        <w:t>party to the Minamata Convention; or</w:t>
      </w:r>
    </w:p>
    <w:p w14:paraId="222DF52C" w14:textId="77777777" w:rsidR="00FF6420" w:rsidRPr="005E3B43" w:rsidRDefault="00FF6420" w:rsidP="00763BCF">
      <w:pPr>
        <w:pStyle w:val="paragraph"/>
      </w:pPr>
      <w:r w:rsidRPr="005E3B43">
        <w:tab/>
        <w:t>(b)</w:t>
      </w:r>
      <w:r w:rsidRPr="005E3B43">
        <w:tab/>
        <w:t>to export from Australia a therapeutic good that is mercury.</w:t>
      </w:r>
    </w:p>
    <w:p w14:paraId="58235154" w14:textId="77777777" w:rsidR="00FF6420" w:rsidRPr="005E3B43" w:rsidRDefault="00FF6420" w:rsidP="00763BCF">
      <w:pPr>
        <w:pStyle w:val="subsection"/>
      </w:pPr>
      <w:r w:rsidRPr="005E3B43">
        <w:tab/>
        <w:t>(2)</w:t>
      </w:r>
      <w:r w:rsidRPr="005E3B43">
        <w:tab/>
        <w:t>An application must:</w:t>
      </w:r>
    </w:p>
    <w:p w14:paraId="5DF3F422" w14:textId="77777777" w:rsidR="00FF6420" w:rsidRPr="005E3B43" w:rsidRDefault="00FF6420" w:rsidP="00763BCF">
      <w:pPr>
        <w:pStyle w:val="paragraph"/>
      </w:pPr>
      <w:r w:rsidRPr="005E3B43">
        <w:tab/>
        <w:t>(a)</w:t>
      </w:r>
      <w:r w:rsidRPr="005E3B43">
        <w:tab/>
        <w:t>be in the form approved by the Secretary for the purposes of this paragraph; and</w:t>
      </w:r>
    </w:p>
    <w:p w14:paraId="72E9966A" w14:textId="77777777" w:rsidR="00FF6420" w:rsidRPr="005E3B43" w:rsidRDefault="00FF6420" w:rsidP="00763BCF">
      <w:pPr>
        <w:pStyle w:val="paragraph"/>
      </w:pPr>
      <w:r w:rsidRPr="005E3B43">
        <w:tab/>
        <w:t>(b)</w:t>
      </w:r>
      <w:r w:rsidRPr="005E3B43">
        <w:tab/>
        <w:t>include the information required by the form; and</w:t>
      </w:r>
    </w:p>
    <w:p w14:paraId="063C4717" w14:textId="77777777" w:rsidR="00FF6420" w:rsidRPr="005E3B43" w:rsidRDefault="00FF6420" w:rsidP="00763BCF">
      <w:pPr>
        <w:pStyle w:val="paragraph"/>
      </w:pPr>
      <w:r w:rsidRPr="005E3B43">
        <w:tab/>
        <w:t>(c)</w:t>
      </w:r>
      <w:r w:rsidRPr="005E3B43">
        <w:tab/>
        <w:t xml:space="preserve">be accompanied by the fee (if any) mentioned in </w:t>
      </w:r>
      <w:r w:rsidR="006B5D8E" w:rsidRPr="005E3B43">
        <w:t>Part 2</w:t>
      </w:r>
      <w:r w:rsidRPr="005E3B43">
        <w:t xml:space="preserve"> of Schedule 9 for the application.</w:t>
      </w:r>
    </w:p>
    <w:p w14:paraId="517FE418" w14:textId="77777777" w:rsidR="00FF6420" w:rsidRPr="005E3B43" w:rsidRDefault="00FF6420" w:rsidP="00763BCF">
      <w:pPr>
        <w:pStyle w:val="subsection"/>
      </w:pPr>
      <w:r w:rsidRPr="005E3B43">
        <w:tab/>
        <w:t>(3)</w:t>
      </w:r>
      <w:r w:rsidRPr="005E3B43">
        <w:tab/>
        <w:t>An application is taken not to have been made if the application does not comply with the requirements referred to in subregulation (2).</w:t>
      </w:r>
    </w:p>
    <w:p w14:paraId="325E430A" w14:textId="77777777" w:rsidR="00FF6420" w:rsidRPr="005E3B43" w:rsidRDefault="00FF6420" w:rsidP="00763BCF">
      <w:pPr>
        <w:pStyle w:val="subsection"/>
      </w:pPr>
      <w:r w:rsidRPr="005E3B43">
        <w:tab/>
        <w:t>(4)</w:t>
      </w:r>
      <w:r w:rsidRPr="005E3B43">
        <w:tab/>
        <w:t>The Secretary may approve a form for the purposes of paragraph (2)(a).</w:t>
      </w:r>
    </w:p>
    <w:p w14:paraId="653E93B3" w14:textId="77777777" w:rsidR="00FF6420" w:rsidRPr="005E3B43" w:rsidRDefault="00FF6420" w:rsidP="00763BCF">
      <w:pPr>
        <w:pStyle w:val="ActHead5"/>
      </w:pPr>
      <w:bookmarkStart w:id="55" w:name="_Toc187135650"/>
      <w:r w:rsidRPr="005E3B43">
        <w:rPr>
          <w:rStyle w:val="CharSectno"/>
        </w:rPr>
        <w:t>10JE</w:t>
      </w:r>
      <w:r w:rsidRPr="005E3B43">
        <w:t xml:space="preserve">  When approval may be granted—importation</w:t>
      </w:r>
      <w:bookmarkEnd w:id="55"/>
    </w:p>
    <w:p w14:paraId="2CB5154B" w14:textId="6D750CB3" w:rsidR="00FF6420" w:rsidRPr="005E3B43" w:rsidRDefault="00FF6420" w:rsidP="00763BCF">
      <w:pPr>
        <w:pStyle w:val="subsection"/>
      </w:pPr>
      <w:r w:rsidRPr="005E3B43">
        <w:tab/>
      </w:r>
      <w:r w:rsidRPr="005E3B43">
        <w:tab/>
        <w:t>The Secretary may approve an application under paragraph 10JD(1)(a) to import a therapeutic good that is mercury from a non</w:t>
      </w:r>
      <w:r w:rsidR="007C3215">
        <w:noBreakHyphen/>
      </w:r>
      <w:r w:rsidRPr="005E3B43">
        <w:t xml:space="preserve">party (the </w:t>
      </w:r>
      <w:r w:rsidRPr="005E3B43">
        <w:rPr>
          <w:b/>
          <w:i/>
        </w:rPr>
        <w:t>exporting party</w:t>
      </w:r>
      <w:r w:rsidRPr="005E3B43">
        <w:t>) to the Minamata Convention only if the Secretary is satisfied that:</w:t>
      </w:r>
    </w:p>
    <w:p w14:paraId="39FE9ADD" w14:textId="77777777" w:rsidR="00FF6420" w:rsidRPr="005E3B43" w:rsidRDefault="00FF6420" w:rsidP="00763BCF">
      <w:pPr>
        <w:pStyle w:val="paragraph"/>
      </w:pPr>
      <w:r w:rsidRPr="005E3B43">
        <w:tab/>
        <w:t>(a)</w:t>
      </w:r>
      <w:r w:rsidRPr="005E3B43">
        <w:tab/>
        <w:t>either:</w:t>
      </w:r>
    </w:p>
    <w:p w14:paraId="7787E819" w14:textId="77777777" w:rsidR="00FF6420" w:rsidRPr="005E3B43" w:rsidRDefault="00FF6420" w:rsidP="00763BCF">
      <w:pPr>
        <w:pStyle w:val="paragraphsub"/>
      </w:pPr>
      <w:r w:rsidRPr="005E3B43">
        <w:tab/>
        <w:t>(i)</w:t>
      </w:r>
      <w:r w:rsidRPr="005E3B43">
        <w:tab/>
        <w:t>Australia has provided the exporting party with written consent to the import; or</w:t>
      </w:r>
    </w:p>
    <w:p w14:paraId="33E002CA" w14:textId="77777777" w:rsidR="00FF6420" w:rsidRPr="005E3B43" w:rsidRDefault="00FF6420" w:rsidP="00763BCF">
      <w:pPr>
        <w:pStyle w:val="paragraphsub"/>
      </w:pPr>
      <w:r w:rsidRPr="005E3B43">
        <w:tab/>
        <w:t>(ii)</w:t>
      </w:r>
      <w:r w:rsidRPr="005E3B43">
        <w:tab/>
        <w:t>a general notification of consent is in force for Australia in accordance with paragraph 7 of Article 3 of the Minamata Convention; and</w:t>
      </w:r>
    </w:p>
    <w:p w14:paraId="33D7D507" w14:textId="2BCDB3CB" w:rsidR="00FF6420" w:rsidRPr="005E3B43" w:rsidRDefault="00FF6420" w:rsidP="00763BCF">
      <w:pPr>
        <w:pStyle w:val="paragraph"/>
      </w:pPr>
      <w:r w:rsidRPr="005E3B43">
        <w:tab/>
        <w:t>(b)</w:t>
      </w:r>
      <w:r w:rsidRPr="005E3B43">
        <w:tab/>
        <w:t>the exporting party has provided written certification that the mercury is neither sourced from primary mercury mining nor excess mercury from the decommissioning of chlor</w:t>
      </w:r>
      <w:r w:rsidR="007C3215">
        <w:noBreakHyphen/>
      </w:r>
      <w:r w:rsidRPr="005E3B43">
        <w:t>alkali facilities.</w:t>
      </w:r>
    </w:p>
    <w:p w14:paraId="7A14389E" w14:textId="77777777" w:rsidR="00FF6420" w:rsidRPr="005E3B43" w:rsidRDefault="00FF6420" w:rsidP="00763BCF">
      <w:pPr>
        <w:pStyle w:val="ActHead5"/>
      </w:pPr>
      <w:bookmarkStart w:id="56" w:name="_Toc187135651"/>
      <w:r w:rsidRPr="005E3B43">
        <w:rPr>
          <w:rStyle w:val="CharSectno"/>
        </w:rPr>
        <w:t>10JF</w:t>
      </w:r>
      <w:r w:rsidRPr="005E3B43">
        <w:t xml:space="preserve">  When approval may be granted—export</w:t>
      </w:r>
      <w:bookmarkEnd w:id="56"/>
    </w:p>
    <w:p w14:paraId="74CD05BF" w14:textId="77777777" w:rsidR="00FF6420" w:rsidRPr="005E3B43" w:rsidRDefault="00FF6420" w:rsidP="00763BCF">
      <w:pPr>
        <w:pStyle w:val="SubsectionHead"/>
      </w:pPr>
      <w:r w:rsidRPr="005E3B43">
        <w:t>Export to a Party to the Minamata Convention</w:t>
      </w:r>
    </w:p>
    <w:p w14:paraId="7862766E" w14:textId="77777777" w:rsidR="00FF6420" w:rsidRPr="005E3B43" w:rsidRDefault="00FF6420" w:rsidP="00763BCF">
      <w:pPr>
        <w:pStyle w:val="subsection"/>
      </w:pPr>
      <w:r w:rsidRPr="005E3B43">
        <w:tab/>
        <w:t>(1)</w:t>
      </w:r>
      <w:r w:rsidRPr="005E3B43">
        <w:tab/>
        <w:t xml:space="preserve">The Secretary may approve an application under paragraph 10JD(1)(b) to export a therapeutic good that is mercury to a Party (the </w:t>
      </w:r>
      <w:r w:rsidRPr="005E3B43">
        <w:rPr>
          <w:b/>
          <w:i/>
        </w:rPr>
        <w:t>importing Party</w:t>
      </w:r>
      <w:r w:rsidRPr="005E3B43">
        <w:t>) to the Minamata Convention only if the Secretary is satisfied that :</w:t>
      </w:r>
    </w:p>
    <w:p w14:paraId="74665883" w14:textId="77777777" w:rsidR="00FF6420" w:rsidRPr="005E3B43" w:rsidRDefault="00FF6420" w:rsidP="00763BCF">
      <w:pPr>
        <w:pStyle w:val="paragraph"/>
      </w:pPr>
      <w:r w:rsidRPr="005E3B43">
        <w:tab/>
        <w:t>(a)</w:t>
      </w:r>
      <w:r w:rsidRPr="005E3B43">
        <w:tab/>
        <w:t>the importing Party has provided its written consent to the export; and</w:t>
      </w:r>
    </w:p>
    <w:p w14:paraId="155E91DA" w14:textId="77777777" w:rsidR="00FF6420" w:rsidRPr="005E3B43" w:rsidRDefault="00FF6420" w:rsidP="00763BCF">
      <w:pPr>
        <w:pStyle w:val="paragraph"/>
      </w:pPr>
      <w:r w:rsidRPr="005E3B43">
        <w:tab/>
        <w:t>(b)</w:t>
      </w:r>
      <w:r w:rsidRPr="005E3B43">
        <w:tab/>
        <w:t>the mercury is to be exported:</w:t>
      </w:r>
    </w:p>
    <w:p w14:paraId="680E2033" w14:textId="77777777" w:rsidR="00FF6420" w:rsidRPr="005E3B43" w:rsidRDefault="00FF6420" w:rsidP="00763BCF">
      <w:pPr>
        <w:pStyle w:val="paragraphsub"/>
      </w:pPr>
      <w:r w:rsidRPr="005E3B43">
        <w:tab/>
        <w:t>(i)</w:t>
      </w:r>
      <w:r w:rsidRPr="005E3B43">
        <w:tab/>
        <w:t>for a use allowed to the importing Party under the Minamata Convention; or</w:t>
      </w:r>
    </w:p>
    <w:p w14:paraId="00F633BA" w14:textId="77777777" w:rsidR="00FF6420" w:rsidRPr="005E3B43" w:rsidRDefault="00FF6420" w:rsidP="00763BCF">
      <w:pPr>
        <w:pStyle w:val="paragraphsub"/>
      </w:pPr>
      <w:r w:rsidRPr="005E3B43">
        <w:lastRenderedPageBreak/>
        <w:tab/>
        <w:t>(ii)</w:t>
      </w:r>
      <w:r w:rsidRPr="005E3B43">
        <w:tab/>
        <w:t>for environmentally sound interim storage as set out in Article 10 of the Minamata Convention.</w:t>
      </w:r>
    </w:p>
    <w:p w14:paraId="002B08F7" w14:textId="3115F274" w:rsidR="00FF6420" w:rsidRPr="005E3B43" w:rsidRDefault="00FF6420" w:rsidP="00763BCF">
      <w:pPr>
        <w:pStyle w:val="SubsectionHead"/>
      </w:pPr>
      <w:r w:rsidRPr="005E3B43">
        <w:t>Export to a non</w:t>
      </w:r>
      <w:r w:rsidR="007C3215">
        <w:noBreakHyphen/>
      </w:r>
      <w:r w:rsidRPr="005E3B43">
        <w:t>party to the Minamata Convention</w:t>
      </w:r>
    </w:p>
    <w:p w14:paraId="0E03AD86" w14:textId="3E7E783A" w:rsidR="00FF6420" w:rsidRPr="005E3B43" w:rsidRDefault="00FF6420" w:rsidP="00763BCF">
      <w:pPr>
        <w:pStyle w:val="subsection"/>
      </w:pPr>
      <w:r w:rsidRPr="005E3B43">
        <w:tab/>
        <w:t>(2)</w:t>
      </w:r>
      <w:r w:rsidRPr="005E3B43">
        <w:tab/>
        <w:t>The Secretary may approve an application under paragraph 10JD(1)(b) to export a therapeutic good that is mercury to a non</w:t>
      </w:r>
      <w:r w:rsidR="007C3215">
        <w:noBreakHyphen/>
      </w:r>
      <w:r w:rsidRPr="005E3B43">
        <w:t xml:space="preserve">party (the </w:t>
      </w:r>
      <w:r w:rsidRPr="005E3B43">
        <w:rPr>
          <w:b/>
          <w:i/>
        </w:rPr>
        <w:t>importing party</w:t>
      </w:r>
      <w:r w:rsidRPr="005E3B43">
        <w:t>) to the Minamata Convention only if the Secretary is satisfied that the importing party has provided:</w:t>
      </w:r>
    </w:p>
    <w:p w14:paraId="3E2498B9" w14:textId="77777777" w:rsidR="00FF6420" w:rsidRPr="005E3B43" w:rsidRDefault="00FF6420" w:rsidP="00763BCF">
      <w:pPr>
        <w:pStyle w:val="paragraph"/>
      </w:pPr>
      <w:r w:rsidRPr="005E3B43">
        <w:tab/>
        <w:t>(a)</w:t>
      </w:r>
      <w:r w:rsidRPr="005E3B43">
        <w:tab/>
        <w:t>its written consent to the export; and</w:t>
      </w:r>
    </w:p>
    <w:p w14:paraId="1D03D7A3" w14:textId="77777777" w:rsidR="00FF6420" w:rsidRPr="005E3B43" w:rsidRDefault="00FF6420" w:rsidP="00763BCF">
      <w:pPr>
        <w:pStyle w:val="paragraph"/>
      </w:pPr>
      <w:r w:rsidRPr="005E3B43">
        <w:tab/>
        <w:t>(b)</w:t>
      </w:r>
      <w:r w:rsidRPr="005E3B43">
        <w:tab/>
        <w:t>its written certification demonstrating that:</w:t>
      </w:r>
    </w:p>
    <w:p w14:paraId="3774474E" w14:textId="77777777" w:rsidR="00FF6420" w:rsidRPr="005E3B43" w:rsidRDefault="00FF6420" w:rsidP="00763BCF">
      <w:pPr>
        <w:pStyle w:val="paragraphsub"/>
      </w:pPr>
      <w:r w:rsidRPr="005E3B43">
        <w:tab/>
        <w:t>(i)</w:t>
      </w:r>
      <w:r w:rsidRPr="005E3B43">
        <w:tab/>
        <w:t>it has measures in place to ensure the protection of human health and the environment; and</w:t>
      </w:r>
    </w:p>
    <w:p w14:paraId="02E052EE" w14:textId="77777777" w:rsidR="00FF6420" w:rsidRPr="005E3B43" w:rsidRDefault="00FF6420" w:rsidP="00763BCF">
      <w:pPr>
        <w:pStyle w:val="paragraphsub"/>
      </w:pPr>
      <w:r w:rsidRPr="005E3B43">
        <w:tab/>
        <w:t>(ii)</w:t>
      </w:r>
      <w:r w:rsidRPr="005E3B43">
        <w:tab/>
        <w:t>it has measures in place to ensure compliance with Articles 10 and 11 of the Minamata Convention; and</w:t>
      </w:r>
    </w:p>
    <w:p w14:paraId="72DA34E6" w14:textId="77777777" w:rsidR="00FF6420" w:rsidRPr="005E3B43" w:rsidRDefault="00FF6420" w:rsidP="00763BCF">
      <w:pPr>
        <w:pStyle w:val="paragraphsub"/>
      </w:pPr>
      <w:r w:rsidRPr="005E3B43">
        <w:tab/>
        <w:t>(iii)</w:t>
      </w:r>
      <w:r w:rsidRPr="005E3B43">
        <w:tab/>
        <w:t>the mercury will be used only for a use allowed under the Minamata Convention to a Party to the Minamata Convention or for environmentally sound interim storage as set out in Article 10 of the Minamata Convention.</w:t>
      </w:r>
    </w:p>
    <w:p w14:paraId="382C3D7D" w14:textId="1A608D78" w:rsidR="00FF6420" w:rsidRPr="005E3B43" w:rsidRDefault="00FF6420" w:rsidP="00763BCF">
      <w:pPr>
        <w:pStyle w:val="ActHead3"/>
        <w:pageBreakBefore/>
      </w:pPr>
      <w:bookmarkStart w:id="57" w:name="_Toc187135652"/>
      <w:r w:rsidRPr="005E3B43">
        <w:rPr>
          <w:rStyle w:val="CharDivNo"/>
        </w:rPr>
        <w:lastRenderedPageBreak/>
        <w:t>Division 5</w:t>
      </w:r>
      <w:r w:rsidRPr="005E3B43">
        <w:t>—</w:t>
      </w:r>
      <w:r w:rsidRPr="005E3B43">
        <w:rPr>
          <w:rStyle w:val="CharDivText"/>
        </w:rPr>
        <w:t>Mercury</w:t>
      </w:r>
      <w:r w:rsidR="007C3215">
        <w:rPr>
          <w:rStyle w:val="CharDivText"/>
        </w:rPr>
        <w:noBreakHyphen/>
      </w:r>
      <w:r w:rsidRPr="005E3B43">
        <w:rPr>
          <w:rStyle w:val="CharDivText"/>
        </w:rPr>
        <w:t>added products</w:t>
      </w:r>
      <w:bookmarkEnd w:id="57"/>
    </w:p>
    <w:p w14:paraId="143FBE67" w14:textId="3CE60849" w:rsidR="00FF6420" w:rsidRPr="005E3B43" w:rsidRDefault="00FF6420" w:rsidP="00763BCF">
      <w:pPr>
        <w:pStyle w:val="ActHead5"/>
      </w:pPr>
      <w:bookmarkStart w:id="58" w:name="_Toc187135653"/>
      <w:r w:rsidRPr="005E3B43">
        <w:rPr>
          <w:rStyle w:val="CharSectno"/>
        </w:rPr>
        <w:t>10JG</w:t>
      </w:r>
      <w:r w:rsidRPr="005E3B43">
        <w:t xml:space="preserve">  Import, export and manufacture of therapeutic goods that are mercury</w:t>
      </w:r>
      <w:r w:rsidR="007C3215">
        <w:noBreakHyphen/>
      </w:r>
      <w:r w:rsidRPr="005E3B43">
        <w:t>added products</w:t>
      </w:r>
      <w:bookmarkEnd w:id="58"/>
    </w:p>
    <w:p w14:paraId="6C782EA9" w14:textId="6968760A" w:rsidR="00FF6420" w:rsidRPr="005E3B43" w:rsidRDefault="00FF6420" w:rsidP="00763BCF">
      <w:pPr>
        <w:pStyle w:val="subsection"/>
      </w:pPr>
      <w:r w:rsidRPr="005E3B43">
        <w:tab/>
      </w:r>
      <w:r w:rsidRPr="005E3B43">
        <w:tab/>
        <w:t>For the purposes of subsection 9K(1) of the Act, the importation into, export from and manufacture in, Australia of therapeutic goods that are mercury</w:t>
      </w:r>
      <w:r w:rsidR="007C3215">
        <w:noBreakHyphen/>
      </w:r>
      <w:r w:rsidRPr="005E3B43">
        <w:t>added products is prohibited.</w:t>
      </w:r>
    </w:p>
    <w:p w14:paraId="59A300E7" w14:textId="7D9F63C3" w:rsidR="00FF6420" w:rsidRPr="005E3B43" w:rsidRDefault="00FF6420" w:rsidP="00763BCF">
      <w:pPr>
        <w:pStyle w:val="ActHead5"/>
      </w:pPr>
      <w:bookmarkStart w:id="59" w:name="_Toc187135654"/>
      <w:r w:rsidRPr="005E3B43">
        <w:rPr>
          <w:rStyle w:val="CharSectno"/>
        </w:rPr>
        <w:t>10JH</w:t>
      </w:r>
      <w:r w:rsidRPr="005E3B43">
        <w:t xml:space="preserve">  Manufacture of therapeutic goods containing mercury</w:t>
      </w:r>
      <w:r w:rsidR="007C3215">
        <w:noBreakHyphen/>
      </w:r>
      <w:r w:rsidRPr="005E3B43">
        <w:t>added products</w:t>
      </w:r>
      <w:bookmarkEnd w:id="59"/>
    </w:p>
    <w:p w14:paraId="5D669354" w14:textId="3944861D" w:rsidR="00FF6420" w:rsidRPr="005E3B43" w:rsidRDefault="00FF6420" w:rsidP="00763BCF">
      <w:pPr>
        <w:pStyle w:val="subsection"/>
      </w:pPr>
      <w:r w:rsidRPr="005E3B43">
        <w:tab/>
      </w:r>
      <w:r w:rsidRPr="005E3B43">
        <w:tab/>
        <w:t>For the purposes of subsection 9K(3) of the Act, the manufacture in Australia of therapeutic goods that contain mercury</w:t>
      </w:r>
      <w:r w:rsidR="007C3215">
        <w:noBreakHyphen/>
      </w:r>
      <w:r w:rsidRPr="005E3B43">
        <w:t>added products is prohibited.</w:t>
      </w:r>
    </w:p>
    <w:p w14:paraId="432EEF8E" w14:textId="77777777" w:rsidR="00FC39AB" w:rsidRPr="005E3B43" w:rsidRDefault="006B5D8E" w:rsidP="00763BCF">
      <w:pPr>
        <w:pStyle w:val="ActHead2"/>
        <w:pageBreakBefore/>
      </w:pPr>
      <w:bookmarkStart w:id="60" w:name="_Toc187135655"/>
      <w:r w:rsidRPr="005E3B43">
        <w:rPr>
          <w:rStyle w:val="CharPartNo"/>
        </w:rPr>
        <w:lastRenderedPageBreak/>
        <w:t>Part 2</w:t>
      </w:r>
      <w:r w:rsidR="00FC39AB" w:rsidRPr="005E3B43">
        <w:rPr>
          <w:rStyle w:val="CharPartNo"/>
        </w:rPr>
        <w:t>D</w:t>
      </w:r>
      <w:r w:rsidR="00FC39AB" w:rsidRPr="005E3B43">
        <w:t>—</w:t>
      </w:r>
      <w:r w:rsidR="00FC39AB" w:rsidRPr="005E3B43">
        <w:rPr>
          <w:rStyle w:val="CharPartText"/>
        </w:rPr>
        <w:t>Provisional determinations for medicine</w:t>
      </w:r>
      <w:bookmarkEnd w:id="60"/>
    </w:p>
    <w:p w14:paraId="7AA905F4" w14:textId="77777777" w:rsidR="00FC39AB" w:rsidRPr="005E3B43" w:rsidRDefault="00FC39AB" w:rsidP="00763BCF">
      <w:pPr>
        <w:pStyle w:val="Header"/>
      </w:pPr>
      <w:r w:rsidRPr="005E3B43">
        <w:rPr>
          <w:rStyle w:val="CharDivNo"/>
        </w:rPr>
        <w:t xml:space="preserve"> </w:t>
      </w:r>
      <w:r w:rsidRPr="005E3B43">
        <w:rPr>
          <w:rStyle w:val="CharDivText"/>
        </w:rPr>
        <w:t xml:space="preserve"> </w:t>
      </w:r>
    </w:p>
    <w:p w14:paraId="41566D02" w14:textId="77777777" w:rsidR="00FC39AB" w:rsidRPr="005E3B43" w:rsidRDefault="00FC39AB" w:rsidP="00763BCF">
      <w:pPr>
        <w:pStyle w:val="ActHead5"/>
      </w:pPr>
      <w:bookmarkStart w:id="61" w:name="_Toc187135656"/>
      <w:r w:rsidRPr="005E3B43">
        <w:rPr>
          <w:rStyle w:val="CharSectno"/>
        </w:rPr>
        <w:t>10K</w:t>
      </w:r>
      <w:r w:rsidRPr="005E3B43">
        <w:t xml:space="preserve">  Applications for provisional determinations</w:t>
      </w:r>
      <w:bookmarkEnd w:id="61"/>
    </w:p>
    <w:p w14:paraId="2BA0B9DF" w14:textId="77777777" w:rsidR="00FC39AB" w:rsidRPr="005E3B43" w:rsidRDefault="00FC39AB" w:rsidP="00763BCF">
      <w:pPr>
        <w:pStyle w:val="subsection"/>
      </w:pPr>
      <w:r w:rsidRPr="005E3B43">
        <w:tab/>
      </w:r>
      <w:r w:rsidRPr="005E3B43">
        <w:tab/>
        <w:t>For the purposes of sub</w:t>
      </w:r>
      <w:r w:rsidR="00FB7FAA" w:rsidRPr="005E3B43">
        <w:t>section 2</w:t>
      </w:r>
      <w:r w:rsidRPr="005E3B43">
        <w:t>2C(1) of the Act, the kinds of medicine are the following:</w:t>
      </w:r>
    </w:p>
    <w:p w14:paraId="5007792D" w14:textId="77777777" w:rsidR="00FC39AB" w:rsidRPr="005E3B43" w:rsidRDefault="00FC39AB" w:rsidP="00763BCF">
      <w:pPr>
        <w:pStyle w:val="paragraph"/>
      </w:pPr>
      <w:r w:rsidRPr="005E3B43">
        <w:tab/>
        <w:t>(a)</w:t>
      </w:r>
      <w:r w:rsidRPr="005E3B43">
        <w:tab/>
        <w:t>new prescription medicine;</w:t>
      </w:r>
    </w:p>
    <w:p w14:paraId="49C09308" w14:textId="77777777" w:rsidR="00FC39AB" w:rsidRPr="005E3B43" w:rsidRDefault="00FC39AB" w:rsidP="00763BCF">
      <w:pPr>
        <w:pStyle w:val="paragraph"/>
      </w:pPr>
      <w:r w:rsidRPr="005E3B43">
        <w:tab/>
        <w:t>(b)</w:t>
      </w:r>
      <w:r w:rsidRPr="005E3B43">
        <w:tab/>
        <w:t>new indications medicine.</w:t>
      </w:r>
    </w:p>
    <w:p w14:paraId="7BD57205" w14:textId="77777777" w:rsidR="00FC39AB" w:rsidRPr="005E3B43" w:rsidRDefault="00FC39AB" w:rsidP="00763BCF">
      <w:pPr>
        <w:pStyle w:val="ActHead5"/>
      </w:pPr>
      <w:bookmarkStart w:id="62" w:name="_Toc187135657"/>
      <w:r w:rsidRPr="005E3B43">
        <w:rPr>
          <w:rStyle w:val="CharSectno"/>
        </w:rPr>
        <w:t>10L</w:t>
      </w:r>
      <w:r w:rsidRPr="005E3B43">
        <w:t xml:space="preserve">  Provisional determinations</w:t>
      </w:r>
      <w:bookmarkEnd w:id="62"/>
    </w:p>
    <w:p w14:paraId="46841B08" w14:textId="77777777" w:rsidR="00FC39AB" w:rsidRPr="005E3B43" w:rsidRDefault="00FC39AB" w:rsidP="00763BCF">
      <w:pPr>
        <w:pStyle w:val="subsection"/>
      </w:pPr>
      <w:r w:rsidRPr="005E3B43">
        <w:tab/>
      </w:r>
      <w:r w:rsidR="00C8232F" w:rsidRPr="005E3B43">
        <w:t>(1)</w:t>
      </w:r>
      <w:r w:rsidRPr="005E3B43">
        <w:tab/>
        <w:t>For the purposes of sub</w:t>
      </w:r>
      <w:r w:rsidR="00FB7FAA" w:rsidRPr="005E3B43">
        <w:t>section 2</w:t>
      </w:r>
      <w:r w:rsidRPr="005E3B43">
        <w:t>2D(2) of the Act, the criteria are all of the following:</w:t>
      </w:r>
    </w:p>
    <w:p w14:paraId="550DED6D" w14:textId="038D6B0E" w:rsidR="00FC39AB" w:rsidRPr="005E3B43" w:rsidRDefault="00FC39AB" w:rsidP="00763BCF">
      <w:pPr>
        <w:pStyle w:val="paragraph"/>
      </w:pPr>
      <w:r w:rsidRPr="005E3B43">
        <w:tab/>
        <w:t>(a)</w:t>
      </w:r>
      <w:r w:rsidRPr="005E3B43">
        <w:tab/>
        <w:t>an indication of the medicine is the treatment, prevention or diagnosis of a life</w:t>
      </w:r>
      <w:r w:rsidR="007C3215">
        <w:noBreakHyphen/>
      </w:r>
      <w:r w:rsidRPr="005E3B43">
        <w:t>threatening or seriously debilitating condition;</w:t>
      </w:r>
    </w:p>
    <w:p w14:paraId="125A618A" w14:textId="77777777" w:rsidR="00FC39AB" w:rsidRPr="005E3B43" w:rsidRDefault="00FC39AB" w:rsidP="00763BCF">
      <w:pPr>
        <w:pStyle w:val="paragraph"/>
      </w:pPr>
      <w:r w:rsidRPr="005E3B43">
        <w:tab/>
        <w:t>(b)</w:t>
      </w:r>
      <w:r w:rsidRPr="005E3B43">
        <w:tab/>
        <w:t>either:</w:t>
      </w:r>
    </w:p>
    <w:p w14:paraId="305CB709" w14:textId="77777777" w:rsidR="00FC39AB" w:rsidRPr="005E3B43" w:rsidRDefault="00FC39AB" w:rsidP="00763BCF">
      <w:pPr>
        <w:pStyle w:val="paragraphsub"/>
      </w:pPr>
      <w:r w:rsidRPr="005E3B43">
        <w:tab/>
        <w:t>(i)</w:t>
      </w:r>
      <w:r w:rsidRPr="005E3B43">
        <w:tab/>
        <w:t>no therapeutic goods that are intended to treat, prevent or diagnose the condition are included in the Register (except in the part of the Register for goods known as provisionally registered goods); or</w:t>
      </w:r>
    </w:p>
    <w:p w14:paraId="6FE6AE2E" w14:textId="77777777" w:rsidR="00FC39AB" w:rsidRPr="005E3B43" w:rsidRDefault="00FC39AB" w:rsidP="00763BCF">
      <w:pPr>
        <w:pStyle w:val="paragraphsub"/>
      </w:pPr>
      <w:r w:rsidRPr="005E3B43">
        <w:tab/>
        <w:t>(ii)</w:t>
      </w:r>
      <w:r w:rsidRPr="005E3B43">
        <w:tab/>
        <w:t>if one or more therapeutic goods that are intended to treat, prevent or diagnose the condition are included in the Register (except in the part of the Register for goods known as provisionally registered goods)—there is preliminary clinical data demonstrating that the medicine is likely to provide a significant improvement in the efficacy or safety of the treatment, prevention or diagnosis of the condition compared to those goods;</w:t>
      </w:r>
    </w:p>
    <w:p w14:paraId="7FB519B6" w14:textId="77777777" w:rsidR="00FC39AB" w:rsidRPr="005E3B43" w:rsidRDefault="00FC39AB" w:rsidP="00763BCF">
      <w:pPr>
        <w:pStyle w:val="paragraph"/>
      </w:pPr>
      <w:r w:rsidRPr="005E3B43">
        <w:tab/>
        <w:t>(c)</w:t>
      </w:r>
      <w:r w:rsidRPr="005E3B43">
        <w:tab/>
        <w:t>there is preliminary clinical data demonstrating that the medicine is likely to provide a major therapeutic advance;</w:t>
      </w:r>
    </w:p>
    <w:p w14:paraId="61A856D2" w14:textId="77777777" w:rsidR="00FC39AB" w:rsidRPr="005E3B43" w:rsidRDefault="00FC39AB" w:rsidP="00763BCF">
      <w:pPr>
        <w:pStyle w:val="paragraph"/>
      </w:pPr>
      <w:r w:rsidRPr="005E3B43">
        <w:tab/>
        <w:t>(d)</w:t>
      </w:r>
      <w:r w:rsidRPr="005E3B43">
        <w:tab/>
        <w:t>the person who made the application under sub</w:t>
      </w:r>
      <w:r w:rsidR="00FB7FAA" w:rsidRPr="005E3B43">
        <w:t>section 2</w:t>
      </w:r>
      <w:r w:rsidRPr="005E3B43">
        <w:t>2C(1) of the Act has provided sufficient evidence of the person’s plan to submit comprehensive clinical data on the safety and efficacy of the medicine before the end of the 6 years that would start on the day that provisional registration of the medicine would commence if the Secretary were to provisionally register the medicine.</w:t>
      </w:r>
    </w:p>
    <w:p w14:paraId="1217B24C" w14:textId="77777777" w:rsidR="00C8232F" w:rsidRPr="005E3B43" w:rsidRDefault="00C8232F" w:rsidP="00763BCF">
      <w:pPr>
        <w:pStyle w:val="subsection"/>
      </w:pPr>
      <w:r w:rsidRPr="005E3B43">
        <w:tab/>
        <w:t>(2)</w:t>
      </w:r>
      <w:r w:rsidRPr="005E3B43">
        <w:tab/>
        <w:t>However, paragraphs (1)(b) and (c) do not apply if:</w:t>
      </w:r>
    </w:p>
    <w:p w14:paraId="321FD8B0" w14:textId="77777777" w:rsidR="00C8232F" w:rsidRPr="005E3B43" w:rsidRDefault="00C8232F" w:rsidP="00763BCF">
      <w:pPr>
        <w:pStyle w:val="paragraph"/>
      </w:pPr>
      <w:r w:rsidRPr="005E3B43">
        <w:tab/>
        <w:t>(a)</w:t>
      </w:r>
      <w:r w:rsidRPr="005E3B43">
        <w:tab/>
        <w:t>the application under sub</w:t>
      </w:r>
      <w:r w:rsidR="00FB7FAA" w:rsidRPr="005E3B43">
        <w:t>section 2</w:t>
      </w:r>
      <w:r w:rsidRPr="005E3B43">
        <w:t>2C(1) of the Act is made on or after the commencement of this subregulation; and</w:t>
      </w:r>
    </w:p>
    <w:p w14:paraId="0AC8B1EE" w14:textId="26FB1A32" w:rsidR="00C8232F" w:rsidRPr="005E3B43" w:rsidRDefault="00C8232F" w:rsidP="00763BCF">
      <w:pPr>
        <w:pStyle w:val="paragraph"/>
      </w:pPr>
      <w:r w:rsidRPr="005E3B43">
        <w:tab/>
        <w:t>(b)</w:t>
      </w:r>
      <w:r w:rsidRPr="005E3B43">
        <w:tab/>
        <w:t xml:space="preserve">an indication of the medicine is the treatment or prevention of the </w:t>
      </w:r>
      <w:r w:rsidRPr="005E3B43">
        <w:rPr>
          <w:color w:val="000000"/>
          <w:szCs w:val="22"/>
          <w:shd w:val="clear" w:color="auto" w:fill="FFFFFF"/>
        </w:rPr>
        <w:t>disease known as coronavirus disease (COVID</w:t>
      </w:r>
      <w:r w:rsidR="007C3215">
        <w:rPr>
          <w:color w:val="000000"/>
          <w:szCs w:val="22"/>
          <w:shd w:val="clear" w:color="auto" w:fill="FFFFFF"/>
        </w:rPr>
        <w:noBreakHyphen/>
      </w:r>
      <w:r w:rsidRPr="005E3B43">
        <w:rPr>
          <w:color w:val="000000"/>
          <w:szCs w:val="22"/>
          <w:shd w:val="clear" w:color="auto" w:fill="FFFFFF"/>
        </w:rPr>
        <w:t>19).</w:t>
      </w:r>
    </w:p>
    <w:p w14:paraId="505EB0B5" w14:textId="77777777" w:rsidR="00DF1B3D" w:rsidRPr="005E3B43" w:rsidRDefault="006B5D8E" w:rsidP="00763BCF">
      <w:pPr>
        <w:pStyle w:val="ActHead2"/>
        <w:pageBreakBefore/>
      </w:pPr>
      <w:bookmarkStart w:id="63" w:name="_Toc187135658"/>
      <w:r w:rsidRPr="005E3B43">
        <w:rPr>
          <w:rStyle w:val="CharPartNo"/>
        </w:rPr>
        <w:lastRenderedPageBreak/>
        <w:t>Part 2</w:t>
      </w:r>
      <w:r w:rsidR="00DF1B3D" w:rsidRPr="005E3B43">
        <w:rPr>
          <w:rStyle w:val="CharPartNo"/>
        </w:rPr>
        <w:t>E</w:t>
      </w:r>
      <w:r w:rsidR="00DF1B3D" w:rsidRPr="005E3B43">
        <w:t>—</w:t>
      </w:r>
      <w:r w:rsidR="00DF1B3D" w:rsidRPr="005E3B43">
        <w:rPr>
          <w:rStyle w:val="CharPartText"/>
        </w:rPr>
        <w:t>Scientific advice about aspects of quality, safety or efficacy of medicine</w:t>
      </w:r>
      <w:bookmarkEnd w:id="63"/>
    </w:p>
    <w:p w14:paraId="5BADE0E6" w14:textId="77777777" w:rsidR="00DF1B3D" w:rsidRPr="005E3B43" w:rsidRDefault="00DF1B3D" w:rsidP="00763BCF">
      <w:pPr>
        <w:pStyle w:val="Header"/>
      </w:pPr>
      <w:r w:rsidRPr="005E3B43">
        <w:rPr>
          <w:rStyle w:val="CharDivNo"/>
        </w:rPr>
        <w:t xml:space="preserve"> </w:t>
      </w:r>
      <w:r w:rsidRPr="005E3B43">
        <w:rPr>
          <w:rStyle w:val="CharDivText"/>
        </w:rPr>
        <w:t xml:space="preserve"> </w:t>
      </w:r>
    </w:p>
    <w:p w14:paraId="3899CCE5" w14:textId="77777777" w:rsidR="00DF1B3D" w:rsidRPr="005E3B43" w:rsidRDefault="00DF1B3D" w:rsidP="00763BCF">
      <w:pPr>
        <w:pStyle w:val="ActHead5"/>
      </w:pPr>
      <w:bookmarkStart w:id="64" w:name="_Toc187135659"/>
      <w:r w:rsidRPr="005E3B43">
        <w:rPr>
          <w:rStyle w:val="CharSectno"/>
        </w:rPr>
        <w:t>10M</w:t>
      </w:r>
      <w:r w:rsidRPr="005E3B43">
        <w:t xml:space="preserve">  Scientific advice about aspects of quality, safety or efficacy of medicine</w:t>
      </w:r>
      <w:bookmarkEnd w:id="64"/>
    </w:p>
    <w:p w14:paraId="7F5631E6" w14:textId="77777777" w:rsidR="00DF1B3D" w:rsidRPr="005E3B43" w:rsidRDefault="00DF1B3D" w:rsidP="00763BCF">
      <w:pPr>
        <w:pStyle w:val="subsection"/>
      </w:pPr>
      <w:r w:rsidRPr="005E3B43">
        <w:tab/>
      </w:r>
      <w:r w:rsidRPr="005E3B43">
        <w:tab/>
        <w:t>For the purposes of sub</w:t>
      </w:r>
      <w:r w:rsidR="00FB7FAA" w:rsidRPr="005E3B43">
        <w:t>section 2</w:t>
      </w:r>
      <w:r w:rsidRPr="005E3B43">
        <w:t>2G(1) of the Act, a prescribed aspect of the quality of a medicine for oral ingestion is in vitro bioequivalence.</w:t>
      </w:r>
    </w:p>
    <w:p w14:paraId="28C5340D" w14:textId="77777777" w:rsidR="006849AB" w:rsidRPr="005E3B43" w:rsidRDefault="006B5D8E" w:rsidP="00C34BF7">
      <w:pPr>
        <w:pStyle w:val="ActHead2"/>
        <w:pageBreakBefore/>
      </w:pPr>
      <w:bookmarkStart w:id="65" w:name="_Toc187135660"/>
      <w:r w:rsidRPr="005E3B43">
        <w:rPr>
          <w:rStyle w:val="CharPartNo"/>
        </w:rPr>
        <w:lastRenderedPageBreak/>
        <w:t>Part 2</w:t>
      </w:r>
      <w:r w:rsidR="006849AB" w:rsidRPr="005E3B43">
        <w:rPr>
          <w:rStyle w:val="CharPartNo"/>
        </w:rPr>
        <w:t>F</w:t>
      </w:r>
      <w:r w:rsidR="006849AB" w:rsidRPr="005E3B43">
        <w:t>—</w:t>
      </w:r>
      <w:r w:rsidR="006849AB" w:rsidRPr="005E3B43">
        <w:rPr>
          <w:rStyle w:val="CharPartText"/>
        </w:rPr>
        <w:t>Vaping goods</w:t>
      </w:r>
      <w:bookmarkEnd w:id="65"/>
    </w:p>
    <w:p w14:paraId="306A94FD" w14:textId="77777777" w:rsidR="006849AB" w:rsidRPr="005E3B43" w:rsidRDefault="006849AB" w:rsidP="006849AB">
      <w:pPr>
        <w:pStyle w:val="Header"/>
      </w:pPr>
      <w:r w:rsidRPr="005E3B43">
        <w:rPr>
          <w:rStyle w:val="CharDivNo"/>
        </w:rPr>
        <w:t xml:space="preserve"> </w:t>
      </w:r>
      <w:r w:rsidRPr="005E3B43">
        <w:rPr>
          <w:rStyle w:val="CharDivText"/>
        </w:rPr>
        <w:t xml:space="preserve"> </w:t>
      </w:r>
    </w:p>
    <w:p w14:paraId="03E28595" w14:textId="77777777" w:rsidR="006849AB" w:rsidRPr="005E3B43" w:rsidRDefault="006849AB" w:rsidP="006849AB">
      <w:pPr>
        <w:pStyle w:val="ActHead5"/>
      </w:pPr>
      <w:bookmarkStart w:id="66" w:name="_Toc187135661"/>
      <w:r w:rsidRPr="005E3B43">
        <w:rPr>
          <w:rStyle w:val="CharSectno"/>
        </w:rPr>
        <w:t>10N</w:t>
      </w:r>
      <w:r w:rsidRPr="005E3B43">
        <w:t xml:space="preserve">  Commercial quantity of vaping goods</w:t>
      </w:r>
      <w:bookmarkEnd w:id="66"/>
    </w:p>
    <w:p w14:paraId="242B462D" w14:textId="77777777" w:rsidR="006849AB" w:rsidRPr="005E3B43" w:rsidRDefault="006849AB" w:rsidP="006849AB">
      <w:pPr>
        <w:pStyle w:val="subsection"/>
      </w:pPr>
      <w:r w:rsidRPr="005E3B43">
        <w:tab/>
      </w:r>
      <w:r w:rsidRPr="005E3B43">
        <w:tab/>
        <w:t xml:space="preserve">For the purposes of the definition of </w:t>
      </w:r>
      <w:r w:rsidRPr="005E3B43">
        <w:rPr>
          <w:b/>
          <w:i/>
        </w:rPr>
        <w:t>commercial quantity</w:t>
      </w:r>
      <w:r w:rsidRPr="005E3B43">
        <w:t xml:space="preserve"> in subsection 3(1) of the Act, the commercial quantity of a kind of vaping goods specified in column 1 of an item in the following table is the quantity of that kind of vaping goods specified in column 2 of the item.</w:t>
      </w:r>
    </w:p>
    <w:p w14:paraId="2B2FE3CC" w14:textId="77777777" w:rsidR="00830D37" w:rsidRPr="005E3B43" w:rsidRDefault="00830D37" w:rsidP="00830D37">
      <w:pPr>
        <w:pStyle w:val="Tabletext"/>
      </w:pPr>
    </w:p>
    <w:tbl>
      <w:tblPr>
        <w:tblW w:w="4052" w:type="pct"/>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01"/>
        <w:gridCol w:w="3685"/>
        <w:gridCol w:w="2126"/>
      </w:tblGrid>
      <w:tr w:rsidR="00830D37" w:rsidRPr="005E3B43" w14:paraId="08AAFCC0" w14:textId="77777777" w:rsidTr="00446378">
        <w:trPr>
          <w:trHeight w:val="57"/>
          <w:tblHeader/>
        </w:trPr>
        <w:tc>
          <w:tcPr>
            <w:tcW w:w="5000" w:type="pct"/>
            <w:gridSpan w:val="3"/>
            <w:tcBorders>
              <w:top w:val="single" w:sz="12" w:space="0" w:color="auto"/>
              <w:bottom w:val="single" w:sz="6" w:space="0" w:color="auto"/>
            </w:tcBorders>
            <w:shd w:val="clear" w:color="auto" w:fill="auto"/>
          </w:tcPr>
          <w:p w14:paraId="6742CC78" w14:textId="3B2418CD" w:rsidR="00830D37" w:rsidRPr="005E3B43" w:rsidRDefault="00BA172E" w:rsidP="00446378">
            <w:pPr>
              <w:pStyle w:val="TableHeading"/>
            </w:pPr>
            <w:r w:rsidRPr="00E95706">
              <w:t>Commercial quantity</w:t>
            </w:r>
            <w:r w:rsidR="00830D37" w:rsidRPr="005E3B43">
              <w:t xml:space="preserve"> of vaping goods</w:t>
            </w:r>
          </w:p>
        </w:tc>
      </w:tr>
      <w:tr w:rsidR="00830D37" w:rsidRPr="005E3B43" w14:paraId="31461C0A" w14:textId="77777777" w:rsidTr="00446378">
        <w:trPr>
          <w:trHeight w:val="57"/>
          <w:tblHeader/>
        </w:trPr>
        <w:tc>
          <w:tcPr>
            <w:tcW w:w="796" w:type="pct"/>
            <w:tcBorders>
              <w:top w:val="single" w:sz="6" w:space="0" w:color="auto"/>
              <w:bottom w:val="single" w:sz="6" w:space="0" w:color="auto"/>
            </w:tcBorders>
            <w:shd w:val="clear" w:color="auto" w:fill="auto"/>
          </w:tcPr>
          <w:p w14:paraId="22AF0D78" w14:textId="77777777" w:rsidR="00830D37" w:rsidRPr="005E3B43" w:rsidRDefault="00830D37" w:rsidP="00446378">
            <w:pPr>
              <w:pStyle w:val="TableHeading"/>
            </w:pPr>
          </w:p>
        </w:tc>
        <w:tc>
          <w:tcPr>
            <w:tcW w:w="2666" w:type="pct"/>
            <w:tcBorders>
              <w:top w:val="single" w:sz="6" w:space="0" w:color="auto"/>
              <w:bottom w:val="single" w:sz="6" w:space="0" w:color="auto"/>
            </w:tcBorders>
            <w:shd w:val="clear" w:color="auto" w:fill="auto"/>
          </w:tcPr>
          <w:p w14:paraId="30A48584" w14:textId="77777777" w:rsidR="00830D37" w:rsidRPr="005E3B43" w:rsidRDefault="00830D37" w:rsidP="00446378">
            <w:pPr>
              <w:pStyle w:val="TableHeading"/>
            </w:pPr>
            <w:r w:rsidRPr="005E3B43">
              <w:t>Column 1</w:t>
            </w:r>
          </w:p>
        </w:tc>
        <w:tc>
          <w:tcPr>
            <w:tcW w:w="1538" w:type="pct"/>
            <w:tcBorders>
              <w:top w:val="single" w:sz="6" w:space="0" w:color="auto"/>
              <w:bottom w:val="single" w:sz="6" w:space="0" w:color="auto"/>
            </w:tcBorders>
            <w:shd w:val="clear" w:color="auto" w:fill="auto"/>
          </w:tcPr>
          <w:p w14:paraId="32A2F963" w14:textId="77777777" w:rsidR="00830D37" w:rsidRPr="005E3B43" w:rsidRDefault="00830D37" w:rsidP="00446378">
            <w:pPr>
              <w:pStyle w:val="TableHeading"/>
            </w:pPr>
            <w:r w:rsidRPr="005E3B43">
              <w:t>Column 2</w:t>
            </w:r>
          </w:p>
        </w:tc>
      </w:tr>
      <w:tr w:rsidR="00830D37" w:rsidRPr="005E3B43" w14:paraId="5CA4CEB4" w14:textId="77777777" w:rsidTr="00446378">
        <w:trPr>
          <w:trHeight w:val="57"/>
          <w:tblHeader/>
        </w:trPr>
        <w:tc>
          <w:tcPr>
            <w:tcW w:w="796" w:type="pct"/>
            <w:tcBorders>
              <w:top w:val="single" w:sz="6" w:space="0" w:color="auto"/>
              <w:bottom w:val="single" w:sz="12" w:space="0" w:color="auto"/>
            </w:tcBorders>
            <w:shd w:val="clear" w:color="auto" w:fill="auto"/>
          </w:tcPr>
          <w:p w14:paraId="69AE73A3" w14:textId="77777777" w:rsidR="00830D37" w:rsidRPr="005E3B43" w:rsidRDefault="00830D37" w:rsidP="00830D37">
            <w:pPr>
              <w:pStyle w:val="TableHeading"/>
            </w:pPr>
            <w:r w:rsidRPr="005E3B43">
              <w:t>Item</w:t>
            </w:r>
          </w:p>
        </w:tc>
        <w:tc>
          <w:tcPr>
            <w:tcW w:w="2666" w:type="pct"/>
            <w:tcBorders>
              <w:top w:val="single" w:sz="6" w:space="0" w:color="auto"/>
              <w:bottom w:val="single" w:sz="12" w:space="0" w:color="auto"/>
            </w:tcBorders>
            <w:shd w:val="clear" w:color="auto" w:fill="auto"/>
          </w:tcPr>
          <w:p w14:paraId="64972368" w14:textId="77777777" w:rsidR="00830D37" w:rsidRPr="005E3B43" w:rsidRDefault="00830D37" w:rsidP="00830D37">
            <w:pPr>
              <w:pStyle w:val="TableHeading"/>
            </w:pPr>
            <w:r w:rsidRPr="005E3B43">
              <w:t>Kind of vaping goods</w:t>
            </w:r>
          </w:p>
        </w:tc>
        <w:tc>
          <w:tcPr>
            <w:tcW w:w="1538" w:type="pct"/>
            <w:tcBorders>
              <w:top w:val="single" w:sz="6" w:space="0" w:color="auto"/>
              <w:bottom w:val="single" w:sz="12" w:space="0" w:color="auto"/>
            </w:tcBorders>
            <w:shd w:val="clear" w:color="auto" w:fill="auto"/>
          </w:tcPr>
          <w:p w14:paraId="15363BE7" w14:textId="53EEB5BA" w:rsidR="00830D37" w:rsidRPr="005E3B43" w:rsidRDefault="00BA172E" w:rsidP="00830D37">
            <w:pPr>
              <w:pStyle w:val="TableHeading"/>
            </w:pPr>
            <w:r w:rsidRPr="00E95706">
              <w:t>Quantity</w:t>
            </w:r>
          </w:p>
        </w:tc>
      </w:tr>
      <w:tr w:rsidR="00830D37" w:rsidRPr="005E3B43" w14:paraId="355EB3A3" w14:textId="77777777" w:rsidTr="00446378">
        <w:trPr>
          <w:trHeight w:val="20"/>
        </w:trPr>
        <w:tc>
          <w:tcPr>
            <w:tcW w:w="796" w:type="pct"/>
            <w:tcBorders>
              <w:top w:val="single" w:sz="12" w:space="0" w:color="auto"/>
            </w:tcBorders>
            <w:shd w:val="clear" w:color="auto" w:fill="auto"/>
          </w:tcPr>
          <w:p w14:paraId="399ABBAA" w14:textId="77777777" w:rsidR="00830D37" w:rsidRPr="005E3B43" w:rsidRDefault="00830D37" w:rsidP="00830D37">
            <w:pPr>
              <w:pStyle w:val="Tabletext"/>
            </w:pPr>
            <w:r w:rsidRPr="005E3B43">
              <w:t>1</w:t>
            </w:r>
          </w:p>
        </w:tc>
        <w:tc>
          <w:tcPr>
            <w:tcW w:w="2666" w:type="pct"/>
            <w:tcBorders>
              <w:top w:val="single" w:sz="12" w:space="0" w:color="auto"/>
            </w:tcBorders>
            <w:shd w:val="clear" w:color="auto" w:fill="auto"/>
          </w:tcPr>
          <w:p w14:paraId="001E2E4C" w14:textId="77777777" w:rsidR="00830D37" w:rsidRPr="005E3B43" w:rsidRDefault="00830D37" w:rsidP="00830D37">
            <w:pPr>
              <w:pStyle w:val="Tabletext"/>
            </w:pPr>
            <w:r w:rsidRPr="005E3B43">
              <w:t>Vaping device</w:t>
            </w:r>
          </w:p>
        </w:tc>
        <w:tc>
          <w:tcPr>
            <w:tcW w:w="1538" w:type="pct"/>
            <w:tcBorders>
              <w:top w:val="single" w:sz="12" w:space="0" w:color="auto"/>
            </w:tcBorders>
            <w:shd w:val="clear" w:color="auto" w:fill="auto"/>
          </w:tcPr>
          <w:p w14:paraId="20E2BC4E" w14:textId="77777777" w:rsidR="00830D37" w:rsidRPr="005E3B43" w:rsidRDefault="00830D37" w:rsidP="00380134">
            <w:pPr>
              <w:pStyle w:val="Tabletext"/>
              <w:tabs>
                <w:tab w:val="decimal" w:pos="278"/>
              </w:tabs>
            </w:pPr>
            <w:r w:rsidRPr="005E3B43">
              <w:t>9</w:t>
            </w:r>
          </w:p>
        </w:tc>
      </w:tr>
      <w:tr w:rsidR="00830D37" w:rsidRPr="005E3B43" w14:paraId="78A59642" w14:textId="77777777" w:rsidTr="00446378">
        <w:trPr>
          <w:trHeight w:val="20"/>
        </w:trPr>
        <w:tc>
          <w:tcPr>
            <w:tcW w:w="796" w:type="pct"/>
            <w:tcBorders>
              <w:bottom w:val="single" w:sz="2" w:space="0" w:color="auto"/>
            </w:tcBorders>
            <w:shd w:val="clear" w:color="auto" w:fill="auto"/>
          </w:tcPr>
          <w:p w14:paraId="0D1E3807" w14:textId="77777777" w:rsidR="00830D37" w:rsidRPr="005E3B43" w:rsidRDefault="00830D37" w:rsidP="00830D37">
            <w:pPr>
              <w:pStyle w:val="Tabletext"/>
            </w:pPr>
            <w:r w:rsidRPr="005E3B43">
              <w:t>2</w:t>
            </w:r>
          </w:p>
        </w:tc>
        <w:tc>
          <w:tcPr>
            <w:tcW w:w="2666" w:type="pct"/>
            <w:tcBorders>
              <w:bottom w:val="single" w:sz="2" w:space="0" w:color="auto"/>
            </w:tcBorders>
            <w:shd w:val="clear" w:color="auto" w:fill="auto"/>
          </w:tcPr>
          <w:p w14:paraId="5B5826C7" w14:textId="77777777" w:rsidR="00830D37" w:rsidRPr="005E3B43" w:rsidRDefault="00830D37" w:rsidP="00830D37">
            <w:pPr>
              <w:pStyle w:val="Tabletext"/>
            </w:pPr>
            <w:r w:rsidRPr="005E3B43">
              <w:t>Vaping accessory</w:t>
            </w:r>
          </w:p>
        </w:tc>
        <w:tc>
          <w:tcPr>
            <w:tcW w:w="1538" w:type="pct"/>
            <w:tcBorders>
              <w:bottom w:val="single" w:sz="2" w:space="0" w:color="auto"/>
            </w:tcBorders>
            <w:shd w:val="clear" w:color="auto" w:fill="auto"/>
          </w:tcPr>
          <w:p w14:paraId="5FD49002" w14:textId="77777777" w:rsidR="00830D37" w:rsidRPr="005E3B43" w:rsidRDefault="00830D37" w:rsidP="00380134">
            <w:pPr>
              <w:pStyle w:val="Tabletext"/>
              <w:tabs>
                <w:tab w:val="decimal" w:pos="278"/>
              </w:tabs>
            </w:pPr>
            <w:r w:rsidRPr="005E3B43">
              <w:t>60</w:t>
            </w:r>
          </w:p>
        </w:tc>
      </w:tr>
      <w:tr w:rsidR="00830D37" w:rsidRPr="005E3B43" w14:paraId="46C8B90D" w14:textId="77777777" w:rsidTr="00446378">
        <w:trPr>
          <w:trHeight w:val="20"/>
        </w:trPr>
        <w:tc>
          <w:tcPr>
            <w:tcW w:w="796" w:type="pct"/>
            <w:tcBorders>
              <w:top w:val="single" w:sz="2" w:space="0" w:color="auto"/>
              <w:bottom w:val="single" w:sz="12" w:space="0" w:color="auto"/>
            </w:tcBorders>
            <w:shd w:val="clear" w:color="auto" w:fill="auto"/>
          </w:tcPr>
          <w:p w14:paraId="038253A6" w14:textId="77777777" w:rsidR="00830D37" w:rsidRPr="005E3B43" w:rsidRDefault="00830D37" w:rsidP="00830D37">
            <w:pPr>
              <w:pStyle w:val="Tabletext"/>
            </w:pPr>
            <w:r w:rsidRPr="005E3B43">
              <w:t>3</w:t>
            </w:r>
          </w:p>
        </w:tc>
        <w:tc>
          <w:tcPr>
            <w:tcW w:w="2666" w:type="pct"/>
            <w:tcBorders>
              <w:top w:val="single" w:sz="2" w:space="0" w:color="auto"/>
              <w:bottom w:val="single" w:sz="12" w:space="0" w:color="auto"/>
            </w:tcBorders>
            <w:shd w:val="clear" w:color="auto" w:fill="auto"/>
          </w:tcPr>
          <w:p w14:paraId="39CFA98C" w14:textId="77777777" w:rsidR="00830D37" w:rsidRPr="005E3B43" w:rsidRDefault="00830D37" w:rsidP="00830D37">
            <w:pPr>
              <w:pStyle w:val="Tabletext"/>
            </w:pPr>
            <w:r w:rsidRPr="005E3B43">
              <w:t>Vaping substance that is a liquid</w:t>
            </w:r>
          </w:p>
        </w:tc>
        <w:tc>
          <w:tcPr>
            <w:tcW w:w="1538" w:type="pct"/>
            <w:tcBorders>
              <w:top w:val="single" w:sz="2" w:space="0" w:color="auto"/>
              <w:bottom w:val="single" w:sz="12" w:space="0" w:color="auto"/>
            </w:tcBorders>
            <w:shd w:val="clear" w:color="auto" w:fill="auto"/>
          </w:tcPr>
          <w:p w14:paraId="6EA83A12" w14:textId="77777777" w:rsidR="00830D37" w:rsidRPr="005E3B43" w:rsidRDefault="00830D37" w:rsidP="00830D37">
            <w:pPr>
              <w:pStyle w:val="Tabletext"/>
            </w:pPr>
            <w:r w:rsidRPr="005E3B43">
              <w:t>400 ml</w:t>
            </w:r>
          </w:p>
        </w:tc>
      </w:tr>
    </w:tbl>
    <w:p w14:paraId="1D7012F3" w14:textId="77777777" w:rsidR="006849AB" w:rsidRPr="005E3B43" w:rsidRDefault="006849AB" w:rsidP="006849AB">
      <w:pPr>
        <w:pStyle w:val="ActHead5"/>
      </w:pPr>
      <w:bookmarkStart w:id="67" w:name="_Toc187135662"/>
      <w:r w:rsidRPr="005E3B43">
        <w:rPr>
          <w:rStyle w:val="CharSectno"/>
        </w:rPr>
        <w:t>10P</w:t>
      </w:r>
      <w:r w:rsidRPr="005E3B43">
        <w:t xml:space="preserve">  Unit of vaping goods</w:t>
      </w:r>
      <w:bookmarkEnd w:id="67"/>
    </w:p>
    <w:p w14:paraId="6F93A4FA" w14:textId="77777777" w:rsidR="006849AB" w:rsidRPr="005E3B43" w:rsidRDefault="006849AB" w:rsidP="006849AB">
      <w:pPr>
        <w:pStyle w:val="subsection"/>
      </w:pPr>
      <w:r w:rsidRPr="005E3B43">
        <w:tab/>
      </w:r>
      <w:r w:rsidRPr="005E3B43">
        <w:tab/>
        <w:t xml:space="preserve">For the purposes of the definition of </w:t>
      </w:r>
      <w:r w:rsidRPr="005E3B43">
        <w:rPr>
          <w:b/>
          <w:i/>
        </w:rPr>
        <w:t>unit</w:t>
      </w:r>
      <w:r w:rsidRPr="005E3B43">
        <w:t xml:space="preserve"> in subsection 3(1) of the Act, a </w:t>
      </w:r>
      <w:r w:rsidRPr="005E3B43">
        <w:rPr>
          <w:b/>
          <w:i/>
        </w:rPr>
        <w:t>unit</w:t>
      </w:r>
      <w:r w:rsidRPr="005E3B43">
        <w:t xml:space="preserve"> of vaping goods means the quantity of the vaping goods specified in column 2 of an item in the following table for the kind of vaping goods specified in column 1 of the item.</w:t>
      </w:r>
    </w:p>
    <w:p w14:paraId="0E2D0D93" w14:textId="77777777" w:rsidR="006849AB" w:rsidRPr="005E3B43" w:rsidRDefault="006849AB" w:rsidP="006849AB">
      <w:pPr>
        <w:pStyle w:val="Tabletext"/>
      </w:pPr>
    </w:p>
    <w:tbl>
      <w:tblPr>
        <w:tblW w:w="4052" w:type="pct"/>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01"/>
        <w:gridCol w:w="3685"/>
        <w:gridCol w:w="2126"/>
      </w:tblGrid>
      <w:tr w:rsidR="006849AB" w:rsidRPr="005E3B43" w14:paraId="352C92BD" w14:textId="77777777" w:rsidTr="009D206D">
        <w:trPr>
          <w:trHeight w:val="57"/>
          <w:tblHeader/>
        </w:trPr>
        <w:tc>
          <w:tcPr>
            <w:tcW w:w="5000" w:type="pct"/>
            <w:gridSpan w:val="3"/>
            <w:tcBorders>
              <w:top w:val="single" w:sz="12" w:space="0" w:color="auto"/>
              <w:bottom w:val="single" w:sz="6" w:space="0" w:color="auto"/>
            </w:tcBorders>
            <w:shd w:val="clear" w:color="auto" w:fill="auto"/>
          </w:tcPr>
          <w:p w14:paraId="716E7287" w14:textId="77777777" w:rsidR="006849AB" w:rsidRPr="005E3B43" w:rsidRDefault="006849AB" w:rsidP="009D206D">
            <w:pPr>
              <w:pStyle w:val="TableHeading"/>
            </w:pPr>
            <w:r w:rsidRPr="005E3B43">
              <w:t>Unit of vaping goods</w:t>
            </w:r>
          </w:p>
        </w:tc>
      </w:tr>
      <w:tr w:rsidR="006849AB" w:rsidRPr="005E3B43" w14:paraId="4A73C3FD" w14:textId="77777777" w:rsidTr="009D206D">
        <w:trPr>
          <w:trHeight w:val="57"/>
          <w:tblHeader/>
        </w:trPr>
        <w:tc>
          <w:tcPr>
            <w:tcW w:w="796" w:type="pct"/>
            <w:tcBorders>
              <w:top w:val="single" w:sz="6" w:space="0" w:color="auto"/>
              <w:bottom w:val="single" w:sz="6" w:space="0" w:color="auto"/>
            </w:tcBorders>
            <w:shd w:val="clear" w:color="auto" w:fill="auto"/>
          </w:tcPr>
          <w:p w14:paraId="0A063381" w14:textId="77777777" w:rsidR="006849AB" w:rsidRPr="005E3B43" w:rsidRDefault="006849AB" w:rsidP="009D206D">
            <w:pPr>
              <w:pStyle w:val="TableHeading"/>
            </w:pPr>
          </w:p>
        </w:tc>
        <w:tc>
          <w:tcPr>
            <w:tcW w:w="2666" w:type="pct"/>
            <w:tcBorders>
              <w:top w:val="single" w:sz="6" w:space="0" w:color="auto"/>
              <w:bottom w:val="single" w:sz="6" w:space="0" w:color="auto"/>
            </w:tcBorders>
            <w:shd w:val="clear" w:color="auto" w:fill="auto"/>
          </w:tcPr>
          <w:p w14:paraId="2AF2A359" w14:textId="77777777" w:rsidR="006849AB" w:rsidRPr="005E3B43" w:rsidRDefault="006849AB" w:rsidP="009D206D">
            <w:pPr>
              <w:pStyle w:val="TableHeading"/>
            </w:pPr>
            <w:r w:rsidRPr="005E3B43">
              <w:t>Column 1</w:t>
            </w:r>
          </w:p>
        </w:tc>
        <w:tc>
          <w:tcPr>
            <w:tcW w:w="1538" w:type="pct"/>
            <w:tcBorders>
              <w:top w:val="single" w:sz="6" w:space="0" w:color="auto"/>
              <w:bottom w:val="single" w:sz="6" w:space="0" w:color="auto"/>
            </w:tcBorders>
            <w:shd w:val="clear" w:color="auto" w:fill="auto"/>
          </w:tcPr>
          <w:p w14:paraId="39714BBF" w14:textId="77777777" w:rsidR="006849AB" w:rsidRPr="005E3B43" w:rsidRDefault="006849AB" w:rsidP="009D206D">
            <w:pPr>
              <w:pStyle w:val="TableHeading"/>
            </w:pPr>
            <w:r w:rsidRPr="005E3B43">
              <w:t>Column 2</w:t>
            </w:r>
          </w:p>
        </w:tc>
      </w:tr>
      <w:tr w:rsidR="006849AB" w:rsidRPr="005E3B43" w14:paraId="1CD1210F" w14:textId="77777777" w:rsidTr="009D206D">
        <w:trPr>
          <w:trHeight w:val="57"/>
          <w:tblHeader/>
        </w:trPr>
        <w:tc>
          <w:tcPr>
            <w:tcW w:w="796" w:type="pct"/>
            <w:tcBorders>
              <w:top w:val="single" w:sz="6" w:space="0" w:color="auto"/>
              <w:bottom w:val="single" w:sz="12" w:space="0" w:color="auto"/>
            </w:tcBorders>
            <w:shd w:val="clear" w:color="auto" w:fill="auto"/>
          </w:tcPr>
          <w:p w14:paraId="5632A670" w14:textId="77777777" w:rsidR="006849AB" w:rsidRPr="005E3B43" w:rsidRDefault="006849AB" w:rsidP="009D206D">
            <w:pPr>
              <w:pStyle w:val="TableHeading"/>
            </w:pPr>
            <w:r w:rsidRPr="005E3B43">
              <w:t>Item</w:t>
            </w:r>
          </w:p>
        </w:tc>
        <w:tc>
          <w:tcPr>
            <w:tcW w:w="2666" w:type="pct"/>
            <w:tcBorders>
              <w:top w:val="single" w:sz="6" w:space="0" w:color="auto"/>
              <w:bottom w:val="single" w:sz="12" w:space="0" w:color="auto"/>
            </w:tcBorders>
            <w:shd w:val="clear" w:color="auto" w:fill="auto"/>
          </w:tcPr>
          <w:p w14:paraId="7027F53F" w14:textId="77777777" w:rsidR="006849AB" w:rsidRPr="005E3B43" w:rsidRDefault="006849AB" w:rsidP="009D206D">
            <w:pPr>
              <w:pStyle w:val="TableHeading"/>
            </w:pPr>
            <w:r w:rsidRPr="005E3B43">
              <w:t>Kind of vaping goods</w:t>
            </w:r>
          </w:p>
        </w:tc>
        <w:tc>
          <w:tcPr>
            <w:tcW w:w="1538" w:type="pct"/>
            <w:tcBorders>
              <w:top w:val="single" w:sz="6" w:space="0" w:color="auto"/>
              <w:bottom w:val="single" w:sz="12" w:space="0" w:color="auto"/>
            </w:tcBorders>
            <w:shd w:val="clear" w:color="auto" w:fill="auto"/>
          </w:tcPr>
          <w:p w14:paraId="47F85491" w14:textId="77777777" w:rsidR="006849AB" w:rsidRPr="005E3B43" w:rsidRDefault="006849AB" w:rsidP="009D206D">
            <w:pPr>
              <w:pStyle w:val="TableHeading"/>
            </w:pPr>
            <w:r w:rsidRPr="005E3B43">
              <w:t>Unit of vaping goods</w:t>
            </w:r>
          </w:p>
        </w:tc>
      </w:tr>
      <w:tr w:rsidR="006849AB" w:rsidRPr="005E3B43" w14:paraId="6E065687" w14:textId="77777777" w:rsidTr="009D206D">
        <w:trPr>
          <w:trHeight w:val="20"/>
        </w:trPr>
        <w:tc>
          <w:tcPr>
            <w:tcW w:w="796" w:type="pct"/>
            <w:tcBorders>
              <w:top w:val="single" w:sz="12" w:space="0" w:color="auto"/>
            </w:tcBorders>
            <w:shd w:val="clear" w:color="auto" w:fill="auto"/>
          </w:tcPr>
          <w:p w14:paraId="1DEE02E2" w14:textId="77777777" w:rsidR="006849AB" w:rsidRPr="005E3B43" w:rsidRDefault="006849AB" w:rsidP="009D206D">
            <w:pPr>
              <w:pStyle w:val="Tabletext"/>
            </w:pPr>
            <w:r w:rsidRPr="005E3B43">
              <w:t>1</w:t>
            </w:r>
          </w:p>
        </w:tc>
        <w:tc>
          <w:tcPr>
            <w:tcW w:w="2666" w:type="pct"/>
            <w:tcBorders>
              <w:top w:val="single" w:sz="12" w:space="0" w:color="auto"/>
            </w:tcBorders>
            <w:shd w:val="clear" w:color="auto" w:fill="auto"/>
          </w:tcPr>
          <w:p w14:paraId="4EF1680D" w14:textId="77777777" w:rsidR="006849AB" w:rsidRPr="005E3B43" w:rsidRDefault="006849AB" w:rsidP="009D206D">
            <w:pPr>
              <w:pStyle w:val="Tabletext"/>
            </w:pPr>
            <w:r w:rsidRPr="005E3B43">
              <w:t>Vaping device</w:t>
            </w:r>
          </w:p>
        </w:tc>
        <w:tc>
          <w:tcPr>
            <w:tcW w:w="1538" w:type="pct"/>
            <w:tcBorders>
              <w:top w:val="single" w:sz="12" w:space="0" w:color="auto"/>
            </w:tcBorders>
            <w:shd w:val="clear" w:color="auto" w:fill="auto"/>
          </w:tcPr>
          <w:p w14:paraId="1E318D4C" w14:textId="77777777" w:rsidR="006849AB" w:rsidRPr="005E3B43" w:rsidRDefault="006849AB" w:rsidP="009D206D">
            <w:pPr>
              <w:pStyle w:val="Tabletext"/>
              <w:tabs>
                <w:tab w:val="decimal" w:pos="199"/>
              </w:tabs>
            </w:pPr>
            <w:r w:rsidRPr="005E3B43">
              <w:t>9</w:t>
            </w:r>
          </w:p>
        </w:tc>
      </w:tr>
      <w:tr w:rsidR="006849AB" w:rsidRPr="005E3B43" w14:paraId="557CE464" w14:textId="77777777" w:rsidTr="009D206D">
        <w:trPr>
          <w:trHeight w:val="20"/>
        </w:trPr>
        <w:tc>
          <w:tcPr>
            <w:tcW w:w="796" w:type="pct"/>
            <w:tcBorders>
              <w:bottom w:val="single" w:sz="2" w:space="0" w:color="auto"/>
            </w:tcBorders>
            <w:shd w:val="clear" w:color="auto" w:fill="auto"/>
          </w:tcPr>
          <w:p w14:paraId="0432628C" w14:textId="77777777" w:rsidR="006849AB" w:rsidRPr="005E3B43" w:rsidRDefault="006849AB" w:rsidP="009D206D">
            <w:pPr>
              <w:pStyle w:val="Tabletext"/>
            </w:pPr>
            <w:r w:rsidRPr="005E3B43">
              <w:t>2</w:t>
            </w:r>
          </w:p>
        </w:tc>
        <w:tc>
          <w:tcPr>
            <w:tcW w:w="2666" w:type="pct"/>
            <w:tcBorders>
              <w:bottom w:val="single" w:sz="2" w:space="0" w:color="auto"/>
            </w:tcBorders>
            <w:shd w:val="clear" w:color="auto" w:fill="auto"/>
          </w:tcPr>
          <w:p w14:paraId="1BFB3EBF" w14:textId="77777777" w:rsidR="006849AB" w:rsidRPr="005E3B43" w:rsidRDefault="006849AB" w:rsidP="009D206D">
            <w:pPr>
              <w:pStyle w:val="Tabletext"/>
            </w:pPr>
            <w:r w:rsidRPr="005E3B43">
              <w:t>Vaping accessory</w:t>
            </w:r>
          </w:p>
        </w:tc>
        <w:tc>
          <w:tcPr>
            <w:tcW w:w="1538" w:type="pct"/>
            <w:tcBorders>
              <w:bottom w:val="single" w:sz="2" w:space="0" w:color="auto"/>
            </w:tcBorders>
            <w:shd w:val="clear" w:color="auto" w:fill="auto"/>
          </w:tcPr>
          <w:p w14:paraId="10A2ED79" w14:textId="77777777" w:rsidR="006849AB" w:rsidRPr="005E3B43" w:rsidRDefault="006849AB" w:rsidP="009D206D">
            <w:pPr>
              <w:pStyle w:val="Tabletext"/>
              <w:tabs>
                <w:tab w:val="decimal" w:pos="199"/>
              </w:tabs>
            </w:pPr>
            <w:r w:rsidRPr="005E3B43">
              <w:t>60</w:t>
            </w:r>
          </w:p>
        </w:tc>
      </w:tr>
      <w:tr w:rsidR="006849AB" w:rsidRPr="005E3B43" w14:paraId="2470E4E0" w14:textId="77777777" w:rsidTr="009D206D">
        <w:trPr>
          <w:trHeight w:val="20"/>
        </w:trPr>
        <w:tc>
          <w:tcPr>
            <w:tcW w:w="796" w:type="pct"/>
            <w:tcBorders>
              <w:top w:val="single" w:sz="2" w:space="0" w:color="auto"/>
              <w:bottom w:val="single" w:sz="12" w:space="0" w:color="auto"/>
            </w:tcBorders>
            <w:shd w:val="clear" w:color="auto" w:fill="auto"/>
          </w:tcPr>
          <w:p w14:paraId="3352BB54" w14:textId="77777777" w:rsidR="006849AB" w:rsidRPr="005E3B43" w:rsidRDefault="006849AB" w:rsidP="009D206D">
            <w:pPr>
              <w:pStyle w:val="Tabletext"/>
            </w:pPr>
            <w:r w:rsidRPr="005E3B43">
              <w:t>3</w:t>
            </w:r>
          </w:p>
        </w:tc>
        <w:tc>
          <w:tcPr>
            <w:tcW w:w="2666" w:type="pct"/>
            <w:tcBorders>
              <w:top w:val="single" w:sz="2" w:space="0" w:color="auto"/>
              <w:bottom w:val="single" w:sz="12" w:space="0" w:color="auto"/>
            </w:tcBorders>
            <w:shd w:val="clear" w:color="auto" w:fill="auto"/>
          </w:tcPr>
          <w:p w14:paraId="07E947AE" w14:textId="77777777" w:rsidR="006849AB" w:rsidRPr="005E3B43" w:rsidRDefault="006849AB" w:rsidP="009D206D">
            <w:pPr>
              <w:pStyle w:val="Tabletext"/>
            </w:pPr>
            <w:r w:rsidRPr="005E3B43">
              <w:t>Vaping substance that is a liquid</w:t>
            </w:r>
          </w:p>
        </w:tc>
        <w:tc>
          <w:tcPr>
            <w:tcW w:w="1538" w:type="pct"/>
            <w:tcBorders>
              <w:top w:val="single" w:sz="2" w:space="0" w:color="auto"/>
              <w:bottom w:val="single" w:sz="12" w:space="0" w:color="auto"/>
            </w:tcBorders>
            <w:shd w:val="clear" w:color="auto" w:fill="auto"/>
          </w:tcPr>
          <w:p w14:paraId="1B6FA09A" w14:textId="77777777" w:rsidR="006849AB" w:rsidRPr="005E3B43" w:rsidRDefault="006849AB" w:rsidP="009D206D">
            <w:pPr>
              <w:pStyle w:val="Tabletext"/>
            </w:pPr>
            <w:r w:rsidRPr="005E3B43">
              <w:t>400 ml</w:t>
            </w:r>
          </w:p>
        </w:tc>
      </w:tr>
    </w:tbl>
    <w:p w14:paraId="1A09304E" w14:textId="77777777" w:rsidR="006849AB" w:rsidRPr="005E3B43" w:rsidRDefault="006849AB" w:rsidP="006849AB">
      <w:pPr>
        <w:pStyle w:val="ActHead5"/>
      </w:pPr>
      <w:bookmarkStart w:id="68" w:name="_Toc187135663"/>
      <w:r w:rsidRPr="005E3B43">
        <w:rPr>
          <w:rStyle w:val="CharSectno"/>
        </w:rPr>
        <w:t>10Q</w:t>
      </w:r>
      <w:r w:rsidRPr="005E3B43">
        <w:t xml:space="preserve">  Permitted quantity</w:t>
      </w:r>
      <w:bookmarkEnd w:id="68"/>
    </w:p>
    <w:p w14:paraId="6D8EEC63" w14:textId="77777777" w:rsidR="006849AB" w:rsidRPr="005E3B43" w:rsidRDefault="006849AB" w:rsidP="006849AB">
      <w:pPr>
        <w:pStyle w:val="subsection"/>
      </w:pPr>
      <w:r w:rsidRPr="005E3B43">
        <w:tab/>
      </w:r>
      <w:r w:rsidRPr="005E3B43">
        <w:tab/>
        <w:t xml:space="preserve">For the purposes of the definition of </w:t>
      </w:r>
      <w:r w:rsidRPr="005E3B43">
        <w:rPr>
          <w:b/>
          <w:i/>
        </w:rPr>
        <w:t>permitted quantity</w:t>
      </w:r>
      <w:r w:rsidRPr="005E3B43">
        <w:t xml:space="preserve"> in subsection 41QD(10) of the Act, the prescribed quantity of a kind of vaping goods specified in column 1 of an item in the following table is the quantity specified in column 2 of the item.</w:t>
      </w:r>
    </w:p>
    <w:p w14:paraId="1F0F79D1" w14:textId="77777777" w:rsidR="006849AB" w:rsidRPr="005E3B43" w:rsidRDefault="006849AB" w:rsidP="006849AB">
      <w:pPr>
        <w:pStyle w:val="Tabletext"/>
      </w:pPr>
    </w:p>
    <w:tbl>
      <w:tblPr>
        <w:tblW w:w="4052" w:type="pct"/>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01"/>
        <w:gridCol w:w="3685"/>
        <w:gridCol w:w="2126"/>
      </w:tblGrid>
      <w:tr w:rsidR="006849AB" w:rsidRPr="005E3B43" w14:paraId="1DAE60EA" w14:textId="77777777" w:rsidTr="009D206D">
        <w:trPr>
          <w:trHeight w:val="57"/>
          <w:tblHeader/>
        </w:trPr>
        <w:tc>
          <w:tcPr>
            <w:tcW w:w="5000" w:type="pct"/>
            <w:gridSpan w:val="3"/>
            <w:tcBorders>
              <w:top w:val="single" w:sz="12" w:space="0" w:color="auto"/>
              <w:bottom w:val="single" w:sz="6" w:space="0" w:color="auto"/>
            </w:tcBorders>
            <w:shd w:val="clear" w:color="auto" w:fill="auto"/>
          </w:tcPr>
          <w:p w14:paraId="2FC1177A" w14:textId="77777777" w:rsidR="006849AB" w:rsidRPr="005E3B43" w:rsidRDefault="006849AB" w:rsidP="009D206D">
            <w:pPr>
              <w:pStyle w:val="TableHeading"/>
            </w:pPr>
            <w:r w:rsidRPr="005E3B43">
              <w:t>Permitted quantity of vaping goods</w:t>
            </w:r>
          </w:p>
        </w:tc>
      </w:tr>
      <w:tr w:rsidR="006849AB" w:rsidRPr="005E3B43" w14:paraId="5EE6D20F" w14:textId="77777777" w:rsidTr="009D206D">
        <w:trPr>
          <w:trHeight w:val="57"/>
          <w:tblHeader/>
        </w:trPr>
        <w:tc>
          <w:tcPr>
            <w:tcW w:w="796" w:type="pct"/>
            <w:tcBorders>
              <w:top w:val="single" w:sz="6" w:space="0" w:color="auto"/>
              <w:bottom w:val="single" w:sz="6" w:space="0" w:color="auto"/>
            </w:tcBorders>
            <w:shd w:val="clear" w:color="auto" w:fill="auto"/>
          </w:tcPr>
          <w:p w14:paraId="45C8B052" w14:textId="77777777" w:rsidR="006849AB" w:rsidRPr="005E3B43" w:rsidRDefault="006849AB" w:rsidP="009D206D">
            <w:pPr>
              <w:pStyle w:val="TableHeading"/>
            </w:pPr>
          </w:p>
        </w:tc>
        <w:tc>
          <w:tcPr>
            <w:tcW w:w="2666" w:type="pct"/>
            <w:tcBorders>
              <w:top w:val="single" w:sz="6" w:space="0" w:color="auto"/>
              <w:bottom w:val="single" w:sz="6" w:space="0" w:color="auto"/>
            </w:tcBorders>
            <w:shd w:val="clear" w:color="auto" w:fill="auto"/>
          </w:tcPr>
          <w:p w14:paraId="3F212649" w14:textId="77777777" w:rsidR="006849AB" w:rsidRPr="005E3B43" w:rsidRDefault="006849AB" w:rsidP="009D206D">
            <w:pPr>
              <w:pStyle w:val="TableHeading"/>
            </w:pPr>
            <w:r w:rsidRPr="005E3B43">
              <w:t>Column 1</w:t>
            </w:r>
          </w:p>
        </w:tc>
        <w:tc>
          <w:tcPr>
            <w:tcW w:w="1538" w:type="pct"/>
            <w:tcBorders>
              <w:top w:val="single" w:sz="6" w:space="0" w:color="auto"/>
              <w:bottom w:val="single" w:sz="6" w:space="0" w:color="auto"/>
            </w:tcBorders>
            <w:shd w:val="clear" w:color="auto" w:fill="auto"/>
          </w:tcPr>
          <w:p w14:paraId="75C698F4" w14:textId="77777777" w:rsidR="006849AB" w:rsidRPr="005E3B43" w:rsidRDefault="006849AB" w:rsidP="009D206D">
            <w:pPr>
              <w:pStyle w:val="TableHeading"/>
            </w:pPr>
            <w:r w:rsidRPr="005E3B43">
              <w:t>Column 2</w:t>
            </w:r>
          </w:p>
        </w:tc>
      </w:tr>
      <w:tr w:rsidR="006849AB" w:rsidRPr="005E3B43" w14:paraId="726D49D5" w14:textId="77777777" w:rsidTr="009D206D">
        <w:trPr>
          <w:trHeight w:val="57"/>
          <w:tblHeader/>
        </w:trPr>
        <w:tc>
          <w:tcPr>
            <w:tcW w:w="796" w:type="pct"/>
            <w:tcBorders>
              <w:top w:val="single" w:sz="6" w:space="0" w:color="auto"/>
              <w:bottom w:val="single" w:sz="12" w:space="0" w:color="auto"/>
            </w:tcBorders>
            <w:shd w:val="clear" w:color="auto" w:fill="auto"/>
          </w:tcPr>
          <w:p w14:paraId="58156862" w14:textId="77777777" w:rsidR="006849AB" w:rsidRPr="005E3B43" w:rsidRDefault="006849AB" w:rsidP="009D206D">
            <w:pPr>
              <w:pStyle w:val="TableHeading"/>
            </w:pPr>
            <w:r w:rsidRPr="005E3B43">
              <w:t>Item</w:t>
            </w:r>
          </w:p>
        </w:tc>
        <w:tc>
          <w:tcPr>
            <w:tcW w:w="2666" w:type="pct"/>
            <w:tcBorders>
              <w:top w:val="single" w:sz="6" w:space="0" w:color="auto"/>
              <w:bottom w:val="single" w:sz="12" w:space="0" w:color="auto"/>
            </w:tcBorders>
            <w:shd w:val="clear" w:color="auto" w:fill="auto"/>
          </w:tcPr>
          <w:p w14:paraId="485256C3" w14:textId="77777777" w:rsidR="006849AB" w:rsidRPr="005E3B43" w:rsidRDefault="006849AB" w:rsidP="009D206D">
            <w:pPr>
              <w:pStyle w:val="TableHeading"/>
            </w:pPr>
            <w:r w:rsidRPr="005E3B43">
              <w:t>Kind of vaping goods</w:t>
            </w:r>
          </w:p>
        </w:tc>
        <w:tc>
          <w:tcPr>
            <w:tcW w:w="1538" w:type="pct"/>
            <w:tcBorders>
              <w:top w:val="single" w:sz="6" w:space="0" w:color="auto"/>
              <w:bottom w:val="single" w:sz="12" w:space="0" w:color="auto"/>
            </w:tcBorders>
            <w:shd w:val="clear" w:color="auto" w:fill="auto"/>
          </w:tcPr>
          <w:p w14:paraId="19D7448B" w14:textId="77777777" w:rsidR="006849AB" w:rsidRPr="005E3B43" w:rsidRDefault="006849AB" w:rsidP="009D206D">
            <w:pPr>
              <w:pStyle w:val="TableHeading"/>
            </w:pPr>
            <w:r w:rsidRPr="005E3B43">
              <w:t>Permitted quantity of vaping goods</w:t>
            </w:r>
          </w:p>
        </w:tc>
      </w:tr>
      <w:tr w:rsidR="006849AB" w:rsidRPr="005E3B43" w14:paraId="0AC58124" w14:textId="77777777" w:rsidTr="009D206D">
        <w:trPr>
          <w:trHeight w:val="20"/>
        </w:trPr>
        <w:tc>
          <w:tcPr>
            <w:tcW w:w="796" w:type="pct"/>
            <w:tcBorders>
              <w:top w:val="single" w:sz="12" w:space="0" w:color="auto"/>
            </w:tcBorders>
            <w:shd w:val="clear" w:color="auto" w:fill="auto"/>
          </w:tcPr>
          <w:p w14:paraId="65B65934" w14:textId="77777777" w:rsidR="006849AB" w:rsidRPr="005E3B43" w:rsidRDefault="006849AB" w:rsidP="009D206D">
            <w:pPr>
              <w:pStyle w:val="Tabletext"/>
            </w:pPr>
            <w:r w:rsidRPr="005E3B43">
              <w:t>1</w:t>
            </w:r>
          </w:p>
        </w:tc>
        <w:tc>
          <w:tcPr>
            <w:tcW w:w="2666" w:type="pct"/>
            <w:tcBorders>
              <w:top w:val="single" w:sz="12" w:space="0" w:color="auto"/>
            </w:tcBorders>
            <w:shd w:val="clear" w:color="auto" w:fill="auto"/>
          </w:tcPr>
          <w:p w14:paraId="1F88FE3A" w14:textId="77777777" w:rsidR="006849AB" w:rsidRPr="005E3B43" w:rsidRDefault="006849AB" w:rsidP="009D206D">
            <w:pPr>
              <w:pStyle w:val="Tabletext"/>
            </w:pPr>
            <w:r w:rsidRPr="005E3B43">
              <w:t>Vaping device</w:t>
            </w:r>
          </w:p>
        </w:tc>
        <w:tc>
          <w:tcPr>
            <w:tcW w:w="1538" w:type="pct"/>
            <w:tcBorders>
              <w:top w:val="single" w:sz="12" w:space="0" w:color="auto"/>
            </w:tcBorders>
            <w:shd w:val="clear" w:color="auto" w:fill="auto"/>
          </w:tcPr>
          <w:p w14:paraId="658DC4D8" w14:textId="77777777" w:rsidR="006849AB" w:rsidRPr="005E3B43" w:rsidRDefault="006849AB" w:rsidP="009D206D">
            <w:pPr>
              <w:pStyle w:val="Tabletext"/>
              <w:tabs>
                <w:tab w:val="decimal" w:pos="206"/>
              </w:tabs>
            </w:pPr>
            <w:r w:rsidRPr="005E3B43">
              <w:t>2</w:t>
            </w:r>
          </w:p>
        </w:tc>
      </w:tr>
      <w:tr w:rsidR="006849AB" w:rsidRPr="005E3B43" w14:paraId="261F64C7" w14:textId="77777777" w:rsidTr="009D206D">
        <w:trPr>
          <w:trHeight w:val="20"/>
        </w:trPr>
        <w:tc>
          <w:tcPr>
            <w:tcW w:w="796" w:type="pct"/>
            <w:tcBorders>
              <w:bottom w:val="single" w:sz="2" w:space="0" w:color="auto"/>
            </w:tcBorders>
            <w:shd w:val="clear" w:color="auto" w:fill="auto"/>
          </w:tcPr>
          <w:p w14:paraId="55F8006B" w14:textId="77777777" w:rsidR="006849AB" w:rsidRPr="005E3B43" w:rsidRDefault="006849AB" w:rsidP="009D206D">
            <w:pPr>
              <w:pStyle w:val="Tabletext"/>
            </w:pPr>
            <w:r w:rsidRPr="005E3B43">
              <w:lastRenderedPageBreak/>
              <w:t>2</w:t>
            </w:r>
          </w:p>
        </w:tc>
        <w:tc>
          <w:tcPr>
            <w:tcW w:w="2666" w:type="pct"/>
            <w:tcBorders>
              <w:bottom w:val="single" w:sz="2" w:space="0" w:color="auto"/>
            </w:tcBorders>
            <w:shd w:val="clear" w:color="auto" w:fill="auto"/>
          </w:tcPr>
          <w:p w14:paraId="2634E782" w14:textId="77777777" w:rsidR="006849AB" w:rsidRPr="005E3B43" w:rsidRDefault="006849AB" w:rsidP="009D206D">
            <w:pPr>
              <w:pStyle w:val="Tabletext"/>
            </w:pPr>
            <w:r w:rsidRPr="005E3B43">
              <w:t>Vaping accessory</w:t>
            </w:r>
          </w:p>
        </w:tc>
        <w:tc>
          <w:tcPr>
            <w:tcW w:w="1538" w:type="pct"/>
            <w:tcBorders>
              <w:bottom w:val="single" w:sz="2" w:space="0" w:color="auto"/>
            </w:tcBorders>
            <w:shd w:val="clear" w:color="auto" w:fill="auto"/>
          </w:tcPr>
          <w:p w14:paraId="56A22983" w14:textId="77777777" w:rsidR="006849AB" w:rsidRPr="005E3B43" w:rsidRDefault="006849AB" w:rsidP="009D206D">
            <w:pPr>
              <w:pStyle w:val="Tabletext"/>
              <w:tabs>
                <w:tab w:val="decimal" w:pos="206"/>
              </w:tabs>
            </w:pPr>
            <w:r w:rsidRPr="005E3B43">
              <w:t>4</w:t>
            </w:r>
          </w:p>
        </w:tc>
      </w:tr>
      <w:tr w:rsidR="006849AB" w:rsidRPr="005E3B43" w14:paraId="74EF15E7" w14:textId="77777777" w:rsidTr="009D206D">
        <w:trPr>
          <w:trHeight w:val="20"/>
        </w:trPr>
        <w:tc>
          <w:tcPr>
            <w:tcW w:w="796" w:type="pct"/>
            <w:tcBorders>
              <w:top w:val="single" w:sz="2" w:space="0" w:color="auto"/>
              <w:bottom w:val="single" w:sz="12" w:space="0" w:color="auto"/>
            </w:tcBorders>
            <w:shd w:val="clear" w:color="auto" w:fill="auto"/>
          </w:tcPr>
          <w:p w14:paraId="1D69E622" w14:textId="77777777" w:rsidR="006849AB" w:rsidRPr="005E3B43" w:rsidRDefault="006849AB" w:rsidP="009D206D">
            <w:pPr>
              <w:pStyle w:val="Tabletext"/>
            </w:pPr>
            <w:r w:rsidRPr="005E3B43">
              <w:t>3</w:t>
            </w:r>
          </w:p>
        </w:tc>
        <w:tc>
          <w:tcPr>
            <w:tcW w:w="2666" w:type="pct"/>
            <w:tcBorders>
              <w:top w:val="single" w:sz="2" w:space="0" w:color="auto"/>
              <w:bottom w:val="single" w:sz="12" w:space="0" w:color="auto"/>
            </w:tcBorders>
            <w:shd w:val="clear" w:color="auto" w:fill="auto"/>
          </w:tcPr>
          <w:p w14:paraId="02AE76E7" w14:textId="77777777" w:rsidR="006849AB" w:rsidRPr="005E3B43" w:rsidRDefault="006849AB" w:rsidP="009D206D">
            <w:pPr>
              <w:pStyle w:val="Tabletext"/>
            </w:pPr>
            <w:r w:rsidRPr="005E3B43">
              <w:t>Vaping substance that is a liquid</w:t>
            </w:r>
          </w:p>
        </w:tc>
        <w:tc>
          <w:tcPr>
            <w:tcW w:w="1538" w:type="pct"/>
            <w:tcBorders>
              <w:top w:val="single" w:sz="2" w:space="0" w:color="auto"/>
              <w:bottom w:val="single" w:sz="12" w:space="0" w:color="auto"/>
            </w:tcBorders>
            <w:shd w:val="clear" w:color="auto" w:fill="auto"/>
          </w:tcPr>
          <w:p w14:paraId="7A143981" w14:textId="77777777" w:rsidR="006849AB" w:rsidRPr="005E3B43" w:rsidRDefault="006849AB" w:rsidP="009D206D">
            <w:pPr>
              <w:pStyle w:val="Tabletext"/>
            </w:pPr>
            <w:r w:rsidRPr="005E3B43">
              <w:t>60 ml</w:t>
            </w:r>
          </w:p>
        </w:tc>
      </w:tr>
    </w:tbl>
    <w:p w14:paraId="1328426C" w14:textId="77777777" w:rsidR="00641236" w:rsidRPr="005E3B43" w:rsidRDefault="00BB758E" w:rsidP="00763BCF">
      <w:pPr>
        <w:pStyle w:val="ActHead2"/>
        <w:pageBreakBefore/>
      </w:pPr>
      <w:bookmarkStart w:id="69" w:name="_Toc187135664"/>
      <w:r w:rsidRPr="005E3B43">
        <w:rPr>
          <w:rStyle w:val="CharPartNo"/>
        </w:rPr>
        <w:lastRenderedPageBreak/>
        <w:t>Part 3</w:t>
      </w:r>
      <w:r w:rsidR="00E20BA4" w:rsidRPr="005E3B43">
        <w:t>—</w:t>
      </w:r>
      <w:r w:rsidR="00641236" w:rsidRPr="005E3B43">
        <w:rPr>
          <w:rStyle w:val="CharPartText"/>
        </w:rPr>
        <w:t>Registration, inclusion, listing and exemption of therapeutic goods</w:t>
      </w:r>
      <w:bookmarkEnd w:id="69"/>
    </w:p>
    <w:p w14:paraId="0A88D452" w14:textId="77777777" w:rsidR="00641236" w:rsidRPr="005E3B43" w:rsidRDefault="00E20BA4" w:rsidP="00763BCF">
      <w:pPr>
        <w:pStyle w:val="Header"/>
      </w:pPr>
      <w:r w:rsidRPr="005E3B43">
        <w:rPr>
          <w:rStyle w:val="CharDivNo"/>
        </w:rPr>
        <w:t xml:space="preserve"> </w:t>
      </w:r>
      <w:r w:rsidRPr="005E3B43">
        <w:rPr>
          <w:rStyle w:val="CharDivText"/>
        </w:rPr>
        <w:t xml:space="preserve"> </w:t>
      </w:r>
    </w:p>
    <w:p w14:paraId="3E461246" w14:textId="77777777" w:rsidR="00207B1C" w:rsidRPr="005E3B43" w:rsidRDefault="00207B1C" w:rsidP="00763BCF">
      <w:pPr>
        <w:pStyle w:val="ActHead5"/>
      </w:pPr>
      <w:bookmarkStart w:id="70" w:name="_Toc187135665"/>
      <w:r w:rsidRPr="005E3B43">
        <w:rPr>
          <w:rStyle w:val="CharSectno"/>
        </w:rPr>
        <w:t>11</w:t>
      </w:r>
      <w:r w:rsidR="00E20BA4" w:rsidRPr="005E3B43">
        <w:t xml:space="preserve">  </w:t>
      </w:r>
      <w:r w:rsidRPr="005E3B43">
        <w:t>Characteristics that separate and distinguish certain medicines from other therapeutic goods</w:t>
      </w:r>
      <w:bookmarkEnd w:id="70"/>
    </w:p>
    <w:p w14:paraId="2137E205" w14:textId="77777777" w:rsidR="00207B1C" w:rsidRPr="005E3B43" w:rsidRDefault="00207B1C" w:rsidP="00763BCF">
      <w:pPr>
        <w:pStyle w:val="subsection"/>
      </w:pPr>
      <w:r w:rsidRPr="005E3B43">
        <w:tab/>
        <w:t>(1)</w:t>
      </w:r>
      <w:r w:rsidRPr="005E3B43">
        <w:tab/>
        <w:t>For paragraph</w:t>
      </w:r>
      <w:r w:rsidR="004E6D00" w:rsidRPr="005E3B43">
        <w:t> </w:t>
      </w:r>
      <w:r w:rsidRPr="005E3B43">
        <w:t>16(1A)(d) of the Act, different characteristics are:</w:t>
      </w:r>
    </w:p>
    <w:p w14:paraId="77E6A471" w14:textId="77777777" w:rsidR="00207B1C" w:rsidRPr="005E3B43" w:rsidRDefault="00207B1C" w:rsidP="00763BCF">
      <w:pPr>
        <w:pStyle w:val="paragraph"/>
      </w:pPr>
      <w:r w:rsidRPr="005E3B43">
        <w:tab/>
        <w:t>(a)</w:t>
      </w:r>
      <w:r w:rsidRPr="005E3B43">
        <w:tab/>
        <w:t>a different name; or</w:t>
      </w:r>
    </w:p>
    <w:p w14:paraId="663F7FF4" w14:textId="77777777" w:rsidR="00207B1C" w:rsidRPr="005E3B43" w:rsidRDefault="00207B1C" w:rsidP="00763BCF">
      <w:pPr>
        <w:pStyle w:val="paragraph"/>
      </w:pPr>
      <w:r w:rsidRPr="005E3B43">
        <w:tab/>
        <w:t>(b)</w:t>
      </w:r>
      <w:r w:rsidRPr="005E3B43">
        <w:tab/>
        <w:t>different indications; or</w:t>
      </w:r>
    </w:p>
    <w:p w14:paraId="2D1CAC0D" w14:textId="77777777" w:rsidR="00207B1C" w:rsidRPr="005E3B43" w:rsidRDefault="00207B1C" w:rsidP="00763BCF">
      <w:pPr>
        <w:pStyle w:val="paragraph"/>
      </w:pPr>
      <w:r w:rsidRPr="005E3B43">
        <w:tab/>
        <w:t>(c)</w:t>
      </w:r>
      <w:r w:rsidRPr="005E3B43">
        <w:tab/>
        <w:t>a different excipient; or</w:t>
      </w:r>
    </w:p>
    <w:p w14:paraId="40014497" w14:textId="77777777" w:rsidR="00207B1C" w:rsidRPr="005E3B43" w:rsidRDefault="00207B1C" w:rsidP="00763BCF">
      <w:pPr>
        <w:pStyle w:val="paragraph"/>
      </w:pPr>
      <w:r w:rsidRPr="005E3B43">
        <w:tab/>
        <w:t>(d)</w:t>
      </w:r>
      <w:r w:rsidRPr="005E3B43">
        <w:tab/>
        <w:t>for medicines that contain any restricted ingredients:</w:t>
      </w:r>
    </w:p>
    <w:p w14:paraId="0BB134D8" w14:textId="77777777" w:rsidR="00207B1C" w:rsidRPr="005E3B43" w:rsidRDefault="00207B1C" w:rsidP="00763BCF">
      <w:pPr>
        <w:pStyle w:val="paragraphsub"/>
      </w:pPr>
      <w:r w:rsidRPr="005E3B43">
        <w:tab/>
        <w:t>(i)</w:t>
      </w:r>
      <w:r w:rsidRPr="005E3B43">
        <w:tab/>
        <w:t>a different quantity of a restricted ingredient that is an excipient; or</w:t>
      </w:r>
    </w:p>
    <w:p w14:paraId="2844E9BC" w14:textId="77777777" w:rsidR="00207B1C" w:rsidRPr="005E3B43" w:rsidRDefault="00207B1C" w:rsidP="00763BCF">
      <w:pPr>
        <w:pStyle w:val="paragraphsub"/>
      </w:pPr>
      <w:r w:rsidRPr="005E3B43">
        <w:tab/>
        <w:t>(ii)</w:t>
      </w:r>
      <w:r w:rsidRPr="005E3B43">
        <w:tab/>
        <w:t>if the restriction on a restricted ingredient relates to its concentration in a relevant medicine</w:t>
      </w:r>
      <w:r w:rsidR="00E20BA4" w:rsidRPr="005E3B43">
        <w:t>—</w:t>
      </w:r>
      <w:r w:rsidRPr="005E3B43">
        <w:t>a different concentration of the restricted ingredient; or</w:t>
      </w:r>
    </w:p>
    <w:p w14:paraId="76C78BAA" w14:textId="77777777" w:rsidR="00207B1C" w:rsidRPr="005E3B43" w:rsidRDefault="00207B1C" w:rsidP="00763BCF">
      <w:pPr>
        <w:pStyle w:val="paragraphsub"/>
      </w:pPr>
      <w:r w:rsidRPr="005E3B43">
        <w:tab/>
        <w:t>(iii)</w:t>
      </w:r>
      <w:r w:rsidRPr="005E3B43">
        <w:tab/>
        <w:t>if the restriction on a restricted ingredient relates to its quantity in the recommended single or daily dose in a relevant medicine</w:t>
      </w:r>
      <w:r w:rsidR="00E20BA4" w:rsidRPr="005E3B43">
        <w:t>—</w:t>
      </w:r>
      <w:r w:rsidRPr="005E3B43">
        <w:t>different directions for use setting out a different recommended single or daily dose.</w:t>
      </w:r>
    </w:p>
    <w:p w14:paraId="6045E5B4" w14:textId="77777777" w:rsidR="00207B1C" w:rsidRPr="005E3B43" w:rsidRDefault="00207B1C" w:rsidP="00763BCF">
      <w:pPr>
        <w:pStyle w:val="subsection"/>
      </w:pPr>
      <w:r w:rsidRPr="005E3B43">
        <w:tab/>
        <w:t>(2)</w:t>
      </w:r>
      <w:r w:rsidRPr="005E3B43">
        <w:tab/>
        <w:t xml:space="preserve">A substance is a </w:t>
      </w:r>
      <w:r w:rsidRPr="005E3B43">
        <w:rPr>
          <w:b/>
          <w:i/>
        </w:rPr>
        <w:t>restricted ingredient</w:t>
      </w:r>
      <w:r w:rsidRPr="005E3B43">
        <w:t xml:space="preserve"> if:</w:t>
      </w:r>
    </w:p>
    <w:p w14:paraId="748A086C" w14:textId="77777777" w:rsidR="00207B1C" w:rsidRPr="005E3B43" w:rsidRDefault="00207B1C" w:rsidP="00763BCF">
      <w:pPr>
        <w:pStyle w:val="paragraph"/>
      </w:pPr>
      <w:r w:rsidRPr="005E3B43">
        <w:tab/>
        <w:t>(a)</w:t>
      </w:r>
      <w:r w:rsidRPr="005E3B43">
        <w:tab/>
        <w:t>it is an ingredient in a relevant medicine; and</w:t>
      </w:r>
    </w:p>
    <w:p w14:paraId="6E7215DC" w14:textId="77777777" w:rsidR="00207B1C" w:rsidRPr="005E3B43" w:rsidRDefault="00207B1C" w:rsidP="00763BCF">
      <w:pPr>
        <w:pStyle w:val="paragraph"/>
      </w:pPr>
      <w:r w:rsidRPr="005E3B43">
        <w:tab/>
        <w:t>(b)</w:t>
      </w:r>
      <w:r w:rsidRPr="005E3B43">
        <w:tab/>
        <w:t>for that medicine to be, or to remain, eligible for listing, the permissible quantity or concentration of the substance in the medicine is restricted by operation of any of the following:</w:t>
      </w:r>
    </w:p>
    <w:p w14:paraId="29BD983A" w14:textId="77777777" w:rsidR="00207B1C" w:rsidRPr="005E3B43" w:rsidRDefault="00207B1C" w:rsidP="00763BCF">
      <w:pPr>
        <w:pStyle w:val="paragraphsub"/>
      </w:pPr>
      <w:r w:rsidRPr="005E3B43">
        <w:tab/>
        <w:t>(i)</w:t>
      </w:r>
      <w:r w:rsidRPr="005E3B43">
        <w:tab/>
        <w:t>Schedule</w:t>
      </w:r>
      <w:r w:rsidR="004E6D00" w:rsidRPr="005E3B43">
        <w:t> </w:t>
      </w:r>
      <w:r w:rsidRPr="005E3B43">
        <w:t>4;</w:t>
      </w:r>
    </w:p>
    <w:p w14:paraId="6985B3EC" w14:textId="77777777" w:rsidR="00207B1C" w:rsidRPr="005E3B43" w:rsidRDefault="00207B1C" w:rsidP="00763BCF">
      <w:pPr>
        <w:pStyle w:val="paragraphsub"/>
      </w:pPr>
      <w:r w:rsidRPr="005E3B43">
        <w:tab/>
        <w:t>(ii)</w:t>
      </w:r>
      <w:r w:rsidRPr="005E3B43">
        <w:tab/>
        <w:t>the Poisons Standard;</w:t>
      </w:r>
    </w:p>
    <w:p w14:paraId="4954502E" w14:textId="77777777" w:rsidR="00207B1C" w:rsidRPr="005E3B43" w:rsidRDefault="00207B1C" w:rsidP="00763BCF">
      <w:pPr>
        <w:pStyle w:val="paragraphsub"/>
      </w:pPr>
      <w:r w:rsidRPr="005E3B43">
        <w:tab/>
        <w:t>(iii)</w:t>
      </w:r>
      <w:r w:rsidRPr="005E3B43">
        <w:tab/>
        <w:t xml:space="preserve">a condition imposed under </w:t>
      </w:r>
      <w:r w:rsidR="00FB7FAA" w:rsidRPr="005E3B43">
        <w:t>section 2</w:t>
      </w:r>
      <w:r w:rsidRPr="005E3B43">
        <w:t>8 of the Act;</w:t>
      </w:r>
    </w:p>
    <w:p w14:paraId="4294E0AF" w14:textId="7EF34ED0" w:rsidR="00207B1C" w:rsidRPr="005E3B43" w:rsidRDefault="00207B1C" w:rsidP="00763BCF">
      <w:pPr>
        <w:pStyle w:val="paragraphsub"/>
      </w:pPr>
      <w:r w:rsidRPr="005E3B43">
        <w:tab/>
        <w:t>(iv)</w:t>
      </w:r>
      <w:r w:rsidRPr="005E3B43">
        <w:tab/>
        <w:t xml:space="preserve">a standard under </w:t>
      </w:r>
      <w:r w:rsidR="007C3215">
        <w:t>section 1</w:t>
      </w:r>
      <w:r w:rsidRPr="005E3B43">
        <w:t>0 of the Act;</w:t>
      </w:r>
    </w:p>
    <w:p w14:paraId="647C6999" w14:textId="77777777" w:rsidR="00207B1C" w:rsidRPr="005E3B43" w:rsidRDefault="00207B1C" w:rsidP="00763BCF">
      <w:pPr>
        <w:pStyle w:val="paragraphsub"/>
      </w:pPr>
      <w:r w:rsidRPr="005E3B43">
        <w:tab/>
        <w:t>(vi)</w:t>
      </w:r>
      <w:r w:rsidRPr="005E3B43">
        <w:tab/>
        <w:t>any other provision in these Regulations or in the Act that deals with eligibility of medicines for listing.</w:t>
      </w:r>
    </w:p>
    <w:p w14:paraId="13EBEC20" w14:textId="77777777" w:rsidR="00207B1C" w:rsidRPr="005E3B43" w:rsidRDefault="00207B1C" w:rsidP="00763BCF">
      <w:pPr>
        <w:pStyle w:val="subsection"/>
      </w:pPr>
      <w:r w:rsidRPr="005E3B43">
        <w:tab/>
        <w:t>(3)</w:t>
      </w:r>
      <w:r w:rsidRPr="005E3B43">
        <w:tab/>
        <w:t>In this regulation:</w:t>
      </w:r>
    </w:p>
    <w:p w14:paraId="5CCE3D6C" w14:textId="77777777" w:rsidR="00207B1C" w:rsidRPr="005E3B43" w:rsidRDefault="00207B1C" w:rsidP="00763BCF">
      <w:pPr>
        <w:pStyle w:val="Definition"/>
      </w:pPr>
      <w:r w:rsidRPr="005E3B43">
        <w:rPr>
          <w:b/>
          <w:i/>
        </w:rPr>
        <w:t xml:space="preserve">relevant medicine </w:t>
      </w:r>
      <w:r w:rsidRPr="005E3B43">
        <w:t>means a medicine that is listable goods or listed goods and that is not an export only medicine.</w:t>
      </w:r>
    </w:p>
    <w:p w14:paraId="6F17421B" w14:textId="77777777" w:rsidR="00641236" w:rsidRPr="005E3B43" w:rsidRDefault="00641236" w:rsidP="00763BCF">
      <w:pPr>
        <w:pStyle w:val="ActHead5"/>
      </w:pPr>
      <w:bookmarkStart w:id="71" w:name="_Toc187135666"/>
      <w:r w:rsidRPr="005E3B43">
        <w:rPr>
          <w:rStyle w:val="CharSectno"/>
        </w:rPr>
        <w:t>11A</w:t>
      </w:r>
      <w:r w:rsidR="00E20BA4" w:rsidRPr="005E3B43">
        <w:t xml:space="preserve">  </w:t>
      </w:r>
      <w:r w:rsidRPr="005E3B43">
        <w:t>Characteristics that separate and distinguish certain biologicals from other biologicals</w:t>
      </w:r>
      <w:bookmarkEnd w:id="71"/>
    </w:p>
    <w:p w14:paraId="6A4FF8E5" w14:textId="77777777" w:rsidR="00641236" w:rsidRPr="005E3B43" w:rsidRDefault="00641236" w:rsidP="00763BCF">
      <w:pPr>
        <w:pStyle w:val="subsection"/>
      </w:pPr>
      <w:r w:rsidRPr="005E3B43">
        <w:tab/>
        <w:t>(1)</w:t>
      </w:r>
      <w:r w:rsidRPr="005E3B43">
        <w:tab/>
        <w:t>For section</w:t>
      </w:r>
      <w:r w:rsidR="004E6D00" w:rsidRPr="005E3B43">
        <w:t> </w:t>
      </w:r>
      <w:r w:rsidRPr="005E3B43">
        <w:t>32AB of the Act:</w:t>
      </w:r>
    </w:p>
    <w:p w14:paraId="190C6965" w14:textId="77777777" w:rsidR="00641236" w:rsidRPr="005E3B43" w:rsidRDefault="00641236" w:rsidP="00763BCF">
      <w:pPr>
        <w:pStyle w:val="paragraph"/>
      </w:pPr>
      <w:r w:rsidRPr="005E3B43">
        <w:tab/>
        <w:t>(a)</w:t>
      </w:r>
      <w:r w:rsidRPr="005E3B43">
        <w:tab/>
        <w:t>a Class 1 or Class 2 biological is separate and distinct from other biologicals if any of the following characteristics of the biological differ from other biologicals:</w:t>
      </w:r>
    </w:p>
    <w:p w14:paraId="0C34195E" w14:textId="77777777" w:rsidR="00641236" w:rsidRPr="005E3B43" w:rsidRDefault="00641236" w:rsidP="00763BCF">
      <w:pPr>
        <w:pStyle w:val="paragraphsub"/>
      </w:pPr>
      <w:r w:rsidRPr="005E3B43">
        <w:tab/>
        <w:t>(i)</w:t>
      </w:r>
      <w:r w:rsidRPr="005E3B43">
        <w:tab/>
        <w:t>applicable standards;</w:t>
      </w:r>
    </w:p>
    <w:p w14:paraId="45BDDE2D" w14:textId="77777777" w:rsidR="00641236" w:rsidRPr="005E3B43" w:rsidRDefault="00641236" w:rsidP="00763BCF">
      <w:pPr>
        <w:pStyle w:val="paragraphsub"/>
      </w:pPr>
      <w:r w:rsidRPr="005E3B43">
        <w:lastRenderedPageBreak/>
        <w:tab/>
        <w:t>(ii)</w:t>
      </w:r>
      <w:r w:rsidRPr="005E3B43">
        <w:tab/>
        <w:t>intended clinical use;</w:t>
      </w:r>
    </w:p>
    <w:p w14:paraId="20013293" w14:textId="77777777" w:rsidR="00641236" w:rsidRPr="005E3B43" w:rsidRDefault="00641236" w:rsidP="00763BCF">
      <w:pPr>
        <w:pStyle w:val="paragraphsub"/>
      </w:pPr>
      <w:r w:rsidRPr="005E3B43">
        <w:tab/>
        <w:t>(iii)</w:t>
      </w:r>
      <w:r w:rsidRPr="005E3B43">
        <w:tab/>
        <w:t>principal manufacturer; and</w:t>
      </w:r>
    </w:p>
    <w:p w14:paraId="68FDFD27" w14:textId="77777777" w:rsidR="00641236" w:rsidRPr="005E3B43" w:rsidRDefault="00641236" w:rsidP="00763BCF">
      <w:pPr>
        <w:pStyle w:val="paragraph"/>
      </w:pPr>
      <w:r w:rsidRPr="005E3B43">
        <w:tab/>
        <w:t>(b)</w:t>
      </w:r>
      <w:r w:rsidRPr="005E3B43">
        <w:tab/>
        <w:t>a Class 3 or Class 4 biological is separate and distinct from other biologicals if any of the following characteristics of the biological differ from other biologicals:</w:t>
      </w:r>
    </w:p>
    <w:p w14:paraId="72E5B381" w14:textId="77777777" w:rsidR="00641236" w:rsidRPr="005E3B43" w:rsidRDefault="00641236" w:rsidP="00763BCF">
      <w:pPr>
        <w:pStyle w:val="paragraphsub"/>
      </w:pPr>
      <w:r w:rsidRPr="005E3B43">
        <w:tab/>
        <w:t>(i)</w:t>
      </w:r>
      <w:r w:rsidRPr="005E3B43">
        <w:tab/>
        <w:t>product name;</w:t>
      </w:r>
    </w:p>
    <w:p w14:paraId="7124631B" w14:textId="77777777" w:rsidR="00641236" w:rsidRPr="005E3B43" w:rsidRDefault="00641236" w:rsidP="00763BCF">
      <w:pPr>
        <w:pStyle w:val="paragraphsub"/>
      </w:pPr>
      <w:r w:rsidRPr="005E3B43">
        <w:tab/>
        <w:t>(ii)</w:t>
      </w:r>
      <w:r w:rsidRPr="005E3B43">
        <w:tab/>
        <w:t>dosage form;</w:t>
      </w:r>
    </w:p>
    <w:p w14:paraId="1BFAFDC5" w14:textId="77777777" w:rsidR="00641236" w:rsidRPr="005E3B43" w:rsidRDefault="00641236" w:rsidP="00763BCF">
      <w:pPr>
        <w:pStyle w:val="paragraphsub"/>
      </w:pPr>
      <w:r w:rsidRPr="005E3B43">
        <w:tab/>
        <w:t>(iii)</w:t>
      </w:r>
      <w:r w:rsidRPr="005E3B43">
        <w:tab/>
        <w:t>formulation or composition;</w:t>
      </w:r>
    </w:p>
    <w:p w14:paraId="06E624E5" w14:textId="77777777" w:rsidR="00641236" w:rsidRPr="005E3B43" w:rsidRDefault="00641236" w:rsidP="00763BCF">
      <w:pPr>
        <w:pStyle w:val="paragraphsub"/>
      </w:pPr>
      <w:r w:rsidRPr="005E3B43">
        <w:tab/>
        <w:t>(iv)</w:t>
      </w:r>
      <w:r w:rsidRPr="005E3B43">
        <w:tab/>
        <w:t>therapeutic indication;</w:t>
      </w:r>
    </w:p>
    <w:p w14:paraId="46220CC1" w14:textId="77777777" w:rsidR="00641236" w:rsidRPr="005E3B43" w:rsidRDefault="00641236" w:rsidP="00763BCF">
      <w:pPr>
        <w:pStyle w:val="paragraphsub"/>
      </w:pPr>
      <w:r w:rsidRPr="005E3B43">
        <w:tab/>
        <w:t>(v)</w:t>
      </w:r>
      <w:r w:rsidRPr="005E3B43">
        <w:tab/>
        <w:t>type of container, regardless of container size;</w:t>
      </w:r>
    </w:p>
    <w:p w14:paraId="23501E5C" w14:textId="77777777" w:rsidR="00641236" w:rsidRPr="005E3B43" w:rsidRDefault="00641236" w:rsidP="00763BCF">
      <w:pPr>
        <w:pStyle w:val="paragraphsub"/>
      </w:pPr>
      <w:r w:rsidRPr="005E3B43">
        <w:tab/>
        <w:t>(vi)</w:t>
      </w:r>
      <w:r w:rsidRPr="005E3B43">
        <w:tab/>
        <w:t>principal manufacturer</w:t>
      </w:r>
      <w:r w:rsidR="0091727F" w:rsidRPr="005E3B43">
        <w:t>; and</w:t>
      </w:r>
    </w:p>
    <w:p w14:paraId="53A96585" w14:textId="77777777" w:rsidR="0091727F" w:rsidRPr="005E3B43" w:rsidRDefault="0091727F" w:rsidP="0091727F">
      <w:pPr>
        <w:pStyle w:val="paragraph"/>
      </w:pPr>
      <w:r w:rsidRPr="005E3B43">
        <w:tab/>
        <w:t>(c)</w:t>
      </w:r>
      <w:r w:rsidRPr="005E3B43">
        <w:tab/>
        <w:t>an export only biological is separate and distinct from other biologicals if any of the following characteristics of the biological differ from other biologicals:</w:t>
      </w:r>
    </w:p>
    <w:p w14:paraId="24A87EB4" w14:textId="77777777" w:rsidR="0091727F" w:rsidRPr="005E3B43" w:rsidRDefault="0091727F" w:rsidP="0091727F">
      <w:pPr>
        <w:pStyle w:val="paragraphsub"/>
      </w:pPr>
      <w:r w:rsidRPr="005E3B43">
        <w:tab/>
        <w:t>(i)</w:t>
      </w:r>
      <w:r w:rsidRPr="005E3B43">
        <w:tab/>
        <w:t>active ingredient;</w:t>
      </w:r>
    </w:p>
    <w:p w14:paraId="6F117BA1" w14:textId="77777777" w:rsidR="0091727F" w:rsidRPr="005E3B43" w:rsidRDefault="0091727F" w:rsidP="0091727F">
      <w:pPr>
        <w:pStyle w:val="paragraphsub"/>
      </w:pPr>
      <w:r w:rsidRPr="005E3B43">
        <w:tab/>
        <w:t>(ii)</w:t>
      </w:r>
      <w:r w:rsidRPr="005E3B43">
        <w:tab/>
        <w:t>dosage form;</w:t>
      </w:r>
    </w:p>
    <w:p w14:paraId="0CC0D131" w14:textId="77777777" w:rsidR="0091727F" w:rsidRPr="005E3B43" w:rsidRDefault="0091727F" w:rsidP="0091727F">
      <w:pPr>
        <w:pStyle w:val="paragraphsub"/>
      </w:pPr>
      <w:r w:rsidRPr="005E3B43">
        <w:tab/>
        <w:t>(iii)</w:t>
      </w:r>
      <w:r w:rsidRPr="005E3B43">
        <w:tab/>
        <w:t>principal manufacturer.</w:t>
      </w:r>
    </w:p>
    <w:p w14:paraId="5C260876" w14:textId="77777777" w:rsidR="00464100" w:rsidRPr="005E3B43" w:rsidRDefault="00464100" w:rsidP="00763BCF">
      <w:pPr>
        <w:pStyle w:val="subsection"/>
      </w:pPr>
      <w:r w:rsidRPr="005E3B43">
        <w:tab/>
        <w:t>(1A)</w:t>
      </w:r>
      <w:r w:rsidRPr="005E3B43">
        <w:tab/>
        <w:t>However, a biological is not separate and distinct from other biologicals under subregulation (1) if:</w:t>
      </w:r>
    </w:p>
    <w:p w14:paraId="3A1F7188" w14:textId="77777777" w:rsidR="00464100" w:rsidRPr="005E3B43" w:rsidRDefault="00464100" w:rsidP="00763BCF">
      <w:pPr>
        <w:pStyle w:val="paragraph"/>
      </w:pPr>
      <w:r w:rsidRPr="005E3B43">
        <w:tab/>
        <w:t>(a)</w:t>
      </w:r>
      <w:r w:rsidRPr="005E3B43">
        <w:tab/>
        <w:t>the biological is separate and distinct from other biologicals under that subregulation</w:t>
      </w:r>
      <w:r w:rsidR="00934FB2" w:rsidRPr="005E3B43">
        <w:t> </w:t>
      </w:r>
      <w:r w:rsidRPr="005E3B43">
        <w:t xml:space="preserve">by reason only of a difference in a characteristic mentioned in </w:t>
      </w:r>
      <w:r w:rsidR="004E6D00" w:rsidRPr="005E3B43">
        <w:t>subparagraph (</w:t>
      </w:r>
      <w:r w:rsidRPr="005E3B43">
        <w:t>1)(a)(ii) or (1)(b)(iv); and</w:t>
      </w:r>
    </w:p>
    <w:p w14:paraId="63534000" w14:textId="77777777" w:rsidR="00464100" w:rsidRPr="005E3B43" w:rsidRDefault="00464100" w:rsidP="00763BCF">
      <w:pPr>
        <w:pStyle w:val="paragraph"/>
      </w:pPr>
      <w:r w:rsidRPr="005E3B43">
        <w:tab/>
        <w:t>(b)</w:t>
      </w:r>
      <w:r w:rsidRPr="005E3B43">
        <w:tab/>
        <w:t>the difference in that characteristic is the result of a request made under subsection</w:t>
      </w:r>
      <w:r w:rsidR="004E6D00" w:rsidRPr="005E3B43">
        <w:t> </w:t>
      </w:r>
      <w:r w:rsidRPr="005E3B43">
        <w:t>9D(3AA) of the Act to vary the entry of the biological in the Register.</w:t>
      </w:r>
    </w:p>
    <w:p w14:paraId="0BCB38CA" w14:textId="77777777" w:rsidR="00641236" w:rsidRPr="005E3B43" w:rsidRDefault="00641236" w:rsidP="00763BCF">
      <w:pPr>
        <w:pStyle w:val="subsection"/>
      </w:pPr>
      <w:r w:rsidRPr="005E3B43">
        <w:tab/>
        <w:t>(2)</w:t>
      </w:r>
      <w:r w:rsidRPr="005E3B43">
        <w:tab/>
        <w:t>In this regulation:</w:t>
      </w:r>
    </w:p>
    <w:p w14:paraId="0E4E495E" w14:textId="77777777" w:rsidR="00641236" w:rsidRPr="005E3B43" w:rsidRDefault="00641236" w:rsidP="00763BCF">
      <w:pPr>
        <w:pStyle w:val="Definition"/>
      </w:pPr>
      <w:r w:rsidRPr="005E3B43">
        <w:rPr>
          <w:b/>
          <w:i/>
        </w:rPr>
        <w:t xml:space="preserve">principal manufacturer </w:t>
      </w:r>
      <w:r w:rsidRPr="005E3B43">
        <w:t>means the person who carries out the total manufacture of a product or, if more than one manufacturer is involved, the person who takes overall responsibility for the manufacture of the product, including releasing the product for supply.</w:t>
      </w:r>
    </w:p>
    <w:p w14:paraId="6C616686" w14:textId="77777777" w:rsidR="00641236" w:rsidRPr="005E3B43" w:rsidRDefault="00641236" w:rsidP="00763BCF">
      <w:pPr>
        <w:pStyle w:val="ActHead5"/>
      </w:pPr>
      <w:bookmarkStart w:id="72" w:name="_Toc187135667"/>
      <w:r w:rsidRPr="005E3B43">
        <w:rPr>
          <w:rStyle w:val="CharSectno"/>
        </w:rPr>
        <w:t>12</w:t>
      </w:r>
      <w:r w:rsidR="00E20BA4" w:rsidRPr="005E3B43">
        <w:t xml:space="preserve">  </w:t>
      </w:r>
      <w:r w:rsidRPr="005E3B43">
        <w:t>Exempt goods</w:t>
      </w:r>
      <w:bookmarkEnd w:id="72"/>
    </w:p>
    <w:p w14:paraId="6FA7188A" w14:textId="77777777" w:rsidR="00641236" w:rsidRPr="005E3B43" w:rsidRDefault="00641236" w:rsidP="00763BCF">
      <w:pPr>
        <w:pStyle w:val="subsection"/>
      </w:pPr>
      <w:r w:rsidRPr="005E3B43">
        <w:tab/>
        <w:t>(1)</w:t>
      </w:r>
      <w:r w:rsidRPr="005E3B43">
        <w:tab/>
        <w:t>For subsections</w:t>
      </w:r>
      <w:r w:rsidR="004E6D00" w:rsidRPr="005E3B43">
        <w:t> </w:t>
      </w:r>
      <w:r w:rsidRPr="005E3B43">
        <w:t>18(1) and 32CA(2) of the Act, the therapeutic goods or classes of therapeutic goods mentioned in Schedule</w:t>
      </w:r>
      <w:r w:rsidR="004E6D00" w:rsidRPr="005E3B43">
        <w:t> </w:t>
      </w:r>
      <w:r w:rsidRPr="005E3B43">
        <w:t>5 are exempt from the operation of the following provisions of the Act:</w:t>
      </w:r>
    </w:p>
    <w:p w14:paraId="78655BB1" w14:textId="5795B428" w:rsidR="00641236" w:rsidRPr="005E3B43" w:rsidRDefault="00641236" w:rsidP="00763BCF">
      <w:pPr>
        <w:pStyle w:val="paragraph"/>
      </w:pPr>
      <w:r w:rsidRPr="005E3B43">
        <w:tab/>
        <w:t>(a)</w:t>
      </w:r>
      <w:r w:rsidRPr="005E3B43">
        <w:tab/>
      </w:r>
      <w:r w:rsidR="00BB758E" w:rsidRPr="005E3B43">
        <w:t>Part 3</w:t>
      </w:r>
      <w:r w:rsidR="007C3215">
        <w:noBreakHyphen/>
      </w:r>
      <w:r w:rsidRPr="005E3B43">
        <w:t>2 (except sections</w:t>
      </w:r>
      <w:r w:rsidR="004E6D00" w:rsidRPr="005E3B43">
        <w:t> </w:t>
      </w:r>
      <w:r w:rsidRPr="005E3B43">
        <w:t>30EA, 31A and 31C to 31F);</w:t>
      </w:r>
    </w:p>
    <w:p w14:paraId="637B955A" w14:textId="5765ACA9" w:rsidR="00641236" w:rsidRPr="005E3B43" w:rsidRDefault="00641236" w:rsidP="00763BCF">
      <w:pPr>
        <w:pStyle w:val="paragraph"/>
      </w:pPr>
      <w:r w:rsidRPr="005E3B43">
        <w:tab/>
        <w:t>(b)</w:t>
      </w:r>
      <w:r w:rsidRPr="005E3B43">
        <w:tab/>
      </w:r>
      <w:r w:rsidR="00BE7FAC" w:rsidRPr="005E3B43">
        <w:t>Division 4</w:t>
      </w:r>
      <w:r w:rsidRPr="005E3B43">
        <w:t xml:space="preserve"> of </w:t>
      </w:r>
      <w:r w:rsidR="00BB758E" w:rsidRPr="005E3B43">
        <w:t>Part 3</w:t>
      </w:r>
      <w:r w:rsidR="007C3215">
        <w:noBreakHyphen/>
      </w:r>
      <w:r w:rsidRPr="005E3B43">
        <w:t>2A.</w:t>
      </w:r>
    </w:p>
    <w:p w14:paraId="171D87DF" w14:textId="77777777" w:rsidR="00641236" w:rsidRPr="005E3B43" w:rsidRDefault="00641236" w:rsidP="00763BCF">
      <w:pPr>
        <w:pStyle w:val="subsection"/>
      </w:pPr>
      <w:r w:rsidRPr="005E3B43">
        <w:tab/>
        <w:t>(2)</w:t>
      </w:r>
      <w:r w:rsidRPr="005E3B43">
        <w:tab/>
        <w:t>For subsections</w:t>
      </w:r>
      <w:r w:rsidR="004E6D00" w:rsidRPr="005E3B43">
        <w:t> </w:t>
      </w:r>
      <w:r w:rsidRPr="005E3B43">
        <w:t>18(1) and 32CA(2) of the Act, the therapeutic goods or classes of therapeutic goods mentioned in column 2 of an item in Schedule</w:t>
      </w:r>
      <w:r w:rsidR="004E6D00" w:rsidRPr="005E3B43">
        <w:t> </w:t>
      </w:r>
      <w:r w:rsidRPr="005E3B43">
        <w:t>5A are exempt from the operation of the following provisions of the Act:</w:t>
      </w:r>
    </w:p>
    <w:p w14:paraId="62F2383F" w14:textId="2674E8D5" w:rsidR="00641236" w:rsidRPr="005E3B43" w:rsidRDefault="00641236" w:rsidP="00763BCF">
      <w:pPr>
        <w:pStyle w:val="paragraph"/>
      </w:pPr>
      <w:r w:rsidRPr="005E3B43">
        <w:tab/>
        <w:t>(a)</w:t>
      </w:r>
      <w:r w:rsidRPr="005E3B43">
        <w:tab/>
      </w:r>
      <w:r w:rsidR="00BB758E" w:rsidRPr="005E3B43">
        <w:t>Part 3</w:t>
      </w:r>
      <w:r w:rsidR="007C3215">
        <w:noBreakHyphen/>
      </w:r>
      <w:r w:rsidRPr="005E3B43">
        <w:t>2 (except sections</w:t>
      </w:r>
      <w:r w:rsidR="004E6D00" w:rsidRPr="005E3B43">
        <w:t> </w:t>
      </w:r>
      <w:r w:rsidRPr="005E3B43">
        <w:t>30EA, 31A and 31C to 31F);</w:t>
      </w:r>
    </w:p>
    <w:p w14:paraId="0164B89C" w14:textId="34C09C06" w:rsidR="00641236" w:rsidRPr="005E3B43" w:rsidRDefault="00641236" w:rsidP="00763BCF">
      <w:pPr>
        <w:pStyle w:val="paragraph"/>
      </w:pPr>
      <w:r w:rsidRPr="005E3B43">
        <w:tab/>
        <w:t>(b)</w:t>
      </w:r>
      <w:r w:rsidRPr="005E3B43">
        <w:tab/>
      </w:r>
      <w:r w:rsidR="00BE7FAC" w:rsidRPr="005E3B43">
        <w:t>Division 4</w:t>
      </w:r>
      <w:r w:rsidRPr="005E3B43">
        <w:t xml:space="preserve"> of </w:t>
      </w:r>
      <w:r w:rsidR="00BB758E" w:rsidRPr="005E3B43">
        <w:t>Part 3</w:t>
      </w:r>
      <w:r w:rsidR="007C3215">
        <w:noBreakHyphen/>
      </w:r>
      <w:r w:rsidRPr="005E3B43">
        <w:t>2A.</w:t>
      </w:r>
    </w:p>
    <w:p w14:paraId="100AE57B" w14:textId="77777777" w:rsidR="00641236" w:rsidRPr="005E3B43" w:rsidRDefault="00641236" w:rsidP="00763BCF">
      <w:pPr>
        <w:pStyle w:val="subsection"/>
      </w:pPr>
      <w:r w:rsidRPr="005E3B43">
        <w:lastRenderedPageBreak/>
        <w:tab/>
        <w:t>(3)</w:t>
      </w:r>
      <w:r w:rsidRPr="005E3B43">
        <w:tab/>
        <w:t>The exemptions mentioned in subregulation</w:t>
      </w:r>
      <w:r w:rsidR="002B4943" w:rsidRPr="005E3B43">
        <w:t> </w:t>
      </w:r>
      <w:r w:rsidRPr="005E3B43">
        <w:t>(2) are subject to compliance with the conditions mentioned in column 3 of an item in Schedule</w:t>
      </w:r>
      <w:r w:rsidR="004E6D00" w:rsidRPr="005E3B43">
        <w:t> </w:t>
      </w:r>
      <w:r w:rsidRPr="005E3B43">
        <w:t>5A for the therapeutic goods.</w:t>
      </w:r>
    </w:p>
    <w:p w14:paraId="0D126AFE" w14:textId="0C33FEE4" w:rsidR="00641236" w:rsidRPr="005E3B43" w:rsidRDefault="00641236" w:rsidP="00763BCF">
      <w:pPr>
        <w:pStyle w:val="subsection"/>
      </w:pPr>
      <w:r w:rsidRPr="005E3B43">
        <w:tab/>
        <w:t>(4)</w:t>
      </w:r>
      <w:r w:rsidRPr="005E3B43">
        <w:tab/>
        <w:t xml:space="preserve">If therapeutic goods to which this regulation applies cease to be exempt from the operation of </w:t>
      </w:r>
      <w:r w:rsidR="00BB758E" w:rsidRPr="005E3B43">
        <w:t>Part 3</w:t>
      </w:r>
      <w:r w:rsidR="007C3215">
        <w:noBreakHyphen/>
      </w:r>
      <w:r w:rsidRPr="005E3B43">
        <w:t xml:space="preserve">2 or </w:t>
      </w:r>
      <w:r w:rsidR="00BE7FAC" w:rsidRPr="005E3B43">
        <w:t>Division 4</w:t>
      </w:r>
      <w:r w:rsidRPr="005E3B43">
        <w:t xml:space="preserve"> of </w:t>
      </w:r>
      <w:r w:rsidR="00BB758E" w:rsidRPr="005E3B43">
        <w:t>Part 3</w:t>
      </w:r>
      <w:r w:rsidR="007C3215">
        <w:noBreakHyphen/>
      </w:r>
      <w:r w:rsidRPr="005E3B43">
        <w:t>2A of the Act and the sponsor of the goods applied for registration, listing, or inclusion of the goods in the Register before the exemption ceased, this regulation is taken to apply to the goods until the application for registration, listing or inclusion in the Register is determined.</w:t>
      </w:r>
    </w:p>
    <w:p w14:paraId="169F3FF2" w14:textId="6A826976" w:rsidR="00641236" w:rsidRPr="005E3B43" w:rsidRDefault="00641236" w:rsidP="00763BCF">
      <w:pPr>
        <w:pStyle w:val="ActHead5"/>
      </w:pPr>
      <w:bookmarkStart w:id="73" w:name="_Toc187135668"/>
      <w:r w:rsidRPr="005E3B43">
        <w:rPr>
          <w:rStyle w:val="CharSectno"/>
        </w:rPr>
        <w:t>12A</w:t>
      </w:r>
      <w:r w:rsidR="00E20BA4" w:rsidRPr="005E3B43">
        <w:t xml:space="preserve">  </w:t>
      </w:r>
      <w:r w:rsidRPr="005E3B43">
        <w:t>Unapproved medicines and biological</w:t>
      </w:r>
      <w:r w:rsidR="00E20BA4" w:rsidRPr="005E3B43">
        <w:t>—</w:t>
      </w:r>
      <w:r w:rsidRPr="005E3B43">
        <w:t>exemption in life</w:t>
      </w:r>
      <w:r w:rsidR="007C3215">
        <w:noBreakHyphen/>
      </w:r>
      <w:r w:rsidRPr="005E3B43">
        <w:t>threatening cases</w:t>
      </w:r>
      <w:bookmarkEnd w:id="73"/>
    </w:p>
    <w:p w14:paraId="7664E271" w14:textId="059E0BC1" w:rsidR="00E648BA" w:rsidRPr="005E3B43" w:rsidRDefault="00E648BA" w:rsidP="00763BCF">
      <w:pPr>
        <w:pStyle w:val="subsection"/>
      </w:pPr>
      <w:r w:rsidRPr="005E3B43">
        <w:tab/>
        <w:t>(1)</w:t>
      </w:r>
      <w:r w:rsidRPr="005E3B43">
        <w:tab/>
        <w:t>For the purposes of sub</w:t>
      </w:r>
      <w:r w:rsidR="007C3215">
        <w:t>section 1</w:t>
      </w:r>
      <w:r w:rsidRPr="005E3B43">
        <w:t xml:space="preserve">8(1) of the Act, all medicines, other than medicines of a class or kind listed in </w:t>
      </w:r>
      <w:r w:rsidR="006E592C" w:rsidRPr="005E3B43">
        <w:t>Schedule 9 or 10 to the Poisons Standard</w:t>
      </w:r>
      <w:r w:rsidRPr="005E3B43">
        <w:t xml:space="preserve">, are exempted, subject to subregulation (2), from the operation of </w:t>
      </w:r>
      <w:r w:rsidR="00BB758E" w:rsidRPr="005E3B43">
        <w:t>Part 3</w:t>
      </w:r>
      <w:r w:rsidR="007C3215">
        <w:noBreakHyphen/>
      </w:r>
      <w:r w:rsidRPr="005E3B43">
        <w:t>2 of the Act (except section</w:t>
      </w:r>
      <w:r w:rsidR="004E6D00" w:rsidRPr="005E3B43">
        <w:t> </w:t>
      </w:r>
      <w:r w:rsidRPr="005E3B43">
        <w:t>31A and sections</w:t>
      </w:r>
      <w:r w:rsidR="004E6D00" w:rsidRPr="005E3B43">
        <w:t> </w:t>
      </w:r>
      <w:r w:rsidRPr="005E3B43">
        <w:t>31C to 31F).</w:t>
      </w:r>
    </w:p>
    <w:p w14:paraId="1750021A" w14:textId="2F8ED8E1" w:rsidR="00641236" w:rsidRPr="005E3B43" w:rsidRDefault="00641236" w:rsidP="00763BCF">
      <w:pPr>
        <w:pStyle w:val="subsection"/>
      </w:pPr>
      <w:r w:rsidRPr="005E3B43">
        <w:tab/>
        <w:t>(1A)</w:t>
      </w:r>
      <w:r w:rsidRPr="005E3B43">
        <w:tab/>
      </w:r>
      <w:r w:rsidR="00FD3EF6" w:rsidRPr="005E3B43">
        <w:t xml:space="preserve">For the purposes of </w:t>
      </w:r>
      <w:r w:rsidR="00842CCD" w:rsidRPr="005E3B43">
        <w:t>subsection 3</w:t>
      </w:r>
      <w:r w:rsidR="00FD3EF6" w:rsidRPr="005E3B43">
        <w:t xml:space="preserve">2CA(2) of the Act, and subject to subregulation (2), all biologicals are exempt </w:t>
      </w:r>
      <w:r w:rsidRPr="005E3B43">
        <w:t xml:space="preserve">from the operation of </w:t>
      </w:r>
      <w:r w:rsidR="00BE7FAC" w:rsidRPr="005E3B43">
        <w:t>Division 4</w:t>
      </w:r>
      <w:r w:rsidRPr="005E3B43">
        <w:t xml:space="preserve"> of </w:t>
      </w:r>
      <w:r w:rsidR="00BB758E" w:rsidRPr="005E3B43">
        <w:t>Part 3</w:t>
      </w:r>
      <w:r w:rsidR="007C3215">
        <w:noBreakHyphen/>
      </w:r>
      <w:r w:rsidRPr="005E3B43">
        <w:t>2A of the Act.</w:t>
      </w:r>
    </w:p>
    <w:p w14:paraId="736D50AC" w14:textId="77777777" w:rsidR="00207B1C" w:rsidRPr="005E3B43" w:rsidRDefault="00207B1C" w:rsidP="00763BCF">
      <w:pPr>
        <w:pStyle w:val="subsection"/>
      </w:pPr>
      <w:r w:rsidRPr="005E3B43">
        <w:tab/>
        <w:t>(2)</w:t>
      </w:r>
      <w:r w:rsidRPr="005E3B43">
        <w:tab/>
      </w:r>
      <w:r w:rsidR="00FD3EF6" w:rsidRPr="005E3B43">
        <w:t>The exemption of a medicine under subregulation (1), or of a biological under subregulation (1A), is subject to compliance with the following conditions</w:t>
      </w:r>
      <w:r w:rsidRPr="005E3B43">
        <w:t>:</w:t>
      </w:r>
    </w:p>
    <w:p w14:paraId="43BCBD49" w14:textId="77777777" w:rsidR="00207B1C" w:rsidRPr="005E3B43" w:rsidRDefault="00207B1C" w:rsidP="00763BCF">
      <w:pPr>
        <w:pStyle w:val="paragraph"/>
      </w:pPr>
      <w:r w:rsidRPr="005E3B43">
        <w:tab/>
        <w:t>(a)</w:t>
      </w:r>
      <w:r w:rsidRPr="005E3B43">
        <w:tab/>
        <w:t xml:space="preserve">the medicine </w:t>
      </w:r>
      <w:r w:rsidR="00641236" w:rsidRPr="005E3B43">
        <w:t xml:space="preserve">or biological </w:t>
      </w:r>
      <w:r w:rsidRPr="005E3B43">
        <w:t>is to be given to a person who satisfies the following criteria:</w:t>
      </w:r>
    </w:p>
    <w:p w14:paraId="3AB67B74" w14:textId="77777777" w:rsidR="00207B1C" w:rsidRPr="005E3B43" w:rsidRDefault="00207B1C" w:rsidP="00763BCF">
      <w:pPr>
        <w:pStyle w:val="paragraphsub"/>
      </w:pPr>
      <w:r w:rsidRPr="005E3B43">
        <w:tab/>
        <w:t>(i)</w:t>
      </w:r>
      <w:r w:rsidRPr="005E3B43">
        <w:tab/>
        <w:t>the person is a Category A patient (as defined in subregulation</w:t>
      </w:r>
      <w:r w:rsidR="002B4943" w:rsidRPr="005E3B43">
        <w:t> </w:t>
      </w:r>
      <w:r w:rsidRPr="005E3B43">
        <w:t>(5)); and</w:t>
      </w:r>
    </w:p>
    <w:p w14:paraId="05AAD421" w14:textId="77777777" w:rsidR="00207B1C" w:rsidRPr="005E3B43" w:rsidRDefault="00207B1C" w:rsidP="00763BCF">
      <w:pPr>
        <w:pStyle w:val="paragraphsub"/>
      </w:pPr>
      <w:r w:rsidRPr="005E3B43">
        <w:tab/>
        <w:t>(ii)</w:t>
      </w:r>
      <w:r w:rsidRPr="005E3B43">
        <w:tab/>
        <w:t>the person, or the guardian of the person, has given informed consent (as defined in subregulation</w:t>
      </w:r>
      <w:r w:rsidR="002B4943" w:rsidRPr="005E3B43">
        <w:t> </w:t>
      </w:r>
      <w:r w:rsidRPr="005E3B43">
        <w:t xml:space="preserve">(5)) to the medicine </w:t>
      </w:r>
      <w:r w:rsidR="00641236" w:rsidRPr="005E3B43">
        <w:t xml:space="preserve">or biological </w:t>
      </w:r>
      <w:r w:rsidRPr="005E3B43">
        <w:t>being given to the person; and</w:t>
      </w:r>
    </w:p>
    <w:p w14:paraId="0598B84E" w14:textId="77777777" w:rsidR="00695AE4" w:rsidRPr="005E3B43" w:rsidRDefault="00695AE4" w:rsidP="00763BCF">
      <w:pPr>
        <w:pStyle w:val="paragraphsub"/>
      </w:pPr>
      <w:r w:rsidRPr="005E3B43">
        <w:tab/>
        <w:t>(iii)</w:t>
      </w:r>
      <w:r w:rsidRPr="005E3B43">
        <w:tab/>
        <w:t>a statement in relation to the person, in the form approved by the Secretary for the purposes of this subparagraph, is completed by the medical practitioner by whom, or at whose direction, the medicine or biological is given to the person or by a health practitioner acting on behalf of that medical practitioner; and</w:t>
      </w:r>
    </w:p>
    <w:p w14:paraId="4EE3324C" w14:textId="77777777" w:rsidR="00207B1C" w:rsidRPr="005E3B43" w:rsidRDefault="00207B1C" w:rsidP="00763BCF">
      <w:pPr>
        <w:pStyle w:val="paragraph"/>
      </w:pPr>
      <w:r w:rsidRPr="005E3B43">
        <w:tab/>
        <w:t>(b)</w:t>
      </w:r>
      <w:r w:rsidRPr="005E3B43">
        <w:tab/>
        <w:t xml:space="preserve">the medicine </w:t>
      </w:r>
      <w:r w:rsidR="00641236" w:rsidRPr="005E3B43">
        <w:t xml:space="preserve">or biological </w:t>
      </w:r>
      <w:r w:rsidRPr="005E3B43">
        <w:t xml:space="preserve">is dispensed on the prescription of a medical practitioner who has prescribed the medicine </w:t>
      </w:r>
      <w:r w:rsidR="00641236" w:rsidRPr="005E3B43">
        <w:t xml:space="preserve">or biological </w:t>
      </w:r>
      <w:r w:rsidRPr="005E3B43">
        <w:t>in accordance with good medical practice.</w:t>
      </w:r>
    </w:p>
    <w:p w14:paraId="7D0D5CA8" w14:textId="77777777" w:rsidR="0014604F" w:rsidRPr="005E3B43" w:rsidRDefault="0014604F" w:rsidP="00763BCF">
      <w:pPr>
        <w:pStyle w:val="subsection"/>
      </w:pPr>
      <w:r w:rsidRPr="005E3B43">
        <w:tab/>
        <w:t>(2A)</w:t>
      </w:r>
      <w:r w:rsidRPr="005E3B43">
        <w:tab/>
        <w:t xml:space="preserve">An approval of a form referred to in </w:t>
      </w:r>
      <w:r w:rsidR="004E6D00" w:rsidRPr="005E3B43">
        <w:t>subparagraph (</w:t>
      </w:r>
      <w:r w:rsidRPr="005E3B43">
        <w:t>2)(a)(iii) may require information to be given in accordance with specified software requirements:</w:t>
      </w:r>
    </w:p>
    <w:p w14:paraId="04A88B13" w14:textId="77777777" w:rsidR="0014604F" w:rsidRPr="005E3B43" w:rsidRDefault="0014604F" w:rsidP="00763BCF">
      <w:pPr>
        <w:pStyle w:val="paragraph"/>
      </w:pPr>
      <w:r w:rsidRPr="005E3B43">
        <w:tab/>
        <w:t>(a)</w:t>
      </w:r>
      <w:r w:rsidRPr="005E3B43">
        <w:tab/>
        <w:t>on a specified kind of data processing device; or</w:t>
      </w:r>
    </w:p>
    <w:p w14:paraId="50EC1D0F" w14:textId="77777777" w:rsidR="0014604F" w:rsidRPr="005E3B43" w:rsidRDefault="0014604F" w:rsidP="00763BCF">
      <w:pPr>
        <w:pStyle w:val="paragraph"/>
      </w:pPr>
      <w:r w:rsidRPr="005E3B43">
        <w:tab/>
        <w:t>(b)</w:t>
      </w:r>
      <w:r w:rsidRPr="005E3B43">
        <w:tab/>
        <w:t>by way of a specified kind of electronic transmission.</w:t>
      </w:r>
    </w:p>
    <w:p w14:paraId="0D23BB65" w14:textId="77777777" w:rsidR="00207B1C" w:rsidRPr="005E3B43" w:rsidRDefault="00207B1C" w:rsidP="00763BCF">
      <w:pPr>
        <w:pStyle w:val="subsection"/>
      </w:pPr>
      <w:r w:rsidRPr="005E3B43">
        <w:tab/>
        <w:t>(3)</w:t>
      </w:r>
      <w:r w:rsidRPr="005E3B43">
        <w:tab/>
        <w:t xml:space="preserve">A person who </w:t>
      </w:r>
      <w:r w:rsidR="0014604F" w:rsidRPr="005E3B43">
        <w:t xml:space="preserve">completes a statement referred to in </w:t>
      </w:r>
      <w:r w:rsidR="004E6D00" w:rsidRPr="005E3B43">
        <w:t>subparagraph (</w:t>
      </w:r>
      <w:r w:rsidR="0014604F" w:rsidRPr="005E3B43">
        <w:t>2)(a)(iii) in relation to a medicine or biological that is</w:t>
      </w:r>
      <w:r w:rsidR="00102755" w:rsidRPr="005E3B43">
        <w:t xml:space="preserve"> given to a person</w:t>
      </w:r>
      <w:r w:rsidRPr="005E3B43">
        <w:t xml:space="preserve"> must send a copy of the statement to the Secretary within </w:t>
      </w:r>
      <w:r w:rsidR="00102755" w:rsidRPr="005E3B43">
        <w:t>28 days after the medicine or biological is given to the person</w:t>
      </w:r>
      <w:r w:rsidRPr="005E3B43">
        <w:t>.</w:t>
      </w:r>
    </w:p>
    <w:p w14:paraId="2ED8B73B" w14:textId="77777777" w:rsidR="00207B1C" w:rsidRPr="005E3B43" w:rsidRDefault="00E20BA4" w:rsidP="00763BCF">
      <w:pPr>
        <w:pStyle w:val="Penalty"/>
      </w:pPr>
      <w:r w:rsidRPr="005E3B43">
        <w:t>Penalty:</w:t>
      </w:r>
      <w:r w:rsidRPr="005E3B43">
        <w:tab/>
      </w:r>
      <w:r w:rsidR="00207B1C" w:rsidRPr="005E3B43">
        <w:t>10 penalty units.</w:t>
      </w:r>
    </w:p>
    <w:p w14:paraId="4AFA2C59" w14:textId="77777777" w:rsidR="00207B1C" w:rsidRPr="005E3B43" w:rsidRDefault="00207B1C" w:rsidP="00763BCF">
      <w:pPr>
        <w:pStyle w:val="subsection"/>
      </w:pPr>
      <w:r w:rsidRPr="005E3B43">
        <w:lastRenderedPageBreak/>
        <w:tab/>
        <w:t>(3A)</w:t>
      </w:r>
      <w:r w:rsidRPr="005E3B43">
        <w:tab/>
        <w:t>An offence under subregulation (3) is an offence of strict liability.</w:t>
      </w:r>
    </w:p>
    <w:p w14:paraId="7A842AF8" w14:textId="77777777" w:rsidR="00207B1C" w:rsidRPr="005E3B43" w:rsidRDefault="00E20BA4" w:rsidP="00763BCF">
      <w:pPr>
        <w:pStyle w:val="notetext"/>
      </w:pPr>
      <w:r w:rsidRPr="005E3B43">
        <w:t>Note:</w:t>
      </w:r>
      <w:r w:rsidRPr="005E3B43">
        <w:tab/>
      </w:r>
      <w:r w:rsidR="00207B1C" w:rsidRPr="005E3B43">
        <w:t xml:space="preserve">For </w:t>
      </w:r>
      <w:r w:rsidR="00207B1C" w:rsidRPr="005E3B43">
        <w:rPr>
          <w:b/>
          <w:i/>
        </w:rPr>
        <w:t>strict liability</w:t>
      </w:r>
      <w:r w:rsidR="00207B1C" w:rsidRPr="005E3B43">
        <w:t>, see section</w:t>
      </w:r>
      <w:r w:rsidR="004E6D00" w:rsidRPr="005E3B43">
        <w:t> </w:t>
      </w:r>
      <w:r w:rsidR="00207B1C" w:rsidRPr="005E3B43">
        <w:t xml:space="preserve">6.1 of the </w:t>
      </w:r>
      <w:r w:rsidR="00207B1C" w:rsidRPr="005E3B43">
        <w:rPr>
          <w:i/>
        </w:rPr>
        <w:t>Criminal Code</w:t>
      </w:r>
      <w:r w:rsidR="00207B1C" w:rsidRPr="005E3B43">
        <w:t>.</w:t>
      </w:r>
    </w:p>
    <w:p w14:paraId="3B7167BA" w14:textId="77777777" w:rsidR="00207B1C" w:rsidRPr="005E3B43" w:rsidRDefault="00207B1C" w:rsidP="00763BCF">
      <w:pPr>
        <w:pStyle w:val="subsection"/>
      </w:pPr>
      <w:r w:rsidRPr="005E3B43">
        <w:tab/>
        <w:t>(4)</w:t>
      </w:r>
      <w:r w:rsidRPr="005E3B43">
        <w:tab/>
        <w:t>This regulation does not affect the operation of regulation</w:t>
      </w:r>
      <w:r w:rsidR="004E6D00" w:rsidRPr="005E3B43">
        <w:t> </w:t>
      </w:r>
      <w:r w:rsidRPr="005E3B43">
        <w:t>12.</w:t>
      </w:r>
    </w:p>
    <w:p w14:paraId="08A51953" w14:textId="77777777" w:rsidR="00207B1C" w:rsidRPr="005E3B43" w:rsidRDefault="00207B1C" w:rsidP="00763BCF">
      <w:pPr>
        <w:pStyle w:val="subsection"/>
      </w:pPr>
      <w:r w:rsidRPr="005E3B43">
        <w:tab/>
        <w:t>(5)</w:t>
      </w:r>
      <w:r w:rsidRPr="005E3B43">
        <w:tab/>
        <w:t>In this regulation:</w:t>
      </w:r>
    </w:p>
    <w:p w14:paraId="40C934F5" w14:textId="77777777" w:rsidR="00207B1C" w:rsidRPr="005E3B43" w:rsidRDefault="00207B1C" w:rsidP="00763BCF">
      <w:pPr>
        <w:pStyle w:val="Definition"/>
      </w:pPr>
      <w:r w:rsidRPr="005E3B43">
        <w:rPr>
          <w:b/>
          <w:i/>
        </w:rPr>
        <w:t xml:space="preserve">Category A patient </w:t>
      </w:r>
      <w:r w:rsidRPr="005E3B43">
        <w:t>means a person who is seriously ill with a condition from which death is reasonably likely to occur within a matter of months, or from which premature death is reasonably likely to occur in the absence of early treatment.</w:t>
      </w:r>
    </w:p>
    <w:p w14:paraId="02017080" w14:textId="77777777" w:rsidR="00207B1C" w:rsidRPr="005E3B43" w:rsidRDefault="00207B1C" w:rsidP="00763BCF">
      <w:pPr>
        <w:pStyle w:val="Definition"/>
      </w:pPr>
      <w:r w:rsidRPr="005E3B43">
        <w:rPr>
          <w:b/>
          <w:i/>
        </w:rPr>
        <w:t>informed consent</w:t>
      </w:r>
      <w:r w:rsidRPr="005E3B43">
        <w:t>, in relation to treatment or proposed treatment, means consent freely given by a person on the basis of information concerning the potential risks and benefits of the treatment that was sufficient information to allow the person to make an informed decision whether to consent to the treatment.</w:t>
      </w:r>
    </w:p>
    <w:p w14:paraId="0C459BA5" w14:textId="77777777" w:rsidR="00641236" w:rsidRPr="005E3B43" w:rsidRDefault="00641236" w:rsidP="00763BCF">
      <w:pPr>
        <w:pStyle w:val="ActHead5"/>
      </w:pPr>
      <w:bookmarkStart w:id="74" w:name="_Toc187135669"/>
      <w:r w:rsidRPr="005E3B43">
        <w:rPr>
          <w:rStyle w:val="CharSectno"/>
        </w:rPr>
        <w:t>12AAB</w:t>
      </w:r>
      <w:r w:rsidR="00E20BA4" w:rsidRPr="005E3B43">
        <w:t xml:space="preserve">  </w:t>
      </w:r>
      <w:r w:rsidRPr="005E3B43">
        <w:t>Disposal of unused emergency goods and unused emergency biologicals</w:t>
      </w:r>
      <w:bookmarkEnd w:id="74"/>
    </w:p>
    <w:p w14:paraId="6570C4CF" w14:textId="77777777" w:rsidR="00641236" w:rsidRPr="005E3B43" w:rsidRDefault="00641236" w:rsidP="00763BCF">
      <w:pPr>
        <w:pStyle w:val="subsection"/>
      </w:pPr>
      <w:r w:rsidRPr="005E3B43">
        <w:tab/>
        <w:t>(1)</w:t>
      </w:r>
      <w:r w:rsidRPr="005E3B43">
        <w:tab/>
        <w:t>For subsections</w:t>
      </w:r>
      <w:r w:rsidR="004E6D00" w:rsidRPr="005E3B43">
        <w:t> </w:t>
      </w:r>
      <w:r w:rsidRPr="005E3B43">
        <w:t>30G(2) and 32CG(2) of the Act, Schedule</w:t>
      </w:r>
      <w:r w:rsidR="004E6D00" w:rsidRPr="005E3B43">
        <w:t> </w:t>
      </w:r>
      <w:r w:rsidRPr="005E3B43">
        <w:t>5B sets out the requirements for an arrangement for disposal of unused emergency goods and unused emergency biologicals.</w:t>
      </w:r>
    </w:p>
    <w:p w14:paraId="323B2F0E" w14:textId="77777777" w:rsidR="00207B1C" w:rsidRPr="005E3B43" w:rsidRDefault="00207B1C" w:rsidP="00763BCF">
      <w:pPr>
        <w:pStyle w:val="subsection"/>
      </w:pPr>
      <w:r w:rsidRPr="005E3B43">
        <w:tab/>
        <w:t>(2)</w:t>
      </w:r>
      <w:r w:rsidRPr="005E3B43">
        <w:tab/>
        <w:t>Nothing in this regulation or in Schedule</w:t>
      </w:r>
      <w:r w:rsidR="004E6D00" w:rsidRPr="005E3B43">
        <w:t> </w:t>
      </w:r>
      <w:r w:rsidRPr="005E3B43">
        <w:t>5B is taken to prevent a disposal of unused emergency goods if:</w:t>
      </w:r>
    </w:p>
    <w:p w14:paraId="2388EBED" w14:textId="77777777" w:rsidR="00207B1C" w:rsidRPr="005E3B43" w:rsidRDefault="00207B1C" w:rsidP="00763BCF">
      <w:pPr>
        <w:pStyle w:val="paragraph"/>
      </w:pPr>
      <w:r w:rsidRPr="005E3B43">
        <w:tab/>
        <w:t>(a)</w:t>
      </w:r>
      <w:r w:rsidRPr="005E3B43">
        <w:tab/>
        <w:t>the goods have become (whether in relation to an indication for which the goods could have been used under the exemption or in relation to a different indication):</w:t>
      </w:r>
    </w:p>
    <w:p w14:paraId="56CFB3A5" w14:textId="77777777" w:rsidR="00207B1C" w:rsidRPr="005E3B43" w:rsidRDefault="00207B1C" w:rsidP="00763BCF">
      <w:pPr>
        <w:pStyle w:val="paragraphsub"/>
      </w:pPr>
      <w:r w:rsidRPr="005E3B43">
        <w:tab/>
        <w:t>(i)</w:t>
      </w:r>
      <w:r w:rsidRPr="005E3B43">
        <w:tab/>
        <w:t>registered goods or listed goods; or</w:t>
      </w:r>
    </w:p>
    <w:p w14:paraId="792BA4E5" w14:textId="71EF8596" w:rsidR="00207B1C" w:rsidRPr="005E3B43" w:rsidRDefault="00207B1C" w:rsidP="00763BCF">
      <w:pPr>
        <w:pStyle w:val="paragraphsub"/>
      </w:pPr>
      <w:r w:rsidRPr="005E3B43">
        <w:tab/>
        <w:t>(ii)</w:t>
      </w:r>
      <w:r w:rsidRPr="005E3B43">
        <w:tab/>
        <w:t xml:space="preserve">exempt goods under </w:t>
      </w:r>
      <w:r w:rsidR="007C3215">
        <w:t>section 1</w:t>
      </w:r>
      <w:r w:rsidRPr="005E3B43">
        <w:t>8 of the Act; or</w:t>
      </w:r>
    </w:p>
    <w:p w14:paraId="1A61CADF" w14:textId="3F78A812" w:rsidR="00207B1C" w:rsidRPr="005E3B43" w:rsidRDefault="00207B1C" w:rsidP="00763BCF">
      <w:pPr>
        <w:pStyle w:val="paragraphsub"/>
      </w:pPr>
      <w:r w:rsidRPr="005E3B43">
        <w:tab/>
        <w:t>(iii)</w:t>
      </w:r>
      <w:r w:rsidRPr="005E3B43">
        <w:tab/>
        <w:t xml:space="preserve">goods that are the subject of an approval or authority under </w:t>
      </w:r>
      <w:r w:rsidR="007C3215">
        <w:t>section 1</w:t>
      </w:r>
      <w:r w:rsidRPr="005E3B43">
        <w:t>9 of the Act; or</w:t>
      </w:r>
    </w:p>
    <w:p w14:paraId="34B09338" w14:textId="7FC0453E" w:rsidR="00207B1C" w:rsidRPr="005E3B43" w:rsidRDefault="00207B1C" w:rsidP="00763BCF">
      <w:pPr>
        <w:pStyle w:val="paragraphsub"/>
      </w:pPr>
      <w:r w:rsidRPr="005E3B43">
        <w:tab/>
        <w:t>(iv)</w:t>
      </w:r>
      <w:r w:rsidRPr="005E3B43">
        <w:tab/>
        <w:t xml:space="preserve">goods that are the subject of an approval under </w:t>
      </w:r>
      <w:r w:rsidR="007C3215">
        <w:t>section 1</w:t>
      </w:r>
      <w:r w:rsidRPr="005E3B43">
        <w:t>9A of the Act; and</w:t>
      </w:r>
    </w:p>
    <w:p w14:paraId="750CACBF" w14:textId="77777777" w:rsidR="00207B1C" w:rsidRPr="005E3B43" w:rsidRDefault="00207B1C" w:rsidP="00763BCF">
      <w:pPr>
        <w:pStyle w:val="paragraph"/>
      </w:pPr>
      <w:r w:rsidRPr="005E3B43">
        <w:tab/>
        <w:t>(b)</w:t>
      </w:r>
      <w:r w:rsidRPr="005E3B43">
        <w:tab/>
        <w:t>the disposal is in accordance with other provisions of the Act and these Regulations relevant to the goods.</w:t>
      </w:r>
    </w:p>
    <w:p w14:paraId="024C20B0" w14:textId="77777777" w:rsidR="00641236" w:rsidRPr="005E3B43" w:rsidRDefault="00641236" w:rsidP="00763BCF">
      <w:pPr>
        <w:pStyle w:val="subsection"/>
      </w:pPr>
      <w:r w:rsidRPr="005E3B43">
        <w:tab/>
        <w:t>(3)</w:t>
      </w:r>
      <w:r w:rsidRPr="005E3B43">
        <w:tab/>
        <w:t>Nothing in this regulation or in Schedule</w:t>
      </w:r>
      <w:r w:rsidR="004E6D00" w:rsidRPr="005E3B43">
        <w:t> </w:t>
      </w:r>
      <w:r w:rsidRPr="005E3B43">
        <w:t>5B is taken to prevent a disposal of an unused emergency biological if:</w:t>
      </w:r>
    </w:p>
    <w:p w14:paraId="3D8EB8CF" w14:textId="77777777" w:rsidR="00641236" w:rsidRPr="005E3B43" w:rsidRDefault="00641236" w:rsidP="00763BCF">
      <w:pPr>
        <w:pStyle w:val="paragraph"/>
      </w:pPr>
      <w:r w:rsidRPr="005E3B43">
        <w:tab/>
        <w:t>(a)</w:t>
      </w:r>
      <w:r w:rsidRPr="005E3B43">
        <w:tab/>
        <w:t>the biological has become (whether in relation to an indication for which the biological could have been used under the exemption or in relation to a different indication):</w:t>
      </w:r>
    </w:p>
    <w:p w14:paraId="2754B1DF" w14:textId="55BB0C66" w:rsidR="00641236" w:rsidRPr="005E3B43" w:rsidRDefault="00641236" w:rsidP="00763BCF">
      <w:pPr>
        <w:pStyle w:val="paragraphsub"/>
      </w:pPr>
      <w:r w:rsidRPr="005E3B43">
        <w:tab/>
        <w:t>(i)</w:t>
      </w:r>
      <w:r w:rsidRPr="005E3B43">
        <w:tab/>
        <w:t xml:space="preserve">included in the Register under </w:t>
      </w:r>
      <w:r w:rsidR="00BB758E" w:rsidRPr="005E3B43">
        <w:t>Part 3</w:t>
      </w:r>
      <w:r w:rsidR="007C3215">
        <w:noBreakHyphen/>
      </w:r>
      <w:r w:rsidRPr="005E3B43">
        <w:t>2A of the Act; or</w:t>
      </w:r>
    </w:p>
    <w:p w14:paraId="77388C3A" w14:textId="77777777" w:rsidR="00641236" w:rsidRPr="005E3B43" w:rsidRDefault="00641236" w:rsidP="00763BCF">
      <w:pPr>
        <w:pStyle w:val="paragraphsub"/>
      </w:pPr>
      <w:r w:rsidRPr="005E3B43">
        <w:tab/>
        <w:t>(ii)</w:t>
      </w:r>
      <w:r w:rsidRPr="005E3B43">
        <w:tab/>
        <w:t xml:space="preserve">exempt under </w:t>
      </w:r>
      <w:r w:rsidR="00842CCD" w:rsidRPr="005E3B43">
        <w:t>subsection 3</w:t>
      </w:r>
      <w:r w:rsidRPr="005E3B43">
        <w:t>2CA(2) of the Act; or</w:t>
      </w:r>
    </w:p>
    <w:p w14:paraId="4F689391" w14:textId="77777777" w:rsidR="00641236" w:rsidRPr="005E3B43" w:rsidRDefault="00641236" w:rsidP="00763BCF">
      <w:pPr>
        <w:pStyle w:val="paragraphsub"/>
      </w:pPr>
      <w:r w:rsidRPr="005E3B43">
        <w:tab/>
        <w:t>(iii)</w:t>
      </w:r>
      <w:r w:rsidRPr="005E3B43">
        <w:tab/>
        <w:t>the subject of an approval or authority under section</w:t>
      </w:r>
      <w:r w:rsidR="004E6D00" w:rsidRPr="005E3B43">
        <w:t> </w:t>
      </w:r>
      <w:r w:rsidRPr="005E3B43">
        <w:t>32CK or 32CM of the Act; or</w:t>
      </w:r>
    </w:p>
    <w:p w14:paraId="79F1FD4F" w14:textId="77777777" w:rsidR="00641236" w:rsidRPr="005E3B43" w:rsidRDefault="00641236" w:rsidP="00763BCF">
      <w:pPr>
        <w:pStyle w:val="paragraphsub"/>
      </w:pPr>
      <w:r w:rsidRPr="005E3B43">
        <w:tab/>
        <w:t>(iv)</w:t>
      </w:r>
      <w:r w:rsidRPr="005E3B43">
        <w:tab/>
        <w:t>the subject of an approval under section</w:t>
      </w:r>
      <w:r w:rsidR="004E6D00" w:rsidRPr="005E3B43">
        <w:t> </w:t>
      </w:r>
      <w:r w:rsidRPr="005E3B43">
        <w:t>32CO of the Act; and</w:t>
      </w:r>
    </w:p>
    <w:p w14:paraId="538FC585" w14:textId="77777777" w:rsidR="00641236" w:rsidRPr="005E3B43" w:rsidRDefault="00641236" w:rsidP="00763BCF">
      <w:pPr>
        <w:pStyle w:val="paragraph"/>
      </w:pPr>
      <w:r w:rsidRPr="005E3B43">
        <w:tab/>
        <w:t>(b)</w:t>
      </w:r>
      <w:r w:rsidRPr="005E3B43">
        <w:tab/>
        <w:t>the disposal is in accordance with other provisions of the Act and these Regulations relevant to the biological.</w:t>
      </w:r>
    </w:p>
    <w:p w14:paraId="4D99690A" w14:textId="77777777" w:rsidR="00207B1C" w:rsidRPr="005E3B43" w:rsidRDefault="00207B1C" w:rsidP="00763BCF">
      <w:pPr>
        <w:pStyle w:val="ActHead5"/>
      </w:pPr>
      <w:bookmarkStart w:id="75" w:name="_Toc187135670"/>
      <w:r w:rsidRPr="005E3B43">
        <w:rPr>
          <w:rStyle w:val="CharSectno"/>
        </w:rPr>
        <w:lastRenderedPageBreak/>
        <w:t>12AA</w:t>
      </w:r>
      <w:r w:rsidR="00E20BA4" w:rsidRPr="005E3B43">
        <w:t xml:space="preserve">  </w:t>
      </w:r>
      <w:r w:rsidRPr="005E3B43">
        <w:t>Applications for special and experimental uses</w:t>
      </w:r>
      <w:bookmarkEnd w:id="75"/>
    </w:p>
    <w:p w14:paraId="115F89CA" w14:textId="087BC08B" w:rsidR="00641236" w:rsidRPr="005E3B43" w:rsidRDefault="00641236" w:rsidP="00763BCF">
      <w:pPr>
        <w:pStyle w:val="subsection"/>
      </w:pPr>
      <w:r w:rsidRPr="005E3B43">
        <w:tab/>
      </w:r>
      <w:r w:rsidRPr="005E3B43">
        <w:tab/>
        <w:t>Without limiting the information that may be required by the Secretary under sub</w:t>
      </w:r>
      <w:r w:rsidR="007C3215">
        <w:t>section 1</w:t>
      </w:r>
      <w:r w:rsidRPr="005E3B43">
        <w:t>9(2) or 32CK(3) or (4) of the Act, that information may include, for therapeutic goods the subject of an application under sub</w:t>
      </w:r>
      <w:r w:rsidR="007C3215">
        <w:t>section 1</w:t>
      </w:r>
      <w:r w:rsidRPr="005E3B43">
        <w:t>9(1) or 32CK(1) of the Act for a use described in paragraph</w:t>
      </w:r>
      <w:r w:rsidR="004E6D00" w:rsidRPr="005E3B43">
        <w:t> </w:t>
      </w:r>
      <w:r w:rsidRPr="005E3B43">
        <w:t>19(1)(b) or 32CK (1)(e) of the Act:</w:t>
      </w:r>
    </w:p>
    <w:p w14:paraId="1935C61A" w14:textId="77777777" w:rsidR="00207B1C" w:rsidRPr="005E3B43" w:rsidRDefault="00207B1C" w:rsidP="00763BCF">
      <w:pPr>
        <w:pStyle w:val="paragraph"/>
      </w:pPr>
      <w:r w:rsidRPr="005E3B43">
        <w:tab/>
        <w:t>(a)</w:t>
      </w:r>
      <w:r w:rsidRPr="005E3B43">
        <w:tab/>
        <w:t>the names of the members of the ethics committee that has given approval for each proposed clinical trial of the goods and that will have responsibility for monitoring the conduct of each trial; and</w:t>
      </w:r>
    </w:p>
    <w:p w14:paraId="3EFDA45E" w14:textId="77777777" w:rsidR="00207B1C" w:rsidRPr="005E3B43" w:rsidRDefault="00207B1C" w:rsidP="00763BCF">
      <w:pPr>
        <w:pStyle w:val="paragraph"/>
      </w:pPr>
      <w:r w:rsidRPr="005E3B43">
        <w:tab/>
        <w:t>(b)</w:t>
      </w:r>
      <w:r w:rsidRPr="005E3B43">
        <w:tab/>
        <w:t>the name of, and the contact details for, the principal investigator for each trial; and</w:t>
      </w:r>
    </w:p>
    <w:p w14:paraId="23978A95" w14:textId="77777777" w:rsidR="00207B1C" w:rsidRPr="005E3B43" w:rsidRDefault="00207B1C" w:rsidP="00763BCF">
      <w:pPr>
        <w:pStyle w:val="paragraph"/>
      </w:pPr>
      <w:r w:rsidRPr="005E3B43">
        <w:tab/>
        <w:t>(c)</w:t>
      </w:r>
      <w:r w:rsidRPr="005E3B43">
        <w:tab/>
        <w:t>the name of the person who will be in charge of the trial site (or each trial site, if the trial is to be conducted at more than 1 site), unless that person is the principal investigator; and</w:t>
      </w:r>
    </w:p>
    <w:p w14:paraId="07AC4735" w14:textId="77777777" w:rsidR="00207B1C" w:rsidRPr="005E3B43" w:rsidRDefault="00207B1C" w:rsidP="00763BCF">
      <w:pPr>
        <w:pStyle w:val="paragraph"/>
      </w:pPr>
      <w:r w:rsidRPr="005E3B43">
        <w:tab/>
        <w:t>(d)</w:t>
      </w:r>
      <w:r w:rsidRPr="005E3B43">
        <w:tab/>
        <w:t>information about whether or not any conditions specified by the committee have been met.</w:t>
      </w:r>
    </w:p>
    <w:p w14:paraId="77345DE5" w14:textId="77777777" w:rsidR="00207B1C" w:rsidRPr="005E3B43" w:rsidRDefault="00207B1C" w:rsidP="00763BCF">
      <w:pPr>
        <w:pStyle w:val="ActHead5"/>
      </w:pPr>
      <w:bookmarkStart w:id="76" w:name="_Toc187135671"/>
      <w:r w:rsidRPr="005E3B43">
        <w:rPr>
          <w:rStyle w:val="CharSectno"/>
        </w:rPr>
        <w:t>12AB</w:t>
      </w:r>
      <w:r w:rsidR="00E20BA4" w:rsidRPr="005E3B43">
        <w:t xml:space="preserve">  </w:t>
      </w:r>
      <w:r w:rsidRPr="005E3B43">
        <w:t>Goods imported etc for experimental uses</w:t>
      </w:r>
      <w:bookmarkEnd w:id="76"/>
    </w:p>
    <w:p w14:paraId="2F030963" w14:textId="77777777" w:rsidR="00207B1C" w:rsidRPr="005E3B43" w:rsidRDefault="00207B1C" w:rsidP="00763BCF">
      <w:pPr>
        <w:pStyle w:val="subsection"/>
      </w:pPr>
      <w:r w:rsidRPr="005E3B43">
        <w:tab/>
        <w:t>(1)</w:t>
      </w:r>
      <w:r w:rsidRPr="005E3B43">
        <w:tab/>
        <w:t xml:space="preserve">For </w:t>
      </w:r>
      <w:r w:rsidR="0061454F" w:rsidRPr="005E3B43">
        <w:t>subsections</w:t>
      </w:r>
      <w:r w:rsidR="004E6D00" w:rsidRPr="005E3B43">
        <w:t> </w:t>
      </w:r>
      <w:r w:rsidR="0061454F" w:rsidRPr="005E3B43">
        <w:t xml:space="preserve">19(1A) and 32CK(8) </w:t>
      </w:r>
      <w:r w:rsidRPr="005E3B43">
        <w:t>of the Act, this regulation specifies conditions attaching to an approval for the importation or supply of therapeutic goods for use solely for experimental purposes in humans.</w:t>
      </w:r>
    </w:p>
    <w:p w14:paraId="228BE3B9" w14:textId="77777777" w:rsidR="00207B1C" w:rsidRPr="005E3B43" w:rsidRDefault="00207B1C" w:rsidP="00763BCF">
      <w:pPr>
        <w:pStyle w:val="subsection"/>
      </w:pPr>
      <w:r w:rsidRPr="005E3B43">
        <w:tab/>
        <w:t>(2)</w:t>
      </w:r>
      <w:r w:rsidRPr="005E3B43">
        <w:tab/>
        <w:t xml:space="preserve">Before any clinical trials proposed to be undertaken in relation to the goods are started, the </w:t>
      </w:r>
      <w:r w:rsidR="00A57667" w:rsidRPr="005E3B43">
        <w:t>Secretary</w:t>
      </w:r>
      <w:r w:rsidRPr="005E3B43">
        <w:t>, must receive from the person to whom the approval is granted, and the principal investigator for each trial site:</w:t>
      </w:r>
    </w:p>
    <w:p w14:paraId="6BABF1FE" w14:textId="77777777" w:rsidR="00207B1C" w:rsidRPr="005E3B43" w:rsidRDefault="00207B1C" w:rsidP="00763BCF">
      <w:pPr>
        <w:pStyle w:val="paragraph"/>
      </w:pPr>
      <w:r w:rsidRPr="005E3B43">
        <w:tab/>
        <w:t>(a)</w:t>
      </w:r>
      <w:r w:rsidRPr="005E3B43">
        <w:tab/>
        <w:t xml:space="preserve">a written assurance that clinical trials will be conducted in accordance with </w:t>
      </w:r>
      <w:r w:rsidR="003B615A" w:rsidRPr="005E3B43">
        <w:t xml:space="preserve">the Guideline for Good Clinical Practice (the </w:t>
      </w:r>
      <w:r w:rsidR="003B615A" w:rsidRPr="005E3B43">
        <w:rPr>
          <w:b/>
          <w:i/>
        </w:rPr>
        <w:t>Practice Guideline</w:t>
      </w:r>
      <w:r w:rsidR="003B615A" w:rsidRPr="005E3B43">
        <w:t>)</w:t>
      </w:r>
      <w:r w:rsidRPr="005E3B43">
        <w:t xml:space="preserve">, as in force from time to time, </w:t>
      </w:r>
      <w:r w:rsidR="003B615A" w:rsidRPr="005E3B43">
        <w:t>published by the International Council for Harmonisation of Technical Requirements for Pharmaceuticals for Human Use</w:t>
      </w:r>
      <w:r w:rsidRPr="005E3B43">
        <w:t>; and</w:t>
      </w:r>
    </w:p>
    <w:p w14:paraId="3E6F898C" w14:textId="77777777" w:rsidR="00207B1C" w:rsidRPr="005E3B43" w:rsidRDefault="00207B1C" w:rsidP="00763BCF">
      <w:pPr>
        <w:pStyle w:val="paragraph"/>
      </w:pPr>
      <w:r w:rsidRPr="005E3B43">
        <w:tab/>
        <w:t>(b)</w:t>
      </w:r>
      <w:r w:rsidRPr="005E3B43">
        <w:tab/>
        <w:t>a written undertaking:</w:t>
      </w:r>
    </w:p>
    <w:p w14:paraId="57FC8577" w14:textId="77777777" w:rsidR="00207B1C" w:rsidRPr="005E3B43" w:rsidRDefault="00207B1C" w:rsidP="00763BCF">
      <w:pPr>
        <w:pStyle w:val="paragraphsub"/>
      </w:pPr>
      <w:r w:rsidRPr="005E3B43">
        <w:tab/>
        <w:t>(i)</w:t>
      </w:r>
      <w:r w:rsidRPr="005E3B43">
        <w:tab/>
        <w:t>to comply with requests by an authorised officer, whether made before or after the start of the trial, to give information about the conduct of the trial; and</w:t>
      </w:r>
    </w:p>
    <w:p w14:paraId="0D991C9F" w14:textId="77777777" w:rsidR="00207B1C" w:rsidRPr="005E3B43" w:rsidRDefault="00207B1C" w:rsidP="00763BCF">
      <w:pPr>
        <w:pStyle w:val="paragraphsub"/>
      </w:pPr>
      <w:r w:rsidRPr="005E3B43">
        <w:tab/>
        <w:t>(ii)</w:t>
      </w:r>
      <w:r w:rsidRPr="005E3B43">
        <w:tab/>
        <w:t>allow an authorised officer to do the things mentioned in regulation</w:t>
      </w:r>
      <w:r w:rsidR="004E6D00" w:rsidRPr="005E3B43">
        <w:t> </w:t>
      </w:r>
      <w:r w:rsidRPr="005E3B43">
        <w:t>12AC.</w:t>
      </w:r>
    </w:p>
    <w:p w14:paraId="45EBB2F0" w14:textId="77777777" w:rsidR="00207B1C" w:rsidRPr="005E3B43" w:rsidRDefault="00207B1C" w:rsidP="00763BCF">
      <w:pPr>
        <w:pStyle w:val="ActHead5"/>
      </w:pPr>
      <w:bookmarkStart w:id="77" w:name="_Toc187135672"/>
      <w:r w:rsidRPr="005E3B43">
        <w:rPr>
          <w:rStyle w:val="CharSectno"/>
        </w:rPr>
        <w:t>12AC</w:t>
      </w:r>
      <w:r w:rsidR="00E20BA4" w:rsidRPr="005E3B43">
        <w:t xml:space="preserve">  </w:t>
      </w:r>
      <w:r w:rsidRPr="005E3B43">
        <w:t>Powers of authorised officers in relation to goods imported etc for experimental uses</w:t>
      </w:r>
      <w:bookmarkEnd w:id="77"/>
    </w:p>
    <w:p w14:paraId="7E3C7D59" w14:textId="77777777" w:rsidR="00207B1C" w:rsidRPr="005E3B43" w:rsidRDefault="00207B1C" w:rsidP="00763BCF">
      <w:pPr>
        <w:pStyle w:val="subsection"/>
      </w:pPr>
      <w:r w:rsidRPr="005E3B43">
        <w:tab/>
        <w:t>(1)</w:t>
      </w:r>
      <w:r w:rsidRPr="005E3B43">
        <w:tab/>
        <w:t>An authorised officer may, in relation to a clinical trial mentioned in regulation</w:t>
      </w:r>
      <w:r w:rsidR="004E6D00" w:rsidRPr="005E3B43">
        <w:t> </w:t>
      </w:r>
      <w:r w:rsidRPr="005E3B43">
        <w:t>12AB</w:t>
      </w:r>
      <w:r w:rsidR="003B615A" w:rsidRPr="005E3B43">
        <w:t xml:space="preserve"> or </w:t>
      </w:r>
      <w:r w:rsidR="00E86107" w:rsidRPr="005E3B43">
        <w:t xml:space="preserve">column 2 of </w:t>
      </w:r>
      <w:r w:rsidR="006B5D8E" w:rsidRPr="005E3B43">
        <w:t>item 3</w:t>
      </w:r>
      <w:r w:rsidR="00E86107" w:rsidRPr="005E3B43">
        <w:t xml:space="preserve"> of the table in Schedule 5A</w:t>
      </w:r>
      <w:r w:rsidRPr="005E3B43">
        <w:t>:</w:t>
      </w:r>
    </w:p>
    <w:p w14:paraId="71A1A934" w14:textId="77777777" w:rsidR="00207B1C" w:rsidRPr="005E3B43" w:rsidRDefault="00207B1C" w:rsidP="00763BCF">
      <w:pPr>
        <w:pStyle w:val="paragraph"/>
      </w:pPr>
      <w:r w:rsidRPr="005E3B43">
        <w:tab/>
        <w:t>(a)</w:t>
      </w:r>
      <w:r w:rsidRPr="005E3B43">
        <w:tab/>
      </w:r>
      <w:r w:rsidR="00E86107" w:rsidRPr="005E3B43">
        <w:t>enter a</w:t>
      </w:r>
      <w:r w:rsidRPr="005E3B43">
        <w:t xml:space="preserve"> site of the trial; and</w:t>
      </w:r>
    </w:p>
    <w:p w14:paraId="61E5230E" w14:textId="77777777" w:rsidR="00207B1C" w:rsidRPr="005E3B43" w:rsidRDefault="00207B1C" w:rsidP="00763BCF">
      <w:pPr>
        <w:pStyle w:val="paragraph"/>
      </w:pPr>
      <w:r w:rsidRPr="005E3B43">
        <w:tab/>
        <w:t>(b)</w:t>
      </w:r>
      <w:r w:rsidRPr="005E3B43">
        <w:tab/>
        <w:t>search the site and any thing on the site; and</w:t>
      </w:r>
    </w:p>
    <w:p w14:paraId="2E7EB0F8" w14:textId="77777777" w:rsidR="00207B1C" w:rsidRPr="005E3B43" w:rsidRDefault="00207B1C" w:rsidP="00763BCF">
      <w:pPr>
        <w:pStyle w:val="paragraph"/>
      </w:pPr>
      <w:r w:rsidRPr="005E3B43">
        <w:tab/>
        <w:t>(c)</w:t>
      </w:r>
      <w:r w:rsidRPr="005E3B43">
        <w:tab/>
        <w:t>inspect, examine, take measurements of, or conduct tests on (including by the taking of samples), any thing on the site that relates to the trial; and</w:t>
      </w:r>
    </w:p>
    <w:p w14:paraId="4D57EE9D" w14:textId="77777777" w:rsidR="00207B1C" w:rsidRPr="005E3B43" w:rsidRDefault="00207B1C" w:rsidP="00763BCF">
      <w:pPr>
        <w:pStyle w:val="paragraph"/>
      </w:pPr>
      <w:r w:rsidRPr="005E3B43">
        <w:lastRenderedPageBreak/>
        <w:tab/>
        <w:t>(d)</w:t>
      </w:r>
      <w:r w:rsidRPr="005E3B43">
        <w:tab/>
        <w:t>take photographs, make video recordings or make sketches of the site or any thing on the site; and</w:t>
      </w:r>
    </w:p>
    <w:p w14:paraId="4169D2AE" w14:textId="77777777" w:rsidR="00207B1C" w:rsidRPr="005E3B43" w:rsidRDefault="00207B1C" w:rsidP="00763BCF">
      <w:pPr>
        <w:pStyle w:val="paragraph"/>
      </w:pPr>
      <w:r w:rsidRPr="005E3B43">
        <w:tab/>
        <w:t>(f)</w:t>
      </w:r>
      <w:r w:rsidRPr="005E3B43">
        <w:tab/>
        <w:t>request the principal investigator to:</w:t>
      </w:r>
    </w:p>
    <w:p w14:paraId="13C4284B" w14:textId="77777777" w:rsidR="00207B1C" w:rsidRPr="005E3B43" w:rsidRDefault="00207B1C" w:rsidP="00763BCF">
      <w:pPr>
        <w:pStyle w:val="paragraphsub"/>
      </w:pPr>
      <w:r w:rsidRPr="005E3B43">
        <w:tab/>
        <w:t>(i)</w:t>
      </w:r>
      <w:r w:rsidRPr="005E3B43">
        <w:tab/>
        <w:t>answer any questions put by the authorised officer; and</w:t>
      </w:r>
    </w:p>
    <w:p w14:paraId="674A78DF" w14:textId="77777777" w:rsidR="00207B1C" w:rsidRPr="005E3B43" w:rsidRDefault="00207B1C" w:rsidP="00763BCF">
      <w:pPr>
        <w:pStyle w:val="paragraphsub"/>
      </w:pPr>
      <w:r w:rsidRPr="005E3B43">
        <w:tab/>
        <w:t>(ii)</w:t>
      </w:r>
      <w:r w:rsidRPr="005E3B43">
        <w:tab/>
        <w:t>produce any book, record or document requested by the authorised officer.</w:t>
      </w:r>
    </w:p>
    <w:p w14:paraId="2F0BE29F" w14:textId="77777777" w:rsidR="005E08D7" w:rsidRPr="005E3B43" w:rsidRDefault="005E08D7" w:rsidP="005E08D7">
      <w:pPr>
        <w:pStyle w:val="notetext"/>
      </w:pPr>
      <w:r w:rsidRPr="005E3B43">
        <w:t>Note:</w:t>
      </w:r>
      <w:r w:rsidRPr="005E3B43">
        <w:tab/>
        <w:t>To avoid doubt, a reference to a thing in paragraph (b), (c) or (d) includes a reference to a book, record or document.</w:t>
      </w:r>
    </w:p>
    <w:p w14:paraId="7601BEE8" w14:textId="77777777" w:rsidR="00207B1C" w:rsidRPr="005E3B43" w:rsidRDefault="00207B1C" w:rsidP="00763BCF">
      <w:pPr>
        <w:pStyle w:val="subsection"/>
      </w:pPr>
      <w:r w:rsidRPr="005E3B43">
        <w:tab/>
        <w:t>(2)</w:t>
      </w:r>
      <w:r w:rsidRPr="005E3B43">
        <w:tab/>
        <w:t>An authorised officer is not entitled to do a thing mentioned in subregulation (1) if:</w:t>
      </w:r>
    </w:p>
    <w:p w14:paraId="3C05BF9F" w14:textId="77777777" w:rsidR="00207B1C" w:rsidRPr="005E3B43" w:rsidRDefault="00207B1C" w:rsidP="00763BCF">
      <w:pPr>
        <w:pStyle w:val="paragraph"/>
      </w:pPr>
      <w:r w:rsidRPr="005E3B43">
        <w:tab/>
        <w:t>(a)</w:t>
      </w:r>
      <w:r w:rsidRPr="005E3B43">
        <w:tab/>
        <w:t>the principal investigator, or any other person present at the site concerned and in apparent control, requests the authorised officer to produce his or her identity card for inspection; and</w:t>
      </w:r>
    </w:p>
    <w:p w14:paraId="4394FB9F" w14:textId="77777777" w:rsidR="00207B1C" w:rsidRPr="005E3B43" w:rsidRDefault="00207B1C" w:rsidP="00763BCF">
      <w:pPr>
        <w:pStyle w:val="paragraph"/>
      </w:pPr>
      <w:r w:rsidRPr="005E3B43">
        <w:tab/>
        <w:t>(b)</w:t>
      </w:r>
      <w:r w:rsidRPr="005E3B43">
        <w:tab/>
        <w:t>the authorised officer fails to comply with the request.</w:t>
      </w:r>
    </w:p>
    <w:p w14:paraId="4585D9D4" w14:textId="77777777" w:rsidR="00207B1C" w:rsidRPr="005E3B43" w:rsidRDefault="00E20BA4" w:rsidP="00763BCF">
      <w:pPr>
        <w:pStyle w:val="notetext"/>
      </w:pPr>
      <w:r w:rsidRPr="005E3B43">
        <w:t>Note:</w:t>
      </w:r>
      <w:r w:rsidRPr="005E3B43">
        <w:tab/>
      </w:r>
      <w:r w:rsidR="00207B1C" w:rsidRPr="005E3B43">
        <w:t xml:space="preserve">For identity cards, see </w:t>
      </w:r>
      <w:r w:rsidR="00B94815" w:rsidRPr="005E3B43">
        <w:t>regulation 46AA</w:t>
      </w:r>
      <w:r w:rsidR="00207B1C" w:rsidRPr="005E3B43">
        <w:t>.</w:t>
      </w:r>
    </w:p>
    <w:p w14:paraId="3B027667" w14:textId="77777777" w:rsidR="00207B1C" w:rsidRPr="005E3B43" w:rsidRDefault="00207B1C" w:rsidP="00763BCF">
      <w:pPr>
        <w:pStyle w:val="subsection"/>
      </w:pPr>
      <w:r w:rsidRPr="005E3B43">
        <w:tab/>
        <w:t>(3)</w:t>
      </w:r>
      <w:r w:rsidRPr="005E3B43">
        <w:tab/>
        <w:t xml:space="preserve">The principal investigator, or any other person present at the site and in apparent control, is entitled to observe a search conducted under </w:t>
      </w:r>
      <w:r w:rsidR="004E6D00" w:rsidRPr="005E3B43">
        <w:t>paragraph (</w:t>
      </w:r>
      <w:r w:rsidRPr="005E3B43">
        <w:t>1)(b), but must not impede the search.</w:t>
      </w:r>
    </w:p>
    <w:p w14:paraId="688525D5" w14:textId="77777777" w:rsidR="00207B1C" w:rsidRPr="005E3B43" w:rsidRDefault="00207B1C" w:rsidP="00763BCF">
      <w:pPr>
        <w:pStyle w:val="subsection"/>
      </w:pPr>
      <w:r w:rsidRPr="005E3B43">
        <w:tab/>
        <w:t>(4)</w:t>
      </w:r>
      <w:r w:rsidRPr="005E3B43">
        <w:tab/>
        <w:t>Subregulation (3) does not prevent 2 or more areas of the site being searched at the same time.</w:t>
      </w:r>
    </w:p>
    <w:p w14:paraId="5709431B" w14:textId="77777777" w:rsidR="00207B1C" w:rsidRPr="005E3B43" w:rsidRDefault="00207B1C" w:rsidP="00763BCF">
      <w:pPr>
        <w:pStyle w:val="ActHead5"/>
      </w:pPr>
      <w:bookmarkStart w:id="78" w:name="_Toc187135673"/>
      <w:r w:rsidRPr="005E3B43">
        <w:rPr>
          <w:rStyle w:val="CharSectno"/>
        </w:rPr>
        <w:t>12AD</w:t>
      </w:r>
      <w:r w:rsidR="00E20BA4" w:rsidRPr="005E3B43">
        <w:t xml:space="preserve">  </w:t>
      </w:r>
      <w:r w:rsidRPr="005E3B43">
        <w:t>Use of goods for experimental purposes</w:t>
      </w:r>
      <w:r w:rsidR="00E20BA4" w:rsidRPr="005E3B43">
        <w:t>—</w:t>
      </w:r>
      <w:r w:rsidRPr="005E3B43">
        <w:t>specified conditions</w:t>
      </w:r>
      <w:bookmarkEnd w:id="78"/>
    </w:p>
    <w:p w14:paraId="19603DC6" w14:textId="77777777" w:rsidR="00207B1C" w:rsidRPr="005E3B43" w:rsidRDefault="00207B1C" w:rsidP="00763BCF">
      <w:pPr>
        <w:pStyle w:val="subsection"/>
      </w:pPr>
      <w:r w:rsidRPr="005E3B43">
        <w:tab/>
      </w:r>
      <w:r w:rsidRPr="005E3B43">
        <w:tab/>
        <w:t xml:space="preserve">For </w:t>
      </w:r>
      <w:r w:rsidR="0061454F" w:rsidRPr="005E3B43">
        <w:t>subsections</w:t>
      </w:r>
      <w:r w:rsidR="004E6D00" w:rsidRPr="005E3B43">
        <w:t> </w:t>
      </w:r>
      <w:r w:rsidR="0061454F" w:rsidRPr="005E3B43">
        <w:t xml:space="preserve">19(4A) and 32CL(1) </w:t>
      </w:r>
      <w:r w:rsidRPr="005E3B43">
        <w:t>of the Act, the following conditions are specified:</w:t>
      </w:r>
    </w:p>
    <w:p w14:paraId="1C2E9C0A" w14:textId="77777777" w:rsidR="00207B1C" w:rsidRPr="005E3B43" w:rsidRDefault="00207B1C" w:rsidP="00763BCF">
      <w:pPr>
        <w:pStyle w:val="paragraph"/>
      </w:pPr>
      <w:r w:rsidRPr="005E3B43">
        <w:tab/>
        <w:t>(a)</w:t>
      </w:r>
      <w:r w:rsidRPr="005E3B43">
        <w:tab/>
        <w:t xml:space="preserve">the use of therapeutic goods in a clinical trial must be in accordance with the </w:t>
      </w:r>
      <w:r w:rsidR="003B615A" w:rsidRPr="005E3B43">
        <w:t>Practice Guideline</w:t>
      </w:r>
      <w:r w:rsidRPr="005E3B43">
        <w:t>;</w:t>
      </w:r>
    </w:p>
    <w:p w14:paraId="4324ED92" w14:textId="77777777" w:rsidR="00207B1C" w:rsidRPr="005E3B43" w:rsidRDefault="00207B1C" w:rsidP="00763BCF">
      <w:pPr>
        <w:pStyle w:val="paragraph"/>
      </w:pPr>
      <w:r w:rsidRPr="005E3B43">
        <w:tab/>
        <w:t>(b)</w:t>
      </w:r>
      <w:r w:rsidRPr="005E3B43">
        <w:tab/>
        <w:t>the use must comply with a procedural protocol approved by the ethics committee that has the function of monitoring the conduct of the trial at each trial site;</w:t>
      </w:r>
    </w:p>
    <w:p w14:paraId="7ABACDE1" w14:textId="77777777" w:rsidR="00207B1C" w:rsidRPr="005E3B43" w:rsidRDefault="00207B1C" w:rsidP="00763BCF">
      <w:pPr>
        <w:pStyle w:val="paragraph"/>
      </w:pPr>
      <w:r w:rsidRPr="005E3B43">
        <w:tab/>
        <w:t>(c)</w:t>
      </w:r>
      <w:r w:rsidRPr="005E3B43">
        <w:tab/>
        <w:t>the use must be in accordance with the ethical standards set out in the National Statement on Ethical Conduct in Research Involving Humans, as in force from time to time, published by the National Health and Medical Research Council;</w:t>
      </w:r>
    </w:p>
    <w:p w14:paraId="6B793AC1" w14:textId="77777777" w:rsidR="00207B1C" w:rsidRPr="005E3B43" w:rsidRDefault="00207B1C" w:rsidP="00763BCF">
      <w:pPr>
        <w:pStyle w:val="paragraph"/>
      </w:pPr>
      <w:r w:rsidRPr="005E3B43">
        <w:tab/>
        <w:t>(d)</w:t>
      </w:r>
      <w:r w:rsidRPr="005E3B43">
        <w:tab/>
        <w:t xml:space="preserve">the use must cease if the ethics committee mentioned in </w:t>
      </w:r>
      <w:r w:rsidR="004E6D00" w:rsidRPr="005E3B43">
        <w:t>paragraph (</w:t>
      </w:r>
      <w:r w:rsidRPr="005E3B43">
        <w:t>b) informs the principal investigator that the use is inconsistent with:</w:t>
      </w:r>
    </w:p>
    <w:p w14:paraId="24CFEE6F" w14:textId="77777777" w:rsidR="00207B1C" w:rsidRPr="005E3B43" w:rsidRDefault="00207B1C" w:rsidP="00763BCF">
      <w:pPr>
        <w:pStyle w:val="paragraphsub"/>
      </w:pPr>
      <w:r w:rsidRPr="005E3B43">
        <w:tab/>
        <w:t>(i)</w:t>
      </w:r>
      <w:r w:rsidRPr="005E3B43">
        <w:tab/>
        <w:t xml:space="preserve">the protocol mentioned in </w:t>
      </w:r>
      <w:r w:rsidR="004E6D00" w:rsidRPr="005E3B43">
        <w:t>paragraph (</w:t>
      </w:r>
      <w:r w:rsidRPr="005E3B43">
        <w:t>b); or</w:t>
      </w:r>
    </w:p>
    <w:p w14:paraId="57FAD697" w14:textId="77777777" w:rsidR="00207B1C" w:rsidRPr="005E3B43" w:rsidRDefault="00207B1C" w:rsidP="00763BCF">
      <w:pPr>
        <w:pStyle w:val="paragraphsub"/>
      </w:pPr>
      <w:r w:rsidRPr="005E3B43">
        <w:tab/>
        <w:t>(ii)</w:t>
      </w:r>
      <w:r w:rsidRPr="005E3B43">
        <w:tab/>
        <w:t>any condition subject to which approval for the use was given.</w:t>
      </w:r>
    </w:p>
    <w:p w14:paraId="4D073685" w14:textId="77777777" w:rsidR="00102755" w:rsidRPr="005E3B43" w:rsidRDefault="00102755" w:rsidP="00763BCF">
      <w:pPr>
        <w:pStyle w:val="ActHead5"/>
      </w:pPr>
      <w:bookmarkStart w:id="79" w:name="_Toc187135674"/>
      <w:r w:rsidRPr="005E3B43">
        <w:rPr>
          <w:rStyle w:val="CharSectno"/>
        </w:rPr>
        <w:t>12B</w:t>
      </w:r>
      <w:r w:rsidRPr="005E3B43">
        <w:t xml:space="preserve">  Exemptions for certain uses—medicines</w:t>
      </w:r>
      <w:bookmarkEnd w:id="79"/>
    </w:p>
    <w:p w14:paraId="28C37A17" w14:textId="77777777" w:rsidR="00207B1C" w:rsidRPr="005E3B43" w:rsidRDefault="00207B1C" w:rsidP="00763BCF">
      <w:pPr>
        <w:pStyle w:val="subsection"/>
      </w:pPr>
      <w:r w:rsidRPr="005E3B43">
        <w:tab/>
        <w:t>(1)</w:t>
      </w:r>
      <w:r w:rsidRPr="005E3B43">
        <w:tab/>
        <w:t>For the purposes of paragraph</w:t>
      </w:r>
      <w:r w:rsidR="004E6D00" w:rsidRPr="005E3B43">
        <w:t> </w:t>
      </w:r>
      <w:r w:rsidRPr="005E3B43">
        <w:t>19(6)(a) of the Act, in relation to medicines, medical practitioners engaged in clinical practice in or outside a hospital are a prescribed class of medical practitioners.</w:t>
      </w:r>
    </w:p>
    <w:p w14:paraId="6E2F7BCD" w14:textId="373702EA" w:rsidR="00207B1C" w:rsidRPr="005E3B43" w:rsidRDefault="00207B1C" w:rsidP="00763BCF">
      <w:pPr>
        <w:pStyle w:val="subsection"/>
      </w:pPr>
      <w:r w:rsidRPr="005E3B43">
        <w:lastRenderedPageBreak/>
        <w:tab/>
        <w:t>(1A)</w:t>
      </w:r>
      <w:r w:rsidRPr="005E3B43">
        <w:tab/>
        <w:t>For the purposes of sub</w:t>
      </w:r>
      <w:r w:rsidR="007C3215">
        <w:t>section 1</w:t>
      </w:r>
      <w:r w:rsidRPr="005E3B43">
        <w:t>9(6) of the Act, in relation to medicines, paragraph</w:t>
      </w:r>
      <w:r w:rsidR="004E6D00" w:rsidRPr="005E3B43">
        <w:t> </w:t>
      </w:r>
      <w:r w:rsidRPr="005E3B43">
        <w:t>19(6)(aa) does not apply to a medical practitioner engaged in clinical practice outside a hospital if the medical practitioner:</w:t>
      </w:r>
    </w:p>
    <w:p w14:paraId="2EAD5133" w14:textId="77777777" w:rsidR="00207B1C" w:rsidRPr="005E3B43" w:rsidRDefault="00207B1C" w:rsidP="00763BCF">
      <w:pPr>
        <w:pStyle w:val="paragraph"/>
      </w:pPr>
      <w:r w:rsidRPr="005E3B43">
        <w:tab/>
        <w:t>(a)</w:t>
      </w:r>
      <w:r w:rsidRPr="005E3B43">
        <w:tab/>
        <w:t>has demonstrated that, in relation to the proposed supply of the medicines, the medical practitioner does not have access to an ethics committee that could approve the supply; and</w:t>
      </w:r>
    </w:p>
    <w:p w14:paraId="4A10D064" w14:textId="77777777" w:rsidR="00207B1C" w:rsidRPr="005E3B43" w:rsidRDefault="00207B1C" w:rsidP="00763BCF">
      <w:pPr>
        <w:pStyle w:val="paragraph"/>
      </w:pPr>
      <w:r w:rsidRPr="005E3B43">
        <w:tab/>
        <w:t>(b)</w:t>
      </w:r>
      <w:r w:rsidRPr="005E3B43">
        <w:tab/>
        <w:t>has received an endorsement, from a specialist college with established expertise relevant to the use of the medicines, to supply the medicines.</w:t>
      </w:r>
    </w:p>
    <w:p w14:paraId="02177562" w14:textId="0A1EEB7C" w:rsidR="004F6606" w:rsidRPr="005E3B43" w:rsidRDefault="004F6606" w:rsidP="00763BCF">
      <w:pPr>
        <w:pStyle w:val="subsection"/>
      </w:pPr>
      <w:r w:rsidRPr="005E3B43">
        <w:tab/>
        <w:t>(1B)</w:t>
      </w:r>
      <w:r w:rsidRPr="005E3B43">
        <w:tab/>
        <w:t>For the purposes of sub</w:t>
      </w:r>
      <w:r w:rsidR="007C3215">
        <w:t>section 1</w:t>
      </w:r>
      <w:r w:rsidRPr="005E3B43">
        <w:t>9(6) of the Act, paragraph 19(6)(aa) of the Act does not apply if the supply is of a medicine by the medical practitioner to a patient of that practitioner, where:</w:t>
      </w:r>
    </w:p>
    <w:p w14:paraId="58FED70A" w14:textId="77777777" w:rsidR="004F6606" w:rsidRPr="005E3B43" w:rsidRDefault="004F6606" w:rsidP="00763BCF">
      <w:pPr>
        <w:pStyle w:val="paragraph"/>
      </w:pPr>
      <w:r w:rsidRPr="005E3B43">
        <w:tab/>
        <w:t>(a)</w:t>
      </w:r>
      <w:r w:rsidRPr="005E3B43">
        <w:tab/>
        <w:t>the medicine contains an active ingredient specified in column 2 of an item in the following table and does not contain any other active ingredient; and</w:t>
      </w:r>
    </w:p>
    <w:p w14:paraId="438C7B71" w14:textId="77777777" w:rsidR="004F6606" w:rsidRPr="005E3B43" w:rsidRDefault="004F6606" w:rsidP="00763BCF">
      <w:pPr>
        <w:pStyle w:val="paragraph"/>
      </w:pPr>
      <w:r w:rsidRPr="005E3B43">
        <w:tab/>
        <w:t>(b)</w:t>
      </w:r>
      <w:r w:rsidRPr="005E3B43">
        <w:tab/>
        <w:t>the medicine only contains the active ingredient in the strength and concentration (if any) specified in column 2 of that item; and</w:t>
      </w:r>
    </w:p>
    <w:p w14:paraId="7F68829A" w14:textId="77777777" w:rsidR="004F6606" w:rsidRPr="005E3B43" w:rsidRDefault="004F6606" w:rsidP="00763BCF">
      <w:pPr>
        <w:pStyle w:val="paragraph"/>
      </w:pPr>
      <w:r w:rsidRPr="005E3B43">
        <w:tab/>
        <w:t>(c)</w:t>
      </w:r>
      <w:r w:rsidRPr="005E3B43">
        <w:tab/>
        <w:t>the medicine is in the dosage form specified in column 3 of that item; and</w:t>
      </w:r>
    </w:p>
    <w:p w14:paraId="67674501" w14:textId="77777777" w:rsidR="004F6606" w:rsidRPr="005E3B43" w:rsidRDefault="004F6606" w:rsidP="00763BCF">
      <w:pPr>
        <w:pStyle w:val="paragraph"/>
      </w:pPr>
      <w:r w:rsidRPr="005E3B43">
        <w:tab/>
        <w:t>(d)</w:t>
      </w:r>
      <w:r w:rsidRPr="005E3B43">
        <w:tab/>
        <w:t>the medicine is to be administered by the route specified in column 4 of that item; and</w:t>
      </w:r>
    </w:p>
    <w:p w14:paraId="7FCF2953" w14:textId="77777777" w:rsidR="004F6606" w:rsidRPr="005E3B43" w:rsidRDefault="004F6606" w:rsidP="00763BCF">
      <w:pPr>
        <w:pStyle w:val="paragraph"/>
      </w:pPr>
      <w:r w:rsidRPr="005E3B43">
        <w:tab/>
        <w:t>(e)</w:t>
      </w:r>
      <w:r w:rsidRPr="005E3B43">
        <w:tab/>
        <w:t>the supply is for the indication specified in column 5 of that item.</w:t>
      </w:r>
    </w:p>
    <w:p w14:paraId="49715FEB" w14:textId="77777777" w:rsidR="004F6606" w:rsidRPr="005E3B43" w:rsidRDefault="004F6606" w:rsidP="00763BCF">
      <w:pPr>
        <w:pStyle w:val="Tabletext"/>
      </w:pPr>
    </w:p>
    <w:tbl>
      <w:tblPr>
        <w:tblW w:w="500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01"/>
        <w:gridCol w:w="2125"/>
        <w:gridCol w:w="1283"/>
        <w:gridCol w:w="1552"/>
        <w:gridCol w:w="2468"/>
      </w:tblGrid>
      <w:tr w:rsidR="004F6606" w:rsidRPr="005E3B43" w14:paraId="5E8212E8" w14:textId="77777777" w:rsidTr="004F6606">
        <w:trPr>
          <w:trHeight w:val="57"/>
          <w:tblHeader/>
        </w:trPr>
        <w:tc>
          <w:tcPr>
            <w:tcW w:w="5000" w:type="pct"/>
            <w:gridSpan w:val="5"/>
            <w:tcBorders>
              <w:top w:val="single" w:sz="12" w:space="0" w:color="auto"/>
              <w:bottom w:val="nil"/>
            </w:tcBorders>
          </w:tcPr>
          <w:p w14:paraId="1D79A37F" w14:textId="77777777" w:rsidR="004F6606" w:rsidRPr="005E3B43" w:rsidRDefault="004F6606" w:rsidP="00763BCF">
            <w:pPr>
              <w:pStyle w:val="TableHeading"/>
            </w:pPr>
            <w:r w:rsidRPr="005E3B43">
              <w:t>Specified therapeutic goods</w:t>
            </w:r>
          </w:p>
        </w:tc>
      </w:tr>
      <w:tr w:rsidR="004F6606" w:rsidRPr="005E3B43" w14:paraId="5B23CC26" w14:textId="77777777" w:rsidTr="004F6606">
        <w:trPr>
          <w:trHeight w:val="57"/>
          <w:tblHeader/>
        </w:trPr>
        <w:tc>
          <w:tcPr>
            <w:tcW w:w="645" w:type="pct"/>
            <w:tcBorders>
              <w:top w:val="nil"/>
              <w:bottom w:val="single" w:sz="2" w:space="0" w:color="auto"/>
            </w:tcBorders>
          </w:tcPr>
          <w:p w14:paraId="3F1C2AF8" w14:textId="77777777" w:rsidR="004F6606" w:rsidRPr="005E3B43" w:rsidRDefault="004F6606" w:rsidP="00763BCF">
            <w:pPr>
              <w:pStyle w:val="TableHeading"/>
            </w:pPr>
            <w:r w:rsidRPr="005E3B43">
              <w:t>Column 1</w:t>
            </w:r>
          </w:p>
        </w:tc>
        <w:tc>
          <w:tcPr>
            <w:tcW w:w="1246" w:type="pct"/>
            <w:tcBorders>
              <w:top w:val="nil"/>
              <w:bottom w:val="single" w:sz="2" w:space="0" w:color="auto"/>
            </w:tcBorders>
            <w:shd w:val="clear" w:color="auto" w:fill="auto"/>
          </w:tcPr>
          <w:p w14:paraId="36A93A05" w14:textId="77777777" w:rsidR="004F6606" w:rsidRPr="005E3B43" w:rsidRDefault="004F6606" w:rsidP="00763BCF">
            <w:pPr>
              <w:pStyle w:val="TableHeading"/>
            </w:pPr>
            <w:r w:rsidRPr="005E3B43">
              <w:t>Column 2</w:t>
            </w:r>
          </w:p>
        </w:tc>
        <w:tc>
          <w:tcPr>
            <w:tcW w:w="752" w:type="pct"/>
            <w:tcBorders>
              <w:top w:val="nil"/>
              <w:bottom w:val="single" w:sz="2" w:space="0" w:color="auto"/>
            </w:tcBorders>
            <w:shd w:val="clear" w:color="auto" w:fill="auto"/>
          </w:tcPr>
          <w:p w14:paraId="1523A810" w14:textId="77777777" w:rsidR="004F6606" w:rsidRPr="005E3B43" w:rsidRDefault="004F6606" w:rsidP="00763BCF">
            <w:pPr>
              <w:pStyle w:val="TableHeading"/>
            </w:pPr>
            <w:r w:rsidRPr="005E3B43">
              <w:t>Column 3</w:t>
            </w:r>
          </w:p>
        </w:tc>
        <w:tc>
          <w:tcPr>
            <w:tcW w:w="910" w:type="pct"/>
            <w:tcBorders>
              <w:top w:val="nil"/>
              <w:bottom w:val="single" w:sz="2" w:space="0" w:color="auto"/>
            </w:tcBorders>
            <w:shd w:val="clear" w:color="auto" w:fill="auto"/>
          </w:tcPr>
          <w:p w14:paraId="13F323EA" w14:textId="77777777" w:rsidR="004F6606" w:rsidRPr="005E3B43" w:rsidRDefault="004F6606" w:rsidP="00763BCF">
            <w:pPr>
              <w:pStyle w:val="TableHeading"/>
            </w:pPr>
            <w:r w:rsidRPr="005E3B43">
              <w:t>Column 4</w:t>
            </w:r>
          </w:p>
        </w:tc>
        <w:tc>
          <w:tcPr>
            <w:tcW w:w="1447" w:type="pct"/>
            <w:tcBorders>
              <w:top w:val="nil"/>
              <w:bottom w:val="single" w:sz="2" w:space="0" w:color="auto"/>
            </w:tcBorders>
            <w:shd w:val="clear" w:color="auto" w:fill="auto"/>
          </w:tcPr>
          <w:p w14:paraId="71B58107" w14:textId="77777777" w:rsidR="004F6606" w:rsidRPr="005E3B43" w:rsidRDefault="004F6606" w:rsidP="00763BCF">
            <w:pPr>
              <w:pStyle w:val="TableHeading"/>
            </w:pPr>
            <w:r w:rsidRPr="005E3B43">
              <w:t>Column 5</w:t>
            </w:r>
          </w:p>
        </w:tc>
      </w:tr>
      <w:tr w:rsidR="004F6606" w:rsidRPr="005E3B43" w14:paraId="7B768EE2" w14:textId="77777777" w:rsidTr="004F6606">
        <w:trPr>
          <w:trHeight w:val="57"/>
          <w:tblHeader/>
        </w:trPr>
        <w:tc>
          <w:tcPr>
            <w:tcW w:w="645" w:type="pct"/>
            <w:tcBorders>
              <w:top w:val="single" w:sz="2" w:space="0" w:color="auto"/>
              <w:bottom w:val="single" w:sz="12" w:space="0" w:color="auto"/>
            </w:tcBorders>
          </w:tcPr>
          <w:p w14:paraId="075BA925" w14:textId="77777777" w:rsidR="004F6606" w:rsidRPr="005E3B43" w:rsidRDefault="004F6606" w:rsidP="00763BCF">
            <w:pPr>
              <w:pStyle w:val="TableHeading"/>
            </w:pPr>
            <w:r w:rsidRPr="005E3B43">
              <w:t>Item</w:t>
            </w:r>
          </w:p>
        </w:tc>
        <w:tc>
          <w:tcPr>
            <w:tcW w:w="1246" w:type="pct"/>
            <w:tcBorders>
              <w:top w:val="single" w:sz="2" w:space="0" w:color="auto"/>
              <w:bottom w:val="single" w:sz="12" w:space="0" w:color="auto"/>
            </w:tcBorders>
            <w:shd w:val="clear" w:color="auto" w:fill="auto"/>
          </w:tcPr>
          <w:p w14:paraId="6274B406" w14:textId="77777777" w:rsidR="004F6606" w:rsidRPr="005E3B43" w:rsidRDefault="004F6606" w:rsidP="00763BCF">
            <w:pPr>
              <w:pStyle w:val="TableHeading"/>
            </w:pPr>
            <w:r w:rsidRPr="005E3B43">
              <w:t>Active ingredient</w:t>
            </w:r>
          </w:p>
        </w:tc>
        <w:tc>
          <w:tcPr>
            <w:tcW w:w="752" w:type="pct"/>
            <w:tcBorders>
              <w:top w:val="single" w:sz="2" w:space="0" w:color="auto"/>
              <w:bottom w:val="single" w:sz="12" w:space="0" w:color="auto"/>
            </w:tcBorders>
            <w:shd w:val="clear" w:color="auto" w:fill="auto"/>
          </w:tcPr>
          <w:p w14:paraId="322B443D" w14:textId="77777777" w:rsidR="004F6606" w:rsidRPr="005E3B43" w:rsidRDefault="004F6606" w:rsidP="00763BCF">
            <w:pPr>
              <w:pStyle w:val="TableHeading"/>
            </w:pPr>
            <w:r w:rsidRPr="005E3B43">
              <w:t>Dosage form</w:t>
            </w:r>
          </w:p>
        </w:tc>
        <w:tc>
          <w:tcPr>
            <w:tcW w:w="910" w:type="pct"/>
            <w:tcBorders>
              <w:top w:val="single" w:sz="2" w:space="0" w:color="auto"/>
              <w:bottom w:val="single" w:sz="12" w:space="0" w:color="auto"/>
            </w:tcBorders>
            <w:shd w:val="clear" w:color="auto" w:fill="auto"/>
          </w:tcPr>
          <w:p w14:paraId="40E5ADE1" w14:textId="77777777" w:rsidR="004F6606" w:rsidRPr="005E3B43" w:rsidRDefault="004F6606" w:rsidP="00763BCF">
            <w:pPr>
              <w:pStyle w:val="TableHeading"/>
            </w:pPr>
            <w:r w:rsidRPr="005E3B43">
              <w:t>Route of administration</w:t>
            </w:r>
          </w:p>
        </w:tc>
        <w:tc>
          <w:tcPr>
            <w:tcW w:w="1447" w:type="pct"/>
            <w:tcBorders>
              <w:top w:val="single" w:sz="2" w:space="0" w:color="auto"/>
              <w:bottom w:val="single" w:sz="12" w:space="0" w:color="auto"/>
            </w:tcBorders>
            <w:shd w:val="clear" w:color="auto" w:fill="auto"/>
          </w:tcPr>
          <w:p w14:paraId="464C62C9" w14:textId="77777777" w:rsidR="004F6606" w:rsidRPr="005E3B43" w:rsidRDefault="004F6606" w:rsidP="00763BCF">
            <w:pPr>
              <w:pStyle w:val="TableHeading"/>
            </w:pPr>
            <w:r w:rsidRPr="005E3B43">
              <w:t>Indication</w:t>
            </w:r>
          </w:p>
        </w:tc>
      </w:tr>
      <w:tr w:rsidR="004F6606" w:rsidRPr="005E3B43" w14:paraId="395B2EEA" w14:textId="77777777" w:rsidTr="004F6606">
        <w:trPr>
          <w:trHeight w:val="20"/>
        </w:trPr>
        <w:tc>
          <w:tcPr>
            <w:tcW w:w="645" w:type="pct"/>
            <w:tcBorders>
              <w:top w:val="single" w:sz="2" w:space="0" w:color="auto"/>
              <w:bottom w:val="single" w:sz="2" w:space="0" w:color="auto"/>
            </w:tcBorders>
          </w:tcPr>
          <w:p w14:paraId="0E547A74" w14:textId="77777777" w:rsidR="004F6606" w:rsidRPr="005E3B43" w:rsidRDefault="004F6606" w:rsidP="00763BCF">
            <w:pPr>
              <w:pStyle w:val="Tabletext"/>
            </w:pPr>
            <w:r w:rsidRPr="005E3B43">
              <w:t>2</w:t>
            </w:r>
          </w:p>
        </w:tc>
        <w:tc>
          <w:tcPr>
            <w:tcW w:w="1246" w:type="pct"/>
            <w:tcBorders>
              <w:top w:val="single" w:sz="2" w:space="0" w:color="auto"/>
              <w:bottom w:val="single" w:sz="2" w:space="0" w:color="auto"/>
            </w:tcBorders>
            <w:shd w:val="clear" w:color="auto" w:fill="auto"/>
          </w:tcPr>
          <w:p w14:paraId="59EA5B7A" w14:textId="77777777" w:rsidR="004F6606" w:rsidRPr="005E3B43" w:rsidRDefault="004F6606" w:rsidP="00763BCF">
            <w:pPr>
              <w:pStyle w:val="Tabletext"/>
            </w:pPr>
            <w:r w:rsidRPr="005E3B43">
              <w:t>allergens—multiple, various (including control solutions)</w:t>
            </w:r>
          </w:p>
        </w:tc>
        <w:tc>
          <w:tcPr>
            <w:tcW w:w="752" w:type="pct"/>
            <w:tcBorders>
              <w:top w:val="single" w:sz="2" w:space="0" w:color="auto"/>
              <w:bottom w:val="single" w:sz="2" w:space="0" w:color="auto"/>
            </w:tcBorders>
            <w:shd w:val="clear" w:color="auto" w:fill="auto"/>
          </w:tcPr>
          <w:p w14:paraId="0EC43F06" w14:textId="77777777" w:rsidR="004F6606" w:rsidRPr="005E3B43" w:rsidRDefault="004F6606" w:rsidP="00763BCF">
            <w:pPr>
              <w:pStyle w:val="Tabletext"/>
            </w:pPr>
            <w:r w:rsidRPr="005E3B43">
              <w:t>drops</w:t>
            </w:r>
          </w:p>
        </w:tc>
        <w:tc>
          <w:tcPr>
            <w:tcW w:w="910" w:type="pct"/>
            <w:tcBorders>
              <w:top w:val="single" w:sz="2" w:space="0" w:color="auto"/>
              <w:bottom w:val="single" w:sz="2" w:space="0" w:color="auto"/>
            </w:tcBorders>
            <w:shd w:val="clear" w:color="auto" w:fill="auto"/>
          </w:tcPr>
          <w:p w14:paraId="19B28BA5" w14:textId="77777777" w:rsidR="004F6606" w:rsidRPr="005E3B43" w:rsidRDefault="004F6606" w:rsidP="00763BCF">
            <w:pPr>
              <w:pStyle w:val="Tabletext"/>
            </w:pPr>
            <w:r w:rsidRPr="005E3B43">
              <w:t>intradermal</w:t>
            </w:r>
          </w:p>
        </w:tc>
        <w:tc>
          <w:tcPr>
            <w:tcW w:w="1447" w:type="pct"/>
            <w:tcBorders>
              <w:top w:val="single" w:sz="2" w:space="0" w:color="auto"/>
              <w:bottom w:val="single" w:sz="2" w:space="0" w:color="auto"/>
            </w:tcBorders>
            <w:shd w:val="clear" w:color="auto" w:fill="auto"/>
          </w:tcPr>
          <w:p w14:paraId="71A3F0D6" w14:textId="77777777" w:rsidR="004F6606" w:rsidRPr="005E3B43" w:rsidRDefault="004F6606" w:rsidP="00763BCF">
            <w:pPr>
              <w:pStyle w:val="Tabletext"/>
            </w:pPr>
            <w:r w:rsidRPr="005E3B43">
              <w:t>confirmation of suspected allergic reactions</w:t>
            </w:r>
          </w:p>
        </w:tc>
      </w:tr>
      <w:tr w:rsidR="004F6606" w:rsidRPr="005E3B43" w14:paraId="2FDAB48E" w14:textId="77777777" w:rsidTr="004C6B2B">
        <w:trPr>
          <w:cantSplit/>
          <w:trHeight w:val="20"/>
        </w:trPr>
        <w:tc>
          <w:tcPr>
            <w:tcW w:w="645" w:type="pct"/>
            <w:tcBorders>
              <w:top w:val="single" w:sz="2" w:space="0" w:color="auto"/>
              <w:bottom w:val="single" w:sz="2" w:space="0" w:color="auto"/>
            </w:tcBorders>
          </w:tcPr>
          <w:p w14:paraId="7A239382" w14:textId="77777777" w:rsidR="004F6606" w:rsidRPr="005E3B43" w:rsidRDefault="004F6606" w:rsidP="00763BCF">
            <w:pPr>
              <w:pStyle w:val="Tabletext"/>
            </w:pPr>
            <w:r w:rsidRPr="005E3B43">
              <w:t>3</w:t>
            </w:r>
          </w:p>
        </w:tc>
        <w:tc>
          <w:tcPr>
            <w:tcW w:w="1246" w:type="pct"/>
            <w:tcBorders>
              <w:top w:val="single" w:sz="2" w:space="0" w:color="auto"/>
              <w:bottom w:val="single" w:sz="2" w:space="0" w:color="auto"/>
            </w:tcBorders>
            <w:shd w:val="clear" w:color="auto" w:fill="auto"/>
          </w:tcPr>
          <w:p w14:paraId="41DECD86" w14:textId="77777777" w:rsidR="004F6606" w:rsidRPr="005E3B43" w:rsidRDefault="004F6606" w:rsidP="00763BCF">
            <w:pPr>
              <w:pStyle w:val="Tabletext"/>
            </w:pPr>
            <w:r w:rsidRPr="005E3B43">
              <w:t>allergens – multiple, various (including control solutions)</w:t>
            </w:r>
          </w:p>
        </w:tc>
        <w:tc>
          <w:tcPr>
            <w:tcW w:w="752" w:type="pct"/>
            <w:tcBorders>
              <w:top w:val="single" w:sz="2" w:space="0" w:color="auto"/>
              <w:bottom w:val="single" w:sz="2" w:space="0" w:color="auto"/>
            </w:tcBorders>
            <w:shd w:val="clear" w:color="auto" w:fill="auto"/>
          </w:tcPr>
          <w:p w14:paraId="1B7F6BB8" w14:textId="77777777" w:rsidR="004F6606" w:rsidRPr="005E3B43" w:rsidRDefault="004F6606" w:rsidP="00763BCF">
            <w:pPr>
              <w:pStyle w:val="Tabletext"/>
            </w:pPr>
            <w:r w:rsidRPr="005E3B43">
              <w:t>drops</w:t>
            </w:r>
          </w:p>
        </w:tc>
        <w:tc>
          <w:tcPr>
            <w:tcW w:w="910" w:type="pct"/>
            <w:tcBorders>
              <w:top w:val="single" w:sz="2" w:space="0" w:color="auto"/>
              <w:bottom w:val="single" w:sz="2" w:space="0" w:color="auto"/>
            </w:tcBorders>
            <w:shd w:val="clear" w:color="auto" w:fill="auto"/>
          </w:tcPr>
          <w:p w14:paraId="025423C0" w14:textId="77777777" w:rsidR="004F6606" w:rsidRPr="005E3B43" w:rsidRDefault="004F6606" w:rsidP="00763BCF">
            <w:pPr>
              <w:pStyle w:val="Tabletext"/>
            </w:pPr>
            <w:r w:rsidRPr="005E3B43">
              <w:t>skin prick</w:t>
            </w:r>
          </w:p>
        </w:tc>
        <w:tc>
          <w:tcPr>
            <w:tcW w:w="1447" w:type="pct"/>
            <w:tcBorders>
              <w:top w:val="single" w:sz="2" w:space="0" w:color="auto"/>
              <w:bottom w:val="single" w:sz="2" w:space="0" w:color="auto"/>
            </w:tcBorders>
            <w:shd w:val="clear" w:color="auto" w:fill="auto"/>
          </w:tcPr>
          <w:p w14:paraId="70EC2F2D" w14:textId="77777777" w:rsidR="004F6606" w:rsidRPr="005E3B43" w:rsidRDefault="004F6606" w:rsidP="00763BCF">
            <w:pPr>
              <w:pStyle w:val="Tabletext"/>
            </w:pPr>
            <w:r w:rsidRPr="005E3B43">
              <w:t>confirmation of suspected allergic reactions</w:t>
            </w:r>
          </w:p>
        </w:tc>
      </w:tr>
      <w:tr w:rsidR="00B621E5" w:rsidRPr="005E3B43" w14:paraId="6DF7B2D4" w14:textId="77777777" w:rsidTr="004F6606">
        <w:trPr>
          <w:trHeight w:val="20"/>
        </w:trPr>
        <w:tc>
          <w:tcPr>
            <w:tcW w:w="645" w:type="pct"/>
            <w:tcBorders>
              <w:top w:val="single" w:sz="2" w:space="0" w:color="auto"/>
              <w:bottom w:val="single" w:sz="2" w:space="0" w:color="auto"/>
            </w:tcBorders>
          </w:tcPr>
          <w:p w14:paraId="744D8905" w14:textId="77777777" w:rsidR="00B621E5" w:rsidRPr="005E3B43" w:rsidRDefault="00B621E5" w:rsidP="00763BCF">
            <w:pPr>
              <w:pStyle w:val="Tabletext"/>
            </w:pPr>
            <w:r w:rsidRPr="005E3B43">
              <w:t>4</w:t>
            </w:r>
          </w:p>
        </w:tc>
        <w:tc>
          <w:tcPr>
            <w:tcW w:w="1246" w:type="pct"/>
            <w:tcBorders>
              <w:top w:val="single" w:sz="2" w:space="0" w:color="auto"/>
              <w:bottom w:val="single" w:sz="2" w:space="0" w:color="auto"/>
            </w:tcBorders>
            <w:shd w:val="clear" w:color="auto" w:fill="auto"/>
          </w:tcPr>
          <w:p w14:paraId="5D8E720F" w14:textId="77777777" w:rsidR="00B621E5" w:rsidRPr="005E3B43" w:rsidRDefault="00B621E5" w:rsidP="00763BCF">
            <w:pPr>
              <w:pStyle w:val="Tabletext"/>
            </w:pPr>
            <w:r w:rsidRPr="005E3B43">
              <w:t>amiloride</w:t>
            </w:r>
          </w:p>
        </w:tc>
        <w:tc>
          <w:tcPr>
            <w:tcW w:w="752" w:type="pct"/>
            <w:tcBorders>
              <w:top w:val="single" w:sz="2" w:space="0" w:color="auto"/>
              <w:bottom w:val="single" w:sz="2" w:space="0" w:color="auto"/>
            </w:tcBorders>
            <w:shd w:val="clear" w:color="auto" w:fill="auto"/>
          </w:tcPr>
          <w:p w14:paraId="3CBAA35C" w14:textId="77777777" w:rsidR="00B621E5" w:rsidRPr="005E3B43" w:rsidRDefault="00B621E5" w:rsidP="00763BCF">
            <w:pPr>
              <w:pStyle w:val="Tabletext"/>
            </w:pPr>
            <w:r w:rsidRPr="005E3B43">
              <w:t>tablet</w:t>
            </w:r>
          </w:p>
        </w:tc>
        <w:tc>
          <w:tcPr>
            <w:tcW w:w="910" w:type="pct"/>
            <w:tcBorders>
              <w:top w:val="single" w:sz="2" w:space="0" w:color="auto"/>
              <w:bottom w:val="single" w:sz="2" w:space="0" w:color="auto"/>
            </w:tcBorders>
            <w:shd w:val="clear" w:color="auto" w:fill="auto"/>
          </w:tcPr>
          <w:p w14:paraId="5F19C834" w14:textId="77777777" w:rsidR="00B621E5" w:rsidRPr="005E3B43" w:rsidRDefault="00B621E5" w:rsidP="00763BCF">
            <w:pPr>
              <w:pStyle w:val="Tabletext"/>
            </w:pPr>
            <w:r w:rsidRPr="005E3B43">
              <w:t>oral</w:t>
            </w:r>
          </w:p>
        </w:tc>
        <w:tc>
          <w:tcPr>
            <w:tcW w:w="1447" w:type="pct"/>
            <w:tcBorders>
              <w:top w:val="single" w:sz="2" w:space="0" w:color="auto"/>
              <w:bottom w:val="single" w:sz="2" w:space="0" w:color="auto"/>
            </w:tcBorders>
            <w:shd w:val="clear" w:color="auto" w:fill="auto"/>
          </w:tcPr>
          <w:p w14:paraId="7B224D2D" w14:textId="77777777" w:rsidR="00B621E5" w:rsidRPr="005E3B43" w:rsidRDefault="00B621E5" w:rsidP="00763BCF">
            <w:pPr>
              <w:pStyle w:val="Tabletext"/>
            </w:pPr>
            <w:r w:rsidRPr="005E3B43">
              <w:t>treatment of hypokalaemia</w:t>
            </w:r>
          </w:p>
        </w:tc>
      </w:tr>
      <w:tr w:rsidR="00C410E6" w:rsidRPr="005E3B43" w14:paraId="7BF173B8" w14:textId="77777777" w:rsidTr="004F6606">
        <w:trPr>
          <w:trHeight w:val="20"/>
        </w:trPr>
        <w:tc>
          <w:tcPr>
            <w:tcW w:w="645" w:type="pct"/>
            <w:tcBorders>
              <w:top w:val="single" w:sz="2" w:space="0" w:color="auto"/>
              <w:bottom w:val="single" w:sz="2" w:space="0" w:color="auto"/>
            </w:tcBorders>
          </w:tcPr>
          <w:p w14:paraId="5294560B" w14:textId="77777777" w:rsidR="00C410E6" w:rsidRPr="005E3B43" w:rsidRDefault="00C410E6" w:rsidP="00763BCF">
            <w:pPr>
              <w:pStyle w:val="Tabletext"/>
            </w:pPr>
            <w:r w:rsidRPr="005E3B43">
              <w:t>4A</w:t>
            </w:r>
          </w:p>
        </w:tc>
        <w:tc>
          <w:tcPr>
            <w:tcW w:w="1246" w:type="pct"/>
            <w:tcBorders>
              <w:top w:val="single" w:sz="2" w:space="0" w:color="auto"/>
              <w:bottom w:val="single" w:sz="2" w:space="0" w:color="auto"/>
            </w:tcBorders>
            <w:shd w:val="clear" w:color="auto" w:fill="auto"/>
          </w:tcPr>
          <w:p w14:paraId="1FB5B48C" w14:textId="77777777" w:rsidR="00C410E6" w:rsidRPr="005E3B43" w:rsidRDefault="00C410E6" w:rsidP="00763BCF">
            <w:pPr>
              <w:pStyle w:val="Tabletext"/>
            </w:pPr>
            <w:r w:rsidRPr="005E3B43">
              <w:t>argipressin</w:t>
            </w:r>
          </w:p>
        </w:tc>
        <w:tc>
          <w:tcPr>
            <w:tcW w:w="752" w:type="pct"/>
            <w:tcBorders>
              <w:top w:val="single" w:sz="2" w:space="0" w:color="auto"/>
              <w:bottom w:val="single" w:sz="2" w:space="0" w:color="auto"/>
            </w:tcBorders>
            <w:shd w:val="clear" w:color="auto" w:fill="auto"/>
          </w:tcPr>
          <w:p w14:paraId="18DC1C74" w14:textId="77777777"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14:paraId="4F3C4D74" w14:textId="77777777" w:rsidR="00C410E6" w:rsidRPr="005E3B43" w:rsidRDefault="00C410E6" w:rsidP="00763BCF">
            <w:pPr>
              <w:pStyle w:val="Tabletext"/>
            </w:pPr>
            <w:r w:rsidRPr="005E3B43">
              <w:t>intravenous</w:t>
            </w:r>
          </w:p>
        </w:tc>
        <w:tc>
          <w:tcPr>
            <w:tcW w:w="1447" w:type="pct"/>
            <w:tcBorders>
              <w:top w:val="single" w:sz="2" w:space="0" w:color="auto"/>
              <w:bottom w:val="single" w:sz="2" w:space="0" w:color="auto"/>
            </w:tcBorders>
            <w:shd w:val="clear" w:color="auto" w:fill="auto"/>
          </w:tcPr>
          <w:p w14:paraId="577447A3" w14:textId="77777777" w:rsidR="00B11D7F" w:rsidRPr="005E3B43" w:rsidRDefault="00B11D7F" w:rsidP="00763BCF">
            <w:pPr>
              <w:pStyle w:val="Tablea"/>
            </w:pPr>
            <w:r w:rsidRPr="005E3B43">
              <w:t>(a) to increase blood pressure in adults with vasodilatory shock who remain hypotensive despite fluids and catecholamines; or</w:t>
            </w:r>
          </w:p>
          <w:p w14:paraId="22ED12A8" w14:textId="77777777" w:rsidR="00C410E6" w:rsidRPr="005E3B43" w:rsidRDefault="00B11D7F" w:rsidP="00763BCF">
            <w:pPr>
              <w:pStyle w:val="Tablea"/>
            </w:pPr>
            <w:r w:rsidRPr="005E3B43">
              <w:t>(b) treatment of uterine fibroids</w:t>
            </w:r>
          </w:p>
        </w:tc>
      </w:tr>
      <w:tr w:rsidR="00C410E6" w:rsidRPr="005E3B43" w14:paraId="075F8984" w14:textId="77777777" w:rsidTr="004F6606">
        <w:trPr>
          <w:trHeight w:val="20"/>
        </w:trPr>
        <w:tc>
          <w:tcPr>
            <w:tcW w:w="645" w:type="pct"/>
            <w:tcBorders>
              <w:top w:val="single" w:sz="2" w:space="0" w:color="auto"/>
              <w:bottom w:val="single" w:sz="2" w:space="0" w:color="auto"/>
            </w:tcBorders>
          </w:tcPr>
          <w:p w14:paraId="78F15EFD" w14:textId="77777777" w:rsidR="00C410E6" w:rsidRPr="005E3B43" w:rsidRDefault="00C410E6" w:rsidP="00763BCF">
            <w:pPr>
              <w:pStyle w:val="Tabletext"/>
            </w:pPr>
            <w:r w:rsidRPr="005E3B43">
              <w:t>5</w:t>
            </w:r>
          </w:p>
        </w:tc>
        <w:tc>
          <w:tcPr>
            <w:tcW w:w="1246" w:type="pct"/>
            <w:tcBorders>
              <w:top w:val="single" w:sz="2" w:space="0" w:color="auto"/>
              <w:bottom w:val="single" w:sz="2" w:space="0" w:color="auto"/>
            </w:tcBorders>
            <w:shd w:val="clear" w:color="auto" w:fill="auto"/>
          </w:tcPr>
          <w:p w14:paraId="5ED60792" w14:textId="77777777" w:rsidR="00C410E6" w:rsidRPr="005E3B43" w:rsidRDefault="00C410E6" w:rsidP="00763BCF">
            <w:pPr>
              <w:pStyle w:val="Tabletext"/>
            </w:pPr>
            <w:r w:rsidRPr="005E3B43">
              <w:t>betaxolol 0.25% (preservative free)</w:t>
            </w:r>
          </w:p>
        </w:tc>
        <w:tc>
          <w:tcPr>
            <w:tcW w:w="752" w:type="pct"/>
            <w:tcBorders>
              <w:top w:val="single" w:sz="2" w:space="0" w:color="auto"/>
              <w:bottom w:val="single" w:sz="2" w:space="0" w:color="auto"/>
            </w:tcBorders>
            <w:shd w:val="clear" w:color="auto" w:fill="auto"/>
          </w:tcPr>
          <w:p w14:paraId="53ED4906" w14:textId="77777777" w:rsidR="00C410E6" w:rsidRPr="005E3B43" w:rsidRDefault="00C410E6" w:rsidP="00763BCF">
            <w:pPr>
              <w:pStyle w:val="Tabletext"/>
            </w:pPr>
            <w:r w:rsidRPr="005E3B43">
              <w:t xml:space="preserve">eye drops </w:t>
            </w:r>
          </w:p>
        </w:tc>
        <w:tc>
          <w:tcPr>
            <w:tcW w:w="910" w:type="pct"/>
            <w:tcBorders>
              <w:top w:val="single" w:sz="2" w:space="0" w:color="auto"/>
              <w:bottom w:val="single" w:sz="2" w:space="0" w:color="auto"/>
            </w:tcBorders>
            <w:shd w:val="clear" w:color="auto" w:fill="auto"/>
          </w:tcPr>
          <w:p w14:paraId="511754FA" w14:textId="77777777" w:rsidR="00C410E6" w:rsidRPr="005E3B43" w:rsidRDefault="00C410E6" w:rsidP="00763BCF">
            <w:pPr>
              <w:pStyle w:val="Tabletext"/>
            </w:pPr>
            <w:r w:rsidRPr="005E3B43">
              <w:t>ophthalmic</w:t>
            </w:r>
          </w:p>
        </w:tc>
        <w:tc>
          <w:tcPr>
            <w:tcW w:w="1447" w:type="pct"/>
            <w:tcBorders>
              <w:top w:val="single" w:sz="2" w:space="0" w:color="auto"/>
              <w:bottom w:val="single" w:sz="2" w:space="0" w:color="auto"/>
            </w:tcBorders>
            <w:shd w:val="clear" w:color="auto" w:fill="auto"/>
          </w:tcPr>
          <w:p w14:paraId="0723E6F2" w14:textId="77777777" w:rsidR="00C410E6" w:rsidRPr="005E3B43" w:rsidRDefault="00C410E6" w:rsidP="00763BCF">
            <w:pPr>
              <w:pStyle w:val="Tabletext"/>
            </w:pPr>
            <w:r w:rsidRPr="005E3B43">
              <w:t>treatment of elevated intraocular pressure where other treatments are inappropriate</w:t>
            </w:r>
          </w:p>
        </w:tc>
      </w:tr>
      <w:tr w:rsidR="00C410E6" w:rsidRPr="005E3B43" w14:paraId="6EF7573F" w14:textId="77777777" w:rsidTr="004F6606">
        <w:trPr>
          <w:trHeight w:val="20"/>
        </w:trPr>
        <w:tc>
          <w:tcPr>
            <w:tcW w:w="645" w:type="pct"/>
            <w:tcBorders>
              <w:top w:val="single" w:sz="2" w:space="0" w:color="auto"/>
              <w:bottom w:val="single" w:sz="2" w:space="0" w:color="auto"/>
            </w:tcBorders>
          </w:tcPr>
          <w:p w14:paraId="772B37E2" w14:textId="77777777" w:rsidR="00C410E6" w:rsidRPr="005E3B43" w:rsidRDefault="00C410E6" w:rsidP="00763BCF">
            <w:pPr>
              <w:pStyle w:val="Tabletext"/>
            </w:pPr>
            <w:r w:rsidRPr="005E3B43">
              <w:t>6</w:t>
            </w:r>
          </w:p>
        </w:tc>
        <w:tc>
          <w:tcPr>
            <w:tcW w:w="1246" w:type="pct"/>
            <w:tcBorders>
              <w:top w:val="single" w:sz="2" w:space="0" w:color="auto"/>
              <w:bottom w:val="single" w:sz="2" w:space="0" w:color="auto"/>
            </w:tcBorders>
            <w:shd w:val="clear" w:color="auto" w:fill="auto"/>
          </w:tcPr>
          <w:p w14:paraId="500BDC60" w14:textId="77777777" w:rsidR="00C410E6" w:rsidRPr="005E3B43" w:rsidRDefault="00C410E6" w:rsidP="00763BCF">
            <w:pPr>
              <w:pStyle w:val="Tabletext"/>
            </w:pPr>
            <w:r w:rsidRPr="005E3B43">
              <w:t>bismuth subcitrate</w:t>
            </w:r>
          </w:p>
        </w:tc>
        <w:tc>
          <w:tcPr>
            <w:tcW w:w="752" w:type="pct"/>
            <w:tcBorders>
              <w:top w:val="single" w:sz="2" w:space="0" w:color="auto"/>
              <w:bottom w:val="single" w:sz="2" w:space="0" w:color="auto"/>
            </w:tcBorders>
            <w:shd w:val="clear" w:color="auto" w:fill="auto"/>
          </w:tcPr>
          <w:p w14:paraId="721231B4" w14:textId="77777777"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14:paraId="3F09B6A2" w14:textId="77777777"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14:paraId="72B04296" w14:textId="77777777" w:rsidR="00C410E6" w:rsidRPr="005E3B43" w:rsidRDefault="00C410E6" w:rsidP="00763BCF">
            <w:pPr>
              <w:pStyle w:val="Tabletext"/>
            </w:pPr>
            <w:r w:rsidRPr="005E3B43">
              <w:t xml:space="preserve">treatment of resistant </w:t>
            </w:r>
            <w:r w:rsidRPr="005E3B43">
              <w:rPr>
                <w:i/>
              </w:rPr>
              <w:t>Helicobacter Pylori</w:t>
            </w:r>
            <w:r w:rsidRPr="005E3B43">
              <w:t xml:space="preserve"> infection</w:t>
            </w:r>
          </w:p>
        </w:tc>
      </w:tr>
      <w:tr w:rsidR="00C410E6" w:rsidRPr="005E3B43" w14:paraId="2DDA6E1C" w14:textId="77777777" w:rsidTr="004F6606">
        <w:trPr>
          <w:trHeight w:val="20"/>
        </w:trPr>
        <w:tc>
          <w:tcPr>
            <w:tcW w:w="645" w:type="pct"/>
            <w:tcBorders>
              <w:top w:val="single" w:sz="2" w:space="0" w:color="auto"/>
              <w:bottom w:val="single" w:sz="2" w:space="0" w:color="auto"/>
            </w:tcBorders>
          </w:tcPr>
          <w:p w14:paraId="21DAF550" w14:textId="77777777" w:rsidR="00C410E6" w:rsidRPr="005E3B43" w:rsidRDefault="00C410E6" w:rsidP="00763BCF">
            <w:pPr>
              <w:pStyle w:val="Tabletext"/>
            </w:pPr>
            <w:r w:rsidRPr="005E3B43">
              <w:lastRenderedPageBreak/>
              <w:t>7</w:t>
            </w:r>
          </w:p>
        </w:tc>
        <w:tc>
          <w:tcPr>
            <w:tcW w:w="1246" w:type="pct"/>
            <w:tcBorders>
              <w:top w:val="single" w:sz="2" w:space="0" w:color="auto"/>
              <w:bottom w:val="single" w:sz="2" w:space="0" w:color="auto"/>
            </w:tcBorders>
            <w:shd w:val="clear" w:color="auto" w:fill="auto"/>
          </w:tcPr>
          <w:p w14:paraId="6801C76A" w14:textId="77777777" w:rsidR="00C410E6" w:rsidRPr="005E3B43" w:rsidRDefault="00C410E6" w:rsidP="00763BCF">
            <w:pPr>
              <w:pStyle w:val="Tabletext"/>
            </w:pPr>
            <w:r w:rsidRPr="005E3B43">
              <w:t>buspirone</w:t>
            </w:r>
          </w:p>
        </w:tc>
        <w:tc>
          <w:tcPr>
            <w:tcW w:w="752" w:type="pct"/>
            <w:tcBorders>
              <w:top w:val="single" w:sz="2" w:space="0" w:color="auto"/>
              <w:bottom w:val="single" w:sz="2" w:space="0" w:color="auto"/>
            </w:tcBorders>
            <w:shd w:val="clear" w:color="auto" w:fill="auto"/>
          </w:tcPr>
          <w:p w14:paraId="274C270B" w14:textId="77777777"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14:paraId="2F829C4D" w14:textId="77777777"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14:paraId="40B2FE81" w14:textId="77777777" w:rsidR="00C410E6" w:rsidRPr="005E3B43" w:rsidRDefault="00C410E6" w:rsidP="00763BCF">
            <w:pPr>
              <w:pStyle w:val="Tabletext"/>
            </w:pPr>
            <w:r w:rsidRPr="005E3B43">
              <w:t>treatment of generalised anxiety disorders</w:t>
            </w:r>
          </w:p>
        </w:tc>
      </w:tr>
      <w:tr w:rsidR="00C410E6" w:rsidRPr="005E3B43" w14:paraId="67819AAD" w14:textId="77777777" w:rsidTr="004F6606">
        <w:trPr>
          <w:trHeight w:val="20"/>
        </w:trPr>
        <w:tc>
          <w:tcPr>
            <w:tcW w:w="645" w:type="pct"/>
            <w:tcBorders>
              <w:top w:val="single" w:sz="2" w:space="0" w:color="auto"/>
              <w:bottom w:val="single" w:sz="2" w:space="0" w:color="auto"/>
            </w:tcBorders>
          </w:tcPr>
          <w:p w14:paraId="2FBEFA72" w14:textId="77777777" w:rsidR="00C410E6" w:rsidRPr="005E3B43" w:rsidRDefault="00C410E6" w:rsidP="00763BCF">
            <w:pPr>
              <w:pStyle w:val="Tabletext"/>
            </w:pPr>
            <w:r w:rsidRPr="005E3B43">
              <w:t>8</w:t>
            </w:r>
          </w:p>
        </w:tc>
        <w:tc>
          <w:tcPr>
            <w:tcW w:w="1246" w:type="pct"/>
            <w:tcBorders>
              <w:top w:val="single" w:sz="2" w:space="0" w:color="auto"/>
              <w:bottom w:val="single" w:sz="2" w:space="0" w:color="auto"/>
            </w:tcBorders>
            <w:shd w:val="clear" w:color="auto" w:fill="auto"/>
          </w:tcPr>
          <w:p w14:paraId="4C9AABD3" w14:textId="77777777" w:rsidR="00C410E6" w:rsidRPr="005E3B43" w:rsidRDefault="00C410E6" w:rsidP="00763BCF">
            <w:pPr>
              <w:pStyle w:val="Tabletext"/>
            </w:pPr>
            <w:r w:rsidRPr="005E3B43">
              <w:t>calcitriol</w:t>
            </w:r>
          </w:p>
        </w:tc>
        <w:tc>
          <w:tcPr>
            <w:tcW w:w="752" w:type="pct"/>
            <w:tcBorders>
              <w:top w:val="single" w:sz="2" w:space="0" w:color="auto"/>
              <w:bottom w:val="single" w:sz="2" w:space="0" w:color="auto"/>
            </w:tcBorders>
            <w:shd w:val="clear" w:color="auto" w:fill="auto"/>
          </w:tcPr>
          <w:p w14:paraId="64BE9145" w14:textId="77777777" w:rsidR="00C410E6" w:rsidRPr="005E3B43" w:rsidRDefault="00C410E6" w:rsidP="00763BCF">
            <w:pPr>
              <w:pStyle w:val="Tabletext"/>
            </w:pPr>
            <w:r w:rsidRPr="005E3B43">
              <w:t>liquid</w:t>
            </w:r>
          </w:p>
        </w:tc>
        <w:tc>
          <w:tcPr>
            <w:tcW w:w="910" w:type="pct"/>
            <w:tcBorders>
              <w:top w:val="single" w:sz="2" w:space="0" w:color="auto"/>
              <w:bottom w:val="single" w:sz="2" w:space="0" w:color="auto"/>
            </w:tcBorders>
            <w:shd w:val="clear" w:color="auto" w:fill="auto"/>
          </w:tcPr>
          <w:p w14:paraId="7DD7F92D" w14:textId="77777777"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14:paraId="617F2FE0" w14:textId="77777777" w:rsidR="00C410E6" w:rsidRPr="005E3B43" w:rsidRDefault="00C410E6" w:rsidP="00763BCF">
            <w:pPr>
              <w:pStyle w:val="Tabletext"/>
            </w:pPr>
            <w:r w:rsidRPr="005E3B43">
              <w:t>prevention of hypophosphatemic rickets in children; or</w:t>
            </w:r>
          </w:p>
          <w:p w14:paraId="675CA061" w14:textId="77777777" w:rsidR="00C410E6" w:rsidRPr="005E3B43" w:rsidRDefault="00C410E6" w:rsidP="00763BCF">
            <w:pPr>
              <w:pStyle w:val="Tabletext"/>
            </w:pPr>
            <w:r w:rsidRPr="005E3B43">
              <w:t>treatment of hypoparathyroidism (with severe hypocalcaemia)</w:t>
            </w:r>
          </w:p>
        </w:tc>
      </w:tr>
      <w:tr w:rsidR="00C410E6" w:rsidRPr="005E3B43" w14:paraId="7DE585D9" w14:textId="77777777" w:rsidTr="004F6606">
        <w:trPr>
          <w:trHeight w:val="20"/>
        </w:trPr>
        <w:tc>
          <w:tcPr>
            <w:tcW w:w="645" w:type="pct"/>
            <w:tcBorders>
              <w:top w:val="single" w:sz="2" w:space="0" w:color="auto"/>
              <w:bottom w:val="single" w:sz="2" w:space="0" w:color="auto"/>
            </w:tcBorders>
          </w:tcPr>
          <w:p w14:paraId="7217DF32" w14:textId="77777777" w:rsidR="00C410E6" w:rsidRPr="005E3B43" w:rsidRDefault="00C410E6" w:rsidP="00763BCF">
            <w:pPr>
              <w:pStyle w:val="Tabletext"/>
            </w:pPr>
            <w:r w:rsidRPr="005E3B43">
              <w:t>9</w:t>
            </w:r>
          </w:p>
        </w:tc>
        <w:tc>
          <w:tcPr>
            <w:tcW w:w="1246" w:type="pct"/>
            <w:tcBorders>
              <w:top w:val="single" w:sz="2" w:space="0" w:color="auto"/>
              <w:bottom w:val="single" w:sz="2" w:space="0" w:color="auto"/>
            </w:tcBorders>
            <w:shd w:val="clear" w:color="auto" w:fill="auto"/>
          </w:tcPr>
          <w:p w14:paraId="18DA8723" w14:textId="77777777" w:rsidR="00C410E6" w:rsidRPr="005E3B43" w:rsidRDefault="00C410E6" w:rsidP="00763BCF">
            <w:pPr>
              <w:pStyle w:val="Tabletext"/>
            </w:pPr>
            <w:r w:rsidRPr="005E3B43">
              <w:t>carbidopa</w:t>
            </w:r>
          </w:p>
        </w:tc>
        <w:tc>
          <w:tcPr>
            <w:tcW w:w="752" w:type="pct"/>
            <w:tcBorders>
              <w:top w:val="single" w:sz="2" w:space="0" w:color="auto"/>
              <w:bottom w:val="single" w:sz="2" w:space="0" w:color="auto"/>
            </w:tcBorders>
            <w:shd w:val="clear" w:color="auto" w:fill="auto"/>
          </w:tcPr>
          <w:p w14:paraId="127F1ADE" w14:textId="77777777"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14:paraId="31365F43" w14:textId="77777777"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14:paraId="0DF1520D" w14:textId="7E373CD5" w:rsidR="00C410E6" w:rsidRPr="005E3B43" w:rsidRDefault="00C410E6" w:rsidP="00763BCF">
            <w:pPr>
              <w:pStyle w:val="Tabletext"/>
            </w:pPr>
            <w:r w:rsidRPr="005E3B43">
              <w:t>premedication for F</w:t>
            </w:r>
            <w:r w:rsidR="007C3215">
              <w:noBreakHyphen/>
            </w:r>
            <w:r w:rsidRPr="005E3B43">
              <w:t>18 DOPA imaging</w:t>
            </w:r>
          </w:p>
        </w:tc>
      </w:tr>
      <w:tr w:rsidR="00C410E6" w:rsidRPr="005E3B43" w14:paraId="49F1313C" w14:textId="77777777" w:rsidTr="004F6606">
        <w:trPr>
          <w:trHeight w:val="20"/>
        </w:trPr>
        <w:tc>
          <w:tcPr>
            <w:tcW w:w="645" w:type="pct"/>
            <w:tcBorders>
              <w:top w:val="single" w:sz="2" w:space="0" w:color="auto"/>
              <w:bottom w:val="single" w:sz="2" w:space="0" w:color="auto"/>
            </w:tcBorders>
          </w:tcPr>
          <w:p w14:paraId="694CE0D2" w14:textId="77777777" w:rsidR="00C410E6" w:rsidRPr="005E3B43" w:rsidRDefault="00C410E6" w:rsidP="00763BCF">
            <w:pPr>
              <w:pStyle w:val="Tabletext"/>
            </w:pPr>
            <w:r w:rsidRPr="005E3B43">
              <w:t>10</w:t>
            </w:r>
          </w:p>
        </w:tc>
        <w:tc>
          <w:tcPr>
            <w:tcW w:w="1246" w:type="pct"/>
            <w:tcBorders>
              <w:top w:val="single" w:sz="2" w:space="0" w:color="auto"/>
              <w:bottom w:val="single" w:sz="2" w:space="0" w:color="auto"/>
            </w:tcBorders>
            <w:shd w:val="clear" w:color="auto" w:fill="auto"/>
          </w:tcPr>
          <w:p w14:paraId="4559D665" w14:textId="77777777" w:rsidR="00C410E6" w:rsidRPr="005E3B43" w:rsidRDefault="00C410E6" w:rsidP="00763BCF">
            <w:pPr>
              <w:pStyle w:val="Tabletext"/>
            </w:pPr>
            <w:r w:rsidRPr="005E3B43">
              <w:t>colecalciferol</w:t>
            </w:r>
          </w:p>
        </w:tc>
        <w:tc>
          <w:tcPr>
            <w:tcW w:w="752" w:type="pct"/>
            <w:tcBorders>
              <w:top w:val="single" w:sz="2" w:space="0" w:color="auto"/>
              <w:bottom w:val="single" w:sz="2" w:space="0" w:color="auto"/>
            </w:tcBorders>
            <w:shd w:val="clear" w:color="auto" w:fill="auto"/>
          </w:tcPr>
          <w:p w14:paraId="2282AF12" w14:textId="77777777" w:rsidR="00C410E6" w:rsidRPr="005E3B43" w:rsidRDefault="00C410E6" w:rsidP="00763BCF">
            <w:pPr>
              <w:pStyle w:val="Tabletext"/>
            </w:pPr>
            <w:r w:rsidRPr="005E3B43">
              <w:t>capsule</w:t>
            </w:r>
          </w:p>
        </w:tc>
        <w:tc>
          <w:tcPr>
            <w:tcW w:w="910" w:type="pct"/>
            <w:tcBorders>
              <w:top w:val="single" w:sz="2" w:space="0" w:color="auto"/>
              <w:bottom w:val="single" w:sz="2" w:space="0" w:color="auto"/>
            </w:tcBorders>
            <w:shd w:val="clear" w:color="auto" w:fill="auto"/>
          </w:tcPr>
          <w:p w14:paraId="0A82F8DE" w14:textId="77777777"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14:paraId="5D922062" w14:textId="77777777" w:rsidR="00C410E6" w:rsidRPr="005E3B43" w:rsidRDefault="00C410E6" w:rsidP="00763BCF">
            <w:pPr>
              <w:pStyle w:val="Tabletext"/>
            </w:pPr>
            <w:r w:rsidRPr="005E3B43">
              <w:t>treatment of severe vitamin D deficiency and prevention of osteoporosis</w:t>
            </w:r>
          </w:p>
        </w:tc>
      </w:tr>
      <w:tr w:rsidR="00C410E6" w:rsidRPr="005E3B43" w14:paraId="6A31D436" w14:textId="77777777" w:rsidTr="004F6606">
        <w:trPr>
          <w:trHeight w:val="20"/>
        </w:trPr>
        <w:tc>
          <w:tcPr>
            <w:tcW w:w="645" w:type="pct"/>
            <w:tcBorders>
              <w:top w:val="single" w:sz="2" w:space="0" w:color="auto"/>
              <w:bottom w:val="single" w:sz="2" w:space="0" w:color="auto"/>
            </w:tcBorders>
          </w:tcPr>
          <w:p w14:paraId="44FA9846" w14:textId="77777777" w:rsidR="00C410E6" w:rsidRPr="005E3B43" w:rsidRDefault="00C410E6" w:rsidP="00763BCF">
            <w:pPr>
              <w:pStyle w:val="Tabletext"/>
            </w:pPr>
            <w:r w:rsidRPr="005E3B43">
              <w:t>11</w:t>
            </w:r>
          </w:p>
        </w:tc>
        <w:tc>
          <w:tcPr>
            <w:tcW w:w="1246" w:type="pct"/>
            <w:tcBorders>
              <w:top w:val="single" w:sz="2" w:space="0" w:color="auto"/>
              <w:bottom w:val="single" w:sz="2" w:space="0" w:color="auto"/>
            </w:tcBorders>
            <w:shd w:val="clear" w:color="auto" w:fill="auto"/>
          </w:tcPr>
          <w:p w14:paraId="5CB08839" w14:textId="77777777" w:rsidR="00C410E6" w:rsidRPr="005E3B43" w:rsidRDefault="00C410E6" w:rsidP="00763BCF">
            <w:pPr>
              <w:pStyle w:val="Tabletext"/>
            </w:pPr>
            <w:r w:rsidRPr="005E3B43">
              <w:t>colecalciferol</w:t>
            </w:r>
          </w:p>
        </w:tc>
        <w:tc>
          <w:tcPr>
            <w:tcW w:w="752" w:type="pct"/>
            <w:tcBorders>
              <w:top w:val="single" w:sz="2" w:space="0" w:color="auto"/>
              <w:bottom w:val="single" w:sz="2" w:space="0" w:color="auto"/>
            </w:tcBorders>
            <w:shd w:val="clear" w:color="auto" w:fill="auto"/>
          </w:tcPr>
          <w:p w14:paraId="7B66E7E4" w14:textId="77777777" w:rsidR="00C410E6" w:rsidRPr="005E3B43" w:rsidRDefault="00C410E6" w:rsidP="00763BCF">
            <w:pPr>
              <w:pStyle w:val="Tabletext"/>
            </w:pPr>
            <w:r w:rsidRPr="005E3B43">
              <w:t xml:space="preserve">injection </w:t>
            </w:r>
          </w:p>
        </w:tc>
        <w:tc>
          <w:tcPr>
            <w:tcW w:w="910" w:type="pct"/>
            <w:tcBorders>
              <w:top w:val="single" w:sz="2" w:space="0" w:color="auto"/>
              <w:bottom w:val="single" w:sz="2" w:space="0" w:color="auto"/>
            </w:tcBorders>
            <w:shd w:val="clear" w:color="auto" w:fill="auto"/>
          </w:tcPr>
          <w:p w14:paraId="35DB1954" w14:textId="77777777" w:rsidR="00C410E6" w:rsidRPr="005E3B43" w:rsidRDefault="00C410E6" w:rsidP="00763BCF">
            <w:pPr>
              <w:pStyle w:val="Tabletext"/>
            </w:pPr>
            <w:r w:rsidRPr="005E3B43">
              <w:t>intramuscular</w:t>
            </w:r>
          </w:p>
        </w:tc>
        <w:tc>
          <w:tcPr>
            <w:tcW w:w="1447" w:type="pct"/>
            <w:tcBorders>
              <w:top w:val="single" w:sz="2" w:space="0" w:color="auto"/>
              <w:bottom w:val="single" w:sz="2" w:space="0" w:color="auto"/>
            </w:tcBorders>
            <w:shd w:val="clear" w:color="auto" w:fill="auto"/>
          </w:tcPr>
          <w:p w14:paraId="31677CF7" w14:textId="77777777" w:rsidR="00C410E6" w:rsidRPr="005E3B43" w:rsidRDefault="00C410E6" w:rsidP="00763BCF">
            <w:pPr>
              <w:pStyle w:val="Tabletext"/>
            </w:pPr>
            <w:r w:rsidRPr="005E3B43">
              <w:t>treatment of severe vitamin D deficiency and prevention of osteoporosis</w:t>
            </w:r>
          </w:p>
        </w:tc>
      </w:tr>
      <w:tr w:rsidR="00C410E6" w:rsidRPr="005E3B43" w14:paraId="43398B7C" w14:textId="77777777" w:rsidTr="004F6606">
        <w:trPr>
          <w:trHeight w:val="20"/>
        </w:trPr>
        <w:tc>
          <w:tcPr>
            <w:tcW w:w="645" w:type="pct"/>
            <w:tcBorders>
              <w:top w:val="single" w:sz="2" w:space="0" w:color="auto"/>
              <w:bottom w:val="single" w:sz="2" w:space="0" w:color="auto"/>
            </w:tcBorders>
          </w:tcPr>
          <w:p w14:paraId="14A71C92" w14:textId="77777777" w:rsidR="00C410E6" w:rsidRPr="005E3B43" w:rsidRDefault="00C410E6" w:rsidP="00763BCF">
            <w:pPr>
              <w:pStyle w:val="Tabletext"/>
            </w:pPr>
            <w:r w:rsidRPr="005E3B43">
              <w:t>12</w:t>
            </w:r>
          </w:p>
        </w:tc>
        <w:tc>
          <w:tcPr>
            <w:tcW w:w="1246" w:type="pct"/>
            <w:tcBorders>
              <w:top w:val="single" w:sz="2" w:space="0" w:color="auto"/>
              <w:bottom w:val="single" w:sz="2" w:space="0" w:color="auto"/>
            </w:tcBorders>
            <w:shd w:val="clear" w:color="auto" w:fill="auto"/>
          </w:tcPr>
          <w:p w14:paraId="69FFD7AA" w14:textId="77777777" w:rsidR="00C410E6" w:rsidRPr="005E3B43" w:rsidRDefault="00C410E6" w:rsidP="00763BCF">
            <w:pPr>
              <w:pStyle w:val="Tabletext"/>
            </w:pPr>
            <w:r w:rsidRPr="005E3B43">
              <w:t>cinnarizine</w:t>
            </w:r>
          </w:p>
        </w:tc>
        <w:tc>
          <w:tcPr>
            <w:tcW w:w="752" w:type="pct"/>
            <w:tcBorders>
              <w:top w:val="single" w:sz="2" w:space="0" w:color="auto"/>
              <w:bottom w:val="single" w:sz="2" w:space="0" w:color="auto"/>
            </w:tcBorders>
            <w:shd w:val="clear" w:color="auto" w:fill="auto"/>
          </w:tcPr>
          <w:p w14:paraId="170191AB" w14:textId="77777777"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14:paraId="323DF8BB" w14:textId="77777777"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14:paraId="0E7BECD6" w14:textId="77777777" w:rsidR="00C410E6" w:rsidRPr="005E3B43" w:rsidRDefault="00C410E6" w:rsidP="00763BCF">
            <w:pPr>
              <w:pStyle w:val="Tabletext"/>
            </w:pPr>
            <w:r w:rsidRPr="005E3B43">
              <w:t xml:space="preserve">treatment of vestibular disorders such as vertigo, tinnitus, nausea and vomiting (including Meniere’s disease). </w:t>
            </w:r>
          </w:p>
        </w:tc>
      </w:tr>
      <w:tr w:rsidR="00C410E6" w:rsidRPr="005E3B43" w14:paraId="15A0FBE1" w14:textId="77777777" w:rsidTr="004C6B2B">
        <w:trPr>
          <w:cantSplit/>
          <w:trHeight w:val="20"/>
        </w:trPr>
        <w:tc>
          <w:tcPr>
            <w:tcW w:w="645" w:type="pct"/>
            <w:tcBorders>
              <w:top w:val="single" w:sz="2" w:space="0" w:color="auto"/>
              <w:bottom w:val="single" w:sz="2" w:space="0" w:color="auto"/>
            </w:tcBorders>
          </w:tcPr>
          <w:p w14:paraId="11A8E14D" w14:textId="77777777" w:rsidR="00C410E6" w:rsidRPr="005E3B43" w:rsidRDefault="00C410E6" w:rsidP="00763BCF">
            <w:pPr>
              <w:pStyle w:val="Tabletext"/>
            </w:pPr>
            <w:r w:rsidRPr="005E3B43">
              <w:t>13</w:t>
            </w:r>
          </w:p>
        </w:tc>
        <w:tc>
          <w:tcPr>
            <w:tcW w:w="1246" w:type="pct"/>
            <w:tcBorders>
              <w:top w:val="single" w:sz="2" w:space="0" w:color="auto"/>
              <w:bottom w:val="single" w:sz="2" w:space="0" w:color="auto"/>
            </w:tcBorders>
            <w:shd w:val="clear" w:color="auto" w:fill="auto"/>
          </w:tcPr>
          <w:p w14:paraId="16D804DE" w14:textId="77777777" w:rsidR="00C410E6" w:rsidRPr="005E3B43" w:rsidRDefault="00C410E6" w:rsidP="00763BCF">
            <w:pPr>
              <w:pStyle w:val="Tabletext"/>
            </w:pPr>
            <w:r w:rsidRPr="005E3B43">
              <w:t>clobetasol propionate 0.05%</w:t>
            </w:r>
          </w:p>
        </w:tc>
        <w:tc>
          <w:tcPr>
            <w:tcW w:w="752" w:type="pct"/>
            <w:tcBorders>
              <w:top w:val="single" w:sz="2" w:space="0" w:color="auto"/>
              <w:bottom w:val="single" w:sz="2" w:space="0" w:color="auto"/>
            </w:tcBorders>
            <w:shd w:val="clear" w:color="auto" w:fill="auto"/>
          </w:tcPr>
          <w:p w14:paraId="783F6D78" w14:textId="77777777" w:rsidR="00C410E6" w:rsidRPr="005E3B43" w:rsidRDefault="00C410E6" w:rsidP="00763BCF">
            <w:pPr>
              <w:pStyle w:val="Tabletext"/>
            </w:pPr>
            <w:r w:rsidRPr="005E3B43">
              <w:t>cream</w:t>
            </w:r>
          </w:p>
        </w:tc>
        <w:tc>
          <w:tcPr>
            <w:tcW w:w="910" w:type="pct"/>
            <w:tcBorders>
              <w:top w:val="single" w:sz="2" w:space="0" w:color="auto"/>
              <w:bottom w:val="single" w:sz="2" w:space="0" w:color="auto"/>
            </w:tcBorders>
            <w:shd w:val="clear" w:color="auto" w:fill="auto"/>
          </w:tcPr>
          <w:p w14:paraId="345796F8" w14:textId="77777777" w:rsidR="00C410E6" w:rsidRPr="005E3B43" w:rsidRDefault="00C410E6" w:rsidP="00763BCF">
            <w:pPr>
              <w:pStyle w:val="Tabletext"/>
            </w:pPr>
            <w:r w:rsidRPr="005E3B43">
              <w:t>topical</w:t>
            </w:r>
          </w:p>
        </w:tc>
        <w:tc>
          <w:tcPr>
            <w:tcW w:w="1447" w:type="pct"/>
            <w:tcBorders>
              <w:top w:val="single" w:sz="2" w:space="0" w:color="auto"/>
              <w:bottom w:val="single" w:sz="2" w:space="0" w:color="auto"/>
            </w:tcBorders>
            <w:shd w:val="clear" w:color="auto" w:fill="auto"/>
          </w:tcPr>
          <w:p w14:paraId="1F478408" w14:textId="49FDC114" w:rsidR="00C410E6" w:rsidRPr="005E3B43" w:rsidRDefault="00C410E6" w:rsidP="00763BCF">
            <w:pPr>
              <w:pStyle w:val="Tabletext"/>
            </w:pPr>
            <w:r w:rsidRPr="005E3B43">
              <w:t>treatment, or prolongation of flare</w:t>
            </w:r>
            <w:r w:rsidR="007C3215">
              <w:noBreakHyphen/>
            </w:r>
            <w:r w:rsidRPr="005E3B43">
              <w:t>free intervals, of dermatitis/eczema where other treatments have failed</w:t>
            </w:r>
          </w:p>
        </w:tc>
      </w:tr>
      <w:tr w:rsidR="00C410E6" w:rsidRPr="005E3B43" w14:paraId="5E63EABF" w14:textId="77777777" w:rsidTr="004F6606">
        <w:trPr>
          <w:trHeight w:val="20"/>
        </w:trPr>
        <w:tc>
          <w:tcPr>
            <w:tcW w:w="645" w:type="pct"/>
            <w:tcBorders>
              <w:top w:val="single" w:sz="2" w:space="0" w:color="auto"/>
              <w:bottom w:val="single" w:sz="2" w:space="0" w:color="auto"/>
            </w:tcBorders>
          </w:tcPr>
          <w:p w14:paraId="5BEB9977" w14:textId="77777777" w:rsidR="00C410E6" w:rsidRPr="005E3B43" w:rsidRDefault="00C410E6" w:rsidP="00763BCF">
            <w:pPr>
              <w:pStyle w:val="Tabletext"/>
            </w:pPr>
            <w:r w:rsidRPr="005E3B43">
              <w:t>14</w:t>
            </w:r>
          </w:p>
        </w:tc>
        <w:tc>
          <w:tcPr>
            <w:tcW w:w="1246" w:type="pct"/>
            <w:tcBorders>
              <w:top w:val="single" w:sz="2" w:space="0" w:color="auto"/>
              <w:bottom w:val="single" w:sz="2" w:space="0" w:color="auto"/>
            </w:tcBorders>
            <w:shd w:val="clear" w:color="auto" w:fill="auto"/>
          </w:tcPr>
          <w:p w14:paraId="786B42F1" w14:textId="77777777" w:rsidR="00C410E6" w:rsidRPr="005E3B43" w:rsidRDefault="00C410E6" w:rsidP="00763BCF">
            <w:pPr>
              <w:pStyle w:val="Tabletext"/>
            </w:pPr>
            <w:r w:rsidRPr="005E3B43">
              <w:t>clobetasol propionate 0.05%</w:t>
            </w:r>
          </w:p>
        </w:tc>
        <w:tc>
          <w:tcPr>
            <w:tcW w:w="752" w:type="pct"/>
            <w:tcBorders>
              <w:top w:val="single" w:sz="2" w:space="0" w:color="auto"/>
              <w:bottom w:val="single" w:sz="2" w:space="0" w:color="auto"/>
            </w:tcBorders>
            <w:shd w:val="clear" w:color="auto" w:fill="auto"/>
          </w:tcPr>
          <w:p w14:paraId="45F41A27" w14:textId="77777777" w:rsidR="00C410E6" w:rsidRPr="005E3B43" w:rsidRDefault="00C410E6" w:rsidP="00763BCF">
            <w:pPr>
              <w:pStyle w:val="Tabletext"/>
            </w:pPr>
            <w:r w:rsidRPr="005E3B43">
              <w:t>lotion</w:t>
            </w:r>
          </w:p>
        </w:tc>
        <w:tc>
          <w:tcPr>
            <w:tcW w:w="910" w:type="pct"/>
            <w:tcBorders>
              <w:top w:val="single" w:sz="2" w:space="0" w:color="auto"/>
              <w:bottom w:val="single" w:sz="2" w:space="0" w:color="auto"/>
            </w:tcBorders>
            <w:shd w:val="clear" w:color="auto" w:fill="auto"/>
          </w:tcPr>
          <w:p w14:paraId="409C14B9" w14:textId="77777777" w:rsidR="00C410E6" w:rsidRPr="005E3B43" w:rsidRDefault="00C410E6" w:rsidP="00763BCF">
            <w:pPr>
              <w:pStyle w:val="Tabletext"/>
            </w:pPr>
            <w:r w:rsidRPr="005E3B43">
              <w:t>topical</w:t>
            </w:r>
          </w:p>
        </w:tc>
        <w:tc>
          <w:tcPr>
            <w:tcW w:w="1447" w:type="pct"/>
            <w:tcBorders>
              <w:top w:val="single" w:sz="2" w:space="0" w:color="auto"/>
              <w:bottom w:val="single" w:sz="2" w:space="0" w:color="auto"/>
            </w:tcBorders>
            <w:shd w:val="clear" w:color="auto" w:fill="auto"/>
          </w:tcPr>
          <w:p w14:paraId="3ED3CCC8" w14:textId="3B65BD17" w:rsidR="00C410E6" w:rsidRPr="005E3B43" w:rsidRDefault="00C410E6" w:rsidP="00763BCF">
            <w:pPr>
              <w:pStyle w:val="Tabletext"/>
            </w:pPr>
            <w:r w:rsidRPr="005E3B43">
              <w:t>treatment, or prolongation of flare</w:t>
            </w:r>
            <w:r w:rsidR="007C3215">
              <w:noBreakHyphen/>
            </w:r>
            <w:r w:rsidRPr="005E3B43">
              <w:t>free intervals, of dermatitis/eczema where other treatments have failed</w:t>
            </w:r>
          </w:p>
        </w:tc>
      </w:tr>
      <w:tr w:rsidR="00C410E6" w:rsidRPr="005E3B43" w14:paraId="2749FAED" w14:textId="77777777" w:rsidTr="004F6606">
        <w:trPr>
          <w:trHeight w:val="20"/>
        </w:trPr>
        <w:tc>
          <w:tcPr>
            <w:tcW w:w="645" w:type="pct"/>
            <w:tcBorders>
              <w:top w:val="single" w:sz="2" w:space="0" w:color="auto"/>
              <w:bottom w:val="single" w:sz="2" w:space="0" w:color="auto"/>
            </w:tcBorders>
          </w:tcPr>
          <w:p w14:paraId="3A319647" w14:textId="77777777" w:rsidR="00C410E6" w:rsidRPr="005E3B43" w:rsidRDefault="00C410E6" w:rsidP="00763BCF">
            <w:pPr>
              <w:pStyle w:val="Tabletext"/>
            </w:pPr>
            <w:r w:rsidRPr="005E3B43">
              <w:t>15</w:t>
            </w:r>
          </w:p>
        </w:tc>
        <w:tc>
          <w:tcPr>
            <w:tcW w:w="1246" w:type="pct"/>
            <w:tcBorders>
              <w:top w:val="single" w:sz="2" w:space="0" w:color="auto"/>
              <w:bottom w:val="single" w:sz="2" w:space="0" w:color="auto"/>
            </w:tcBorders>
            <w:shd w:val="clear" w:color="auto" w:fill="auto"/>
          </w:tcPr>
          <w:p w14:paraId="1B5EE30F" w14:textId="77777777" w:rsidR="00C410E6" w:rsidRPr="005E3B43" w:rsidRDefault="00C410E6" w:rsidP="00763BCF">
            <w:pPr>
              <w:pStyle w:val="Tabletext"/>
            </w:pPr>
            <w:r w:rsidRPr="005E3B43">
              <w:t>clobetasol propionate 0.05%</w:t>
            </w:r>
          </w:p>
        </w:tc>
        <w:tc>
          <w:tcPr>
            <w:tcW w:w="752" w:type="pct"/>
            <w:tcBorders>
              <w:top w:val="single" w:sz="2" w:space="0" w:color="auto"/>
              <w:bottom w:val="single" w:sz="2" w:space="0" w:color="auto"/>
            </w:tcBorders>
            <w:shd w:val="clear" w:color="auto" w:fill="auto"/>
          </w:tcPr>
          <w:p w14:paraId="223971F2" w14:textId="77777777" w:rsidR="00C410E6" w:rsidRPr="005E3B43" w:rsidRDefault="00C410E6" w:rsidP="00763BCF">
            <w:pPr>
              <w:pStyle w:val="Tabletext"/>
            </w:pPr>
            <w:r w:rsidRPr="005E3B43">
              <w:t>ointment</w:t>
            </w:r>
          </w:p>
        </w:tc>
        <w:tc>
          <w:tcPr>
            <w:tcW w:w="910" w:type="pct"/>
            <w:tcBorders>
              <w:top w:val="single" w:sz="2" w:space="0" w:color="auto"/>
              <w:bottom w:val="single" w:sz="2" w:space="0" w:color="auto"/>
            </w:tcBorders>
            <w:shd w:val="clear" w:color="auto" w:fill="auto"/>
          </w:tcPr>
          <w:p w14:paraId="10D50CEF" w14:textId="77777777" w:rsidR="00C410E6" w:rsidRPr="005E3B43" w:rsidRDefault="00C410E6" w:rsidP="00763BCF">
            <w:pPr>
              <w:pStyle w:val="Tabletext"/>
            </w:pPr>
            <w:r w:rsidRPr="005E3B43">
              <w:t>topical</w:t>
            </w:r>
          </w:p>
        </w:tc>
        <w:tc>
          <w:tcPr>
            <w:tcW w:w="1447" w:type="pct"/>
            <w:tcBorders>
              <w:top w:val="single" w:sz="2" w:space="0" w:color="auto"/>
              <w:bottom w:val="single" w:sz="2" w:space="0" w:color="auto"/>
            </w:tcBorders>
            <w:shd w:val="clear" w:color="auto" w:fill="auto"/>
          </w:tcPr>
          <w:p w14:paraId="585DF341" w14:textId="1C39C1C8" w:rsidR="00C410E6" w:rsidRPr="005E3B43" w:rsidRDefault="00C410E6" w:rsidP="00763BCF">
            <w:pPr>
              <w:pStyle w:val="Tabletext"/>
            </w:pPr>
            <w:r w:rsidRPr="005E3B43">
              <w:t>treatment, or prolongation of flare</w:t>
            </w:r>
            <w:r w:rsidR="007C3215">
              <w:noBreakHyphen/>
            </w:r>
            <w:r w:rsidRPr="005E3B43">
              <w:t>free intervals, of dermatitis/eczema where other treatments have failed</w:t>
            </w:r>
          </w:p>
        </w:tc>
      </w:tr>
      <w:tr w:rsidR="00C410E6" w:rsidRPr="005E3B43" w14:paraId="3BDC1C23" w14:textId="77777777" w:rsidTr="004F6606">
        <w:trPr>
          <w:trHeight w:val="20"/>
        </w:trPr>
        <w:tc>
          <w:tcPr>
            <w:tcW w:w="645" w:type="pct"/>
            <w:tcBorders>
              <w:top w:val="single" w:sz="2" w:space="0" w:color="auto"/>
              <w:bottom w:val="single" w:sz="2" w:space="0" w:color="auto"/>
            </w:tcBorders>
          </w:tcPr>
          <w:p w14:paraId="5C2C28AB" w14:textId="77777777" w:rsidR="00C410E6" w:rsidRPr="005E3B43" w:rsidRDefault="00C410E6" w:rsidP="00763BCF">
            <w:pPr>
              <w:pStyle w:val="Tabletext"/>
            </w:pPr>
            <w:r w:rsidRPr="005E3B43">
              <w:t>16</w:t>
            </w:r>
          </w:p>
        </w:tc>
        <w:tc>
          <w:tcPr>
            <w:tcW w:w="1246" w:type="pct"/>
            <w:tcBorders>
              <w:top w:val="single" w:sz="2" w:space="0" w:color="auto"/>
              <w:bottom w:val="single" w:sz="2" w:space="0" w:color="auto"/>
            </w:tcBorders>
            <w:shd w:val="clear" w:color="auto" w:fill="auto"/>
          </w:tcPr>
          <w:p w14:paraId="25210868" w14:textId="77777777" w:rsidR="00C410E6" w:rsidRPr="005E3B43" w:rsidRDefault="00C410E6" w:rsidP="00763BCF">
            <w:pPr>
              <w:pStyle w:val="Tabletext"/>
            </w:pPr>
            <w:r w:rsidRPr="005E3B43">
              <w:t>clofazimine</w:t>
            </w:r>
          </w:p>
        </w:tc>
        <w:tc>
          <w:tcPr>
            <w:tcW w:w="752" w:type="pct"/>
            <w:tcBorders>
              <w:top w:val="single" w:sz="2" w:space="0" w:color="auto"/>
              <w:bottom w:val="single" w:sz="2" w:space="0" w:color="auto"/>
            </w:tcBorders>
            <w:shd w:val="clear" w:color="auto" w:fill="auto"/>
          </w:tcPr>
          <w:p w14:paraId="7F4C40EA" w14:textId="77777777" w:rsidR="00C410E6" w:rsidRPr="005E3B43" w:rsidRDefault="00C410E6" w:rsidP="00763BCF">
            <w:pPr>
              <w:pStyle w:val="Tabletext"/>
            </w:pPr>
            <w:r w:rsidRPr="005E3B43">
              <w:t>capsule</w:t>
            </w:r>
          </w:p>
        </w:tc>
        <w:tc>
          <w:tcPr>
            <w:tcW w:w="910" w:type="pct"/>
            <w:tcBorders>
              <w:top w:val="single" w:sz="2" w:space="0" w:color="auto"/>
              <w:bottom w:val="single" w:sz="2" w:space="0" w:color="auto"/>
            </w:tcBorders>
            <w:shd w:val="clear" w:color="auto" w:fill="auto"/>
          </w:tcPr>
          <w:p w14:paraId="2B63479F" w14:textId="77777777"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14:paraId="1ABF66EC" w14:textId="1B490B04" w:rsidR="00C410E6" w:rsidRPr="005E3B43" w:rsidRDefault="00C410E6" w:rsidP="00763BCF">
            <w:pPr>
              <w:pStyle w:val="Tabletext"/>
            </w:pPr>
            <w:r w:rsidRPr="005E3B43">
              <w:t xml:space="preserve">treatment of Leprosy, granulomatous cheilitis, Melkersson Rosenthal Syndrome, confirmed </w:t>
            </w:r>
            <w:r w:rsidRPr="005E3B43">
              <w:rPr>
                <w:i/>
              </w:rPr>
              <w:t>mycobacterium avium</w:t>
            </w:r>
            <w:r w:rsidRPr="005E3B43">
              <w:t xml:space="preserve"> paratuberculosis in immunocompromised patients recommended by an infectious disease specialist, erythema nodosum leprosum, drug </w:t>
            </w:r>
            <w:r w:rsidRPr="005E3B43">
              <w:lastRenderedPageBreak/>
              <w:t>resistant tuberculosis, non</w:t>
            </w:r>
            <w:r w:rsidR="007C3215">
              <w:noBreakHyphen/>
            </w:r>
            <w:r w:rsidRPr="005E3B43">
              <w:t>tuberculosis mycobacterial infections or other infections as recommended by an infectious diseases specialist</w:t>
            </w:r>
          </w:p>
        </w:tc>
      </w:tr>
      <w:tr w:rsidR="00C410E6" w:rsidRPr="005E3B43" w14:paraId="66692E2F" w14:textId="77777777" w:rsidTr="004F6606">
        <w:trPr>
          <w:trHeight w:val="20"/>
        </w:trPr>
        <w:tc>
          <w:tcPr>
            <w:tcW w:w="645" w:type="pct"/>
            <w:tcBorders>
              <w:top w:val="single" w:sz="2" w:space="0" w:color="auto"/>
              <w:bottom w:val="single" w:sz="2" w:space="0" w:color="auto"/>
            </w:tcBorders>
          </w:tcPr>
          <w:p w14:paraId="06305198" w14:textId="77777777" w:rsidR="00C410E6" w:rsidRPr="005E3B43" w:rsidRDefault="00C410E6" w:rsidP="00763BCF">
            <w:pPr>
              <w:pStyle w:val="Tabletext"/>
            </w:pPr>
            <w:r w:rsidRPr="005E3B43">
              <w:lastRenderedPageBreak/>
              <w:t>17</w:t>
            </w:r>
          </w:p>
        </w:tc>
        <w:tc>
          <w:tcPr>
            <w:tcW w:w="1246" w:type="pct"/>
            <w:tcBorders>
              <w:top w:val="single" w:sz="2" w:space="0" w:color="auto"/>
              <w:bottom w:val="single" w:sz="2" w:space="0" w:color="auto"/>
            </w:tcBorders>
            <w:shd w:val="clear" w:color="auto" w:fill="auto"/>
          </w:tcPr>
          <w:p w14:paraId="06B6F6C2" w14:textId="77777777" w:rsidR="00C410E6" w:rsidRPr="005E3B43" w:rsidRDefault="00C410E6" w:rsidP="00763BCF">
            <w:pPr>
              <w:pStyle w:val="Tabletext"/>
            </w:pPr>
            <w:r w:rsidRPr="005E3B43">
              <w:t>cyclopentolate, 0.2%, and phenylephrine, 1%</w:t>
            </w:r>
          </w:p>
        </w:tc>
        <w:tc>
          <w:tcPr>
            <w:tcW w:w="752" w:type="pct"/>
            <w:tcBorders>
              <w:top w:val="single" w:sz="2" w:space="0" w:color="auto"/>
              <w:bottom w:val="single" w:sz="2" w:space="0" w:color="auto"/>
            </w:tcBorders>
            <w:shd w:val="clear" w:color="auto" w:fill="auto"/>
          </w:tcPr>
          <w:p w14:paraId="34252F58" w14:textId="77777777" w:rsidR="00C410E6" w:rsidRPr="005E3B43" w:rsidRDefault="00C410E6" w:rsidP="00763BCF">
            <w:pPr>
              <w:pStyle w:val="Tabletext"/>
            </w:pPr>
            <w:r w:rsidRPr="005E3B43">
              <w:t>eye drops</w:t>
            </w:r>
          </w:p>
        </w:tc>
        <w:tc>
          <w:tcPr>
            <w:tcW w:w="910" w:type="pct"/>
            <w:tcBorders>
              <w:top w:val="single" w:sz="2" w:space="0" w:color="auto"/>
              <w:bottom w:val="single" w:sz="2" w:space="0" w:color="auto"/>
            </w:tcBorders>
            <w:shd w:val="clear" w:color="auto" w:fill="auto"/>
          </w:tcPr>
          <w:p w14:paraId="119605A8" w14:textId="77777777" w:rsidR="00C410E6" w:rsidRPr="005E3B43" w:rsidRDefault="00C410E6" w:rsidP="00763BCF">
            <w:pPr>
              <w:pStyle w:val="Tabletext"/>
            </w:pPr>
            <w:r w:rsidRPr="005E3B43">
              <w:t>ophthalmic</w:t>
            </w:r>
          </w:p>
        </w:tc>
        <w:tc>
          <w:tcPr>
            <w:tcW w:w="1447" w:type="pct"/>
            <w:tcBorders>
              <w:top w:val="single" w:sz="2" w:space="0" w:color="auto"/>
              <w:bottom w:val="single" w:sz="2" w:space="0" w:color="auto"/>
            </w:tcBorders>
            <w:shd w:val="clear" w:color="auto" w:fill="auto"/>
          </w:tcPr>
          <w:p w14:paraId="4363CAD5" w14:textId="77777777" w:rsidR="00C410E6" w:rsidRPr="005E3B43" w:rsidRDefault="00C410E6" w:rsidP="00763BCF">
            <w:pPr>
              <w:pStyle w:val="Tabletext"/>
            </w:pPr>
            <w:r w:rsidRPr="005E3B43">
              <w:t>production of mydriasis</w:t>
            </w:r>
          </w:p>
        </w:tc>
      </w:tr>
      <w:tr w:rsidR="00C410E6" w:rsidRPr="005E3B43" w14:paraId="592FCB7C" w14:textId="77777777" w:rsidTr="004F6606">
        <w:trPr>
          <w:trHeight w:val="20"/>
        </w:trPr>
        <w:tc>
          <w:tcPr>
            <w:tcW w:w="645" w:type="pct"/>
            <w:tcBorders>
              <w:top w:val="single" w:sz="2" w:space="0" w:color="auto"/>
              <w:bottom w:val="single" w:sz="2" w:space="0" w:color="auto"/>
            </w:tcBorders>
          </w:tcPr>
          <w:p w14:paraId="6C1DB4FC" w14:textId="77777777" w:rsidR="00C410E6" w:rsidRPr="005E3B43" w:rsidRDefault="00C410E6" w:rsidP="00763BCF">
            <w:pPr>
              <w:pStyle w:val="Tabletext"/>
            </w:pPr>
            <w:r w:rsidRPr="005E3B43">
              <w:t>18</w:t>
            </w:r>
          </w:p>
        </w:tc>
        <w:tc>
          <w:tcPr>
            <w:tcW w:w="1246" w:type="pct"/>
            <w:tcBorders>
              <w:top w:val="single" w:sz="2" w:space="0" w:color="auto"/>
              <w:bottom w:val="single" w:sz="2" w:space="0" w:color="auto"/>
            </w:tcBorders>
            <w:shd w:val="clear" w:color="auto" w:fill="auto"/>
          </w:tcPr>
          <w:p w14:paraId="4AB527AD" w14:textId="77777777" w:rsidR="00C410E6" w:rsidRPr="005E3B43" w:rsidRDefault="00C410E6" w:rsidP="00763BCF">
            <w:pPr>
              <w:pStyle w:val="Tabletext"/>
            </w:pPr>
            <w:r w:rsidRPr="005E3B43">
              <w:t>ciclosporin, 0.05%</w:t>
            </w:r>
          </w:p>
        </w:tc>
        <w:tc>
          <w:tcPr>
            <w:tcW w:w="752" w:type="pct"/>
            <w:tcBorders>
              <w:top w:val="single" w:sz="2" w:space="0" w:color="auto"/>
              <w:bottom w:val="single" w:sz="2" w:space="0" w:color="auto"/>
            </w:tcBorders>
            <w:shd w:val="clear" w:color="auto" w:fill="auto"/>
          </w:tcPr>
          <w:p w14:paraId="22BFE2B4" w14:textId="77777777" w:rsidR="00C410E6" w:rsidRPr="005E3B43" w:rsidRDefault="00C410E6" w:rsidP="00763BCF">
            <w:pPr>
              <w:pStyle w:val="Tabletext"/>
            </w:pPr>
            <w:r w:rsidRPr="005E3B43">
              <w:t>eye drops, emulsion</w:t>
            </w:r>
          </w:p>
        </w:tc>
        <w:tc>
          <w:tcPr>
            <w:tcW w:w="910" w:type="pct"/>
            <w:tcBorders>
              <w:top w:val="single" w:sz="2" w:space="0" w:color="auto"/>
              <w:bottom w:val="single" w:sz="2" w:space="0" w:color="auto"/>
            </w:tcBorders>
            <w:shd w:val="clear" w:color="auto" w:fill="auto"/>
          </w:tcPr>
          <w:p w14:paraId="3668D87A" w14:textId="77777777" w:rsidR="00C410E6" w:rsidRPr="005E3B43" w:rsidRDefault="00C410E6" w:rsidP="00763BCF">
            <w:pPr>
              <w:pStyle w:val="Tabletext"/>
            </w:pPr>
            <w:r w:rsidRPr="005E3B43">
              <w:t>ophthalmic</w:t>
            </w:r>
          </w:p>
        </w:tc>
        <w:tc>
          <w:tcPr>
            <w:tcW w:w="1447" w:type="pct"/>
            <w:tcBorders>
              <w:top w:val="single" w:sz="2" w:space="0" w:color="auto"/>
              <w:bottom w:val="single" w:sz="2" w:space="0" w:color="auto"/>
            </w:tcBorders>
            <w:shd w:val="clear" w:color="auto" w:fill="auto"/>
          </w:tcPr>
          <w:p w14:paraId="6F4585ED" w14:textId="77777777" w:rsidR="00C410E6" w:rsidRPr="005E3B43" w:rsidRDefault="00C410E6" w:rsidP="00763BCF">
            <w:pPr>
              <w:pStyle w:val="Tabletext"/>
            </w:pPr>
            <w:r w:rsidRPr="005E3B43">
              <w:t>treatment of suppressed tear production due to ocular inflammation associated with keratoconjunctivitis sicca (dry eye syndrome)</w:t>
            </w:r>
          </w:p>
        </w:tc>
      </w:tr>
      <w:tr w:rsidR="00C410E6" w:rsidRPr="005E3B43" w14:paraId="70301887" w14:textId="77777777" w:rsidTr="004F6606">
        <w:trPr>
          <w:trHeight w:val="20"/>
        </w:trPr>
        <w:tc>
          <w:tcPr>
            <w:tcW w:w="645" w:type="pct"/>
            <w:tcBorders>
              <w:top w:val="single" w:sz="2" w:space="0" w:color="auto"/>
              <w:bottom w:val="single" w:sz="2" w:space="0" w:color="auto"/>
            </w:tcBorders>
          </w:tcPr>
          <w:p w14:paraId="199E2D97" w14:textId="77777777" w:rsidR="00C410E6" w:rsidRPr="005E3B43" w:rsidRDefault="00C410E6" w:rsidP="00763BCF">
            <w:pPr>
              <w:pStyle w:val="Tabletext"/>
            </w:pPr>
            <w:r w:rsidRPr="005E3B43">
              <w:t>19</w:t>
            </w:r>
          </w:p>
        </w:tc>
        <w:tc>
          <w:tcPr>
            <w:tcW w:w="1246" w:type="pct"/>
            <w:tcBorders>
              <w:top w:val="single" w:sz="2" w:space="0" w:color="auto"/>
              <w:bottom w:val="single" w:sz="2" w:space="0" w:color="auto"/>
            </w:tcBorders>
            <w:shd w:val="clear" w:color="auto" w:fill="auto"/>
          </w:tcPr>
          <w:p w14:paraId="6447AFA7" w14:textId="77777777" w:rsidR="00C410E6" w:rsidRPr="005E3B43" w:rsidRDefault="00C410E6" w:rsidP="00763BCF">
            <w:pPr>
              <w:pStyle w:val="Tabletext"/>
            </w:pPr>
            <w:r w:rsidRPr="005E3B43">
              <w:t>deflazacort</w:t>
            </w:r>
          </w:p>
        </w:tc>
        <w:tc>
          <w:tcPr>
            <w:tcW w:w="752" w:type="pct"/>
            <w:tcBorders>
              <w:top w:val="single" w:sz="2" w:space="0" w:color="auto"/>
              <w:bottom w:val="single" w:sz="2" w:space="0" w:color="auto"/>
            </w:tcBorders>
            <w:shd w:val="clear" w:color="auto" w:fill="auto"/>
          </w:tcPr>
          <w:p w14:paraId="2D2A838B" w14:textId="77777777"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14:paraId="53053839" w14:textId="77777777"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14:paraId="0A4ABC8D" w14:textId="77777777" w:rsidR="00C410E6" w:rsidRPr="005E3B43" w:rsidRDefault="00C410E6" w:rsidP="00763BCF">
            <w:pPr>
              <w:pStyle w:val="Tabletext"/>
            </w:pPr>
            <w:r w:rsidRPr="005E3B43">
              <w:t>treatment of Duchenne muscular dystrophy</w:t>
            </w:r>
          </w:p>
        </w:tc>
      </w:tr>
      <w:tr w:rsidR="00C410E6" w:rsidRPr="005E3B43" w14:paraId="2FB11B45" w14:textId="77777777" w:rsidTr="004F6606">
        <w:trPr>
          <w:trHeight w:val="20"/>
        </w:trPr>
        <w:tc>
          <w:tcPr>
            <w:tcW w:w="645" w:type="pct"/>
            <w:tcBorders>
              <w:top w:val="single" w:sz="2" w:space="0" w:color="auto"/>
              <w:bottom w:val="single" w:sz="2" w:space="0" w:color="auto"/>
            </w:tcBorders>
          </w:tcPr>
          <w:p w14:paraId="0029F2CD" w14:textId="77777777" w:rsidR="00C410E6" w:rsidRPr="005E3B43" w:rsidRDefault="00C410E6" w:rsidP="00763BCF">
            <w:pPr>
              <w:pStyle w:val="Tabletext"/>
            </w:pPr>
            <w:r w:rsidRPr="005E3B43">
              <w:t>20</w:t>
            </w:r>
          </w:p>
        </w:tc>
        <w:tc>
          <w:tcPr>
            <w:tcW w:w="1246" w:type="pct"/>
            <w:tcBorders>
              <w:top w:val="single" w:sz="2" w:space="0" w:color="auto"/>
              <w:bottom w:val="single" w:sz="2" w:space="0" w:color="auto"/>
            </w:tcBorders>
            <w:shd w:val="clear" w:color="auto" w:fill="auto"/>
          </w:tcPr>
          <w:p w14:paraId="64544A68" w14:textId="7A914F6B" w:rsidR="00C410E6" w:rsidRPr="005E3B43" w:rsidRDefault="00C410E6" w:rsidP="00763BCF">
            <w:pPr>
              <w:pStyle w:val="Tabletext"/>
            </w:pPr>
            <w:r w:rsidRPr="005E3B43">
              <w:t xml:space="preserve">dehydrated ethanol (alcohol) 96% </w:t>
            </w:r>
            <w:r w:rsidR="007C3215">
              <w:noBreakHyphen/>
            </w:r>
            <w:r w:rsidRPr="005E3B43">
              <w:t xml:space="preserve"> 100%</w:t>
            </w:r>
          </w:p>
        </w:tc>
        <w:tc>
          <w:tcPr>
            <w:tcW w:w="752" w:type="pct"/>
            <w:tcBorders>
              <w:top w:val="single" w:sz="2" w:space="0" w:color="auto"/>
              <w:bottom w:val="single" w:sz="2" w:space="0" w:color="auto"/>
            </w:tcBorders>
            <w:shd w:val="clear" w:color="auto" w:fill="auto"/>
          </w:tcPr>
          <w:p w14:paraId="10B770DF" w14:textId="77777777" w:rsidR="00C410E6" w:rsidRPr="005E3B43" w:rsidRDefault="00C410E6" w:rsidP="00763BCF">
            <w:pPr>
              <w:pStyle w:val="Tabletext"/>
            </w:pPr>
            <w:r w:rsidRPr="005E3B43">
              <w:t>ampoule</w:t>
            </w:r>
          </w:p>
        </w:tc>
        <w:tc>
          <w:tcPr>
            <w:tcW w:w="910" w:type="pct"/>
            <w:tcBorders>
              <w:top w:val="single" w:sz="2" w:space="0" w:color="auto"/>
              <w:bottom w:val="single" w:sz="2" w:space="0" w:color="auto"/>
            </w:tcBorders>
            <w:shd w:val="clear" w:color="auto" w:fill="auto"/>
          </w:tcPr>
          <w:p w14:paraId="6871CAE4" w14:textId="77777777" w:rsidR="00C410E6" w:rsidRPr="005E3B43" w:rsidRDefault="00C410E6" w:rsidP="00763BCF">
            <w:pPr>
              <w:pStyle w:val="Tabletext"/>
            </w:pPr>
            <w:r w:rsidRPr="005E3B43">
              <w:t>topical</w:t>
            </w:r>
          </w:p>
        </w:tc>
        <w:tc>
          <w:tcPr>
            <w:tcW w:w="1447" w:type="pct"/>
            <w:tcBorders>
              <w:top w:val="single" w:sz="2" w:space="0" w:color="auto"/>
              <w:bottom w:val="single" w:sz="2" w:space="0" w:color="auto"/>
            </w:tcBorders>
            <w:shd w:val="clear" w:color="auto" w:fill="auto"/>
          </w:tcPr>
          <w:p w14:paraId="70816949" w14:textId="36848BDC" w:rsidR="00C410E6" w:rsidRPr="005E3B43" w:rsidRDefault="00C410E6" w:rsidP="00763BCF">
            <w:pPr>
              <w:pStyle w:val="Tabletext"/>
            </w:pPr>
            <w:r w:rsidRPr="005E3B43">
              <w:t>treatment of progressive keratoconus and intra</w:t>
            </w:r>
            <w:r w:rsidR="007C3215">
              <w:noBreakHyphen/>
            </w:r>
            <w:r w:rsidRPr="005E3B43">
              <w:t>operative use in superficial keratectomy (single use per procedure)</w:t>
            </w:r>
          </w:p>
        </w:tc>
      </w:tr>
      <w:tr w:rsidR="00C410E6" w:rsidRPr="005E3B43" w14:paraId="474745A6" w14:textId="77777777" w:rsidTr="004F6606">
        <w:trPr>
          <w:trHeight w:val="20"/>
        </w:trPr>
        <w:tc>
          <w:tcPr>
            <w:tcW w:w="645" w:type="pct"/>
            <w:tcBorders>
              <w:top w:val="single" w:sz="2" w:space="0" w:color="auto"/>
              <w:bottom w:val="single" w:sz="2" w:space="0" w:color="auto"/>
            </w:tcBorders>
          </w:tcPr>
          <w:p w14:paraId="386FE262" w14:textId="77777777" w:rsidR="00C410E6" w:rsidRPr="005E3B43" w:rsidRDefault="00C410E6" w:rsidP="00763BCF">
            <w:pPr>
              <w:pStyle w:val="Tabletext"/>
            </w:pPr>
            <w:r w:rsidRPr="005E3B43">
              <w:t>21</w:t>
            </w:r>
          </w:p>
        </w:tc>
        <w:tc>
          <w:tcPr>
            <w:tcW w:w="1246" w:type="pct"/>
            <w:tcBorders>
              <w:top w:val="single" w:sz="2" w:space="0" w:color="auto"/>
              <w:bottom w:val="single" w:sz="2" w:space="0" w:color="auto"/>
            </w:tcBorders>
            <w:shd w:val="clear" w:color="auto" w:fill="auto"/>
          </w:tcPr>
          <w:p w14:paraId="374CABE9" w14:textId="77777777" w:rsidR="00C410E6" w:rsidRPr="005E3B43" w:rsidRDefault="00C410E6" w:rsidP="00763BCF">
            <w:pPr>
              <w:pStyle w:val="Tabletext"/>
            </w:pPr>
            <w:r w:rsidRPr="005E3B43">
              <w:t>dexamethasone (preservative free)</w:t>
            </w:r>
          </w:p>
        </w:tc>
        <w:tc>
          <w:tcPr>
            <w:tcW w:w="752" w:type="pct"/>
            <w:tcBorders>
              <w:top w:val="single" w:sz="2" w:space="0" w:color="auto"/>
              <w:bottom w:val="single" w:sz="2" w:space="0" w:color="auto"/>
            </w:tcBorders>
            <w:shd w:val="clear" w:color="auto" w:fill="auto"/>
          </w:tcPr>
          <w:p w14:paraId="136BC91D" w14:textId="77777777" w:rsidR="00C410E6" w:rsidRPr="005E3B43" w:rsidRDefault="00C410E6" w:rsidP="00763BCF">
            <w:pPr>
              <w:pStyle w:val="Tabletext"/>
            </w:pPr>
            <w:r w:rsidRPr="005E3B43">
              <w:t>eye drops</w:t>
            </w:r>
          </w:p>
        </w:tc>
        <w:tc>
          <w:tcPr>
            <w:tcW w:w="910" w:type="pct"/>
            <w:tcBorders>
              <w:top w:val="single" w:sz="2" w:space="0" w:color="auto"/>
              <w:bottom w:val="single" w:sz="2" w:space="0" w:color="auto"/>
            </w:tcBorders>
            <w:shd w:val="clear" w:color="auto" w:fill="auto"/>
          </w:tcPr>
          <w:p w14:paraId="290F0B3E" w14:textId="77777777" w:rsidR="00C410E6" w:rsidRPr="005E3B43" w:rsidRDefault="00C410E6" w:rsidP="00763BCF">
            <w:pPr>
              <w:pStyle w:val="Tabletext"/>
            </w:pPr>
            <w:r w:rsidRPr="005E3B43">
              <w:t>ophthalmic</w:t>
            </w:r>
          </w:p>
        </w:tc>
        <w:tc>
          <w:tcPr>
            <w:tcW w:w="1447" w:type="pct"/>
            <w:tcBorders>
              <w:top w:val="single" w:sz="2" w:space="0" w:color="auto"/>
              <w:bottom w:val="single" w:sz="2" w:space="0" w:color="auto"/>
            </w:tcBorders>
            <w:shd w:val="clear" w:color="auto" w:fill="auto"/>
          </w:tcPr>
          <w:p w14:paraId="412F1BB8" w14:textId="00500150" w:rsidR="00C410E6" w:rsidRPr="005E3B43" w:rsidRDefault="00C410E6" w:rsidP="00763BCF">
            <w:pPr>
              <w:pStyle w:val="Tabletext"/>
            </w:pPr>
            <w:r w:rsidRPr="005E3B43">
              <w:t>treatment of inflammatory conditions of the eye that are non</w:t>
            </w:r>
            <w:r w:rsidR="007C3215">
              <w:noBreakHyphen/>
            </w:r>
            <w:r w:rsidRPr="005E3B43">
              <w:t>infected and steroid responsive in patients sensitive to preservative</w:t>
            </w:r>
            <w:r w:rsidR="007C3215">
              <w:noBreakHyphen/>
            </w:r>
            <w:r w:rsidRPr="005E3B43">
              <w:t>containing formulations</w:t>
            </w:r>
          </w:p>
        </w:tc>
      </w:tr>
      <w:tr w:rsidR="00C410E6" w:rsidRPr="005E3B43" w14:paraId="69F8E0E0" w14:textId="77777777" w:rsidTr="004F6606">
        <w:trPr>
          <w:trHeight w:val="20"/>
        </w:trPr>
        <w:tc>
          <w:tcPr>
            <w:tcW w:w="645" w:type="pct"/>
            <w:tcBorders>
              <w:top w:val="single" w:sz="2" w:space="0" w:color="auto"/>
              <w:bottom w:val="single" w:sz="2" w:space="0" w:color="auto"/>
            </w:tcBorders>
          </w:tcPr>
          <w:p w14:paraId="1447C90C" w14:textId="77777777" w:rsidR="00C410E6" w:rsidRPr="005E3B43" w:rsidRDefault="00C410E6" w:rsidP="00763BCF">
            <w:pPr>
              <w:pStyle w:val="Tabletext"/>
            </w:pPr>
            <w:r w:rsidRPr="005E3B43">
              <w:t>22</w:t>
            </w:r>
          </w:p>
        </w:tc>
        <w:tc>
          <w:tcPr>
            <w:tcW w:w="1246" w:type="pct"/>
            <w:tcBorders>
              <w:top w:val="single" w:sz="2" w:space="0" w:color="auto"/>
              <w:bottom w:val="single" w:sz="2" w:space="0" w:color="auto"/>
            </w:tcBorders>
            <w:shd w:val="clear" w:color="auto" w:fill="auto"/>
          </w:tcPr>
          <w:p w14:paraId="20F89FBD" w14:textId="77777777" w:rsidR="00C410E6" w:rsidRPr="005E3B43" w:rsidRDefault="00C410E6" w:rsidP="00763BCF">
            <w:pPr>
              <w:pStyle w:val="Tabletext"/>
            </w:pPr>
            <w:r w:rsidRPr="005E3B43">
              <w:t>diazoxide</w:t>
            </w:r>
          </w:p>
        </w:tc>
        <w:tc>
          <w:tcPr>
            <w:tcW w:w="752" w:type="pct"/>
            <w:tcBorders>
              <w:top w:val="single" w:sz="2" w:space="0" w:color="auto"/>
              <w:bottom w:val="single" w:sz="2" w:space="0" w:color="auto"/>
            </w:tcBorders>
            <w:shd w:val="clear" w:color="auto" w:fill="auto"/>
          </w:tcPr>
          <w:p w14:paraId="7D14C8FC" w14:textId="77777777"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14:paraId="216F55A6" w14:textId="77777777"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14:paraId="47357C93" w14:textId="29B370BC" w:rsidR="00C410E6" w:rsidRPr="005E3B43" w:rsidRDefault="00C410E6" w:rsidP="00763BCF">
            <w:pPr>
              <w:pStyle w:val="Tabletext"/>
            </w:pPr>
            <w:r w:rsidRPr="005E3B43">
              <w:t>treatment of hypoglycaemia, hyperinsulinaemia, Beckwith</w:t>
            </w:r>
            <w:r w:rsidR="007C3215">
              <w:noBreakHyphen/>
            </w:r>
            <w:r w:rsidRPr="005E3B43">
              <w:t>Weiderman Syndrome or insulinoma</w:t>
            </w:r>
          </w:p>
        </w:tc>
      </w:tr>
      <w:tr w:rsidR="00C410E6" w:rsidRPr="005E3B43" w14:paraId="090123B6" w14:textId="77777777" w:rsidTr="004F6606">
        <w:trPr>
          <w:trHeight w:val="20"/>
        </w:trPr>
        <w:tc>
          <w:tcPr>
            <w:tcW w:w="645" w:type="pct"/>
            <w:tcBorders>
              <w:top w:val="single" w:sz="2" w:space="0" w:color="auto"/>
              <w:bottom w:val="single" w:sz="2" w:space="0" w:color="auto"/>
            </w:tcBorders>
          </w:tcPr>
          <w:p w14:paraId="0BD7EA8A" w14:textId="77777777" w:rsidR="00C410E6" w:rsidRPr="005E3B43" w:rsidRDefault="00C410E6" w:rsidP="00763BCF">
            <w:pPr>
              <w:pStyle w:val="Tabletext"/>
            </w:pPr>
            <w:r w:rsidRPr="005E3B43">
              <w:t>23</w:t>
            </w:r>
          </w:p>
        </w:tc>
        <w:tc>
          <w:tcPr>
            <w:tcW w:w="1246" w:type="pct"/>
            <w:tcBorders>
              <w:top w:val="single" w:sz="2" w:space="0" w:color="auto"/>
              <w:bottom w:val="single" w:sz="2" w:space="0" w:color="auto"/>
            </w:tcBorders>
            <w:shd w:val="clear" w:color="auto" w:fill="auto"/>
          </w:tcPr>
          <w:p w14:paraId="754D5897" w14:textId="77777777" w:rsidR="00C410E6" w:rsidRPr="005E3B43" w:rsidRDefault="00C410E6" w:rsidP="00763BCF">
            <w:pPr>
              <w:pStyle w:val="Tabletext"/>
            </w:pPr>
            <w:r w:rsidRPr="005E3B43">
              <w:t>diazoxide</w:t>
            </w:r>
          </w:p>
        </w:tc>
        <w:tc>
          <w:tcPr>
            <w:tcW w:w="752" w:type="pct"/>
            <w:tcBorders>
              <w:top w:val="single" w:sz="2" w:space="0" w:color="auto"/>
              <w:bottom w:val="single" w:sz="2" w:space="0" w:color="auto"/>
            </w:tcBorders>
            <w:shd w:val="clear" w:color="auto" w:fill="auto"/>
          </w:tcPr>
          <w:p w14:paraId="334C9C5B" w14:textId="77777777" w:rsidR="00C410E6" w:rsidRPr="005E3B43" w:rsidRDefault="00C410E6" w:rsidP="00763BCF">
            <w:pPr>
              <w:pStyle w:val="Tabletext"/>
            </w:pPr>
            <w:r w:rsidRPr="005E3B43">
              <w:t>capsule</w:t>
            </w:r>
          </w:p>
        </w:tc>
        <w:tc>
          <w:tcPr>
            <w:tcW w:w="910" w:type="pct"/>
            <w:tcBorders>
              <w:top w:val="single" w:sz="2" w:space="0" w:color="auto"/>
              <w:bottom w:val="single" w:sz="2" w:space="0" w:color="auto"/>
            </w:tcBorders>
            <w:shd w:val="clear" w:color="auto" w:fill="auto"/>
          </w:tcPr>
          <w:p w14:paraId="1D172082" w14:textId="77777777"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14:paraId="1B46DFB7" w14:textId="530B8901" w:rsidR="00C410E6" w:rsidRPr="005E3B43" w:rsidRDefault="00C410E6" w:rsidP="00763BCF">
            <w:pPr>
              <w:pStyle w:val="Tabletext"/>
            </w:pPr>
            <w:r w:rsidRPr="005E3B43">
              <w:t>treatment of hypoglycaemia, hyperinsulinaemia, Beckwith</w:t>
            </w:r>
            <w:r w:rsidR="007C3215">
              <w:noBreakHyphen/>
            </w:r>
            <w:r w:rsidRPr="005E3B43">
              <w:t xml:space="preserve">Weiderman Syndrome or insulinoma </w:t>
            </w:r>
          </w:p>
        </w:tc>
      </w:tr>
      <w:tr w:rsidR="00C410E6" w:rsidRPr="005E3B43" w14:paraId="09FBD781" w14:textId="77777777" w:rsidTr="004F6606">
        <w:trPr>
          <w:trHeight w:val="20"/>
        </w:trPr>
        <w:tc>
          <w:tcPr>
            <w:tcW w:w="645" w:type="pct"/>
            <w:tcBorders>
              <w:top w:val="single" w:sz="2" w:space="0" w:color="auto"/>
              <w:bottom w:val="single" w:sz="2" w:space="0" w:color="auto"/>
            </w:tcBorders>
          </w:tcPr>
          <w:p w14:paraId="0BC3A163" w14:textId="77777777" w:rsidR="00C410E6" w:rsidRPr="005E3B43" w:rsidRDefault="00C410E6" w:rsidP="00763BCF">
            <w:pPr>
              <w:pStyle w:val="Tabletext"/>
            </w:pPr>
            <w:r w:rsidRPr="005E3B43">
              <w:t>24</w:t>
            </w:r>
          </w:p>
        </w:tc>
        <w:tc>
          <w:tcPr>
            <w:tcW w:w="1246" w:type="pct"/>
            <w:tcBorders>
              <w:top w:val="single" w:sz="2" w:space="0" w:color="auto"/>
              <w:bottom w:val="single" w:sz="2" w:space="0" w:color="auto"/>
            </w:tcBorders>
            <w:shd w:val="clear" w:color="auto" w:fill="auto"/>
          </w:tcPr>
          <w:p w14:paraId="6B130324" w14:textId="77777777" w:rsidR="00C410E6" w:rsidRPr="005E3B43" w:rsidRDefault="00C410E6" w:rsidP="00763BCF">
            <w:pPr>
              <w:pStyle w:val="Tabletext"/>
            </w:pPr>
            <w:r w:rsidRPr="005E3B43">
              <w:t>diazoxide</w:t>
            </w:r>
          </w:p>
        </w:tc>
        <w:tc>
          <w:tcPr>
            <w:tcW w:w="752" w:type="pct"/>
            <w:tcBorders>
              <w:top w:val="single" w:sz="2" w:space="0" w:color="auto"/>
              <w:bottom w:val="single" w:sz="2" w:space="0" w:color="auto"/>
            </w:tcBorders>
            <w:shd w:val="clear" w:color="auto" w:fill="auto"/>
          </w:tcPr>
          <w:p w14:paraId="536C746A" w14:textId="77777777" w:rsidR="00C410E6" w:rsidRPr="005E3B43" w:rsidRDefault="00C410E6" w:rsidP="00763BCF">
            <w:pPr>
              <w:pStyle w:val="Tabletext"/>
            </w:pPr>
            <w:r w:rsidRPr="005E3B43">
              <w:t>suspension</w:t>
            </w:r>
          </w:p>
        </w:tc>
        <w:tc>
          <w:tcPr>
            <w:tcW w:w="910" w:type="pct"/>
            <w:tcBorders>
              <w:top w:val="single" w:sz="2" w:space="0" w:color="auto"/>
              <w:bottom w:val="single" w:sz="2" w:space="0" w:color="auto"/>
            </w:tcBorders>
            <w:shd w:val="clear" w:color="auto" w:fill="auto"/>
          </w:tcPr>
          <w:p w14:paraId="02BAD590" w14:textId="77777777"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14:paraId="549F9AA0" w14:textId="4C5D296C" w:rsidR="00C410E6" w:rsidRPr="005E3B43" w:rsidRDefault="00C410E6" w:rsidP="00763BCF">
            <w:pPr>
              <w:pStyle w:val="Tabletext"/>
            </w:pPr>
            <w:r w:rsidRPr="005E3B43">
              <w:t>treatment of hypoglycaemia, hyperinsulinaemia, Beckwith</w:t>
            </w:r>
            <w:r w:rsidR="007C3215">
              <w:noBreakHyphen/>
            </w:r>
            <w:r w:rsidRPr="005E3B43">
              <w:t>Weiderman Syndrome or insulinoma</w:t>
            </w:r>
          </w:p>
        </w:tc>
      </w:tr>
      <w:tr w:rsidR="00C410E6" w:rsidRPr="005E3B43" w14:paraId="372EEDDD" w14:textId="77777777" w:rsidTr="004F6606">
        <w:trPr>
          <w:trHeight w:val="20"/>
        </w:trPr>
        <w:tc>
          <w:tcPr>
            <w:tcW w:w="645" w:type="pct"/>
            <w:tcBorders>
              <w:top w:val="single" w:sz="2" w:space="0" w:color="auto"/>
              <w:bottom w:val="single" w:sz="2" w:space="0" w:color="auto"/>
            </w:tcBorders>
          </w:tcPr>
          <w:p w14:paraId="1D871F25" w14:textId="77777777" w:rsidR="00C410E6" w:rsidRPr="005E3B43" w:rsidRDefault="00C410E6" w:rsidP="00C9572F">
            <w:pPr>
              <w:pStyle w:val="Tabletext"/>
              <w:keepNext/>
            </w:pPr>
            <w:r w:rsidRPr="005E3B43">
              <w:lastRenderedPageBreak/>
              <w:t>25</w:t>
            </w:r>
          </w:p>
        </w:tc>
        <w:tc>
          <w:tcPr>
            <w:tcW w:w="1246" w:type="pct"/>
            <w:tcBorders>
              <w:top w:val="single" w:sz="2" w:space="0" w:color="auto"/>
              <w:bottom w:val="single" w:sz="2" w:space="0" w:color="auto"/>
            </w:tcBorders>
            <w:shd w:val="clear" w:color="auto" w:fill="auto"/>
          </w:tcPr>
          <w:p w14:paraId="63C29985" w14:textId="77777777" w:rsidR="00C410E6" w:rsidRPr="005E3B43" w:rsidRDefault="00C410E6" w:rsidP="00C9572F">
            <w:pPr>
              <w:pStyle w:val="Tabletext"/>
              <w:keepNext/>
            </w:pPr>
            <w:r w:rsidRPr="005E3B43">
              <w:t>diflunisal</w:t>
            </w:r>
          </w:p>
        </w:tc>
        <w:tc>
          <w:tcPr>
            <w:tcW w:w="752" w:type="pct"/>
            <w:tcBorders>
              <w:top w:val="single" w:sz="2" w:space="0" w:color="auto"/>
              <w:bottom w:val="single" w:sz="2" w:space="0" w:color="auto"/>
            </w:tcBorders>
            <w:shd w:val="clear" w:color="auto" w:fill="auto"/>
          </w:tcPr>
          <w:p w14:paraId="3B885D4E" w14:textId="77777777" w:rsidR="00C410E6" w:rsidRPr="005E3B43" w:rsidRDefault="00C410E6" w:rsidP="00C9572F">
            <w:pPr>
              <w:pStyle w:val="Tabletext"/>
              <w:keepNext/>
            </w:pPr>
            <w:r w:rsidRPr="005E3B43">
              <w:t>tablet</w:t>
            </w:r>
          </w:p>
        </w:tc>
        <w:tc>
          <w:tcPr>
            <w:tcW w:w="910" w:type="pct"/>
            <w:tcBorders>
              <w:top w:val="single" w:sz="2" w:space="0" w:color="auto"/>
              <w:bottom w:val="single" w:sz="2" w:space="0" w:color="auto"/>
            </w:tcBorders>
            <w:shd w:val="clear" w:color="auto" w:fill="auto"/>
          </w:tcPr>
          <w:p w14:paraId="797058F1" w14:textId="77777777" w:rsidR="00C410E6" w:rsidRPr="005E3B43" w:rsidRDefault="00C410E6" w:rsidP="00C9572F">
            <w:pPr>
              <w:pStyle w:val="Tabletext"/>
              <w:keepNext/>
            </w:pPr>
            <w:r w:rsidRPr="005E3B43">
              <w:t>oral</w:t>
            </w:r>
          </w:p>
        </w:tc>
        <w:tc>
          <w:tcPr>
            <w:tcW w:w="1447" w:type="pct"/>
            <w:tcBorders>
              <w:top w:val="single" w:sz="2" w:space="0" w:color="auto"/>
              <w:bottom w:val="single" w:sz="2" w:space="0" w:color="auto"/>
            </w:tcBorders>
            <w:shd w:val="clear" w:color="auto" w:fill="auto"/>
          </w:tcPr>
          <w:p w14:paraId="66110D0F" w14:textId="77777777" w:rsidR="00C410E6" w:rsidRPr="005E3B43" w:rsidRDefault="00C410E6" w:rsidP="00C9572F">
            <w:pPr>
              <w:pStyle w:val="Tabletext"/>
              <w:keepNext/>
            </w:pPr>
            <w:r w:rsidRPr="005E3B43">
              <w:t>treatment of amyloidosis</w:t>
            </w:r>
          </w:p>
        </w:tc>
      </w:tr>
      <w:tr w:rsidR="00C410E6" w:rsidRPr="005E3B43" w14:paraId="4087EA50" w14:textId="77777777" w:rsidTr="004F6606">
        <w:trPr>
          <w:trHeight w:val="20"/>
        </w:trPr>
        <w:tc>
          <w:tcPr>
            <w:tcW w:w="645" w:type="pct"/>
            <w:tcBorders>
              <w:top w:val="single" w:sz="2" w:space="0" w:color="auto"/>
              <w:bottom w:val="single" w:sz="2" w:space="0" w:color="auto"/>
            </w:tcBorders>
          </w:tcPr>
          <w:p w14:paraId="1E6802F7" w14:textId="77777777" w:rsidR="00C410E6" w:rsidRPr="005E3B43" w:rsidRDefault="00C410E6" w:rsidP="00763BCF">
            <w:pPr>
              <w:pStyle w:val="Tabletext"/>
            </w:pPr>
            <w:r w:rsidRPr="005E3B43">
              <w:t>26</w:t>
            </w:r>
          </w:p>
        </w:tc>
        <w:tc>
          <w:tcPr>
            <w:tcW w:w="1246" w:type="pct"/>
            <w:tcBorders>
              <w:top w:val="single" w:sz="2" w:space="0" w:color="auto"/>
              <w:bottom w:val="single" w:sz="2" w:space="0" w:color="auto"/>
            </w:tcBorders>
            <w:shd w:val="clear" w:color="auto" w:fill="auto"/>
          </w:tcPr>
          <w:p w14:paraId="174682BE" w14:textId="77777777" w:rsidR="00C410E6" w:rsidRPr="005E3B43" w:rsidRDefault="00C410E6" w:rsidP="00763BCF">
            <w:pPr>
              <w:pStyle w:val="Tabletext"/>
            </w:pPr>
            <w:r w:rsidRPr="005E3B43">
              <w:t>dimethyl sulfoxide (DMSO)</w:t>
            </w:r>
          </w:p>
        </w:tc>
        <w:tc>
          <w:tcPr>
            <w:tcW w:w="752" w:type="pct"/>
            <w:tcBorders>
              <w:top w:val="single" w:sz="2" w:space="0" w:color="auto"/>
              <w:bottom w:val="single" w:sz="2" w:space="0" w:color="auto"/>
            </w:tcBorders>
            <w:shd w:val="clear" w:color="auto" w:fill="auto"/>
          </w:tcPr>
          <w:p w14:paraId="071271AB" w14:textId="77777777" w:rsidR="00C410E6" w:rsidRPr="005E3B43" w:rsidRDefault="00C410E6" w:rsidP="00763BCF">
            <w:pPr>
              <w:pStyle w:val="Tabletext"/>
            </w:pPr>
            <w:r w:rsidRPr="005E3B43">
              <w:t>solution</w:t>
            </w:r>
          </w:p>
        </w:tc>
        <w:tc>
          <w:tcPr>
            <w:tcW w:w="910" w:type="pct"/>
            <w:tcBorders>
              <w:top w:val="single" w:sz="2" w:space="0" w:color="auto"/>
              <w:bottom w:val="single" w:sz="2" w:space="0" w:color="auto"/>
            </w:tcBorders>
            <w:shd w:val="clear" w:color="auto" w:fill="auto"/>
          </w:tcPr>
          <w:p w14:paraId="699F5AE6" w14:textId="77777777" w:rsidR="00C410E6" w:rsidRPr="005E3B43" w:rsidRDefault="00C410E6" w:rsidP="00763BCF">
            <w:pPr>
              <w:pStyle w:val="Tabletext"/>
            </w:pPr>
            <w:r w:rsidRPr="005E3B43">
              <w:t>intravesical</w:t>
            </w:r>
          </w:p>
        </w:tc>
        <w:tc>
          <w:tcPr>
            <w:tcW w:w="1447" w:type="pct"/>
            <w:tcBorders>
              <w:top w:val="single" w:sz="2" w:space="0" w:color="auto"/>
              <w:bottom w:val="single" w:sz="2" w:space="0" w:color="auto"/>
            </w:tcBorders>
            <w:shd w:val="clear" w:color="auto" w:fill="auto"/>
          </w:tcPr>
          <w:p w14:paraId="216F2916" w14:textId="77777777" w:rsidR="00C410E6" w:rsidRPr="005E3B43" w:rsidRDefault="00C410E6" w:rsidP="00763BCF">
            <w:pPr>
              <w:pStyle w:val="Tabletext"/>
            </w:pPr>
            <w:r w:rsidRPr="005E3B43">
              <w:t>symptomatic relief of interstitial cystitis</w:t>
            </w:r>
          </w:p>
        </w:tc>
      </w:tr>
      <w:tr w:rsidR="00C410E6" w:rsidRPr="005E3B43" w14:paraId="35646403" w14:textId="77777777" w:rsidTr="004F6606">
        <w:trPr>
          <w:trHeight w:val="20"/>
        </w:trPr>
        <w:tc>
          <w:tcPr>
            <w:tcW w:w="645" w:type="pct"/>
            <w:tcBorders>
              <w:top w:val="single" w:sz="2" w:space="0" w:color="auto"/>
              <w:bottom w:val="single" w:sz="2" w:space="0" w:color="auto"/>
            </w:tcBorders>
          </w:tcPr>
          <w:p w14:paraId="3934D72E" w14:textId="77777777" w:rsidR="00C410E6" w:rsidRPr="005E3B43" w:rsidRDefault="00C410E6" w:rsidP="00763BCF">
            <w:pPr>
              <w:pStyle w:val="Tabletext"/>
            </w:pPr>
            <w:r w:rsidRPr="005E3B43">
              <w:t>26A</w:t>
            </w:r>
          </w:p>
        </w:tc>
        <w:tc>
          <w:tcPr>
            <w:tcW w:w="1246" w:type="pct"/>
            <w:tcBorders>
              <w:top w:val="single" w:sz="2" w:space="0" w:color="auto"/>
              <w:bottom w:val="single" w:sz="2" w:space="0" w:color="auto"/>
            </w:tcBorders>
            <w:shd w:val="clear" w:color="auto" w:fill="auto"/>
          </w:tcPr>
          <w:p w14:paraId="3B2FCA91" w14:textId="77777777" w:rsidR="00C410E6" w:rsidRPr="005E3B43" w:rsidRDefault="00C410E6" w:rsidP="00763BCF">
            <w:pPr>
              <w:pStyle w:val="Tabletext"/>
            </w:pPr>
            <w:r w:rsidRPr="005E3B43">
              <w:t>disulfiram</w:t>
            </w:r>
          </w:p>
        </w:tc>
        <w:tc>
          <w:tcPr>
            <w:tcW w:w="752" w:type="pct"/>
            <w:tcBorders>
              <w:top w:val="single" w:sz="2" w:space="0" w:color="auto"/>
              <w:bottom w:val="single" w:sz="2" w:space="0" w:color="auto"/>
            </w:tcBorders>
            <w:shd w:val="clear" w:color="auto" w:fill="auto"/>
          </w:tcPr>
          <w:p w14:paraId="337AE1C3" w14:textId="77777777"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14:paraId="0C33BB74" w14:textId="77777777"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14:paraId="37AAFACD" w14:textId="77777777" w:rsidR="00C410E6" w:rsidRPr="005E3B43" w:rsidRDefault="00C410E6" w:rsidP="00763BCF">
            <w:pPr>
              <w:pStyle w:val="Tabletext"/>
            </w:pPr>
            <w:r w:rsidRPr="005E3B43">
              <w:t>deterrent to alcohol consumption</w:t>
            </w:r>
          </w:p>
        </w:tc>
      </w:tr>
      <w:tr w:rsidR="00C410E6" w:rsidRPr="005E3B43" w14:paraId="655ED370" w14:textId="77777777" w:rsidTr="004F6606">
        <w:trPr>
          <w:trHeight w:val="20"/>
        </w:trPr>
        <w:tc>
          <w:tcPr>
            <w:tcW w:w="645" w:type="pct"/>
            <w:tcBorders>
              <w:top w:val="single" w:sz="2" w:space="0" w:color="auto"/>
              <w:bottom w:val="single" w:sz="2" w:space="0" w:color="auto"/>
            </w:tcBorders>
          </w:tcPr>
          <w:p w14:paraId="675DA340" w14:textId="77777777" w:rsidR="00C410E6" w:rsidRPr="005E3B43" w:rsidRDefault="00C410E6" w:rsidP="00763BCF">
            <w:pPr>
              <w:pStyle w:val="Tabletext"/>
            </w:pPr>
            <w:r w:rsidRPr="005E3B43">
              <w:t>27</w:t>
            </w:r>
          </w:p>
        </w:tc>
        <w:tc>
          <w:tcPr>
            <w:tcW w:w="1246" w:type="pct"/>
            <w:tcBorders>
              <w:top w:val="single" w:sz="2" w:space="0" w:color="auto"/>
              <w:bottom w:val="single" w:sz="2" w:space="0" w:color="auto"/>
            </w:tcBorders>
            <w:shd w:val="clear" w:color="auto" w:fill="auto"/>
          </w:tcPr>
          <w:p w14:paraId="0E4CB821" w14:textId="77777777" w:rsidR="00C410E6" w:rsidRPr="005E3B43" w:rsidRDefault="00C410E6" w:rsidP="00763BCF">
            <w:pPr>
              <w:pStyle w:val="Tabletext"/>
            </w:pPr>
            <w:r w:rsidRPr="005E3B43">
              <w:t>doxycycline</w:t>
            </w:r>
          </w:p>
        </w:tc>
        <w:tc>
          <w:tcPr>
            <w:tcW w:w="752" w:type="pct"/>
            <w:tcBorders>
              <w:top w:val="single" w:sz="2" w:space="0" w:color="auto"/>
              <w:bottom w:val="single" w:sz="2" w:space="0" w:color="auto"/>
            </w:tcBorders>
            <w:shd w:val="clear" w:color="auto" w:fill="auto"/>
          </w:tcPr>
          <w:p w14:paraId="3040705A" w14:textId="77777777"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14:paraId="33230689" w14:textId="77777777" w:rsidR="00C410E6" w:rsidRPr="005E3B43" w:rsidRDefault="00C410E6" w:rsidP="00763BCF">
            <w:pPr>
              <w:pStyle w:val="Tabletext"/>
            </w:pPr>
            <w:r w:rsidRPr="005E3B43">
              <w:t>intralesional</w:t>
            </w:r>
          </w:p>
        </w:tc>
        <w:tc>
          <w:tcPr>
            <w:tcW w:w="1447" w:type="pct"/>
            <w:tcBorders>
              <w:top w:val="single" w:sz="2" w:space="0" w:color="auto"/>
              <w:bottom w:val="single" w:sz="2" w:space="0" w:color="auto"/>
            </w:tcBorders>
            <w:shd w:val="clear" w:color="auto" w:fill="auto"/>
          </w:tcPr>
          <w:p w14:paraId="61BE8771" w14:textId="77777777" w:rsidR="00C410E6" w:rsidRPr="005E3B43" w:rsidRDefault="00C410E6" w:rsidP="00763BCF">
            <w:pPr>
              <w:pStyle w:val="Tabletext"/>
            </w:pPr>
            <w:r w:rsidRPr="005E3B43">
              <w:t>sclerotherapy of lymphatic malformations</w:t>
            </w:r>
          </w:p>
        </w:tc>
      </w:tr>
      <w:tr w:rsidR="00C410E6" w:rsidRPr="005E3B43" w14:paraId="3FA77505" w14:textId="77777777" w:rsidTr="004F6606">
        <w:trPr>
          <w:trHeight w:val="20"/>
        </w:trPr>
        <w:tc>
          <w:tcPr>
            <w:tcW w:w="645" w:type="pct"/>
            <w:tcBorders>
              <w:top w:val="single" w:sz="2" w:space="0" w:color="auto"/>
              <w:bottom w:val="single" w:sz="2" w:space="0" w:color="auto"/>
            </w:tcBorders>
          </w:tcPr>
          <w:p w14:paraId="01E26448" w14:textId="77777777" w:rsidR="00C410E6" w:rsidRPr="005E3B43" w:rsidRDefault="00C410E6" w:rsidP="00763BCF">
            <w:pPr>
              <w:pStyle w:val="Tabletext"/>
            </w:pPr>
            <w:r w:rsidRPr="005E3B43">
              <w:t>28</w:t>
            </w:r>
          </w:p>
        </w:tc>
        <w:tc>
          <w:tcPr>
            <w:tcW w:w="1246" w:type="pct"/>
            <w:tcBorders>
              <w:top w:val="single" w:sz="2" w:space="0" w:color="auto"/>
              <w:bottom w:val="single" w:sz="2" w:space="0" w:color="auto"/>
            </w:tcBorders>
            <w:shd w:val="clear" w:color="auto" w:fill="auto"/>
          </w:tcPr>
          <w:p w14:paraId="652DC38B" w14:textId="1A8C7BD9" w:rsidR="00C410E6" w:rsidRPr="005E3B43" w:rsidRDefault="00C410E6" w:rsidP="00763BCF">
            <w:pPr>
              <w:pStyle w:val="Tabletext"/>
            </w:pPr>
            <w:r w:rsidRPr="005E3B43">
              <w:t>F</w:t>
            </w:r>
            <w:r w:rsidR="007C3215">
              <w:noBreakHyphen/>
            </w:r>
            <w:r w:rsidRPr="005E3B43">
              <w:t>18 DCFPyl (PSMA)</w:t>
            </w:r>
          </w:p>
        </w:tc>
        <w:tc>
          <w:tcPr>
            <w:tcW w:w="752" w:type="pct"/>
            <w:tcBorders>
              <w:top w:val="single" w:sz="2" w:space="0" w:color="auto"/>
              <w:bottom w:val="single" w:sz="2" w:space="0" w:color="auto"/>
            </w:tcBorders>
            <w:shd w:val="clear" w:color="auto" w:fill="auto"/>
          </w:tcPr>
          <w:p w14:paraId="27B39DD7" w14:textId="77777777"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14:paraId="30BB12A1" w14:textId="77777777" w:rsidR="00C410E6" w:rsidRPr="005E3B43" w:rsidRDefault="00C410E6" w:rsidP="00763BCF">
            <w:pPr>
              <w:pStyle w:val="Tabletext"/>
            </w:pPr>
            <w:r w:rsidRPr="005E3B43">
              <w:t>intravenous</w:t>
            </w:r>
          </w:p>
        </w:tc>
        <w:tc>
          <w:tcPr>
            <w:tcW w:w="1447" w:type="pct"/>
            <w:tcBorders>
              <w:top w:val="single" w:sz="2" w:space="0" w:color="auto"/>
              <w:bottom w:val="single" w:sz="2" w:space="0" w:color="auto"/>
            </w:tcBorders>
            <w:shd w:val="clear" w:color="auto" w:fill="auto"/>
          </w:tcPr>
          <w:p w14:paraId="13C675F2" w14:textId="77777777" w:rsidR="00C410E6" w:rsidRPr="005E3B43" w:rsidRDefault="00C410E6" w:rsidP="00763BCF">
            <w:pPr>
              <w:pStyle w:val="Tabletext"/>
            </w:pPr>
            <w:r w:rsidRPr="005E3B43">
              <w:t>prostate cancer imaging study</w:t>
            </w:r>
          </w:p>
        </w:tc>
      </w:tr>
      <w:tr w:rsidR="00C410E6" w:rsidRPr="005E3B43" w14:paraId="0E4D4324" w14:textId="77777777" w:rsidTr="004F6606">
        <w:trPr>
          <w:trHeight w:val="20"/>
        </w:trPr>
        <w:tc>
          <w:tcPr>
            <w:tcW w:w="645" w:type="pct"/>
            <w:tcBorders>
              <w:top w:val="single" w:sz="2" w:space="0" w:color="auto"/>
              <w:bottom w:val="single" w:sz="2" w:space="0" w:color="auto"/>
            </w:tcBorders>
          </w:tcPr>
          <w:p w14:paraId="16410BD3" w14:textId="77777777" w:rsidR="00C410E6" w:rsidRPr="005E3B43" w:rsidRDefault="00C410E6" w:rsidP="00763BCF">
            <w:pPr>
              <w:pStyle w:val="Tabletext"/>
            </w:pPr>
            <w:r w:rsidRPr="005E3B43">
              <w:t>29</w:t>
            </w:r>
          </w:p>
        </w:tc>
        <w:tc>
          <w:tcPr>
            <w:tcW w:w="1246" w:type="pct"/>
            <w:tcBorders>
              <w:top w:val="single" w:sz="2" w:space="0" w:color="auto"/>
              <w:bottom w:val="single" w:sz="2" w:space="0" w:color="auto"/>
            </w:tcBorders>
            <w:shd w:val="clear" w:color="auto" w:fill="auto"/>
          </w:tcPr>
          <w:p w14:paraId="586F4A4F" w14:textId="07B4B390" w:rsidR="00C410E6" w:rsidRPr="005E3B43" w:rsidRDefault="00C410E6" w:rsidP="00763BCF">
            <w:pPr>
              <w:pStyle w:val="Tabletext"/>
            </w:pPr>
            <w:r w:rsidRPr="005E3B43">
              <w:t>F</w:t>
            </w:r>
            <w:r w:rsidR="007C3215">
              <w:noBreakHyphen/>
            </w:r>
            <w:r w:rsidRPr="005E3B43">
              <w:t>18 myocardial perfusion tracer (18F flurpiridaz)</w:t>
            </w:r>
          </w:p>
        </w:tc>
        <w:tc>
          <w:tcPr>
            <w:tcW w:w="752" w:type="pct"/>
            <w:tcBorders>
              <w:top w:val="single" w:sz="2" w:space="0" w:color="auto"/>
              <w:bottom w:val="single" w:sz="2" w:space="0" w:color="auto"/>
            </w:tcBorders>
            <w:shd w:val="clear" w:color="auto" w:fill="auto"/>
          </w:tcPr>
          <w:p w14:paraId="40829C6E" w14:textId="77777777"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14:paraId="6DB7F8BB" w14:textId="77777777" w:rsidR="00C410E6" w:rsidRPr="005E3B43" w:rsidRDefault="00C410E6" w:rsidP="00763BCF">
            <w:pPr>
              <w:pStyle w:val="Tabletext"/>
            </w:pPr>
            <w:r w:rsidRPr="005E3B43">
              <w:t>intravenous</w:t>
            </w:r>
          </w:p>
        </w:tc>
        <w:tc>
          <w:tcPr>
            <w:tcW w:w="1447" w:type="pct"/>
            <w:tcBorders>
              <w:top w:val="single" w:sz="2" w:space="0" w:color="auto"/>
              <w:bottom w:val="single" w:sz="2" w:space="0" w:color="auto"/>
            </w:tcBorders>
            <w:shd w:val="clear" w:color="auto" w:fill="auto"/>
          </w:tcPr>
          <w:p w14:paraId="45CE16CB" w14:textId="77777777" w:rsidR="00C410E6" w:rsidRPr="005E3B43" w:rsidRDefault="00C410E6" w:rsidP="00763BCF">
            <w:pPr>
              <w:pStyle w:val="Tabletext"/>
            </w:pPr>
            <w:r w:rsidRPr="005E3B43">
              <w:t>myocardial perfusion study</w:t>
            </w:r>
          </w:p>
        </w:tc>
      </w:tr>
      <w:tr w:rsidR="00C410E6" w:rsidRPr="005E3B43" w14:paraId="1ABA00F8" w14:textId="77777777" w:rsidTr="004F6606">
        <w:trPr>
          <w:trHeight w:val="20"/>
        </w:trPr>
        <w:tc>
          <w:tcPr>
            <w:tcW w:w="645" w:type="pct"/>
            <w:tcBorders>
              <w:top w:val="single" w:sz="2" w:space="0" w:color="auto"/>
              <w:bottom w:val="single" w:sz="2" w:space="0" w:color="auto"/>
            </w:tcBorders>
          </w:tcPr>
          <w:p w14:paraId="451563F1" w14:textId="77777777" w:rsidR="00C410E6" w:rsidRPr="005E3B43" w:rsidRDefault="00C410E6" w:rsidP="00763BCF">
            <w:pPr>
              <w:pStyle w:val="Tabletext"/>
            </w:pPr>
            <w:r w:rsidRPr="005E3B43">
              <w:t>30</w:t>
            </w:r>
          </w:p>
        </w:tc>
        <w:tc>
          <w:tcPr>
            <w:tcW w:w="1246" w:type="pct"/>
            <w:tcBorders>
              <w:top w:val="single" w:sz="2" w:space="0" w:color="auto"/>
              <w:bottom w:val="single" w:sz="2" w:space="0" w:color="auto"/>
            </w:tcBorders>
            <w:shd w:val="clear" w:color="auto" w:fill="auto"/>
          </w:tcPr>
          <w:p w14:paraId="60A7E04D" w14:textId="0CAC8A07" w:rsidR="00C410E6" w:rsidRPr="005E3B43" w:rsidRDefault="00C410E6" w:rsidP="00763BCF">
            <w:pPr>
              <w:pStyle w:val="Tabletext"/>
            </w:pPr>
            <w:r w:rsidRPr="005E3B43">
              <w:t>F</w:t>
            </w:r>
            <w:r w:rsidR="007C3215">
              <w:noBreakHyphen/>
            </w:r>
            <w:r w:rsidRPr="005E3B43">
              <w:t>18 NaF (sodium fluoride)</w:t>
            </w:r>
          </w:p>
        </w:tc>
        <w:tc>
          <w:tcPr>
            <w:tcW w:w="752" w:type="pct"/>
            <w:tcBorders>
              <w:top w:val="single" w:sz="2" w:space="0" w:color="auto"/>
              <w:bottom w:val="single" w:sz="2" w:space="0" w:color="auto"/>
            </w:tcBorders>
            <w:shd w:val="clear" w:color="auto" w:fill="auto"/>
          </w:tcPr>
          <w:p w14:paraId="2354DC51" w14:textId="77777777"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14:paraId="0994C9F3" w14:textId="77777777" w:rsidR="00C410E6" w:rsidRPr="005E3B43" w:rsidRDefault="00C410E6" w:rsidP="00763BCF">
            <w:pPr>
              <w:pStyle w:val="Tabletext"/>
            </w:pPr>
            <w:r w:rsidRPr="005E3B43">
              <w:t>intravenous</w:t>
            </w:r>
          </w:p>
        </w:tc>
        <w:tc>
          <w:tcPr>
            <w:tcW w:w="1447" w:type="pct"/>
            <w:tcBorders>
              <w:top w:val="single" w:sz="2" w:space="0" w:color="auto"/>
              <w:bottom w:val="single" w:sz="2" w:space="0" w:color="auto"/>
            </w:tcBorders>
            <w:shd w:val="clear" w:color="auto" w:fill="auto"/>
          </w:tcPr>
          <w:p w14:paraId="2C141D6F" w14:textId="77777777" w:rsidR="00C410E6" w:rsidRPr="005E3B43" w:rsidRDefault="00C410E6" w:rsidP="00763BCF">
            <w:pPr>
              <w:pStyle w:val="Tabletext"/>
            </w:pPr>
            <w:r w:rsidRPr="005E3B43">
              <w:t>bone study</w:t>
            </w:r>
          </w:p>
        </w:tc>
      </w:tr>
      <w:tr w:rsidR="00C410E6" w:rsidRPr="005E3B43" w14:paraId="29C3F0E7" w14:textId="77777777" w:rsidTr="004F6606">
        <w:trPr>
          <w:trHeight w:val="20"/>
        </w:trPr>
        <w:tc>
          <w:tcPr>
            <w:tcW w:w="645" w:type="pct"/>
            <w:tcBorders>
              <w:top w:val="single" w:sz="2" w:space="0" w:color="auto"/>
              <w:bottom w:val="single" w:sz="2" w:space="0" w:color="auto"/>
            </w:tcBorders>
          </w:tcPr>
          <w:p w14:paraId="6CC3F52B" w14:textId="77777777" w:rsidR="00C410E6" w:rsidRPr="005E3B43" w:rsidRDefault="00C410E6" w:rsidP="00763BCF">
            <w:pPr>
              <w:pStyle w:val="Tabletext"/>
            </w:pPr>
            <w:r w:rsidRPr="005E3B43">
              <w:t>30A</w:t>
            </w:r>
          </w:p>
        </w:tc>
        <w:tc>
          <w:tcPr>
            <w:tcW w:w="1246" w:type="pct"/>
            <w:tcBorders>
              <w:top w:val="single" w:sz="2" w:space="0" w:color="auto"/>
              <w:bottom w:val="single" w:sz="2" w:space="0" w:color="auto"/>
            </w:tcBorders>
            <w:shd w:val="clear" w:color="auto" w:fill="auto"/>
          </w:tcPr>
          <w:p w14:paraId="34A172F9" w14:textId="77777777" w:rsidR="00C410E6" w:rsidRPr="005E3B43" w:rsidRDefault="00C410E6" w:rsidP="00763BCF">
            <w:pPr>
              <w:pStyle w:val="Tabletext"/>
            </w:pPr>
            <w:r w:rsidRPr="005E3B43">
              <w:t>famotidine</w:t>
            </w:r>
          </w:p>
        </w:tc>
        <w:tc>
          <w:tcPr>
            <w:tcW w:w="752" w:type="pct"/>
            <w:tcBorders>
              <w:top w:val="single" w:sz="2" w:space="0" w:color="auto"/>
              <w:bottom w:val="single" w:sz="2" w:space="0" w:color="auto"/>
            </w:tcBorders>
            <w:shd w:val="clear" w:color="auto" w:fill="auto"/>
          </w:tcPr>
          <w:p w14:paraId="30C49A24" w14:textId="77777777"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14:paraId="015A2F33" w14:textId="77777777" w:rsidR="00C410E6" w:rsidRPr="005E3B43" w:rsidRDefault="00C410E6" w:rsidP="00763BCF">
            <w:pPr>
              <w:pStyle w:val="Tabletext"/>
            </w:pPr>
            <w:r w:rsidRPr="005E3B43">
              <w:t>intravenous</w:t>
            </w:r>
          </w:p>
        </w:tc>
        <w:tc>
          <w:tcPr>
            <w:tcW w:w="1447" w:type="pct"/>
            <w:tcBorders>
              <w:top w:val="single" w:sz="2" w:space="0" w:color="auto"/>
              <w:bottom w:val="single" w:sz="2" w:space="0" w:color="auto"/>
            </w:tcBorders>
            <w:shd w:val="clear" w:color="auto" w:fill="auto"/>
          </w:tcPr>
          <w:p w14:paraId="7BD15C04" w14:textId="77777777" w:rsidR="00C410E6" w:rsidRPr="005E3B43" w:rsidRDefault="00C410E6" w:rsidP="00763BCF">
            <w:pPr>
              <w:pStyle w:val="Tabletext"/>
            </w:pPr>
            <w:r w:rsidRPr="005E3B43">
              <w:t>prevention and management of hypersensitivity reactions to chemotherapy</w:t>
            </w:r>
          </w:p>
        </w:tc>
      </w:tr>
      <w:tr w:rsidR="00C410E6" w:rsidRPr="005E3B43" w14:paraId="34E86A76" w14:textId="77777777" w:rsidTr="004F6606">
        <w:trPr>
          <w:trHeight w:val="20"/>
        </w:trPr>
        <w:tc>
          <w:tcPr>
            <w:tcW w:w="645" w:type="pct"/>
            <w:tcBorders>
              <w:top w:val="single" w:sz="2" w:space="0" w:color="auto"/>
              <w:bottom w:val="single" w:sz="2" w:space="0" w:color="auto"/>
            </w:tcBorders>
          </w:tcPr>
          <w:p w14:paraId="5CFD9F10" w14:textId="77777777" w:rsidR="00C410E6" w:rsidRPr="005E3B43" w:rsidRDefault="00C410E6" w:rsidP="00763BCF">
            <w:pPr>
              <w:pStyle w:val="Tabletext"/>
            </w:pPr>
            <w:r w:rsidRPr="005E3B43">
              <w:t>31</w:t>
            </w:r>
          </w:p>
        </w:tc>
        <w:tc>
          <w:tcPr>
            <w:tcW w:w="1246" w:type="pct"/>
            <w:tcBorders>
              <w:top w:val="single" w:sz="2" w:space="0" w:color="auto"/>
              <w:bottom w:val="single" w:sz="2" w:space="0" w:color="auto"/>
            </w:tcBorders>
            <w:shd w:val="clear" w:color="auto" w:fill="auto"/>
          </w:tcPr>
          <w:p w14:paraId="08CC1E27" w14:textId="77777777" w:rsidR="00C410E6" w:rsidRPr="005E3B43" w:rsidRDefault="00C410E6" w:rsidP="00763BCF">
            <w:pPr>
              <w:pStyle w:val="Tabletext"/>
            </w:pPr>
            <w:r w:rsidRPr="005E3B43">
              <w:t>flunarizine</w:t>
            </w:r>
          </w:p>
        </w:tc>
        <w:tc>
          <w:tcPr>
            <w:tcW w:w="752" w:type="pct"/>
            <w:tcBorders>
              <w:top w:val="single" w:sz="2" w:space="0" w:color="auto"/>
              <w:bottom w:val="single" w:sz="2" w:space="0" w:color="auto"/>
            </w:tcBorders>
            <w:shd w:val="clear" w:color="auto" w:fill="auto"/>
          </w:tcPr>
          <w:p w14:paraId="19AD82E1" w14:textId="77777777"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14:paraId="3082BADF" w14:textId="77777777"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14:paraId="2247BB47" w14:textId="77777777" w:rsidR="00C410E6" w:rsidRPr="005E3B43" w:rsidRDefault="00C410E6" w:rsidP="00763BCF">
            <w:pPr>
              <w:pStyle w:val="Tabletext"/>
            </w:pPr>
            <w:r w:rsidRPr="005E3B43">
              <w:t>treatment of vestibular disorders or prophylactic treatment of migraine</w:t>
            </w:r>
          </w:p>
        </w:tc>
      </w:tr>
      <w:tr w:rsidR="00C410E6" w:rsidRPr="005E3B43" w14:paraId="45997F96" w14:textId="77777777" w:rsidTr="004F6606">
        <w:trPr>
          <w:trHeight w:val="20"/>
        </w:trPr>
        <w:tc>
          <w:tcPr>
            <w:tcW w:w="645" w:type="pct"/>
            <w:tcBorders>
              <w:top w:val="single" w:sz="2" w:space="0" w:color="auto"/>
              <w:bottom w:val="single" w:sz="2" w:space="0" w:color="auto"/>
            </w:tcBorders>
          </w:tcPr>
          <w:p w14:paraId="5348F846" w14:textId="77777777" w:rsidR="00C410E6" w:rsidRPr="005E3B43" w:rsidRDefault="00C410E6" w:rsidP="00763BCF">
            <w:pPr>
              <w:pStyle w:val="Tabletext"/>
            </w:pPr>
            <w:r w:rsidRPr="005E3B43">
              <w:t>32</w:t>
            </w:r>
          </w:p>
        </w:tc>
        <w:tc>
          <w:tcPr>
            <w:tcW w:w="1246" w:type="pct"/>
            <w:tcBorders>
              <w:top w:val="single" w:sz="2" w:space="0" w:color="auto"/>
              <w:bottom w:val="single" w:sz="2" w:space="0" w:color="auto"/>
            </w:tcBorders>
            <w:shd w:val="clear" w:color="auto" w:fill="auto"/>
          </w:tcPr>
          <w:p w14:paraId="3169733E" w14:textId="77777777" w:rsidR="00C410E6" w:rsidRPr="005E3B43" w:rsidRDefault="00C410E6" w:rsidP="00763BCF">
            <w:pPr>
              <w:pStyle w:val="Tabletext"/>
            </w:pPr>
            <w:r w:rsidRPr="005E3B43">
              <w:t>flunarizine</w:t>
            </w:r>
          </w:p>
        </w:tc>
        <w:tc>
          <w:tcPr>
            <w:tcW w:w="752" w:type="pct"/>
            <w:tcBorders>
              <w:top w:val="single" w:sz="2" w:space="0" w:color="auto"/>
              <w:bottom w:val="single" w:sz="2" w:space="0" w:color="auto"/>
            </w:tcBorders>
            <w:shd w:val="clear" w:color="auto" w:fill="auto"/>
          </w:tcPr>
          <w:p w14:paraId="3576D4E3" w14:textId="77777777" w:rsidR="00C410E6" w:rsidRPr="005E3B43" w:rsidRDefault="00C410E6" w:rsidP="00763BCF">
            <w:pPr>
              <w:pStyle w:val="Tabletext"/>
            </w:pPr>
            <w:r w:rsidRPr="005E3B43">
              <w:t>capsule</w:t>
            </w:r>
          </w:p>
        </w:tc>
        <w:tc>
          <w:tcPr>
            <w:tcW w:w="910" w:type="pct"/>
            <w:tcBorders>
              <w:top w:val="single" w:sz="2" w:space="0" w:color="auto"/>
              <w:bottom w:val="single" w:sz="2" w:space="0" w:color="auto"/>
            </w:tcBorders>
            <w:shd w:val="clear" w:color="auto" w:fill="auto"/>
          </w:tcPr>
          <w:p w14:paraId="2AD1C742" w14:textId="77777777"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14:paraId="4CD5EAB2" w14:textId="77777777" w:rsidR="00C410E6" w:rsidRPr="005E3B43" w:rsidRDefault="00C410E6" w:rsidP="00763BCF">
            <w:pPr>
              <w:pStyle w:val="Tabletext"/>
            </w:pPr>
            <w:r w:rsidRPr="005E3B43">
              <w:t>treatment of vestibular disorders or prophylactic treatment of migraine</w:t>
            </w:r>
          </w:p>
        </w:tc>
      </w:tr>
      <w:tr w:rsidR="00C410E6" w:rsidRPr="005E3B43" w14:paraId="2560445B" w14:textId="77777777" w:rsidTr="004F6606">
        <w:trPr>
          <w:trHeight w:val="20"/>
        </w:trPr>
        <w:tc>
          <w:tcPr>
            <w:tcW w:w="645" w:type="pct"/>
            <w:tcBorders>
              <w:top w:val="single" w:sz="2" w:space="0" w:color="auto"/>
              <w:bottom w:val="single" w:sz="2" w:space="0" w:color="auto"/>
            </w:tcBorders>
          </w:tcPr>
          <w:p w14:paraId="2CC07DED" w14:textId="77777777" w:rsidR="00C410E6" w:rsidRPr="005E3B43" w:rsidRDefault="00C410E6" w:rsidP="00763BCF">
            <w:pPr>
              <w:pStyle w:val="Tabletext"/>
            </w:pPr>
            <w:r w:rsidRPr="005E3B43">
              <w:t>33</w:t>
            </w:r>
          </w:p>
        </w:tc>
        <w:tc>
          <w:tcPr>
            <w:tcW w:w="1246" w:type="pct"/>
            <w:tcBorders>
              <w:top w:val="single" w:sz="2" w:space="0" w:color="auto"/>
              <w:bottom w:val="single" w:sz="2" w:space="0" w:color="auto"/>
            </w:tcBorders>
            <w:shd w:val="clear" w:color="auto" w:fill="auto"/>
          </w:tcPr>
          <w:p w14:paraId="6FABBE2B" w14:textId="77777777" w:rsidR="00C410E6" w:rsidRPr="005E3B43" w:rsidRDefault="00C410E6" w:rsidP="00763BCF">
            <w:pPr>
              <w:pStyle w:val="Tabletext"/>
            </w:pPr>
            <w:r w:rsidRPr="005E3B43">
              <w:t>furazolidone</w:t>
            </w:r>
          </w:p>
        </w:tc>
        <w:tc>
          <w:tcPr>
            <w:tcW w:w="752" w:type="pct"/>
            <w:tcBorders>
              <w:top w:val="single" w:sz="2" w:space="0" w:color="auto"/>
              <w:bottom w:val="single" w:sz="2" w:space="0" w:color="auto"/>
            </w:tcBorders>
            <w:shd w:val="clear" w:color="auto" w:fill="auto"/>
          </w:tcPr>
          <w:p w14:paraId="2AAB65FE" w14:textId="77777777"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14:paraId="0C748A2F" w14:textId="77777777"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14:paraId="6DE5D66F" w14:textId="77777777" w:rsidR="00C410E6" w:rsidRPr="005E3B43" w:rsidRDefault="00C410E6" w:rsidP="00763BCF">
            <w:pPr>
              <w:pStyle w:val="Tabletext"/>
            </w:pPr>
            <w:r w:rsidRPr="005E3B43">
              <w:t xml:space="preserve">treatment of resistant </w:t>
            </w:r>
            <w:r w:rsidRPr="005E3B43">
              <w:rPr>
                <w:i/>
              </w:rPr>
              <w:t>Helicobacter Pylori</w:t>
            </w:r>
            <w:r w:rsidRPr="005E3B43">
              <w:t xml:space="preserve"> infection</w:t>
            </w:r>
          </w:p>
        </w:tc>
      </w:tr>
      <w:tr w:rsidR="00C410E6" w:rsidRPr="005E3B43" w14:paraId="6351CEAA" w14:textId="77777777" w:rsidTr="004F6606">
        <w:trPr>
          <w:trHeight w:val="20"/>
        </w:trPr>
        <w:tc>
          <w:tcPr>
            <w:tcW w:w="645" w:type="pct"/>
            <w:tcBorders>
              <w:top w:val="single" w:sz="2" w:space="0" w:color="auto"/>
              <w:bottom w:val="single" w:sz="2" w:space="0" w:color="auto"/>
            </w:tcBorders>
          </w:tcPr>
          <w:p w14:paraId="792B1D6A" w14:textId="77777777" w:rsidR="00C410E6" w:rsidRPr="005E3B43" w:rsidRDefault="00C410E6" w:rsidP="00763BCF">
            <w:pPr>
              <w:pStyle w:val="Tabletext"/>
            </w:pPr>
            <w:r w:rsidRPr="005E3B43">
              <w:t>34</w:t>
            </w:r>
          </w:p>
        </w:tc>
        <w:tc>
          <w:tcPr>
            <w:tcW w:w="1246" w:type="pct"/>
            <w:tcBorders>
              <w:top w:val="single" w:sz="2" w:space="0" w:color="auto"/>
              <w:bottom w:val="single" w:sz="2" w:space="0" w:color="auto"/>
            </w:tcBorders>
            <w:shd w:val="clear" w:color="auto" w:fill="auto"/>
          </w:tcPr>
          <w:p w14:paraId="06145ADB" w14:textId="75B7B2F7" w:rsidR="00C410E6" w:rsidRPr="005E3B43" w:rsidRDefault="00C410E6" w:rsidP="00763BCF">
            <w:pPr>
              <w:pStyle w:val="Tabletext"/>
            </w:pPr>
            <w:r w:rsidRPr="005E3B43">
              <w:t>Gallium</w:t>
            </w:r>
            <w:r w:rsidR="007C3215">
              <w:noBreakHyphen/>
            </w:r>
            <w:r w:rsidRPr="005E3B43">
              <w:t>68</w:t>
            </w:r>
            <w:r w:rsidRPr="005E3B43">
              <w:br/>
              <w:t>(Ga</w:t>
            </w:r>
            <w:r w:rsidR="007C3215">
              <w:noBreakHyphen/>
            </w:r>
            <w:r w:rsidRPr="005E3B43">
              <w:t>68) Galligas</w:t>
            </w:r>
          </w:p>
        </w:tc>
        <w:tc>
          <w:tcPr>
            <w:tcW w:w="752" w:type="pct"/>
            <w:tcBorders>
              <w:top w:val="single" w:sz="2" w:space="0" w:color="auto"/>
              <w:bottom w:val="single" w:sz="2" w:space="0" w:color="auto"/>
            </w:tcBorders>
            <w:shd w:val="clear" w:color="auto" w:fill="auto"/>
          </w:tcPr>
          <w:p w14:paraId="55EE3409" w14:textId="77777777" w:rsidR="00C410E6" w:rsidRPr="005E3B43" w:rsidRDefault="00C410E6" w:rsidP="00763BCF">
            <w:pPr>
              <w:pStyle w:val="Tabletext"/>
            </w:pPr>
            <w:r w:rsidRPr="005E3B43">
              <w:t>aerosol</w:t>
            </w:r>
          </w:p>
        </w:tc>
        <w:tc>
          <w:tcPr>
            <w:tcW w:w="910" w:type="pct"/>
            <w:tcBorders>
              <w:top w:val="single" w:sz="2" w:space="0" w:color="auto"/>
              <w:bottom w:val="single" w:sz="2" w:space="0" w:color="auto"/>
            </w:tcBorders>
            <w:shd w:val="clear" w:color="auto" w:fill="auto"/>
          </w:tcPr>
          <w:p w14:paraId="2E4F2B1E" w14:textId="77777777" w:rsidR="00C410E6" w:rsidRPr="005E3B43" w:rsidRDefault="00C410E6" w:rsidP="00763BCF">
            <w:pPr>
              <w:pStyle w:val="Tabletext"/>
            </w:pPr>
            <w:r w:rsidRPr="005E3B43">
              <w:t>inhalation</w:t>
            </w:r>
          </w:p>
        </w:tc>
        <w:tc>
          <w:tcPr>
            <w:tcW w:w="1447" w:type="pct"/>
            <w:tcBorders>
              <w:top w:val="single" w:sz="2" w:space="0" w:color="auto"/>
              <w:bottom w:val="single" w:sz="2" w:space="0" w:color="auto"/>
            </w:tcBorders>
            <w:shd w:val="clear" w:color="auto" w:fill="auto"/>
          </w:tcPr>
          <w:p w14:paraId="2E35DC51" w14:textId="77777777" w:rsidR="00C410E6" w:rsidRPr="005E3B43" w:rsidRDefault="00C410E6" w:rsidP="00763BCF">
            <w:pPr>
              <w:pStyle w:val="Tabletext"/>
            </w:pPr>
            <w:r w:rsidRPr="005E3B43">
              <w:t>lung ventilation study</w:t>
            </w:r>
          </w:p>
        </w:tc>
      </w:tr>
      <w:tr w:rsidR="00C410E6" w:rsidRPr="005E3B43" w14:paraId="1EE7990E" w14:textId="77777777" w:rsidTr="004F6606">
        <w:trPr>
          <w:trHeight w:val="20"/>
        </w:trPr>
        <w:tc>
          <w:tcPr>
            <w:tcW w:w="645" w:type="pct"/>
            <w:tcBorders>
              <w:top w:val="single" w:sz="2" w:space="0" w:color="auto"/>
              <w:bottom w:val="single" w:sz="2" w:space="0" w:color="auto"/>
            </w:tcBorders>
          </w:tcPr>
          <w:p w14:paraId="54723549" w14:textId="77777777" w:rsidR="00C410E6" w:rsidRPr="005E3B43" w:rsidRDefault="00C410E6" w:rsidP="00763BCF">
            <w:pPr>
              <w:pStyle w:val="Tabletext"/>
            </w:pPr>
            <w:r w:rsidRPr="005E3B43">
              <w:t>35</w:t>
            </w:r>
          </w:p>
        </w:tc>
        <w:tc>
          <w:tcPr>
            <w:tcW w:w="1246" w:type="pct"/>
            <w:tcBorders>
              <w:top w:val="single" w:sz="2" w:space="0" w:color="auto"/>
              <w:bottom w:val="single" w:sz="2" w:space="0" w:color="auto"/>
            </w:tcBorders>
            <w:shd w:val="clear" w:color="auto" w:fill="auto"/>
          </w:tcPr>
          <w:p w14:paraId="3C731014" w14:textId="038544DA" w:rsidR="00C410E6" w:rsidRPr="005E3B43" w:rsidRDefault="00C410E6" w:rsidP="00763BCF">
            <w:pPr>
              <w:pStyle w:val="Tabletext"/>
            </w:pPr>
            <w:r w:rsidRPr="005E3B43">
              <w:t>Gallium</w:t>
            </w:r>
            <w:r w:rsidR="007C3215">
              <w:noBreakHyphen/>
            </w:r>
            <w:r w:rsidRPr="005E3B43">
              <w:t xml:space="preserve">68 </w:t>
            </w:r>
            <w:r w:rsidRPr="005E3B43">
              <w:br/>
              <w:t>(Ga</w:t>
            </w:r>
            <w:r w:rsidR="007C3215">
              <w:noBreakHyphen/>
            </w:r>
            <w:r w:rsidRPr="005E3B43">
              <w:t xml:space="preserve">68) </w:t>
            </w:r>
            <w:r w:rsidR="007C3215">
              <w:noBreakHyphen/>
            </w:r>
            <w:r w:rsidRPr="005E3B43">
              <w:t xml:space="preserve"> MAA </w:t>
            </w:r>
          </w:p>
        </w:tc>
        <w:tc>
          <w:tcPr>
            <w:tcW w:w="752" w:type="pct"/>
            <w:tcBorders>
              <w:top w:val="single" w:sz="2" w:space="0" w:color="auto"/>
              <w:bottom w:val="single" w:sz="2" w:space="0" w:color="auto"/>
            </w:tcBorders>
            <w:shd w:val="clear" w:color="auto" w:fill="auto"/>
          </w:tcPr>
          <w:p w14:paraId="253CB1F3" w14:textId="77777777"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14:paraId="24837339" w14:textId="77777777" w:rsidR="00C410E6" w:rsidRPr="005E3B43" w:rsidRDefault="00C410E6" w:rsidP="00763BCF">
            <w:pPr>
              <w:pStyle w:val="Tabletext"/>
            </w:pPr>
            <w:r w:rsidRPr="005E3B43">
              <w:t>intravenous</w:t>
            </w:r>
          </w:p>
        </w:tc>
        <w:tc>
          <w:tcPr>
            <w:tcW w:w="1447" w:type="pct"/>
            <w:tcBorders>
              <w:top w:val="single" w:sz="2" w:space="0" w:color="auto"/>
              <w:bottom w:val="single" w:sz="2" w:space="0" w:color="auto"/>
            </w:tcBorders>
            <w:shd w:val="clear" w:color="auto" w:fill="auto"/>
          </w:tcPr>
          <w:p w14:paraId="61E8112B" w14:textId="77777777" w:rsidR="00C410E6" w:rsidRPr="005E3B43" w:rsidRDefault="00C410E6" w:rsidP="00763BCF">
            <w:pPr>
              <w:pStyle w:val="Tabletext"/>
            </w:pPr>
            <w:r w:rsidRPr="005E3B43">
              <w:t>lung perfusion study</w:t>
            </w:r>
          </w:p>
        </w:tc>
      </w:tr>
      <w:tr w:rsidR="00C410E6" w:rsidRPr="005E3B43" w14:paraId="7DBC4EA2" w14:textId="77777777" w:rsidTr="004F6606">
        <w:trPr>
          <w:trHeight w:val="20"/>
        </w:trPr>
        <w:tc>
          <w:tcPr>
            <w:tcW w:w="645" w:type="pct"/>
            <w:tcBorders>
              <w:top w:val="single" w:sz="2" w:space="0" w:color="auto"/>
              <w:bottom w:val="single" w:sz="2" w:space="0" w:color="auto"/>
            </w:tcBorders>
          </w:tcPr>
          <w:p w14:paraId="35E78049" w14:textId="77777777" w:rsidR="00C410E6" w:rsidRPr="005E3B43" w:rsidRDefault="00C410E6" w:rsidP="00763BCF">
            <w:pPr>
              <w:pStyle w:val="Tabletext"/>
            </w:pPr>
            <w:r w:rsidRPr="005E3B43">
              <w:t>36</w:t>
            </w:r>
          </w:p>
        </w:tc>
        <w:tc>
          <w:tcPr>
            <w:tcW w:w="1246" w:type="pct"/>
            <w:tcBorders>
              <w:top w:val="single" w:sz="2" w:space="0" w:color="auto"/>
              <w:bottom w:val="single" w:sz="2" w:space="0" w:color="auto"/>
            </w:tcBorders>
            <w:shd w:val="clear" w:color="auto" w:fill="auto"/>
          </w:tcPr>
          <w:p w14:paraId="0D312DF7" w14:textId="1846EF5A" w:rsidR="00C410E6" w:rsidRPr="005E3B43" w:rsidRDefault="00C410E6" w:rsidP="00763BCF">
            <w:pPr>
              <w:pStyle w:val="Tabletext"/>
            </w:pPr>
            <w:r w:rsidRPr="005E3B43">
              <w:t>Gallium</w:t>
            </w:r>
            <w:r w:rsidR="007C3215">
              <w:noBreakHyphen/>
            </w:r>
            <w:r w:rsidRPr="005E3B43">
              <w:t>68 prostate specific membrane antigen (PSMA)</w:t>
            </w:r>
          </w:p>
        </w:tc>
        <w:tc>
          <w:tcPr>
            <w:tcW w:w="752" w:type="pct"/>
            <w:tcBorders>
              <w:top w:val="single" w:sz="2" w:space="0" w:color="auto"/>
              <w:bottom w:val="single" w:sz="2" w:space="0" w:color="auto"/>
            </w:tcBorders>
            <w:shd w:val="clear" w:color="auto" w:fill="auto"/>
          </w:tcPr>
          <w:p w14:paraId="32BD0E1C" w14:textId="77777777"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14:paraId="19D3168D" w14:textId="77777777" w:rsidR="00C410E6" w:rsidRPr="005E3B43" w:rsidRDefault="00C410E6" w:rsidP="00763BCF">
            <w:pPr>
              <w:pStyle w:val="Tabletext"/>
            </w:pPr>
            <w:r w:rsidRPr="005E3B43">
              <w:t>intravenous</w:t>
            </w:r>
          </w:p>
        </w:tc>
        <w:tc>
          <w:tcPr>
            <w:tcW w:w="1447" w:type="pct"/>
            <w:tcBorders>
              <w:top w:val="single" w:sz="2" w:space="0" w:color="auto"/>
              <w:bottom w:val="single" w:sz="2" w:space="0" w:color="auto"/>
            </w:tcBorders>
            <w:shd w:val="clear" w:color="auto" w:fill="auto"/>
          </w:tcPr>
          <w:p w14:paraId="5214D28C" w14:textId="77777777" w:rsidR="00B11D7F" w:rsidRPr="005E3B43" w:rsidRDefault="00B11D7F" w:rsidP="00763BCF">
            <w:pPr>
              <w:pStyle w:val="Tablea"/>
            </w:pPr>
            <w:r w:rsidRPr="005E3B43">
              <w:t>(a) prostate cancer imaging study</w:t>
            </w:r>
          </w:p>
          <w:p w14:paraId="03DE2EF6" w14:textId="158B0448" w:rsidR="00C410E6" w:rsidRPr="005E3B43" w:rsidRDefault="00B11D7F" w:rsidP="00763BCF">
            <w:pPr>
              <w:pStyle w:val="Tablea"/>
            </w:pPr>
            <w:r w:rsidRPr="005E3B43">
              <w:t>(b) PET CT gallium</w:t>
            </w:r>
            <w:r w:rsidR="007C3215">
              <w:noBreakHyphen/>
            </w:r>
            <w:r w:rsidRPr="005E3B43">
              <w:t>68 PSMA whole body uptake study</w:t>
            </w:r>
          </w:p>
        </w:tc>
      </w:tr>
      <w:tr w:rsidR="00B621E5" w:rsidRPr="005E3B43" w14:paraId="453A05EC" w14:textId="77777777" w:rsidTr="004F6606">
        <w:trPr>
          <w:trHeight w:val="20"/>
        </w:trPr>
        <w:tc>
          <w:tcPr>
            <w:tcW w:w="645" w:type="pct"/>
            <w:tcBorders>
              <w:top w:val="single" w:sz="2" w:space="0" w:color="auto"/>
              <w:bottom w:val="single" w:sz="2" w:space="0" w:color="auto"/>
            </w:tcBorders>
          </w:tcPr>
          <w:p w14:paraId="3C2190B1" w14:textId="77777777" w:rsidR="00B621E5" w:rsidRPr="005E3B43" w:rsidRDefault="00B621E5" w:rsidP="00763BCF">
            <w:pPr>
              <w:pStyle w:val="Tabletext"/>
            </w:pPr>
            <w:r w:rsidRPr="005E3B43">
              <w:t>36A</w:t>
            </w:r>
          </w:p>
        </w:tc>
        <w:tc>
          <w:tcPr>
            <w:tcW w:w="1246" w:type="pct"/>
            <w:tcBorders>
              <w:top w:val="single" w:sz="2" w:space="0" w:color="auto"/>
              <w:bottom w:val="single" w:sz="2" w:space="0" w:color="auto"/>
            </w:tcBorders>
            <w:shd w:val="clear" w:color="auto" w:fill="auto"/>
          </w:tcPr>
          <w:p w14:paraId="6EB8A93E" w14:textId="77777777" w:rsidR="00B621E5" w:rsidRPr="005E3B43" w:rsidRDefault="00B621E5" w:rsidP="00763BCF">
            <w:pPr>
              <w:pStyle w:val="Tabletext"/>
            </w:pPr>
            <w:r w:rsidRPr="005E3B43">
              <w:t>ganciclovir</w:t>
            </w:r>
          </w:p>
        </w:tc>
        <w:tc>
          <w:tcPr>
            <w:tcW w:w="752" w:type="pct"/>
            <w:tcBorders>
              <w:top w:val="single" w:sz="2" w:space="0" w:color="auto"/>
              <w:bottom w:val="single" w:sz="2" w:space="0" w:color="auto"/>
            </w:tcBorders>
            <w:shd w:val="clear" w:color="auto" w:fill="auto"/>
          </w:tcPr>
          <w:p w14:paraId="3D41B2A6" w14:textId="77777777" w:rsidR="00B621E5" w:rsidRPr="005E3B43" w:rsidRDefault="00B621E5" w:rsidP="00763BCF">
            <w:pPr>
              <w:pStyle w:val="Tabletext"/>
            </w:pPr>
            <w:r w:rsidRPr="005E3B43">
              <w:t>gel</w:t>
            </w:r>
          </w:p>
        </w:tc>
        <w:tc>
          <w:tcPr>
            <w:tcW w:w="910" w:type="pct"/>
            <w:tcBorders>
              <w:top w:val="single" w:sz="2" w:space="0" w:color="auto"/>
              <w:bottom w:val="single" w:sz="2" w:space="0" w:color="auto"/>
            </w:tcBorders>
            <w:shd w:val="clear" w:color="auto" w:fill="auto"/>
          </w:tcPr>
          <w:p w14:paraId="1C6F5F5A" w14:textId="77777777" w:rsidR="00B621E5" w:rsidRPr="005E3B43" w:rsidRDefault="00B621E5" w:rsidP="00763BCF">
            <w:pPr>
              <w:pStyle w:val="Tabletext"/>
            </w:pPr>
            <w:r w:rsidRPr="005E3B43">
              <w:t>ophthalmic</w:t>
            </w:r>
          </w:p>
        </w:tc>
        <w:tc>
          <w:tcPr>
            <w:tcW w:w="1447" w:type="pct"/>
            <w:tcBorders>
              <w:top w:val="single" w:sz="2" w:space="0" w:color="auto"/>
              <w:bottom w:val="single" w:sz="2" w:space="0" w:color="auto"/>
            </w:tcBorders>
            <w:shd w:val="clear" w:color="auto" w:fill="auto"/>
          </w:tcPr>
          <w:p w14:paraId="77A9B963" w14:textId="77777777" w:rsidR="00B621E5" w:rsidRPr="005E3B43" w:rsidRDefault="00B621E5" w:rsidP="00763BCF">
            <w:pPr>
              <w:pStyle w:val="Tabletext"/>
            </w:pPr>
            <w:r w:rsidRPr="005E3B43">
              <w:t>treatment of cytomegalovirus</w:t>
            </w:r>
          </w:p>
        </w:tc>
      </w:tr>
      <w:tr w:rsidR="00C410E6" w:rsidRPr="005E3B43" w14:paraId="49A1C78A" w14:textId="77777777" w:rsidTr="004F6606">
        <w:trPr>
          <w:trHeight w:val="20"/>
        </w:trPr>
        <w:tc>
          <w:tcPr>
            <w:tcW w:w="645" w:type="pct"/>
            <w:tcBorders>
              <w:top w:val="single" w:sz="2" w:space="0" w:color="auto"/>
              <w:bottom w:val="single" w:sz="2" w:space="0" w:color="auto"/>
            </w:tcBorders>
          </w:tcPr>
          <w:p w14:paraId="5E020B6B" w14:textId="77777777" w:rsidR="00C410E6" w:rsidRPr="005E3B43" w:rsidRDefault="00C410E6" w:rsidP="00763BCF">
            <w:pPr>
              <w:pStyle w:val="Tabletext"/>
            </w:pPr>
            <w:r w:rsidRPr="005E3B43">
              <w:t>37</w:t>
            </w:r>
          </w:p>
        </w:tc>
        <w:tc>
          <w:tcPr>
            <w:tcW w:w="1246" w:type="pct"/>
            <w:tcBorders>
              <w:top w:val="single" w:sz="2" w:space="0" w:color="auto"/>
              <w:bottom w:val="single" w:sz="2" w:space="0" w:color="auto"/>
            </w:tcBorders>
            <w:shd w:val="clear" w:color="auto" w:fill="auto"/>
          </w:tcPr>
          <w:p w14:paraId="0F7CFC2A" w14:textId="77777777" w:rsidR="00C410E6" w:rsidRPr="005E3B43" w:rsidRDefault="00C410E6" w:rsidP="00763BCF">
            <w:pPr>
              <w:pStyle w:val="Tabletext"/>
            </w:pPr>
            <w:r w:rsidRPr="005E3B43">
              <w:t>glycopyrronium bromide</w:t>
            </w:r>
          </w:p>
        </w:tc>
        <w:tc>
          <w:tcPr>
            <w:tcW w:w="752" w:type="pct"/>
            <w:tcBorders>
              <w:top w:val="single" w:sz="2" w:space="0" w:color="auto"/>
              <w:bottom w:val="single" w:sz="2" w:space="0" w:color="auto"/>
            </w:tcBorders>
            <w:shd w:val="clear" w:color="auto" w:fill="auto"/>
          </w:tcPr>
          <w:p w14:paraId="48E28723" w14:textId="77777777"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14:paraId="3567262D" w14:textId="77777777"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14:paraId="51306BBB" w14:textId="77777777" w:rsidR="00C410E6" w:rsidRPr="005E3B43" w:rsidRDefault="00C410E6" w:rsidP="00763BCF">
            <w:pPr>
              <w:pStyle w:val="Tabletext"/>
            </w:pPr>
            <w:r w:rsidRPr="005E3B43">
              <w:t>treatment of excessive salivation in patients with neurological conditions</w:t>
            </w:r>
          </w:p>
        </w:tc>
      </w:tr>
      <w:tr w:rsidR="00C410E6" w:rsidRPr="005E3B43" w14:paraId="6CF95BA7" w14:textId="77777777" w:rsidTr="004F6606">
        <w:trPr>
          <w:trHeight w:val="20"/>
        </w:trPr>
        <w:tc>
          <w:tcPr>
            <w:tcW w:w="645" w:type="pct"/>
            <w:tcBorders>
              <w:top w:val="single" w:sz="2" w:space="0" w:color="auto"/>
              <w:bottom w:val="single" w:sz="2" w:space="0" w:color="auto"/>
            </w:tcBorders>
          </w:tcPr>
          <w:p w14:paraId="5E70D478" w14:textId="77777777" w:rsidR="00C410E6" w:rsidRPr="005E3B43" w:rsidRDefault="00C410E6" w:rsidP="00631101">
            <w:pPr>
              <w:pStyle w:val="Tabletext"/>
              <w:keepNext/>
            </w:pPr>
            <w:r w:rsidRPr="005E3B43">
              <w:lastRenderedPageBreak/>
              <w:t>38</w:t>
            </w:r>
          </w:p>
        </w:tc>
        <w:tc>
          <w:tcPr>
            <w:tcW w:w="1246" w:type="pct"/>
            <w:tcBorders>
              <w:top w:val="single" w:sz="2" w:space="0" w:color="auto"/>
              <w:bottom w:val="single" w:sz="2" w:space="0" w:color="auto"/>
            </w:tcBorders>
            <w:shd w:val="clear" w:color="auto" w:fill="auto"/>
          </w:tcPr>
          <w:p w14:paraId="2993E98B" w14:textId="77777777" w:rsidR="00C410E6" w:rsidRPr="005E3B43" w:rsidRDefault="00C410E6" w:rsidP="00631101">
            <w:pPr>
              <w:pStyle w:val="Tabletext"/>
              <w:keepNext/>
            </w:pPr>
            <w:r w:rsidRPr="005E3B43">
              <w:t>hyoscine hydrobromide</w:t>
            </w:r>
          </w:p>
        </w:tc>
        <w:tc>
          <w:tcPr>
            <w:tcW w:w="752" w:type="pct"/>
            <w:tcBorders>
              <w:top w:val="single" w:sz="2" w:space="0" w:color="auto"/>
              <w:bottom w:val="single" w:sz="2" w:space="0" w:color="auto"/>
            </w:tcBorders>
            <w:shd w:val="clear" w:color="auto" w:fill="auto"/>
          </w:tcPr>
          <w:p w14:paraId="2A734D31" w14:textId="77777777" w:rsidR="00C410E6" w:rsidRPr="005E3B43" w:rsidRDefault="00C410E6" w:rsidP="00631101">
            <w:pPr>
              <w:pStyle w:val="Tabletext"/>
              <w:keepNext/>
            </w:pPr>
            <w:r w:rsidRPr="005E3B43">
              <w:t>patch</w:t>
            </w:r>
          </w:p>
        </w:tc>
        <w:tc>
          <w:tcPr>
            <w:tcW w:w="910" w:type="pct"/>
            <w:tcBorders>
              <w:top w:val="single" w:sz="2" w:space="0" w:color="auto"/>
              <w:bottom w:val="single" w:sz="2" w:space="0" w:color="auto"/>
            </w:tcBorders>
            <w:shd w:val="clear" w:color="auto" w:fill="auto"/>
          </w:tcPr>
          <w:p w14:paraId="24652685" w14:textId="77777777" w:rsidR="00C410E6" w:rsidRPr="005E3B43" w:rsidRDefault="00C410E6" w:rsidP="00631101">
            <w:pPr>
              <w:pStyle w:val="Tabletext"/>
              <w:keepNext/>
            </w:pPr>
            <w:r w:rsidRPr="005E3B43">
              <w:t>transdermal</w:t>
            </w:r>
          </w:p>
        </w:tc>
        <w:tc>
          <w:tcPr>
            <w:tcW w:w="1447" w:type="pct"/>
            <w:tcBorders>
              <w:top w:val="single" w:sz="2" w:space="0" w:color="auto"/>
              <w:bottom w:val="single" w:sz="2" w:space="0" w:color="auto"/>
            </w:tcBorders>
            <w:shd w:val="clear" w:color="auto" w:fill="auto"/>
          </w:tcPr>
          <w:p w14:paraId="57838E5D" w14:textId="77777777" w:rsidR="00C410E6" w:rsidRPr="005E3B43" w:rsidRDefault="00C410E6" w:rsidP="00631101">
            <w:pPr>
              <w:pStyle w:val="Tabletext"/>
              <w:keepNext/>
            </w:pPr>
            <w:r w:rsidRPr="005E3B43">
              <w:t xml:space="preserve">treatment of excessive salivation </w:t>
            </w:r>
          </w:p>
        </w:tc>
      </w:tr>
      <w:tr w:rsidR="00C410E6" w:rsidRPr="005E3B43" w14:paraId="27574DED" w14:textId="77777777" w:rsidTr="004F6606">
        <w:trPr>
          <w:trHeight w:val="20"/>
        </w:trPr>
        <w:tc>
          <w:tcPr>
            <w:tcW w:w="645" w:type="pct"/>
            <w:tcBorders>
              <w:top w:val="single" w:sz="2" w:space="0" w:color="auto"/>
              <w:bottom w:val="single" w:sz="2" w:space="0" w:color="auto"/>
            </w:tcBorders>
          </w:tcPr>
          <w:p w14:paraId="353DF5A7" w14:textId="77777777" w:rsidR="00C410E6" w:rsidRPr="005E3B43" w:rsidRDefault="00C410E6" w:rsidP="00763BCF">
            <w:pPr>
              <w:pStyle w:val="Tabletext"/>
            </w:pPr>
            <w:r w:rsidRPr="005E3B43">
              <w:t>39</w:t>
            </w:r>
          </w:p>
        </w:tc>
        <w:tc>
          <w:tcPr>
            <w:tcW w:w="1246" w:type="pct"/>
            <w:tcBorders>
              <w:top w:val="single" w:sz="2" w:space="0" w:color="auto"/>
              <w:bottom w:val="single" w:sz="2" w:space="0" w:color="auto"/>
            </w:tcBorders>
            <w:shd w:val="clear" w:color="auto" w:fill="auto"/>
          </w:tcPr>
          <w:p w14:paraId="2505D55F" w14:textId="77777777" w:rsidR="00C410E6" w:rsidRPr="005E3B43" w:rsidRDefault="00C410E6" w:rsidP="00763BCF">
            <w:pPr>
              <w:pStyle w:val="Tabletext"/>
            </w:pPr>
            <w:r w:rsidRPr="005E3B43">
              <w:t>hypertonic sodium chloride, 5 %</w:t>
            </w:r>
          </w:p>
        </w:tc>
        <w:tc>
          <w:tcPr>
            <w:tcW w:w="752" w:type="pct"/>
            <w:tcBorders>
              <w:top w:val="single" w:sz="2" w:space="0" w:color="auto"/>
              <w:bottom w:val="single" w:sz="2" w:space="0" w:color="auto"/>
            </w:tcBorders>
            <w:shd w:val="clear" w:color="auto" w:fill="auto"/>
          </w:tcPr>
          <w:p w14:paraId="6BD75ED9" w14:textId="77777777" w:rsidR="00C410E6" w:rsidRPr="005E3B43" w:rsidRDefault="00C410E6" w:rsidP="00763BCF">
            <w:pPr>
              <w:pStyle w:val="Tabletext"/>
            </w:pPr>
            <w:r w:rsidRPr="005E3B43">
              <w:t>eye ointment</w:t>
            </w:r>
          </w:p>
        </w:tc>
        <w:tc>
          <w:tcPr>
            <w:tcW w:w="910" w:type="pct"/>
            <w:tcBorders>
              <w:top w:val="single" w:sz="2" w:space="0" w:color="auto"/>
              <w:bottom w:val="single" w:sz="2" w:space="0" w:color="auto"/>
            </w:tcBorders>
            <w:shd w:val="clear" w:color="auto" w:fill="auto"/>
          </w:tcPr>
          <w:p w14:paraId="405E93A8" w14:textId="77777777" w:rsidR="00C410E6" w:rsidRPr="005E3B43" w:rsidRDefault="00C410E6" w:rsidP="00763BCF">
            <w:pPr>
              <w:pStyle w:val="Tabletext"/>
            </w:pPr>
            <w:r w:rsidRPr="005E3B43">
              <w:t>ophthalmic</w:t>
            </w:r>
          </w:p>
        </w:tc>
        <w:tc>
          <w:tcPr>
            <w:tcW w:w="1447" w:type="pct"/>
            <w:tcBorders>
              <w:top w:val="single" w:sz="2" w:space="0" w:color="auto"/>
              <w:bottom w:val="single" w:sz="2" w:space="0" w:color="auto"/>
            </w:tcBorders>
            <w:shd w:val="clear" w:color="auto" w:fill="auto"/>
          </w:tcPr>
          <w:p w14:paraId="0753725F" w14:textId="77777777" w:rsidR="00C410E6" w:rsidRPr="005E3B43" w:rsidRDefault="00C410E6" w:rsidP="00763BCF">
            <w:pPr>
              <w:pStyle w:val="Tabletext"/>
            </w:pPr>
            <w:r w:rsidRPr="005E3B43">
              <w:t>temporary relief of corneal oedema (hypertonicity)</w:t>
            </w:r>
          </w:p>
        </w:tc>
      </w:tr>
      <w:tr w:rsidR="00C410E6" w:rsidRPr="005E3B43" w14:paraId="5F22F2F9" w14:textId="77777777" w:rsidTr="004F6606">
        <w:trPr>
          <w:trHeight w:val="20"/>
        </w:trPr>
        <w:tc>
          <w:tcPr>
            <w:tcW w:w="645" w:type="pct"/>
            <w:tcBorders>
              <w:top w:val="single" w:sz="2" w:space="0" w:color="auto"/>
              <w:bottom w:val="single" w:sz="2" w:space="0" w:color="auto"/>
            </w:tcBorders>
          </w:tcPr>
          <w:p w14:paraId="5B554567" w14:textId="77777777" w:rsidR="00C410E6" w:rsidRPr="005E3B43" w:rsidRDefault="00C410E6" w:rsidP="00763BCF">
            <w:pPr>
              <w:pStyle w:val="Tabletext"/>
            </w:pPr>
            <w:r w:rsidRPr="005E3B43">
              <w:t>40</w:t>
            </w:r>
          </w:p>
        </w:tc>
        <w:tc>
          <w:tcPr>
            <w:tcW w:w="1246" w:type="pct"/>
            <w:tcBorders>
              <w:top w:val="single" w:sz="2" w:space="0" w:color="auto"/>
              <w:bottom w:val="single" w:sz="2" w:space="0" w:color="auto"/>
            </w:tcBorders>
            <w:shd w:val="clear" w:color="auto" w:fill="auto"/>
          </w:tcPr>
          <w:p w14:paraId="7154651E" w14:textId="77777777" w:rsidR="00C410E6" w:rsidRPr="005E3B43" w:rsidRDefault="00C410E6" w:rsidP="00763BCF">
            <w:pPr>
              <w:pStyle w:val="Tabletext"/>
            </w:pPr>
            <w:r w:rsidRPr="005E3B43">
              <w:t>hypertonic sodium chloride, 5%</w:t>
            </w:r>
          </w:p>
        </w:tc>
        <w:tc>
          <w:tcPr>
            <w:tcW w:w="752" w:type="pct"/>
            <w:tcBorders>
              <w:top w:val="single" w:sz="2" w:space="0" w:color="auto"/>
              <w:bottom w:val="single" w:sz="2" w:space="0" w:color="auto"/>
            </w:tcBorders>
            <w:shd w:val="clear" w:color="auto" w:fill="auto"/>
          </w:tcPr>
          <w:p w14:paraId="4DB834E5" w14:textId="77777777" w:rsidR="00C410E6" w:rsidRPr="005E3B43" w:rsidRDefault="00C410E6" w:rsidP="00763BCF">
            <w:pPr>
              <w:pStyle w:val="Tabletext"/>
            </w:pPr>
            <w:r w:rsidRPr="005E3B43">
              <w:t>eye drops</w:t>
            </w:r>
          </w:p>
        </w:tc>
        <w:tc>
          <w:tcPr>
            <w:tcW w:w="910" w:type="pct"/>
            <w:tcBorders>
              <w:top w:val="single" w:sz="2" w:space="0" w:color="auto"/>
              <w:bottom w:val="single" w:sz="2" w:space="0" w:color="auto"/>
            </w:tcBorders>
            <w:shd w:val="clear" w:color="auto" w:fill="auto"/>
          </w:tcPr>
          <w:p w14:paraId="2ED21EEB" w14:textId="77777777" w:rsidR="00C410E6" w:rsidRPr="005E3B43" w:rsidRDefault="00C410E6" w:rsidP="00763BCF">
            <w:pPr>
              <w:pStyle w:val="Tabletext"/>
            </w:pPr>
            <w:r w:rsidRPr="005E3B43">
              <w:t>ophthalmic</w:t>
            </w:r>
          </w:p>
        </w:tc>
        <w:tc>
          <w:tcPr>
            <w:tcW w:w="1447" w:type="pct"/>
            <w:tcBorders>
              <w:top w:val="single" w:sz="2" w:space="0" w:color="auto"/>
              <w:bottom w:val="single" w:sz="2" w:space="0" w:color="auto"/>
            </w:tcBorders>
            <w:shd w:val="clear" w:color="auto" w:fill="auto"/>
          </w:tcPr>
          <w:p w14:paraId="4DF8DC29" w14:textId="77777777" w:rsidR="00C410E6" w:rsidRPr="005E3B43" w:rsidRDefault="00C410E6" w:rsidP="00763BCF">
            <w:pPr>
              <w:pStyle w:val="Tabletext"/>
            </w:pPr>
            <w:r w:rsidRPr="005E3B43">
              <w:t>temporary relief of corneal oedema (hypertonicity)</w:t>
            </w:r>
          </w:p>
        </w:tc>
      </w:tr>
      <w:tr w:rsidR="00C410E6" w:rsidRPr="005E3B43" w14:paraId="0F09088C" w14:textId="77777777" w:rsidTr="004F6606">
        <w:trPr>
          <w:trHeight w:val="20"/>
        </w:trPr>
        <w:tc>
          <w:tcPr>
            <w:tcW w:w="645" w:type="pct"/>
            <w:tcBorders>
              <w:top w:val="single" w:sz="2" w:space="0" w:color="auto"/>
              <w:bottom w:val="single" w:sz="2" w:space="0" w:color="auto"/>
            </w:tcBorders>
          </w:tcPr>
          <w:p w14:paraId="5AD031BE" w14:textId="77777777" w:rsidR="00C410E6" w:rsidRPr="005E3B43" w:rsidRDefault="00C410E6" w:rsidP="00763BCF">
            <w:pPr>
              <w:pStyle w:val="Tabletext"/>
            </w:pPr>
            <w:r w:rsidRPr="005E3B43">
              <w:t>40A</w:t>
            </w:r>
          </w:p>
        </w:tc>
        <w:tc>
          <w:tcPr>
            <w:tcW w:w="1246" w:type="pct"/>
            <w:tcBorders>
              <w:top w:val="single" w:sz="2" w:space="0" w:color="auto"/>
              <w:bottom w:val="single" w:sz="2" w:space="0" w:color="auto"/>
            </w:tcBorders>
            <w:shd w:val="clear" w:color="auto" w:fill="auto"/>
          </w:tcPr>
          <w:p w14:paraId="00112676" w14:textId="77777777" w:rsidR="00C410E6" w:rsidRPr="005E3B43" w:rsidRDefault="00C410E6" w:rsidP="00763BCF">
            <w:pPr>
              <w:pStyle w:val="Tabletext"/>
            </w:pPr>
            <w:r w:rsidRPr="005E3B43">
              <w:t>iloprost</w:t>
            </w:r>
          </w:p>
        </w:tc>
        <w:tc>
          <w:tcPr>
            <w:tcW w:w="752" w:type="pct"/>
            <w:tcBorders>
              <w:top w:val="single" w:sz="2" w:space="0" w:color="auto"/>
              <w:bottom w:val="single" w:sz="2" w:space="0" w:color="auto"/>
            </w:tcBorders>
            <w:shd w:val="clear" w:color="auto" w:fill="auto"/>
          </w:tcPr>
          <w:p w14:paraId="2CFD2794" w14:textId="77777777"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14:paraId="06E420C7" w14:textId="77777777" w:rsidR="00C410E6" w:rsidRPr="005E3B43" w:rsidRDefault="00C410E6" w:rsidP="00763BCF">
            <w:pPr>
              <w:pStyle w:val="Tabletext"/>
            </w:pPr>
            <w:r w:rsidRPr="005E3B43">
              <w:t>intravenous infusion</w:t>
            </w:r>
          </w:p>
        </w:tc>
        <w:tc>
          <w:tcPr>
            <w:tcW w:w="1447" w:type="pct"/>
            <w:tcBorders>
              <w:top w:val="single" w:sz="2" w:space="0" w:color="auto"/>
              <w:bottom w:val="single" w:sz="2" w:space="0" w:color="auto"/>
            </w:tcBorders>
            <w:shd w:val="clear" w:color="auto" w:fill="auto"/>
          </w:tcPr>
          <w:p w14:paraId="78CA2265" w14:textId="77777777" w:rsidR="00C410E6" w:rsidRPr="005E3B43" w:rsidRDefault="00C410E6" w:rsidP="00763BCF">
            <w:pPr>
              <w:pStyle w:val="Tablea"/>
            </w:pPr>
            <w:r w:rsidRPr="005E3B43">
              <w:t>(a) treatment of patients with severe disabling Raynaud’s phenomenon; or</w:t>
            </w:r>
          </w:p>
          <w:p w14:paraId="7D966E0E" w14:textId="77777777" w:rsidR="00C410E6" w:rsidRPr="005E3B43" w:rsidRDefault="00C410E6" w:rsidP="00763BCF">
            <w:pPr>
              <w:pStyle w:val="Tablea"/>
            </w:pPr>
            <w:r w:rsidRPr="005E3B43">
              <w:t>(b) treatment of peripheral ischaemia</w:t>
            </w:r>
          </w:p>
        </w:tc>
      </w:tr>
      <w:tr w:rsidR="00C410E6" w:rsidRPr="005E3B43" w14:paraId="6CAE5B7A" w14:textId="77777777" w:rsidTr="004F6606">
        <w:trPr>
          <w:trHeight w:val="20"/>
        </w:trPr>
        <w:tc>
          <w:tcPr>
            <w:tcW w:w="645" w:type="pct"/>
            <w:tcBorders>
              <w:top w:val="single" w:sz="2" w:space="0" w:color="auto"/>
              <w:bottom w:val="single" w:sz="2" w:space="0" w:color="auto"/>
            </w:tcBorders>
          </w:tcPr>
          <w:p w14:paraId="6899A744" w14:textId="77777777" w:rsidR="00C410E6" w:rsidRPr="005E3B43" w:rsidRDefault="00C410E6" w:rsidP="00763BCF">
            <w:pPr>
              <w:pStyle w:val="Tabletext"/>
            </w:pPr>
            <w:r w:rsidRPr="005E3B43">
              <w:t>41</w:t>
            </w:r>
          </w:p>
        </w:tc>
        <w:tc>
          <w:tcPr>
            <w:tcW w:w="1246" w:type="pct"/>
            <w:tcBorders>
              <w:top w:val="single" w:sz="2" w:space="0" w:color="auto"/>
              <w:bottom w:val="single" w:sz="2" w:space="0" w:color="auto"/>
            </w:tcBorders>
            <w:shd w:val="clear" w:color="auto" w:fill="auto"/>
          </w:tcPr>
          <w:p w14:paraId="69B2D5AF" w14:textId="77777777" w:rsidR="00C410E6" w:rsidRPr="005E3B43" w:rsidRDefault="00C410E6" w:rsidP="00763BCF">
            <w:pPr>
              <w:pStyle w:val="Tabletext"/>
            </w:pPr>
            <w:r w:rsidRPr="005E3B43">
              <w:t>indigo carmine</w:t>
            </w:r>
          </w:p>
        </w:tc>
        <w:tc>
          <w:tcPr>
            <w:tcW w:w="752" w:type="pct"/>
            <w:tcBorders>
              <w:top w:val="single" w:sz="2" w:space="0" w:color="auto"/>
              <w:bottom w:val="single" w:sz="2" w:space="0" w:color="auto"/>
            </w:tcBorders>
            <w:shd w:val="clear" w:color="auto" w:fill="auto"/>
          </w:tcPr>
          <w:p w14:paraId="0CBC8FB1" w14:textId="77777777"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14:paraId="38E1291B" w14:textId="77777777" w:rsidR="00C410E6" w:rsidRPr="005E3B43" w:rsidRDefault="00C410E6" w:rsidP="00763BCF">
            <w:pPr>
              <w:pStyle w:val="Tabletext"/>
            </w:pPr>
            <w:r w:rsidRPr="005E3B43">
              <w:t>intravenous</w:t>
            </w:r>
          </w:p>
        </w:tc>
        <w:tc>
          <w:tcPr>
            <w:tcW w:w="1447" w:type="pct"/>
            <w:tcBorders>
              <w:top w:val="single" w:sz="2" w:space="0" w:color="auto"/>
              <w:bottom w:val="single" w:sz="2" w:space="0" w:color="auto"/>
            </w:tcBorders>
            <w:shd w:val="clear" w:color="auto" w:fill="auto"/>
          </w:tcPr>
          <w:p w14:paraId="30F2C64E" w14:textId="77777777" w:rsidR="00C410E6" w:rsidRPr="005E3B43" w:rsidRDefault="00C410E6" w:rsidP="00763BCF">
            <w:pPr>
              <w:pStyle w:val="Tabletext"/>
            </w:pPr>
            <w:r w:rsidRPr="005E3B43">
              <w:t>intraoperative detection of suspected urethral injuries during abdominal and pelvic surgical procedures</w:t>
            </w:r>
          </w:p>
        </w:tc>
      </w:tr>
      <w:tr w:rsidR="00C410E6" w:rsidRPr="005E3B43" w14:paraId="3BC9C0CC" w14:textId="77777777" w:rsidTr="004F6606">
        <w:trPr>
          <w:trHeight w:val="20"/>
        </w:trPr>
        <w:tc>
          <w:tcPr>
            <w:tcW w:w="645" w:type="pct"/>
            <w:tcBorders>
              <w:top w:val="single" w:sz="2" w:space="0" w:color="auto"/>
              <w:bottom w:val="single" w:sz="2" w:space="0" w:color="auto"/>
            </w:tcBorders>
          </w:tcPr>
          <w:p w14:paraId="77F8398C" w14:textId="77777777" w:rsidR="00C410E6" w:rsidRPr="005E3B43" w:rsidRDefault="00C410E6" w:rsidP="00763BCF">
            <w:pPr>
              <w:pStyle w:val="Tabletext"/>
            </w:pPr>
            <w:r w:rsidRPr="005E3B43">
              <w:t>42</w:t>
            </w:r>
          </w:p>
        </w:tc>
        <w:tc>
          <w:tcPr>
            <w:tcW w:w="1246" w:type="pct"/>
            <w:tcBorders>
              <w:top w:val="single" w:sz="2" w:space="0" w:color="auto"/>
              <w:bottom w:val="single" w:sz="2" w:space="0" w:color="auto"/>
            </w:tcBorders>
            <w:shd w:val="clear" w:color="auto" w:fill="auto"/>
          </w:tcPr>
          <w:p w14:paraId="08C4B529" w14:textId="77777777" w:rsidR="00C410E6" w:rsidRPr="005E3B43" w:rsidRDefault="00C410E6" w:rsidP="00763BCF">
            <w:pPr>
              <w:pStyle w:val="Tabletext"/>
            </w:pPr>
            <w:r w:rsidRPr="005E3B43">
              <w:t xml:space="preserve">indocyanine green dye </w:t>
            </w:r>
          </w:p>
        </w:tc>
        <w:tc>
          <w:tcPr>
            <w:tcW w:w="752" w:type="pct"/>
            <w:tcBorders>
              <w:top w:val="single" w:sz="2" w:space="0" w:color="auto"/>
              <w:bottom w:val="single" w:sz="2" w:space="0" w:color="auto"/>
            </w:tcBorders>
            <w:shd w:val="clear" w:color="auto" w:fill="auto"/>
          </w:tcPr>
          <w:p w14:paraId="7D669EC3" w14:textId="77777777"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14:paraId="64E599DF" w14:textId="77777777" w:rsidR="00C410E6" w:rsidRPr="005E3B43" w:rsidRDefault="00C410E6" w:rsidP="00763BCF">
            <w:pPr>
              <w:pStyle w:val="Tabletext"/>
            </w:pPr>
            <w:r w:rsidRPr="005E3B43">
              <w:t xml:space="preserve">intravenous </w:t>
            </w:r>
          </w:p>
        </w:tc>
        <w:tc>
          <w:tcPr>
            <w:tcW w:w="1447" w:type="pct"/>
            <w:tcBorders>
              <w:top w:val="single" w:sz="2" w:space="0" w:color="auto"/>
              <w:bottom w:val="single" w:sz="2" w:space="0" w:color="auto"/>
            </w:tcBorders>
            <w:shd w:val="clear" w:color="auto" w:fill="auto"/>
          </w:tcPr>
          <w:p w14:paraId="574CE3BD" w14:textId="7755A585" w:rsidR="00C410E6" w:rsidRPr="005E3B43" w:rsidRDefault="00C410E6" w:rsidP="00763BCF">
            <w:pPr>
              <w:pStyle w:val="Tabletext"/>
            </w:pPr>
            <w:r w:rsidRPr="005E3B43">
              <w:t>intra</w:t>
            </w:r>
            <w:r w:rsidR="007C3215">
              <w:noBreakHyphen/>
            </w:r>
            <w:r w:rsidRPr="005E3B43">
              <w:t>operative diagnostic use</w:t>
            </w:r>
          </w:p>
        </w:tc>
      </w:tr>
      <w:tr w:rsidR="00C410E6" w:rsidRPr="005E3B43" w14:paraId="458D7C23" w14:textId="77777777" w:rsidTr="004F6606">
        <w:trPr>
          <w:trHeight w:val="20"/>
        </w:trPr>
        <w:tc>
          <w:tcPr>
            <w:tcW w:w="645" w:type="pct"/>
            <w:tcBorders>
              <w:top w:val="single" w:sz="2" w:space="0" w:color="auto"/>
              <w:bottom w:val="single" w:sz="2" w:space="0" w:color="auto"/>
            </w:tcBorders>
          </w:tcPr>
          <w:p w14:paraId="45F6249B" w14:textId="77777777" w:rsidR="00C410E6" w:rsidRPr="005E3B43" w:rsidRDefault="00C410E6" w:rsidP="00763BCF">
            <w:pPr>
              <w:pStyle w:val="Tabletext"/>
            </w:pPr>
            <w:r w:rsidRPr="005E3B43">
              <w:t>42AA</w:t>
            </w:r>
          </w:p>
        </w:tc>
        <w:tc>
          <w:tcPr>
            <w:tcW w:w="1246" w:type="pct"/>
            <w:tcBorders>
              <w:top w:val="single" w:sz="2" w:space="0" w:color="auto"/>
              <w:bottom w:val="single" w:sz="2" w:space="0" w:color="auto"/>
            </w:tcBorders>
            <w:shd w:val="clear" w:color="auto" w:fill="auto"/>
          </w:tcPr>
          <w:p w14:paraId="0EE727A0" w14:textId="616983D6" w:rsidR="00C410E6" w:rsidRPr="005E3B43" w:rsidRDefault="00C410E6" w:rsidP="00763BCF">
            <w:pPr>
              <w:pStyle w:val="Tabletext"/>
            </w:pPr>
            <w:r w:rsidRPr="005E3B43">
              <w:t>interferon alpha</w:t>
            </w:r>
            <w:r w:rsidR="007C3215">
              <w:noBreakHyphen/>
            </w:r>
            <w:r w:rsidRPr="005E3B43">
              <w:t>2b</w:t>
            </w:r>
          </w:p>
        </w:tc>
        <w:tc>
          <w:tcPr>
            <w:tcW w:w="752" w:type="pct"/>
            <w:tcBorders>
              <w:top w:val="single" w:sz="2" w:space="0" w:color="auto"/>
              <w:bottom w:val="single" w:sz="2" w:space="0" w:color="auto"/>
            </w:tcBorders>
            <w:shd w:val="clear" w:color="auto" w:fill="auto"/>
          </w:tcPr>
          <w:p w14:paraId="54E7EC61" w14:textId="77777777" w:rsidR="00C410E6" w:rsidRPr="005E3B43" w:rsidRDefault="00C410E6" w:rsidP="00763BCF">
            <w:pPr>
              <w:pStyle w:val="Tabletext"/>
            </w:pPr>
            <w:r w:rsidRPr="005E3B43">
              <w:t>eye drops</w:t>
            </w:r>
          </w:p>
        </w:tc>
        <w:tc>
          <w:tcPr>
            <w:tcW w:w="910" w:type="pct"/>
            <w:tcBorders>
              <w:top w:val="single" w:sz="2" w:space="0" w:color="auto"/>
              <w:bottom w:val="single" w:sz="2" w:space="0" w:color="auto"/>
            </w:tcBorders>
            <w:shd w:val="clear" w:color="auto" w:fill="auto"/>
          </w:tcPr>
          <w:p w14:paraId="60643B79" w14:textId="77777777" w:rsidR="00C410E6" w:rsidRPr="005E3B43" w:rsidRDefault="00C410E6" w:rsidP="00763BCF">
            <w:pPr>
              <w:pStyle w:val="Tabletext"/>
            </w:pPr>
            <w:r w:rsidRPr="005E3B43">
              <w:t>ophthalmic</w:t>
            </w:r>
          </w:p>
        </w:tc>
        <w:tc>
          <w:tcPr>
            <w:tcW w:w="1447" w:type="pct"/>
            <w:tcBorders>
              <w:top w:val="single" w:sz="2" w:space="0" w:color="auto"/>
              <w:bottom w:val="single" w:sz="2" w:space="0" w:color="auto"/>
            </w:tcBorders>
            <w:shd w:val="clear" w:color="auto" w:fill="auto"/>
          </w:tcPr>
          <w:p w14:paraId="004A82ED" w14:textId="77777777" w:rsidR="00C410E6" w:rsidRPr="005E3B43" w:rsidRDefault="00C410E6" w:rsidP="00763BCF">
            <w:pPr>
              <w:pStyle w:val="Tabletext"/>
            </w:pPr>
            <w:r w:rsidRPr="005E3B43">
              <w:t>treatment of ocular surface squamous neoplasia</w:t>
            </w:r>
          </w:p>
        </w:tc>
      </w:tr>
      <w:tr w:rsidR="00C410E6" w:rsidRPr="005E3B43" w14:paraId="4B58EC4D" w14:textId="77777777" w:rsidTr="00D11907">
        <w:tblPrEx>
          <w:tblBorders>
            <w:top w:val="none" w:sz="0" w:space="0" w:color="auto"/>
            <w:bottom w:val="none" w:sz="0" w:space="0" w:color="auto"/>
            <w:insideH w:val="none" w:sz="0" w:space="0" w:color="auto"/>
          </w:tblBorders>
        </w:tblPrEx>
        <w:trPr>
          <w:trHeight w:val="20"/>
        </w:trPr>
        <w:tc>
          <w:tcPr>
            <w:tcW w:w="645" w:type="pct"/>
          </w:tcPr>
          <w:p w14:paraId="5FE033D7" w14:textId="77777777" w:rsidR="00C410E6" w:rsidRPr="005E3B43" w:rsidRDefault="00C410E6" w:rsidP="00763BCF">
            <w:pPr>
              <w:pStyle w:val="Tabletext"/>
            </w:pPr>
            <w:r w:rsidRPr="005E3B43">
              <w:t>42A</w:t>
            </w:r>
          </w:p>
        </w:tc>
        <w:tc>
          <w:tcPr>
            <w:tcW w:w="1246" w:type="pct"/>
            <w:shd w:val="clear" w:color="auto" w:fill="auto"/>
          </w:tcPr>
          <w:p w14:paraId="3731A143" w14:textId="77777777" w:rsidR="00C410E6" w:rsidRPr="005E3B43" w:rsidRDefault="00C410E6" w:rsidP="00763BCF">
            <w:pPr>
              <w:pStyle w:val="Tabletext"/>
            </w:pPr>
            <w:r w:rsidRPr="005E3B43">
              <w:t>ketotifen</w:t>
            </w:r>
          </w:p>
        </w:tc>
        <w:tc>
          <w:tcPr>
            <w:tcW w:w="752" w:type="pct"/>
            <w:shd w:val="clear" w:color="auto" w:fill="auto"/>
          </w:tcPr>
          <w:p w14:paraId="06045F3C" w14:textId="77777777" w:rsidR="00C410E6" w:rsidRPr="005E3B43" w:rsidRDefault="00C410E6" w:rsidP="00763BCF">
            <w:pPr>
              <w:pStyle w:val="Tabletext"/>
            </w:pPr>
            <w:r w:rsidRPr="005E3B43">
              <w:t>tablet</w:t>
            </w:r>
          </w:p>
        </w:tc>
        <w:tc>
          <w:tcPr>
            <w:tcW w:w="910" w:type="pct"/>
            <w:shd w:val="clear" w:color="auto" w:fill="auto"/>
          </w:tcPr>
          <w:p w14:paraId="70C636BE" w14:textId="77777777" w:rsidR="00C410E6" w:rsidRPr="005E3B43" w:rsidRDefault="00C410E6" w:rsidP="00763BCF">
            <w:pPr>
              <w:pStyle w:val="Tabletext"/>
            </w:pPr>
            <w:r w:rsidRPr="005E3B43">
              <w:t>oral</w:t>
            </w:r>
          </w:p>
        </w:tc>
        <w:tc>
          <w:tcPr>
            <w:tcW w:w="1447" w:type="pct"/>
            <w:shd w:val="clear" w:color="auto" w:fill="auto"/>
          </w:tcPr>
          <w:p w14:paraId="7F2F0ED5" w14:textId="77777777" w:rsidR="00C410E6" w:rsidRPr="005E3B43" w:rsidRDefault="00C410E6" w:rsidP="00763BCF">
            <w:pPr>
              <w:pStyle w:val="Tabletext"/>
            </w:pPr>
            <w:r w:rsidRPr="005E3B43">
              <w:t>treatment of allergic conditions</w:t>
            </w:r>
          </w:p>
        </w:tc>
      </w:tr>
      <w:tr w:rsidR="00C410E6" w:rsidRPr="005E3B43" w14:paraId="12DDC0BB" w14:textId="77777777" w:rsidTr="004F6606">
        <w:trPr>
          <w:trHeight w:val="20"/>
        </w:trPr>
        <w:tc>
          <w:tcPr>
            <w:tcW w:w="645" w:type="pct"/>
            <w:tcBorders>
              <w:top w:val="single" w:sz="2" w:space="0" w:color="auto"/>
              <w:bottom w:val="single" w:sz="2" w:space="0" w:color="auto"/>
            </w:tcBorders>
          </w:tcPr>
          <w:p w14:paraId="2D6E279B" w14:textId="77777777" w:rsidR="00C410E6" w:rsidRPr="005E3B43" w:rsidRDefault="00C410E6" w:rsidP="00763BCF">
            <w:pPr>
              <w:pStyle w:val="Tabletext"/>
            </w:pPr>
            <w:r w:rsidRPr="005E3B43">
              <w:t>43</w:t>
            </w:r>
          </w:p>
        </w:tc>
        <w:tc>
          <w:tcPr>
            <w:tcW w:w="1246" w:type="pct"/>
            <w:tcBorders>
              <w:top w:val="single" w:sz="2" w:space="0" w:color="auto"/>
              <w:bottom w:val="single" w:sz="2" w:space="0" w:color="auto"/>
            </w:tcBorders>
            <w:shd w:val="clear" w:color="auto" w:fill="auto"/>
          </w:tcPr>
          <w:p w14:paraId="75F232C8" w14:textId="77777777" w:rsidR="00C410E6" w:rsidRPr="005E3B43" w:rsidRDefault="00C410E6" w:rsidP="00763BCF">
            <w:pPr>
              <w:pStyle w:val="Tabletext"/>
            </w:pPr>
            <w:r w:rsidRPr="005E3B43">
              <w:t>levofloxacin</w:t>
            </w:r>
          </w:p>
        </w:tc>
        <w:tc>
          <w:tcPr>
            <w:tcW w:w="752" w:type="pct"/>
            <w:tcBorders>
              <w:top w:val="single" w:sz="2" w:space="0" w:color="auto"/>
              <w:bottom w:val="single" w:sz="2" w:space="0" w:color="auto"/>
            </w:tcBorders>
            <w:shd w:val="clear" w:color="auto" w:fill="auto"/>
          </w:tcPr>
          <w:p w14:paraId="67931BD0" w14:textId="77777777"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14:paraId="119EEFD4" w14:textId="77777777"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14:paraId="196355C2" w14:textId="77777777" w:rsidR="00C410E6" w:rsidRPr="005E3B43" w:rsidRDefault="00C410E6" w:rsidP="00763BCF">
            <w:pPr>
              <w:pStyle w:val="Tabletext"/>
            </w:pPr>
            <w:r w:rsidRPr="005E3B43">
              <w:t xml:space="preserve">treatment of resistant </w:t>
            </w:r>
            <w:r w:rsidRPr="005E3B43">
              <w:rPr>
                <w:i/>
              </w:rPr>
              <w:t>Helicobacter Pylori</w:t>
            </w:r>
            <w:r w:rsidRPr="005E3B43">
              <w:t xml:space="preserve"> infection or drug resistant tuberculosis</w:t>
            </w:r>
          </w:p>
        </w:tc>
      </w:tr>
      <w:tr w:rsidR="00C410E6" w:rsidRPr="005E3B43" w14:paraId="2BC4CB35" w14:textId="77777777" w:rsidTr="004F6606">
        <w:trPr>
          <w:trHeight w:val="20"/>
        </w:trPr>
        <w:tc>
          <w:tcPr>
            <w:tcW w:w="645" w:type="pct"/>
            <w:tcBorders>
              <w:top w:val="single" w:sz="2" w:space="0" w:color="auto"/>
              <w:bottom w:val="single" w:sz="2" w:space="0" w:color="auto"/>
            </w:tcBorders>
          </w:tcPr>
          <w:p w14:paraId="603783D3" w14:textId="77777777" w:rsidR="00C410E6" w:rsidRPr="005E3B43" w:rsidRDefault="00C410E6" w:rsidP="00763BCF">
            <w:pPr>
              <w:pStyle w:val="Tabletext"/>
            </w:pPr>
            <w:r w:rsidRPr="005E3B43">
              <w:t>44</w:t>
            </w:r>
          </w:p>
        </w:tc>
        <w:tc>
          <w:tcPr>
            <w:tcW w:w="1246" w:type="pct"/>
            <w:tcBorders>
              <w:top w:val="single" w:sz="2" w:space="0" w:color="auto"/>
              <w:bottom w:val="single" w:sz="2" w:space="0" w:color="auto"/>
            </w:tcBorders>
            <w:shd w:val="clear" w:color="auto" w:fill="auto"/>
          </w:tcPr>
          <w:p w14:paraId="4CC910D7" w14:textId="77777777" w:rsidR="00C410E6" w:rsidRPr="005E3B43" w:rsidRDefault="00C410E6" w:rsidP="00763BCF">
            <w:pPr>
              <w:pStyle w:val="Tabletext"/>
            </w:pPr>
            <w:r w:rsidRPr="005E3B43">
              <w:t>levomepromazine</w:t>
            </w:r>
          </w:p>
        </w:tc>
        <w:tc>
          <w:tcPr>
            <w:tcW w:w="752" w:type="pct"/>
            <w:tcBorders>
              <w:top w:val="single" w:sz="2" w:space="0" w:color="auto"/>
              <w:bottom w:val="single" w:sz="2" w:space="0" w:color="auto"/>
            </w:tcBorders>
            <w:shd w:val="clear" w:color="auto" w:fill="auto"/>
          </w:tcPr>
          <w:p w14:paraId="5897E41E" w14:textId="77777777"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14:paraId="56172ED6" w14:textId="77777777"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14:paraId="526C9CB6" w14:textId="77777777" w:rsidR="00C410E6" w:rsidRPr="005E3B43" w:rsidRDefault="00C410E6" w:rsidP="00763BCF">
            <w:pPr>
              <w:pStyle w:val="Tabletext"/>
            </w:pPr>
            <w:r w:rsidRPr="005E3B43">
              <w:t>treatment of nausea and vomiting or agitation</w:t>
            </w:r>
          </w:p>
        </w:tc>
      </w:tr>
      <w:tr w:rsidR="00C410E6" w:rsidRPr="005E3B43" w14:paraId="3B3B81A1" w14:textId="77777777" w:rsidTr="004F6606">
        <w:trPr>
          <w:trHeight w:val="20"/>
        </w:trPr>
        <w:tc>
          <w:tcPr>
            <w:tcW w:w="645" w:type="pct"/>
            <w:tcBorders>
              <w:top w:val="single" w:sz="2" w:space="0" w:color="auto"/>
              <w:bottom w:val="single" w:sz="2" w:space="0" w:color="auto"/>
            </w:tcBorders>
          </w:tcPr>
          <w:p w14:paraId="37B488F8" w14:textId="77777777" w:rsidR="00C410E6" w:rsidRPr="005E3B43" w:rsidRDefault="00C410E6" w:rsidP="00763BCF">
            <w:pPr>
              <w:pStyle w:val="Tabletext"/>
            </w:pPr>
            <w:r w:rsidRPr="005E3B43">
              <w:t>45</w:t>
            </w:r>
          </w:p>
        </w:tc>
        <w:tc>
          <w:tcPr>
            <w:tcW w:w="1246" w:type="pct"/>
            <w:tcBorders>
              <w:top w:val="single" w:sz="2" w:space="0" w:color="auto"/>
              <w:bottom w:val="single" w:sz="2" w:space="0" w:color="auto"/>
            </w:tcBorders>
            <w:shd w:val="clear" w:color="auto" w:fill="auto"/>
          </w:tcPr>
          <w:p w14:paraId="23F76E55" w14:textId="77777777" w:rsidR="00C410E6" w:rsidRPr="005E3B43" w:rsidRDefault="00C410E6" w:rsidP="00763BCF">
            <w:pPr>
              <w:pStyle w:val="Tabletext"/>
            </w:pPr>
            <w:r w:rsidRPr="005E3B43">
              <w:t>levomepromazine</w:t>
            </w:r>
          </w:p>
        </w:tc>
        <w:tc>
          <w:tcPr>
            <w:tcW w:w="752" w:type="pct"/>
            <w:tcBorders>
              <w:top w:val="single" w:sz="2" w:space="0" w:color="auto"/>
              <w:bottom w:val="single" w:sz="2" w:space="0" w:color="auto"/>
            </w:tcBorders>
            <w:shd w:val="clear" w:color="auto" w:fill="auto"/>
          </w:tcPr>
          <w:p w14:paraId="66507D5B" w14:textId="77777777"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14:paraId="38E5FB07" w14:textId="77777777" w:rsidR="00C410E6" w:rsidRPr="005E3B43" w:rsidRDefault="00C410E6" w:rsidP="00763BCF">
            <w:pPr>
              <w:pStyle w:val="Tabletext"/>
            </w:pPr>
            <w:r w:rsidRPr="005E3B43">
              <w:t>subcutaneous</w:t>
            </w:r>
          </w:p>
        </w:tc>
        <w:tc>
          <w:tcPr>
            <w:tcW w:w="1447" w:type="pct"/>
            <w:tcBorders>
              <w:top w:val="single" w:sz="2" w:space="0" w:color="auto"/>
              <w:bottom w:val="single" w:sz="2" w:space="0" w:color="auto"/>
            </w:tcBorders>
            <w:shd w:val="clear" w:color="auto" w:fill="auto"/>
          </w:tcPr>
          <w:p w14:paraId="69DC15C1" w14:textId="77777777" w:rsidR="00C410E6" w:rsidRPr="005E3B43" w:rsidRDefault="00C410E6" w:rsidP="00763BCF">
            <w:pPr>
              <w:pStyle w:val="Tabletext"/>
            </w:pPr>
            <w:r w:rsidRPr="005E3B43">
              <w:t xml:space="preserve">treatment of nausea and vomiting or agitation </w:t>
            </w:r>
          </w:p>
        </w:tc>
      </w:tr>
      <w:tr w:rsidR="00F46E83" w:rsidRPr="005E3B43" w14:paraId="5131DD43" w14:textId="77777777" w:rsidTr="004F6606">
        <w:trPr>
          <w:trHeight w:val="20"/>
        </w:trPr>
        <w:tc>
          <w:tcPr>
            <w:tcW w:w="645" w:type="pct"/>
            <w:tcBorders>
              <w:top w:val="single" w:sz="2" w:space="0" w:color="auto"/>
              <w:bottom w:val="single" w:sz="2" w:space="0" w:color="auto"/>
            </w:tcBorders>
          </w:tcPr>
          <w:p w14:paraId="74E8C245" w14:textId="77777777" w:rsidR="00F46E83" w:rsidRPr="005E3B43" w:rsidRDefault="00F46E83" w:rsidP="00763BCF">
            <w:pPr>
              <w:pStyle w:val="Tabletext"/>
            </w:pPr>
            <w:r w:rsidRPr="005E3B43">
              <w:t>45A</w:t>
            </w:r>
          </w:p>
        </w:tc>
        <w:tc>
          <w:tcPr>
            <w:tcW w:w="1246" w:type="pct"/>
            <w:tcBorders>
              <w:top w:val="single" w:sz="2" w:space="0" w:color="auto"/>
              <w:bottom w:val="single" w:sz="2" w:space="0" w:color="auto"/>
            </w:tcBorders>
            <w:shd w:val="clear" w:color="auto" w:fill="auto"/>
          </w:tcPr>
          <w:p w14:paraId="2071C788" w14:textId="77777777" w:rsidR="00F46E83" w:rsidRPr="005E3B43" w:rsidRDefault="00F46E83" w:rsidP="00763BCF">
            <w:pPr>
              <w:pStyle w:val="Tabletext"/>
            </w:pPr>
            <w:r w:rsidRPr="005E3B43">
              <w:t>lifitegrast</w:t>
            </w:r>
          </w:p>
        </w:tc>
        <w:tc>
          <w:tcPr>
            <w:tcW w:w="752" w:type="pct"/>
            <w:tcBorders>
              <w:top w:val="single" w:sz="2" w:space="0" w:color="auto"/>
              <w:bottom w:val="single" w:sz="2" w:space="0" w:color="auto"/>
            </w:tcBorders>
            <w:shd w:val="clear" w:color="auto" w:fill="auto"/>
          </w:tcPr>
          <w:p w14:paraId="480066A0" w14:textId="77777777" w:rsidR="00F46E83" w:rsidRPr="005E3B43" w:rsidRDefault="00F46E83" w:rsidP="00763BCF">
            <w:pPr>
              <w:pStyle w:val="Tabletext"/>
            </w:pPr>
            <w:r w:rsidRPr="005E3B43">
              <w:t>eye drops</w:t>
            </w:r>
          </w:p>
        </w:tc>
        <w:tc>
          <w:tcPr>
            <w:tcW w:w="910" w:type="pct"/>
            <w:tcBorders>
              <w:top w:val="single" w:sz="2" w:space="0" w:color="auto"/>
              <w:bottom w:val="single" w:sz="2" w:space="0" w:color="auto"/>
            </w:tcBorders>
            <w:shd w:val="clear" w:color="auto" w:fill="auto"/>
          </w:tcPr>
          <w:p w14:paraId="526DE722" w14:textId="77777777" w:rsidR="00F46E83" w:rsidRPr="005E3B43" w:rsidRDefault="00F46E83" w:rsidP="00763BCF">
            <w:pPr>
              <w:pStyle w:val="Tabletext"/>
            </w:pPr>
            <w:r w:rsidRPr="005E3B43">
              <w:t>ophthalmic</w:t>
            </w:r>
          </w:p>
        </w:tc>
        <w:tc>
          <w:tcPr>
            <w:tcW w:w="1447" w:type="pct"/>
            <w:tcBorders>
              <w:top w:val="single" w:sz="2" w:space="0" w:color="auto"/>
              <w:bottom w:val="single" w:sz="2" w:space="0" w:color="auto"/>
            </w:tcBorders>
            <w:shd w:val="clear" w:color="auto" w:fill="auto"/>
          </w:tcPr>
          <w:p w14:paraId="5D48E97A" w14:textId="77777777" w:rsidR="00F46E83" w:rsidRPr="005E3B43" w:rsidRDefault="00F46E83" w:rsidP="00763BCF">
            <w:pPr>
              <w:pStyle w:val="Tabletext"/>
            </w:pPr>
            <w:r w:rsidRPr="005E3B43">
              <w:t>treatment of dry eye disease</w:t>
            </w:r>
          </w:p>
        </w:tc>
      </w:tr>
      <w:tr w:rsidR="00F46E83" w:rsidRPr="005E3B43" w14:paraId="6CCC8215" w14:textId="77777777" w:rsidTr="004F6606">
        <w:trPr>
          <w:trHeight w:val="20"/>
        </w:trPr>
        <w:tc>
          <w:tcPr>
            <w:tcW w:w="645" w:type="pct"/>
            <w:tcBorders>
              <w:top w:val="single" w:sz="2" w:space="0" w:color="auto"/>
              <w:bottom w:val="single" w:sz="2" w:space="0" w:color="auto"/>
            </w:tcBorders>
          </w:tcPr>
          <w:p w14:paraId="01023B6B" w14:textId="77777777" w:rsidR="00F46E83" w:rsidRPr="005E3B43" w:rsidRDefault="00F46E83" w:rsidP="00763BCF">
            <w:pPr>
              <w:pStyle w:val="Tabletext"/>
            </w:pPr>
            <w:r w:rsidRPr="005E3B43">
              <w:t>46A</w:t>
            </w:r>
          </w:p>
        </w:tc>
        <w:tc>
          <w:tcPr>
            <w:tcW w:w="1246" w:type="pct"/>
            <w:tcBorders>
              <w:top w:val="single" w:sz="2" w:space="0" w:color="auto"/>
              <w:bottom w:val="single" w:sz="2" w:space="0" w:color="auto"/>
            </w:tcBorders>
            <w:shd w:val="clear" w:color="auto" w:fill="auto"/>
          </w:tcPr>
          <w:p w14:paraId="4DAE36CF" w14:textId="489409DF" w:rsidR="00F46E83" w:rsidRPr="005E3B43" w:rsidRDefault="00F46E83" w:rsidP="00763BCF">
            <w:pPr>
              <w:pStyle w:val="Tabletext"/>
            </w:pPr>
            <w:r w:rsidRPr="005E3B43">
              <w:t>lutetium</w:t>
            </w:r>
            <w:r w:rsidR="007C3215">
              <w:noBreakHyphen/>
            </w:r>
            <w:r w:rsidRPr="005E3B43">
              <w:t>177 (Lu 177) dotatate</w:t>
            </w:r>
          </w:p>
        </w:tc>
        <w:tc>
          <w:tcPr>
            <w:tcW w:w="752" w:type="pct"/>
            <w:tcBorders>
              <w:top w:val="single" w:sz="2" w:space="0" w:color="auto"/>
              <w:bottom w:val="single" w:sz="2" w:space="0" w:color="auto"/>
            </w:tcBorders>
            <w:shd w:val="clear" w:color="auto" w:fill="auto"/>
          </w:tcPr>
          <w:p w14:paraId="2F799338" w14:textId="77777777" w:rsidR="00F46E83" w:rsidRPr="005E3B43" w:rsidRDefault="00F46E83" w:rsidP="00763BCF">
            <w:pPr>
              <w:pStyle w:val="Tabletext"/>
            </w:pPr>
            <w:r w:rsidRPr="005E3B43">
              <w:t>injection</w:t>
            </w:r>
          </w:p>
        </w:tc>
        <w:tc>
          <w:tcPr>
            <w:tcW w:w="910" w:type="pct"/>
            <w:tcBorders>
              <w:top w:val="single" w:sz="2" w:space="0" w:color="auto"/>
              <w:bottom w:val="single" w:sz="2" w:space="0" w:color="auto"/>
            </w:tcBorders>
            <w:shd w:val="clear" w:color="auto" w:fill="auto"/>
          </w:tcPr>
          <w:p w14:paraId="66119F7C" w14:textId="77777777" w:rsidR="00F46E83" w:rsidRPr="005E3B43" w:rsidRDefault="00F46E83" w:rsidP="00763BCF">
            <w:pPr>
              <w:pStyle w:val="Tabletext"/>
            </w:pPr>
            <w:r w:rsidRPr="005E3B43">
              <w:t>intravenous</w:t>
            </w:r>
          </w:p>
        </w:tc>
        <w:tc>
          <w:tcPr>
            <w:tcW w:w="1447" w:type="pct"/>
            <w:tcBorders>
              <w:top w:val="single" w:sz="2" w:space="0" w:color="auto"/>
              <w:bottom w:val="single" w:sz="2" w:space="0" w:color="auto"/>
            </w:tcBorders>
            <w:shd w:val="clear" w:color="auto" w:fill="auto"/>
          </w:tcPr>
          <w:p w14:paraId="4D205793" w14:textId="328D20CE" w:rsidR="00F46E83" w:rsidRPr="005E3B43" w:rsidRDefault="00F46E83" w:rsidP="00763BCF">
            <w:pPr>
              <w:pStyle w:val="Tabletext"/>
            </w:pPr>
            <w:r w:rsidRPr="005E3B43">
              <w:t>treatment of somatostatin receptor</w:t>
            </w:r>
            <w:r w:rsidR="007C3215">
              <w:noBreakHyphen/>
            </w:r>
            <w:r w:rsidRPr="005E3B43">
              <w:t>positive gastroenteropancreatic neuroendocrine tumors (GEP</w:t>
            </w:r>
            <w:r w:rsidR="007C3215">
              <w:noBreakHyphen/>
            </w:r>
            <w:r w:rsidRPr="005E3B43">
              <w:t>NETs)</w:t>
            </w:r>
          </w:p>
        </w:tc>
      </w:tr>
      <w:tr w:rsidR="00F46E83" w:rsidRPr="005E3B43" w14:paraId="6892668C" w14:textId="77777777" w:rsidTr="004F6606">
        <w:trPr>
          <w:trHeight w:val="20"/>
        </w:trPr>
        <w:tc>
          <w:tcPr>
            <w:tcW w:w="645" w:type="pct"/>
            <w:tcBorders>
              <w:top w:val="single" w:sz="2" w:space="0" w:color="auto"/>
              <w:bottom w:val="single" w:sz="2" w:space="0" w:color="auto"/>
            </w:tcBorders>
          </w:tcPr>
          <w:p w14:paraId="7CA75E1B" w14:textId="77777777" w:rsidR="00F46E83" w:rsidRPr="005E3B43" w:rsidRDefault="00F46E83" w:rsidP="00763BCF">
            <w:pPr>
              <w:pStyle w:val="Tabletext"/>
            </w:pPr>
            <w:r w:rsidRPr="005E3B43">
              <w:t>46B</w:t>
            </w:r>
          </w:p>
        </w:tc>
        <w:tc>
          <w:tcPr>
            <w:tcW w:w="1246" w:type="pct"/>
            <w:tcBorders>
              <w:top w:val="single" w:sz="2" w:space="0" w:color="auto"/>
              <w:bottom w:val="single" w:sz="2" w:space="0" w:color="auto"/>
            </w:tcBorders>
            <w:shd w:val="clear" w:color="auto" w:fill="auto"/>
          </w:tcPr>
          <w:p w14:paraId="3BD22307" w14:textId="358ADBC4" w:rsidR="00F46E83" w:rsidRPr="005E3B43" w:rsidRDefault="00F46E83" w:rsidP="00763BCF">
            <w:pPr>
              <w:pStyle w:val="Tabletext"/>
            </w:pPr>
            <w:bookmarkStart w:id="80" w:name="_Hlk84511860"/>
            <w:r w:rsidRPr="005E3B43">
              <w:t>lutetium</w:t>
            </w:r>
            <w:r w:rsidR="007C3215">
              <w:noBreakHyphen/>
            </w:r>
            <w:r w:rsidRPr="005E3B43">
              <w:t>177 (Lu 177) prostate specific membrane antigen (PSMA)</w:t>
            </w:r>
            <w:bookmarkEnd w:id="80"/>
          </w:p>
        </w:tc>
        <w:tc>
          <w:tcPr>
            <w:tcW w:w="752" w:type="pct"/>
            <w:tcBorders>
              <w:top w:val="single" w:sz="2" w:space="0" w:color="auto"/>
              <w:bottom w:val="single" w:sz="2" w:space="0" w:color="auto"/>
            </w:tcBorders>
            <w:shd w:val="clear" w:color="auto" w:fill="auto"/>
          </w:tcPr>
          <w:p w14:paraId="079688B5" w14:textId="77777777" w:rsidR="00F46E83" w:rsidRPr="005E3B43" w:rsidRDefault="00F46E83" w:rsidP="00763BCF">
            <w:pPr>
              <w:pStyle w:val="Tabletext"/>
            </w:pPr>
            <w:r w:rsidRPr="005E3B43">
              <w:t>injection</w:t>
            </w:r>
          </w:p>
        </w:tc>
        <w:tc>
          <w:tcPr>
            <w:tcW w:w="910" w:type="pct"/>
            <w:tcBorders>
              <w:top w:val="single" w:sz="2" w:space="0" w:color="auto"/>
              <w:bottom w:val="single" w:sz="2" w:space="0" w:color="auto"/>
            </w:tcBorders>
            <w:shd w:val="clear" w:color="auto" w:fill="auto"/>
          </w:tcPr>
          <w:p w14:paraId="35072DF8" w14:textId="77777777" w:rsidR="00F46E83" w:rsidRPr="005E3B43" w:rsidRDefault="00F46E83" w:rsidP="00763BCF">
            <w:pPr>
              <w:pStyle w:val="Tabletext"/>
            </w:pPr>
            <w:r w:rsidRPr="005E3B43">
              <w:t>intravenous</w:t>
            </w:r>
          </w:p>
        </w:tc>
        <w:tc>
          <w:tcPr>
            <w:tcW w:w="1447" w:type="pct"/>
            <w:tcBorders>
              <w:top w:val="single" w:sz="2" w:space="0" w:color="auto"/>
              <w:bottom w:val="single" w:sz="2" w:space="0" w:color="auto"/>
            </w:tcBorders>
            <w:shd w:val="clear" w:color="auto" w:fill="auto"/>
          </w:tcPr>
          <w:p w14:paraId="6F7B4EFE" w14:textId="3AEED28F" w:rsidR="00F46E83" w:rsidRPr="005E3B43" w:rsidRDefault="00F46E83" w:rsidP="00763BCF">
            <w:pPr>
              <w:pStyle w:val="Tabletext"/>
            </w:pPr>
            <w:r w:rsidRPr="005E3B43">
              <w:t>treatment of metastatic castration</w:t>
            </w:r>
            <w:r w:rsidR="007C3215">
              <w:noBreakHyphen/>
            </w:r>
            <w:r w:rsidRPr="005E3B43">
              <w:t>resistant prostate cancer</w:t>
            </w:r>
          </w:p>
        </w:tc>
      </w:tr>
      <w:tr w:rsidR="00F46E83" w:rsidRPr="005E3B43" w14:paraId="45D8EA50" w14:textId="77777777" w:rsidTr="004F6606">
        <w:trPr>
          <w:trHeight w:val="20"/>
        </w:trPr>
        <w:tc>
          <w:tcPr>
            <w:tcW w:w="645" w:type="pct"/>
            <w:tcBorders>
              <w:top w:val="single" w:sz="2" w:space="0" w:color="auto"/>
              <w:bottom w:val="single" w:sz="2" w:space="0" w:color="auto"/>
            </w:tcBorders>
          </w:tcPr>
          <w:p w14:paraId="537507DD" w14:textId="77777777" w:rsidR="00F46E83" w:rsidRPr="005E3B43" w:rsidRDefault="00F46E83" w:rsidP="00763BCF">
            <w:pPr>
              <w:pStyle w:val="Tabletext"/>
            </w:pPr>
            <w:r w:rsidRPr="005E3B43">
              <w:t>48</w:t>
            </w:r>
          </w:p>
        </w:tc>
        <w:tc>
          <w:tcPr>
            <w:tcW w:w="1246" w:type="pct"/>
            <w:tcBorders>
              <w:top w:val="single" w:sz="2" w:space="0" w:color="auto"/>
              <w:bottom w:val="single" w:sz="2" w:space="0" w:color="auto"/>
            </w:tcBorders>
            <w:shd w:val="clear" w:color="auto" w:fill="auto"/>
          </w:tcPr>
          <w:p w14:paraId="4BBB7E8E" w14:textId="77777777" w:rsidR="00F46E83" w:rsidRPr="005E3B43" w:rsidRDefault="00F46E83" w:rsidP="00763BCF">
            <w:pPr>
              <w:pStyle w:val="Tabletext"/>
            </w:pPr>
            <w:r w:rsidRPr="005E3B43">
              <w:t>melatonin</w:t>
            </w:r>
          </w:p>
        </w:tc>
        <w:tc>
          <w:tcPr>
            <w:tcW w:w="752" w:type="pct"/>
            <w:tcBorders>
              <w:top w:val="single" w:sz="2" w:space="0" w:color="auto"/>
              <w:bottom w:val="single" w:sz="2" w:space="0" w:color="auto"/>
            </w:tcBorders>
            <w:shd w:val="clear" w:color="auto" w:fill="auto"/>
          </w:tcPr>
          <w:p w14:paraId="72F2DC2F" w14:textId="77777777" w:rsidR="00F46E83" w:rsidRPr="005E3B43" w:rsidRDefault="00F46E83" w:rsidP="00763BCF">
            <w:pPr>
              <w:pStyle w:val="Tabletext"/>
            </w:pPr>
            <w:r w:rsidRPr="005E3B43">
              <w:t>syrup</w:t>
            </w:r>
          </w:p>
        </w:tc>
        <w:tc>
          <w:tcPr>
            <w:tcW w:w="910" w:type="pct"/>
            <w:tcBorders>
              <w:top w:val="single" w:sz="2" w:space="0" w:color="auto"/>
              <w:bottom w:val="single" w:sz="2" w:space="0" w:color="auto"/>
            </w:tcBorders>
            <w:shd w:val="clear" w:color="auto" w:fill="auto"/>
          </w:tcPr>
          <w:p w14:paraId="69F5E5AB" w14:textId="77777777"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14:paraId="1978AEDC" w14:textId="77777777" w:rsidR="00F46E83" w:rsidRPr="005E3B43" w:rsidRDefault="00F46E83" w:rsidP="00763BCF">
            <w:pPr>
              <w:pStyle w:val="Tabletext"/>
            </w:pPr>
            <w:r w:rsidRPr="005E3B43">
              <w:t>treatment of sleep disorders</w:t>
            </w:r>
          </w:p>
        </w:tc>
      </w:tr>
      <w:tr w:rsidR="00F46E83" w:rsidRPr="005E3B43" w14:paraId="4DC73DA9" w14:textId="77777777" w:rsidTr="004F6606">
        <w:trPr>
          <w:trHeight w:val="20"/>
        </w:trPr>
        <w:tc>
          <w:tcPr>
            <w:tcW w:w="645" w:type="pct"/>
            <w:tcBorders>
              <w:top w:val="single" w:sz="2" w:space="0" w:color="auto"/>
              <w:bottom w:val="single" w:sz="2" w:space="0" w:color="auto"/>
            </w:tcBorders>
          </w:tcPr>
          <w:p w14:paraId="2DA1E857" w14:textId="77777777" w:rsidR="00F46E83" w:rsidRPr="005E3B43" w:rsidRDefault="00F46E83" w:rsidP="00763BCF">
            <w:pPr>
              <w:pStyle w:val="Tabletext"/>
            </w:pPr>
            <w:r w:rsidRPr="005E3B43">
              <w:t>49</w:t>
            </w:r>
          </w:p>
        </w:tc>
        <w:tc>
          <w:tcPr>
            <w:tcW w:w="1246" w:type="pct"/>
            <w:tcBorders>
              <w:top w:val="single" w:sz="2" w:space="0" w:color="auto"/>
              <w:bottom w:val="single" w:sz="2" w:space="0" w:color="auto"/>
            </w:tcBorders>
            <w:shd w:val="clear" w:color="auto" w:fill="auto"/>
          </w:tcPr>
          <w:p w14:paraId="375B0CF3" w14:textId="77777777" w:rsidR="00F46E83" w:rsidRPr="005E3B43" w:rsidRDefault="00F46E83" w:rsidP="00763BCF">
            <w:pPr>
              <w:pStyle w:val="Tabletext"/>
            </w:pPr>
            <w:r w:rsidRPr="005E3B43">
              <w:t>melatonin</w:t>
            </w:r>
          </w:p>
        </w:tc>
        <w:tc>
          <w:tcPr>
            <w:tcW w:w="752" w:type="pct"/>
            <w:tcBorders>
              <w:top w:val="single" w:sz="2" w:space="0" w:color="auto"/>
              <w:bottom w:val="single" w:sz="2" w:space="0" w:color="auto"/>
            </w:tcBorders>
            <w:shd w:val="clear" w:color="auto" w:fill="auto"/>
          </w:tcPr>
          <w:p w14:paraId="3B0C9AB9" w14:textId="77777777" w:rsidR="00F46E83" w:rsidRPr="005E3B43" w:rsidRDefault="00F46E83" w:rsidP="00763BCF">
            <w:pPr>
              <w:pStyle w:val="Tabletext"/>
            </w:pPr>
            <w:r w:rsidRPr="005E3B43">
              <w:t>capsule</w:t>
            </w:r>
          </w:p>
        </w:tc>
        <w:tc>
          <w:tcPr>
            <w:tcW w:w="910" w:type="pct"/>
            <w:tcBorders>
              <w:top w:val="single" w:sz="2" w:space="0" w:color="auto"/>
              <w:bottom w:val="single" w:sz="2" w:space="0" w:color="auto"/>
            </w:tcBorders>
            <w:shd w:val="clear" w:color="auto" w:fill="auto"/>
          </w:tcPr>
          <w:p w14:paraId="6D9879E1" w14:textId="77777777"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14:paraId="0D88A24E" w14:textId="77777777" w:rsidR="00F46E83" w:rsidRPr="005E3B43" w:rsidRDefault="00F46E83" w:rsidP="00763BCF">
            <w:pPr>
              <w:pStyle w:val="Tabletext"/>
            </w:pPr>
            <w:r w:rsidRPr="005E3B43">
              <w:t>treatment of sleep disorders</w:t>
            </w:r>
          </w:p>
        </w:tc>
      </w:tr>
      <w:tr w:rsidR="00F46E83" w:rsidRPr="005E3B43" w14:paraId="10B3E175" w14:textId="77777777" w:rsidTr="004F6606">
        <w:trPr>
          <w:trHeight w:val="20"/>
        </w:trPr>
        <w:tc>
          <w:tcPr>
            <w:tcW w:w="645" w:type="pct"/>
            <w:tcBorders>
              <w:top w:val="single" w:sz="2" w:space="0" w:color="auto"/>
              <w:bottom w:val="single" w:sz="2" w:space="0" w:color="auto"/>
            </w:tcBorders>
          </w:tcPr>
          <w:p w14:paraId="6F95667E" w14:textId="77777777" w:rsidR="00F46E83" w:rsidRPr="005E3B43" w:rsidRDefault="00F46E83" w:rsidP="00763BCF">
            <w:pPr>
              <w:pStyle w:val="Tabletext"/>
            </w:pPr>
            <w:r w:rsidRPr="005E3B43">
              <w:lastRenderedPageBreak/>
              <w:t>50</w:t>
            </w:r>
          </w:p>
        </w:tc>
        <w:tc>
          <w:tcPr>
            <w:tcW w:w="1246" w:type="pct"/>
            <w:tcBorders>
              <w:top w:val="single" w:sz="2" w:space="0" w:color="auto"/>
              <w:bottom w:val="single" w:sz="2" w:space="0" w:color="auto"/>
            </w:tcBorders>
            <w:shd w:val="clear" w:color="auto" w:fill="auto"/>
          </w:tcPr>
          <w:p w14:paraId="5189D167" w14:textId="77777777" w:rsidR="00F46E83" w:rsidRPr="005E3B43" w:rsidRDefault="00F46E83" w:rsidP="00763BCF">
            <w:pPr>
              <w:pStyle w:val="Tabletext"/>
            </w:pPr>
            <w:r w:rsidRPr="005E3B43">
              <w:t>melatonin</w:t>
            </w:r>
          </w:p>
        </w:tc>
        <w:tc>
          <w:tcPr>
            <w:tcW w:w="752" w:type="pct"/>
            <w:tcBorders>
              <w:top w:val="single" w:sz="2" w:space="0" w:color="auto"/>
              <w:bottom w:val="single" w:sz="2" w:space="0" w:color="auto"/>
            </w:tcBorders>
            <w:shd w:val="clear" w:color="auto" w:fill="auto"/>
          </w:tcPr>
          <w:p w14:paraId="2F335055" w14:textId="77777777" w:rsidR="00F46E83" w:rsidRPr="005E3B43" w:rsidRDefault="00F46E83" w:rsidP="00763BCF">
            <w:pPr>
              <w:pStyle w:val="Tabletext"/>
            </w:pPr>
            <w:r w:rsidRPr="005E3B43">
              <w:t>immediate release tablet</w:t>
            </w:r>
          </w:p>
        </w:tc>
        <w:tc>
          <w:tcPr>
            <w:tcW w:w="910" w:type="pct"/>
            <w:tcBorders>
              <w:top w:val="single" w:sz="2" w:space="0" w:color="auto"/>
              <w:bottom w:val="single" w:sz="2" w:space="0" w:color="auto"/>
            </w:tcBorders>
            <w:shd w:val="clear" w:color="auto" w:fill="auto"/>
          </w:tcPr>
          <w:p w14:paraId="5E9DA6A4" w14:textId="77777777"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14:paraId="610ED2A5" w14:textId="77777777" w:rsidR="00F46E83" w:rsidRPr="005E3B43" w:rsidRDefault="00F46E83" w:rsidP="00763BCF">
            <w:pPr>
              <w:pStyle w:val="Tabletext"/>
            </w:pPr>
            <w:r w:rsidRPr="005E3B43">
              <w:t>treatment of sleep disorders</w:t>
            </w:r>
          </w:p>
        </w:tc>
      </w:tr>
      <w:tr w:rsidR="00F46E83" w:rsidRPr="005E3B43" w14:paraId="1976F859" w14:textId="77777777" w:rsidTr="004F6606">
        <w:trPr>
          <w:trHeight w:val="20"/>
        </w:trPr>
        <w:tc>
          <w:tcPr>
            <w:tcW w:w="645" w:type="pct"/>
            <w:tcBorders>
              <w:top w:val="single" w:sz="2" w:space="0" w:color="auto"/>
              <w:bottom w:val="single" w:sz="2" w:space="0" w:color="auto"/>
            </w:tcBorders>
          </w:tcPr>
          <w:p w14:paraId="5FDCECFD" w14:textId="77777777" w:rsidR="00F46E83" w:rsidRPr="005E3B43" w:rsidRDefault="00F46E83" w:rsidP="00763BCF">
            <w:pPr>
              <w:pStyle w:val="Tabletext"/>
            </w:pPr>
            <w:r w:rsidRPr="005E3B43">
              <w:t>51</w:t>
            </w:r>
          </w:p>
        </w:tc>
        <w:tc>
          <w:tcPr>
            <w:tcW w:w="1246" w:type="pct"/>
            <w:tcBorders>
              <w:top w:val="single" w:sz="2" w:space="0" w:color="auto"/>
              <w:bottom w:val="single" w:sz="2" w:space="0" w:color="auto"/>
            </w:tcBorders>
            <w:shd w:val="clear" w:color="auto" w:fill="auto"/>
          </w:tcPr>
          <w:p w14:paraId="397C9B8C" w14:textId="77777777" w:rsidR="00F46E83" w:rsidRPr="005E3B43" w:rsidRDefault="00F46E83" w:rsidP="00763BCF">
            <w:pPr>
              <w:pStyle w:val="Tabletext"/>
            </w:pPr>
            <w:r w:rsidRPr="005E3B43">
              <w:t>melatonin</w:t>
            </w:r>
          </w:p>
        </w:tc>
        <w:tc>
          <w:tcPr>
            <w:tcW w:w="752" w:type="pct"/>
            <w:tcBorders>
              <w:top w:val="single" w:sz="2" w:space="0" w:color="auto"/>
              <w:bottom w:val="single" w:sz="2" w:space="0" w:color="auto"/>
            </w:tcBorders>
            <w:shd w:val="clear" w:color="auto" w:fill="auto"/>
          </w:tcPr>
          <w:p w14:paraId="7C682A70" w14:textId="77777777" w:rsidR="00F46E83" w:rsidRPr="005E3B43" w:rsidRDefault="00F46E83" w:rsidP="00763BCF">
            <w:pPr>
              <w:pStyle w:val="Tabletext"/>
            </w:pPr>
            <w:r w:rsidRPr="005E3B43">
              <w:t>lozenge</w:t>
            </w:r>
          </w:p>
        </w:tc>
        <w:tc>
          <w:tcPr>
            <w:tcW w:w="910" w:type="pct"/>
            <w:tcBorders>
              <w:top w:val="single" w:sz="2" w:space="0" w:color="auto"/>
              <w:bottom w:val="single" w:sz="2" w:space="0" w:color="auto"/>
            </w:tcBorders>
            <w:shd w:val="clear" w:color="auto" w:fill="auto"/>
          </w:tcPr>
          <w:p w14:paraId="4331100F" w14:textId="77777777"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14:paraId="4C41F593" w14:textId="77777777" w:rsidR="00F46E83" w:rsidRPr="005E3B43" w:rsidRDefault="00F46E83" w:rsidP="00763BCF">
            <w:pPr>
              <w:pStyle w:val="Tabletext"/>
            </w:pPr>
            <w:r w:rsidRPr="005E3B43">
              <w:t>treatment of sleep disorders</w:t>
            </w:r>
          </w:p>
        </w:tc>
      </w:tr>
      <w:tr w:rsidR="00B621E5" w:rsidRPr="005E3B43" w14:paraId="0760EDDE" w14:textId="77777777" w:rsidTr="004F6606">
        <w:trPr>
          <w:trHeight w:val="20"/>
        </w:trPr>
        <w:tc>
          <w:tcPr>
            <w:tcW w:w="645" w:type="pct"/>
            <w:tcBorders>
              <w:top w:val="single" w:sz="2" w:space="0" w:color="auto"/>
              <w:bottom w:val="single" w:sz="2" w:space="0" w:color="auto"/>
            </w:tcBorders>
          </w:tcPr>
          <w:p w14:paraId="0422300C" w14:textId="77777777" w:rsidR="00B621E5" w:rsidRPr="005E3B43" w:rsidRDefault="00B621E5" w:rsidP="00763BCF">
            <w:pPr>
              <w:pStyle w:val="Tabletext"/>
            </w:pPr>
            <w:r w:rsidRPr="005E3B43">
              <w:t>51A</w:t>
            </w:r>
          </w:p>
        </w:tc>
        <w:tc>
          <w:tcPr>
            <w:tcW w:w="1246" w:type="pct"/>
            <w:tcBorders>
              <w:top w:val="single" w:sz="2" w:space="0" w:color="auto"/>
              <w:bottom w:val="single" w:sz="2" w:space="0" w:color="auto"/>
            </w:tcBorders>
            <w:shd w:val="clear" w:color="auto" w:fill="auto"/>
          </w:tcPr>
          <w:p w14:paraId="2E99FB4D" w14:textId="77777777" w:rsidR="00B621E5" w:rsidRPr="005E3B43" w:rsidRDefault="00B621E5" w:rsidP="00763BCF">
            <w:pPr>
              <w:pStyle w:val="Tabletext"/>
            </w:pPr>
            <w:r w:rsidRPr="005E3B43">
              <w:t>metolazone</w:t>
            </w:r>
          </w:p>
        </w:tc>
        <w:tc>
          <w:tcPr>
            <w:tcW w:w="752" w:type="pct"/>
            <w:tcBorders>
              <w:top w:val="single" w:sz="2" w:space="0" w:color="auto"/>
              <w:bottom w:val="single" w:sz="2" w:space="0" w:color="auto"/>
            </w:tcBorders>
            <w:shd w:val="clear" w:color="auto" w:fill="auto"/>
          </w:tcPr>
          <w:p w14:paraId="644A82A0" w14:textId="77777777" w:rsidR="00B621E5" w:rsidRPr="005E3B43" w:rsidRDefault="00B621E5" w:rsidP="00763BCF">
            <w:pPr>
              <w:pStyle w:val="Tabletext"/>
            </w:pPr>
            <w:r w:rsidRPr="005E3B43">
              <w:t>tablet</w:t>
            </w:r>
          </w:p>
        </w:tc>
        <w:tc>
          <w:tcPr>
            <w:tcW w:w="910" w:type="pct"/>
            <w:tcBorders>
              <w:top w:val="single" w:sz="2" w:space="0" w:color="auto"/>
              <w:bottom w:val="single" w:sz="2" w:space="0" w:color="auto"/>
            </w:tcBorders>
            <w:shd w:val="clear" w:color="auto" w:fill="auto"/>
          </w:tcPr>
          <w:p w14:paraId="1982232C" w14:textId="77777777" w:rsidR="00B621E5" w:rsidRPr="005E3B43" w:rsidRDefault="00B621E5" w:rsidP="00763BCF">
            <w:pPr>
              <w:pStyle w:val="Tabletext"/>
            </w:pPr>
            <w:r w:rsidRPr="005E3B43">
              <w:t>oral</w:t>
            </w:r>
          </w:p>
        </w:tc>
        <w:tc>
          <w:tcPr>
            <w:tcW w:w="1447" w:type="pct"/>
            <w:tcBorders>
              <w:top w:val="single" w:sz="2" w:space="0" w:color="auto"/>
              <w:bottom w:val="single" w:sz="2" w:space="0" w:color="auto"/>
            </w:tcBorders>
            <w:shd w:val="clear" w:color="auto" w:fill="auto"/>
          </w:tcPr>
          <w:p w14:paraId="308C09CE" w14:textId="77777777" w:rsidR="00B621E5" w:rsidRPr="005E3B43" w:rsidRDefault="00B621E5" w:rsidP="00763BCF">
            <w:pPr>
              <w:pStyle w:val="Tabletext"/>
            </w:pPr>
            <w:r w:rsidRPr="005E3B43">
              <w:t>treatment of fluid overload</w:t>
            </w:r>
          </w:p>
        </w:tc>
      </w:tr>
      <w:tr w:rsidR="00F46E83" w:rsidRPr="005E3B43" w14:paraId="55756770" w14:textId="77777777" w:rsidTr="004F6606">
        <w:trPr>
          <w:trHeight w:val="20"/>
        </w:trPr>
        <w:tc>
          <w:tcPr>
            <w:tcW w:w="645" w:type="pct"/>
            <w:tcBorders>
              <w:top w:val="single" w:sz="2" w:space="0" w:color="auto"/>
              <w:bottom w:val="single" w:sz="2" w:space="0" w:color="auto"/>
            </w:tcBorders>
          </w:tcPr>
          <w:p w14:paraId="2C9222CF" w14:textId="77777777" w:rsidR="00F46E83" w:rsidRPr="005E3B43" w:rsidRDefault="00F46E83" w:rsidP="00763BCF">
            <w:pPr>
              <w:pStyle w:val="Tabletext"/>
            </w:pPr>
            <w:r w:rsidRPr="005E3B43">
              <w:t>52</w:t>
            </w:r>
          </w:p>
        </w:tc>
        <w:tc>
          <w:tcPr>
            <w:tcW w:w="1246" w:type="pct"/>
            <w:tcBorders>
              <w:top w:val="single" w:sz="2" w:space="0" w:color="auto"/>
              <w:bottom w:val="single" w:sz="2" w:space="0" w:color="auto"/>
            </w:tcBorders>
            <w:shd w:val="clear" w:color="auto" w:fill="auto"/>
          </w:tcPr>
          <w:p w14:paraId="7D4E2BC6" w14:textId="77777777" w:rsidR="00F46E83" w:rsidRPr="005E3B43" w:rsidRDefault="00F46E83" w:rsidP="00763BCF">
            <w:pPr>
              <w:pStyle w:val="Tabletext"/>
            </w:pPr>
            <w:r w:rsidRPr="005E3B43">
              <w:t>mexiletine</w:t>
            </w:r>
          </w:p>
        </w:tc>
        <w:tc>
          <w:tcPr>
            <w:tcW w:w="752" w:type="pct"/>
            <w:tcBorders>
              <w:top w:val="single" w:sz="2" w:space="0" w:color="auto"/>
              <w:bottom w:val="single" w:sz="2" w:space="0" w:color="auto"/>
            </w:tcBorders>
            <w:shd w:val="clear" w:color="auto" w:fill="auto"/>
          </w:tcPr>
          <w:p w14:paraId="3AF23D32" w14:textId="77777777" w:rsidR="00F46E83" w:rsidRPr="005E3B43" w:rsidRDefault="00F46E83" w:rsidP="00763BCF">
            <w:pPr>
              <w:pStyle w:val="Tabletext"/>
            </w:pPr>
            <w:r w:rsidRPr="005E3B43">
              <w:t>tablet</w:t>
            </w:r>
          </w:p>
        </w:tc>
        <w:tc>
          <w:tcPr>
            <w:tcW w:w="910" w:type="pct"/>
            <w:tcBorders>
              <w:top w:val="single" w:sz="2" w:space="0" w:color="auto"/>
              <w:bottom w:val="single" w:sz="2" w:space="0" w:color="auto"/>
            </w:tcBorders>
            <w:shd w:val="clear" w:color="auto" w:fill="auto"/>
          </w:tcPr>
          <w:p w14:paraId="7A228126" w14:textId="77777777"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14:paraId="18C194C7" w14:textId="77777777" w:rsidR="00F46E83" w:rsidRPr="005E3B43" w:rsidRDefault="00F46E83" w:rsidP="00763BCF">
            <w:pPr>
              <w:pStyle w:val="Tabletext"/>
            </w:pPr>
            <w:r w:rsidRPr="005E3B43">
              <w:t>treatment of ventricular arrhythmia or myotonic disorders</w:t>
            </w:r>
          </w:p>
        </w:tc>
      </w:tr>
      <w:tr w:rsidR="00F46E83" w:rsidRPr="005E3B43" w14:paraId="03A989A7" w14:textId="77777777" w:rsidTr="004F6606">
        <w:trPr>
          <w:trHeight w:val="20"/>
        </w:trPr>
        <w:tc>
          <w:tcPr>
            <w:tcW w:w="645" w:type="pct"/>
            <w:tcBorders>
              <w:top w:val="single" w:sz="2" w:space="0" w:color="auto"/>
              <w:bottom w:val="single" w:sz="2" w:space="0" w:color="auto"/>
            </w:tcBorders>
          </w:tcPr>
          <w:p w14:paraId="140E2907" w14:textId="77777777" w:rsidR="00F46E83" w:rsidRPr="005E3B43" w:rsidRDefault="00F46E83" w:rsidP="00763BCF">
            <w:pPr>
              <w:pStyle w:val="Tabletext"/>
            </w:pPr>
            <w:r w:rsidRPr="005E3B43">
              <w:t>53</w:t>
            </w:r>
          </w:p>
        </w:tc>
        <w:tc>
          <w:tcPr>
            <w:tcW w:w="1246" w:type="pct"/>
            <w:tcBorders>
              <w:top w:val="single" w:sz="2" w:space="0" w:color="auto"/>
              <w:bottom w:val="single" w:sz="2" w:space="0" w:color="auto"/>
            </w:tcBorders>
            <w:shd w:val="clear" w:color="auto" w:fill="auto"/>
          </w:tcPr>
          <w:p w14:paraId="7E48B640" w14:textId="77777777" w:rsidR="00F46E83" w:rsidRPr="005E3B43" w:rsidRDefault="00F46E83" w:rsidP="00763BCF">
            <w:pPr>
              <w:pStyle w:val="Tabletext"/>
            </w:pPr>
            <w:r w:rsidRPr="005E3B43">
              <w:t>mexiletine</w:t>
            </w:r>
          </w:p>
        </w:tc>
        <w:tc>
          <w:tcPr>
            <w:tcW w:w="752" w:type="pct"/>
            <w:tcBorders>
              <w:top w:val="single" w:sz="2" w:space="0" w:color="auto"/>
              <w:bottom w:val="single" w:sz="2" w:space="0" w:color="auto"/>
            </w:tcBorders>
            <w:shd w:val="clear" w:color="auto" w:fill="auto"/>
          </w:tcPr>
          <w:p w14:paraId="4684A4BE" w14:textId="77777777" w:rsidR="00F46E83" w:rsidRPr="005E3B43" w:rsidRDefault="00F46E83" w:rsidP="00763BCF">
            <w:pPr>
              <w:pStyle w:val="Tabletext"/>
            </w:pPr>
            <w:r w:rsidRPr="005E3B43">
              <w:t>capsule</w:t>
            </w:r>
          </w:p>
        </w:tc>
        <w:tc>
          <w:tcPr>
            <w:tcW w:w="910" w:type="pct"/>
            <w:tcBorders>
              <w:top w:val="single" w:sz="2" w:space="0" w:color="auto"/>
              <w:bottom w:val="single" w:sz="2" w:space="0" w:color="auto"/>
            </w:tcBorders>
            <w:shd w:val="clear" w:color="auto" w:fill="auto"/>
          </w:tcPr>
          <w:p w14:paraId="69B0F1A6" w14:textId="77777777"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14:paraId="44336B56" w14:textId="77777777" w:rsidR="00F46E83" w:rsidRPr="005E3B43" w:rsidRDefault="00F46E83" w:rsidP="00763BCF">
            <w:pPr>
              <w:pStyle w:val="Tabletext"/>
            </w:pPr>
            <w:r w:rsidRPr="005E3B43">
              <w:t>treatment of ventricular arrhythmia or myotonic disorders</w:t>
            </w:r>
          </w:p>
        </w:tc>
      </w:tr>
      <w:tr w:rsidR="00F46E83" w:rsidRPr="005E3B43" w14:paraId="632CB04D" w14:textId="77777777" w:rsidTr="004F6606">
        <w:trPr>
          <w:trHeight w:val="20"/>
        </w:trPr>
        <w:tc>
          <w:tcPr>
            <w:tcW w:w="645" w:type="pct"/>
            <w:tcBorders>
              <w:top w:val="single" w:sz="2" w:space="0" w:color="auto"/>
              <w:bottom w:val="single" w:sz="2" w:space="0" w:color="auto"/>
            </w:tcBorders>
          </w:tcPr>
          <w:p w14:paraId="1A12831E" w14:textId="77777777" w:rsidR="00F46E83" w:rsidRPr="005E3B43" w:rsidRDefault="00F46E83" w:rsidP="00763BCF">
            <w:pPr>
              <w:pStyle w:val="Tabletext"/>
            </w:pPr>
            <w:r w:rsidRPr="005E3B43">
              <w:t>54</w:t>
            </w:r>
          </w:p>
        </w:tc>
        <w:tc>
          <w:tcPr>
            <w:tcW w:w="1246" w:type="pct"/>
            <w:tcBorders>
              <w:top w:val="single" w:sz="2" w:space="0" w:color="auto"/>
              <w:bottom w:val="single" w:sz="2" w:space="0" w:color="auto"/>
            </w:tcBorders>
            <w:shd w:val="clear" w:color="auto" w:fill="auto"/>
          </w:tcPr>
          <w:p w14:paraId="533CD942" w14:textId="77777777" w:rsidR="00F46E83" w:rsidRPr="005E3B43" w:rsidRDefault="00F46E83" w:rsidP="00763BCF">
            <w:pPr>
              <w:pStyle w:val="Tabletext"/>
            </w:pPr>
            <w:r w:rsidRPr="005E3B43">
              <w:t>moxifloxacin 0.5%</w:t>
            </w:r>
          </w:p>
        </w:tc>
        <w:tc>
          <w:tcPr>
            <w:tcW w:w="752" w:type="pct"/>
            <w:tcBorders>
              <w:top w:val="single" w:sz="2" w:space="0" w:color="auto"/>
              <w:bottom w:val="single" w:sz="2" w:space="0" w:color="auto"/>
            </w:tcBorders>
            <w:shd w:val="clear" w:color="auto" w:fill="auto"/>
          </w:tcPr>
          <w:p w14:paraId="60679E21" w14:textId="77777777" w:rsidR="00F46E83" w:rsidRPr="005E3B43" w:rsidRDefault="00F46E83" w:rsidP="00763BCF">
            <w:pPr>
              <w:pStyle w:val="Tabletext"/>
            </w:pPr>
            <w:r w:rsidRPr="005E3B43">
              <w:t>eye drops</w:t>
            </w:r>
          </w:p>
        </w:tc>
        <w:tc>
          <w:tcPr>
            <w:tcW w:w="910" w:type="pct"/>
            <w:tcBorders>
              <w:top w:val="single" w:sz="2" w:space="0" w:color="auto"/>
              <w:bottom w:val="single" w:sz="2" w:space="0" w:color="auto"/>
            </w:tcBorders>
            <w:shd w:val="clear" w:color="auto" w:fill="auto"/>
          </w:tcPr>
          <w:p w14:paraId="022A3A13" w14:textId="77777777" w:rsidR="00F46E83" w:rsidRPr="005E3B43" w:rsidRDefault="00F46E83" w:rsidP="00763BCF">
            <w:pPr>
              <w:pStyle w:val="Tabletext"/>
            </w:pPr>
            <w:r w:rsidRPr="005E3B43">
              <w:t>ophthalmic</w:t>
            </w:r>
          </w:p>
        </w:tc>
        <w:tc>
          <w:tcPr>
            <w:tcW w:w="1447" w:type="pct"/>
            <w:tcBorders>
              <w:top w:val="single" w:sz="2" w:space="0" w:color="auto"/>
              <w:bottom w:val="single" w:sz="2" w:space="0" w:color="auto"/>
            </w:tcBorders>
            <w:shd w:val="clear" w:color="auto" w:fill="auto"/>
          </w:tcPr>
          <w:p w14:paraId="29029577" w14:textId="77777777" w:rsidR="00F46E83" w:rsidRPr="005E3B43" w:rsidRDefault="00F46E83" w:rsidP="00763BCF">
            <w:pPr>
              <w:pStyle w:val="Tabletext"/>
            </w:pPr>
            <w:r w:rsidRPr="005E3B43">
              <w:t>treatment of refractory bacterial conjunctivitis</w:t>
            </w:r>
          </w:p>
        </w:tc>
      </w:tr>
      <w:tr w:rsidR="00F46E83" w:rsidRPr="005E3B43" w14:paraId="2DDFF4CB" w14:textId="77777777" w:rsidTr="004F6606">
        <w:trPr>
          <w:trHeight w:val="20"/>
        </w:trPr>
        <w:tc>
          <w:tcPr>
            <w:tcW w:w="645" w:type="pct"/>
            <w:tcBorders>
              <w:top w:val="single" w:sz="2" w:space="0" w:color="auto"/>
              <w:bottom w:val="single" w:sz="2" w:space="0" w:color="auto"/>
            </w:tcBorders>
          </w:tcPr>
          <w:p w14:paraId="4474620C" w14:textId="77777777" w:rsidR="00F46E83" w:rsidRPr="005E3B43" w:rsidRDefault="00F46E83" w:rsidP="00763BCF">
            <w:pPr>
              <w:pStyle w:val="Tabletext"/>
            </w:pPr>
            <w:r w:rsidRPr="005E3B43">
              <w:t>55</w:t>
            </w:r>
          </w:p>
        </w:tc>
        <w:tc>
          <w:tcPr>
            <w:tcW w:w="1246" w:type="pct"/>
            <w:tcBorders>
              <w:top w:val="single" w:sz="2" w:space="0" w:color="auto"/>
              <w:bottom w:val="single" w:sz="2" w:space="0" w:color="auto"/>
            </w:tcBorders>
            <w:shd w:val="clear" w:color="auto" w:fill="auto"/>
          </w:tcPr>
          <w:p w14:paraId="3FE24BAA" w14:textId="77777777" w:rsidR="00F46E83" w:rsidRPr="005E3B43" w:rsidRDefault="00F46E83" w:rsidP="00763BCF">
            <w:pPr>
              <w:pStyle w:val="Tabletext"/>
            </w:pPr>
            <w:r w:rsidRPr="005E3B43">
              <w:t>nadolol</w:t>
            </w:r>
          </w:p>
        </w:tc>
        <w:tc>
          <w:tcPr>
            <w:tcW w:w="752" w:type="pct"/>
            <w:tcBorders>
              <w:top w:val="single" w:sz="2" w:space="0" w:color="auto"/>
              <w:bottom w:val="single" w:sz="2" w:space="0" w:color="auto"/>
            </w:tcBorders>
            <w:shd w:val="clear" w:color="auto" w:fill="auto"/>
          </w:tcPr>
          <w:p w14:paraId="677D8269" w14:textId="77777777" w:rsidR="00F46E83" w:rsidRPr="005E3B43" w:rsidRDefault="00F46E83" w:rsidP="00763BCF">
            <w:pPr>
              <w:pStyle w:val="Tabletext"/>
            </w:pPr>
            <w:r w:rsidRPr="005E3B43">
              <w:t>tablet</w:t>
            </w:r>
          </w:p>
        </w:tc>
        <w:tc>
          <w:tcPr>
            <w:tcW w:w="910" w:type="pct"/>
            <w:tcBorders>
              <w:top w:val="single" w:sz="2" w:space="0" w:color="auto"/>
              <w:bottom w:val="single" w:sz="2" w:space="0" w:color="auto"/>
            </w:tcBorders>
            <w:shd w:val="clear" w:color="auto" w:fill="auto"/>
          </w:tcPr>
          <w:p w14:paraId="5500E530" w14:textId="77777777"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14:paraId="1E65439F" w14:textId="77777777" w:rsidR="00F46E83" w:rsidRPr="005E3B43" w:rsidRDefault="00F46E83" w:rsidP="00763BCF">
            <w:pPr>
              <w:pStyle w:val="Tabletext"/>
            </w:pPr>
            <w:r w:rsidRPr="005E3B43">
              <w:t>treatment of ventricular tachycardia or long QT Syndrome</w:t>
            </w:r>
          </w:p>
        </w:tc>
      </w:tr>
      <w:tr w:rsidR="00F46E83" w:rsidRPr="005E3B43" w14:paraId="54583AB1" w14:textId="77777777" w:rsidTr="004F6606">
        <w:trPr>
          <w:trHeight w:val="20"/>
        </w:trPr>
        <w:tc>
          <w:tcPr>
            <w:tcW w:w="645" w:type="pct"/>
            <w:tcBorders>
              <w:top w:val="single" w:sz="2" w:space="0" w:color="auto"/>
              <w:bottom w:val="single" w:sz="2" w:space="0" w:color="auto"/>
            </w:tcBorders>
          </w:tcPr>
          <w:p w14:paraId="03BED4E9" w14:textId="77777777" w:rsidR="00F46E83" w:rsidRPr="005E3B43" w:rsidRDefault="00F46E83" w:rsidP="00763BCF">
            <w:pPr>
              <w:pStyle w:val="Tabletext"/>
            </w:pPr>
            <w:r w:rsidRPr="005E3B43">
              <w:t>56</w:t>
            </w:r>
          </w:p>
        </w:tc>
        <w:tc>
          <w:tcPr>
            <w:tcW w:w="1246" w:type="pct"/>
            <w:tcBorders>
              <w:top w:val="single" w:sz="2" w:space="0" w:color="auto"/>
              <w:bottom w:val="single" w:sz="2" w:space="0" w:color="auto"/>
            </w:tcBorders>
            <w:shd w:val="clear" w:color="auto" w:fill="auto"/>
          </w:tcPr>
          <w:p w14:paraId="4AFA94DC" w14:textId="77777777" w:rsidR="00F46E83" w:rsidRPr="005E3B43" w:rsidRDefault="00F46E83" w:rsidP="00763BCF">
            <w:pPr>
              <w:pStyle w:val="Tabletext"/>
            </w:pPr>
            <w:r w:rsidRPr="005E3B43">
              <w:t>natamycin 5%</w:t>
            </w:r>
          </w:p>
        </w:tc>
        <w:tc>
          <w:tcPr>
            <w:tcW w:w="752" w:type="pct"/>
            <w:tcBorders>
              <w:top w:val="single" w:sz="2" w:space="0" w:color="auto"/>
              <w:bottom w:val="single" w:sz="2" w:space="0" w:color="auto"/>
            </w:tcBorders>
            <w:shd w:val="clear" w:color="auto" w:fill="auto"/>
          </w:tcPr>
          <w:p w14:paraId="0A2D87D4" w14:textId="77777777" w:rsidR="00F46E83" w:rsidRPr="005E3B43" w:rsidRDefault="00F46E83" w:rsidP="00763BCF">
            <w:pPr>
              <w:pStyle w:val="Tabletext"/>
            </w:pPr>
            <w:r w:rsidRPr="005E3B43">
              <w:t>eye drops</w:t>
            </w:r>
          </w:p>
        </w:tc>
        <w:tc>
          <w:tcPr>
            <w:tcW w:w="910" w:type="pct"/>
            <w:tcBorders>
              <w:top w:val="single" w:sz="2" w:space="0" w:color="auto"/>
              <w:bottom w:val="single" w:sz="2" w:space="0" w:color="auto"/>
            </w:tcBorders>
            <w:shd w:val="clear" w:color="auto" w:fill="auto"/>
          </w:tcPr>
          <w:p w14:paraId="0FC08392" w14:textId="77777777" w:rsidR="00F46E83" w:rsidRPr="005E3B43" w:rsidRDefault="00F46E83" w:rsidP="00763BCF">
            <w:pPr>
              <w:pStyle w:val="Tabletext"/>
            </w:pPr>
            <w:r w:rsidRPr="005E3B43">
              <w:t>ophthalmic</w:t>
            </w:r>
          </w:p>
        </w:tc>
        <w:tc>
          <w:tcPr>
            <w:tcW w:w="1447" w:type="pct"/>
            <w:tcBorders>
              <w:top w:val="single" w:sz="2" w:space="0" w:color="auto"/>
              <w:bottom w:val="single" w:sz="2" w:space="0" w:color="auto"/>
            </w:tcBorders>
            <w:shd w:val="clear" w:color="auto" w:fill="auto"/>
          </w:tcPr>
          <w:p w14:paraId="67842A50" w14:textId="77777777" w:rsidR="00F46E83" w:rsidRPr="005E3B43" w:rsidRDefault="00F46E83" w:rsidP="00763BCF">
            <w:pPr>
              <w:pStyle w:val="Tabletext"/>
            </w:pPr>
            <w:r w:rsidRPr="005E3B43">
              <w:t>treatment of refractory fungal blepharitis, conjunctivitis or keratitis</w:t>
            </w:r>
          </w:p>
        </w:tc>
      </w:tr>
      <w:tr w:rsidR="00F46E83" w:rsidRPr="005E3B43" w14:paraId="4483F63A" w14:textId="77777777" w:rsidTr="004F6606">
        <w:trPr>
          <w:trHeight w:val="20"/>
        </w:trPr>
        <w:tc>
          <w:tcPr>
            <w:tcW w:w="645" w:type="pct"/>
            <w:tcBorders>
              <w:top w:val="single" w:sz="2" w:space="0" w:color="auto"/>
              <w:bottom w:val="single" w:sz="2" w:space="0" w:color="auto"/>
            </w:tcBorders>
          </w:tcPr>
          <w:p w14:paraId="57D08D43" w14:textId="77777777" w:rsidR="00F46E83" w:rsidRPr="005E3B43" w:rsidRDefault="00F46E83" w:rsidP="00763BCF">
            <w:pPr>
              <w:pStyle w:val="Tabletext"/>
            </w:pPr>
            <w:r w:rsidRPr="005E3B43">
              <w:t>57</w:t>
            </w:r>
          </w:p>
        </w:tc>
        <w:tc>
          <w:tcPr>
            <w:tcW w:w="1246" w:type="pct"/>
            <w:tcBorders>
              <w:top w:val="single" w:sz="2" w:space="0" w:color="auto"/>
              <w:bottom w:val="single" w:sz="2" w:space="0" w:color="auto"/>
            </w:tcBorders>
            <w:shd w:val="clear" w:color="auto" w:fill="auto"/>
          </w:tcPr>
          <w:p w14:paraId="76C831EE" w14:textId="77777777" w:rsidR="00F46E83" w:rsidRPr="005E3B43" w:rsidRDefault="00F46E83" w:rsidP="00763BCF">
            <w:pPr>
              <w:pStyle w:val="Tabletext"/>
            </w:pPr>
            <w:r w:rsidRPr="005E3B43">
              <w:t>neomycin</w:t>
            </w:r>
          </w:p>
        </w:tc>
        <w:tc>
          <w:tcPr>
            <w:tcW w:w="752" w:type="pct"/>
            <w:tcBorders>
              <w:top w:val="single" w:sz="2" w:space="0" w:color="auto"/>
              <w:bottom w:val="single" w:sz="2" w:space="0" w:color="auto"/>
            </w:tcBorders>
            <w:shd w:val="clear" w:color="auto" w:fill="auto"/>
          </w:tcPr>
          <w:p w14:paraId="79307B8E" w14:textId="77777777" w:rsidR="00F46E83" w:rsidRPr="005E3B43" w:rsidRDefault="00F46E83" w:rsidP="00763BCF">
            <w:pPr>
              <w:pStyle w:val="Tabletext"/>
            </w:pPr>
            <w:r w:rsidRPr="005E3B43">
              <w:t>tablet</w:t>
            </w:r>
          </w:p>
        </w:tc>
        <w:tc>
          <w:tcPr>
            <w:tcW w:w="910" w:type="pct"/>
            <w:tcBorders>
              <w:top w:val="single" w:sz="2" w:space="0" w:color="auto"/>
              <w:bottom w:val="single" w:sz="2" w:space="0" w:color="auto"/>
            </w:tcBorders>
            <w:shd w:val="clear" w:color="auto" w:fill="auto"/>
          </w:tcPr>
          <w:p w14:paraId="5400FFC7" w14:textId="77777777"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14:paraId="4561659C" w14:textId="77777777" w:rsidR="00F46E83" w:rsidRPr="005E3B43" w:rsidRDefault="00F46E83" w:rsidP="00763BCF">
            <w:pPr>
              <w:pStyle w:val="Tabletext"/>
            </w:pPr>
            <w:r w:rsidRPr="005E3B43">
              <w:t>sepsis prevention for colorectal operation</w:t>
            </w:r>
          </w:p>
        </w:tc>
      </w:tr>
      <w:tr w:rsidR="00F46E83" w:rsidRPr="005E3B43" w14:paraId="0BB5CE21" w14:textId="77777777" w:rsidTr="004F6606">
        <w:trPr>
          <w:trHeight w:val="20"/>
        </w:trPr>
        <w:tc>
          <w:tcPr>
            <w:tcW w:w="645" w:type="pct"/>
            <w:tcBorders>
              <w:top w:val="single" w:sz="2" w:space="0" w:color="auto"/>
              <w:bottom w:val="single" w:sz="2" w:space="0" w:color="auto"/>
            </w:tcBorders>
          </w:tcPr>
          <w:p w14:paraId="1589DFC5" w14:textId="77777777" w:rsidR="00F46E83" w:rsidRPr="005E3B43" w:rsidRDefault="00F46E83" w:rsidP="00763BCF">
            <w:pPr>
              <w:pStyle w:val="Tabletext"/>
            </w:pPr>
            <w:r w:rsidRPr="005E3B43">
              <w:t>58</w:t>
            </w:r>
          </w:p>
        </w:tc>
        <w:tc>
          <w:tcPr>
            <w:tcW w:w="1246" w:type="pct"/>
            <w:tcBorders>
              <w:top w:val="single" w:sz="2" w:space="0" w:color="auto"/>
              <w:bottom w:val="single" w:sz="2" w:space="0" w:color="auto"/>
            </w:tcBorders>
            <w:shd w:val="clear" w:color="auto" w:fill="auto"/>
          </w:tcPr>
          <w:p w14:paraId="655A5418" w14:textId="77777777" w:rsidR="00F46E83" w:rsidRPr="005E3B43" w:rsidRDefault="00F46E83" w:rsidP="00763BCF">
            <w:pPr>
              <w:pStyle w:val="Tabletext"/>
            </w:pPr>
            <w:r w:rsidRPr="005E3B43">
              <w:t>nicotine in solution, salt or base form</w:t>
            </w:r>
          </w:p>
        </w:tc>
        <w:tc>
          <w:tcPr>
            <w:tcW w:w="752" w:type="pct"/>
            <w:tcBorders>
              <w:top w:val="single" w:sz="2" w:space="0" w:color="auto"/>
              <w:bottom w:val="single" w:sz="2" w:space="0" w:color="auto"/>
            </w:tcBorders>
            <w:shd w:val="clear" w:color="auto" w:fill="auto"/>
          </w:tcPr>
          <w:p w14:paraId="5558FA27" w14:textId="77777777" w:rsidR="00F46E83" w:rsidRPr="005E3B43" w:rsidRDefault="00F46E83" w:rsidP="00763BCF">
            <w:pPr>
              <w:pStyle w:val="Tabletext"/>
            </w:pPr>
            <w:r w:rsidRPr="005E3B43">
              <w:t>liquid or solid</w:t>
            </w:r>
          </w:p>
        </w:tc>
        <w:tc>
          <w:tcPr>
            <w:tcW w:w="910" w:type="pct"/>
            <w:tcBorders>
              <w:top w:val="single" w:sz="2" w:space="0" w:color="auto"/>
              <w:bottom w:val="single" w:sz="2" w:space="0" w:color="auto"/>
            </w:tcBorders>
            <w:shd w:val="clear" w:color="auto" w:fill="auto"/>
          </w:tcPr>
          <w:p w14:paraId="5181976A" w14:textId="77777777" w:rsidR="00F46E83" w:rsidRPr="005E3B43" w:rsidRDefault="00F46E83" w:rsidP="00763BCF">
            <w:pPr>
              <w:pStyle w:val="Tabletext"/>
            </w:pPr>
            <w:r w:rsidRPr="005E3B43">
              <w:t>inhalation</w:t>
            </w:r>
          </w:p>
        </w:tc>
        <w:tc>
          <w:tcPr>
            <w:tcW w:w="1447" w:type="pct"/>
            <w:tcBorders>
              <w:top w:val="single" w:sz="2" w:space="0" w:color="auto"/>
              <w:bottom w:val="single" w:sz="2" w:space="0" w:color="auto"/>
            </w:tcBorders>
            <w:shd w:val="clear" w:color="auto" w:fill="auto"/>
          </w:tcPr>
          <w:p w14:paraId="739A90E6" w14:textId="77777777" w:rsidR="00F46E83" w:rsidRPr="005E3B43" w:rsidRDefault="00F46E83" w:rsidP="00763BCF">
            <w:pPr>
              <w:pStyle w:val="Tabletext"/>
            </w:pPr>
            <w:r w:rsidRPr="005E3B43">
              <w:t>smoking cessation</w:t>
            </w:r>
            <w:r w:rsidR="0028178B" w:rsidRPr="005E3B43">
              <w:t xml:space="preserve"> or management of nicotine dependence</w:t>
            </w:r>
          </w:p>
        </w:tc>
      </w:tr>
      <w:tr w:rsidR="00F46E83" w:rsidRPr="005E3B43" w14:paraId="47B2D8C9" w14:textId="77777777" w:rsidTr="004F6606">
        <w:trPr>
          <w:trHeight w:val="20"/>
        </w:trPr>
        <w:tc>
          <w:tcPr>
            <w:tcW w:w="645" w:type="pct"/>
            <w:tcBorders>
              <w:top w:val="single" w:sz="2" w:space="0" w:color="auto"/>
              <w:bottom w:val="single" w:sz="2" w:space="0" w:color="auto"/>
            </w:tcBorders>
          </w:tcPr>
          <w:p w14:paraId="58B18428" w14:textId="77777777" w:rsidR="00F46E83" w:rsidRPr="005E3B43" w:rsidRDefault="00F46E83" w:rsidP="00763BCF">
            <w:pPr>
              <w:pStyle w:val="Tabletext"/>
            </w:pPr>
            <w:r w:rsidRPr="005E3B43">
              <w:t>58A</w:t>
            </w:r>
          </w:p>
        </w:tc>
        <w:tc>
          <w:tcPr>
            <w:tcW w:w="1246" w:type="pct"/>
            <w:tcBorders>
              <w:top w:val="single" w:sz="2" w:space="0" w:color="auto"/>
              <w:bottom w:val="single" w:sz="2" w:space="0" w:color="auto"/>
            </w:tcBorders>
            <w:shd w:val="clear" w:color="auto" w:fill="auto"/>
          </w:tcPr>
          <w:p w14:paraId="2D27C6E7" w14:textId="77777777" w:rsidR="00F46E83" w:rsidRPr="005E3B43" w:rsidRDefault="00F46E83" w:rsidP="00763BCF">
            <w:pPr>
              <w:pStyle w:val="Tabletext"/>
            </w:pPr>
            <w:r w:rsidRPr="005E3B43">
              <w:t>nifedipine</w:t>
            </w:r>
          </w:p>
        </w:tc>
        <w:tc>
          <w:tcPr>
            <w:tcW w:w="752" w:type="pct"/>
            <w:tcBorders>
              <w:top w:val="single" w:sz="2" w:space="0" w:color="auto"/>
              <w:bottom w:val="single" w:sz="2" w:space="0" w:color="auto"/>
            </w:tcBorders>
            <w:shd w:val="clear" w:color="auto" w:fill="auto"/>
          </w:tcPr>
          <w:p w14:paraId="6A06539F" w14:textId="77777777" w:rsidR="00F46E83" w:rsidRPr="005E3B43" w:rsidRDefault="00F46E83" w:rsidP="00763BCF">
            <w:pPr>
              <w:pStyle w:val="Tabletext"/>
            </w:pPr>
            <w:r w:rsidRPr="005E3B43">
              <w:t>immediate release tablet</w:t>
            </w:r>
          </w:p>
        </w:tc>
        <w:tc>
          <w:tcPr>
            <w:tcW w:w="910" w:type="pct"/>
            <w:tcBorders>
              <w:top w:val="single" w:sz="2" w:space="0" w:color="auto"/>
              <w:bottom w:val="single" w:sz="2" w:space="0" w:color="auto"/>
            </w:tcBorders>
            <w:shd w:val="clear" w:color="auto" w:fill="auto"/>
          </w:tcPr>
          <w:p w14:paraId="0FC2F473" w14:textId="77777777"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14:paraId="452892A7" w14:textId="77777777" w:rsidR="00F46E83" w:rsidRPr="005E3B43" w:rsidRDefault="00F46E83" w:rsidP="00763BCF">
            <w:pPr>
              <w:pStyle w:val="Tablea"/>
            </w:pPr>
            <w:r w:rsidRPr="005E3B43">
              <w:t>(a) treatment of preterm labour; or</w:t>
            </w:r>
          </w:p>
          <w:p w14:paraId="408EF752" w14:textId="4E6E69D1" w:rsidR="00F46E83" w:rsidRPr="005E3B43" w:rsidRDefault="00F46E83" w:rsidP="00763BCF">
            <w:pPr>
              <w:pStyle w:val="Tablea"/>
            </w:pPr>
            <w:r w:rsidRPr="005E3B43">
              <w:t>(b) treatment of pre</w:t>
            </w:r>
            <w:r w:rsidR="007C3215">
              <w:noBreakHyphen/>
            </w:r>
            <w:r w:rsidRPr="005E3B43">
              <w:t>eclampsia</w:t>
            </w:r>
          </w:p>
        </w:tc>
      </w:tr>
      <w:tr w:rsidR="00F46E83" w:rsidRPr="005E3B43" w14:paraId="29096F9D" w14:textId="77777777" w:rsidTr="004F6606">
        <w:trPr>
          <w:trHeight w:val="20"/>
        </w:trPr>
        <w:tc>
          <w:tcPr>
            <w:tcW w:w="645" w:type="pct"/>
            <w:tcBorders>
              <w:top w:val="single" w:sz="2" w:space="0" w:color="auto"/>
              <w:bottom w:val="single" w:sz="2" w:space="0" w:color="auto"/>
            </w:tcBorders>
          </w:tcPr>
          <w:p w14:paraId="33336240" w14:textId="77777777" w:rsidR="00F46E83" w:rsidRPr="005E3B43" w:rsidRDefault="00F46E83" w:rsidP="00763BCF">
            <w:pPr>
              <w:pStyle w:val="Tabletext"/>
            </w:pPr>
            <w:r w:rsidRPr="005E3B43">
              <w:t>58B</w:t>
            </w:r>
          </w:p>
        </w:tc>
        <w:tc>
          <w:tcPr>
            <w:tcW w:w="1246" w:type="pct"/>
            <w:tcBorders>
              <w:top w:val="single" w:sz="2" w:space="0" w:color="auto"/>
              <w:bottom w:val="single" w:sz="2" w:space="0" w:color="auto"/>
            </w:tcBorders>
            <w:shd w:val="clear" w:color="auto" w:fill="auto"/>
          </w:tcPr>
          <w:p w14:paraId="554CF2D0" w14:textId="77777777" w:rsidR="00F46E83" w:rsidRPr="005E3B43" w:rsidRDefault="00F46E83" w:rsidP="00763BCF">
            <w:pPr>
              <w:pStyle w:val="Tabletext"/>
            </w:pPr>
            <w:r w:rsidRPr="005E3B43">
              <w:t>nifedipine</w:t>
            </w:r>
          </w:p>
        </w:tc>
        <w:tc>
          <w:tcPr>
            <w:tcW w:w="752" w:type="pct"/>
            <w:tcBorders>
              <w:top w:val="single" w:sz="2" w:space="0" w:color="auto"/>
              <w:bottom w:val="single" w:sz="2" w:space="0" w:color="auto"/>
            </w:tcBorders>
            <w:shd w:val="clear" w:color="auto" w:fill="auto"/>
          </w:tcPr>
          <w:p w14:paraId="040BECEF" w14:textId="77777777" w:rsidR="00F46E83" w:rsidRPr="005E3B43" w:rsidRDefault="00F46E83" w:rsidP="00763BCF">
            <w:pPr>
              <w:pStyle w:val="Tabletext"/>
            </w:pPr>
            <w:r w:rsidRPr="005E3B43">
              <w:t>capsule</w:t>
            </w:r>
          </w:p>
        </w:tc>
        <w:tc>
          <w:tcPr>
            <w:tcW w:w="910" w:type="pct"/>
            <w:tcBorders>
              <w:top w:val="single" w:sz="2" w:space="0" w:color="auto"/>
              <w:bottom w:val="single" w:sz="2" w:space="0" w:color="auto"/>
            </w:tcBorders>
            <w:shd w:val="clear" w:color="auto" w:fill="auto"/>
          </w:tcPr>
          <w:p w14:paraId="588D385B" w14:textId="77777777"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14:paraId="3CB7E95B" w14:textId="77777777" w:rsidR="00F46E83" w:rsidRPr="005E3B43" w:rsidRDefault="00F46E83" w:rsidP="00763BCF">
            <w:pPr>
              <w:pStyle w:val="Tablea"/>
            </w:pPr>
            <w:r w:rsidRPr="005E3B43">
              <w:t>(a) treatment of preterm labour; or</w:t>
            </w:r>
          </w:p>
          <w:p w14:paraId="768009EB" w14:textId="79DE2913" w:rsidR="00F46E83" w:rsidRPr="005E3B43" w:rsidRDefault="00F46E83" w:rsidP="00763BCF">
            <w:pPr>
              <w:pStyle w:val="Tablea"/>
            </w:pPr>
            <w:r w:rsidRPr="005E3B43">
              <w:t>(b) treatment of pre</w:t>
            </w:r>
            <w:r w:rsidR="007C3215">
              <w:noBreakHyphen/>
            </w:r>
            <w:r w:rsidRPr="005E3B43">
              <w:t>eclampsia</w:t>
            </w:r>
          </w:p>
        </w:tc>
      </w:tr>
      <w:tr w:rsidR="00F46E83" w:rsidRPr="005E3B43" w14:paraId="231D4DB2" w14:textId="77777777" w:rsidTr="004F6606">
        <w:trPr>
          <w:trHeight w:val="20"/>
        </w:trPr>
        <w:tc>
          <w:tcPr>
            <w:tcW w:w="645" w:type="pct"/>
            <w:tcBorders>
              <w:top w:val="single" w:sz="2" w:space="0" w:color="auto"/>
              <w:bottom w:val="single" w:sz="2" w:space="0" w:color="auto"/>
            </w:tcBorders>
          </w:tcPr>
          <w:p w14:paraId="6A0B9B98" w14:textId="77777777" w:rsidR="00F46E83" w:rsidRPr="005E3B43" w:rsidRDefault="00F46E83" w:rsidP="00763BCF">
            <w:pPr>
              <w:pStyle w:val="Tabletext"/>
            </w:pPr>
            <w:r w:rsidRPr="005E3B43">
              <w:t>59</w:t>
            </w:r>
          </w:p>
        </w:tc>
        <w:tc>
          <w:tcPr>
            <w:tcW w:w="1246" w:type="pct"/>
            <w:tcBorders>
              <w:top w:val="single" w:sz="2" w:space="0" w:color="auto"/>
              <w:bottom w:val="single" w:sz="2" w:space="0" w:color="auto"/>
            </w:tcBorders>
            <w:shd w:val="clear" w:color="auto" w:fill="auto"/>
          </w:tcPr>
          <w:p w14:paraId="5A5D13F2" w14:textId="77777777" w:rsidR="00F46E83" w:rsidRPr="005E3B43" w:rsidRDefault="00F46E83" w:rsidP="00763BCF">
            <w:pPr>
              <w:pStyle w:val="Tabletext"/>
            </w:pPr>
            <w:r w:rsidRPr="005E3B43">
              <w:t>nitazoxanide</w:t>
            </w:r>
          </w:p>
        </w:tc>
        <w:tc>
          <w:tcPr>
            <w:tcW w:w="752" w:type="pct"/>
            <w:tcBorders>
              <w:top w:val="single" w:sz="2" w:space="0" w:color="auto"/>
              <w:bottom w:val="single" w:sz="2" w:space="0" w:color="auto"/>
            </w:tcBorders>
            <w:shd w:val="clear" w:color="auto" w:fill="auto"/>
          </w:tcPr>
          <w:p w14:paraId="3FD3232D" w14:textId="77777777" w:rsidR="00F46E83" w:rsidRPr="005E3B43" w:rsidRDefault="00F46E83" w:rsidP="00763BCF">
            <w:pPr>
              <w:pStyle w:val="Tabletext"/>
            </w:pPr>
            <w:r w:rsidRPr="005E3B43">
              <w:t>tablet</w:t>
            </w:r>
          </w:p>
        </w:tc>
        <w:tc>
          <w:tcPr>
            <w:tcW w:w="910" w:type="pct"/>
            <w:tcBorders>
              <w:top w:val="single" w:sz="2" w:space="0" w:color="auto"/>
              <w:bottom w:val="single" w:sz="2" w:space="0" w:color="auto"/>
            </w:tcBorders>
            <w:shd w:val="clear" w:color="auto" w:fill="auto"/>
          </w:tcPr>
          <w:p w14:paraId="21F93D48" w14:textId="77777777"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14:paraId="71B0B504" w14:textId="77777777" w:rsidR="00F46E83" w:rsidRPr="005E3B43" w:rsidRDefault="00F46E83" w:rsidP="00763BCF">
            <w:pPr>
              <w:pStyle w:val="Tabletext"/>
            </w:pPr>
            <w:r w:rsidRPr="005E3B43">
              <w:t>treatment of giardiasis, cryptosporidiosis or blastocystis</w:t>
            </w:r>
          </w:p>
        </w:tc>
      </w:tr>
      <w:tr w:rsidR="00F46E83" w:rsidRPr="005E3B43" w14:paraId="3EAE77A2" w14:textId="77777777" w:rsidTr="004F6606">
        <w:trPr>
          <w:trHeight w:val="20"/>
        </w:trPr>
        <w:tc>
          <w:tcPr>
            <w:tcW w:w="645" w:type="pct"/>
            <w:tcBorders>
              <w:top w:val="single" w:sz="2" w:space="0" w:color="auto"/>
              <w:bottom w:val="single" w:sz="2" w:space="0" w:color="auto"/>
            </w:tcBorders>
          </w:tcPr>
          <w:p w14:paraId="363A673A" w14:textId="77777777" w:rsidR="00F46E83" w:rsidRPr="005E3B43" w:rsidRDefault="00F46E83" w:rsidP="00763BCF">
            <w:pPr>
              <w:pStyle w:val="Tabletext"/>
            </w:pPr>
            <w:r w:rsidRPr="005E3B43">
              <w:t>60</w:t>
            </w:r>
          </w:p>
        </w:tc>
        <w:tc>
          <w:tcPr>
            <w:tcW w:w="1246" w:type="pct"/>
            <w:tcBorders>
              <w:top w:val="single" w:sz="2" w:space="0" w:color="auto"/>
              <w:bottom w:val="single" w:sz="2" w:space="0" w:color="auto"/>
            </w:tcBorders>
            <w:shd w:val="clear" w:color="auto" w:fill="auto"/>
          </w:tcPr>
          <w:p w14:paraId="7996F36F" w14:textId="77777777" w:rsidR="00F46E83" w:rsidRPr="005E3B43" w:rsidRDefault="00F46E83" w:rsidP="00763BCF">
            <w:pPr>
              <w:pStyle w:val="Tabletext"/>
            </w:pPr>
            <w:r w:rsidRPr="005E3B43">
              <w:t>nitazoxanide</w:t>
            </w:r>
          </w:p>
        </w:tc>
        <w:tc>
          <w:tcPr>
            <w:tcW w:w="752" w:type="pct"/>
            <w:tcBorders>
              <w:top w:val="single" w:sz="2" w:space="0" w:color="auto"/>
              <w:bottom w:val="single" w:sz="2" w:space="0" w:color="auto"/>
            </w:tcBorders>
            <w:shd w:val="clear" w:color="auto" w:fill="auto"/>
          </w:tcPr>
          <w:p w14:paraId="2F05E196" w14:textId="77777777" w:rsidR="00F46E83" w:rsidRPr="005E3B43" w:rsidRDefault="00F46E83" w:rsidP="00763BCF">
            <w:pPr>
              <w:pStyle w:val="Tabletext"/>
            </w:pPr>
            <w:r w:rsidRPr="005E3B43">
              <w:t>suspension</w:t>
            </w:r>
          </w:p>
        </w:tc>
        <w:tc>
          <w:tcPr>
            <w:tcW w:w="910" w:type="pct"/>
            <w:tcBorders>
              <w:top w:val="single" w:sz="2" w:space="0" w:color="auto"/>
              <w:bottom w:val="single" w:sz="2" w:space="0" w:color="auto"/>
            </w:tcBorders>
            <w:shd w:val="clear" w:color="auto" w:fill="auto"/>
          </w:tcPr>
          <w:p w14:paraId="0FABFF80" w14:textId="77777777"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14:paraId="54759A54" w14:textId="77777777" w:rsidR="00F46E83" w:rsidRPr="005E3B43" w:rsidRDefault="00F46E83" w:rsidP="00763BCF">
            <w:pPr>
              <w:pStyle w:val="Tabletext"/>
            </w:pPr>
            <w:r w:rsidRPr="005E3B43">
              <w:t>treatment of giardiasis, cryptosporidiosis or blastocystis</w:t>
            </w:r>
          </w:p>
        </w:tc>
      </w:tr>
      <w:tr w:rsidR="00F46E83" w:rsidRPr="005E3B43" w14:paraId="0984C0E9" w14:textId="77777777" w:rsidTr="004F6606">
        <w:trPr>
          <w:trHeight w:val="20"/>
        </w:trPr>
        <w:tc>
          <w:tcPr>
            <w:tcW w:w="645" w:type="pct"/>
            <w:tcBorders>
              <w:top w:val="single" w:sz="2" w:space="0" w:color="auto"/>
              <w:bottom w:val="single" w:sz="2" w:space="0" w:color="auto"/>
            </w:tcBorders>
          </w:tcPr>
          <w:p w14:paraId="46306A00" w14:textId="77777777" w:rsidR="00F46E83" w:rsidRPr="005E3B43" w:rsidRDefault="00F46E83" w:rsidP="00763BCF">
            <w:pPr>
              <w:pStyle w:val="Tabletext"/>
            </w:pPr>
            <w:r w:rsidRPr="005E3B43">
              <w:t>61</w:t>
            </w:r>
          </w:p>
        </w:tc>
        <w:tc>
          <w:tcPr>
            <w:tcW w:w="1246" w:type="pct"/>
            <w:tcBorders>
              <w:top w:val="single" w:sz="2" w:space="0" w:color="auto"/>
              <w:bottom w:val="single" w:sz="2" w:space="0" w:color="auto"/>
            </w:tcBorders>
            <w:shd w:val="clear" w:color="auto" w:fill="auto"/>
          </w:tcPr>
          <w:p w14:paraId="4A5F6E45" w14:textId="77777777" w:rsidR="00F46E83" w:rsidRPr="005E3B43" w:rsidRDefault="00F46E83" w:rsidP="00763BCF">
            <w:pPr>
              <w:pStyle w:val="Tabletext"/>
            </w:pPr>
            <w:r w:rsidRPr="005E3B43">
              <w:t>paromomycin</w:t>
            </w:r>
          </w:p>
        </w:tc>
        <w:tc>
          <w:tcPr>
            <w:tcW w:w="752" w:type="pct"/>
            <w:tcBorders>
              <w:top w:val="single" w:sz="2" w:space="0" w:color="auto"/>
              <w:bottom w:val="single" w:sz="2" w:space="0" w:color="auto"/>
            </w:tcBorders>
            <w:shd w:val="clear" w:color="auto" w:fill="auto"/>
          </w:tcPr>
          <w:p w14:paraId="4A1638F6" w14:textId="77777777" w:rsidR="00F46E83" w:rsidRPr="005E3B43" w:rsidRDefault="00F46E83" w:rsidP="00763BCF">
            <w:pPr>
              <w:pStyle w:val="Tabletext"/>
            </w:pPr>
            <w:r w:rsidRPr="005E3B43">
              <w:t>capsule</w:t>
            </w:r>
          </w:p>
        </w:tc>
        <w:tc>
          <w:tcPr>
            <w:tcW w:w="910" w:type="pct"/>
            <w:tcBorders>
              <w:top w:val="single" w:sz="2" w:space="0" w:color="auto"/>
              <w:bottom w:val="single" w:sz="2" w:space="0" w:color="auto"/>
            </w:tcBorders>
            <w:shd w:val="clear" w:color="auto" w:fill="auto"/>
          </w:tcPr>
          <w:p w14:paraId="519424C9" w14:textId="77777777"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14:paraId="3B5410AE" w14:textId="77777777" w:rsidR="00F46E83" w:rsidRPr="005E3B43" w:rsidRDefault="00F46E83" w:rsidP="00763BCF">
            <w:pPr>
              <w:pStyle w:val="Tabletext"/>
            </w:pPr>
            <w:r w:rsidRPr="005E3B43">
              <w:t>antiprotozoal treatment of any of the following amoebic infections:</w:t>
            </w:r>
          </w:p>
          <w:p w14:paraId="2310BF00" w14:textId="77777777" w:rsidR="00F46E83" w:rsidRPr="005E3B43" w:rsidRDefault="00F46E83" w:rsidP="00763BCF">
            <w:pPr>
              <w:pStyle w:val="Tablea"/>
            </w:pPr>
            <w:r w:rsidRPr="005E3B43">
              <w:t xml:space="preserve">(a) </w:t>
            </w:r>
            <w:r w:rsidRPr="005E3B43">
              <w:rPr>
                <w:i/>
              </w:rPr>
              <w:t>blastocystis hominis</w:t>
            </w:r>
            <w:r w:rsidRPr="005E3B43">
              <w:t>;</w:t>
            </w:r>
          </w:p>
          <w:p w14:paraId="547C2A08" w14:textId="77777777" w:rsidR="00F46E83" w:rsidRPr="005E3B43" w:rsidRDefault="00F46E83" w:rsidP="00763BCF">
            <w:pPr>
              <w:pStyle w:val="Tablea"/>
            </w:pPr>
            <w:r w:rsidRPr="005E3B43">
              <w:t xml:space="preserve">(b) </w:t>
            </w:r>
            <w:r w:rsidRPr="005E3B43">
              <w:rPr>
                <w:i/>
              </w:rPr>
              <w:t>dientomoeba fragilis</w:t>
            </w:r>
            <w:r w:rsidRPr="005E3B43">
              <w:t>;</w:t>
            </w:r>
          </w:p>
          <w:p w14:paraId="3A65563D" w14:textId="77777777" w:rsidR="00F46E83" w:rsidRPr="005E3B43" w:rsidRDefault="00F46E83" w:rsidP="00763BCF">
            <w:pPr>
              <w:pStyle w:val="Tablea"/>
            </w:pPr>
            <w:r w:rsidRPr="005E3B43">
              <w:lastRenderedPageBreak/>
              <w:t xml:space="preserve">(c) </w:t>
            </w:r>
            <w:r w:rsidRPr="005E3B43">
              <w:rPr>
                <w:i/>
              </w:rPr>
              <w:t>entamoeba histolytica</w:t>
            </w:r>
            <w:r w:rsidRPr="005E3B43">
              <w:t>;</w:t>
            </w:r>
          </w:p>
          <w:p w14:paraId="5CAA3A20" w14:textId="77777777" w:rsidR="00F46E83" w:rsidRPr="005E3B43" w:rsidRDefault="00F46E83" w:rsidP="00763BCF">
            <w:pPr>
              <w:pStyle w:val="Tablea"/>
            </w:pPr>
            <w:r w:rsidRPr="005E3B43">
              <w:t>(d) parasite infection</w:t>
            </w:r>
          </w:p>
        </w:tc>
      </w:tr>
      <w:tr w:rsidR="00F46E83" w:rsidRPr="005E3B43" w14:paraId="27E33654" w14:textId="77777777" w:rsidTr="004F6606">
        <w:trPr>
          <w:trHeight w:val="20"/>
        </w:trPr>
        <w:tc>
          <w:tcPr>
            <w:tcW w:w="645" w:type="pct"/>
            <w:tcBorders>
              <w:top w:val="single" w:sz="2" w:space="0" w:color="auto"/>
              <w:bottom w:val="single" w:sz="2" w:space="0" w:color="auto"/>
            </w:tcBorders>
          </w:tcPr>
          <w:p w14:paraId="44E9519B" w14:textId="77777777" w:rsidR="00F46E83" w:rsidRPr="005E3B43" w:rsidRDefault="00F46E83" w:rsidP="00763BCF">
            <w:pPr>
              <w:pStyle w:val="Tabletext"/>
            </w:pPr>
            <w:r w:rsidRPr="005E3B43">
              <w:lastRenderedPageBreak/>
              <w:t>62</w:t>
            </w:r>
          </w:p>
        </w:tc>
        <w:tc>
          <w:tcPr>
            <w:tcW w:w="1246" w:type="pct"/>
            <w:tcBorders>
              <w:top w:val="single" w:sz="2" w:space="0" w:color="auto"/>
              <w:bottom w:val="single" w:sz="2" w:space="0" w:color="auto"/>
            </w:tcBorders>
            <w:shd w:val="clear" w:color="auto" w:fill="auto"/>
          </w:tcPr>
          <w:p w14:paraId="45EC9288" w14:textId="77777777" w:rsidR="00F46E83" w:rsidRPr="005E3B43" w:rsidRDefault="00F46E83" w:rsidP="00763BCF">
            <w:pPr>
              <w:pStyle w:val="Tabletext"/>
            </w:pPr>
            <w:r w:rsidRPr="005E3B43">
              <w:t>pimozide</w:t>
            </w:r>
          </w:p>
        </w:tc>
        <w:tc>
          <w:tcPr>
            <w:tcW w:w="752" w:type="pct"/>
            <w:tcBorders>
              <w:top w:val="single" w:sz="2" w:space="0" w:color="auto"/>
              <w:bottom w:val="single" w:sz="2" w:space="0" w:color="auto"/>
            </w:tcBorders>
            <w:shd w:val="clear" w:color="auto" w:fill="auto"/>
          </w:tcPr>
          <w:p w14:paraId="1FBE427A" w14:textId="77777777" w:rsidR="00F46E83" w:rsidRPr="005E3B43" w:rsidRDefault="00F46E83" w:rsidP="00763BCF">
            <w:pPr>
              <w:pStyle w:val="Tabletext"/>
            </w:pPr>
            <w:r w:rsidRPr="005E3B43">
              <w:t>tablet</w:t>
            </w:r>
          </w:p>
        </w:tc>
        <w:tc>
          <w:tcPr>
            <w:tcW w:w="910" w:type="pct"/>
            <w:tcBorders>
              <w:top w:val="single" w:sz="2" w:space="0" w:color="auto"/>
              <w:bottom w:val="single" w:sz="2" w:space="0" w:color="auto"/>
            </w:tcBorders>
            <w:shd w:val="clear" w:color="auto" w:fill="auto"/>
          </w:tcPr>
          <w:p w14:paraId="6108F858" w14:textId="77777777"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14:paraId="302C2063" w14:textId="77777777" w:rsidR="00F46E83" w:rsidRPr="005E3B43" w:rsidRDefault="00F46E83" w:rsidP="00763BCF">
            <w:pPr>
              <w:pStyle w:val="Tabletext"/>
            </w:pPr>
            <w:r w:rsidRPr="005E3B43">
              <w:t>treatment of schizophrenia, chronic psychosis or Tourette syndrome</w:t>
            </w:r>
          </w:p>
        </w:tc>
      </w:tr>
      <w:tr w:rsidR="00F46E83" w:rsidRPr="005E3B43" w14:paraId="249291B8" w14:textId="77777777" w:rsidTr="004F6606">
        <w:trPr>
          <w:trHeight w:val="20"/>
        </w:trPr>
        <w:tc>
          <w:tcPr>
            <w:tcW w:w="645" w:type="pct"/>
            <w:tcBorders>
              <w:top w:val="single" w:sz="2" w:space="0" w:color="auto"/>
              <w:bottom w:val="single" w:sz="2" w:space="0" w:color="auto"/>
            </w:tcBorders>
          </w:tcPr>
          <w:p w14:paraId="52A80F7A" w14:textId="77777777" w:rsidR="00F46E83" w:rsidRPr="005E3B43" w:rsidRDefault="00F46E83" w:rsidP="00763BCF">
            <w:pPr>
              <w:pStyle w:val="Tabletext"/>
            </w:pPr>
            <w:r w:rsidRPr="005E3B43">
              <w:t>63</w:t>
            </w:r>
          </w:p>
        </w:tc>
        <w:tc>
          <w:tcPr>
            <w:tcW w:w="1246" w:type="pct"/>
            <w:tcBorders>
              <w:top w:val="single" w:sz="2" w:space="0" w:color="auto"/>
              <w:bottom w:val="single" w:sz="2" w:space="0" w:color="auto"/>
            </w:tcBorders>
            <w:shd w:val="clear" w:color="auto" w:fill="auto"/>
          </w:tcPr>
          <w:p w14:paraId="1466A8CB" w14:textId="77777777" w:rsidR="00F46E83" w:rsidRPr="005E3B43" w:rsidRDefault="00F46E83" w:rsidP="00763BCF">
            <w:pPr>
              <w:pStyle w:val="Tabletext"/>
            </w:pPr>
            <w:r w:rsidRPr="005E3B43">
              <w:t>pristinamycin</w:t>
            </w:r>
          </w:p>
        </w:tc>
        <w:tc>
          <w:tcPr>
            <w:tcW w:w="752" w:type="pct"/>
            <w:tcBorders>
              <w:top w:val="single" w:sz="2" w:space="0" w:color="auto"/>
              <w:bottom w:val="single" w:sz="2" w:space="0" w:color="auto"/>
            </w:tcBorders>
            <w:shd w:val="clear" w:color="auto" w:fill="auto"/>
          </w:tcPr>
          <w:p w14:paraId="416635AF" w14:textId="77777777" w:rsidR="00F46E83" w:rsidRPr="005E3B43" w:rsidRDefault="00F46E83" w:rsidP="00763BCF">
            <w:pPr>
              <w:pStyle w:val="Tabletext"/>
            </w:pPr>
            <w:r w:rsidRPr="005E3B43">
              <w:t>tablet</w:t>
            </w:r>
          </w:p>
        </w:tc>
        <w:tc>
          <w:tcPr>
            <w:tcW w:w="910" w:type="pct"/>
            <w:tcBorders>
              <w:top w:val="single" w:sz="2" w:space="0" w:color="auto"/>
              <w:bottom w:val="single" w:sz="2" w:space="0" w:color="auto"/>
            </w:tcBorders>
            <w:shd w:val="clear" w:color="auto" w:fill="auto"/>
          </w:tcPr>
          <w:p w14:paraId="09264E6C" w14:textId="77777777"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14:paraId="1D9B4287" w14:textId="6213CB8A" w:rsidR="00F46E83" w:rsidRPr="005E3B43" w:rsidRDefault="00F46E83" w:rsidP="00763BCF">
            <w:pPr>
              <w:pStyle w:val="Tabletext"/>
            </w:pPr>
            <w:r w:rsidRPr="005E3B43">
              <w:t>treatment of confirmed methicillin</w:t>
            </w:r>
            <w:r w:rsidR="007C3215">
              <w:noBreakHyphen/>
            </w:r>
            <w:r w:rsidRPr="005E3B43">
              <w:t xml:space="preserve">resistant </w:t>
            </w:r>
            <w:r w:rsidRPr="005E3B43">
              <w:rPr>
                <w:i/>
              </w:rPr>
              <w:t>Staphylococcus aureus</w:t>
            </w:r>
            <w:r w:rsidRPr="005E3B43">
              <w:t xml:space="preserve"> or vancomycin</w:t>
            </w:r>
            <w:r w:rsidR="007C3215">
              <w:noBreakHyphen/>
            </w:r>
            <w:r w:rsidRPr="005E3B43">
              <w:t xml:space="preserve">resistant </w:t>
            </w:r>
            <w:r w:rsidRPr="005E3B43">
              <w:rPr>
                <w:i/>
              </w:rPr>
              <w:t>enterococci</w:t>
            </w:r>
            <w:r w:rsidRPr="005E3B43">
              <w:t xml:space="preserve"> infection where there is history of failed therapy with the other available antibiotics, at sites in relation to bone/joint/prosthesis; or</w:t>
            </w:r>
          </w:p>
          <w:p w14:paraId="6853FED8" w14:textId="77777777" w:rsidR="00F46E83" w:rsidRPr="005E3B43" w:rsidRDefault="00F46E83" w:rsidP="00763BCF">
            <w:pPr>
              <w:pStyle w:val="Tabletext"/>
            </w:pPr>
            <w:r w:rsidRPr="005E3B43">
              <w:t xml:space="preserve">treatment of refractory or resistant </w:t>
            </w:r>
            <w:r w:rsidRPr="005E3B43">
              <w:rPr>
                <w:i/>
              </w:rPr>
              <w:t>mycoplasma</w:t>
            </w:r>
            <w:r w:rsidRPr="005E3B43">
              <w:t xml:space="preserve"> </w:t>
            </w:r>
            <w:r w:rsidRPr="005E3B43">
              <w:rPr>
                <w:i/>
              </w:rPr>
              <w:t>genitalium</w:t>
            </w:r>
            <w:r w:rsidRPr="005E3B43">
              <w:t xml:space="preserve"> infections; or</w:t>
            </w:r>
          </w:p>
          <w:p w14:paraId="7964A172" w14:textId="77777777" w:rsidR="00F46E83" w:rsidRPr="005E3B43" w:rsidRDefault="00F46E83" w:rsidP="00763BCF">
            <w:pPr>
              <w:pStyle w:val="Tabletext"/>
            </w:pPr>
            <w:r w:rsidRPr="005E3B43">
              <w:t>treatment of other infections as prescribed by an infectious disease specialist</w:t>
            </w:r>
          </w:p>
        </w:tc>
      </w:tr>
      <w:tr w:rsidR="00F46E83" w:rsidRPr="005E3B43" w14:paraId="6CC6FABA" w14:textId="77777777" w:rsidTr="004F6606">
        <w:trPr>
          <w:trHeight w:val="20"/>
        </w:trPr>
        <w:tc>
          <w:tcPr>
            <w:tcW w:w="645" w:type="pct"/>
            <w:tcBorders>
              <w:top w:val="single" w:sz="2" w:space="0" w:color="auto"/>
              <w:bottom w:val="single" w:sz="2" w:space="0" w:color="auto"/>
            </w:tcBorders>
          </w:tcPr>
          <w:p w14:paraId="25ED0AB3" w14:textId="77777777" w:rsidR="00F46E83" w:rsidRPr="005E3B43" w:rsidRDefault="00F46E83" w:rsidP="00763BCF">
            <w:pPr>
              <w:pStyle w:val="Tabletext"/>
            </w:pPr>
            <w:r w:rsidRPr="005E3B43">
              <w:t>63A</w:t>
            </w:r>
          </w:p>
        </w:tc>
        <w:tc>
          <w:tcPr>
            <w:tcW w:w="1246" w:type="pct"/>
            <w:tcBorders>
              <w:top w:val="single" w:sz="2" w:space="0" w:color="auto"/>
              <w:bottom w:val="single" w:sz="2" w:space="0" w:color="auto"/>
            </w:tcBorders>
            <w:shd w:val="clear" w:color="auto" w:fill="auto"/>
          </w:tcPr>
          <w:p w14:paraId="11C03A1D" w14:textId="77777777" w:rsidR="00F46E83" w:rsidRPr="005E3B43" w:rsidRDefault="00F46E83" w:rsidP="00763BCF">
            <w:pPr>
              <w:pStyle w:val="Tabletext"/>
            </w:pPr>
            <w:r w:rsidRPr="005E3B43">
              <w:t>progesterone</w:t>
            </w:r>
          </w:p>
        </w:tc>
        <w:tc>
          <w:tcPr>
            <w:tcW w:w="752" w:type="pct"/>
            <w:tcBorders>
              <w:top w:val="single" w:sz="2" w:space="0" w:color="auto"/>
              <w:bottom w:val="single" w:sz="2" w:space="0" w:color="auto"/>
            </w:tcBorders>
            <w:shd w:val="clear" w:color="auto" w:fill="auto"/>
          </w:tcPr>
          <w:p w14:paraId="16823025" w14:textId="77777777" w:rsidR="00F46E83" w:rsidRPr="005E3B43" w:rsidRDefault="00F46E83" w:rsidP="00763BCF">
            <w:pPr>
              <w:pStyle w:val="Tabletext"/>
            </w:pPr>
            <w:r w:rsidRPr="005E3B43">
              <w:t>injection</w:t>
            </w:r>
          </w:p>
        </w:tc>
        <w:tc>
          <w:tcPr>
            <w:tcW w:w="910" w:type="pct"/>
            <w:tcBorders>
              <w:top w:val="single" w:sz="2" w:space="0" w:color="auto"/>
              <w:bottom w:val="single" w:sz="2" w:space="0" w:color="auto"/>
            </w:tcBorders>
            <w:shd w:val="clear" w:color="auto" w:fill="auto"/>
          </w:tcPr>
          <w:p w14:paraId="1B7DCB78" w14:textId="77777777" w:rsidR="00F46E83" w:rsidRPr="005E3B43" w:rsidRDefault="00F46E83" w:rsidP="00763BCF">
            <w:pPr>
              <w:pStyle w:val="Tabletext"/>
            </w:pPr>
            <w:r w:rsidRPr="005E3B43">
              <w:t>subcutaneous</w:t>
            </w:r>
          </w:p>
        </w:tc>
        <w:tc>
          <w:tcPr>
            <w:tcW w:w="1447" w:type="pct"/>
            <w:tcBorders>
              <w:top w:val="single" w:sz="2" w:space="0" w:color="auto"/>
              <w:bottom w:val="single" w:sz="2" w:space="0" w:color="auto"/>
            </w:tcBorders>
            <w:shd w:val="clear" w:color="auto" w:fill="auto"/>
          </w:tcPr>
          <w:p w14:paraId="43F36DC5" w14:textId="77777777" w:rsidR="00F46E83" w:rsidRPr="005E3B43" w:rsidRDefault="00F46E83" w:rsidP="00763BCF">
            <w:pPr>
              <w:pStyle w:val="Tabletext"/>
            </w:pPr>
            <w:r w:rsidRPr="005E3B43">
              <w:t>treatment of progesterone deficiency</w:t>
            </w:r>
          </w:p>
        </w:tc>
      </w:tr>
      <w:tr w:rsidR="00F46E83" w:rsidRPr="005E3B43" w14:paraId="5144C66E" w14:textId="77777777" w:rsidTr="004F6606">
        <w:trPr>
          <w:trHeight w:val="20"/>
        </w:trPr>
        <w:tc>
          <w:tcPr>
            <w:tcW w:w="645" w:type="pct"/>
            <w:tcBorders>
              <w:top w:val="single" w:sz="2" w:space="0" w:color="auto"/>
              <w:bottom w:val="single" w:sz="2" w:space="0" w:color="auto"/>
            </w:tcBorders>
          </w:tcPr>
          <w:p w14:paraId="288D9B72" w14:textId="77777777" w:rsidR="00F46E83" w:rsidRPr="005E3B43" w:rsidRDefault="00F46E83" w:rsidP="00763BCF">
            <w:pPr>
              <w:pStyle w:val="Tabletext"/>
            </w:pPr>
            <w:r w:rsidRPr="005E3B43">
              <w:t>63B</w:t>
            </w:r>
          </w:p>
        </w:tc>
        <w:tc>
          <w:tcPr>
            <w:tcW w:w="1246" w:type="pct"/>
            <w:tcBorders>
              <w:top w:val="single" w:sz="2" w:space="0" w:color="auto"/>
              <w:bottom w:val="single" w:sz="2" w:space="0" w:color="auto"/>
            </w:tcBorders>
            <w:shd w:val="clear" w:color="auto" w:fill="auto"/>
          </w:tcPr>
          <w:p w14:paraId="5B913137" w14:textId="77777777" w:rsidR="00F46E83" w:rsidRPr="005E3B43" w:rsidRDefault="00F46E83" w:rsidP="00763BCF">
            <w:pPr>
              <w:pStyle w:val="Tabletext"/>
            </w:pPr>
            <w:r w:rsidRPr="005E3B43">
              <w:t>progesterone in oil</w:t>
            </w:r>
          </w:p>
        </w:tc>
        <w:tc>
          <w:tcPr>
            <w:tcW w:w="752" w:type="pct"/>
            <w:tcBorders>
              <w:top w:val="single" w:sz="2" w:space="0" w:color="auto"/>
              <w:bottom w:val="single" w:sz="2" w:space="0" w:color="auto"/>
            </w:tcBorders>
            <w:shd w:val="clear" w:color="auto" w:fill="auto"/>
          </w:tcPr>
          <w:p w14:paraId="6C19EBC9" w14:textId="77777777" w:rsidR="00F46E83" w:rsidRPr="005E3B43" w:rsidRDefault="00F46E83" w:rsidP="00763BCF">
            <w:pPr>
              <w:pStyle w:val="Tabletext"/>
            </w:pPr>
            <w:r w:rsidRPr="005E3B43">
              <w:t>injection</w:t>
            </w:r>
          </w:p>
        </w:tc>
        <w:tc>
          <w:tcPr>
            <w:tcW w:w="910" w:type="pct"/>
            <w:tcBorders>
              <w:top w:val="single" w:sz="2" w:space="0" w:color="auto"/>
              <w:bottom w:val="single" w:sz="2" w:space="0" w:color="auto"/>
            </w:tcBorders>
            <w:shd w:val="clear" w:color="auto" w:fill="auto"/>
          </w:tcPr>
          <w:p w14:paraId="397771EF" w14:textId="77777777" w:rsidR="00F46E83" w:rsidRPr="005E3B43" w:rsidRDefault="00F46E83" w:rsidP="00763BCF">
            <w:pPr>
              <w:pStyle w:val="Tabletext"/>
            </w:pPr>
            <w:r w:rsidRPr="005E3B43">
              <w:t>intramuscular</w:t>
            </w:r>
          </w:p>
        </w:tc>
        <w:tc>
          <w:tcPr>
            <w:tcW w:w="1447" w:type="pct"/>
            <w:tcBorders>
              <w:top w:val="single" w:sz="2" w:space="0" w:color="auto"/>
              <w:bottom w:val="single" w:sz="2" w:space="0" w:color="auto"/>
            </w:tcBorders>
            <w:shd w:val="clear" w:color="auto" w:fill="auto"/>
          </w:tcPr>
          <w:p w14:paraId="365AB7AA" w14:textId="77777777" w:rsidR="00F46E83" w:rsidRPr="005E3B43" w:rsidRDefault="00F46E83" w:rsidP="00763BCF">
            <w:pPr>
              <w:pStyle w:val="Tabletext"/>
            </w:pPr>
            <w:r w:rsidRPr="005E3B43">
              <w:t>treatment of progesterone deficiency</w:t>
            </w:r>
          </w:p>
        </w:tc>
      </w:tr>
      <w:tr w:rsidR="00F46E83" w:rsidRPr="005E3B43" w14:paraId="5D0EB45A" w14:textId="77777777" w:rsidTr="004F6606">
        <w:trPr>
          <w:trHeight w:val="20"/>
        </w:trPr>
        <w:tc>
          <w:tcPr>
            <w:tcW w:w="645" w:type="pct"/>
            <w:tcBorders>
              <w:top w:val="single" w:sz="2" w:space="0" w:color="auto"/>
              <w:bottom w:val="single" w:sz="2" w:space="0" w:color="auto"/>
            </w:tcBorders>
          </w:tcPr>
          <w:p w14:paraId="567D4359" w14:textId="77777777" w:rsidR="00F46E83" w:rsidRPr="005E3B43" w:rsidRDefault="00F46E83" w:rsidP="00763BCF">
            <w:pPr>
              <w:pStyle w:val="Tabletext"/>
            </w:pPr>
            <w:r w:rsidRPr="005E3B43">
              <w:t>64</w:t>
            </w:r>
          </w:p>
        </w:tc>
        <w:tc>
          <w:tcPr>
            <w:tcW w:w="1246" w:type="pct"/>
            <w:tcBorders>
              <w:top w:val="single" w:sz="2" w:space="0" w:color="auto"/>
              <w:bottom w:val="single" w:sz="2" w:space="0" w:color="auto"/>
            </w:tcBorders>
            <w:shd w:val="clear" w:color="auto" w:fill="auto"/>
          </w:tcPr>
          <w:p w14:paraId="1E8DA1EC" w14:textId="77777777" w:rsidR="00F46E83" w:rsidRPr="005E3B43" w:rsidRDefault="00F46E83" w:rsidP="00763BCF">
            <w:pPr>
              <w:pStyle w:val="Tabletext"/>
            </w:pPr>
            <w:r w:rsidRPr="005E3B43">
              <w:t>pyrazinamide</w:t>
            </w:r>
          </w:p>
        </w:tc>
        <w:tc>
          <w:tcPr>
            <w:tcW w:w="752" w:type="pct"/>
            <w:tcBorders>
              <w:top w:val="single" w:sz="2" w:space="0" w:color="auto"/>
              <w:bottom w:val="single" w:sz="2" w:space="0" w:color="auto"/>
            </w:tcBorders>
            <w:shd w:val="clear" w:color="auto" w:fill="auto"/>
          </w:tcPr>
          <w:p w14:paraId="3A89A67D" w14:textId="77777777" w:rsidR="00F46E83" w:rsidRPr="005E3B43" w:rsidRDefault="00F46E83" w:rsidP="00763BCF">
            <w:pPr>
              <w:pStyle w:val="Tabletext"/>
            </w:pPr>
            <w:r w:rsidRPr="005E3B43">
              <w:t>tablet</w:t>
            </w:r>
          </w:p>
        </w:tc>
        <w:tc>
          <w:tcPr>
            <w:tcW w:w="910" w:type="pct"/>
            <w:tcBorders>
              <w:top w:val="single" w:sz="2" w:space="0" w:color="auto"/>
              <w:bottom w:val="single" w:sz="2" w:space="0" w:color="auto"/>
            </w:tcBorders>
            <w:shd w:val="clear" w:color="auto" w:fill="auto"/>
          </w:tcPr>
          <w:p w14:paraId="4DC4D563" w14:textId="77777777"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14:paraId="133B17DA" w14:textId="77777777" w:rsidR="00F46E83" w:rsidRPr="005E3B43" w:rsidRDefault="00F46E83" w:rsidP="00763BCF">
            <w:pPr>
              <w:pStyle w:val="Tabletext"/>
            </w:pPr>
            <w:r w:rsidRPr="005E3B43">
              <w:t>treatment of tuberculosis</w:t>
            </w:r>
          </w:p>
        </w:tc>
      </w:tr>
      <w:tr w:rsidR="00F46E83" w:rsidRPr="005E3B43" w14:paraId="1CB99F14" w14:textId="77777777" w:rsidTr="004F6606">
        <w:trPr>
          <w:trHeight w:val="20"/>
        </w:trPr>
        <w:tc>
          <w:tcPr>
            <w:tcW w:w="645" w:type="pct"/>
            <w:tcBorders>
              <w:top w:val="single" w:sz="2" w:space="0" w:color="auto"/>
              <w:bottom w:val="single" w:sz="2" w:space="0" w:color="auto"/>
            </w:tcBorders>
          </w:tcPr>
          <w:p w14:paraId="1829B657" w14:textId="77777777" w:rsidR="00F46E83" w:rsidRPr="005E3B43" w:rsidRDefault="00F46E83" w:rsidP="00763BCF">
            <w:pPr>
              <w:pStyle w:val="Tabletext"/>
            </w:pPr>
            <w:r w:rsidRPr="005E3B43">
              <w:t>65</w:t>
            </w:r>
          </w:p>
        </w:tc>
        <w:tc>
          <w:tcPr>
            <w:tcW w:w="1246" w:type="pct"/>
            <w:tcBorders>
              <w:top w:val="single" w:sz="2" w:space="0" w:color="auto"/>
              <w:bottom w:val="single" w:sz="2" w:space="0" w:color="auto"/>
            </w:tcBorders>
            <w:shd w:val="clear" w:color="auto" w:fill="auto"/>
          </w:tcPr>
          <w:p w14:paraId="1344F2B0" w14:textId="77777777" w:rsidR="00F46E83" w:rsidRPr="005E3B43" w:rsidRDefault="00F46E83" w:rsidP="00763BCF">
            <w:pPr>
              <w:pStyle w:val="Tabletext"/>
            </w:pPr>
            <w:r w:rsidRPr="005E3B43">
              <w:t>riboflavin, 0.1% in 20% dextran</w:t>
            </w:r>
          </w:p>
        </w:tc>
        <w:tc>
          <w:tcPr>
            <w:tcW w:w="752" w:type="pct"/>
            <w:tcBorders>
              <w:top w:val="single" w:sz="2" w:space="0" w:color="auto"/>
              <w:bottom w:val="single" w:sz="2" w:space="0" w:color="auto"/>
            </w:tcBorders>
            <w:shd w:val="clear" w:color="auto" w:fill="auto"/>
          </w:tcPr>
          <w:p w14:paraId="571EFD90" w14:textId="77777777" w:rsidR="00F46E83" w:rsidRPr="005E3B43" w:rsidRDefault="00F46E83" w:rsidP="00763BCF">
            <w:pPr>
              <w:pStyle w:val="Tabletext"/>
            </w:pPr>
            <w:r w:rsidRPr="005E3B43">
              <w:t>eye drops</w:t>
            </w:r>
          </w:p>
        </w:tc>
        <w:tc>
          <w:tcPr>
            <w:tcW w:w="910" w:type="pct"/>
            <w:tcBorders>
              <w:top w:val="single" w:sz="2" w:space="0" w:color="auto"/>
              <w:bottom w:val="single" w:sz="2" w:space="0" w:color="auto"/>
            </w:tcBorders>
            <w:shd w:val="clear" w:color="auto" w:fill="auto"/>
          </w:tcPr>
          <w:p w14:paraId="5AF25CEB" w14:textId="77777777" w:rsidR="00F46E83" w:rsidRPr="005E3B43" w:rsidRDefault="00F46E83" w:rsidP="00763BCF">
            <w:pPr>
              <w:pStyle w:val="Tabletext"/>
            </w:pPr>
            <w:r w:rsidRPr="005E3B43">
              <w:t>ophthalmic</w:t>
            </w:r>
          </w:p>
        </w:tc>
        <w:tc>
          <w:tcPr>
            <w:tcW w:w="1447" w:type="pct"/>
            <w:tcBorders>
              <w:top w:val="single" w:sz="2" w:space="0" w:color="auto"/>
              <w:bottom w:val="single" w:sz="2" w:space="0" w:color="auto"/>
            </w:tcBorders>
            <w:shd w:val="clear" w:color="auto" w:fill="auto"/>
          </w:tcPr>
          <w:p w14:paraId="1EE39AE2" w14:textId="77777777" w:rsidR="00F46E83" w:rsidRPr="005E3B43" w:rsidRDefault="00F46E83" w:rsidP="00763BCF">
            <w:pPr>
              <w:pStyle w:val="Tabletext"/>
            </w:pPr>
            <w:r w:rsidRPr="005E3B43">
              <w:t>intraoperative use in corneal collagen crosslinking (CXL) procedures for the treatment of progressive keratoconus</w:t>
            </w:r>
          </w:p>
        </w:tc>
      </w:tr>
      <w:tr w:rsidR="00F46E83" w:rsidRPr="005E3B43" w14:paraId="61C5E425" w14:textId="77777777" w:rsidTr="004F6606">
        <w:trPr>
          <w:trHeight w:val="20"/>
        </w:trPr>
        <w:tc>
          <w:tcPr>
            <w:tcW w:w="645" w:type="pct"/>
            <w:tcBorders>
              <w:top w:val="single" w:sz="2" w:space="0" w:color="auto"/>
              <w:bottom w:val="single" w:sz="2" w:space="0" w:color="auto"/>
            </w:tcBorders>
          </w:tcPr>
          <w:p w14:paraId="181886FA" w14:textId="77777777" w:rsidR="00F46E83" w:rsidRPr="005E3B43" w:rsidRDefault="00F46E83" w:rsidP="00763BCF">
            <w:pPr>
              <w:pStyle w:val="Tabletext"/>
            </w:pPr>
            <w:r w:rsidRPr="005E3B43">
              <w:t>66</w:t>
            </w:r>
          </w:p>
        </w:tc>
        <w:tc>
          <w:tcPr>
            <w:tcW w:w="1246" w:type="pct"/>
            <w:tcBorders>
              <w:top w:val="single" w:sz="2" w:space="0" w:color="auto"/>
              <w:bottom w:val="single" w:sz="2" w:space="0" w:color="auto"/>
            </w:tcBorders>
            <w:shd w:val="clear" w:color="auto" w:fill="auto"/>
          </w:tcPr>
          <w:p w14:paraId="7FFEEDF2" w14:textId="77777777" w:rsidR="00F46E83" w:rsidRPr="005E3B43" w:rsidRDefault="00F46E83" w:rsidP="00763BCF">
            <w:pPr>
              <w:pStyle w:val="Tabletext"/>
            </w:pPr>
            <w:r w:rsidRPr="005E3B43">
              <w:t>riboflavin, 0.1% in 1.1% hydroxylpropyl methylcellulose (HPMC)</w:t>
            </w:r>
          </w:p>
        </w:tc>
        <w:tc>
          <w:tcPr>
            <w:tcW w:w="752" w:type="pct"/>
            <w:tcBorders>
              <w:top w:val="single" w:sz="2" w:space="0" w:color="auto"/>
              <w:bottom w:val="single" w:sz="2" w:space="0" w:color="auto"/>
            </w:tcBorders>
            <w:shd w:val="clear" w:color="auto" w:fill="auto"/>
          </w:tcPr>
          <w:p w14:paraId="71FB67E7" w14:textId="77777777" w:rsidR="00F46E83" w:rsidRPr="005E3B43" w:rsidRDefault="00F46E83" w:rsidP="00763BCF">
            <w:pPr>
              <w:pStyle w:val="Tabletext"/>
            </w:pPr>
            <w:r w:rsidRPr="005E3B43">
              <w:t>eye drops</w:t>
            </w:r>
          </w:p>
        </w:tc>
        <w:tc>
          <w:tcPr>
            <w:tcW w:w="910" w:type="pct"/>
            <w:tcBorders>
              <w:top w:val="single" w:sz="2" w:space="0" w:color="auto"/>
              <w:bottom w:val="single" w:sz="2" w:space="0" w:color="auto"/>
            </w:tcBorders>
            <w:shd w:val="clear" w:color="auto" w:fill="auto"/>
          </w:tcPr>
          <w:p w14:paraId="54CE0705" w14:textId="77777777" w:rsidR="00F46E83" w:rsidRPr="005E3B43" w:rsidRDefault="00F46E83" w:rsidP="00763BCF">
            <w:pPr>
              <w:pStyle w:val="Tabletext"/>
            </w:pPr>
            <w:r w:rsidRPr="005E3B43">
              <w:t>ophthalmic</w:t>
            </w:r>
          </w:p>
        </w:tc>
        <w:tc>
          <w:tcPr>
            <w:tcW w:w="1447" w:type="pct"/>
            <w:tcBorders>
              <w:top w:val="single" w:sz="2" w:space="0" w:color="auto"/>
              <w:bottom w:val="single" w:sz="2" w:space="0" w:color="auto"/>
            </w:tcBorders>
            <w:shd w:val="clear" w:color="auto" w:fill="auto"/>
          </w:tcPr>
          <w:p w14:paraId="7EF03FA0" w14:textId="77777777" w:rsidR="00F46E83" w:rsidRPr="005E3B43" w:rsidRDefault="00F46E83" w:rsidP="00763BCF">
            <w:pPr>
              <w:pStyle w:val="Tabletext"/>
            </w:pPr>
            <w:r w:rsidRPr="005E3B43">
              <w:t>intraoperative use in corneal collagen crosslinking (CXL) procedures for the treatment of progressive keratoconus</w:t>
            </w:r>
          </w:p>
        </w:tc>
      </w:tr>
      <w:tr w:rsidR="00F46E83" w:rsidRPr="005E3B43" w14:paraId="406359B9" w14:textId="77777777" w:rsidTr="004F6606">
        <w:trPr>
          <w:trHeight w:val="20"/>
        </w:trPr>
        <w:tc>
          <w:tcPr>
            <w:tcW w:w="645" w:type="pct"/>
            <w:tcBorders>
              <w:top w:val="single" w:sz="2" w:space="0" w:color="auto"/>
              <w:bottom w:val="single" w:sz="2" w:space="0" w:color="auto"/>
            </w:tcBorders>
          </w:tcPr>
          <w:p w14:paraId="7FCE4591" w14:textId="77777777" w:rsidR="00F46E83" w:rsidRPr="005E3B43" w:rsidRDefault="00F46E83" w:rsidP="00763BCF">
            <w:pPr>
              <w:pStyle w:val="Tabletext"/>
            </w:pPr>
            <w:r w:rsidRPr="005E3B43">
              <w:t>67</w:t>
            </w:r>
          </w:p>
        </w:tc>
        <w:tc>
          <w:tcPr>
            <w:tcW w:w="1246" w:type="pct"/>
            <w:tcBorders>
              <w:top w:val="single" w:sz="2" w:space="0" w:color="auto"/>
              <w:bottom w:val="single" w:sz="2" w:space="0" w:color="auto"/>
            </w:tcBorders>
            <w:shd w:val="clear" w:color="auto" w:fill="auto"/>
          </w:tcPr>
          <w:p w14:paraId="274FBB9F" w14:textId="77777777" w:rsidR="00F46E83" w:rsidRPr="005E3B43" w:rsidRDefault="00F46E83" w:rsidP="00763BCF">
            <w:pPr>
              <w:pStyle w:val="Tabletext"/>
            </w:pPr>
            <w:r w:rsidRPr="005E3B43">
              <w:t xml:space="preserve">riboflavin, 0.1% in sodium chloride </w:t>
            </w:r>
          </w:p>
        </w:tc>
        <w:tc>
          <w:tcPr>
            <w:tcW w:w="752" w:type="pct"/>
            <w:tcBorders>
              <w:top w:val="single" w:sz="2" w:space="0" w:color="auto"/>
              <w:bottom w:val="single" w:sz="2" w:space="0" w:color="auto"/>
            </w:tcBorders>
            <w:shd w:val="clear" w:color="auto" w:fill="auto"/>
          </w:tcPr>
          <w:p w14:paraId="38DD84A0" w14:textId="77777777" w:rsidR="00F46E83" w:rsidRPr="005E3B43" w:rsidRDefault="00F46E83" w:rsidP="00763BCF">
            <w:pPr>
              <w:pStyle w:val="Tabletext"/>
            </w:pPr>
            <w:r w:rsidRPr="005E3B43">
              <w:t>eye drops</w:t>
            </w:r>
          </w:p>
        </w:tc>
        <w:tc>
          <w:tcPr>
            <w:tcW w:w="910" w:type="pct"/>
            <w:tcBorders>
              <w:top w:val="single" w:sz="2" w:space="0" w:color="auto"/>
              <w:bottom w:val="single" w:sz="2" w:space="0" w:color="auto"/>
            </w:tcBorders>
            <w:shd w:val="clear" w:color="auto" w:fill="auto"/>
          </w:tcPr>
          <w:p w14:paraId="2535BB01" w14:textId="77777777" w:rsidR="00F46E83" w:rsidRPr="005E3B43" w:rsidRDefault="00F46E83" w:rsidP="00763BCF">
            <w:pPr>
              <w:pStyle w:val="Tabletext"/>
            </w:pPr>
            <w:r w:rsidRPr="005E3B43">
              <w:t>ophthalmic</w:t>
            </w:r>
          </w:p>
        </w:tc>
        <w:tc>
          <w:tcPr>
            <w:tcW w:w="1447" w:type="pct"/>
            <w:tcBorders>
              <w:top w:val="single" w:sz="2" w:space="0" w:color="auto"/>
              <w:bottom w:val="single" w:sz="2" w:space="0" w:color="auto"/>
            </w:tcBorders>
            <w:shd w:val="clear" w:color="auto" w:fill="auto"/>
          </w:tcPr>
          <w:p w14:paraId="1953D6C7" w14:textId="77777777" w:rsidR="00F46E83" w:rsidRPr="005E3B43" w:rsidRDefault="00F46E83" w:rsidP="00763BCF">
            <w:pPr>
              <w:pStyle w:val="Tabletext"/>
            </w:pPr>
            <w:r w:rsidRPr="005E3B43">
              <w:t xml:space="preserve">intraoperative use in corneal collagen crosslinking (CXL) procedures for the </w:t>
            </w:r>
            <w:r w:rsidRPr="005E3B43">
              <w:lastRenderedPageBreak/>
              <w:t>treatment of progressive keratoconus</w:t>
            </w:r>
          </w:p>
        </w:tc>
      </w:tr>
      <w:tr w:rsidR="00F46E83" w:rsidRPr="005E3B43" w14:paraId="2CADBABC" w14:textId="77777777" w:rsidTr="004F6606">
        <w:trPr>
          <w:trHeight w:val="20"/>
        </w:trPr>
        <w:tc>
          <w:tcPr>
            <w:tcW w:w="645" w:type="pct"/>
            <w:tcBorders>
              <w:top w:val="single" w:sz="2" w:space="0" w:color="auto"/>
              <w:bottom w:val="single" w:sz="2" w:space="0" w:color="auto"/>
            </w:tcBorders>
          </w:tcPr>
          <w:p w14:paraId="3E75E859" w14:textId="77777777" w:rsidR="00F46E83" w:rsidRPr="005E3B43" w:rsidRDefault="00F46E83" w:rsidP="00301C33">
            <w:pPr>
              <w:pStyle w:val="Tabletext"/>
              <w:keepNext/>
              <w:keepLines/>
            </w:pPr>
            <w:r w:rsidRPr="005E3B43">
              <w:lastRenderedPageBreak/>
              <w:t>68</w:t>
            </w:r>
          </w:p>
        </w:tc>
        <w:tc>
          <w:tcPr>
            <w:tcW w:w="1246" w:type="pct"/>
            <w:tcBorders>
              <w:top w:val="single" w:sz="2" w:space="0" w:color="auto"/>
              <w:bottom w:val="single" w:sz="2" w:space="0" w:color="auto"/>
            </w:tcBorders>
            <w:shd w:val="clear" w:color="auto" w:fill="auto"/>
          </w:tcPr>
          <w:p w14:paraId="4C5F6583" w14:textId="77777777" w:rsidR="00F46E83" w:rsidRPr="005E3B43" w:rsidRDefault="00F46E83" w:rsidP="00301C33">
            <w:pPr>
              <w:pStyle w:val="Tabletext"/>
              <w:keepNext/>
              <w:keepLines/>
            </w:pPr>
            <w:r w:rsidRPr="005E3B43">
              <w:t>riboflavin, 0.22% in sodium chloride</w:t>
            </w:r>
          </w:p>
        </w:tc>
        <w:tc>
          <w:tcPr>
            <w:tcW w:w="752" w:type="pct"/>
            <w:tcBorders>
              <w:top w:val="single" w:sz="2" w:space="0" w:color="auto"/>
              <w:bottom w:val="single" w:sz="2" w:space="0" w:color="auto"/>
            </w:tcBorders>
            <w:shd w:val="clear" w:color="auto" w:fill="auto"/>
          </w:tcPr>
          <w:p w14:paraId="02C641DD" w14:textId="77777777" w:rsidR="00F46E83" w:rsidRPr="005E3B43" w:rsidRDefault="00F46E83" w:rsidP="00301C33">
            <w:pPr>
              <w:pStyle w:val="Tabletext"/>
              <w:keepNext/>
              <w:keepLines/>
            </w:pPr>
            <w:r w:rsidRPr="005E3B43">
              <w:t>eye drops</w:t>
            </w:r>
          </w:p>
        </w:tc>
        <w:tc>
          <w:tcPr>
            <w:tcW w:w="910" w:type="pct"/>
            <w:tcBorders>
              <w:top w:val="single" w:sz="2" w:space="0" w:color="auto"/>
              <w:bottom w:val="single" w:sz="2" w:space="0" w:color="auto"/>
            </w:tcBorders>
            <w:shd w:val="clear" w:color="auto" w:fill="auto"/>
          </w:tcPr>
          <w:p w14:paraId="0AD964A6" w14:textId="77777777" w:rsidR="00F46E83" w:rsidRPr="005E3B43" w:rsidRDefault="00F46E83" w:rsidP="00301C33">
            <w:pPr>
              <w:pStyle w:val="Tabletext"/>
              <w:keepNext/>
              <w:keepLines/>
            </w:pPr>
            <w:r w:rsidRPr="005E3B43">
              <w:t>ophthalmic</w:t>
            </w:r>
          </w:p>
        </w:tc>
        <w:tc>
          <w:tcPr>
            <w:tcW w:w="1447" w:type="pct"/>
            <w:tcBorders>
              <w:top w:val="single" w:sz="2" w:space="0" w:color="auto"/>
              <w:bottom w:val="single" w:sz="2" w:space="0" w:color="auto"/>
            </w:tcBorders>
            <w:shd w:val="clear" w:color="auto" w:fill="auto"/>
          </w:tcPr>
          <w:p w14:paraId="50F6F1F9" w14:textId="77777777" w:rsidR="00F46E83" w:rsidRPr="005E3B43" w:rsidRDefault="00F46E83" w:rsidP="00301C33">
            <w:pPr>
              <w:pStyle w:val="Tabletext"/>
              <w:keepNext/>
              <w:keepLines/>
            </w:pPr>
            <w:r w:rsidRPr="005E3B43">
              <w:t>intraoperative use in corneal collagen crosslinking (CXL) procedures for the treatment of progressive keratoconus</w:t>
            </w:r>
          </w:p>
        </w:tc>
      </w:tr>
      <w:tr w:rsidR="00F46E83" w:rsidRPr="005E3B43" w14:paraId="4B6544AA" w14:textId="77777777" w:rsidTr="004F6606">
        <w:trPr>
          <w:trHeight w:val="20"/>
        </w:trPr>
        <w:tc>
          <w:tcPr>
            <w:tcW w:w="645" w:type="pct"/>
            <w:tcBorders>
              <w:top w:val="single" w:sz="2" w:space="0" w:color="auto"/>
              <w:bottom w:val="single" w:sz="2" w:space="0" w:color="auto"/>
            </w:tcBorders>
          </w:tcPr>
          <w:p w14:paraId="1FE18E53" w14:textId="77777777" w:rsidR="00F46E83" w:rsidRPr="005E3B43" w:rsidRDefault="00F46E83" w:rsidP="00763BCF">
            <w:pPr>
              <w:pStyle w:val="Tabletext"/>
            </w:pPr>
            <w:r w:rsidRPr="005E3B43">
              <w:t>69</w:t>
            </w:r>
          </w:p>
        </w:tc>
        <w:tc>
          <w:tcPr>
            <w:tcW w:w="1246" w:type="pct"/>
            <w:tcBorders>
              <w:top w:val="single" w:sz="2" w:space="0" w:color="auto"/>
              <w:bottom w:val="single" w:sz="2" w:space="0" w:color="auto"/>
            </w:tcBorders>
            <w:shd w:val="clear" w:color="auto" w:fill="auto"/>
          </w:tcPr>
          <w:p w14:paraId="2B1DB954" w14:textId="77777777" w:rsidR="00F46E83" w:rsidRPr="005E3B43" w:rsidRDefault="00F46E83" w:rsidP="00763BCF">
            <w:pPr>
              <w:pStyle w:val="Tabletext"/>
            </w:pPr>
            <w:r w:rsidRPr="005E3B43">
              <w:t>ripasudil 0.4%</w:t>
            </w:r>
          </w:p>
        </w:tc>
        <w:tc>
          <w:tcPr>
            <w:tcW w:w="752" w:type="pct"/>
            <w:tcBorders>
              <w:top w:val="single" w:sz="2" w:space="0" w:color="auto"/>
              <w:bottom w:val="single" w:sz="2" w:space="0" w:color="auto"/>
            </w:tcBorders>
            <w:shd w:val="clear" w:color="auto" w:fill="auto"/>
          </w:tcPr>
          <w:p w14:paraId="2E5BA7AE" w14:textId="77777777" w:rsidR="00F46E83" w:rsidRPr="005E3B43" w:rsidRDefault="00F46E83" w:rsidP="00763BCF">
            <w:pPr>
              <w:pStyle w:val="Tabletext"/>
            </w:pPr>
            <w:r w:rsidRPr="005E3B43">
              <w:t>eye drops</w:t>
            </w:r>
          </w:p>
        </w:tc>
        <w:tc>
          <w:tcPr>
            <w:tcW w:w="910" w:type="pct"/>
            <w:tcBorders>
              <w:top w:val="single" w:sz="2" w:space="0" w:color="auto"/>
              <w:bottom w:val="single" w:sz="2" w:space="0" w:color="auto"/>
            </w:tcBorders>
            <w:shd w:val="clear" w:color="auto" w:fill="auto"/>
          </w:tcPr>
          <w:p w14:paraId="0D3C81BA" w14:textId="77777777" w:rsidR="00F46E83" w:rsidRPr="005E3B43" w:rsidRDefault="00F46E83" w:rsidP="00763BCF">
            <w:pPr>
              <w:pStyle w:val="Tabletext"/>
            </w:pPr>
            <w:r w:rsidRPr="005E3B43">
              <w:t>ophthalmic</w:t>
            </w:r>
          </w:p>
        </w:tc>
        <w:tc>
          <w:tcPr>
            <w:tcW w:w="1447" w:type="pct"/>
            <w:tcBorders>
              <w:top w:val="single" w:sz="2" w:space="0" w:color="auto"/>
              <w:bottom w:val="single" w:sz="2" w:space="0" w:color="auto"/>
            </w:tcBorders>
            <w:shd w:val="clear" w:color="auto" w:fill="auto"/>
          </w:tcPr>
          <w:p w14:paraId="654962EF" w14:textId="77777777" w:rsidR="00F46E83" w:rsidRPr="005E3B43" w:rsidRDefault="00F46E83" w:rsidP="00763BCF">
            <w:pPr>
              <w:pStyle w:val="Tabletext"/>
            </w:pPr>
            <w:r w:rsidRPr="005E3B43">
              <w:t xml:space="preserve">treatment of refractory corneal oedema or refractory glaucoma </w:t>
            </w:r>
          </w:p>
        </w:tc>
      </w:tr>
      <w:tr w:rsidR="00F46E83" w:rsidRPr="005E3B43" w14:paraId="74D5BCB7" w14:textId="77777777" w:rsidTr="004F6606">
        <w:trPr>
          <w:trHeight w:val="20"/>
        </w:trPr>
        <w:tc>
          <w:tcPr>
            <w:tcW w:w="645" w:type="pct"/>
            <w:tcBorders>
              <w:top w:val="single" w:sz="2" w:space="0" w:color="auto"/>
              <w:bottom w:val="single" w:sz="2" w:space="0" w:color="auto"/>
            </w:tcBorders>
          </w:tcPr>
          <w:p w14:paraId="0707FF6F" w14:textId="77777777" w:rsidR="00F46E83" w:rsidRPr="005E3B43" w:rsidRDefault="00F46E83" w:rsidP="00763BCF">
            <w:pPr>
              <w:pStyle w:val="Tabletext"/>
            </w:pPr>
            <w:r w:rsidRPr="005E3B43">
              <w:t>70</w:t>
            </w:r>
          </w:p>
        </w:tc>
        <w:tc>
          <w:tcPr>
            <w:tcW w:w="1246" w:type="pct"/>
            <w:tcBorders>
              <w:top w:val="single" w:sz="2" w:space="0" w:color="auto"/>
              <w:bottom w:val="single" w:sz="2" w:space="0" w:color="auto"/>
            </w:tcBorders>
            <w:shd w:val="clear" w:color="auto" w:fill="auto"/>
          </w:tcPr>
          <w:p w14:paraId="58DEF859" w14:textId="77777777" w:rsidR="00F46E83" w:rsidRPr="005E3B43" w:rsidRDefault="00F46E83" w:rsidP="00763BCF">
            <w:pPr>
              <w:pStyle w:val="Tabletext"/>
            </w:pPr>
            <w:r w:rsidRPr="005E3B43">
              <w:t>sodium benzoate</w:t>
            </w:r>
          </w:p>
        </w:tc>
        <w:tc>
          <w:tcPr>
            <w:tcW w:w="752" w:type="pct"/>
            <w:tcBorders>
              <w:top w:val="single" w:sz="2" w:space="0" w:color="auto"/>
              <w:bottom w:val="single" w:sz="2" w:space="0" w:color="auto"/>
            </w:tcBorders>
            <w:shd w:val="clear" w:color="auto" w:fill="auto"/>
          </w:tcPr>
          <w:p w14:paraId="7CEA62EB" w14:textId="77777777" w:rsidR="00F46E83" w:rsidRPr="005E3B43" w:rsidRDefault="00F46E83" w:rsidP="00763BCF">
            <w:pPr>
              <w:pStyle w:val="Tabletext"/>
            </w:pPr>
            <w:r w:rsidRPr="005E3B43">
              <w:t>tablet</w:t>
            </w:r>
          </w:p>
        </w:tc>
        <w:tc>
          <w:tcPr>
            <w:tcW w:w="910" w:type="pct"/>
            <w:tcBorders>
              <w:top w:val="single" w:sz="2" w:space="0" w:color="auto"/>
              <w:bottom w:val="single" w:sz="2" w:space="0" w:color="auto"/>
            </w:tcBorders>
            <w:shd w:val="clear" w:color="auto" w:fill="auto"/>
          </w:tcPr>
          <w:p w14:paraId="46E1C37D" w14:textId="77777777"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14:paraId="5E155E76" w14:textId="77777777" w:rsidR="00F46E83" w:rsidRPr="005E3B43" w:rsidRDefault="00F46E83" w:rsidP="00763BCF">
            <w:pPr>
              <w:pStyle w:val="Tabletext"/>
            </w:pPr>
            <w:r w:rsidRPr="005E3B43">
              <w:t>treatment of urea cycle disorders</w:t>
            </w:r>
          </w:p>
        </w:tc>
      </w:tr>
      <w:tr w:rsidR="00F46E83" w:rsidRPr="005E3B43" w14:paraId="21793C1F" w14:textId="77777777" w:rsidTr="004F6606">
        <w:trPr>
          <w:trHeight w:val="20"/>
        </w:trPr>
        <w:tc>
          <w:tcPr>
            <w:tcW w:w="645" w:type="pct"/>
            <w:tcBorders>
              <w:top w:val="single" w:sz="2" w:space="0" w:color="auto"/>
              <w:bottom w:val="single" w:sz="2" w:space="0" w:color="auto"/>
            </w:tcBorders>
          </w:tcPr>
          <w:p w14:paraId="46B5AF3E" w14:textId="77777777" w:rsidR="00F46E83" w:rsidRPr="005E3B43" w:rsidRDefault="00F46E83" w:rsidP="00763BCF">
            <w:pPr>
              <w:pStyle w:val="Tabletext"/>
            </w:pPr>
            <w:r w:rsidRPr="005E3B43">
              <w:t>71</w:t>
            </w:r>
          </w:p>
        </w:tc>
        <w:tc>
          <w:tcPr>
            <w:tcW w:w="1246" w:type="pct"/>
            <w:tcBorders>
              <w:top w:val="single" w:sz="2" w:space="0" w:color="auto"/>
              <w:bottom w:val="single" w:sz="2" w:space="0" w:color="auto"/>
            </w:tcBorders>
            <w:shd w:val="clear" w:color="auto" w:fill="auto"/>
          </w:tcPr>
          <w:p w14:paraId="4310B39E" w14:textId="77777777" w:rsidR="00F46E83" w:rsidRPr="005E3B43" w:rsidRDefault="00F46E83" w:rsidP="00763BCF">
            <w:pPr>
              <w:pStyle w:val="Tabletext"/>
            </w:pPr>
            <w:r w:rsidRPr="005E3B43">
              <w:t>tacrolimus 0.03%</w:t>
            </w:r>
          </w:p>
        </w:tc>
        <w:tc>
          <w:tcPr>
            <w:tcW w:w="752" w:type="pct"/>
            <w:tcBorders>
              <w:top w:val="single" w:sz="2" w:space="0" w:color="auto"/>
              <w:bottom w:val="single" w:sz="2" w:space="0" w:color="auto"/>
            </w:tcBorders>
            <w:shd w:val="clear" w:color="auto" w:fill="auto"/>
          </w:tcPr>
          <w:p w14:paraId="72C782EC" w14:textId="77777777" w:rsidR="00F46E83" w:rsidRPr="005E3B43" w:rsidRDefault="00F46E83" w:rsidP="00763BCF">
            <w:pPr>
              <w:pStyle w:val="Tabletext"/>
            </w:pPr>
            <w:r w:rsidRPr="005E3B43">
              <w:t>ointment</w:t>
            </w:r>
          </w:p>
        </w:tc>
        <w:tc>
          <w:tcPr>
            <w:tcW w:w="910" w:type="pct"/>
            <w:tcBorders>
              <w:top w:val="single" w:sz="2" w:space="0" w:color="auto"/>
              <w:bottom w:val="single" w:sz="2" w:space="0" w:color="auto"/>
            </w:tcBorders>
            <w:shd w:val="clear" w:color="auto" w:fill="auto"/>
          </w:tcPr>
          <w:p w14:paraId="6AF67F5C" w14:textId="77777777" w:rsidR="00F46E83" w:rsidRPr="005E3B43" w:rsidRDefault="00F46E83" w:rsidP="00763BCF">
            <w:pPr>
              <w:pStyle w:val="Tabletext"/>
            </w:pPr>
            <w:r w:rsidRPr="005E3B43">
              <w:t>topical</w:t>
            </w:r>
          </w:p>
        </w:tc>
        <w:tc>
          <w:tcPr>
            <w:tcW w:w="1447" w:type="pct"/>
            <w:tcBorders>
              <w:top w:val="single" w:sz="2" w:space="0" w:color="auto"/>
              <w:bottom w:val="single" w:sz="2" w:space="0" w:color="auto"/>
            </w:tcBorders>
            <w:shd w:val="clear" w:color="auto" w:fill="auto"/>
          </w:tcPr>
          <w:p w14:paraId="0D80CE5B" w14:textId="03CDD064" w:rsidR="00F46E83" w:rsidRPr="005E3B43" w:rsidRDefault="00F46E83" w:rsidP="00763BCF">
            <w:pPr>
              <w:pStyle w:val="Tabletext"/>
            </w:pPr>
            <w:r w:rsidRPr="005E3B43">
              <w:t>treatment, or prolongation of flare</w:t>
            </w:r>
            <w:r w:rsidR="007C3215">
              <w:noBreakHyphen/>
            </w:r>
            <w:r w:rsidRPr="005E3B43">
              <w:t>free intervals, of moderate to severe atopic dermatitis/eczema in children</w:t>
            </w:r>
          </w:p>
        </w:tc>
      </w:tr>
      <w:tr w:rsidR="00F46E83" w:rsidRPr="005E3B43" w14:paraId="34E3B1A0" w14:textId="77777777" w:rsidTr="004F6606">
        <w:trPr>
          <w:trHeight w:val="20"/>
        </w:trPr>
        <w:tc>
          <w:tcPr>
            <w:tcW w:w="645" w:type="pct"/>
            <w:tcBorders>
              <w:top w:val="single" w:sz="2" w:space="0" w:color="auto"/>
              <w:bottom w:val="single" w:sz="2" w:space="0" w:color="auto"/>
            </w:tcBorders>
          </w:tcPr>
          <w:p w14:paraId="43043A8B" w14:textId="77777777" w:rsidR="00F46E83" w:rsidRPr="005E3B43" w:rsidRDefault="00F46E83" w:rsidP="00763BCF">
            <w:pPr>
              <w:pStyle w:val="Tabletext"/>
            </w:pPr>
            <w:r w:rsidRPr="005E3B43">
              <w:t>72</w:t>
            </w:r>
          </w:p>
        </w:tc>
        <w:tc>
          <w:tcPr>
            <w:tcW w:w="1246" w:type="pct"/>
            <w:tcBorders>
              <w:top w:val="single" w:sz="2" w:space="0" w:color="auto"/>
              <w:bottom w:val="single" w:sz="2" w:space="0" w:color="auto"/>
            </w:tcBorders>
            <w:shd w:val="clear" w:color="auto" w:fill="auto"/>
          </w:tcPr>
          <w:p w14:paraId="1446B2B3" w14:textId="77777777" w:rsidR="00F46E83" w:rsidRPr="005E3B43" w:rsidRDefault="00F46E83" w:rsidP="00763BCF">
            <w:pPr>
              <w:pStyle w:val="Tabletext"/>
            </w:pPr>
            <w:r w:rsidRPr="005E3B43">
              <w:t xml:space="preserve">tacrolimus 0.1% </w:t>
            </w:r>
          </w:p>
        </w:tc>
        <w:tc>
          <w:tcPr>
            <w:tcW w:w="752" w:type="pct"/>
            <w:tcBorders>
              <w:top w:val="single" w:sz="2" w:space="0" w:color="auto"/>
              <w:bottom w:val="single" w:sz="2" w:space="0" w:color="auto"/>
            </w:tcBorders>
            <w:shd w:val="clear" w:color="auto" w:fill="auto"/>
          </w:tcPr>
          <w:p w14:paraId="77424C73" w14:textId="77777777" w:rsidR="00F46E83" w:rsidRPr="005E3B43" w:rsidRDefault="00F46E83" w:rsidP="00763BCF">
            <w:pPr>
              <w:pStyle w:val="Tabletext"/>
            </w:pPr>
            <w:r w:rsidRPr="005E3B43">
              <w:t>ointment</w:t>
            </w:r>
          </w:p>
        </w:tc>
        <w:tc>
          <w:tcPr>
            <w:tcW w:w="910" w:type="pct"/>
            <w:tcBorders>
              <w:top w:val="single" w:sz="2" w:space="0" w:color="auto"/>
              <w:bottom w:val="single" w:sz="2" w:space="0" w:color="auto"/>
            </w:tcBorders>
            <w:shd w:val="clear" w:color="auto" w:fill="auto"/>
          </w:tcPr>
          <w:p w14:paraId="457BC64C" w14:textId="77777777" w:rsidR="00F46E83" w:rsidRPr="005E3B43" w:rsidRDefault="00F46E83" w:rsidP="00763BCF">
            <w:pPr>
              <w:pStyle w:val="Tabletext"/>
            </w:pPr>
            <w:r w:rsidRPr="005E3B43">
              <w:t>topical</w:t>
            </w:r>
          </w:p>
        </w:tc>
        <w:tc>
          <w:tcPr>
            <w:tcW w:w="1447" w:type="pct"/>
            <w:tcBorders>
              <w:top w:val="single" w:sz="2" w:space="0" w:color="auto"/>
              <w:bottom w:val="single" w:sz="2" w:space="0" w:color="auto"/>
            </w:tcBorders>
            <w:shd w:val="clear" w:color="auto" w:fill="auto"/>
          </w:tcPr>
          <w:p w14:paraId="38732874" w14:textId="3087860F" w:rsidR="00F46E83" w:rsidRPr="005E3B43" w:rsidRDefault="00F46E83" w:rsidP="00763BCF">
            <w:pPr>
              <w:pStyle w:val="Tabletext"/>
            </w:pPr>
            <w:r w:rsidRPr="005E3B43">
              <w:t>treatment, or prolongation of flare</w:t>
            </w:r>
            <w:r w:rsidR="007C3215">
              <w:noBreakHyphen/>
            </w:r>
            <w:r w:rsidRPr="005E3B43">
              <w:t xml:space="preserve">free intervals, of moderate to severe atopic dermatitis/eczema in adults </w:t>
            </w:r>
          </w:p>
        </w:tc>
      </w:tr>
      <w:tr w:rsidR="00F46E83" w:rsidRPr="005E3B43" w14:paraId="6FDDF5A7" w14:textId="77777777" w:rsidTr="005D6815">
        <w:trPr>
          <w:cantSplit/>
          <w:trHeight w:val="20"/>
        </w:trPr>
        <w:tc>
          <w:tcPr>
            <w:tcW w:w="645" w:type="pct"/>
            <w:tcBorders>
              <w:top w:val="single" w:sz="2" w:space="0" w:color="auto"/>
              <w:bottom w:val="single" w:sz="2" w:space="0" w:color="auto"/>
            </w:tcBorders>
          </w:tcPr>
          <w:p w14:paraId="1E22058B" w14:textId="77777777" w:rsidR="00F46E83" w:rsidRPr="005E3B43" w:rsidRDefault="00F46E83" w:rsidP="00763BCF">
            <w:pPr>
              <w:pStyle w:val="Tabletext"/>
            </w:pPr>
            <w:r w:rsidRPr="005E3B43">
              <w:t>72A</w:t>
            </w:r>
          </w:p>
        </w:tc>
        <w:tc>
          <w:tcPr>
            <w:tcW w:w="1246" w:type="pct"/>
            <w:tcBorders>
              <w:top w:val="single" w:sz="2" w:space="0" w:color="auto"/>
              <w:bottom w:val="single" w:sz="2" w:space="0" w:color="auto"/>
            </w:tcBorders>
            <w:shd w:val="clear" w:color="auto" w:fill="auto"/>
          </w:tcPr>
          <w:p w14:paraId="1A3B64BD" w14:textId="28C17CFD" w:rsidR="00F46E83" w:rsidRPr="005E3B43" w:rsidRDefault="00F46E83" w:rsidP="00763BCF">
            <w:pPr>
              <w:pStyle w:val="Tabletext"/>
            </w:pPr>
            <w:r w:rsidRPr="005E3B43">
              <w:t>Technetium</w:t>
            </w:r>
            <w:r w:rsidR="007C3215">
              <w:noBreakHyphen/>
            </w:r>
            <w:r w:rsidRPr="005E3B43">
              <w:t>99m (99m Tc) prostate specific membrane antigen (PSMA)</w:t>
            </w:r>
            <w:r w:rsidR="007C3215">
              <w:rPr>
                <w:b/>
                <w:bCs/>
              </w:rPr>
              <w:noBreakHyphen/>
            </w:r>
            <w:r w:rsidRPr="005E3B43">
              <w:t>I&amp;S</w:t>
            </w:r>
          </w:p>
        </w:tc>
        <w:tc>
          <w:tcPr>
            <w:tcW w:w="752" w:type="pct"/>
            <w:tcBorders>
              <w:top w:val="single" w:sz="2" w:space="0" w:color="auto"/>
              <w:bottom w:val="single" w:sz="2" w:space="0" w:color="auto"/>
            </w:tcBorders>
            <w:shd w:val="clear" w:color="auto" w:fill="auto"/>
          </w:tcPr>
          <w:p w14:paraId="739465D2" w14:textId="77777777" w:rsidR="00F46E83" w:rsidRPr="005E3B43" w:rsidRDefault="00F46E83" w:rsidP="00763BCF">
            <w:pPr>
              <w:pStyle w:val="Tabletext"/>
            </w:pPr>
            <w:r w:rsidRPr="005E3B43">
              <w:t>injection</w:t>
            </w:r>
          </w:p>
        </w:tc>
        <w:tc>
          <w:tcPr>
            <w:tcW w:w="910" w:type="pct"/>
            <w:tcBorders>
              <w:top w:val="single" w:sz="2" w:space="0" w:color="auto"/>
              <w:bottom w:val="single" w:sz="2" w:space="0" w:color="auto"/>
            </w:tcBorders>
            <w:shd w:val="clear" w:color="auto" w:fill="auto"/>
          </w:tcPr>
          <w:p w14:paraId="1F132E37" w14:textId="77777777" w:rsidR="00F46E83" w:rsidRPr="005E3B43" w:rsidRDefault="00F46E83" w:rsidP="00763BCF">
            <w:pPr>
              <w:pStyle w:val="Tabletext"/>
            </w:pPr>
            <w:r w:rsidRPr="005E3B43">
              <w:t>intravenous</w:t>
            </w:r>
          </w:p>
        </w:tc>
        <w:tc>
          <w:tcPr>
            <w:tcW w:w="1447" w:type="pct"/>
            <w:tcBorders>
              <w:top w:val="single" w:sz="2" w:space="0" w:color="auto"/>
              <w:bottom w:val="single" w:sz="2" w:space="0" w:color="auto"/>
            </w:tcBorders>
            <w:shd w:val="clear" w:color="auto" w:fill="auto"/>
          </w:tcPr>
          <w:p w14:paraId="3DE0B073" w14:textId="77777777" w:rsidR="00F46E83" w:rsidRPr="005E3B43" w:rsidRDefault="00F46E83" w:rsidP="00763BCF">
            <w:pPr>
              <w:pStyle w:val="Tabletext"/>
            </w:pPr>
            <w:r w:rsidRPr="005E3B43">
              <w:t>prostate cancer imaging study</w:t>
            </w:r>
          </w:p>
        </w:tc>
      </w:tr>
      <w:tr w:rsidR="00F46E83" w:rsidRPr="005E3B43" w14:paraId="6E84EB24" w14:textId="77777777" w:rsidTr="004F6606">
        <w:trPr>
          <w:trHeight w:val="20"/>
        </w:trPr>
        <w:tc>
          <w:tcPr>
            <w:tcW w:w="645" w:type="pct"/>
            <w:tcBorders>
              <w:top w:val="single" w:sz="2" w:space="0" w:color="auto"/>
              <w:bottom w:val="single" w:sz="2" w:space="0" w:color="auto"/>
            </w:tcBorders>
          </w:tcPr>
          <w:p w14:paraId="31260B9E" w14:textId="77777777" w:rsidR="00F46E83" w:rsidRPr="005E3B43" w:rsidRDefault="00F46E83" w:rsidP="00763BCF">
            <w:pPr>
              <w:pStyle w:val="Tabletext"/>
            </w:pPr>
            <w:r w:rsidRPr="005E3B43">
              <w:t>75</w:t>
            </w:r>
          </w:p>
        </w:tc>
        <w:tc>
          <w:tcPr>
            <w:tcW w:w="1246" w:type="pct"/>
            <w:tcBorders>
              <w:top w:val="single" w:sz="2" w:space="0" w:color="auto"/>
              <w:bottom w:val="single" w:sz="2" w:space="0" w:color="auto"/>
            </w:tcBorders>
            <w:shd w:val="clear" w:color="auto" w:fill="auto"/>
          </w:tcPr>
          <w:p w14:paraId="1B98814B" w14:textId="77777777" w:rsidR="00F46E83" w:rsidRPr="005E3B43" w:rsidRDefault="00F46E83" w:rsidP="00763BCF">
            <w:pPr>
              <w:pStyle w:val="Tabletext"/>
            </w:pPr>
            <w:r w:rsidRPr="005E3B43">
              <w:t>tetracycline</w:t>
            </w:r>
          </w:p>
        </w:tc>
        <w:tc>
          <w:tcPr>
            <w:tcW w:w="752" w:type="pct"/>
            <w:tcBorders>
              <w:top w:val="single" w:sz="2" w:space="0" w:color="auto"/>
              <w:bottom w:val="single" w:sz="2" w:space="0" w:color="auto"/>
            </w:tcBorders>
            <w:shd w:val="clear" w:color="auto" w:fill="auto"/>
          </w:tcPr>
          <w:p w14:paraId="44A4EC5E" w14:textId="77777777" w:rsidR="00F46E83" w:rsidRPr="005E3B43" w:rsidRDefault="00F46E83" w:rsidP="00763BCF">
            <w:pPr>
              <w:pStyle w:val="Tabletext"/>
            </w:pPr>
            <w:r w:rsidRPr="005E3B43">
              <w:t>capsule</w:t>
            </w:r>
          </w:p>
        </w:tc>
        <w:tc>
          <w:tcPr>
            <w:tcW w:w="910" w:type="pct"/>
            <w:tcBorders>
              <w:top w:val="single" w:sz="2" w:space="0" w:color="auto"/>
              <w:bottom w:val="single" w:sz="2" w:space="0" w:color="auto"/>
            </w:tcBorders>
            <w:shd w:val="clear" w:color="auto" w:fill="auto"/>
          </w:tcPr>
          <w:p w14:paraId="060CAEFD" w14:textId="77777777"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14:paraId="2FA1D569" w14:textId="77777777" w:rsidR="00F46E83" w:rsidRPr="005E3B43" w:rsidRDefault="00F46E83" w:rsidP="00763BCF">
            <w:pPr>
              <w:pStyle w:val="Tabletext"/>
            </w:pPr>
            <w:r w:rsidRPr="005E3B43">
              <w:t xml:space="preserve">treatment of resistant </w:t>
            </w:r>
            <w:r w:rsidRPr="005E3B43">
              <w:rPr>
                <w:i/>
              </w:rPr>
              <w:t>Helicobacter Pylori</w:t>
            </w:r>
            <w:r w:rsidRPr="005E3B43">
              <w:t xml:space="preserve"> infection</w:t>
            </w:r>
          </w:p>
        </w:tc>
      </w:tr>
      <w:tr w:rsidR="00F46E83" w:rsidRPr="005E3B43" w14:paraId="2CE59EA8" w14:textId="77777777" w:rsidTr="004F6606">
        <w:trPr>
          <w:trHeight w:val="20"/>
        </w:trPr>
        <w:tc>
          <w:tcPr>
            <w:tcW w:w="645" w:type="pct"/>
            <w:tcBorders>
              <w:top w:val="single" w:sz="2" w:space="0" w:color="auto"/>
              <w:bottom w:val="single" w:sz="2" w:space="0" w:color="auto"/>
            </w:tcBorders>
          </w:tcPr>
          <w:p w14:paraId="7C3DC7A6" w14:textId="77777777" w:rsidR="00F46E83" w:rsidRPr="005E3B43" w:rsidRDefault="00F46E83" w:rsidP="00763BCF">
            <w:pPr>
              <w:pStyle w:val="Tabletext"/>
            </w:pPr>
            <w:r w:rsidRPr="005E3B43">
              <w:t>76</w:t>
            </w:r>
          </w:p>
        </w:tc>
        <w:tc>
          <w:tcPr>
            <w:tcW w:w="1246" w:type="pct"/>
            <w:tcBorders>
              <w:top w:val="single" w:sz="2" w:space="0" w:color="auto"/>
              <w:bottom w:val="single" w:sz="2" w:space="0" w:color="auto"/>
            </w:tcBorders>
            <w:shd w:val="clear" w:color="auto" w:fill="auto"/>
          </w:tcPr>
          <w:p w14:paraId="69212A02" w14:textId="77777777" w:rsidR="00F46E83" w:rsidRPr="005E3B43" w:rsidRDefault="00F46E83" w:rsidP="00763BCF">
            <w:pPr>
              <w:pStyle w:val="Tabletext"/>
            </w:pPr>
            <w:r w:rsidRPr="005E3B43">
              <w:t>tetracycline</w:t>
            </w:r>
          </w:p>
        </w:tc>
        <w:tc>
          <w:tcPr>
            <w:tcW w:w="752" w:type="pct"/>
            <w:tcBorders>
              <w:top w:val="single" w:sz="2" w:space="0" w:color="auto"/>
              <w:bottom w:val="single" w:sz="2" w:space="0" w:color="auto"/>
            </w:tcBorders>
            <w:shd w:val="clear" w:color="auto" w:fill="auto"/>
          </w:tcPr>
          <w:p w14:paraId="38556E90" w14:textId="77777777" w:rsidR="00F46E83" w:rsidRPr="005E3B43" w:rsidRDefault="00F46E83" w:rsidP="00763BCF">
            <w:pPr>
              <w:pStyle w:val="Tabletext"/>
            </w:pPr>
            <w:r w:rsidRPr="005E3B43">
              <w:t>tablet</w:t>
            </w:r>
          </w:p>
        </w:tc>
        <w:tc>
          <w:tcPr>
            <w:tcW w:w="910" w:type="pct"/>
            <w:tcBorders>
              <w:top w:val="single" w:sz="2" w:space="0" w:color="auto"/>
              <w:bottom w:val="single" w:sz="2" w:space="0" w:color="auto"/>
            </w:tcBorders>
            <w:shd w:val="clear" w:color="auto" w:fill="auto"/>
          </w:tcPr>
          <w:p w14:paraId="407F4A00" w14:textId="77777777"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14:paraId="6E46CAF9" w14:textId="77777777" w:rsidR="00F46E83" w:rsidRPr="005E3B43" w:rsidRDefault="00F46E83" w:rsidP="00763BCF">
            <w:pPr>
              <w:pStyle w:val="Tabletext"/>
            </w:pPr>
            <w:r w:rsidRPr="005E3B43">
              <w:t xml:space="preserve">treatment of resistant </w:t>
            </w:r>
            <w:r w:rsidRPr="005E3B43">
              <w:rPr>
                <w:i/>
              </w:rPr>
              <w:t>Helicobacter Pylori</w:t>
            </w:r>
            <w:r w:rsidRPr="005E3B43">
              <w:t xml:space="preserve"> infection</w:t>
            </w:r>
          </w:p>
        </w:tc>
      </w:tr>
      <w:tr w:rsidR="00F46E83" w:rsidRPr="005E3B43" w14:paraId="7F75E747" w14:textId="77777777" w:rsidTr="004F6606">
        <w:trPr>
          <w:trHeight w:val="20"/>
        </w:trPr>
        <w:tc>
          <w:tcPr>
            <w:tcW w:w="645" w:type="pct"/>
            <w:tcBorders>
              <w:top w:val="single" w:sz="2" w:space="0" w:color="auto"/>
              <w:bottom w:val="single" w:sz="2" w:space="0" w:color="auto"/>
            </w:tcBorders>
          </w:tcPr>
          <w:p w14:paraId="0004519A" w14:textId="77777777" w:rsidR="00F46E83" w:rsidRPr="005E3B43" w:rsidRDefault="00F46E83" w:rsidP="00763BCF">
            <w:pPr>
              <w:pStyle w:val="Tabletext"/>
            </w:pPr>
            <w:r w:rsidRPr="005E3B43">
              <w:t>77</w:t>
            </w:r>
          </w:p>
        </w:tc>
        <w:tc>
          <w:tcPr>
            <w:tcW w:w="1246" w:type="pct"/>
            <w:tcBorders>
              <w:top w:val="single" w:sz="2" w:space="0" w:color="auto"/>
              <w:bottom w:val="single" w:sz="2" w:space="0" w:color="auto"/>
            </w:tcBorders>
            <w:shd w:val="clear" w:color="auto" w:fill="auto"/>
          </w:tcPr>
          <w:p w14:paraId="40BB27C2" w14:textId="5DC43B4E" w:rsidR="00F46E83" w:rsidRPr="005E3B43" w:rsidRDefault="00F46E83" w:rsidP="00763BCF">
            <w:pPr>
              <w:pStyle w:val="Tabletext"/>
            </w:pPr>
            <w:r w:rsidRPr="005E3B43">
              <w:t>tick</w:t>
            </w:r>
            <w:r w:rsidR="007C3215">
              <w:noBreakHyphen/>
            </w:r>
            <w:r w:rsidRPr="005E3B43">
              <w:t>borne encephalitis vaccine</w:t>
            </w:r>
          </w:p>
        </w:tc>
        <w:tc>
          <w:tcPr>
            <w:tcW w:w="752" w:type="pct"/>
            <w:tcBorders>
              <w:top w:val="single" w:sz="2" w:space="0" w:color="auto"/>
              <w:bottom w:val="single" w:sz="2" w:space="0" w:color="auto"/>
            </w:tcBorders>
            <w:shd w:val="clear" w:color="auto" w:fill="auto"/>
          </w:tcPr>
          <w:p w14:paraId="66F11AC3" w14:textId="77777777" w:rsidR="00F46E83" w:rsidRPr="005E3B43" w:rsidRDefault="00F46E83" w:rsidP="00763BCF">
            <w:pPr>
              <w:pStyle w:val="Tabletext"/>
            </w:pPr>
            <w:r w:rsidRPr="005E3B43">
              <w:t>injection</w:t>
            </w:r>
          </w:p>
        </w:tc>
        <w:tc>
          <w:tcPr>
            <w:tcW w:w="910" w:type="pct"/>
            <w:tcBorders>
              <w:top w:val="single" w:sz="2" w:space="0" w:color="auto"/>
              <w:bottom w:val="single" w:sz="2" w:space="0" w:color="auto"/>
            </w:tcBorders>
            <w:shd w:val="clear" w:color="auto" w:fill="auto"/>
          </w:tcPr>
          <w:p w14:paraId="4A9C9803" w14:textId="77777777" w:rsidR="00F46E83" w:rsidRPr="005E3B43" w:rsidRDefault="00F46E83" w:rsidP="00763BCF">
            <w:pPr>
              <w:pStyle w:val="Tabletext"/>
            </w:pPr>
            <w:r w:rsidRPr="005E3B43">
              <w:t>intramuscular</w:t>
            </w:r>
          </w:p>
        </w:tc>
        <w:tc>
          <w:tcPr>
            <w:tcW w:w="1447" w:type="pct"/>
            <w:tcBorders>
              <w:top w:val="single" w:sz="2" w:space="0" w:color="auto"/>
              <w:bottom w:val="single" w:sz="2" w:space="0" w:color="auto"/>
            </w:tcBorders>
            <w:shd w:val="clear" w:color="auto" w:fill="auto"/>
          </w:tcPr>
          <w:p w14:paraId="74807784" w14:textId="1E84DDB5" w:rsidR="00F46E83" w:rsidRPr="005E3B43" w:rsidRDefault="00F46E83" w:rsidP="00763BCF">
            <w:pPr>
              <w:pStyle w:val="Tabletext"/>
            </w:pPr>
            <w:r w:rsidRPr="005E3B43">
              <w:t>prevention of tick</w:t>
            </w:r>
            <w:r w:rsidR="007C3215">
              <w:noBreakHyphen/>
            </w:r>
            <w:r w:rsidRPr="005E3B43">
              <w:t>borne encephalitis</w:t>
            </w:r>
          </w:p>
        </w:tc>
      </w:tr>
      <w:tr w:rsidR="00F46E83" w:rsidRPr="005E3B43" w14:paraId="073CAF9C" w14:textId="77777777" w:rsidTr="004F6606">
        <w:trPr>
          <w:trHeight w:val="20"/>
        </w:trPr>
        <w:tc>
          <w:tcPr>
            <w:tcW w:w="645" w:type="pct"/>
            <w:tcBorders>
              <w:top w:val="single" w:sz="2" w:space="0" w:color="auto"/>
              <w:bottom w:val="single" w:sz="2" w:space="0" w:color="auto"/>
            </w:tcBorders>
          </w:tcPr>
          <w:p w14:paraId="69369763" w14:textId="77777777" w:rsidR="00F46E83" w:rsidRPr="005E3B43" w:rsidRDefault="00F46E83" w:rsidP="00763BCF">
            <w:pPr>
              <w:pStyle w:val="Tabletext"/>
            </w:pPr>
            <w:r w:rsidRPr="005E3B43">
              <w:t>78</w:t>
            </w:r>
          </w:p>
        </w:tc>
        <w:tc>
          <w:tcPr>
            <w:tcW w:w="1246" w:type="pct"/>
            <w:tcBorders>
              <w:top w:val="single" w:sz="2" w:space="0" w:color="auto"/>
              <w:bottom w:val="single" w:sz="2" w:space="0" w:color="auto"/>
            </w:tcBorders>
            <w:shd w:val="clear" w:color="auto" w:fill="auto"/>
          </w:tcPr>
          <w:p w14:paraId="6E5A8FE6" w14:textId="77777777" w:rsidR="00F46E83" w:rsidRPr="005E3B43" w:rsidRDefault="00F46E83" w:rsidP="00763BCF">
            <w:pPr>
              <w:pStyle w:val="Tabletext"/>
            </w:pPr>
            <w:r w:rsidRPr="005E3B43">
              <w:t>tinidazole</w:t>
            </w:r>
          </w:p>
        </w:tc>
        <w:tc>
          <w:tcPr>
            <w:tcW w:w="752" w:type="pct"/>
            <w:tcBorders>
              <w:top w:val="single" w:sz="2" w:space="0" w:color="auto"/>
              <w:bottom w:val="single" w:sz="2" w:space="0" w:color="auto"/>
            </w:tcBorders>
            <w:shd w:val="clear" w:color="auto" w:fill="auto"/>
          </w:tcPr>
          <w:p w14:paraId="234F49B7" w14:textId="77777777" w:rsidR="00F46E83" w:rsidRPr="005E3B43" w:rsidRDefault="00F46E83" w:rsidP="00763BCF">
            <w:pPr>
              <w:pStyle w:val="Tabletext"/>
            </w:pPr>
            <w:r w:rsidRPr="005E3B43">
              <w:t>tablet</w:t>
            </w:r>
          </w:p>
        </w:tc>
        <w:tc>
          <w:tcPr>
            <w:tcW w:w="910" w:type="pct"/>
            <w:tcBorders>
              <w:top w:val="single" w:sz="2" w:space="0" w:color="auto"/>
              <w:bottom w:val="single" w:sz="2" w:space="0" w:color="auto"/>
            </w:tcBorders>
            <w:shd w:val="clear" w:color="auto" w:fill="auto"/>
          </w:tcPr>
          <w:p w14:paraId="33CBBF55" w14:textId="77777777"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14:paraId="2A77EF28" w14:textId="54427F1E" w:rsidR="00F46E83" w:rsidRPr="005E3B43" w:rsidRDefault="00F46E83" w:rsidP="00763BCF">
            <w:pPr>
              <w:pStyle w:val="Tabletext"/>
            </w:pPr>
            <w:r w:rsidRPr="005E3B43">
              <w:t xml:space="preserve">treatment of </w:t>
            </w:r>
            <w:r w:rsidRPr="005E3B43">
              <w:rPr>
                <w:i/>
              </w:rPr>
              <w:t>trichomonas vaginalis</w:t>
            </w:r>
            <w:r w:rsidRPr="005E3B43">
              <w:t xml:space="preserve"> infections of the genito</w:t>
            </w:r>
            <w:r w:rsidR="007C3215">
              <w:noBreakHyphen/>
            </w:r>
            <w:r w:rsidRPr="005E3B43">
              <w:t>urinary tract in female and male patients, giardiasis, amoebic dysentery or amoebic liver abscess; or</w:t>
            </w:r>
          </w:p>
          <w:p w14:paraId="561E8BC0" w14:textId="77777777" w:rsidR="00F46E83" w:rsidRPr="005E3B43" w:rsidRDefault="00F46E83" w:rsidP="00763BCF">
            <w:pPr>
              <w:pStyle w:val="Tabletext"/>
            </w:pPr>
            <w:r w:rsidRPr="005E3B43">
              <w:t xml:space="preserve">treatment of acute giardiasis, acute amoebic dysentery or amoebic liver </w:t>
            </w:r>
            <w:r w:rsidRPr="005E3B43">
              <w:lastRenderedPageBreak/>
              <w:t>disease in children; or</w:t>
            </w:r>
          </w:p>
          <w:p w14:paraId="6CE423C2" w14:textId="77777777" w:rsidR="00F46E83" w:rsidRPr="005E3B43" w:rsidRDefault="00F46E83" w:rsidP="00763BCF">
            <w:pPr>
              <w:pStyle w:val="Tabletext"/>
            </w:pPr>
            <w:r w:rsidRPr="005E3B43">
              <w:t>prevention of infection of the surgical site</w:t>
            </w:r>
          </w:p>
        </w:tc>
      </w:tr>
      <w:tr w:rsidR="00F46E83" w:rsidRPr="005E3B43" w14:paraId="2C372765" w14:textId="77777777" w:rsidTr="00D11907">
        <w:tblPrEx>
          <w:tblBorders>
            <w:top w:val="none" w:sz="0" w:space="0" w:color="auto"/>
            <w:bottom w:val="none" w:sz="0" w:space="0" w:color="auto"/>
          </w:tblBorders>
        </w:tblPrEx>
        <w:trPr>
          <w:trHeight w:val="20"/>
        </w:trPr>
        <w:tc>
          <w:tcPr>
            <w:tcW w:w="645" w:type="pct"/>
          </w:tcPr>
          <w:p w14:paraId="3E2996F7" w14:textId="77777777" w:rsidR="00F46E83" w:rsidRPr="005E3B43" w:rsidRDefault="00F46E83" w:rsidP="00763BCF">
            <w:pPr>
              <w:pStyle w:val="Tabletext"/>
            </w:pPr>
            <w:r w:rsidRPr="005E3B43">
              <w:lastRenderedPageBreak/>
              <w:t>78A</w:t>
            </w:r>
          </w:p>
        </w:tc>
        <w:tc>
          <w:tcPr>
            <w:tcW w:w="1246" w:type="pct"/>
            <w:shd w:val="clear" w:color="auto" w:fill="auto"/>
          </w:tcPr>
          <w:p w14:paraId="5C914A69" w14:textId="77777777" w:rsidR="00F46E83" w:rsidRPr="005E3B43" w:rsidRDefault="00F46E83" w:rsidP="00763BCF">
            <w:pPr>
              <w:pStyle w:val="Tabletext"/>
            </w:pPr>
            <w:r w:rsidRPr="005E3B43">
              <w:t>tizanidine</w:t>
            </w:r>
          </w:p>
        </w:tc>
        <w:tc>
          <w:tcPr>
            <w:tcW w:w="752" w:type="pct"/>
            <w:shd w:val="clear" w:color="auto" w:fill="auto"/>
          </w:tcPr>
          <w:p w14:paraId="4CE07F53" w14:textId="77777777" w:rsidR="00F46E83" w:rsidRPr="005E3B43" w:rsidRDefault="00F46E83" w:rsidP="00763BCF">
            <w:pPr>
              <w:pStyle w:val="Tabletext"/>
            </w:pPr>
            <w:r w:rsidRPr="005E3B43">
              <w:t>capsule</w:t>
            </w:r>
          </w:p>
        </w:tc>
        <w:tc>
          <w:tcPr>
            <w:tcW w:w="910" w:type="pct"/>
            <w:shd w:val="clear" w:color="auto" w:fill="auto"/>
          </w:tcPr>
          <w:p w14:paraId="5B81838B" w14:textId="77777777" w:rsidR="00F46E83" w:rsidRPr="005E3B43" w:rsidRDefault="00F46E83" w:rsidP="00763BCF">
            <w:pPr>
              <w:pStyle w:val="Tabletext"/>
            </w:pPr>
            <w:r w:rsidRPr="005E3B43">
              <w:t>oral</w:t>
            </w:r>
          </w:p>
        </w:tc>
        <w:tc>
          <w:tcPr>
            <w:tcW w:w="1447" w:type="pct"/>
            <w:shd w:val="clear" w:color="auto" w:fill="auto"/>
          </w:tcPr>
          <w:p w14:paraId="12A05705" w14:textId="77777777" w:rsidR="00F46E83" w:rsidRPr="005E3B43" w:rsidRDefault="00F46E83" w:rsidP="00763BCF">
            <w:pPr>
              <w:pStyle w:val="Tabletext"/>
            </w:pPr>
            <w:r w:rsidRPr="005E3B43">
              <w:t>treatment of spasticity where other treatments have failed</w:t>
            </w:r>
          </w:p>
        </w:tc>
      </w:tr>
      <w:tr w:rsidR="00F46E83" w:rsidRPr="005E3B43" w14:paraId="79EED14F" w14:textId="77777777" w:rsidTr="00D11907">
        <w:tblPrEx>
          <w:tblBorders>
            <w:top w:val="none" w:sz="0" w:space="0" w:color="auto"/>
            <w:bottom w:val="none" w:sz="0" w:space="0" w:color="auto"/>
          </w:tblBorders>
        </w:tblPrEx>
        <w:trPr>
          <w:trHeight w:val="20"/>
        </w:trPr>
        <w:tc>
          <w:tcPr>
            <w:tcW w:w="645" w:type="pct"/>
          </w:tcPr>
          <w:p w14:paraId="5AEF1998" w14:textId="77777777" w:rsidR="00F46E83" w:rsidRPr="005E3B43" w:rsidRDefault="00F46E83" w:rsidP="00763BCF">
            <w:pPr>
              <w:pStyle w:val="Tabletext"/>
            </w:pPr>
            <w:r w:rsidRPr="005E3B43">
              <w:t>78B</w:t>
            </w:r>
          </w:p>
        </w:tc>
        <w:tc>
          <w:tcPr>
            <w:tcW w:w="1246" w:type="pct"/>
            <w:shd w:val="clear" w:color="auto" w:fill="auto"/>
          </w:tcPr>
          <w:p w14:paraId="21B5B623" w14:textId="77777777" w:rsidR="00F46E83" w:rsidRPr="005E3B43" w:rsidRDefault="00F46E83" w:rsidP="00763BCF">
            <w:pPr>
              <w:pStyle w:val="Tabletext"/>
            </w:pPr>
            <w:r w:rsidRPr="005E3B43">
              <w:t>tizanidine</w:t>
            </w:r>
          </w:p>
        </w:tc>
        <w:tc>
          <w:tcPr>
            <w:tcW w:w="752" w:type="pct"/>
            <w:shd w:val="clear" w:color="auto" w:fill="auto"/>
          </w:tcPr>
          <w:p w14:paraId="53190EFE" w14:textId="77777777" w:rsidR="00F46E83" w:rsidRPr="005E3B43" w:rsidRDefault="00F46E83" w:rsidP="00763BCF">
            <w:pPr>
              <w:pStyle w:val="Tabletext"/>
            </w:pPr>
            <w:r w:rsidRPr="005E3B43">
              <w:t>tablet</w:t>
            </w:r>
          </w:p>
        </w:tc>
        <w:tc>
          <w:tcPr>
            <w:tcW w:w="910" w:type="pct"/>
            <w:shd w:val="clear" w:color="auto" w:fill="auto"/>
          </w:tcPr>
          <w:p w14:paraId="0360FB8C" w14:textId="77777777" w:rsidR="00F46E83" w:rsidRPr="005E3B43" w:rsidRDefault="00F46E83" w:rsidP="00763BCF">
            <w:pPr>
              <w:pStyle w:val="Tabletext"/>
            </w:pPr>
            <w:r w:rsidRPr="005E3B43">
              <w:t>oral</w:t>
            </w:r>
          </w:p>
        </w:tc>
        <w:tc>
          <w:tcPr>
            <w:tcW w:w="1447" w:type="pct"/>
            <w:shd w:val="clear" w:color="auto" w:fill="auto"/>
          </w:tcPr>
          <w:p w14:paraId="3A9ED219" w14:textId="77777777" w:rsidR="00F46E83" w:rsidRPr="005E3B43" w:rsidRDefault="00F46E83" w:rsidP="00763BCF">
            <w:pPr>
              <w:pStyle w:val="Tabletext"/>
            </w:pPr>
            <w:r w:rsidRPr="005E3B43">
              <w:t>treatment of spasticity where other treatments have failed</w:t>
            </w:r>
          </w:p>
        </w:tc>
      </w:tr>
      <w:tr w:rsidR="00F46E83" w:rsidRPr="005E3B43" w14:paraId="2BB7645E" w14:textId="77777777" w:rsidTr="004F6606">
        <w:trPr>
          <w:trHeight w:val="20"/>
        </w:trPr>
        <w:tc>
          <w:tcPr>
            <w:tcW w:w="645" w:type="pct"/>
            <w:tcBorders>
              <w:top w:val="single" w:sz="2" w:space="0" w:color="auto"/>
              <w:bottom w:val="single" w:sz="2" w:space="0" w:color="auto"/>
            </w:tcBorders>
          </w:tcPr>
          <w:p w14:paraId="59E0C7CC" w14:textId="77777777" w:rsidR="00F46E83" w:rsidRPr="005E3B43" w:rsidRDefault="00F46E83" w:rsidP="00763BCF">
            <w:pPr>
              <w:pStyle w:val="Tabletext"/>
            </w:pPr>
            <w:r w:rsidRPr="005E3B43">
              <w:t>79</w:t>
            </w:r>
          </w:p>
        </w:tc>
        <w:tc>
          <w:tcPr>
            <w:tcW w:w="1246" w:type="pct"/>
            <w:tcBorders>
              <w:top w:val="single" w:sz="2" w:space="0" w:color="auto"/>
              <w:bottom w:val="single" w:sz="2" w:space="0" w:color="auto"/>
            </w:tcBorders>
            <w:shd w:val="clear" w:color="auto" w:fill="auto"/>
          </w:tcPr>
          <w:p w14:paraId="1F5DBFF1" w14:textId="77777777" w:rsidR="00F46E83" w:rsidRPr="005E3B43" w:rsidRDefault="00F46E83" w:rsidP="00763BCF">
            <w:pPr>
              <w:pStyle w:val="Tabletext"/>
            </w:pPr>
            <w:r w:rsidRPr="005E3B43">
              <w:t>triamcinolone acetonide</w:t>
            </w:r>
          </w:p>
        </w:tc>
        <w:tc>
          <w:tcPr>
            <w:tcW w:w="752" w:type="pct"/>
            <w:tcBorders>
              <w:top w:val="single" w:sz="2" w:space="0" w:color="auto"/>
              <w:bottom w:val="single" w:sz="2" w:space="0" w:color="auto"/>
            </w:tcBorders>
            <w:shd w:val="clear" w:color="auto" w:fill="auto"/>
          </w:tcPr>
          <w:p w14:paraId="6A994A6E" w14:textId="77777777" w:rsidR="00F46E83" w:rsidRPr="005E3B43" w:rsidRDefault="00F46E83" w:rsidP="00763BCF">
            <w:pPr>
              <w:pStyle w:val="Tabletext"/>
            </w:pPr>
            <w:r w:rsidRPr="005E3B43">
              <w:t>suspension for injection</w:t>
            </w:r>
          </w:p>
        </w:tc>
        <w:tc>
          <w:tcPr>
            <w:tcW w:w="910" w:type="pct"/>
            <w:tcBorders>
              <w:top w:val="single" w:sz="2" w:space="0" w:color="auto"/>
              <w:bottom w:val="single" w:sz="2" w:space="0" w:color="auto"/>
            </w:tcBorders>
            <w:shd w:val="clear" w:color="auto" w:fill="auto"/>
          </w:tcPr>
          <w:p w14:paraId="15C93B8D" w14:textId="77777777" w:rsidR="00F46E83" w:rsidRPr="005E3B43" w:rsidRDefault="00F46E83" w:rsidP="00763BCF">
            <w:pPr>
              <w:pStyle w:val="Tabletext"/>
            </w:pPr>
            <w:r w:rsidRPr="005E3B43">
              <w:t>ophthalmic</w:t>
            </w:r>
          </w:p>
        </w:tc>
        <w:tc>
          <w:tcPr>
            <w:tcW w:w="1447" w:type="pct"/>
            <w:tcBorders>
              <w:top w:val="single" w:sz="2" w:space="0" w:color="auto"/>
              <w:bottom w:val="single" w:sz="2" w:space="0" w:color="auto"/>
            </w:tcBorders>
            <w:shd w:val="clear" w:color="auto" w:fill="auto"/>
          </w:tcPr>
          <w:p w14:paraId="63FE3EAD" w14:textId="20E5D9B9" w:rsidR="00F46E83" w:rsidRPr="005E3B43" w:rsidRDefault="00F46E83" w:rsidP="00763BCF">
            <w:pPr>
              <w:pStyle w:val="Tabletext"/>
            </w:pPr>
            <w:r w:rsidRPr="005E3B43">
              <w:t>treatment of non</w:t>
            </w:r>
            <w:r w:rsidR="007C3215">
              <w:noBreakHyphen/>
            </w:r>
            <w:r w:rsidRPr="005E3B43">
              <w:t>infectious uveitis, visualisation during vitrectomy, diabetic macular oedema, cystoid macular oedema secondary to retinal vein occlusion, uveitic macular oedema or post</w:t>
            </w:r>
            <w:r w:rsidR="007C3215">
              <w:noBreakHyphen/>
            </w:r>
            <w:r w:rsidRPr="005E3B43">
              <w:t>operative macular oedema (cataract surgery)</w:t>
            </w:r>
          </w:p>
        </w:tc>
      </w:tr>
      <w:tr w:rsidR="00F46E83" w:rsidRPr="005E3B43" w14:paraId="6418961C" w14:textId="77777777" w:rsidTr="004F6606">
        <w:trPr>
          <w:trHeight w:val="20"/>
        </w:trPr>
        <w:tc>
          <w:tcPr>
            <w:tcW w:w="645" w:type="pct"/>
            <w:tcBorders>
              <w:top w:val="single" w:sz="2" w:space="0" w:color="auto"/>
              <w:bottom w:val="single" w:sz="2" w:space="0" w:color="auto"/>
            </w:tcBorders>
          </w:tcPr>
          <w:p w14:paraId="359224BE" w14:textId="77777777" w:rsidR="00F46E83" w:rsidRPr="005E3B43" w:rsidRDefault="00F46E83" w:rsidP="00763BCF">
            <w:pPr>
              <w:pStyle w:val="Tabletext"/>
            </w:pPr>
            <w:r w:rsidRPr="005E3B43">
              <w:t>80</w:t>
            </w:r>
          </w:p>
        </w:tc>
        <w:tc>
          <w:tcPr>
            <w:tcW w:w="1246" w:type="pct"/>
            <w:tcBorders>
              <w:top w:val="single" w:sz="2" w:space="0" w:color="auto"/>
              <w:bottom w:val="single" w:sz="2" w:space="0" w:color="auto"/>
            </w:tcBorders>
            <w:shd w:val="clear" w:color="auto" w:fill="auto"/>
          </w:tcPr>
          <w:p w14:paraId="42986883" w14:textId="77777777" w:rsidR="00F46E83" w:rsidRPr="005E3B43" w:rsidRDefault="00F46E83" w:rsidP="00763BCF">
            <w:pPr>
              <w:pStyle w:val="Tabletext"/>
            </w:pPr>
            <w:r w:rsidRPr="005E3B43">
              <w:t>verteporfin</w:t>
            </w:r>
          </w:p>
        </w:tc>
        <w:tc>
          <w:tcPr>
            <w:tcW w:w="752" w:type="pct"/>
            <w:tcBorders>
              <w:top w:val="single" w:sz="2" w:space="0" w:color="auto"/>
              <w:bottom w:val="single" w:sz="2" w:space="0" w:color="auto"/>
            </w:tcBorders>
            <w:shd w:val="clear" w:color="auto" w:fill="auto"/>
          </w:tcPr>
          <w:p w14:paraId="6BEE3B1C" w14:textId="77777777" w:rsidR="00F46E83" w:rsidRPr="005E3B43" w:rsidRDefault="00F46E83" w:rsidP="00763BCF">
            <w:pPr>
              <w:pStyle w:val="Tabletext"/>
            </w:pPr>
            <w:r w:rsidRPr="005E3B43">
              <w:t>powder for injection</w:t>
            </w:r>
          </w:p>
        </w:tc>
        <w:tc>
          <w:tcPr>
            <w:tcW w:w="910" w:type="pct"/>
            <w:tcBorders>
              <w:top w:val="single" w:sz="2" w:space="0" w:color="auto"/>
              <w:bottom w:val="single" w:sz="2" w:space="0" w:color="auto"/>
            </w:tcBorders>
            <w:shd w:val="clear" w:color="auto" w:fill="auto"/>
          </w:tcPr>
          <w:p w14:paraId="2D5E92FD" w14:textId="77777777" w:rsidR="00F46E83" w:rsidRPr="005E3B43" w:rsidRDefault="00F46E83" w:rsidP="00763BCF">
            <w:pPr>
              <w:pStyle w:val="Tabletext"/>
            </w:pPr>
            <w:r w:rsidRPr="005E3B43">
              <w:t>intravenous infusion</w:t>
            </w:r>
          </w:p>
        </w:tc>
        <w:tc>
          <w:tcPr>
            <w:tcW w:w="1447" w:type="pct"/>
            <w:tcBorders>
              <w:top w:val="single" w:sz="2" w:space="0" w:color="auto"/>
              <w:bottom w:val="single" w:sz="2" w:space="0" w:color="auto"/>
            </w:tcBorders>
            <w:shd w:val="clear" w:color="auto" w:fill="auto"/>
          </w:tcPr>
          <w:p w14:paraId="2039CA74" w14:textId="77777777" w:rsidR="00F46E83" w:rsidRPr="005E3B43" w:rsidRDefault="00F46E83" w:rsidP="00763BCF">
            <w:pPr>
              <w:pStyle w:val="Tabletext"/>
            </w:pPr>
            <w:r w:rsidRPr="005E3B43">
              <w:t>photosensitisation for photodynamic therapy</w:t>
            </w:r>
          </w:p>
        </w:tc>
      </w:tr>
      <w:tr w:rsidR="00F46E83" w:rsidRPr="005E3B43" w14:paraId="0E7A958B" w14:textId="77777777" w:rsidTr="005D6815">
        <w:trPr>
          <w:cantSplit/>
          <w:trHeight w:val="20"/>
        </w:trPr>
        <w:tc>
          <w:tcPr>
            <w:tcW w:w="645" w:type="pct"/>
            <w:tcBorders>
              <w:top w:val="single" w:sz="2" w:space="0" w:color="auto"/>
              <w:bottom w:val="single" w:sz="12" w:space="0" w:color="auto"/>
            </w:tcBorders>
          </w:tcPr>
          <w:p w14:paraId="1E43A570" w14:textId="77777777" w:rsidR="00F46E83" w:rsidRPr="005E3B43" w:rsidRDefault="00F46E83" w:rsidP="00763BCF">
            <w:pPr>
              <w:pStyle w:val="Tabletext"/>
            </w:pPr>
            <w:r w:rsidRPr="005E3B43">
              <w:t>81</w:t>
            </w:r>
          </w:p>
        </w:tc>
        <w:tc>
          <w:tcPr>
            <w:tcW w:w="1246" w:type="pct"/>
            <w:tcBorders>
              <w:top w:val="single" w:sz="2" w:space="0" w:color="auto"/>
              <w:bottom w:val="single" w:sz="12" w:space="0" w:color="auto"/>
            </w:tcBorders>
            <w:shd w:val="clear" w:color="auto" w:fill="auto"/>
          </w:tcPr>
          <w:p w14:paraId="242E776E" w14:textId="62FFEE4D" w:rsidR="00F46E83" w:rsidRPr="005E3B43" w:rsidRDefault="00F46E83" w:rsidP="00763BCF">
            <w:pPr>
              <w:pStyle w:val="Tabletext"/>
            </w:pPr>
            <w:r w:rsidRPr="005E3B43">
              <w:t>yttrium</w:t>
            </w:r>
            <w:r w:rsidR="007C3215">
              <w:noBreakHyphen/>
            </w:r>
            <w:r w:rsidRPr="005E3B43">
              <w:t>90 (Y</w:t>
            </w:r>
            <w:r w:rsidR="007C3215">
              <w:noBreakHyphen/>
            </w:r>
            <w:r w:rsidRPr="005E3B43">
              <w:t>90) Citrate</w:t>
            </w:r>
          </w:p>
        </w:tc>
        <w:tc>
          <w:tcPr>
            <w:tcW w:w="752" w:type="pct"/>
            <w:tcBorders>
              <w:top w:val="single" w:sz="2" w:space="0" w:color="auto"/>
              <w:bottom w:val="single" w:sz="12" w:space="0" w:color="auto"/>
            </w:tcBorders>
            <w:shd w:val="clear" w:color="auto" w:fill="auto"/>
          </w:tcPr>
          <w:p w14:paraId="25A88437" w14:textId="77777777" w:rsidR="00F46E83" w:rsidRPr="005E3B43" w:rsidRDefault="00F46E83" w:rsidP="00763BCF">
            <w:pPr>
              <w:pStyle w:val="Tabletext"/>
            </w:pPr>
            <w:r w:rsidRPr="005E3B43">
              <w:t>injection</w:t>
            </w:r>
          </w:p>
        </w:tc>
        <w:tc>
          <w:tcPr>
            <w:tcW w:w="910" w:type="pct"/>
            <w:tcBorders>
              <w:top w:val="single" w:sz="2" w:space="0" w:color="auto"/>
              <w:bottom w:val="single" w:sz="12" w:space="0" w:color="auto"/>
            </w:tcBorders>
            <w:shd w:val="clear" w:color="auto" w:fill="auto"/>
          </w:tcPr>
          <w:p w14:paraId="4CE4EFDF" w14:textId="77777777" w:rsidR="00F46E83" w:rsidRPr="005E3B43" w:rsidRDefault="00F46E83" w:rsidP="00763BCF">
            <w:pPr>
              <w:pStyle w:val="Tabletext"/>
            </w:pPr>
            <w:r w:rsidRPr="005E3B43">
              <w:t>intraarticular</w:t>
            </w:r>
          </w:p>
        </w:tc>
        <w:tc>
          <w:tcPr>
            <w:tcW w:w="1447" w:type="pct"/>
            <w:tcBorders>
              <w:top w:val="single" w:sz="2" w:space="0" w:color="auto"/>
              <w:bottom w:val="single" w:sz="12" w:space="0" w:color="auto"/>
            </w:tcBorders>
            <w:shd w:val="clear" w:color="auto" w:fill="auto"/>
          </w:tcPr>
          <w:p w14:paraId="05D31934" w14:textId="77777777" w:rsidR="00F46E83" w:rsidRPr="005E3B43" w:rsidRDefault="00F46E83" w:rsidP="00763BCF">
            <w:pPr>
              <w:pStyle w:val="Tabletext"/>
            </w:pPr>
            <w:r w:rsidRPr="005E3B43">
              <w:t>radiosynovectomy treatment</w:t>
            </w:r>
          </w:p>
        </w:tc>
      </w:tr>
    </w:tbl>
    <w:p w14:paraId="0FC7AB13" w14:textId="37241822" w:rsidR="00C410E6" w:rsidRPr="005E3B43" w:rsidRDefault="00C410E6" w:rsidP="00763BCF">
      <w:pPr>
        <w:pStyle w:val="subsection"/>
      </w:pPr>
      <w:r w:rsidRPr="005E3B43">
        <w:tab/>
        <w:t>(1C)</w:t>
      </w:r>
      <w:r w:rsidRPr="005E3B43">
        <w:tab/>
        <w:t>For the purposes of sub</w:t>
      </w:r>
      <w:r w:rsidR="007C3215">
        <w:t>section 1</w:t>
      </w:r>
      <w:r w:rsidRPr="005E3B43">
        <w:t>9(6) of the Act, paragraph 19(6)(aa) of the Act does not apply if the supply is of a medicine by the medical practitioner to a patient of that practitioner, where:</w:t>
      </w:r>
    </w:p>
    <w:p w14:paraId="79FAA681" w14:textId="77777777" w:rsidR="00C410E6" w:rsidRPr="005E3B43" w:rsidRDefault="00C410E6" w:rsidP="00763BCF">
      <w:pPr>
        <w:pStyle w:val="paragraph"/>
      </w:pPr>
      <w:r w:rsidRPr="005E3B43">
        <w:tab/>
        <w:t>(a)</w:t>
      </w:r>
      <w:r w:rsidRPr="005E3B43">
        <w:tab/>
        <w:t>the circumstances specified in column 2 of an item in the following table exist in relation to the medicine; and</w:t>
      </w:r>
    </w:p>
    <w:p w14:paraId="1FD2A252" w14:textId="77777777" w:rsidR="00C410E6" w:rsidRPr="005E3B43" w:rsidRDefault="00C410E6" w:rsidP="00763BCF">
      <w:pPr>
        <w:pStyle w:val="paragraph"/>
      </w:pPr>
      <w:r w:rsidRPr="005E3B43">
        <w:tab/>
        <w:t>(b)</w:t>
      </w:r>
      <w:r w:rsidRPr="005E3B43">
        <w:tab/>
        <w:t>the medicine is in the dosage form specified in column 3 of that item; and</w:t>
      </w:r>
    </w:p>
    <w:p w14:paraId="6EA9D637" w14:textId="77777777" w:rsidR="00C410E6" w:rsidRPr="005E3B43" w:rsidRDefault="00C410E6" w:rsidP="00763BCF">
      <w:pPr>
        <w:pStyle w:val="paragraph"/>
      </w:pPr>
      <w:r w:rsidRPr="005E3B43">
        <w:tab/>
        <w:t>(c)</w:t>
      </w:r>
      <w:r w:rsidRPr="005E3B43">
        <w:tab/>
        <w:t>the medicine is to be administered by the route specified in column 4 of that item; and</w:t>
      </w:r>
    </w:p>
    <w:p w14:paraId="048BDF31" w14:textId="77777777" w:rsidR="00C410E6" w:rsidRPr="005E3B43" w:rsidRDefault="00C410E6" w:rsidP="00763BCF">
      <w:pPr>
        <w:pStyle w:val="paragraph"/>
      </w:pPr>
      <w:r w:rsidRPr="005E3B43">
        <w:tab/>
        <w:t>(d)</w:t>
      </w:r>
      <w:r w:rsidRPr="005E3B43">
        <w:tab/>
        <w:t>the supply is for the indication specified in column 5 of that item.</w:t>
      </w:r>
    </w:p>
    <w:p w14:paraId="04FDFACD" w14:textId="77777777" w:rsidR="00C410E6" w:rsidRPr="005E3B43" w:rsidRDefault="00C410E6" w:rsidP="00763BCF">
      <w:pPr>
        <w:pStyle w:val="Tabletext"/>
      </w:pPr>
    </w:p>
    <w:tbl>
      <w:tblPr>
        <w:tblW w:w="500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00"/>
        <w:gridCol w:w="2409"/>
        <w:gridCol w:w="1134"/>
        <w:gridCol w:w="1561"/>
        <w:gridCol w:w="2325"/>
      </w:tblGrid>
      <w:tr w:rsidR="00C410E6" w:rsidRPr="005E3B43" w14:paraId="5C4DA20C" w14:textId="77777777" w:rsidTr="001839A3">
        <w:trPr>
          <w:trHeight w:val="57"/>
          <w:tblHeader/>
        </w:trPr>
        <w:tc>
          <w:tcPr>
            <w:tcW w:w="5000" w:type="pct"/>
            <w:gridSpan w:val="5"/>
            <w:tcBorders>
              <w:top w:val="single" w:sz="12" w:space="0" w:color="auto"/>
              <w:bottom w:val="nil"/>
            </w:tcBorders>
          </w:tcPr>
          <w:p w14:paraId="1E8B2D18" w14:textId="77777777" w:rsidR="00C410E6" w:rsidRPr="005E3B43" w:rsidRDefault="00C410E6" w:rsidP="00763BCF">
            <w:pPr>
              <w:pStyle w:val="TableHeading"/>
            </w:pPr>
            <w:r w:rsidRPr="005E3B43">
              <w:t>Specified therapeutic goods</w:t>
            </w:r>
          </w:p>
        </w:tc>
      </w:tr>
      <w:tr w:rsidR="00C410E6" w:rsidRPr="005E3B43" w14:paraId="3F3343A4" w14:textId="77777777" w:rsidTr="001839A3">
        <w:trPr>
          <w:trHeight w:val="57"/>
          <w:tblHeader/>
        </w:trPr>
        <w:tc>
          <w:tcPr>
            <w:tcW w:w="645" w:type="pct"/>
            <w:tcBorders>
              <w:top w:val="nil"/>
              <w:bottom w:val="single" w:sz="2" w:space="0" w:color="auto"/>
            </w:tcBorders>
          </w:tcPr>
          <w:p w14:paraId="294E8645" w14:textId="77777777" w:rsidR="00C410E6" w:rsidRPr="005E3B43" w:rsidRDefault="00C410E6" w:rsidP="00763BCF">
            <w:pPr>
              <w:pStyle w:val="TableHeading"/>
            </w:pPr>
            <w:r w:rsidRPr="005E3B43">
              <w:t>Column 1</w:t>
            </w:r>
          </w:p>
        </w:tc>
        <w:tc>
          <w:tcPr>
            <w:tcW w:w="1412" w:type="pct"/>
            <w:tcBorders>
              <w:top w:val="nil"/>
              <w:bottom w:val="single" w:sz="2" w:space="0" w:color="auto"/>
            </w:tcBorders>
            <w:shd w:val="clear" w:color="auto" w:fill="auto"/>
          </w:tcPr>
          <w:p w14:paraId="4481CBB9" w14:textId="77777777" w:rsidR="00C410E6" w:rsidRPr="005E3B43" w:rsidRDefault="00C410E6" w:rsidP="00763BCF">
            <w:pPr>
              <w:pStyle w:val="TableHeading"/>
            </w:pPr>
            <w:r w:rsidRPr="005E3B43">
              <w:t>Column 2</w:t>
            </w:r>
          </w:p>
        </w:tc>
        <w:tc>
          <w:tcPr>
            <w:tcW w:w="665" w:type="pct"/>
            <w:tcBorders>
              <w:top w:val="nil"/>
              <w:bottom w:val="single" w:sz="2" w:space="0" w:color="auto"/>
            </w:tcBorders>
            <w:shd w:val="clear" w:color="auto" w:fill="auto"/>
          </w:tcPr>
          <w:p w14:paraId="42715D10" w14:textId="77777777" w:rsidR="00C410E6" w:rsidRPr="005E3B43" w:rsidRDefault="00C410E6" w:rsidP="00763BCF">
            <w:pPr>
              <w:pStyle w:val="TableHeading"/>
            </w:pPr>
            <w:r w:rsidRPr="005E3B43">
              <w:t>Column 3</w:t>
            </w:r>
          </w:p>
        </w:tc>
        <w:tc>
          <w:tcPr>
            <w:tcW w:w="915" w:type="pct"/>
            <w:tcBorders>
              <w:top w:val="nil"/>
              <w:bottom w:val="single" w:sz="2" w:space="0" w:color="auto"/>
            </w:tcBorders>
            <w:shd w:val="clear" w:color="auto" w:fill="auto"/>
          </w:tcPr>
          <w:p w14:paraId="120BF506" w14:textId="77777777" w:rsidR="00C410E6" w:rsidRPr="005E3B43" w:rsidRDefault="00C410E6" w:rsidP="00763BCF">
            <w:pPr>
              <w:pStyle w:val="TableHeading"/>
            </w:pPr>
            <w:r w:rsidRPr="005E3B43">
              <w:t>Column 4</w:t>
            </w:r>
          </w:p>
        </w:tc>
        <w:tc>
          <w:tcPr>
            <w:tcW w:w="1363" w:type="pct"/>
            <w:tcBorders>
              <w:top w:val="nil"/>
              <w:bottom w:val="single" w:sz="2" w:space="0" w:color="auto"/>
            </w:tcBorders>
            <w:shd w:val="clear" w:color="auto" w:fill="auto"/>
          </w:tcPr>
          <w:p w14:paraId="6FC3A238" w14:textId="77777777" w:rsidR="00C410E6" w:rsidRPr="005E3B43" w:rsidRDefault="00C410E6" w:rsidP="00763BCF">
            <w:pPr>
              <w:pStyle w:val="TableHeading"/>
            </w:pPr>
            <w:r w:rsidRPr="005E3B43">
              <w:t>Column 5</w:t>
            </w:r>
          </w:p>
        </w:tc>
      </w:tr>
      <w:tr w:rsidR="00C410E6" w:rsidRPr="005E3B43" w14:paraId="71919B37" w14:textId="77777777" w:rsidTr="001839A3">
        <w:trPr>
          <w:trHeight w:val="57"/>
          <w:tblHeader/>
        </w:trPr>
        <w:tc>
          <w:tcPr>
            <w:tcW w:w="645" w:type="pct"/>
            <w:tcBorders>
              <w:top w:val="single" w:sz="2" w:space="0" w:color="auto"/>
              <w:bottom w:val="single" w:sz="12" w:space="0" w:color="auto"/>
            </w:tcBorders>
          </w:tcPr>
          <w:p w14:paraId="2CB6C9D0" w14:textId="77777777" w:rsidR="00C410E6" w:rsidRPr="005E3B43" w:rsidRDefault="00C410E6" w:rsidP="00763BCF">
            <w:pPr>
              <w:pStyle w:val="TableHeading"/>
            </w:pPr>
            <w:r w:rsidRPr="005E3B43">
              <w:t>Item</w:t>
            </w:r>
          </w:p>
        </w:tc>
        <w:tc>
          <w:tcPr>
            <w:tcW w:w="1412" w:type="pct"/>
            <w:tcBorders>
              <w:top w:val="single" w:sz="2" w:space="0" w:color="auto"/>
              <w:bottom w:val="single" w:sz="12" w:space="0" w:color="auto"/>
            </w:tcBorders>
            <w:shd w:val="clear" w:color="auto" w:fill="auto"/>
          </w:tcPr>
          <w:p w14:paraId="7B69053A" w14:textId="77777777" w:rsidR="00C410E6" w:rsidRPr="005E3B43" w:rsidRDefault="00C410E6" w:rsidP="00763BCF">
            <w:pPr>
              <w:pStyle w:val="TableHeading"/>
            </w:pPr>
            <w:r w:rsidRPr="005E3B43">
              <w:t>Circumstances</w:t>
            </w:r>
          </w:p>
        </w:tc>
        <w:tc>
          <w:tcPr>
            <w:tcW w:w="665" w:type="pct"/>
            <w:tcBorders>
              <w:top w:val="single" w:sz="2" w:space="0" w:color="auto"/>
              <w:bottom w:val="single" w:sz="12" w:space="0" w:color="auto"/>
            </w:tcBorders>
            <w:shd w:val="clear" w:color="auto" w:fill="auto"/>
          </w:tcPr>
          <w:p w14:paraId="06FA8C04" w14:textId="77777777" w:rsidR="00C410E6" w:rsidRPr="005E3B43" w:rsidRDefault="00C410E6" w:rsidP="00763BCF">
            <w:pPr>
              <w:pStyle w:val="TableHeading"/>
            </w:pPr>
            <w:r w:rsidRPr="005E3B43">
              <w:t>Dosage form</w:t>
            </w:r>
          </w:p>
        </w:tc>
        <w:tc>
          <w:tcPr>
            <w:tcW w:w="915" w:type="pct"/>
            <w:tcBorders>
              <w:top w:val="single" w:sz="2" w:space="0" w:color="auto"/>
              <w:bottom w:val="single" w:sz="12" w:space="0" w:color="auto"/>
            </w:tcBorders>
            <w:shd w:val="clear" w:color="auto" w:fill="auto"/>
          </w:tcPr>
          <w:p w14:paraId="54DA385D" w14:textId="77777777" w:rsidR="00C410E6" w:rsidRPr="005E3B43" w:rsidRDefault="00C410E6" w:rsidP="00763BCF">
            <w:pPr>
              <w:pStyle w:val="TableHeading"/>
            </w:pPr>
            <w:r w:rsidRPr="005E3B43">
              <w:t>Route of administration</w:t>
            </w:r>
          </w:p>
        </w:tc>
        <w:tc>
          <w:tcPr>
            <w:tcW w:w="1363" w:type="pct"/>
            <w:tcBorders>
              <w:top w:val="single" w:sz="2" w:space="0" w:color="auto"/>
              <w:bottom w:val="single" w:sz="12" w:space="0" w:color="auto"/>
            </w:tcBorders>
            <w:shd w:val="clear" w:color="auto" w:fill="auto"/>
          </w:tcPr>
          <w:p w14:paraId="52B1297E" w14:textId="77777777" w:rsidR="00C410E6" w:rsidRPr="005E3B43" w:rsidRDefault="00C410E6" w:rsidP="00763BCF">
            <w:pPr>
              <w:pStyle w:val="TableHeading"/>
            </w:pPr>
            <w:r w:rsidRPr="005E3B43">
              <w:t>Indication</w:t>
            </w:r>
          </w:p>
        </w:tc>
      </w:tr>
      <w:tr w:rsidR="00C410E6" w:rsidRPr="005E3B43" w14:paraId="4EE41C40" w14:textId="77777777" w:rsidTr="001839A3">
        <w:trPr>
          <w:trHeight w:val="20"/>
        </w:trPr>
        <w:tc>
          <w:tcPr>
            <w:tcW w:w="645" w:type="pct"/>
            <w:tcBorders>
              <w:top w:val="single" w:sz="2" w:space="0" w:color="auto"/>
              <w:bottom w:val="single" w:sz="2" w:space="0" w:color="auto"/>
            </w:tcBorders>
          </w:tcPr>
          <w:p w14:paraId="79FC8204" w14:textId="77777777" w:rsidR="00C410E6" w:rsidRPr="005E3B43" w:rsidRDefault="00C410E6" w:rsidP="00763BCF">
            <w:pPr>
              <w:pStyle w:val="Tabletext"/>
            </w:pPr>
            <w:r w:rsidRPr="005E3B43">
              <w:t>1</w:t>
            </w:r>
          </w:p>
        </w:tc>
        <w:tc>
          <w:tcPr>
            <w:tcW w:w="1412" w:type="pct"/>
            <w:tcBorders>
              <w:top w:val="single" w:sz="2" w:space="0" w:color="auto"/>
              <w:bottom w:val="single" w:sz="2" w:space="0" w:color="auto"/>
            </w:tcBorders>
            <w:shd w:val="clear" w:color="auto" w:fill="auto"/>
          </w:tcPr>
          <w:p w14:paraId="6714C92A" w14:textId="77777777" w:rsidR="00C410E6" w:rsidRPr="005E3B43" w:rsidRDefault="00C410E6" w:rsidP="00763BCF">
            <w:pPr>
              <w:pStyle w:val="Tablea"/>
            </w:pPr>
            <w:r w:rsidRPr="005E3B43">
              <w:t>(a) cannabidiol comprises 98% or more of the total cannabinoid content of the medicine; and</w:t>
            </w:r>
          </w:p>
          <w:p w14:paraId="237637E3" w14:textId="77777777" w:rsidR="00C410E6" w:rsidRPr="005E3B43" w:rsidRDefault="00C410E6" w:rsidP="00763BCF">
            <w:pPr>
              <w:pStyle w:val="Tablea"/>
            </w:pPr>
            <w:r w:rsidRPr="005E3B43">
              <w:lastRenderedPageBreak/>
              <w:t>(b) any cannabinoids, other than cannabidiol, in the medicine are only those naturally found in cannabis and comprise 2% or less of the total cannabinoid content of the medicine; and</w:t>
            </w:r>
          </w:p>
          <w:p w14:paraId="094ABAF6" w14:textId="77777777" w:rsidR="00C410E6" w:rsidRPr="005E3B43" w:rsidRDefault="00C410E6" w:rsidP="00763BCF">
            <w:pPr>
              <w:pStyle w:val="Tablea"/>
            </w:pPr>
            <w:r w:rsidRPr="005E3B43">
              <w:t>(c) the medicine contains no other active ingredients</w:t>
            </w:r>
          </w:p>
        </w:tc>
        <w:tc>
          <w:tcPr>
            <w:tcW w:w="665" w:type="pct"/>
            <w:tcBorders>
              <w:top w:val="single" w:sz="2" w:space="0" w:color="auto"/>
              <w:bottom w:val="single" w:sz="2" w:space="0" w:color="auto"/>
            </w:tcBorders>
            <w:shd w:val="clear" w:color="auto" w:fill="auto"/>
          </w:tcPr>
          <w:p w14:paraId="12F32B63" w14:textId="77777777" w:rsidR="00C410E6" w:rsidRPr="005E3B43" w:rsidRDefault="00C410E6" w:rsidP="00763BCF">
            <w:pPr>
              <w:pStyle w:val="Tabletext"/>
            </w:pPr>
            <w:r w:rsidRPr="005E3B43">
              <w:lastRenderedPageBreak/>
              <w:t>liquid</w:t>
            </w:r>
          </w:p>
        </w:tc>
        <w:tc>
          <w:tcPr>
            <w:tcW w:w="915" w:type="pct"/>
            <w:tcBorders>
              <w:top w:val="single" w:sz="2" w:space="0" w:color="auto"/>
              <w:bottom w:val="single" w:sz="2" w:space="0" w:color="auto"/>
            </w:tcBorders>
            <w:shd w:val="clear" w:color="auto" w:fill="auto"/>
          </w:tcPr>
          <w:p w14:paraId="15D43B66" w14:textId="77777777" w:rsidR="00C410E6" w:rsidRPr="005E3B43" w:rsidRDefault="00C410E6" w:rsidP="00763BCF">
            <w:pPr>
              <w:pStyle w:val="Tabletext"/>
            </w:pPr>
            <w:r w:rsidRPr="005E3B43">
              <w:t>oral</w:t>
            </w:r>
          </w:p>
        </w:tc>
        <w:tc>
          <w:tcPr>
            <w:tcW w:w="1363" w:type="pct"/>
            <w:tcBorders>
              <w:top w:val="single" w:sz="2" w:space="0" w:color="auto"/>
              <w:bottom w:val="single" w:sz="2" w:space="0" w:color="auto"/>
            </w:tcBorders>
            <w:shd w:val="clear" w:color="auto" w:fill="auto"/>
          </w:tcPr>
          <w:p w14:paraId="09F78802" w14:textId="77777777" w:rsidR="00C410E6" w:rsidRPr="005E3B43" w:rsidRDefault="00C410E6" w:rsidP="00763BCF">
            <w:pPr>
              <w:pStyle w:val="Tablea"/>
            </w:pPr>
            <w:r w:rsidRPr="005E3B43">
              <w:t>(a) treatment of refractory chronic pain in adult patients; or</w:t>
            </w:r>
          </w:p>
          <w:p w14:paraId="782960EE" w14:textId="77777777" w:rsidR="005E08D7" w:rsidRPr="005E3B43" w:rsidRDefault="00C410E6" w:rsidP="005E08D7">
            <w:pPr>
              <w:pStyle w:val="Tablea"/>
            </w:pPr>
            <w:r w:rsidRPr="005E3B43">
              <w:t xml:space="preserve">(b) treatment of refractory anxiety in adult </w:t>
            </w:r>
            <w:r w:rsidRPr="005E3B43">
              <w:lastRenderedPageBreak/>
              <w:t>patients</w:t>
            </w:r>
            <w:r w:rsidR="005E08D7" w:rsidRPr="005E3B43">
              <w:t>; or</w:t>
            </w:r>
          </w:p>
          <w:p w14:paraId="6678911B" w14:textId="77777777" w:rsidR="005E08D7" w:rsidRPr="005E3B43" w:rsidRDefault="005E08D7" w:rsidP="005E08D7">
            <w:pPr>
              <w:pStyle w:val="Tablea"/>
            </w:pPr>
            <w:r w:rsidRPr="005E3B43">
              <w:t>(c) treatment of refractory sleep disorders in adult patients; or</w:t>
            </w:r>
          </w:p>
          <w:p w14:paraId="3A63A262" w14:textId="77777777" w:rsidR="005E08D7" w:rsidRPr="005E3B43" w:rsidRDefault="005E08D7" w:rsidP="005E08D7">
            <w:pPr>
              <w:pStyle w:val="Tablea"/>
            </w:pPr>
            <w:r w:rsidRPr="005E3B43">
              <w:t>(d) treatment of autism spectrum disorder in adult patients; or</w:t>
            </w:r>
          </w:p>
          <w:p w14:paraId="1B5960D2" w14:textId="77777777" w:rsidR="00C410E6" w:rsidRPr="005E3B43" w:rsidRDefault="005E08D7">
            <w:pPr>
              <w:pStyle w:val="Tablea"/>
            </w:pPr>
            <w:r w:rsidRPr="005E3B43">
              <w:t>(e) treatment and management of refractory cancer pain in adult patients</w:t>
            </w:r>
          </w:p>
        </w:tc>
      </w:tr>
      <w:tr w:rsidR="00665FB6" w:rsidRPr="005E3B43" w14:paraId="2CE13477" w14:textId="77777777" w:rsidTr="001839A3">
        <w:trPr>
          <w:trHeight w:val="20"/>
        </w:trPr>
        <w:tc>
          <w:tcPr>
            <w:tcW w:w="645" w:type="pct"/>
            <w:tcBorders>
              <w:top w:val="single" w:sz="2" w:space="0" w:color="auto"/>
              <w:bottom w:val="single" w:sz="2" w:space="0" w:color="auto"/>
            </w:tcBorders>
          </w:tcPr>
          <w:p w14:paraId="201C936D" w14:textId="77777777" w:rsidR="00665FB6" w:rsidRPr="005E3B43" w:rsidRDefault="00665FB6" w:rsidP="00665FB6">
            <w:pPr>
              <w:pStyle w:val="Tabletext"/>
            </w:pPr>
            <w:r w:rsidRPr="005E3B43">
              <w:lastRenderedPageBreak/>
              <w:t>1A</w:t>
            </w:r>
          </w:p>
        </w:tc>
        <w:tc>
          <w:tcPr>
            <w:tcW w:w="1412" w:type="pct"/>
            <w:tcBorders>
              <w:top w:val="single" w:sz="2" w:space="0" w:color="auto"/>
              <w:bottom w:val="single" w:sz="2" w:space="0" w:color="auto"/>
            </w:tcBorders>
            <w:shd w:val="clear" w:color="auto" w:fill="auto"/>
          </w:tcPr>
          <w:p w14:paraId="03507DB7" w14:textId="77777777" w:rsidR="00665FB6" w:rsidRPr="005E3B43" w:rsidRDefault="00665FB6" w:rsidP="00665FB6">
            <w:pPr>
              <w:pStyle w:val="Tablea"/>
            </w:pPr>
            <w:r w:rsidRPr="005E3B43">
              <w:t>(a) cannabidiol comprises 98% or more of the total cannabinoid content of the medicine; and</w:t>
            </w:r>
          </w:p>
          <w:p w14:paraId="41F38309" w14:textId="77777777" w:rsidR="00665FB6" w:rsidRPr="005E3B43" w:rsidRDefault="00665FB6" w:rsidP="00665FB6">
            <w:pPr>
              <w:pStyle w:val="Tablea"/>
            </w:pPr>
            <w:r w:rsidRPr="005E3B43">
              <w:t>(b) any cannabinoids, other than cannabidiol, in the medicine are only those naturally found in cannabis and comprise 2% or less of the total cannabinoid content of the medicine; and</w:t>
            </w:r>
          </w:p>
          <w:p w14:paraId="35F6DAE5" w14:textId="77777777" w:rsidR="00665FB6" w:rsidRPr="005E3B43" w:rsidRDefault="00665FB6" w:rsidP="00665FB6">
            <w:pPr>
              <w:pStyle w:val="Tablea"/>
            </w:pPr>
            <w:r w:rsidRPr="005E3B43">
              <w:t>(c) the medicine contains no other active ingredients</w:t>
            </w:r>
          </w:p>
        </w:tc>
        <w:tc>
          <w:tcPr>
            <w:tcW w:w="665" w:type="pct"/>
            <w:tcBorders>
              <w:top w:val="single" w:sz="2" w:space="0" w:color="auto"/>
              <w:bottom w:val="single" w:sz="2" w:space="0" w:color="auto"/>
            </w:tcBorders>
            <w:shd w:val="clear" w:color="auto" w:fill="auto"/>
          </w:tcPr>
          <w:p w14:paraId="5A385FE0" w14:textId="77777777" w:rsidR="00665FB6" w:rsidRPr="005E3B43" w:rsidRDefault="00665FB6" w:rsidP="00665FB6">
            <w:pPr>
              <w:pStyle w:val="Tabletext"/>
            </w:pPr>
            <w:r w:rsidRPr="005E3B43">
              <w:t>spray</w:t>
            </w:r>
          </w:p>
        </w:tc>
        <w:tc>
          <w:tcPr>
            <w:tcW w:w="915" w:type="pct"/>
            <w:tcBorders>
              <w:top w:val="single" w:sz="2" w:space="0" w:color="auto"/>
              <w:bottom w:val="single" w:sz="2" w:space="0" w:color="auto"/>
            </w:tcBorders>
            <w:shd w:val="clear" w:color="auto" w:fill="auto"/>
          </w:tcPr>
          <w:p w14:paraId="3FC308AA" w14:textId="77777777" w:rsidR="00665FB6" w:rsidRPr="005E3B43" w:rsidRDefault="00665FB6" w:rsidP="00665FB6">
            <w:pPr>
              <w:pStyle w:val="Tabletext"/>
            </w:pPr>
            <w:r w:rsidRPr="005E3B43">
              <w:t>oral</w:t>
            </w:r>
          </w:p>
        </w:tc>
        <w:tc>
          <w:tcPr>
            <w:tcW w:w="1363" w:type="pct"/>
            <w:tcBorders>
              <w:top w:val="single" w:sz="2" w:space="0" w:color="auto"/>
              <w:bottom w:val="single" w:sz="2" w:space="0" w:color="auto"/>
            </w:tcBorders>
            <w:shd w:val="clear" w:color="auto" w:fill="auto"/>
          </w:tcPr>
          <w:p w14:paraId="38303800" w14:textId="77777777" w:rsidR="00665FB6" w:rsidRPr="005E3B43" w:rsidRDefault="00665FB6" w:rsidP="0072069B">
            <w:pPr>
              <w:pStyle w:val="Tabletext"/>
            </w:pPr>
            <w:r w:rsidRPr="005E3B43">
              <w:t>treatment of refractory chronic pain in adult patients</w:t>
            </w:r>
          </w:p>
        </w:tc>
      </w:tr>
      <w:tr w:rsidR="00C410E6" w:rsidRPr="005E3B43" w14:paraId="1935474C" w14:textId="77777777" w:rsidTr="001839A3">
        <w:trPr>
          <w:trHeight w:val="20"/>
        </w:trPr>
        <w:tc>
          <w:tcPr>
            <w:tcW w:w="645" w:type="pct"/>
            <w:tcBorders>
              <w:top w:val="single" w:sz="2" w:space="0" w:color="auto"/>
              <w:bottom w:val="single" w:sz="2" w:space="0" w:color="auto"/>
            </w:tcBorders>
          </w:tcPr>
          <w:p w14:paraId="56A67240" w14:textId="77777777" w:rsidR="00C410E6" w:rsidRPr="005E3B43" w:rsidRDefault="00C410E6" w:rsidP="00763BCF">
            <w:pPr>
              <w:pStyle w:val="Tabletext"/>
            </w:pPr>
            <w:r w:rsidRPr="005E3B43">
              <w:t>2</w:t>
            </w:r>
          </w:p>
        </w:tc>
        <w:tc>
          <w:tcPr>
            <w:tcW w:w="1412" w:type="pct"/>
            <w:tcBorders>
              <w:top w:val="single" w:sz="2" w:space="0" w:color="auto"/>
              <w:bottom w:val="single" w:sz="2" w:space="0" w:color="auto"/>
            </w:tcBorders>
            <w:shd w:val="clear" w:color="auto" w:fill="auto"/>
          </w:tcPr>
          <w:p w14:paraId="4A79E3DB" w14:textId="77777777" w:rsidR="00C410E6" w:rsidRPr="005E3B43" w:rsidRDefault="00C410E6" w:rsidP="00763BCF">
            <w:pPr>
              <w:pStyle w:val="Tablea"/>
            </w:pPr>
            <w:r w:rsidRPr="005E3B43">
              <w:t>(a) cannabidiol comprises 98% or more of the total cannabinoid content of the medicine; and</w:t>
            </w:r>
          </w:p>
          <w:p w14:paraId="412723E5" w14:textId="77777777" w:rsidR="00C410E6" w:rsidRPr="005E3B43" w:rsidRDefault="00C410E6" w:rsidP="00763BCF">
            <w:pPr>
              <w:pStyle w:val="Tablea"/>
            </w:pPr>
            <w:r w:rsidRPr="005E3B43">
              <w:t>(b) any cannabinoids, other than cannabidiol, in the medicine are only those naturally found in cannabis and comprise 2% or less of the total cannabinoid content of the medicine; and</w:t>
            </w:r>
          </w:p>
          <w:p w14:paraId="1598F225" w14:textId="77777777" w:rsidR="00C410E6" w:rsidRPr="005E3B43" w:rsidRDefault="00C410E6" w:rsidP="00763BCF">
            <w:pPr>
              <w:pStyle w:val="Tablea"/>
            </w:pPr>
            <w:r w:rsidRPr="005E3B43">
              <w:t>(c) the medicine contains no other active ingredients</w:t>
            </w:r>
          </w:p>
        </w:tc>
        <w:tc>
          <w:tcPr>
            <w:tcW w:w="665" w:type="pct"/>
            <w:tcBorders>
              <w:top w:val="single" w:sz="2" w:space="0" w:color="auto"/>
              <w:bottom w:val="single" w:sz="2" w:space="0" w:color="auto"/>
            </w:tcBorders>
            <w:shd w:val="clear" w:color="auto" w:fill="auto"/>
          </w:tcPr>
          <w:p w14:paraId="278E22C6" w14:textId="77777777" w:rsidR="00C410E6" w:rsidRPr="005E3B43" w:rsidRDefault="00C410E6" w:rsidP="00763BCF">
            <w:pPr>
              <w:pStyle w:val="Tabletext"/>
            </w:pPr>
            <w:r w:rsidRPr="005E3B43">
              <w:t>capsule</w:t>
            </w:r>
          </w:p>
        </w:tc>
        <w:tc>
          <w:tcPr>
            <w:tcW w:w="915" w:type="pct"/>
            <w:tcBorders>
              <w:top w:val="single" w:sz="2" w:space="0" w:color="auto"/>
              <w:bottom w:val="single" w:sz="2" w:space="0" w:color="auto"/>
            </w:tcBorders>
            <w:shd w:val="clear" w:color="auto" w:fill="auto"/>
          </w:tcPr>
          <w:p w14:paraId="12D8DBA7" w14:textId="77777777" w:rsidR="00C410E6" w:rsidRPr="005E3B43" w:rsidRDefault="00C410E6" w:rsidP="00763BCF">
            <w:pPr>
              <w:pStyle w:val="Tabletext"/>
            </w:pPr>
            <w:r w:rsidRPr="005E3B43">
              <w:t>oral</w:t>
            </w:r>
          </w:p>
        </w:tc>
        <w:tc>
          <w:tcPr>
            <w:tcW w:w="1363" w:type="pct"/>
            <w:tcBorders>
              <w:top w:val="single" w:sz="2" w:space="0" w:color="auto"/>
              <w:bottom w:val="single" w:sz="2" w:space="0" w:color="auto"/>
            </w:tcBorders>
            <w:shd w:val="clear" w:color="auto" w:fill="auto"/>
          </w:tcPr>
          <w:p w14:paraId="246F415A" w14:textId="77777777" w:rsidR="00C410E6" w:rsidRPr="005E3B43" w:rsidRDefault="00C410E6" w:rsidP="00763BCF">
            <w:pPr>
              <w:pStyle w:val="Tablea"/>
            </w:pPr>
            <w:r w:rsidRPr="005E3B43">
              <w:t>(a) treatment of refractory chronic pain in adult patients; or</w:t>
            </w:r>
          </w:p>
          <w:p w14:paraId="5B2AEF90" w14:textId="77777777" w:rsidR="00C410E6" w:rsidRPr="005E3B43" w:rsidRDefault="00C410E6" w:rsidP="00763BCF">
            <w:pPr>
              <w:pStyle w:val="Tablea"/>
            </w:pPr>
            <w:r w:rsidRPr="005E3B43">
              <w:t>(b) treatment of refractory anxiety in adult patients</w:t>
            </w:r>
          </w:p>
        </w:tc>
      </w:tr>
      <w:tr w:rsidR="00C410E6" w:rsidRPr="005E3B43" w14:paraId="5A073F14" w14:textId="77777777" w:rsidTr="001839A3">
        <w:trPr>
          <w:trHeight w:val="20"/>
        </w:trPr>
        <w:tc>
          <w:tcPr>
            <w:tcW w:w="645" w:type="pct"/>
            <w:tcBorders>
              <w:top w:val="single" w:sz="2" w:space="0" w:color="auto"/>
              <w:bottom w:val="single" w:sz="2" w:space="0" w:color="auto"/>
            </w:tcBorders>
          </w:tcPr>
          <w:p w14:paraId="2BFCFC3D" w14:textId="77777777" w:rsidR="00C410E6" w:rsidRPr="005E3B43" w:rsidRDefault="00C410E6" w:rsidP="00763BCF">
            <w:pPr>
              <w:pStyle w:val="Tabletext"/>
            </w:pPr>
            <w:r w:rsidRPr="005E3B43">
              <w:t>3</w:t>
            </w:r>
          </w:p>
        </w:tc>
        <w:tc>
          <w:tcPr>
            <w:tcW w:w="1412" w:type="pct"/>
            <w:tcBorders>
              <w:top w:val="single" w:sz="2" w:space="0" w:color="auto"/>
              <w:bottom w:val="single" w:sz="2" w:space="0" w:color="auto"/>
            </w:tcBorders>
            <w:shd w:val="clear" w:color="auto" w:fill="auto"/>
          </w:tcPr>
          <w:p w14:paraId="23656A88" w14:textId="77777777" w:rsidR="00C410E6" w:rsidRPr="005E3B43" w:rsidRDefault="00C410E6" w:rsidP="00763BCF">
            <w:pPr>
              <w:pStyle w:val="Tablea"/>
            </w:pPr>
            <w:r w:rsidRPr="005E3B43">
              <w:t xml:space="preserve">(a) cannabidiol derived from cannabis comprises 60% or more </w:t>
            </w:r>
            <w:r w:rsidRPr="005E3B43">
              <w:lastRenderedPageBreak/>
              <w:t>and less than 98% of the total cannabinoid content of the medicine; and</w:t>
            </w:r>
          </w:p>
          <w:p w14:paraId="04B4A9FE" w14:textId="77777777" w:rsidR="00C410E6" w:rsidRPr="005E3B43" w:rsidRDefault="00C410E6" w:rsidP="00763BCF">
            <w:pPr>
              <w:pStyle w:val="Tablea"/>
            </w:pPr>
            <w:r w:rsidRPr="005E3B43">
              <w:t>(b) other cannabinoids (including tetrahydrocannabinol) derived from cannabis comprise the remaining cannabinoid content of the medicine; and</w:t>
            </w:r>
          </w:p>
          <w:p w14:paraId="21EA2CCC" w14:textId="77777777" w:rsidR="00C410E6" w:rsidRPr="005E3B43" w:rsidRDefault="00C410E6" w:rsidP="00763BCF">
            <w:pPr>
              <w:pStyle w:val="Tablea"/>
            </w:pPr>
            <w:r w:rsidRPr="005E3B43">
              <w:t>(c) the medicine contains no other active ingredients</w:t>
            </w:r>
          </w:p>
        </w:tc>
        <w:tc>
          <w:tcPr>
            <w:tcW w:w="665" w:type="pct"/>
            <w:tcBorders>
              <w:top w:val="single" w:sz="2" w:space="0" w:color="auto"/>
              <w:bottom w:val="single" w:sz="2" w:space="0" w:color="auto"/>
            </w:tcBorders>
            <w:shd w:val="clear" w:color="auto" w:fill="auto"/>
          </w:tcPr>
          <w:p w14:paraId="2FC55871" w14:textId="77777777" w:rsidR="00C410E6" w:rsidRPr="005E3B43" w:rsidRDefault="00C410E6" w:rsidP="00763BCF">
            <w:pPr>
              <w:pStyle w:val="Tabletext"/>
            </w:pPr>
            <w:r w:rsidRPr="005E3B43">
              <w:lastRenderedPageBreak/>
              <w:t>liquid</w:t>
            </w:r>
          </w:p>
        </w:tc>
        <w:tc>
          <w:tcPr>
            <w:tcW w:w="915" w:type="pct"/>
            <w:tcBorders>
              <w:top w:val="single" w:sz="2" w:space="0" w:color="auto"/>
              <w:bottom w:val="single" w:sz="2" w:space="0" w:color="auto"/>
            </w:tcBorders>
            <w:shd w:val="clear" w:color="auto" w:fill="auto"/>
          </w:tcPr>
          <w:p w14:paraId="40DEA1B8" w14:textId="77777777" w:rsidR="00C410E6" w:rsidRPr="005E3B43" w:rsidRDefault="00C410E6" w:rsidP="00763BCF">
            <w:pPr>
              <w:pStyle w:val="Tabletext"/>
            </w:pPr>
            <w:r w:rsidRPr="005E3B43">
              <w:t>oral</w:t>
            </w:r>
          </w:p>
        </w:tc>
        <w:tc>
          <w:tcPr>
            <w:tcW w:w="1363" w:type="pct"/>
            <w:tcBorders>
              <w:top w:val="single" w:sz="2" w:space="0" w:color="auto"/>
              <w:bottom w:val="single" w:sz="2" w:space="0" w:color="auto"/>
            </w:tcBorders>
            <w:shd w:val="clear" w:color="auto" w:fill="auto"/>
          </w:tcPr>
          <w:p w14:paraId="37EEF24D" w14:textId="77777777" w:rsidR="00C410E6" w:rsidRPr="005E3B43" w:rsidRDefault="00C410E6" w:rsidP="00763BCF">
            <w:pPr>
              <w:pStyle w:val="Tablea"/>
            </w:pPr>
            <w:r w:rsidRPr="005E3B43">
              <w:t>(a) treatment of refractory chronic pain in adult patients; or</w:t>
            </w:r>
          </w:p>
          <w:p w14:paraId="64D2415F" w14:textId="77777777" w:rsidR="00B9032A" w:rsidRPr="005E3B43" w:rsidRDefault="00C410E6" w:rsidP="00B9032A">
            <w:pPr>
              <w:pStyle w:val="Tablea"/>
            </w:pPr>
            <w:r w:rsidRPr="005E3B43">
              <w:lastRenderedPageBreak/>
              <w:t>(b) treatment of refractory anxiety in adult patients</w:t>
            </w:r>
            <w:r w:rsidR="00B9032A" w:rsidRPr="005E3B43">
              <w:t>; or</w:t>
            </w:r>
          </w:p>
          <w:p w14:paraId="7122CBB3" w14:textId="77777777" w:rsidR="00B9032A" w:rsidRPr="005E3B43" w:rsidRDefault="00B9032A" w:rsidP="00B9032A">
            <w:pPr>
              <w:pStyle w:val="Tablea"/>
            </w:pPr>
            <w:r w:rsidRPr="005E3B43">
              <w:t>(c) treatment of refractory sleep disorders in adult patients; or</w:t>
            </w:r>
          </w:p>
          <w:p w14:paraId="5EED8B56" w14:textId="77777777" w:rsidR="00C410E6" w:rsidRPr="005E3B43" w:rsidRDefault="00B9032A" w:rsidP="00763BCF">
            <w:pPr>
              <w:pStyle w:val="Tablea"/>
            </w:pPr>
            <w:r w:rsidRPr="005E3B43">
              <w:t>(d) treatment and management of refractory cancer pain in adult patients</w:t>
            </w:r>
          </w:p>
        </w:tc>
      </w:tr>
      <w:tr w:rsidR="00C410E6" w:rsidRPr="005E3B43" w14:paraId="5D0B241B" w14:textId="77777777" w:rsidTr="001839A3">
        <w:trPr>
          <w:trHeight w:val="20"/>
        </w:trPr>
        <w:tc>
          <w:tcPr>
            <w:tcW w:w="645" w:type="pct"/>
            <w:tcBorders>
              <w:top w:val="single" w:sz="2" w:space="0" w:color="auto"/>
              <w:bottom w:val="single" w:sz="2" w:space="0" w:color="auto"/>
            </w:tcBorders>
          </w:tcPr>
          <w:p w14:paraId="630BBE20" w14:textId="77777777" w:rsidR="00C410E6" w:rsidRPr="005E3B43" w:rsidRDefault="00C410E6" w:rsidP="00763BCF">
            <w:pPr>
              <w:pStyle w:val="Tabletext"/>
            </w:pPr>
            <w:r w:rsidRPr="005E3B43">
              <w:lastRenderedPageBreak/>
              <w:t>4</w:t>
            </w:r>
          </w:p>
        </w:tc>
        <w:tc>
          <w:tcPr>
            <w:tcW w:w="1412" w:type="pct"/>
            <w:tcBorders>
              <w:top w:val="single" w:sz="2" w:space="0" w:color="auto"/>
              <w:bottom w:val="single" w:sz="2" w:space="0" w:color="auto"/>
            </w:tcBorders>
            <w:shd w:val="clear" w:color="auto" w:fill="auto"/>
          </w:tcPr>
          <w:p w14:paraId="5489C5FD" w14:textId="77777777" w:rsidR="00C410E6" w:rsidRPr="005E3B43" w:rsidRDefault="00C410E6" w:rsidP="00763BCF">
            <w:pPr>
              <w:pStyle w:val="Tablea"/>
            </w:pPr>
            <w:r w:rsidRPr="005E3B43">
              <w:t>(a) cannabidiol derived from cannabis comprises 60% or more and less than 98% of the total cannabinoid content of the medicine; and</w:t>
            </w:r>
          </w:p>
          <w:p w14:paraId="447D581F" w14:textId="77777777" w:rsidR="00C410E6" w:rsidRPr="005E3B43" w:rsidRDefault="00C410E6" w:rsidP="00763BCF">
            <w:pPr>
              <w:pStyle w:val="Tablea"/>
            </w:pPr>
            <w:r w:rsidRPr="005E3B43">
              <w:t>(b) other cannabinoids (including tetrahydrocannabinol) derived from cannabis comprise the remaining cannabinoid content of the medicine; and</w:t>
            </w:r>
          </w:p>
          <w:p w14:paraId="17AA759B" w14:textId="77777777" w:rsidR="00C410E6" w:rsidRPr="005E3B43" w:rsidRDefault="00C410E6" w:rsidP="00763BCF">
            <w:pPr>
              <w:pStyle w:val="Tablea"/>
            </w:pPr>
            <w:r w:rsidRPr="005E3B43">
              <w:t>(c) the medicine contains no other active ingredients</w:t>
            </w:r>
          </w:p>
        </w:tc>
        <w:tc>
          <w:tcPr>
            <w:tcW w:w="665" w:type="pct"/>
            <w:tcBorders>
              <w:top w:val="single" w:sz="2" w:space="0" w:color="auto"/>
              <w:bottom w:val="single" w:sz="2" w:space="0" w:color="auto"/>
            </w:tcBorders>
            <w:shd w:val="clear" w:color="auto" w:fill="auto"/>
          </w:tcPr>
          <w:p w14:paraId="016E74B5" w14:textId="77777777" w:rsidR="00C410E6" w:rsidRPr="005E3B43" w:rsidRDefault="00C410E6" w:rsidP="00763BCF">
            <w:pPr>
              <w:pStyle w:val="Tabletext"/>
            </w:pPr>
            <w:r w:rsidRPr="005E3B43">
              <w:t>capsule</w:t>
            </w:r>
          </w:p>
        </w:tc>
        <w:tc>
          <w:tcPr>
            <w:tcW w:w="915" w:type="pct"/>
            <w:tcBorders>
              <w:top w:val="single" w:sz="2" w:space="0" w:color="auto"/>
              <w:bottom w:val="single" w:sz="2" w:space="0" w:color="auto"/>
            </w:tcBorders>
            <w:shd w:val="clear" w:color="auto" w:fill="auto"/>
          </w:tcPr>
          <w:p w14:paraId="057FFC7B" w14:textId="77777777" w:rsidR="00C410E6" w:rsidRPr="005E3B43" w:rsidRDefault="00C410E6" w:rsidP="00763BCF">
            <w:pPr>
              <w:pStyle w:val="Tabletext"/>
            </w:pPr>
            <w:r w:rsidRPr="005E3B43">
              <w:t>oral</w:t>
            </w:r>
          </w:p>
        </w:tc>
        <w:tc>
          <w:tcPr>
            <w:tcW w:w="1363" w:type="pct"/>
            <w:tcBorders>
              <w:top w:val="single" w:sz="2" w:space="0" w:color="auto"/>
              <w:bottom w:val="single" w:sz="2" w:space="0" w:color="auto"/>
            </w:tcBorders>
            <w:shd w:val="clear" w:color="auto" w:fill="auto"/>
          </w:tcPr>
          <w:p w14:paraId="1A059B0E" w14:textId="77777777" w:rsidR="00C410E6" w:rsidRPr="005E3B43" w:rsidRDefault="00C410E6" w:rsidP="00763BCF">
            <w:pPr>
              <w:pStyle w:val="Tablea"/>
            </w:pPr>
            <w:r w:rsidRPr="005E3B43">
              <w:t>(a) treatment of refractory chronic pain in adult patients; or</w:t>
            </w:r>
          </w:p>
          <w:p w14:paraId="641A390A" w14:textId="77777777" w:rsidR="00C410E6" w:rsidRPr="005E3B43" w:rsidRDefault="00C410E6" w:rsidP="00763BCF">
            <w:pPr>
              <w:pStyle w:val="Tablea"/>
            </w:pPr>
            <w:r w:rsidRPr="005E3B43">
              <w:t>(b) treatment of refractory anxiety in adult patients</w:t>
            </w:r>
          </w:p>
        </w:tc>
      </w:tr>
      <w:tr w:rsidR="00C410E6" w:rsidRPr="005E3B43" w14:paraId="7BE58CFA" w14:textId="77777777" w:rsidTr="001839A3">
        <w:trPr>
          <w:trHeight w:val="20"/>
        </w:trPr>
        <w:tc>
          <w:tcPr>
            <w:tcW w:w="645" w:type="pct"/>
            <w:tcBorders>
              <w:top w:val="single" w:sz="2" w:space="0" w:color="auto"/>
              <w:bottom w:val="single" w:sz="2" w:space="0" w:color="auto"/>
            </w:tcBorders>
          </w:tcPr>
          <w:p w14:paraId="0F750C4F" w14:textId="77777777" w:rsidR="00C410E6" w:rsidRPr="005E3B43" w:rsidRDefault="00C410E6" w:rsidP="00763BCF">
            <w:pPr>
              <w:pStyle w:val="Tabletext"/>
            </w:pPr>
            <w:r w:rsidRPr="005E3B43">
              <w:t>5</w:t>
            </w:r>
          </w:p>
        </w:tc>
        <w:tc>
          <w:tcPr>
            <w:tcW w:w="1412" w:type="pct"/>
            <w:tcBorders>
              <w:top w:val="single" w:sz="2" w:space="0" w:color="auto"/>
              <w:bottom w:val="single" w:sz="2" w:space="0" w:color="auto"/>
            </w:tcBorders>
            <w:shd w:val="clear" w:color="auto" w:fill="auto"/>
          </w:tcPr>
          <w:p w14:paraId="1865E6C7" w14:textId="77777777" w:rsidR="00C410E6" w:rsidRPr="005E3B43" w:rsidRDefault="00C410E6" w:rsidP="00763BCF">
            <w:pPr>
              <w:pStyle w:val="Tablea"/>
            </w:pPr>
            <w:r w:rsidRPr="005E3B43">
              <w:t>(a) cannabidiol derived from cannabis comprises 40% or more and less than 60% of the total cannabinoid content of the medicine; and</w:t>
            </w:r>
          </w:p>
          <w:p w14:paraId="18531CFD" w14:textId="77777777" w:rsidR="00C410E6" w:rsidRPr="005E3B43" w:rsidRDefault="00C410E6" w:rsidP="00763BCF">
            <w:pPr>
              <w:pStyle w:val="Tablea"/>
            </w:pPr>
            <w:r w:rsidRPr="005E3B43">
              <w:t>(b) other cannabinoids (including tetrahydrocannabinol) derived from cannabis comprise the remaining cannabinoid content of the medicine; and</w:t>
            </w:r>
          </w:p>
          <w:p w14:paraId="478BCE55" w14:textId="77777777" w:rsidR="00C410E6" w:rsidRPr="005E3B43" w:rsidRDefault="00C410E6" w:rsidP="00763BCF">
            <w:pPr>
              <w:pStyle w:val="Tablea"/>
            </w:pPr>
            <w:r w:rsidRPr="005E3B43">
              <w:t xml:space="preserve">(c) the medicine contains </w:t>
            </w:r>
            <w:r w:rsidRPr="005E3B43">
              <w:lastRenderedPageBreak/>
              <w:t>no other active ingredients</w:t>
            </w:r>
          </w:p>
        </w:tc>
        <w:tc>
          <w:tcPr>
            <w:tcW w:w="665" w:type="pct"/>
            <w:tcBorders>
              <w:top w:val="single" w:sz="2" w:space="0" w:color="auto"/>
              <w:bottom w:val="single" w:sz="2" w:space="0" w:color="auto"/>
            </w:tcBorders>
            <w:shd w:val="clear" w:color="auto" w:fill="auto"/>
          </w:tcPr>
          <w:p w14:paraId="5977641A" w14:textId="77777777" w:rsidR="00C410E6" w:rsidRPr="005E3B43" w:rsidRDefault="00C410E6" w:rsidP="00763BCF">
            <w:pPr>
              <w:pStyle w:val="Tabletext"/>
            </w:pPr>
            <w:r w:rsidRPr="005E3B43">
              <w:lastRenderedPageBreak/>
              <w:t>liquid</w:t>
            </w:r>
          </w:p>
        </w:tc>
        <w:tc>
          <w:tcPr>
            <w:tcW w:w="915" w:type="pct"/>
            <w:tcBorders>
              <w:top w:val="single" w:sz="2" w:space="0" w:color="auto"/>
              <w:bottom w:val="single" w:sz="2" w:space="0" w:color="auto"/>
            </w:tcBorders>
            <w:shd w:val="clear" w:color="auto" w:fill="auto"/>
          </w:tcPr>
          <w:p w14:paraId="54480F63" w14:textId="77777777" w:rsidR="00C410E6" w:rsidRPr="005E3B43" w:rsidRDefault="00C410E6" w:rsidP="00763BCF">
            <w:pPr>
              <w:pStyle w:val="Tabletext"/>
            </w:pPr>
            <w:r w:rsidRPr="005E3B43">
              <w:t>oral</w:t>
            </w:r>
          </w:p>
        </w:tc>
        <w:tc>
          <w:tcPr>
            <w:tcW w:w="1363" w:type="pct"/>
            <w:tcBorders>
              <w:top w:val="single" w:sz="2" w:space="0" w:color="auto"/>
              <w:bottom w:val="single" w:sz="2" w:space="0" w:color="auto"/>
            </w:tcBorders>
            <w:shd w:val="clear" w:color="auto" w:fill="auto"/>
          </w:tcPr>
          <w:p w14:paraId="6B832FEA" w14:textId="77777777" w:rsidR="00B9032A" w:rsidRPr="005E3B43" w:rsidRDefault="00B9032A" w:rsidP="00B9032A">
            <w:pPr>
              <w:pStyle w:val="Tablea"/>
            </w:pPr>
            <w:r w:rsidRPr="005E3B43">
              <w:t>(a) treatment of refractory chronic pain in adult patients; or</w:t>
            </w:r>
          </w:p>
          <w:p w14:paraId="22D213E1" w14:textId="77777777" w:rsidR="00B9032A" w:rsidRPr="005E3B43" w:rsidRDefault="00B9032A" w:rsidP="00B9032A">
            <w:pPr>
              <w:pStyle w:val="Tablea"/>
            </w:pPr>
            <w:r w:rsidRPr="005E3B43">
              <w:t>(b) treatment of refractory sleep disorders in adult patients; or</w:t>
            </w:r>
          </w:p>
          <w:p w14:paraId="7051598E" w14:textId="77777777" w:rsidR="00C410E6" w:rsidRPr="005E3B43" w:rsidRDefault="00B9032A" w:rsidP="00AF1BB0">
            <w:pPr>
              <w:pStyle w:val="Tablea"/>
            </w:pPr>
            <w:r w:rsidRPr="005E3B43">
              <w:t>(c) treatment and management of refractory cancer pain in adult patients</w:t>
            </w:r>
          </w:p>
        </w:tc>
      </w:tr>
      <w:tr w:rsidR="00C410E6" w:rsidRPr="005E3B43" w14:paraId="747A2846" w14:textId="77777777" w:rsidTr="001839A3">
        <w:trPr>
          <w:trHeight w:val="20"/>
        </w:trPr>
        <w:tc>
          <w:tcPr>
            <w:tcW w:w="645" w:type="pct"/>
            <w:tcBorders>
              <w:top w:val="single" w:sz="2" w:space="0" w:color="auto"/>
              <w:bottom w:val="single" w:sz="12" w:space="0" w:color="auto"/>
            </w:tcBorders>
          </w:tcPr>
          <w:p w14:paraId="305E3E58" w14:textId="77777777" w:rsidR="00C410E6" w:rsidRPr="005E3B43" w:rsidRDefault="00C410E6" w:rsidP="00763BCF">
            <w:pPr>
              <w:pStyle w:val="Tabletext"/>
            </w:pPr>
            <w:r w:rsidRPr="005E3B43">
              <w:t>6</w:t>
            </w:r>
          </w:p>
        </w:tc>
        <w:tc>
          <w:tcPr>
            <w:tcW w:w="1412" w:type="pct"/>
            <w:tcBorders>
              <w:top w:val="single" w:sz="2" w:space="0" w:color="auto"/>
              <w:bottom w:val="single" w:sz="12" w:space="0" w:color="auto"/>
            </w:tcBorders>
            <w:shd w:val="clear" w:color="auto" w:fill="auto"/>
          </w:tcPr>
          <w:p w14:paraId="2A8A829F" w14:textId="77777777" w:rsidR="00C410E6" w:rsidRPr="005E3B43" w:rsidRDefault="00C410E6" w:rsidP="00763BCF">
            <w:pPr>
              <w:pStyle w:val="Tablea"/>
            </w:pPr>
            <w:r w:rsidRPr="005E3B43">
              <w:t>(a) cannabidiol derived from cannabis comprises 40% or more and less than 60% of the total cannabinoid content of the medicine; and</w:t>
            </w:r>
          </w:p>
          <w:p w14:paraId="1EC1E0A2" w14:textId="77777777" w:rsidR="00C410E6" w:rsidRPr="005E3B43" w:rsidRDefault="00C410E6" w:rsidP="00763BCF">
            <w:pPr>
              <w:pStyle w:val="Tablea"/>
            </w:pPr>
            <w:r w:rsidRPr="005E3B43">
              <w:t>(b) other cannabinoids (including tetrahydrocannabinol) derived from cannabis comprise the remaining cannabinoid content of the medicine; and</w:t>
            </w:r>
          </w:p>
          <w:p w14:paraId="0ED37CA6" w14:textId="77777777" w:rsidR="00C410E6" w:rsidRPr="005E3B43" w:rsidRDefault="00C410E6" w:rsidP="00763BCF">
            <w:pPr>
              <w:pStyle w:val="Tablea"/>
            </w:pPr>
            <w:r w:rsidRPr="005E3B43">
              <w:t>(c) the medicine contains no other active ingredients</w:t>
            </w:r>
          </w:p>
        </w:tc>
        <w:tc>
          <w:tcPr>
            <w:tcW w:w="665" w:type="pct"/>
            <w:tcBorders>
              <w:top w:val="single" w:sz="2" w:space="0" w:color="auto"/>
              <w:bottom w:val="single" w:sz="12" w:space="0" w:color="auto"/>
            </w:tcBorders>
            <w:shd w:val="clear" w:color="auto" w:fill="auto"/>
          </w:tcPr>
          <w:p w14:paraId="62619EF4" w14:textId="77777777" w:rsidR="00C410E6" w:rsidRPr="005E3B43" w:rsidRDefault="00C410E6" w:rsidP="00763BCF">
            <w:pPr>
              <w:pStyle w:val="Tabletext"/>
            </w:pPr>
            <w:r w:rsidRPr="005E3B43">
              <w:t>capsule</w:t>
            </w:r>
          </w:p>
        </w:tc>
        <w:tc>
          <w:tcPr>
            <w:tcW w:w="915" w:type="pct"/>
            <w:tcBorders>
              <w:top w:val="single" w:sz="2" w:space="0" w:color="auto"/>
              <w:bottom w:val="single" w:sz="12" w:space="0" w:color="auto"/>
            </w:tcBorders>
            <w:shd w:val="clear" w:color="auto" w:fill="auto"/>
          </w:tcPr>
          <w:p w14:paraId="561BEEC0" w14:textId="77777777" w:rsidR="00C410E6" w:rsidRPr="005E3B43" w:rsidRDefault="00C410E6" w:rsidP="00763BCF">
            <w:pPr>
              <w:pStyle w:val="Tabletext"/>
            </w:pPr>
            <w:r w:rsidRPr="005E3B43">
              <w:t>oral</w:t>
            </w:r>
          </w:p>
        </w:tc>
        <w:tc>
          <w:tcPr>
            <w:tcW w:w="1363" w:type="pct"/>
            <w:tcBorders>
              <w:top w:val="single" w:sz="2" w:space="0" w:color="auto"/>
              <w:bottom w:val="single" w:sz="12" w:space="0" w:color="auto"/>
            </w:tcBorders>
            <w:shd w:val="clear" w:color="auto" w:fill="auto"/>
          </w:tcPr>
          <w:p w14:paraId="08A31C1D" w14:textId="77777777" w:rsidR="00C410E6" w:rsidRPr="005E3B43" w:rsidRDefault="00C410E6" w:rsidP="00763BCF">
            <w:pPr>
              <w:pStyle w:val="Tabletext"/>
            </w:pPr>
            <w:r w:rsidRPr="005E3B43">
              <w:t xml:space="preserve">treatment of </w:t>
            </w:r>
            <w:r w:rsidRPr="005E3B43">
              <w:rPr>
                <w:iCs/>
              </w:rPr>
              <w:t>refractory chronic pain in adult patients</w:t>
            </w:r>
          </w:p>
        </w:tc>
      </w:tr>
    </w:tbl>
    <w:p w14:paraId="0D67F7EC" w14:textId="565E18D0" w:rsidR="00207B1C" w:rsidRPr="005E3B43" w:rsidRDefault="00207B1C" w:rsidP="00763BCF">
      <w:pPr>
        <w:pStyle w:val="subsection"/>
      </w:pPr>
      <w:r w:rsidRPr="005E3B43">
        <w:tab/>
        <w:t>(2)</w:t>
      </w:r>
      <w:r w:rsidRPr="005E3B43">
        <w:tab/>
        <w:t>The class of recipients prescribed for the purposes of paragraph</w:t>
      </w:r>
      <w:r w:rsidR="004E6D00" w:rsidRPr="005E3B43">
        <w:t> </w:t>
      </w:r>
      <w:r w:rsidRPr="005E3B43">
        <w:t>19(6)(b) of the Act is the class of recipients consisting of persons each of whom is suffering from a life</w:t>
      </w:r>
      <w:r w:rsidR="007C3215">
        <w:noBreakHyphen/>
      </w:r>
      <w:r w:rsidRPr="005E3B43">
        <w:t>threatening, or otherwise serious, illness or condition.</w:t>
      </w:r>
    </w:p>
    <w:p w14:paraId="689EE130" w14:textId="1C854AC3" w:rsidR="00207B1C" w:rsidRPr="005E3B43" w:rsidRDefault="00207B1C" w:rsidP="00763BCF">
      <w:pPr>
        <w:pStyle w:val="subsection"/>
      </w:pPr>
      <w:r w:rsidRPr="005E3B43">
        <w:tab/>
        <w:t>(3)</w:t>
      </w:r>
      <w:r w:rsidRPr="005E3B43">
        <w:tab/>
        <w:t>For the purposes of sub</w:t>
      </w:r>
      <w:r w:rsidR="007C3215">
        <w:t>section 1</w:t>
      </w:r>
      <w:r w:rsidRPr="005E3B43">
        <w:t>9(7) of the Act, the prescribed circumstances in which a medicine, or a class of medicines, may be supplied in accordance with an authority under sub</w:t>
      </w:r>
      <w:r w:rsidR="007C3215">
        <w:t>section 1</w:t>
      </w:r>
      <w:r w:rsidRPr="005E3B43">
        <w:t>9(5) of the Act are that the supplier of the medicine or class of medicines complies with the treatment directions (if any) mentioned in the authority for the medicine or class of medicine.</w:t>
      </w:r>
    </w:p>
    <w:p w14:paraId="3231E114" w14:textId="391FB77F" w:rsidR="00102755" w:rsidRPr="005E3B43" w:rsidRDefault="00102755" w:rsidP="00763BCF">
      <w:pPr>
        <w:pStyle w:val="subsection"/>
      </w:pPr>
      <w:r w:rsidRPr="005E3B43">
        <w:tab/>
        <w:t>(5)</w:t>
      </w:r>
      <w:r w:rsidRPr="005E3B43">
        <w:tab/>
        <w:t>For the purposes of paragraph</w:t>
      </w:r>
      <w:r w:rsidR="004E6D00" w:rsidRPr="005E3B43">
        <w:t> </w:t>
      </w:r>
      <w:r w:rsidRPr="005E3B43">
        <w:t>19(7B)(b) of the Act, rules made under sub</w:t>
      </w:r>
      <w:r w:rsidR="007C3215">
        <w:t>section 1</w:t>
      </w:r>
      <w:r w:rsidRPr="005E3B43">
        <w:t>9(7A) of the Act must not specify a medicine or a class of medicines if the medicine, or a medicine included in the class, contains a substance of a kind covered by an entry in Schedule</w:t>
      </w:r>
      <w:r w:rsidR="004E6D00" w:rsidRPr="005E3B43">
        <w:t> </w:t>
      </w:r>
      <w:r w:rsidRPr="005E3B43">
        <w:t>8, 9 or 10 to the Poisons Standard.</w:t>
      </w:r>
    </w:p>
    <w:p w14:paraId="3E9492A9" w14:textId="7EE98C15" w:rsidR="00102755" w:rsidRPr="005E3B43" w:rsidRDefault="00102755" w:rsidP="00763BCF">
      <w:pPr>
        <w:pStyle w:val="subsection"/>
      </w:pPr>
      <w:r w:rsidRPr="005E3B43">
        <w:tab/>
        <w:t>(6)</w:t>
      </w:r>
      <w:r w:rsidRPr="005E3B43">
        <w:tab/>
        <w:t>For the purposes of paragraph</w:t>
      </w:r>
      <w:r w:rsidR="004E6D00" w:rsidRPr="005E3B43">
        <w:t> </w:t>
      </w:r>
      <w:r w:rsidRPr="005E3B43">
        <w:t>19(7D)(b) of the Act, the information that must be contained in a notification under sub</w:t>
      </w:r>
      <w:r w:rsidR="007C3215">
        <w:t>section 1</w:t>
      </w:r>
      <w:r w:rsidRPr="005E3B43">
        <w:t>9(7C) of the Act in relation to the supply by a health practitioner of a medicine to a person is as follows:</w:t>
      </w:r>
    </w:p>
    <w:p w14:paraId="64CB216D" w14:textId="77777777" w:rsidR="00102755" w:rsidRPr="005E3B43" w:rsidRDefault="00102755" w:rsidP="00763BCF">
      <w:pPr>
        <w:pStyle w:val="paragraph"/>
      </w:pPr>
      <w:r w:rsidRPr="005E3B43">
        <w:tab/>
        <w:t>(a)</w:t>
      </w:r>
      <w:r w:rsidRPr="005E3B43">
        <w:tab/>
        <w:t>the person’s initials, date of birth and gender;</w:t>
      </w:r>
    </w:p>
    <w:p w14:paraId="5FCE501A" w14:textId="77777777" w:rsidR="00102755" w:rsidRPr="005E3B43" w:rsidRDefault="00102755" w:rsidP="00763BCF">
      <w:pPr>
        <w:pStyle w:val="paragraph"/>
      </w:pPr>
      <w:r w:rsidRPr="005E3B43">
        <w:tab/>
        <w:t>(b)</w:t>
      </w:r>
      <w:r w:rsidRPr="005E3B43">
        <w:tab/>
        <w:t>each medical condition in relation to which the medicine was supplied;</w:t>
      </w:r>
    </w:p>
    <w:p w14:paraId="08E3D8CE" w14:textId="77777777" w:rsidR="00102755" w:rsidRPr="005E3B43" w:rsidRDefault="00102755" w:rsidP="00763BCF">
      <w:pPr>
        <w:pStyle w:val="paragraph"/>
      </w:pPr>
      <w:r w:rsidRPr="005E3B43">
        <w:tab/>
        <w:t>(c)</w:t>
      </w:r>
      <w:r w:rsidRPr="005E3B43">
        <w:tab/>
        <w:t>each indication of the medicine in relation to which the medicine was supplied;</w:t>
      </w:r>
    </w:p>
    <w:p w14:paraId="280104C5" w14:textId="77777777" w:rsidR="00102755" w:rsidRPr="005E3B43" w:rsidRDefault="00102755" w:rsidP="00763BCF">
      <w:pPr>
        <w:pStyle w:val="paragraph"/>
      </w:pPr>
      <w:r w:rsidRPr="005E3B43">
        <w:tab/>
        <w:t>(d)</w:t>
      </w:r>
      <w:r w:rsidRPr="005E3B43">
        <w:tab/>
        <w:t>each active ingredient of the medicine;</w:t>
      </w:r>
    </w:p>
    <w:p w14:paraId="4A20BA4E" w14:textId="77777777" w:rsidR="00102755" w:rsidRPr="005E3B43" w:rsidRDefault="00102755" w:rsidP="00763BCF">
      <w:pPr>
        <w:pStyle w:val="paragraph"/>
      </w:pPr>
      <w:r w:rsidRPr="005E3B43">
        <w:tab/>
        <w:t>(e)</w:t>
      </w:r>
      <w:r w:rsidRPr="005E3B43">
        <w:tab/>
        <w:t>the dosage form of the medicine;</w:t>
      </w:r>
    </w:p>
    <w:p w14:paraId="649819C6" w14:textId="77777777" w:rsidR="00102755" w:rsidRPr="005E3B43" w:rsidRDefault="00102755" w:rsidP="00763BCF">
      <w:pPr>
        <w:pStyle w:val="paragraph"/>
      </w:pPr>
      <w:r w:rsidRPr="005E3B43">
        <w:lastRenderedPageBreak/>
        <w:tab/>
        <w:t>(f)</w:t>
      </w:r>
      <w:r w:rsidRPr="005E3B43">
        <w:tab/>
        <w:t>if the release mechanism of the medicine was clinically relevant to the supply of the medicine—information about the release mechanism;</w:t>
      </w:r>
    </w:p>
    <w:p w14:paraId="3A21C029" w14:textId="77777777" w:rsidR="00102755" w:rsidRPr="005E3B43" w:rsidRDefault="00102755" w:rsidP="00763BCF">
      <w:pPr>
        <w:pStyle w:val="paragraph"/>
      </w:pPr>
      <w:r w:rsidRPr="005E3B43">
        <w:tab/>
        <w:t>(g)</w:t>
      </w:r>
      <w:r w:rsidRPr="005E3B43">
        <w:tab/>
        <w:t>if the route of administration of the medicine was clinically relevant to the supply of the medicine—information about the route of administration;</w:t>
      </w:r>
    </w:p>
    <w:p w14:paraId="3BD5A8B5" w14:textId="77777777" w:rsidR="00102755" w:rsidRPr="005E3B43" w:rsidRDefault="00102755" w:rsidP="00763BCF">
      <w:pPr>
        <w:pStyle w:val="paragraph"/>
      </w:pPr>
      <w:r w:rsidRPr="005E3B43">
        <w:tab/>
        <w:t>(h)</w:t>
      </w:r>
      <w:r w:rsidRPr="005E3B43">
        <w:tab/>
        <w:t>the practitioner’s name, AHPRA number and contact details;</w:t>
      </w:r>
    </w:p>
    <w:p w14:paraId="0EB5E9FE" w14:textId="77777777" w:rsidR="00102755" w:rsidRPr="005E3B43" w:rsidRDefault="00102755" w:rsidP="00763BCF">
      <w:pPr>
        <w:pStyle w:val="paragraph"/>
      </w:pPr>
      <w:r w:rsidRPr="005E3B43">
        <w:tab/>
        <w:t>(i)</w:t>
      </w:r>
      <w:r w:rsidRPr="005E3B43">
        <w:tab/>
        <w:t>the health profession in which the practitioner is registered or licensed to practise;</w:t>
      </w:r>
    </w:p>
    <w:p w14:paraId="73DE7EA0" w14:textId="77777777" w:rsidR="00102755" w:rsidRPr="005E3B43" w:rsidRDefault="00102755" w:rsidP="00763BCF">
      <w:pPr>
        <w:pStyle w:val="paragraph"/>
      </w:pPr>
      <w:r w:rsidRPr="005E3B43">
        <w:tab/>
        <w:t>(j)</w:t>
      </w:r>
      <w:r w:rsidRPr="005E3B43">
        <w:tab/>
        <w:t>the address of the practitioner’s principal place of practice.</w:t>
      </w:r>
    </w:p>
    <w:p w14:paraId="39ACB9A9" w14:textId="77777777" w:rsidR="00BF04B0" w:rsidRPr="005E3B43" w:rsidRDefault="00BF04B0" w:rsidP="00BF04B0">
      <w:pPr>
        <w:pStyle w:val="ActHead5"/>
      </w:pPr>
      <w:bookmarkStart w:id="81" w:name="_Toc187135675"/>
      <w:r w:rsidRPr="005E3B43">
        <w:rPr>
          <w:rStyle w:val="CharSectno"/>
        </w:rPr>
        <w:t>12BA</w:t>
      </w:r>
      <w:r w:rsidRPr="005E3B43">
        <w:t xml:space="preserve">  Authorities for certain uses—therapeutic vaping substances that are not medicines</w:t>
      </w:r>
      <w:bookmarkEnd w:id="81"/>
    </w:p>
    <w:p w14:paraId="325B53D9" w14:textId="77777777" w:rsidR="00BF04B0" w:rsidRPr="005E3B43" w:rsidRDefault="00BF04B0" w:rsidP="00BF04B0">
      <w:pPr>
        <w:pStyle w:val="subsection"/>
      </w:pPr>
      <w:r w:rsidRPr="005E3B43">
        <w:tab/>
        <w:t>(1)</w:t>
      </w:r>
      <w:r w:rsidRPr="005E3B43">
        <w:tab/>
        <w:t>For the purposes of paragraph 19(6)(a) of the Act, in relation to therapeutic vaping substances that are not medicines (</w:t>
      </w:r>
      <w:r w:rsidRPr="005E3B43">
        <w:rPr>
          <w:b/>
          <w:i/>
        </w:rPr>
        <w:t>authorised vaping substances</w:t>
      </w:r>
      <w:r w:rsidRPr="005E3B43">
        <w:t>), medical practitioners engaged in clinical practice in or outside a hospital are a prescribed class of medical practitioners.</w:t>
      </w:r>
    </w:p>
    <w:p w14:paraId="74AC824C" w14:textId="5B4BB9D0" w:rsidR="00BF04B0" w:rsidRPr="005E3B43" w:rsidRDefault="00BF04B0" w:rsidP="00BF04B0">
      <w:pPr>
        <w:pStyle w:val="subsection"/>
      </w:pPr>
      <w:r w:rsidRPr="005E3B43">
        <w:tab/>
        <w:t>(2)</w:t>
      </w:r>
      <w:r w:rsidRPr="005E3B43">
        <w:tab/>
        <w:t>For the purposes of sub</w:t>
      </w:r>
      <w:r w:rsidR="007C3215">
        <w:t>section 1</w:t>
      </w:r>
      <w:r w:rsidRPr="005E3B43">
        <w:t>9(6) of the Act, paragraph 19(6)(aa) of the Act does not apply if the supply is of an authorised vaping substance by a medical practitioner to a patient of that practitioner, where:</w:t>
      </w:r>
    </w:p>
    <w:p w14:paraId="190F8EFB" w14:textId="77777777" w:rsidR="00BF04B0" w:rsidRPr="005E3B43" w:rsidRDefault="00BF04B0" w:rsidP="00BF04B0">
      <w:pPr>
        <w:pStyle w:val="paragraph"/>
      </w:pPr>
      <w:r w:rsidRPr="005E3B43">
        <w:tab/>
        <w:t>(a)</w:t>
      </w:r>
      <w:r w:rsidRPr="005E3B43">
        <w:tab/>
        <w:t>the authorised vaping substance is to be administered by inhalation; and</w:t>
      </w:r>
    </w:p>
    <w:p w14:paraId="04ECDFEB" w14:textId="77777777" w:rsidR="00BF04B0" w:rsidRPr="005E3B43" w:rsidRDefault="00BF04B0" w:rsidP="00BF04B0">
      <w:pPr>
        <w:pStyle w:val="paragraph"/>
      </w:pPr>
      <w:r w:rsidRPr="005E3B43">
        <w:tab/>
        <w:t>(b)</w:t>
      </w:r>
      <w:r w:rsidRPr="005E3B43">
        <w:tab/>
        <w:t>the supply is for the indication of the treatment of smoking cessation or management of nicotine dependence.</w:t>
      </w:r>
    </w:p>
    <w:p w14:paraId="0E56FEB6" w14:textId="77777777" w:rsidR="00BF04B0" w:rsidRPr="005E3B43" w:rsidRDefault="00BF04B0" w:rsidP="00BF04B0">
      <w:pPr>
        <w:pStyle w:val="subsection"/>
      </w:pPr>
      <w:r w:rsidRPr="005E3B43">
        <w:tab/>
        <w:t>(3)</w:t>
      </w:r>
      <w:r w:rsidRPr="005E3B43">
        <w:tab/>
        <w:t>The class of recipients prescribed for the purposes of paragraph 19(6)(b) of the Act is the class of recipients consisting of persons each of whom is seeking treatment for smoking cessation or the management of nicotine dependence.</w:t>
      </w:r>
    </w:p>
    <w:p w14:paraId="3A763268" w14:textId="5BE0A1A8" w:rsidR="00BF04B0" w:rsidRPr="005E3B43" w:rsidRDefault="00BF04B0" w:rsidP="00BF04B0">
      <w:pPr>
        <w:pStyle w:val="subsection"/>
      </w:pPr>
      <w:r w:rsidRPr="005E3B43">
        <w:tab/>
        <w:t>(4)</w:t>
      </w:r>
      <w:r w:rsidRPr="005E3B43">
        <w:tab/>
        <w:t>For the purposes of sub</w:t>
      </w:r>
      <w:r w:rsidR="007C3215">
        <w:t>section 1</w:t>
      </w:r>
      <w:r w:rsidRPr="005E3B43">
        <w:t>9(7) of the Act, the prescribed circumstances in which an authorised vaping substance, or a class of authorised vaping substances, may be supplied in accordance with an authority under sub</w:t>
      </w:r>
      <w:r w:rsidR="007C3215">
        <w:t>section 1</w:t>
      </w:r>
      <w:r w:rsidRPr="005E3B43">
        <w:t>9(5) of the Act are that the supplier of the authorised vaping substance or class of authorised vaping substances complies with the treatment directions (if any) mentioned in the authority for the authorised vaping substance or class of authorised vaping substances.</w:t>
      </w:r>
    </w:p>
    <w:p w14:paraId="637892A6" w14:textId="77777777" w:rsidR="00102755" w:rsidRPr="005E3B43" w:rsidRDefault="00102755" w:rsidP="00763BCF">
      <w:pPr>
        <w:pStyle w:val="ActHead5"/>
      </w:pPr>
      <w:bookmarkStart w:id="82" w:name="_Toc187135676"/>
      <w:r w:rsidRPr="005E3B43">
        <w:rPr>
          <w:rStyle w:val="CharSectno"/>
        </w:rPr>
        <w:t>12C</w:t>
      </w:r>
      <w:r w:rsidRPr="005E3B43">
        <w:t xml:space="preserve">  Exemptions for health practitioners—biologicals</w:t>
      </w:r>
      <w:bookmarkEnd w:id="82"/>
    </w:p>
    <w:p w14:paraId="239EE677" w14:textId="77777777" w:rsidR="0061454F" w:rsidRPr="005E3B43" w:rsidRDefault="0061454F" w:rsidP="00763BCF">
      <w:pPr>
        <w:pStyle w:val="subsection"/>
      </w:pPr>
      <w:r w:rsidRPr="005E3B43">
        <w:tab/>
        <w:t>(1)</w:t>
      </w:r>
      <w:r w:rsidRPr="005E3B43">
        <w:tab/>
        <w:t xml:space="preserve">For </w:t>
      </w:r>
      <w:r w:rsidR="00842CCD" w:rsidRPr="005E3B43">
        <w:t>paragraph 3</w:t>
      </w:r>
      <w:r w:rsidRPr="005E3B43">
        <w:t>2CM(4)(a) of the Act, the class of medical practitioners engaged in clinical practice in or outside a hospital is prescribed.</w:t>
      </w:r>
    </w:p>
    <w:p w14:paraId="21FC15E2" w14:textId="77777777" w:rsidR="0061454F" w:rsidRPr="005E3B43" w:rsidRDefault="0061454F" w:rsidP="00763BCF">
      <w:pPr>
        <w:pStyle w:val="subsection"/>
      </w:pPr>
      <w:r w:rsidRPr="005E3B43">
        <w:tab/>
        <w:t>(2)</w:t>
      </w:r>
      <w:r w:rsidRPr="005E3B43">
        <w:tab/>
        <w:t xml:space="preserve">For </w:t>
      </w:r>
      <w:r w:rsidR="00842CCD" w:rsidRPr="005E3B43">
        <w:t>subsection 3</w:t>
      </w:r>
      <w:r w:rsidRPr="005E3B43">
        <w:t xml:space="preserve">2CM(4) of the Act, </w:t>
      </w:r>
      <w:r w:rsidR="00842CCD" w:rsidRPr="005E3B43">
        <w:t>paragraph 3</w:t>
      </w:r>
      <w:r w:rsidRPr="005E3B43">
        <w:t>2CM(4)(b) does not apply to a medical practitioner engaged in clinical practice outside a hospital if the medical practitioner:</w:t>
      </w:r>
    </w:p>
    <w:p w14:paraId="5EE050D9" w14:textId="77777777" w:rsidR="0061454F" w:rsidRPr="005E3B43" w:rsidRDefault="0061454F" w:rsidP="00763BCF">
      <w:pPr>
        <w:pStyle w:val="paragraph"/>
      </w:pPr>
      <w:r w:rsidRPr="005E3B43">
        <w:tab/>
        <w:t>(a)</w:t>
      </w:r>
      <w:r w:rsidRPr="005E3B43">
        <w:tab/>
        <w:t>has demonstrated that, for the proposed supply of the biological, the medical practitioner does not have access to an ethics committee that could approve the supply; and</w:t>
      </w:r>
    </w:p>
    <w:p w14:paraId="5E8A7530" w14:textId="77777777" w:rsidR="0061454F" w:rsidRPr="005E3B43" w:rsidRDefault="0061454F" w:rsidP="00763BCF">
      <w:pPr>
        <w:pStyle w:val="paragraph"/>
      </w:pPr>
      <w:r w:rsidRPr="005E3B43">
        <w:tab/>
        <w:t>(b)</w:t>
      </w:r>
      <w:r w:rsidRPr="005E3B43">
        <w:tab/>
        <w:t>has received an endorsement, from a specialist college with established expertise relevant to the use of the biological, to supply the biological.</w:t>
      </w:r>
    </w:p>
    <w:p w14:paraId="00BEA2E9" w14:textId="342016B1" w:rsidR="0061454F" w:rsidRPr="005E3B43" w:rsidRDefault="0061454F" w:rsidP="00763BCF">
      <w:pPr>
        <w:pStyle w:val="subsection"/>
      </w:pPr>
      <w:r w:rsidRPr="005E3B43">
        <w:lastRenderedPageBreak/>
        <w:tab/>
        <w:t>(3)</w:t>
      </w:r>
      <w:r w:rsidRPr="005E3B43">
        <w:tab/>
        <w:t xml:space="preserve">For </w:t>
      </w:r>
      <w:r w:rsidR="00842CCD" w:rsidRPr="005E3B43">
        <w:t>subsection 3</w:t>
      </w:r>
      <w:r w:rsidRPr="005E3B43">
        <w:t>2CM(5) of the Act, the class of recipients each of whom is suffering from a life</w:t>
      </w:r>
      <w:r w:rsidR="007C3215">
        <w:noBreakHyphen/>
      </w:r>
      <w:r w:rsidRPr="005E3B43">
        <w:t>threatening, or serious, illness or condition is prescribed.</w:t>
      </w:r>
    </w:p>
    <w:p w14:paraId="2C7C6A69" w14:textId="77777777" w:rsidR="0061454F" w:rsidRPr="005E3B43" w:rsidRDefault="0061454F" w:rsidP="00763BCF">
      <w:pPr>
        <w:pStyle w:val="subsection"/>
      </w:pPr>
      <w:r w:rsidRPr="005E3B43">
        <w:tab/>
        <w:t>(4)</w:t>
      </w:r>
      <w:r w:rsidRPr="005E3B43">
        <w:tab/>
        <w:t xml:space="preserve">For </w:t>
      </w:r>
      <w:r w:rsidR="00842CCD" w:rsidRPr="005E3B43">
        <w:t>subsection 3</w:t>
      </w:r>
      <w:r w:rsidRPr="005E3B43">
        <w:t>2CM(6) of the Act, the circumstances are that the supplier of the biological complies with any treatment directions mentioned in the authority for the biological.</w:t>
      </w:r>
    </w:p>
    <w:p w14:paraId="3C0B069A" w14:textId="77777777" w:rsidR="00102755" w:rsidRPr="005E3B43" w:rsidRDefault="00102755" w:rsidP="00763BCF">
      <w:pPr>
        <w:pStyle w:val="subsection"/>
      </w:pPr>
      <w:r w:rsidRPr="005E3B43">
        <w:tab/>
        <w:t>(5)</w:t>
      </w:r>
      <w:r w:rsidRPr="005E3B43">
        <w:tab/>
        <w:t xml:space="preserve">For the purposes of </w:t>
      </w:r>
      <w:r w:rsidR="00842CCD" w:rsidRPr="005E3B43">
        <w:t>paragraph 3</w:t>
      </w:r>
      <w:r w:rsidRPr="005E3B43">
        <w:t xml:space="preserve">2CM(7D)(b) of the Act, the information that must be contained in a notification under </w:t>
      </w:r>
      <w:r w:rsidR="00842CCD" w:rsidRPr="005E3B43">
        <w:t>subsection 3</w:t>
      </w:r>
      <w:r w:rsidRPr="005E3B43">
        <w:t>2CM(7C) of the Act in relation to the supply by a health practitioner of a biological to a person is as follows:</w:t>
      </w:r>
    </w:p>
    <w:p w14:paraId="0E0919BA" w14:textId="77777777" w:rsidR="00102755" w:rsidRPr="005E3B43" w:rsidRDefault="00102755" w:rsidP="00763BCF">
      <w:pPr>
        <w:pStyle w:val="paragraph"/>
      </w:pPr>
      <w:r w:rsidRPr="005E3B43">
        <w:tab/>
        <w:t>(a)</w:t>
      </w:r>
      <w:r w:rsidRPr="005E3B43">
        <w:tab/>
        <w:t>the person’s initials, date of birth and gender;</w:t>
      </w:r>
    </w:p>
    <w:p w14:paraId="0E2CB337" w14:textId="77777777" w:rsidR="00102755" w:rsidRPr="005E3B43" w:rsidRDefault="00102755" w:rsidP="00763BCF">
      <w:pPr>
        <w:pStyle w:val="paragraph"/>
      </w:pPr>
      <w:r w:rsidRPr="005E3B43">
        <w:tab/>
        <w:t>(b)</w:t>
      </w:r>
      <w:r w:rsidRPr="005E3B43">
        <w:tab/>
        <w:t>each medical condition in relation to which the biological was supplied;</w:t>
      </w:r>
    </w:p>
    <w:p w14:paraId="63E3F2C3" w14:textId="77777777" w:rsidR="00102755" w:rsidRPr="005E3B43" w:rsidRDefault="00102755" w:rsidP="00763BCF">
      <w:pPr>
        <w:pStyle w:val="paragraph"/>
      </w:pPr>
      <w:r w:rsidRPr="005E3B43">
        <w:tab/>
        <w:t>(c)</w:t>
      </w:r>
      <w:r w:rsidRPr="005E3B43">
        <w:tab/>
        <w:t>each indication of the biological in relation to which the biological was supplied;</w:t>
      </w:r>
    </w:p>
    <w:p w14:paraId="3AE4FC01" w14:textId="77777777" w:rsidR="00102755" w:rsidRPr="005E3B43" w:rsidRDefault="00102755" w:rsidP="00763BCF">
      <w:pPr>
        <w:pStyle w:val="paragraph"/>
      </w:pPr>
      <w:r w:rsidRPr="005E3B43">
        <w:tab/>
        <w:t>(d)</w:t>
      </w:r>
      <w:r w:rsidRPr="005E3B43">
        <w:tab/>
        <w:t>a description of the biological, including the following:</w:t>
      </w:r>
    </w:p>
    <w:p w14:paraId="7DA4920B" w14:textId="77777777" w:rsidR="00102755" w:rsidRPr="005E3B43" w:rsidRDefault="00102755" w:rsidP="00763BCF">
      <w:pPr>
        <w:pStyle w:val="paragraphsub"/>
      </w:pPr>
      <w:r w:rsidRPr="005E3B43">
        <w:tab/>
        <w:t>(i)</w:t>
      </w:r>
      <w:r w:rsidRPr="005E3B43">
        <w:tab/>
        <w:t>the product name of the biological;</w:t>
      </w:r>
    </w:p>
    <w:p w14:paraId="2D83AE7A" w14:textId="77777777" w:rsidR="00102755" w:rsidRPr="005E3B43" w:rsidRDefault="00102755" w:rsidP="00763BCF">
      <w:pPr>
        <w:pStyle w:val="paragraphsub"/>
      </w:pPr>
      <w:r w:rsidRPr="005E3B43">
        <w:tab/>
        <w:t>(ii)</w:t>
      </w:r>
      <w:r w:rsidRPr="005E3B43">
        <w:tab/>
        <w:t>each active ingredient of the biological;</w:t>
      </w:r>
    </w:p>
    <w:p w14:paraId="2FC9492D" w14:textId="77777777" w:rsidR="00102755" w:rsidRPr="005E3B43" w:rsidRDefault="00102755" w:rsidP="00763BCF">
      <w:pPr>
        <w:pStyle w:val="paragraphsub"/>
      </w:pPr>
      <w:r w:rsidRPr="005E3B43">
        <w:tab/>
        <w:t>(iii)</w:t>
      </w:r>
      <w:r w:rsidRPr="005E3B43">
        <w:tab/>
        <w:t>the route of administration of the biological;</w:t>
      </w:r>
    </w:p>
    <w:p w14:paraId="5809086E" w14:textId="77777777" w:rsidR="00102755" w:rsidRPr="005E3B43" w:rsidRDefault="00102755" w:rsidP="00763BCF">
      <w:pPr>
        <w:pStyle w:val="paragraph"/>
      </w:pPr>
      <w:r w:rsidRPr="005E3B43">
        <w:tab/>
        <w:t>(e)</w:t>
      </w:r>
      <w:r w:rsidRPr="005E3B43">
        <w:tab/>
        <w:t>the practitioner’s name, AHPRA number and contact details;</w:t>
      </w:r>
    </w:p>
    <w:p w14:paraId="6D954FEE" w14:textId="77777777" w:rsidR="00102755" w:rsidRPr="005E3B43" w:rsidRDefault="00102755" w:rsidP="00763BCF">
      <w:pPr>
        <w:pStyle w:val="paragraph"/>
      </w:pPr>
      <w:r w:rsidRPr="005E3B43">
        <w:tab/>
        <w:t>(f)</w:t>
      </w:r>
      <w:r w:rsidRPr="005E3B43">
        <w:tab/>
        <w:t>the health profession in which the practitioner is registered or licensed to practise;</w:t>
      </w:r>
    </w:p>
    <w:p w14:paraId="142853DA" w14:textId="77777777" w:rsidR="00102755" w:rsidRPr="005E3B43" w:rsidRDefault="00102755" w:rsidP="00763BCF">
      <w:pPr>
        <w:pStyle w:val="paragraph"/>
      </w:pPr>
      <w:r w:rsidRPr="005E3B43">
        <w:tab/>
        <w:t>(g)</w:t>
      </w:r>
      <w:r w:rsidRPr="005E3B43">
        <w:tab/>
        <w:t>the address of the practitioner’s principal place of practice.</w:t>
      </w:r>
    </w:p>
    <w:p w14:paraId="6A25855E" w14:textId="77777777" w:rsidR="00207B1C" w:rsidRPr="005E3B43" w:rsidRDefault="00207B1C" w:rsidP="00763BCF">
      <w:pPr>
        <w:pStyle w:val="ActHead5"/>
      </w:pPr>
      <w:bookmarkStart w:id="83" w:name="_Toc187135677"/>
      <w:r w:rsidRPr="005E3B43">
        <w:rPr>
          <w:rStyle w:val="CharSectno"/>
        </w:rPr>
        <w:t>15</w:t>
      </w:r>
      <w:r w:rsidR="00E20BA4" w:rsidRPr="005E3B43">
        <w:t xml:space="preserve">  </w:t>
      </w:r>
      <w:r w:rsidRPr="005E3B43">
        <w:t>Application of registration or listing number to goods</w:t>
      </w:r>
      <w:bookmarkEnd w:id="83"/>
    </w:p>
    <w:p w14:paraId="3C7A69AD" w14:textId="77777777" w:rsidR="00207B1C" w:rsidRPr="005E3B43" w:rsidRDefault="00207B1C" w:rsidP="00763BCF">
      <w:pPr>
        <w:pStyle w:val="subsection"/>
      </w:pPr>
      <w:r w:rsidRPr="005E3B43">
        <w:tab/>
        <w:t>(1)</w:t>
      </w:r>
      <w:r w:rsidRPr="005E3B43">
        <w:tab/>
        <w:t xml:space="preserve">For the purposes of </w:t>
      </w:r>
      <w:r w:rsidR="003A1DAA" w:rsidRPr="005E3B43">
        <w:t xml:space="preserve">paragraphs 19D(3)(c) and (4)(c) </w:t>
      </w:r>
      <w:r w:rsidRPr="005E3B43">
        <w:t>of the Act, the registration number or listing number of therapeutic goods is to be set out on the label of the goods in the following manner:</w:t>
      </w:r>
    </w:p>
    <w:p w14:paraId="3F34D55C" w14:textId="77777777" w:rsidR="00207B1C" w:rsidRPr="005E3B43" w:rsidRDefault="00207B1C" w:rsidP="00763BCF">
      <w:pPr>
        <w:pStyle w:val="paragraph"/>
      </w:pPr>
      <w:r w:rsidRPr="005E3B43">
        <w:tab/>
        <w:t>(b)</w:t>
      </w:r>
      <w:r w:rsidRPr="005E3B43">
        <w:tab/>
        <w:t>in the case of medicines</w:t>
      </w:r>
      <w:r w:rsidR="00E20BA4" w:rsidRPr="005E3B43">
        <w:t>—</w:t>
      </w:r>
      <w:r w:rsidRPr="005E3B43">
        <w:t>by writing the number on the label on the container of the medicines, or, if the container is enclosed in a primary pack for supply, on the label on that primary pack; and</w:t>
      </w:r>
    </w:p>
    <w:p w14:paraId="68E9F725" w14:textId="77777777" w:rsidR="00207B1C" w:rsidRPr="005E3B43" w:rsidRDefault="00207B1C" w:rsidP="00763BCF">
      <w:pPr>
        <w:pStyle w:val="paragraph"/>
      </w:pPr>
      <w:r w:rsidRPr="005E3B43">
        <w:tab/>
        <w:t>(c)</w:t>
      </w:r>
      <w:r w:rsidRPr="005E3B43">
        <w:tab/>
        <w:t>subject to subregulation</w:t>
      </w:r>
      <w:r w:rsidR="002B4943" w:rsidRPr="005E3B43">
        <w:t> </w:t>
      </w:r>
      <w:r w:rsidRPr="005E3B43">
        <w:t>(2), in each case</w:t>
      </w:r>
      <w:r w:rsidR="00E20BA4" w:rsidRPr="005E3B43">
        <w:t>—</w:t>
      </w:r>
      <w:r w:rsidRPr="005E3B43">
        <w:t>by writing the number on the main label, or on a securely affixed sticker adjacent to the main label, immediately preceded by:</w:t>
      </w:r>
    </w:p>
    <w:p w14:paraId="72BB46A4" w14:textId="77777777" w:rsidR="00207B1C" w:rsidRPr="005E3B43" w:rsidRDefault="00207B1C" w:rsidP="00763BCF">
      <w:pPr>
        <w:pStyle w:val="paragraphsub"/>
      </w:pPr>
      <w:r w:rsidRPr="005E3B43">
        <w:tab/>
        <w:t>(i)</w:t>
      </w:r>
      <w:r w:rsidRPr="005E3B43">
        <w:tab/>
        <w:t>“AUST R” in the case of registered goods; and</w:t>
      </w:r>
    </w:p>
    <w:p w14:paraId="1591F99E" w14:textId="77777777" w:rsidR="006B626E" w:rsidRPr="005E3B43" w:rsidRDefault="006B626E" w:rsidP="00763BCF">
      <w:pPr>
        <w:pStyle w:val="paragraphsub"/>
      </w:pPr>
      <w:r w:rsidRPr="005E3B43">
        <w:tab/>
        <w:t>(ii)</w:t>
      </w:r>
      <w:r w:rsidRPr="005E3B43">
        <w:tab/>
        <w:t xml:space="preserve">unless </w:t>
      </w:r>
      <w:r w:rsidR="004E6D00" w:rsidRPr="005E3B43">
        <w:t>subparagraph (</w:t>
      </w:r>
      <w:r w:rsidRPr="005E3B43">
        <w:t>iii) applies—“AUST L” in the case of listed goods; and</w:t>
      </w:r>
    </w:p>
    <w:p w14:paraId="1C21D594" w14:textId="77777777" w:rsidR="006B626E" w:rsidRPr="005E3B43" w:rsidRDefault="006B626E" w:rsidP="00763BCF">
      <w:pPr>
        <w:pStyle w:val="paragraphsub"/>
      </w:pPr>
      <w:r w:rsidRPr="005E3B43">
        <w:tab/>
        <w:t>(iii)</w:t>
      </w:r>
      <w:r w:rsidRPr="005E3B43">
        <w:tab/>
        <w:t xml:space="preserve">“AUST L(A)” in the case of goods listed under </w:t>
      </w:r>
      <w:r w:rsidR="00FB7FAA" w:rsidRPr="005E3B43">
        <w:t>section 2</w:t>
      </w:r>
      <w:r w:rsidRPr="005E3B43">
        <w:t>6AE of the Act;</w:t>
      </w:r>
    </w:p>
    <w:p w14:paraId="590B4490" w14:textId="77777777" w:rsidR="00207B1C" w:rsidRPr="005E3B43" w:rsidRDefault="00207B1C" w:rsidP="00763BCF">
      <w:pPr>
        <w:pStyle w:val="paragraph"/>
      </w:pPr>
      <w:r w:rsidRPr="005E3B43">
        <w:tab/>
      </w:r>
      <w:r w:rsidRPr="005E3B43">
        <w:tab/>
        <w:t>the numbers and letters in each case being not less than 1 millimetre in height.</w:t>
      </w:r>
    </w:p>
    <w:p w14:paraId="20523230" w14:textId="77777777" w:rsidR="00207B1C" w:rsidRPr="005E3B43" w:rsidRDefault="00207B1C" w:rsidP="00763BCF">
      <w:pPr>
        <w:pStyle w:val="subsection"/>
      </w:pPr>
      <w:r w:rsidRPr="005E3B43">
        <w:tab/>
        <w:t>(2)</w:t>
      </w:r>
      <w:r w:rsidRPr="005E3B43">
        <w:tab/>
        <w:t xml:space="preserve">If the Secretary is satisfied that compliance with </w:t>
      </w:r>
      <w:r w:rsidR="004E6D00" w:rsidRPr="005E3B43">
        <w:t>paragraph (</w:t>
      </w:r>
      <w:r w:rsidRPr="005E3B43">
        <w:t xml:space="preserve">1)(c) in a particular case is not practicable, he or she may give a direction in writing that states an alternative manner in which the relevant number, immediately preceded by the appropriate letters stated in </w:t>
      </w:r>
      <w:r w:rsidR="004E6D00" w:rsidRPr="005E3B43">
        <w:t>subparagraphs (</w:t>
      </w:r>
      <w:r w:rsidR="00EE7605" w:rsidRPr="005E3B43">
        <w:t>1)(c)(i)</w:t>
      </w:r>
      <w:r w:rsidR="00A70420" w:rsidRPr="005E3B43">
        <w:t>, (ii) or (iii)</w:t>
      </w:r>
      <w:r w:rsidRPr="005E3B43">
        <w:t xml:space="preserve">, is to be set out, </w:t>
      </w:r>
      <w:r w:rsidRPr="005E3B43">
        <w:lastRenderedPageBreak/>
        <w:t>and in that case the number and letters are to be set out in accordance with the direction.</w:t>
      </w:r>
    </w:p>
    <w:p w14:paraId="0C5C282B" w14:textId="77777777" w:rsidR="007C0D96" w:rsidRPr="005E3B43" w:rsidRDefault="007C0D96" w:rsidP="00763BCF">
      <w:pPr>
        <w:pStyle w:val="ActHead5"/>
      </w:pPr>
      <w:bookmarkStart w:id="84" w:name="_Toc187135678"/>
      <w:r w:rsidRPr="005E3B43">
        <w:rPr>
          <w:rStyle w:val="CharSectno"/>
        </w:rPr>
        <w:t>15AA</w:t>
      </w:r>
      <w:r w:rsidRPr="005E3B43">
        <w:t xml:space="preserve">  Clinical trial registries</w:t>
      </w:r>
      <w:bookmarkEnd w:id="84"/>
    </w:p>
    <w:p w14:paraId="467DAD19" w14:textId="77777777" w:rsidR="007C0D96" w:rsidRPr="005E3B43" w:rsidRDefault="007C0D96" w:rsidP="00763BCF">
      <w:pPr>
        <w:pStyle w:val="subsection"/>
      </w:pPr>
      <w:r w:rsidRPr="005E3B43">
        <w:tab/>
      </w:r>
      <w:r w:rsidRPr="005E3B43">
        <w:tab/>
        <w:t>For the purposes of subparagraph 26AF(2)(b)(ii) of the Act, the following registries are prescribed:</w:t>
      </w:r>
    </w:p>
    <w:p w14:paraId="5E6669C1" w14:textId="77777777" w:rsidR="007C0D96" w:rsidRPr="005E3B43" w:rsidRDefault="007C0D96" w:rsidP="00763BCF">
      <w:pPr>
        <w:pStyle w:val="paragraph"/>
      </w:pPr>
      <w:r w:rsidRPr="005E3B43">
        <w:tab/>
        <w:t>(a)</w:t>
      </w:r>
      <w:r w:rsidRPr="005E3B43">
        <w:tab/>
        <w:t>a primary registry that at any time is in the World Health Organisation’s International Clinical Trials Registry Platform, as the registry exists from time to time;</w:t>
      </w:r>
    </w:p>
    <w:p w14:paraId="19F3EA81" w14:textId="77777777" w:rsidR="007C0D96" w:rsidRPr="005E3B43" w:rsidRDefault="007C0D96" w:rsidP="00763BCF">
      <w:pPr>
        <w:pStyle w:val="paragraph"/>
      </w:pPr>
      <w:r w:rsidRPr="005E3B43">
        <w:tab/>
        <w:t>(b)</w:t>
      </w:r>
      <w:r w:rsidRPr="005E3B43">
        <w:tab/>
        <w:t>the database known as ClinicalTrials.gov, as the database exists from time to time.</w:t>
      </w:r>
    </w:p>
    <w:p w14:paraId="3D782517" w14:textId="77777777" w:rsidR="00F079C4" w:rsidRPr="005E3B43" w:rsidRDefault="00F079C4" w:rsidP="00763BCF">
      <w:pPr>
        <w:pStyle w:val="ActHead5"/>
      </w:pPr>
      <w:bookmarkStart w:id="85" w:name="_Toc187135679"/>
      <w:r w:rsidRPr="005E3B43">
        <w:rPr>
          <w:rStyle w:val="CharSectno"/>
        </w:rPr>
        <w:t>15A</w:t>
      </w:r>
      <w:r w:rsidR="00E20BA4" w:rsidRPr="005E3B43">
        <w:t xml:space="preserve">  </w:t>
      </w:r>
      <w:r w:rsidRPr="005E3B43">
        <w:t>Conditions of registration and listing of medicines</w:t>
      </w:r>
      <w:bookmarkEnd w:id="85"/>
    </w:p>
    <w:p w14:paraId="4533AF1C" w14:textId="57576507" w:rsidR="00F079C4" w:rsidRPr="005E3B43" w:rsidRDefault="00F079C4" w:rsidP="00763BCF">
      <w:pPr>
        <w:pStyle w:val="subsection"/>
      </w:pPr>
      <w:r w:rsidRPr="005E3B43">
        <w:tab/>
      </w:r>
      <w:r w:rsidRPr="005E3B43">
        <w:tab/>
      </w:r>
      <w:r w:rsidR="00F37A61" w:rsidRPr="005E3B43">
        <w:t>For the purposes of paragraphs 28(5)(ca) and (e)</w:t>
      </w:r>
      <w:r w:rsidRPr="005E3B43">
        <w:t xml:space="preserve"> of the Act, a person in relation to whom a medicine is registered or listed must comply with </w:t>
      </w:r>
      <w:r w:rsidR="00F37A61" w:rsidRPr="005E3B43">
        <w:t>the record</w:t>
      </w:r>
      <w:r w:rsidR="007C3215">
        <w:noBreakHyphen/>
      </w:r>
      <w:r w:rsidR="00F37A61" w:rsidRPr="005E3B43">
        <w:t>keeping requirements (if any) and the reporting requirements (if any)</w:t>
      </w:r>
      <w:r w:rsidRPr="005E3B43">
        <w:t xml:space="preserve"> set out in the document published by the Therapeutic Goods Administration titled </w:t>
      </w:r>
      <w:r w:rsidR="00F37A61" w:rsidRPr="005E3B43">
        <w:rPr>
          <w:i/>
        </w:rPr>
        <w:t>Pharmacovigilance Responsibilities of Medicine Sponsors</w:t>
      </w:r>
      <w:r w:rsidRPr="005E3B43">
        <w:t>, as in force from time to time.</w:t>
      </w:r>
    </w:p>
    <w:p w14:paraId="6AD19126" w14:textId="77777777" w:rsidR="005217A5" w:rsidRPr="005E3B43" w:rsidRDefault="005217A5" w:rsidP="00763BCF">
      <w:pPr>
        <w:pStyle w:val="ActHead5"/>
      </w:pPr>
      <w:bookmarkStart w:id="86" w:name="_Toc187135680"/>
      <w:r w:rsidRPr="005E3B43">
        <w:rPr>
          <w:rStyle w:val="CharSectno"/>
        </w:rPr>
        <w:t>16AA</w:t>
      </w:r>
      <w:r w:rsidRPr="005E3B43">
        <w:t xml:space="preserve">  Information or documents that Secretary may require</w:t>
      </w:r>
      <w:bookmarkEnd w:id="86"/>
    </w:p>
    <w:p w14:paraId="04BA3FB1" w14:textId="77777777" w:rsidR="005217A5" w:rsidRPr="005E3B43" w:rsidRDefault="005217A5" w:rsidP="00763BCF">
      <w:pPr>
        <w:pStyle w:val="SubsectionHead"/>
      </w:pPr>
      <w:r w:rsidRPr="005E3B43">
        <w:t>Information or documents relating to registered goods</w:t>
      </w:r>
    </w:p>
    <w:p w14:paraId="782A1787" w14:textId="77777777" w:rsidR="005217A5" w:rsidRPr="005E3B43" w:rsidRDefault="005217A5" w:rsidP="00763BCF">
      <w:pPr>
        <w:pStyle w:val="subsection"/>
      </w:pPr>
      <w:r w:rsidRPr="005E3B43">
        <w:tab/>
        <w:t>(1)</w:t>
      </w:r>
      <w:r w:rsidRPr="005E3B43">
        <w:tab/>
        <w:t xml:space="preserve">For </w:t>
      </w:r>
      <w:r w:rsidR="00842CCD" w:rsidRPr="005E3B43">
        <w:t>paragraph 3</w:t>
      </w:r>
      <w:r w:rsidRPr="005E3B43">
        <w:t>1(1)(k) of the Act, the following matters are prescribed:</w:t>
      </w:r>
    </w:p>
    <w:p w14:paraId="01D59906" w14:textId="77777777" w:rsidR="005217A5" w:rsidRPr="005E3B43" w:rsidRDefault="005217A5" w:rsidP="00763BCF">
      <w:pPr>
        <w:pStyle w:val="paragraph"/>
      </w:pPr>
      <w:r w:rsidRPr="005E3B43">
        <w:tab/>
        <w:t>(a)</w:t>
      </w:r>
      <w:r w:rsidRPr="005E3B43">
        <w:tab/>
        <w:t>matters relating to the scheme provided in Subdivision</w:t>
      </w:r>
      <w:r w:rsidR="004E6D00" w:rsidRPr="005E3B43">
        <w:t> </w:t>
      </w:r>
      <w:r w:rsidRPr="005E3B43">
        <w:t xml:space="preserve">2 of </w:t>
      </w:r>
      <w:r w:rsidR="003C0723" w:rsidRPr="005E3B43">
        <w:t>Division 1</w:t>
      </w:r>
      <w:r w:rsidRPr="005E3B43">
        <w:t xml:space="preserve"> of Part</w:t>
      </w:r>
      <w:r w:rsidR="004E6D00" w:rsidRPr="005E3B43">
        <w:t> </w:t>
      </w:r>
      <w:r w:rsidRPr="005E3B43">
        <w:t>7 of these Regulations for exempting a person from liability to pay an annual registration charge in respect of the goods for a financial year, based on low value turnover of the goods;</w:t>
      </w:r>
    </w:p>
    <w:p w14:paraId="7A5C1BC5" w14:textId="77777777" w:rsidR="005217A5" w:rsidRPr="005E3B43" w:rsidRDefault="005217A5" w:rsidP="00763BCF">
      <w:pPr>
        <w:pStyle w:val="paragraph"/>
      </w:pPr>
      <w:r w:rsidRPr="005E3B43">
        <w:tab/>
        <w:t>(b)</w:t>
      </w:r>
      <w:r w:rsidRPr="005E3B43">
        <w:tab/>
        <w:t>matters relating to an application to the Secretary under regulation</w:t>
      </w:r>
      <w:r w:rsidR="004E6D00" w:rsidRPr="005E3B43">
        <w:t> </w:t>
      </w:r>
      <w:r w:rsidRPr="005E3B43">
        <w:t>43AAH to waive the annual registration charge in respect of the goods for a financial year.</w:t>
      </w:r>
    </w:p>
    <w:p w14:paraId="3AA2554C" w14:textId="77777777" w:rsidR="005217A5" w:rsidRPr="005E3B43" w:rsidRDefault="005217A5" w:rsidP="00763BCF">
      <w:pPr>
        <w:pStyle w:val="SubsectionHead"/>
      </w:pPr>
      <w:r w:rsidRPr="005E3B43">
        <w:t>Information or documents relating to listed goods</w:t>
      </w:r>
    </w:p>
    <w:p w14:paraId="00AF116A" w14:textId="77777777" w:rsidR="005217A5" w:rsidRPr="005E3B43" w:rsidRDefault="005217A5" w:rsidP="00763BCF">
      <w:pPr>
        <w:pStyle w:val="subsection"/>
      </w:pPr>
      <w:r w:rsidRPr="005E3B43">
        <w:tab/>
        <w:t>(2)</w:t>
      </w:r>
      <w:r w:rsidRPr="005E3B43">
        <w:tab/>
        <w:t xml:space="preserve">For </w:t>
      </w:r>
      <w:r w:rsidR="00842CCD" w:rsidRPr="005E3B43">
        <w:t>paragraph 3</w:t>
      </w:r>
      <w:r w:rsidRPr="005E3B43">
        <w:t>1(2)(h) of the Act, the following matters are prescribed:</w:t>
      </w:r>
    </w:p>
    <w:p w14:paraId="573BC9F3" w14:textId="77777777" w:rsidR="005217A5" w:rsidRPr="005E3B43" w:rsidRDefault="005217A5" w:rsidP="00763BCF">
      <w:pPr>
        <w:pStyle w:val="paragraph"/>
      </w:pPr>
      <w:r w:rsidRPr="005E3B43">
        <w:tab/>
        <w:t>(a)</w:t>
      </w:r>
      <w:r w:rsidRPr="005E3B43">
        <w:tab/>
        <w:t>the efficacy of the goods for the purposes for which the goods are to be used;</w:t>
      </w:r>
    </w:p>
    <w:p w14:paraId="2BBF6332" w14:textId="77777777" w:rsidR="005217A5" w:rsidRPr="005E3B43" w:rsidRDefault="005217A5" w:rsidP="00763BCF">
      <w:pPr>
        <w:pStyle w:val="paragraph"/>
      </w:pPr>
      <w:r w:rsidRPr="005E3B43">
        <w:tab/>
        <w:t>(b)</w:t>
      </w:r>
      <w:r w:rsidRPr="005E3B43">
        <w:tab/>
        <w:t>matters relating to the scheme provided in Subdivision</w:t>
      </w:r>
      <w:r w:rsidR="004E6D00" w:rsidRPr="005E3B43">
        <w:t> </w:t>
      </w:r>
      <w:r w:rsidRPr="005E3B43">
        <w:t xml:space="preserve">2 of </w:t>
      </w:r>
      <w:r w:rsidR="003C0723" w:rsidRPr="005E3B43">
        <w:t>Division 1</w:t>
      </w:r>
      <w:r w:rsidRPr="005E3B43">
        <w:t xml:space="preserve"> of Part</w:t>
      </w:r>
      <w:r w:rsidR="004E6D00" w:rsidRPr="005E3B43">
        <w:t> </w:t>
      </w:r>
      <w:r w:rsidRPr="005E3B43">
        <w:t>7 of these Regulations for exempting a person from liability to pay an annual listing charge in respect of the goods for a financial year, based on low value turnover of the goods;</w:t>
      </w:r>
    </w:p>
    <w:p w14:paraId="684D3407" w14:textId="77777777" w:rsidR="005217A5" w:rsidRPr="005E3B43" w:rsidRDefault="005217A5" w:rsidP="00763BCF">
      <w:pPr>
        <w:pStyle w:val="paragraph"/>
      </w:pPr>
      <w:r w:rsidRPr="005E3B43">
        <w:tab/>
        <w:t>(c)</w:t>
      </w:r>
      <w:r w:rsidRPr="005E3B43">
        <w:tab/>
        <w:t>matters relating to an application to the Secretary under regulation</w:t>
      </w:r>
      <w:r w:rsidR="004E6D00" w:rsidRPr="005E3B43">
        <w:t> </w:t>
      </w:r>
      <w:r w:rsidRPr="005E3B43">
        <w:t>43AAH to waive the annual listing charge in respect of the goods for a financial year.</w:t>
      </w:r>
    </w:p>
    <w:p w14:paraId="74D1D997" w14:textId="77777777" w:rsidR="005217A5" w:rsidRPr="005E3B43" w:rsidRDefault="005217A5" w:rsidP="00763BCF">
      <w:pPr>
        <w:pStyle w:val="SubsectionHead"/>
      </w:pPr>
      <w:r w:rsidRPr="005E3B43">
        <w:lastRenderedPageBreak/>
        <w:t>Information or documents relating to biologicals</w:t>
      </w:r>
    </w:p>
    <w:p w14:paraId="31956905" w14:textId="77777777" w:rsidR="005217A5" w:rsidRPr="005E3B43" w:rsidRDefault="005217A5" w:rsidP="00763BCF">
      <w:pPr>
        <w:pStyle w:val="subsection"/>
      </w:pPr>
      <w:r w:rsidRPr="005E3B43">
        <w:tab/>
        <w:t>(3)</w:t>
      </w:r>
      <w:r w:rsidRPr="005E3B43">
        <w:tab/>
        <w:t xml:space="preserve">For </w:t>
      </w:r>
      <w:r w:rsidR="00842CCD" w:rsidRPr="005E3B43">
        <w:t>paragraph 3</w:t>
      </w:r>
      <w:r w:rsidRPr="005E3B43">
        <w:t>2JA(1)(p) of the Act, the following matters are prescribed:</w:t>
      </w:r>
    </w:p>
    <w:p w14:paraId="4BEAC5B3" w14:textId="77777777" w:rsidR="005217A5" w:rsidRPr="005E3B43" w:rsidRDefault="005217A5" w:rsidP="00763BCF">
      <w:pPr>
        <w:pStyle w:val="paragraph"/>
      </w:pPr>
      <w:r w:rsidRPr="005E3B43">
        <w:tab/>
        <w:t>(a)</w:t>
      </w:r>
      <w:r w:rsidRPr="005E3B43">
        <w:tab/>
        <w:t>matters relating to the scheme provided in Subdivision</w:t>
      </w:r>
      <w:r w:rsidR="004E6D00" w:rsidRPr="005E3B43">
        <w:t> </w:t>
      </w:r>
      <w:r w:rsidRPr="005E3B43">
        <w:t xml:space="preserve">2 of </w:t>
      </w:r>
      <w:r w:rsidR="003C0723" w:rsidRPr="005E3B43">
        <w:t>Division 1</w:t>
      </w:r>
      <w:r w:rsidRPr="005E3B43">
        <w:t xml:space="preserve"> of Part</w:t>
      </w:r>
      <w:r w:rsidR="004E6D00" w:rsidRPr="005E3B43">
        <w:t> </w:t>
      </w:r>
      <w:r w:rsidRPr="005E3B43">
        <w:t>7 of these Regulations for exempting a person from liability to pay an annual charge for inclusion of the biological in the Register for a financial year, based on low value turnover of the biological;</w:t>
      </w:r>
    </w:p>
    <w:p w14:paraId="08AF388D" w14:textId="77777777" w:rsidR="005217A5" w:rsidRPr="005E3B43" w:rsidRDefault="005217A5" w:rsidP="00763BCF">
      <w:pPr>
        <w:pStyle w:val="paragraph"/>
      </w:pPr>
      <w:r w:rsidRPr="005E3B43">
        <w:tab/>
        <w:t>(b)</w:t>
      </w:r>
      <w:r w:rsidRPr="005E3B43">
        <w:tab/>
        <w:t>matters relating to an application to the Secretary under regulation</w:t>
      </w:r>
      <w:r w:rsidR="004E6D00" w:rsidRPr="005E3B43">
        <w:t> </w:t>
      </w:r>
      <w:r w:rsidRPr="005E3B43">
        <w:t>43AAH to waive the annual charge for inclusion of the biological in the Register for a financial year.</w:t>
      </w:r>
    </w:p>
    <w:p w14:paraId="45192881" w14:textId="77777777" w:rsidR="0061454F" w:rsidRPr="005E3B43" w:rsidRDefault="0061454F" w:rsidP="00763BCF">
      <w:pPr>
        <w:pStyle w:val="ActHead5"/>
      </w:pPr>
      <w:bookmarkStart w:id="87" w:name="_Toc187135681"/>
      <w:r w:rsidRPr="005E3B43">
        <w:rPr>
          <w:rStyle w:val="CharSectno"/>
        </w:rPr>
        <w:t>16AB</w:t>
      </w:r>
      <w:r w:rsidR="00E20BA4" w:rsidRPr="005E3B43">
        <w:t xml:space="preserve">  </w:t>
      </w:r>
      <w:r w:rsidRPr="005E3B43">
        <w:t>Specified periods</w:t>
      </w:r>
      <w:bookmarkEnd w:id="87"/>
    </w:p>
    <w:p w14:paraId="7133A7F0" w14:textId="7E4B927D" w:rsidR="0061454F" w:rsidRPr="005E3B43" w:rsidRDefault="0061454F" w:rsidP="00763BCF">
      <w:pPr>
        <w:pStyle w:val="subsection"/>
      </w:pPr>
      <w:r w:rsidRPr="005E3B43">
        <w:tab/>
      </w:r>
      <w:r w:rsidRPr="005E3B43">
        <w:tab/>
        <w:t>For paragraphs 32DQ(1)(c) and (2)(c) of the Act</w:t>
      </w:r>
      <w:r w:rsidR="000D2098" w:rsidRPr="005E3B43">
        <w:t xml:space="preserve"> and </w:t>
      </w:r>
      <w:r w:rsidR="007C3215">
        <w:t>item 1</w:t>
      </w:r>
      <w:r w:rsidR="0042156D" w:rsidRPr="005E3B43">
        <w:t>3</w:t>
      </w:r>
      <w:r w:rsidR="000D2098" w:rsidRPr="005E3B43">
        <w:t xml:space="preserve"> of the table in Schedule</w:t>
      </w:r>
      <w:r w:rsidR="004E6D00" w:rsidRPr="005E3B43">
        <w:t> </w:t>
      </w:r>
      <w:r w:rsidR="000D2098" w:rsidRPr="005E3B43">
        <w:t>5A to these Regulations</w:t>
      </w:r>
      <w:r w:rsidRPr="005E3B43">
        <w:t>, the period is as follows:</w:t>
      </w:r>
    </w:p>
    <w:p w14:paraId="65BEA28A" w14:textId="77777777" w:rsidR="0061454F" w:rsidRPr="005E3B43" w:rsidRDefault="0061454F" w:rsidP="00763BCF">
      <w:pPr>
        <w:pStyle w:val="paragraph"/>
      </w:pPr>
      <w:r w:rsidRPr="005E3B43">
        <w:tab/>
        <w:t>(a)</w:t>
      </w:r>
      <w:r w:rsidRPr="005E3B43">
        <w:tab/>
        <w:t>if the information relates to an event or occurrence that represents a serious threat to public health</w:t>
      </w:r>
      <w:r w:rsidR="00E20BA4" w:rsidRPr="005E3B43">
        <w:t>—</w:t>
      </w:r>
      <w:r w:rsidRPr="005E3B43">
        <w:t>within 48 hours after the person first becomes aware of the event or occurrence;</w:t>
      </w:r>
    </w:p>
    <w:p w14:paraId="5D6E67D1" w14:textId="77777777" w:rsidR="0061454F" w:rsidRPr="005E3B43" w:rsidRDefault="0061454F" w:rsidP="00763BCF">
      <w:pPr>
        <w:pStyle w:val="paragraph"/>
      </w:pPr>
      <w:r w:rsidRPr="005E3B43">
        <w:tab/>
        <w:t>(b)</w:t>
      </w:r>
      <w:r w:rsidRPr="005E3B43">
        <w:tab/>
        <w:t xml:space="preserve">if the information relates to an event or occurrence that led to the death, or serious deterioration in the state of health of a patient, a user of the </w:t>
      </w:r>
      <w:r w:rsidR="000D2098" w:rsidRPr="005E3B43">
        <w:t>relevant biological or other goods</w:t>
      </w:r>
      <w:r w:rsidRPr="005E3B43">
        <w:t xml:space="preserve"> or another person</w:t>
      </w:r>
      <w:r w:rsidR="00E20BA4" w:rsidRPr="005E3B43">
        <w:t>—</w:t>
      </w:r>
      <w:r w:rsidRPr="005E3B43">
        <w:t>within 10 days after the person first becomes aware of the event or occurrence;</w:t>
      </w:r>
    </w:p>
    <w:p w14:paraId="6F91950A" w14:textId="77777777" w:rsidR="0061454F" w:rsidRPr="005E3B43" w:rsidRDefault="0061454F" w:rsidP="00763BCF">
      <w:pPr>
        <w:pStyle w:val="paragraph"/>
      </w:pPr>
      <w:r w:rsidRPr="005E3B43">
        <w:tab/>
        <w:t>(c)</w:t>
      </w:r>
      <w:r w:rsidRPr="005E3B43">
        <w:tab/>
        <w:t xml:space="preserve">if the information relates to an event or occurrence that, if it occurred again, might lead to the death, or serious deterioration in the state of health, of a patient, a user of the </w:t>
      </w:r>
      <w:r w:rsidR="000D2098" w:rsidRPr="005E3B43">
        <w:t>relevant biological or other goods</w:t>
      </w:r>
      <w:r w:rsidRPr="005E3B43">
        <w:t xml:space="preserve"> or another person</w:t>
      </w:r>
      <w:r w:rsidR="00E20BA4" w:rsidRPr="005E3B43">
        <w:t>—</w:t>
      </w:r>
      <w:r w:rsidRPr="005E3B43">
        <w:t>within 30 days after the person first becomes aware of the event or occurrence.</w:t>
      </w:r>
    </w:p>
    <w:p w14:paraId="3F0F91DA" w14:textId="77777777" w:rsidR="00207B1C" w:rsidRPr="005E3B43" w:rsidRDefault="00BB758E" w:rsidP="00763BCF">
      <w:pPr>
        <w:pStyle w:val="ActHead2"/>
        <w:pageBreakBefore/>
      </w:pPr>
      <w:bookmarkStart w:id="88" w:name="_Toc187135682"/>
      <w:r w:rsidRPr="005E3B43">
        <w:rPr>
          <w:rStyle w:val="CharPartNo"/>
        </w:rPr>
        <w:lastRenderedPageBreak/>
        <w:t>Part 3</w:t>
      </w:r>
      <w:r w:rsidR="00207B1C" w:rsidRPr="005E3B43">
        <w:rPr>
          <w:rStyle w:val="CharPartNo"/>
        </w:rPr>
        <w:t>A</w:t>
      </w:r>
      <w:r w:rsidR="00E20BA4" w:rsidRPr="005E3B43">
        <w:t>—</w:t>
      </w:r>
      <w:r w:rsidR="00207B1C" w:rsidRPr="005E3B43">
        <w:rPr>
          <w:rStyle w:val="CharPartText"/>
        </w:rPr>
        <w:t>Applications for evaluation</w:t>
      </w:r>
      <w:bookmarkEnd w:id="88"/>
    </w:p>
    <w:p w14:paraId="535B1D5A" w14:textId="77777777" w:rsidR="00100DFC" w:rsidRPr="005E3B43" w:rsidRDefault="003C0723" w:rsidP="00763BCF">
      <w:pPr>
        <w:pStyle w:val="ActHead3"/>
      </w:pPr>
      <w:bookmarkStart w:id="89" w:name="_Toc187135683"/>
      <w:r w:rsidRPr="005E3B43">
        <w:rPr>
          <w:rStyle w:val="CharDivNo"/>
        </w:rPr>
        <w:t>Division 1</w:t>
      </w:r>
      <w:r w:rsidR="00100DFC" w:rsidRPr="005E3B43">
        <w:t>—</w:t>
      </w:r>
      <w:r w:rsidR="00100DFC" w:rsidRPr="005E3B43">
        <w:rPr>
          <w:rStyle w:val="CharDivText"/>
        </w:rPr>
        <w:t>Preliminary</w:t>
      </w:r>
      <w:bookmarkEnd w:id="89"/>
    </w:p>
    <w:p w14:paraId="6981F8A2" w14:textId="77777777" w:rsidR="00207B1C" w:rsidRPr="005E3B43" w:rsidRDefault="00207B1C" w:rsidP="00763BCF">
      <w:pPr>
        <w:pStyle w:val="ActHead5"/>
      </w:pPr>
      <w:bookmarkStart w:id="90" w:name="_Toc187135684"/>
      <w:r w:rsidRPr="005E3B43">
        <w:rPr>
          <w:rStyle w:val="CharSectno"/>
        </w:rPr>
        <w:t>16A</w:t>
      </w:r>
      <w:r w:rsidR="00E20BA4" w:rsidRPr="005E3B43">
        <w:t xml:space="preserve">  </w:t>
      </w:r>
      <w:r w:rsidRPr="005E3B43">
        <w:t>Interpretation</w:t>
      </w:r>
      <w:r w:rsidR="00E20BA4" w:rsidRPr="005E3B43">
        <w:t>—</w:t>
      </w:r>
      <w:r w:rsidRPr="005E3B43">
        <w:rPr>
          <w:i/>
        </w:rPr>
        <w:t>working day</w:t>
      </w:r>
      <w:bookmarkEnd w:id="90"/>
    </w:p>
    <w:p w14:paraId="3A2C511E" w14:textId="77777777" w:rsidR="00207B1C" w:rsidRPr="005E3B43" w:rsidRDefault="00207B1C" w:rsidP="00763BCF">
      <w:pPr>
        <w:pStyle w:val="subsection"/>
      </w:pPr>
      <w:r w:rsidRPr="005E3B43">
        <w:tab/>
        <w:t>(1)</w:t>
      </w:r>
      <w:r w:rsidRPr="005E3B43">
        <w:tab/>
        <w:t xml:space="preserve">In this Part, </w:t>
      </w:r>
      <w:r w:rsidRPr="005E3B43">
        <w:rPr>
          <w:b/>
          <w:i/>
        </w:rPr>
        <w:t>working day</w:t>
      </w:r>
      <w:r w:rsidRPr="005E3B43">
        <w:t xml:space="preserve"> means a day that is not a Saturday, a Sunday or a day that is a holiday for Commonwealth offices in the Australian Capital Territory.</w:t>
      </w:r>
    </w:p>
    <w:p w14:paraId="5130C5D0" w14:textId="77777777" w:rsidR="00207B1C" w:rsidRPr="005E3B43" w:rsidRDefault="00207B1C" w:rsidP="00763BCF">
      <w:pPr>
        <w:pStyle w:val="subsection"/>
      </w:pPr>
      <w:r w:rsidRPr="005E3B43">
        <w:tab/>
        <w:t>(2)</w:t>
      </w:r>
      <w:r w:rsidRPr="005E3B43">
        <w:tab/>
        <w:t>The following periods are to be disregarded in calculating, for the purposes of a provision of this Part, the number of working days taken to perform the action that the provision requires to be performed:</w:t>
      </w:r>
    </w:p>
    <w:p w14:paraId="57219534" w14:textId="77777777" w:rsidR="008C367D" w:rsidRPr="005E3B43" w:rsidRDefault="008C367D" w:rsidP="00763BCF">
      <w:pPr>
        <w:pStyle w:val="paragraph"/>
      </w:pPr>
      <w:r w:rsidRPr="005E3B43">
        <w:tab/>
        <w:t>(a)</w:t>
      </w:r>
      <w:r w:rsidRPr="005E3B43">
        <w:tab/>
        <w:t>the period commencing on the day on which the Secretary sends a query, or a request for information, to an applicant or sponsor and ending either:</w:t>
      </w:r>
    </w:p>
    <w:p w14:paraId="3E65C129" w14:textId="77777777" w:rsidR="008C367D" w:rsidRPr="005E3B43" w:rsidRDefault="008C367D" w:rsidP="00763BCF">
      <w:pPr>
        <w:pStyle w:val="paragraphsub"/>
      </w:pPr>
      <w:r w:rsidRPr="005E3B43">
        <w:tab/>
        <w:t>(i)</w:t>
      </w:r>
      <w:r w:rsidRPr="005E3B43">
        <w:tab/>
        <w:t>at the end of the day on which the Secretary receives from the applicant or sponsor a complete response to the query or request; or</w:t>
      </w:r>
    </w:p>
    <w:p w14:paraId="60B0107E" w14:textId="77777777" w:rsidR="008C367D" w:rsidRPr="005E3B43" w:rsidRDefault="008C367D" w:rsidP="00763BCF">
      <w:pPr>
        <w:pStyle w:val="paragraphsub"/>
      </w:pPr>
      <w:r w:rsidRPr="005E3B43">
        <w:tab/>
        <w:t>(ii)</w:t>
      </w:r>
      <w:r w:rsidRPr="005E3B43">
        <w:tab/>
        <w:t xml:space="preserve">if </w:t>
      </w:r>
      <w:r w:rsidR="00842CCD" w:rsidRPr="005E3B43">
        <w:t>subsection 3</w:t>
      </w:r>
      <w:r w:rsidRPr="005E3B43">
        <w:t>1(1B) or (1C) of the Act applies:</w:t>
      </w:r>
    </w:p>
    <w:p w14:paraId="5D75A05E" w14:textId="77777777" w:rsidR="008C367D" w:rsidRPr="005E3B43" w:rsidRDefault="008C367D" w:rsidP="00763BCF">
      <w:pPr>
        <w:pStyle w:val="paragraphsub-sub"/>
      </w:pPr>
      <w:r w:rsidRPr="005E3B43">
        <w:tab/>
        <w:t>(A)</w:t>
      </w:r>
      <w:r w:rsidRPr="005E3B43">
        <w:tab/>
        <w:t xml:space="preserve">at the end of the last day in the period specified in the notice given by the Secretary under </w:t>
      </w:r>
      <w:r w:rsidR="00842CCD" w:rsidRPr="005E3B43">
        <w:t>subsection 3</w:t>
      </w:r>
      <w:r w:rsidRPr="005E3B43">
        <w:t>1(1) of the Act; or</w:t>
      </w:r>
    </w:p>
    <w:p w14:paraId="049613E3" w14:textId="72B22553" w:rsidR="008C367D" w:rsidRPr="005E3B43" w:rsidRDefault="008C367D" w:rsidP="00763BCF">
      <w:pPr>
        <w:pStyle w:val="paragraphsub-sub"/>
      </w:pPr>
      <w:r w:rsidRPr="005E3B43">
        <w:tab/>
        <w:t>(B)</w:t>
      </w:r>
      <w:r w:rsidRPr="005E3B43">
        <w:tab/>
        <w:t>if the applicant or sponsor and the Secretary agree in writing on another day for the purposes of this sub</w:t>
      </w:r>
      <w:r w:rsidR="007C3215">
        <w:noBreakHyphen/>
      </w:r>
      <w:r w:rsidRPr="005E3B43">
        <w:t>subparagraph</w:t>
      </w:r>
      <w:r w:rsidR="00E20BA4" w:rsidRPr="005E3B43">
        <w:t>—</w:t>
      </w:r>
      <w:r w:rsidRPr="005E3B43">
        <w:t>that day.</w:t>
      </w:r>
    </w:p>
    <w:p w14:paraId="0C85A7DC" w14:textId="77777777" w:rsidR="00207B1C" w:rsidRPr="005E3B43" w:rsidRDefault="00207B1C" w:rsidP="00763BCF">
      <w:pPr>
        <w:pStyle w:val="paragraph"/>
      </w:pPr>
      <w:r w:rsidRPr="005E3B43">
        <w:tab/>
        <w:t>(b)</w:t>
      </w:r>
      <w:r w:rsidRPr="005E3B43">
        <w:tab/>
        <w:t>the period commencing on the day of lodgment of an appeal concerning the application for which the action is required to be performed and ending at the end of the day on which the appeal is finally disposed of; and</w:t>
      </w:r>
    </w:p>
    <w:p w14:paraId="7E8565D4" w14:textId="77777777" w:rsidR="00207B1C" w:rsidRPr="005E3B43" w:rsidRDefault="00207B1C" w:rsidP="00763BCF">
      <w:pPr>
        <w:pStyle w:val="paragraph"/>
      </w:pPr>
      <w:r w:rsidRPr="005E3B43">
        <w:tab/>
        <w:t>(c)</w:t>
      </w:r>
      <w:r w:rsidRPr="005E3B43">
        <w:tab/>
        <w:t>any other period to which the applicant or sponsor agrees in writing for the purposes of this subregulation.</w:t>
      </w:r>
    </w:p>
    <w:p w14:paraId="5EA07E15" w14:textId="77777777" w:rsidR="00100DFC" w:rsidRPr="005E3B43" w:rsidRDefault="003C0723" w:rsidP="00763BCF">
      <w:pPr>
        <w:pStyle w:val="ActHead3"/>
        <w:pageBreakBefore/>
      </w:pPr>
      <w:bookmarkStart w:id="91" w:name="_Toc187135685"/>
      <w:r w:rsidRPr="005E3B43">
        <w:rPr>
          <w:rStyle w:val="CharDivNo"/>
        </w:rPr>
        <w:lastRenderedPageBreak/>
        <w:t>Division 1</w:t>
      </w:r>
      <w:r w:rsidR="00100DFC" w:rsidRPr="005E3B43">
        <w:rPr>
          <w:rStyle w:val="CharDivNo"/>
        </w:rPr>
        <w:t>A</w:t>
      </w:r>
      <w:r w:rsidR="00100DFC" w:rsidRPr="005E3B43">
        <w:t>—</w:t>
      </w:r>
      <w:r w:rsidR="00100DFC" w:rsidRPr="005E3B43">
        <w:rPr>
          <w:rStyle w:val="CharDivText"/>
        </w:rPr>
        <w:t>Goods mentioned in Part</w:t>
      </w:r>
      <w:r w:rsidR="004E6D00" w:rsidRPr="005E3B43">
        <w:rPr>
          <w:rStyle w:val="CharDivText"/>
        </w:rPr>
        <w:t> </w:t>
      </w:r>
      <w:r w:rsidR="00100DFC" w:rsidRPr="005E3B43">
        <w:rPr>
          <w:rStyle w:val="CharDivText"/>
        </w:rPr>
        <w:t xml:space="preserve">1 of </w:t>
      </w:r>
      <w:r w:rsidR="008D1B4F" w:rsidRPr="005E3B43">
        <w:rPr>
          <w:rStyle w:val="CharDivText"/>
        </w:rPr>
        <w:t>Schedule 1</w:t>
      </w:r>
      <w:r w:rsidR="00100DFC" w:rsidRPr="005E3B43">
        <w:rPr>
          <w:rStyle w:val="CharDivText"/>
        </w:rPr>
        <w:t>0</w:t>
      </w:r>
      <w:bookmarkEnd w:id="91"/>
    </w:p>
    <w:p w14:paraId="4E11E670" w14:textId="77777777" w:rsidR="000645D9" w:rsidRPr="005E3B43" w:rsidRDefault="000645D9" w:rsidP="00763BCF">
      <w:pPr>
        <w:pStyle w:val="ActHead5"/>
      </w:pPr>
      <w:bookmarkStart w:id="92" w:name="_Toc187135686"/>
      <w:r w:rsidRPr="005E3B43">
        <w:rPr>
          <w:rStyle w:val="CharSectno"/>
        </w:rPr>
        <w:t>16C</w:t>
      </w:r>
      <w:r w:rsidRPr="005E3B43">
        <w:t xml:space="preserve">  Applications for registration—notification of effectiveness and period for completing evaluations—general</w:t>
      </w:r>
      <w:bookmarkEnd w:id="92"/>
    </w:p>
    <w:p w14:paraId="1FC2255D" w14:textId="77777777" w:rsidR="000645D9" w:rsidRPr="005E3B43" w:rsidRDefault="000645D9" w:rsidP="00763BCF">
      <w:pPr>
        <w:pStyle w:val="SubsectionHead"/>
      </w:pPr>
      <w:r w:rsidRPr="005E3B43">
        <w:t>Application of this regulation</w:t>
      </w:r>
    </w:p>
    <w:p w14:paraId="76202FFB" w14:textId="77777777" w:rsidR="000645D9" w:rsidRPr="005E3B43" w:rsidRDefault="000645D9" w:rsidP="00763BCF">
      <w:pPr>
        <w:pStyle w:val="subsection"/>
      </w:pPr>
      <w:r w:rsidRPr="005E3B43">
        <w:tab/>
        <w:t>(1)</w:t>
      </w:r>
      <w:r w:rsidRPr="005E3B43">
        <w:tab/>
        <w:t>This regulation applies if the Secretary receives an application:</w:t>
      </w:r>
    </w:p>
    <w:p w14:paraId="4BDDB029" w14:textId="77777777" w:rsidR="000645D9" w:rsidRPr="005E3B43" w:rsidRDefault="000645D9" w:rsidP="00763BCF">
      <w:pPr>
        <w:pStyle w:val="paragraph"/>
      </w:pPr>
      <w:r w:rsidRPr="005E3B43">
        <w:tab/>
        <w:t>(a)</w:t>
      </w:r>
      <w:r w:rsidRPr="005E3B43">
        <w:tab/>
        <w:t xml:space="preserve">made under </w:t>
      </w:r>
      <w:r w:rsidR="00FB7FAA" w:rsidRPr="005E3B43">
        <w:t>section 2</w:t>
      </w:r>
      <w:r w:rsidRPr="005E3B43">
        <w:t>3 of the Act for the registration of a medicine that is a product of a kind specified in Part</w:t>
      </w:r>
      <w:r w:rsidR="004E6D00" w:rsidRPr="005E3B43">
        <w:t> </w:t>
      </w:r>
      <w:r w:rsidRPr="005E3B43">
        <w:t xml:space="preserve">1 of </w:t>
      </w:r>
      <w:r w:rsidR="008D1B4F" w:rsidRPr="005E3B43">
        <w:t>Schedule 1</w:t>
      </w:r>
      <w:r w:rsidRPr="005E3B43">
        <w:t>0 to these Regulations; and</w:t>
      </w:r>
    </w:p>
    <w:p w14:paraId="12BBF807" w14:textId="77777777" w:rsidR="000645D9" w:rsidRPr="005E3B43" w:rsidRDefault="000645D9" w:rsidP="00763BCF">
      <w:pPr>
        <w:pStyle w:val="paragraph"/>
      </w:pPr>
      <w:r w:rsidRPr="005E3B43">
        <w:tab/>
        <w:t>(b)</w:t>
      </w:r>
      <w:r w:rsidRPr="005E3B43">
        <w:tab/>
        <w:t>to which regulation</w:t>
      </w:r>
      <w:r w:rsidR="004E6D00" w:rsidRPr="005E3B43">
        <w:t> </w:t>
      </w:r>
      <w:r w:rsidRPr="005E3B43">
        <w:t>16G does not apply.</w:t>
      </w:r>
    </w:p>
    <w:p w14:paraId="5026E3EF" w14:textId="77777777" w:rsidR="00756E6C" w:rsidRPr="005E3B43" w:rsidRDefault="00756E6C" w:rsidP="00763BCF">
      <w:pPr>
        <w:pStyle w:val="SubsectionHead"/>
      </w:pPr>
      <w:r w:rsidRPr="005E3B43">
        <w:t>Giving notification whether application has passed preliminary assessment</w:t>
      </w:r>
    </w:p>
    <w:p w14:paraId="7F0314EC" w14:textId="77777777" w:rsidR="00756E6C" w:rsidRPr="005E3B43" w:rsidRDefault="00756E6C" w:rsidP="00763BCF">
      <w:pPr>
        <w:pStyle w:val="subsection"/>
      </w:pPr>
      <w:r w:rsidRPr="005E3B43">
        <w:tab/>
        <w:t>(2)</w:t>
      </w:r>
      <w:r w:rsidRPr="005E3B43">
        <w:tab/>
        <w:t>For the purposes of paragraph</w:t>
      </w:r>
      <w:r w:rsidR="004E6D00" w:rsidRPr="005E3B43">
        <w:t> </w:t>
      </w:r>
      <w:r w:rsidRPr="005E3B43">
        <w:t>63(2)(de) of the Act, the Secretary must, within 40 working days from the day of receipt of the application, send a notification in writing to the applicant that states whether the application has passed preliminary assessment.</w:t>
      </w:r>
    </w:p>
    <w:p w14:paraId="34469E6B" w14:textId="77777777" w:rsidR="000645D9" w:rsidRPr="005E3B43" w:rsidRDefault="000645D9" w:rsidP="00763BCF">
      <w:pPr>
        <w:pStyle w:val="SubsectionHead"/>
      </w:pPr>
      <w:r w:rsidRPr="005E3B43">
        <w:t>Period for completing evaluation in relation to application</w:t>
      </w:r>
    </w:p>
    <w:p w14:paraId="14382BF1" w14:textId="77777777" w:rsidR="000645D9" w:rsidRPr="005E3B43" w:rsidRDefault="000645D9" w:rsidP="00763BCF">
      <w:pPr>
        <w:pStyle w:val="subsection"/>
      </w:pPr>
      <w:r w:rsidRPr="005E3B43">
        <w:tab/>
        <w:t>(3)</w:t>
      </w:r>
      <w:r w:rsidRPr="005E3B43">
        <w:tab/>
        <w:t>For the purposes of paragraph</w:t>
      </w:r>
      <w:r w:rsidR="004E6D00" w:rsidRPr="005E3B43">
        <w:t> </w:t>
      </w:r>
      <w:r w:rsidRPr="005E3B43">
        <w:t xml:space="preserve">63(2)(da) of the Act, if </w:t>
      </w:r>
      <w:r w:rsidR="00FB7FAA" w:rsidRPr="005E3B43">
        <w:t>section 2</w:t>
      </w:r>
      <w:r w:rsidRPr="005E3B43">
        <w:t>5 of the Act requires an evaluation in relation to the application, the evaluation must be completed within the period of:</w:t>
      </w:r>
    </w:p>
    <w:p w14:paraId="49FA7173" w14:textId="77777777" w:rsidR="000645D9" w:rsidRPr="005E3B43" w:rsidRDefault="000645D9" w:rsidP="00763BCF">
      <w:pPr>
        <w:pStyle w:val="paragraph"/>
      </w:pPr>
      <w:r w:rsidRPr="005E3B43">
        <w:tab/>
        <w:t>(a)</w:t>
      </w:r>
      <w:r w:rsidRPr="005E3B43">
        <w:tab/>
        <w:t xml:space="preserve">if the conditions mentioned in </w:t>
      </w:r>
      <w:r w:rsidR="00B30D24" w:rsidRPr="005E3B43">
        <w:t>subregulations 1</w:t>
      </w:r>
      <w:r w:rsidRPr="005E3B43">
        <w:t>6DA(1) and (2) are satisfied—120 working days; or</w:t>
      </w:r>
    </w:p>
    <w:p w14:paraId="27DF2BC2" w14:textId="77777777" w:rsidR="000645D9" w:rsidRPr="005E3B43" w:rsidRDefault="000645D9" w:rsidP="00763BCF">
      <w:pPr>
        <w:pStyle w:val="paragraph"/>
      </w:pPr>
      <w:r w:rsidRPr="005E3B43">
        <w:tab/>
        <w:t>(b)</w:t>
      </w:r>
      <w:r w:rsidRPr="005E3B43">
        <w:tab/>
        <w:t>if the conditions mentioned in subregulation</w:t>
      </w:r>
      <w:r w:rsidR="004E6D00" w:rsidRPr="005E3B43">
        <w:t> </w:t>
      </w:r>
      <w:r w:rsidRPr="005E3B43">
        <w:t>16DA(1) are satisfied, but a condition mentioned in subregulation</w:t>
      </w:r>
      <w:r w:rsidR="004E6D00" w:rsidRPr="005E3B43">
        <w:t> </w:t>
      </w:r>
      <w:r w:rsidRPr="005E3B43">
        <w:t>16DA(2) is not satisfied—175 working days; or</w:t>
      </w:r>
    </w:p>
    <w:p w14:paraId="379E894B" w14:textId="77777777" w:rsidR="000645D9" w:rsidRPr="005E3B43" w:rsidRDefault="000645D9" w:rsidP="00763BCF">
      <w:pPr>
        <w:pStyle w:val="paragraph"/>
      </w:pPr>
      <w:r w:rsidRPr="005E3B43">
        <w:tab/>
        <w:t>(c)</w:t>
      </w:r>
      <w:r w:rsidRPr="005E3B43">
        <w:tab/>
        <w:t>otherwise—255 working days;</w:t>
      </w:r>
    </w:p>
    <w:p w14:paraId="5805D797" w14:textId="77777777" w:rsidR="000645D9" w:rsidRPr="005E3B43" w:rsidRDefault="000645D9" w:rsidP="00763BCF">
      <w:pPr>
        <w:pStyle w:val="subsection2"/>
      </w:pPr>
      <w:r w:rsidRPr="005E3B43">
        <w:t xml:space="preserve">beginning on the day the Secretary sends the notification that states that </w:t>
      </w:r>
      <w:r w:rsidR="00E014FD" w:rsidRPr="005E3B43">
        <w:t>the application has passed preliminary assessment</w:t>
      </w:r>
      <w:r w:rsidRPr="005E3B43">
        <w:t>.</w:t>
      </w:r>
    </w:p>
    <w:p w14:paraId="732C916C" w14:textId="77777777" w:rsidR="000645D9" w:rsidRPr="005E3B43" w:rsidRDefault="000645D9" w:rsidP="00763BCF">
      <w:pPr>
        <w:pStyle w:val="ActHead5"/>
      </w:pPr>
      <w:bookmarkStart w:id="93" w:name="_Toc187135687"/>
      <w:r w:rsidRPr="005E3B43">
        <w:rPr>
          <w:rStyle w:val="CharSectno"/>
        </w:rPr>
        <w:t>16D</w:t>
      </w:r>
      <w:r w:rsidRPr="005E3B43">
        <w:t xml:space="preserve">  Applications for variations—notification of effectiveness and period for deciding applications—general</w:t>
      </w:r>
      <w:bookmarkEnd w:id="93"/>
    </w:p>
    <w:p w14:paraId="0FD3C6B6" w14:textId="77777777" w:rsidR="000645D9" w:rsidRPr="005E3B43" w:rsidRDefault="000645D9" w:rsidP="00763BCF">
      <w:pPr>
        <w:pStyle w:val="SubsectionHead"/>
      </w:pPr>
      <w:r w:rsidRPr="005E3B43">
        <w:t>Application of this regulation</w:t>
      </w:r>
    </w:p>
    <w:p w14:paraId="4A7AEBF0" w14:textId="77777777" w:rsidR="000645D9" w:rsidRPr="005E3B43" w:rsidRDefault="000645D9" w:rsidP="00763BCF">
      <w:pPr>
        <w:pStyle w:val="subsection"/>
      </w:pPr>
      <w:r w:rsidRPr="005E3B43">
        <w:tab/>
        <w:t>(1)</w:t>
      </w:r>
      <w:r w:rsidRPr="005E3B43">
        <w:tab/>
        <w:t>This regulation applies if the Secretary receives an application:</w:t>
      </w:r>
    </w:p>
    <w:p w14:paraId="68BA3C63" w14:textId="77777777" w:rsidR="000645D9" w:rsidRPr="005E3B43" w:rsidRDefault="000645D9" w:rsidP="00763BCF">
      <w:pPr>
        <w:pStyle w:val="paragraph"/>
      </w:pPr>
      <w:r w:rsidRPr="005E3B43">
        <w:tab/>
        <w:t>(a)</w:t>
      </w:r>
      <w:r w:rsidRPr="005E3B43">
        <w:tab/>
        <w:t>made under subsection</w:t>
      </w:r>
      <w:r w:rsidR="004E6D00" w:rsidRPr="005E3B43">
        <w:t> </w:t>
      </w:r>
      <w:r w:rsidRPr="005E3B43">
        <w:t>9D(3) of the Act to vary information included in an entry in the Register that relates to a medicine that is a product of a kind specified in Part</w:t>
      </w:r>
      <w:r w:rsidR="004E6D00" w:rsidRPr="005E3B43">
        <w:t> </w:t>
      </w:r>
      <w:r w:rsidRPr="005E3B43">
        <w:t xml:space="preserve">1 of </w:t>
      </w:r>
      <w:r w:rsidR="008D1B4F" w:rsidRPr="005E3B43">
        <w:t>Schedule 1</w:t>
      </w:r>
      <w:r w:rsidRPr="005E3B43">
        <w:t>0 to these Regulations; and</w:t>
      </w:r>
    </w:p>
    <w:p w14:paraId="4BAB98E0" w14:textId="77777777" w:rsidR="000645D9" w:rsidRPr="005E3B43" w:rsidRDefault="000645D9" w:rsidP="00763BCF">
      <w:pPr>
        <w:pStyle w:val="paragraph"/>
      </w:pPr>
      <w:r w:rsidRPr="005E3B43">
        <w:tab/>
        <w:t>(b)</w:t>
      </w:r>
      <w:r w:rsidRPr="005E3B43">
        <w:tab/>
        <w:t>to which regulation</w:t>
      </w:r>
      <w:r w:rsidR="004E6D00" w:rsidRPr="005E3B43">
        <w:t> </w:t>
      </w:r>
      <w:r w:rsidRPr="005E3B43">
        <w:t>16F does not apply.</w:t>
      </w:r>
    </w:p>
    <w:p w14:paraId="1114AD55" w14:textId="77777777" w:rsidR="000645D9" w:rsidRPr="005E3B43" w:rsidRDefault="000645D9" w:rsidP="00763BCF">
      <w:pPr>
        <w:pStyle w:val="SubsectionHead"/>
      </w:pPr>
      <w:r w:rsidRPr="005E3B43">
        <w:lastRenderedPageBreak/>
        <w:t>Giving notification of effectiveness of application</w:t>
      </w:r>
    </w:p>
    <w:p w14:paraId="614A5531" w14:textId="77777777" w:rsidR="000645D9" w:rsidRPr="005E3B43" w:rsidRDefault="000645D9" w:rsidP="00763BCF">
      <w:pPr>
        <w:pStyle w:val="subsection"/>
      </w:pPr>
      <w:r w:rsidRPr="005E3B43">
        <w:tab/>
        <w:t>(2)</w:t>
      </w:r>
      <w:r w:rsidRPr="005E3B43">
        <w:tab/>
        <w:t>The Secretary must, within 40 working days from the day of receipt of the application, send a notification in writing to the applicant that states whether the application is effective.</w:t>
      </w:r>
    </w:p>
    <w:p w14:paraId="7BB3254B" w14:textId="77777777" w:rsidR="000645D9" w:rsidRPr="005E3B43" w:rsidRDefault="000645D9" w:rsidP="00763BCF">
      <w:pPr>
        <w:pStyle w:val="SubsectionHead"/>
      </w:pPr>
      <w:r w:rsidRPr="005E3B43">
        <w:t>Period for completing evaluation in relation to application</w:t>
      </w:r>
    </w:p>
    <w:p w14:paraId="22AAAF0D" w14:textId="77777777" w:rsidR="000645D9" w:rsidRPr="005E3B43" w:rsidRDefault="000645D9" w:rsidP="00763BCF">
      <w:pPr>
        <w:pStyle w:val="subsection"/>
      </w:pPr>
      <w:r w:rsidRPr="005E3B43">
        <w:tab/>
        <w:t>(3)</w:t>
      </w:r>
      <w:r w:rsidRPr="005E3B43">
        <w:tab/>
        <w:t>For the purposes of paragraph</w:t>
      </w:r>
      <w:r w:rsidR="004E6D00" w:rsidRPr="005E3B43">
        <w:t> </w:t>
      </w:r>
      <w:r w:rsidRPr="005E3B43">
        <w:t>63(2)(df) of the Act, if the application is effective, the application must be decided, and the applicant must be given notification of the decision, within the period of:</w:t>
      </w:r>
    </w:p>
    <w:p w14:paraId="090A427E" w14:textId="77777777" w:rsidR="000645D9" w:rsidRPr="005E3B43" w:rsidRDefault="000645D9" w:rsidP="00763BCF">
      <w:pPr>
        <w:pStyle w:val="paragraph"/>
      </w:pPr>
      <w:r w:rsidRPr="005E3B43">
        <w:tab/>
        <w:t>(a)</w:t>
      </w:r>
      <w:r w:rsidRPr="005E3B43">
        <w:tab/>
        <w:t xml:space="preserve">if, in respect of the evaluation in relation to the application, the conditions mentioned in </w:t>
      </w:r>
      <w:r w:rsidR="00B30D24" w:rsidRPr="005E3B43">
        <w:t>subregulations 1</w:t>
      </w:r>
      <w:r w:rsidRPr="005E3B43">
        <w:t>6DA(1) and (2) are satisfied—120 working days; or</w:t>
      </w:r>
    </w:p>
    <w:p w14:paraId="69A59B29" w14:textId="77777777" w:rsidR="000645D9" w:rsidRPr="005E3B43" w:rsidRDefault="000645D9" w:rsidP="00763BCF">
      <w:pPr>
        <w:pStyle w:val="paragraph"/>
      </w:pPr>
      <w:r w:rsidRPr="005E3B43">
        <w:tab/>
        <w:t>(b)</w:t>
      </w:r>
      <w:r w:rsidRPr="005E3B43">
        <w:tab/>
        <w:t>if, in respect of the evaluation in relation to the application, the conditions mentioned in subregulation</w:t>
      </w:r>
      <w:r w:rsidR="004E6D00" w:rsidRPr="005E3B43">
        <w:t> </w:t>
      </w:r>
      <w:r w:rsidRPr="005E3B43">
        <w:t>16DA(1) are satisfied, but a condition mentioned in subregulation16DA(2) is not satisfied—175 working days; or</w:t>
      </w:r>
    </w:p>
    <w:p w14:paraId="113E675D" w14:textId="77777777" w:rsidR="000645D9" w:rsidRPr="005E3B43" w:rsidRDefault="000645D9" w:rsidP="00763BCF">
      <w:pPr>
        <w:pStyle w:val="paragraph"/>
      </w:pPr>
      <w:r w:rsidRPr="005E3B43">
        <w:tab/>
        <w:t>(c)</w:t>
      </w:r>
      <w:r w:rsidRPr="005E3B43">
        <w:tab/>
        <w:t>otherwise—255 working days;</w:t>
      </w:r>
    </w:p>
    <w:p w14:paraId="22100ABE" w14:textId="77777777" w:rsidR="000645D9" w:rsidRPr="005E3B43" w:rsidRDefault="000645D9" w:rsidP="00763BCF">
      <w:pPr>
        <w:pStyle w:val="subsection2"/>
      </w:pPr>
      <w:r w:rsidRPr="005E3B43">
        <w:t>beginning on the day the Secretary sends the notification that states that the application is effective.</w:t>
      </w:r>
    </w:p>
    <w:p w14:paraId="5C78D817" w14:textId="77777777" w:rsidR="000645D9" w:rsidRPr="005E3B43" w:rsidRDefault="000645D9" w:rsidP="00763BCF">
      <w:pPr>
        <w:pStyle w:val="ActHead5"/>
      </w:pPr>
      <w:bookmarkStart w:id="94" w:name="_Toc187135688"/>
      <w:r w:rsidRPr="005E3B43">
        <w:rPr>
          <w:rStyle w:val="CharSectno"/>
        </w:rPr>
        <w:t>16DA</w:t>
      </w:r>
      <w:r w:rsidRPr="005E3B43">
        <w:t xml:space="preserve">  Conditions for periods for regulations</w:t>
      </w:r>
      <w:r w:rsidR="004E6D00" w:rsidRPr="005E3B43">
        <w:t> </w:t>
      </w:r>
      <w:r w:rsidRPr="005E3B43">
        <w:t>16C and 16D</w:t>
      </w:r>
      <w:bookmarkEnd w:id="94"/>
    </w:p>
    <w:p w14:paraId="2306C59F" w14:textId="77777777" w:rsidR="000645D9" w:rsidRPr="005E3B43" w:rsidRDefault="000645D9" w:rsidP="00763BCF">
      <w:pPr>
        <w:pStyle w:val="SubsectionHead"/>
      </w:pPr>
      <w:r w:rsidRPr="005E3B43">
        <w:t>Conditions for 175 day period</w:t>
      </w:r>
    </w:p>
    <w:p w14:paraId="55D82161" w14:textId="77777777" w:rsidR="000645D9" w:rsidRPr="005E3B43" w:rsidRDefault="000645D9" w:rsidP="00763BCF">
      <w:pPr>
        <w:pStyle w:val="subsection"/>
      </w:pPr>
      <w:r w:rsidRPr="005E3B43">
        <w:tab/>
        <w:t>(1)</w:t>
      </w:r>
      <w:r w:rsidRPr="005E3B43">
        <w:tab/>
        <w:t xml:space="preserve">For the purposes of paragraphs </w:t>
      </w:r>
      <w:r w:rsidR="00285154" w:rsidRPr="005E3B43">
        <w:t>16C(3)(a) and (b) and 16D(3)(a) and (b)</w:t>
      </w:r>
      <w:r w:rsidRPr="005E3B43">
        <w:t>, the conditions are the following:</w:t>
      </w:r>
    </w:p>
    <w:p w14:paraId="5F855E0D" w14:textId="77777777" w:rsidR="000645D9" w:rsidRPr="005E3B43" w:rsidRDefault="000645D9" w:rsidP="00763BCF">
      <w:pPr>
        <w:pStyle w:val="paragraph"/>
      </w:pPr>
      <w:r w:rsidRPr="005E3B43">
        <w:tab/>
        <w:t>(a)</w:t>
      </w:r>
      <w:r w:rsidRPr="005E3B43">
        <w:tab/>
        <w:t xml:space="preserve">the evaluation relates to a medicine (the </w:t>
      </w:r>
      <w:r w:rsidRPr="005E3B43">
        <w:rPr>
          <w:b/>
          <w:i/>
        </w:rPr>
        <w:t>evaluation medicine</w:t>
      </w:r>
      <w:r w:rsidRPr="005E3B43">
        <w:t xml:space="preserve">) that is the same as a medicine (an </w:t>
      </w:r>
      <w:r w:rsidRPr="005E3B43">
        <w:rPr>
          <w:b/>
          <w:i/>
        </w:rPr>
        <w:t>acceptable foreign approved medicine</w:t>
      </w:r>
      <w:r w:rsidRPr="005E3B43">
        <w:t>) that has been approved by a competent regulatory authority, of a foreign country or foreign jurisdiction determined under subregulation (3), for general marketing in that country or jurisdiction;</w:t>
      </w:r>
    </w:p>
    <w:p w14:paraId="1A76146F" w14:textId="77777777" w:rsidR="000645D9" w:rsidRPr="005E3B43" w:rsidRDefault="000645D9" w:rsidP="00763BCF">
      <w:pPr>
        <w:pStyle w:val="paragraph"/>
      </w:pPr>
      <w:r w:rsidRPr="005E3B43">
        <w:tab/>
        <w:t>(c)</w:t>
      </w:r>
      <w:r w:rsidRPr="005E3B43">
        <w:tab/>
        <w:t>the indications of the evaluation medicine are equivalent to the indications of the acceptable foreign approved medicine;</w:t>
      </w:r>
    </w:p>
    <w:p w14:paraId="3EFA9588" w14:textId="77777777" w:rsidR="000645D9" w:rsidRPr="005E3B43" w:rsidRDefault="000645D9" w:rsidP="00763BCF">
      <w:pPr>
        <w:pStyle w:val="paragraph"/>
      </w:pPr>
      <w:r w:rsidRPr="005E3B43">
        <w:tab/>
        <w:t>(d)</w:t>
      </w:r>
      <w:r w:rsidRPr="005E3B43">
        <w:tab/>
        <w:t>the strength, dosage form, formulation and directions for use of the evaluation medicine are identical to those of the acceptable foreign approved medicine;</w:t>
      </w:r>
    </w:p>
    <w:p w14:paraId="2E474684" w14:textId="77777777" w:rsidR="000645D9" w:rsidRPr="005E3B43" w:rsidRDefault="000645D9" w:rsidP="00763BCF">
      <w:pPr>
        <w:pStyle w:val="paragraph"/>
      </w:pPr>
      <w:r w:rsidRPr="005E3B43">
        <w:tab/>
        <w:t>(e)</w:t>
      </w:r>
      <w:r w:rsidRPr="005E3B43">
        <w:tab/>
        <w:t>the manufacturer and manufacturing process for the evaluation medicine are identical to those for the acceptable foreign approved medicine;</w:t>
      </w:r>
    </w:p>
    <w:p w14:paraId="7F69140F" w14:textId="77777777" w:rsidR="000645D9" w:rsidRPr="005E3B43" w:rsidRDefault="000645D9" w:rsidP="00763BCF">
      <w:pPr>
        <w:pStyle w:val="paragraph"/>
      </w:pPr>
      <w:r w:rsidRPr="005E3B43">
        <w:tab/>
        <w:t>(f)</w:t>
      </w:r>
      <w:r w:rsidRPr="005E3B43">
        <w:tab/>
        <w:t>an application for marketing approval for the evaluation medicine has not been delayed, deferred, rejected, refused or withdrawn in any country;</w:t>
      </w:r>
    </w:p>
    <w:p w14:paraId="7D33890B" w14:textId="77777777" w:rsidR="000645D9" w:rsidRPr="005E3B43" w:rsidRDefault="000645D9" w:rsidP="00763BCF">
      <w:pPr>
        <w:pStyle w:val="paragraph"/>
      </w:pPr>
      <w:r w:rsidRPr="005E3B43">
        <w:tab/>
        <w:t>(g)</w:t>
      </w:r>
      <w:r w:rsidRPr="005E3B43">
        <w:tab/>
        <w:t>if the evaluation medicine is a generic product in comparison to a registered medicine:</w:t>
      </w:r>
    </w:p>
    <w:p w14:paraId="3D1D661B" w14:textId="77777777" w:rsidR="000645D9" w:rsidRPr="005E3B43" w:rsidRDefault="000645D9" w:rsidP="00763BCF">
      <w:pPr>
        <w:pStyle w:val="paragraphsub"/>
      </w:pPr>
      <w:r w:rsidRPr="005E3B43">
        <w:tab/>
        <w:t>(i)</w:t>
      </w:r>
      <w:r w:rsidRPr="005E3B43">
        <w:tab/>
        <w:t>the indications of the evaluation medicine are identical to the indications of the registered medicine; and</w:t>
      </w:r>
    </w:p>
    <w:p w14:paraId="2BE2DE12" w14:textId="77777777" w:rsidR="000645D9" w:rsidRPr="005E3B43" w:rsidRDefault="000645D9" w:rsidP="00763BCF">
      <w:pPr>
        <w:pStyle w:val="paragraphsub"/>
      </w:pPr>
      <w:r w:rsidRPr="005E3B43">
        <w:tab/>
        <w:t>(ii)</w:t>
      </w:r>
      <w:r w:rsidRPr="005E3B43">
        <w:tab/>
        <w:t xml:space="preserve">the reference product used by the competent regulatory authority mentioned in </w:t>
      </w:r>
      <w:r w:rsidR="004E6D00" w:rsidRPr="005E3B43">
        <w:t>paragraph (</w:t>
      </w:r>
      <w:r w:rsidRPr="005E3B43">
        <w:t xml:space="preserve">a) to assess the bioequivalence of the acceptable foreign approved medicine (in assessing the application for </w:t>
      </w:r>
      <w:r w:rsidRPr="005E3B43">
        <w:lastRenderedPageBreak/>
        <w:t>the approval for the acceptable foreign approved medicine) is identical to the registered medicine;</w:t>
      </w:r>
    </w:p>
    <w:p w14:paraId="396E1E39" w14:textId="77777777" w:rsidR="000645D9" w:rsidRPr="005E3B43" w:rsidRDefault="000645D9" w:rsidP="00763BCF">
      <w:pPr>
        <w:pStyle w:val="paragraph"/>
      </w:pPr>
      <w:r w:rsidRPr="005E3B43">
        <w:tab/>
        <w:t>(h)</w:t>
      </w:r>
      <w:r w:rsidRPr="005E3B43">
        <w:tab/>
        <w:t xml:space="preserve">if the evaluation medicine is a biosimilar in relation to a registered medicine—the reference product used by the competent regulatory authority mentioned in </w:t>
      </w:r>
      <w:r w:rsidR="004E6D00" w:rsidRPr="005E3B43">
        <w:t>paragraph (</w:t>
      </w:r>
      <w:r w:rsidRPr="005E3B43">
        <w:t>a) (in assessing the application for the approval for the acceptable foreign approved medicine) is identical to the registered medicine;</w:t>
      </w:r>
    </w:p>
    <w:p w14:paraId="508A47B3" w14:textId="77777777" w:rsidR="000645D9" w:rsidRPr="005E3B43" w:rsidRDefault="000645D9" w:rsidP="00763BCF">
      <w:pPr>
        <w:pStyle w:val="paragraph"/>
      </w:pPr>
      <w:r w:rsidRPr="005E3B43">
        <w:tab/>
        <w:t>(i)</w:t>
      </w:r>
      <w:r w:rsidRPr="005E3B43">
        <w:tab/>
        <w:t xml:space="preserve">the applicant in relation to the evaluation has given the Secretary the assessment, by the competent regulatory authority mentioned in </w:t>
      </w:r>
      <w:r w:rsidR="004E6D00" w:rsidRPr="005E3B43">
        <w:t>paragraph (</w:t>
      </w:r>
      <w:r w:rsidRPr="005E3B43">
        <w:t>a), of the application for the approval for the acceptable foreign approved medicine;</w:t>
      </w:r>
    </w:p>
    <w:p w14:paraId="63ED7372" w14:textId="77777777" w:rsidR="000645D9" w:rsidRPr="005E3B43" w:rsidRDefault="000645D9" w:rsidP="00763BCF">
      <w:pPr>
        <w:pStyle w:val="paragraph"/>
      </w:pPr>
      <w:r w:rsidRPr="005E3B43">
        <w:tab/>
        <w:t>(j)</w:t>
      </w:r>
      <w:r w:rsidRPr="005E3B43">
        <w:tab/>
        <w:t xml:space="preserve">the assessment mentioned in </w:t>
      </w:r>
      <w:r w:rsidR="004E6D00" w:rsidRPr="005E3B43">
        <w:t>paragraph (</w:t>
      </w:r>
      <w:r w:rsidRPr="005E3B43">
        <w:t>i):</w:t>
      </w:r>
    </w:p>
    <w:p w14:paraId="2772B8F4" w14:textId="77777777" w:rsidR="000645D9" w:rsidRPr="005E3B43" w:rsidRDefault="000645D9" w:rsidP="00763BCF">
      <w:pPr>
        <w:pStyle w:val="paragraphsub"/>
      </w:pPr>
      <w:r w:rsidRPr="005E3B43">
        <w:tab/>
        <w:t>(i)</w:t>
      </w:r>
      <w:r w:rsidRPr="005E3B43">
        <w:tab/>
        <w:t>is complete and unredacted; and</w:t>
      </w:r>
    </w:p>
    <w:p w14:paraId="772E28A0" w14:textId="77777777" w:rsidR="000645D9" w:rsidRPr="005E3B43" w:rsidRDefault="000645D9" w:rsidP="00763BCF">
      <w:pPr>
        <w:pStyle w:val="paragraphsub"/>
      </w:pPr>
      <w:r w:rsidRPr="005E3B43">
        <w:tab/>
        <w:t>(ii)</w:t>
      </w:r>
      <w:r w:rsidRPr="005E3B43">
        <w:tab/>
        <w:t>is in English; and</w:t>
      </w:r>
    </w:p>
    <w:p w14:paraId="40D986F9" w14:textId="77777777" w:rsidR="000645D9" w:rsidRPr="005E3B43" w:rsidRDefault="000645D9" w:rsidP="00763BCF">
      <w:pPr>
        <w:pStyle w:val="paragraphsub"/>
      </w:pPr>
      <w:r w:rsidRPr="005E3B43">
        <w:tab/>
        <w:t>(iii)</w:t>
      </w:r>
      <w:r w:rsidRPr="005E3B43">
        <w:tab/>
        <w:t>includes comprehensive details of studies assessed in connection with the application for the approval for the acceptable foreign approved medicine; and</w:t>
      </w:r>
    </w:p>
    <w:p w14:paraId="741BDA3E" w14:textId="77777777" w:rsidR="000645D9" w:rsidRPr="005E3B43" w:rsidRDefault="000645D9" w:rsidP="00763BCF">
      <w:pPr>
        <w:pStyle w:val="paragraphsub"/>
      </w:pPr>
      <w:r w:rsidRPr="005E3B43">
        <w:tab/>
        <w:t>(iv)</w:t>
      </w:r>
      <w:r w:rsidRPr="005E3B43">
        <w:tab/>
        <w:t>includes copies of any correspondence relating to the application for the approval for the acceptable foreign approved medicine between the competent regulatory authority and the applicant for the approval; and</w:t>
      </w:r>
    </w:p>
    <w:p w14:paraId="6B9069EB" w14:textId="77777777" w:rsidR="000645D9" w:rsidRPr="005E3B43" w:rsidRDefault="000645D9" w:rsidP="00763BCF">
      <w:pPr>
        <w:pStyle w:val="paragraphsub"/>
      </w:pPr>
      <w:r w:rsidRPr="005E3B43">
        <w:tab/>
        <w:t>(v)</w:t>
      </w:r>
      <w:r w:rsidRPr="005E3B43">
        <w:tab/>
        <w:t>includes the competent regulatory authority’s final decision; and</w:t>
      </w:r>
    </w:p>
    <w:p w14:paraId="1E3C3DB5" w14:textId="77777777" w:rsidR="000645D9" w:rsidRPr="005E3B43" w:rsidRDefault="000645D9" w:rsidP="00763BCF">
      <w:pPr>
        <w:pStyle w:val="paragraphsub"/>
      </w:pPr>
      <w:r w:rsidRPr="005E3B43">
        <w:tab/>
        <w:t>(vi)</w:t>
      </w:r>
      <w:r w:rsidRPr="005E3B43">
        <w:tab/>
        <w:t>includes any certifications or authentications of reports relating to the approval; and</w:t>
      </w:r>
    </w:p>
    <w:p w14:paraId="0817FA6F" w14:textId="77777777" w:rsidR="000645D9" w:rsidRPr="005E3B43" w:rsidRDefault="000645D9" w:rsidP="00763BCF">
      <w:pPr>
        <w:pStyle w:val="paragraphsub"/>
      </w:pPr>
      <w:r w:rsidRPr="005E3B43">
        <w:tab/>
        <w:t>(vii)</w:t>
      </w:r>
      <w:r w:rsidRPr="005E3B43">
        <w:tab/>
        <w:t>is not, wholly or in part, based on (including compiled by reference to or in reliance on) any other assessment or evaluation (however described).</w:t>
      </w:r>
    </w:p>
    <w:p w14:paraId="1AEF3836" w14:textId="77777777" w:rsidR="000645D9" w:rsidRPr="005E3B43" w:rsidRDefault="000645D9" w:rsidP="00763BCF">
      <w:pPr>
        <w:pStyle w:val="SubsectionHead"/>
      </w:pPr>
      <w:r w:rsidRPr="005E3B43">
        <w:t>Conditions for 120 day period</w:t>
      </w:r>
    </w:p>
    <w:p w14:paraId="664C38D2" w14:textId="77777777" w:rsidR="000645D9" w:rsidRPr="005E3B43" w:rsidRDefault="000645D9" w:rsidP="00763BCF">
      <w:pPr>
        <w:pStyle w:val="subsection"/>
      </w:pPr>
      <w:r w:rsidRPr="005E3B43">
        <w:tab/>
        <w:t>(2)</w:t>
      </w:r>
      <w:r w:rsidRPr="005E3B43">
        <w:tab/>
        <w:t>For the purposes of paragraphs 16C(3)(a) and (b) and 16D(3)(a) and (b), the conditions are the following:</w:t>
      </w:r>
    </w:p>
    <w:p w14:paraId="152CBBE4" w14:textId="77777777" w:rsidR="00767978" w:rsidRPr="005E3B43" w:rsidRDefault="00767978" w:rsidP="00763BCF">
      <w:pPr>
        <w:pStyle w:val="paragraph"/>
      </w:pPr>
      <w:r w:rsidRPr="005E3B43">
        <w:tab/>
        <w:t>(aa)</w:t>
      </w:r>
      <w:r w:rsidRPr="005E3B43">
        <w:tab/>
        <w:t>the approval for the acceptable foreign approved medicine:</w:t>
      </w:r>
    </w:p>
    <w:p w14:paraId="7030C702" w14:textId="77777777" w:rsidR="00767978" w:rsidRPr="005E3B43" w:rsidRDefault="00767978" w:rsidP="00763BCF">
      <w:pPr>
        <w:pStyle w:val="paragraphsub"/>
      </w:pPr>
      <w:r w:rsidRPr="005E3B43">
        <w:tab/>
        <w:t>(i)</w:t>
      </w:r>
      <w:r w:rsidRPr="005E3B43">
        <w:tab/>
        <w:t>is in force; and</w:t>
      </w:r>
    </w:p>
    <w:p w14:paraId="1A4F85E0" w14:textId="77777777" w:rsidR="00767978" w:rsidRPr="005E3B43" w:rsidRDefault="00767978" w:rsidP="00763BCF">
      <w:pPr>
        <w:pStyle w:val="paragraphsub"/>
      </w:pPr>
      <w:r w:rsidRPr="005E3B43">
        <w:tab/>
        <w:t>(ii)</w:t>
      </w:r>
      <w:r w:rsidRPr="005E3B43">
        <w:tab/>
        <w:t>was given not more than 12 months before the date of the application in relation to the evaluation;</w:t>
      </w:r>
    </w:p>
    <w:p w14:paraId="77CF9672" w14:textId="77777777" w:rsidR="000645D9" w:rsidRPr="005E3B43" w:rsidRDefault="000645D9" w:rsidP="00763BCF">
      <w:pPr>
        <w:pStyle w:val="paragraph"/>
      </w:pPr>
      <w:r w:rsidRPr="005E3B43">
        <w:tab/>
        <w:t>(a)</w:t>
      </w:r>
      <w:r w:rsidRPr="005E3B43">
        <w:tab/>
        <w:t>the manufacturing site at which manufacturing steps other than labelling and release for supply are carried out for the evaluation medicine is identical to that for the acceptable foreign approved medicine;</w:t>
      </w:r>
    </w:p>
    <w:p w14:paraId="71CB9CD4" w14:textId="6553D265" w:rsidR="000645D9" w:rsidRPr="005E3B43" w:rsidRDefault="000645D9" w:rsidP="00763BCF">
      <w:pPr>
        <w:pStyle w:val="paragraph"/>
      </w:pPr>
      <w:r w:rsidRPr="005E3B43">
        <w:tab/>
        <w:t>(b)</w:t>
      </w:r>
      <w:r w:rsidRPr="005E3B43">
        <w:tab/>
        <w:t xml:space="preserve">if the evaluation medicine is manufactured in Australia—there is evidence that the medicine has been manufactured in accordance with </w:t>
      </w:r>
      <w:r w:rsidR="00BB758E" w:rsidRPr="005E3B43">
        <w:t>Part 3</w:t>
      </w:r>
      <w:r w:rsidR="007C3215">
        <w:noBreakHyphen/>
      </w:r>
      <w:r w:rsidRPr="005E3B43">
        <w:t>3 of the Act;</w:t>
      </w:r>
    </w:p>
    <w:p w14:paraId="2B4C7651" w14:textId="77777777" w:rsidR="000645D9" w:rsidRPr="005E3B43" w:rsidRDefault="000645D9" w:rsidP="00763BCF">
      <w:pPr>
        <w:pStyle w:val="paragraph"/>
      </w:pPr>
      <w:r w:rsidRPr="005E3B43">
        <w:tab/>
        <w:t>(c)</w:t>
      </w:r>
      <w:r w:rsidRPr="005E3B43">
        <w:tab/>
        <w:t>if a step in the manufacture of the evaluation medicine has been carried out outside Australia—there is evidence that the manufacturing and quality control procedures used in the manufacture of the medicine are acceptable;</w:t>
      </w:r>
    </w:p>
    <w:p w14:paraId="2F63BA4C" w14:textId="77777777" w:rsidR="000645D9" w:rsidRPr="005E3B43" w:rsidRDefault="000645D9" w:rsidP="00763BCF">
      <w:pPr>
        <w:pStyle w:val="paragraph"/>
      </w:pPr>
      <w:r w:rsidRPr="005E3B43">
        <w:tab/>
        <w:t>(d)</w:t>
      </w:r>
      <w:r w:rsidRPr="005E3B43">
        <w:tab/>
        <w:t>no additional information is required to complete the evaluation, other than:</w:t>
      </w:r>
    </w:p>
    <w:p w14:paraId="1FEECA48" w14:textId="77777777" w:rsidR="000645D9" w:rsidRPr="005E3B43" w:rsidRDefault="000645D9" w:rsidP="00763BCF">
      <w:pPr>
        <w:pStyle w:val="paragraphsub"/>
      </w:pPr>
      <w:r w:rsidRPr="005E3B43">
        <w:lastRenderedPageBreak/>
        <w:tab/>
        <w:t>(i)</w:t>
      </w:r>
      <w:r w:rsidRPr="005E3B43">
        <w:tab/>
        <w:t>the label and product information for the evaluation medicine; and</w:t>
      </w:r>
    </w:p>
    <w:p w14:paraId="26D2E960" w14:textId="77777777" w:rsidR="000645D9" w:rsidRPr="005E3B43" w:rsidRDefault="000645D9" w:rsidP="00763BCF">
      <w:pPr>
        <w:pStyle w:val="paragraphsub"/>
      </w:pPr>
      <w:r w:rsidRPr="005E3B43">
        <w:tab/>
        <w:t>(ii)</w:t>
      </w:r>
      <w:r w:rsidRPr="005E3B43">
        <w:tab/>
        <w:t>the risk management plan (if any) for the evaluation medicine.</w:t>
      </w:r>
    </w:p>
    <w:p w14:paraId="044FCAB7" w14:textId="77777777" w:rsidR="000645D9" w:rsidRPr="005E3B43" w:rsidRDefault="000645D9" w:rsidP="00763BCF">
      <w:pPr>
        <w:pStyle w:val="SubsectionHead"/>
      </w:pPr>
      <w:r w:rsidRPr="005E3B43">
        <w:t>Determining foreign countries or foreign jurisdictions</w:t>
      </w:r>
    </w:p>
    <w:p w14:paraId="042082DC" w14:textId="77777777" w:rsidR="000645D9" w:rsidRPr="005E3B43" w:rsidRDefault="000645D9" w:rsidP="00763BCF">
      <w:pPr>
        <w:pStyle w:val="subsection"/>
      </w:pPr>
      <w:r w:rsidRPr="005E3B43">
        <w:tab/>
        <w:t>(3)</w:t>
      </w:r>
      <w:r w:rsidRPr="005E3B43">
        <w:tab/>
        <w:t>The Secretary may, in writing published on the Therapeutic Goods Administration website, determine a foreign country or a foreign jurisdiction for the purposes of this regulation.</w:t>
      </w:r>
    </w:p>
    <w:p w14:paraId="6E48E41F" w14:textId="77777777" w:rsidR="000645D9" w:rsidRPr="005E3B43" w:rsidRDefault="000645D9" w:rsidP="00763BCF">
      <w:pPr>
        <w:pStyle w:val="ActHead5"/>
      </w:pPr>
      <w:bookmarkStart w:id="95" w:name="_Toc187135689"/>
      <w:r w:rsidRPr="005E3B43">
        <w:rPr>
          <w:rStyle w:val="CharSectno"/>
        </w:rPr>
        <w:t>16E</w:t>
      </w:r>
      <w:r w:rsidRPr="005E3B43">
        <w:t xml:space="preserve">  Applications for variations—effect of failure to decide applications within specified period</w:t>
      </w:r>
      <w:bookmarkEnd w:id="95"/>
    </w:p>
    <w:p w14:paraId="7D646DEC" w14:textId="77777777" w:rsidR="00207B1C" w:rsidRPr="005E3B43" w:rsidRDefault="00207B1C" w:rsidP="00763BCF">
      <w:pPr>
        <w:pStyle w:val="subsection"/>
      </w:pPr>
      <w:r w:rsidRPr="005E3B43">
        <w:tab/>
      </w:r>
      <w:r w:rsidRPr="005E3B43">
        <w:tab/>
        <w:t xml:space="preserve">The failure to decide, within the </w:t>
      </w:r>
      <w:r w:rsidR="000645D9" w:rsidRPr="005E3B43">
        <w:t>period specified in subregulation</w:t>
      </w:r>
      <w:r w:rsidR="004E6D00" w:rsidRPr="005E3B43">
        <w:t> </w:t>
      </w:r>
      <w:r w:rsidR="000645D9" w:rsidRPr="005E3B43">
        <w:t>16D(3)</w:t>
      </w:r>
      <w:r w:rsidRPr="005E3B43">
        <w:t>, an application to which regulation</w:t>
      </w:r>
      <w:r w:rsidR="004E6D00" w:rsidRPr="005E3B43">
        <w:t> </w:t>
      </w:r>
      <w:r w:rsidRPr="005E3B43">
        <w:t>16D applies does not make the Commonwealth, the Secretary or a delegate of the Secretary liable to a person for loss, damage or injury, of any kind, that is caused by or arises out of the failure.</w:t>
      </w:r>
    </w:p>
    <w:p w14:paraId="10D9EFE6" w14:textId="77777777" w:rsidR="00DD1FA0" w:rsidRPr="005E3B43" w:rsidRDefault="00DD1FA0" w:rsidP="00763BCF">
      <w:pPr>
        <w:pStyle w:val="ActHead5"/>
      </w:pPr>
      <w:bookmarkStart w:id="96" w:name="_Toc187135690"/>
      <w:r w:rsidRPr="005E3B43">
        <w:rPr>
          <w:rStyle w:val="CharSectno"/>
        </w:rPr>
        <w:t>16F</w:t>
      </w:r>
      <w:r w:rsidRPr="005E3B43">
        <w:t xml:space="preserve">  Applications for variations—shorter period for deciding applications</w:t>
      </w:r>
      <w:bookmarkEnd w:id="96"/>
    </w:p>
    <w:p w14:paraId="13D4F318" w14:textId="77777777" w:rsidR="00207B1C" w:rsidRPr="005E3B43" w:rsidRDefault="00207B1C" w:rsidP="00763BCF">
      <w:pPr>
        <w:pStyle w:val="subsection"/>
      </w:pPr>
      <w:r w:rsidRPr="005E3B43">
        <w:tab/>
        <w:t>(1)</w:t>
      </w:r>
      <w:r w:rsidRPr="005E3B43">
        <w:tab/>
        <w:t>Subject to subregulation</w:t>
      </w:r>
      <w:r w:rsidR="002B4943" w:rsidRPr="005E3B43">
        <w:t> </w:t>
      </w:r>
      <w:r w:rsidRPr="005E3B43">
        <w:t>(2), this regulation applies to an application, in relation to a medicine included in the Register that is a product of a kind specified in Part</w:t>
      </w:r>
      <w:r w:rsidR="004E6D00" w:rsidRPr="005E3B43">
        <w:t> </w:t>
      </w:r>
      <w:r w:rsidRPr="005E3B43">
        <w:t xml:space="preserve">1 of </w:t>
      </w:r>
      <w:r w:rsidR="008D1B4F" w:rsidRPr="005E3B43">
        <w:t>Schedule 1</w:t>
      </w:r>
      <w:r w:rsidRPr="005E3B43">
        <w:t>0, to vary the information in the Register concerning the medicine in relation to:</w:t>
      </w:r>
    </w:p>
    <w:p w14:paraId="6B7E9D75" w14:textId="77777777" w:rsidR="00207B1C" w:rsidRPr="005E3B43" w:rsidRDefault="00207B1C" w:rsidP="00763BCF">
      <w:pPr>
        <w:pStyle w:val="paragraph"/>
      </w:pPr>
      <w:r w:rsidRPr="005E3B43">
        <w:tab/>
        <w:t>(a)</w:t>
      </w:r>
      <w:r w:rsidRPr="005E3B43">
        <w:tab/>
        <w:t>the specifications for the active ingredient, finished product or excipients; or</w:t>
      </w:r>
    </w:p>
    <w:p w14:paraId="736B851E" w14:textId="77777777" w:rsidR="00207B1C" w:rsidRPr="005E3B43" w:rsidRDefault="00207B1C" w:rsidP="00763BCF">
      <w:pPr>
        <w:pStyle w:val="paragraph"/>
      </w:pPr>
      <w:r w:rsidRPr="005E3B43">
        <w:tab/>
        <w:t>(b)</w:t>
      </w:r>
      <w:r w:rsidRPr="005E3B43">
        <w:tab/>
        <w:t>the method of manufacture of the active ingredient; or</w:t>
      </w:r>
    </w:p>
    <w:p w14:paraId="7EDEB439" w14:textId="77777777" w:rsidR="00207B1C" w:rsidRPr="005E3B43" w:rsidRDefault="00207B1C" w:rsidP="00763BCF">
      <w:pPr>
        <w:pStyle w:val="paragraph"/>
      </w:pPr>
      <w:r w:rsidRPr="005E3B43">
        <w:tab/>
        <w:t>(c)</w:t>
      </w:r>
      <w:r w:rsidRPr="005E3B43">
        <w:tab/>
        <w:t>the manufacturing procedure for the finished product; or</w:t>
      </w:r>
    </w:p>
    <w:p w14:paraId="40B4F74D" w14:textId="77777777" w:rsidR="00207B1C" w:rsidRPr="005E3B43" w:rsidRDefault="00207B1C" w:rsidP="00763BCF">
      <w:pPr>
        <w:pStyle w:val="paragraph"/>
      </w:pPr>
      <w:r w:rsidRPr="005E3B43">
        <w:tab/>
        <w:t>(d)</w:t>
      </w:r>
      <w:r w:rsidRPr="005E3B43">
        <w:tab/>
        <w:t>the site of manufacture of the active ingredient or the finished product; or</w:t>
      </w:r>
    </w:p>
    <w:p w14:paraId="798023E7" w14:textId="77777777" w:rsidR="00207B1C" w:rsidRPr="005E3B43" w:rsidRDefault="00207B1C" w:rsidP="00763BCF">
      <w:pPr>
        <w:pStyle w:val="paragraph"/>
      </w:pPr>
      <w:r w:rsidRPr="005E3B43">
        <w:tab/>
        <w:t>(e)</w:t>
      </w:r>
      <w:r w:rsidRPr="005E3B43">
        <w:tab/>
        <w:t>the shelf life; or</w:t>
      </w:r>
    </w:p>
    <w:p w14:paraId="43EE5A71" w14:textId="77777777" w:rsidR="00207B1C" w:rsidRPr="005E3B43" w:rsidRDefault="00207B1C" w:rsidP="00763BCF">
      <w:pPr>
        <w:pStyle w:val="paragraph"/>
      </w:pPr>
      <w:r w:rsidRPr="005E3B43">
        <w:tab/>
        <w:t>(f)</w:t>
      </w:r>
      <w:r w:rsidRPr="005E3B43">
        <w:tab/>
        <w:t>the storage conditions; or</w:t>
      </w:r>
    </w:p>
    <w:p w14:paraId="2A106EE7" w14:textId="77777777" w:rsidR="00207B1C" w:rsidRPr="005E3B43" w:rsidRDefault="00207B1C" w:rsidP="00763BCF">
      <w:pPr>
        <w:pStyle w:val="paragraph"/>
      </w:pPr>
      <w:r w:rsidRPr="005E3B43">
        <w:tab/>
        <w:t>(g)</w:t>
      </w:r>
      <w:r w:rsidRPr="005E3B43">
        <w:tab/>
        <w:t>the labelling; or</w:t>
      </w:r>
    </w:p>
    <w:p w14:paraId="537B6331" w14:textId="363A9264" w:rsidR="00207B1C" w:rsidRPr="005E3B43" w:rsidRDefault="00207B1C" w:rsidP="00763BCF">
      <w:pPr>
        <w:pStyle w:val="paragraph"/>
      </w:pPr>
      <w:r w:rsidRPr="005E3B43">
        <w:tab/>
        <w:t>(h)</w:t>
      </w:r>
      <w:r w:rsidRPr="005E3B43">
        <w:tab/>
        <w:t>any other particular that is not a particular mentioned in sub</w:t>
      </w:r>
      <w:r w:rsidR="007C3215">
        <w:t>section 1</w:t>
      </w:r>
      <w:r w:rsidRPr="005E3B43">
        <w:t>6(1) of the Act.</w:t>
      </w:r>
    </w:p>
    <w:p w14:paraId="3F992F62" w14:textId="77777777" w:rsidR="00207B1C" w:rsidRPr="005E3B43" w:rsidRDefault="00207B1C" w:rsidP="00763BCF">
      <w:pPr>
        <w:pStyle w:val="subsection"/>
      </w:pPr>
      <w:r w:rsidRPr="005E3B43">
        <w:tab/>
        <w:t>(2)</w:t>
      </w:r>
      <w:r w:rsidRPr="005E3B43">
        <w:tab/>
        <w:t>This regulation does not apply to an application that:</w:t>
      </w:r>
    </w:p>
    <w:p w14:paraId="72BBA19C" w14:textId="07B26533" w:rsidR="00207B1C" w:rsidRPr="005E3B43" w:rsidRDefault="00207B1C" w:rsidP="00763BCF">
      <w:pPr>
        <w:pStyle w:val="paragraph"/>
      </w:pPr>
      <w:r w:rsidRPr="005E3B43">
        <w:tab/>
        <w:t>(a)</w:t>
      </w:r>
      <w:r w:rsidRPr="005E3B43">
        <w:tab/>
        <w:t>in the opinion of the Secretary, needs to be supported by clinical, pre</w:t>
      </w:r>
      <w:r w:rsidR="007C3215">
        <w:noBreakHyphen/>
      </w:r>
      <w:r w:rsidRPr="005E3B43">
        <w:t>clinical or bio</w:t>
      </w:r>
      <w:r w:rsidR="007C3215">
        <w:noBreakHyphen/>
      </w:r>
      <w:r w:rsidRPr="005E3B43">
        <w:t>equivalence data; or</w:t>
      </w:r>
    </w:p>
    <w:p w14:paraId="2333C3CD" w14:textId="553C28FB" w:rsidR="00207B1C" w:rsidRPr="005E3B43" w:rsidRDefault="00207B1C" w:rsidP="00763BCF">
      <w:pPr>
        <w:pStyle w:val="paragraph"/>
      </w:pPr>
      <w:r w:rsidRPr="005E3B43">
        <w:tab/>
        <w:t>(b)</w:t>
      </w:r>
      <w:r w:rsidRPr="005E3B43">
        <w:tab/>
        <w:t>applies for a variation of therapeutic goods that will make the therapeutic goods as varied separate and distinct therapeutic goods because of sub</w:t>
      </w:r>
      <w:r w:rsidR="007C3215">
        <w:t>section 1</w:t>
      </w:r>
      <w:r w:rsidRPr="005E3B43">
        <w:t>6(1) of the Act.</w:t>
      </w:r>
    </w:p>
    <w:p w14:paraId="13EB5921" w14:textId="77777777" w:rsidR="00207B1C" w:rsidRPr="005E3B43" w:rsidRDefault="00207B1C" w:rsidP="00763BCF">
      <w:pPr>
        <w:pStyle w:val="subsection"/>
      </w:pPr>
      <w:r w:rsidRPr="005E3B43">
        <w:tab/>
        <w:t>(3)</w:t>
      </w:r>
      <w:r w:rsidRPr="005E3B43">
        <w:tab/>
        <w:t>In the case of an application to which this regulation applies, the Secretary must:</w:t>
      </w:r>
    </w:p>
    <w:p w14:paraId="46C70FAB" w14:textId="77777777" w:rsidR="00207B1C" w:rsidRPr="005E3B43" w:rsidRDefault="00207B1C" w:rsidP="00763BCF">
      <w:pPr>
        <w:pStyle w:val="paragraph"/>
      </w:pPr>
      <w:r w:rsidRPr="005E3B43">
        <w:tab/>
        <w:t>(a)</w:t>
      </w:r>
      <w:r w:rsidRPr="005E3B43">
        <w:tab/>
        <w:t>decide the application and notify the applicant of the decision; or</w:t>
      </w:r>
    </w:p>
    <w:p w14:paraId="5DB0F44D" w14:textId="77777777" w:rsidR="00207B1C" w:rsidRPr="005E3B43" w:rsidRDefault="00207B1C" w:rsidP="00763BCF">
      <w:pPr>
        <w:pStyle w:val="paragraph"/>
      </w:pPr>
      <w:r w:rsidRPr="005E3B43">
        <w:tab/>
        <w:t>(b)</w:t>
      </w:r>
      <w:r w:rsidRPr="005E3B43">
        <w:tab/>
        <w:t>raise an objection concerning the application;</w:t>
      </w:r>
    </w:p>
    <w:p w14:paraId="68991E5D" w14:textId="77777777" w:rsidR="00207B1C" w:rsidRPr="005E3B43" w:rsidRDefault="00207B1C" w:rsidP="00763BCF">
      <w:pPr>
        <w:pStyle w:val="subsection2"/>
      </w:pPr>
      <w:r w:rsidRPr="005E3B43">
        <w:t>within the period of 45 working days that commences on the day on which the application is lodged and the evaluation fee for the application is paid or, if lodgment and payment occur on different days, on the later of those days.</w:t>
      </w:r>
    </w:p>
    <w:p w14:paraId="552EC14E" w14:textId="77777777" w:rsidR="00207B1C" w:rsidRPr="005E3B43" w:rsidRDefault="00207B1C" w:rsidP="00763BCF">
      <w:pPr>
        <w:pStyle w:val="subsection"/>
      </w:pPr>
      <w:r w:rsidRPr="005E3B43">
        <w:lastRenderedPageBreak/>
        <w:tab/>
        <w:t>(4)</w:t>
      </w:r>
      <w:r w:rsidRPr="005E3B43">
        <w:tab/>
        <w:t>If the Secretary raises an objection concerning an application to which this regulation applies, he or she must decide the application and notify the applicant of the decision within the period of 30 working days that commences on the day on which the Secretary receives the applicant’s response to the objection.</w:t>
      </w:r>
    </w:p>
    <w:p w14:paraId="7DBAC046" w14:textId="77777777" w:rsidR="00207B1C" w:rsidRPr="005E3B43" w:rsidRDefault="00207B1C" w:rsidP="00763BCF">
      <w:pPr>
        <w:pStyle w:val="subsection"/>
      </w:pPr>
      <w:r w:rsidRPr="005E3B43">
        <w:tab/>
        <w:t>(5)</w:t>
      </w:r>
      <w:r w:rsidRPr="005E3B43">
        <w:tab/>
        <w:t>If the Secretary does not comply with subregulation</w:t>
      </w:r>
      <w:r w:rsidR="002B4943" w:rsidRPr="005E3B43">
        <w:t> </w:t>
      </w:r>
      <w:r w:rsidRPr="005E3B43">
        <w:t>(3) and, if applicable, subregulation</w:t>
      </w:r>
      <w:r w:rsidR="002B4943" w:rsidRPr="005E3B43">
        <w:t> </w:t>
      </w:r>
      <w:r w:rsidRPr="005E3B43">
        <w:t>(4) in the case of an application to which this regulation applies, the Secretary is taken to have approved the application.</w:t>
      </w:r>
    </w:p>
    <w:p w14:paraId="006F2FB3" w14:textId="77777777" w:rsidR="00363326" w:rsidRPr="005E3B43" w:rsidRDefault="00363326" w:rsidP="00763BCF">
      <w:pPr>
        <w:pStyle w:val="ActHead5"/>
      </w:pPr>
      <w:bookmarkStart w:id="97" w:name="_Toc187135691"/>
      <w:r w:rsidRPr="005E3B43">
        <w:rPr>
          <w:rStyle w:val="CharSectno"/>
        </w:rPr>
        <w:t>16G</w:t>
      </w:r>
      <w:r w:rsidRPr="005E3B43">
        <w:t xml:space="preserve">  Applications for registration—shorter period for completing evaluations</w:t>
      </w:r>
      <w:bookmarkEnd w:id="97"/>
    </w:p>
    <w:p w14:paraId="448599A7" w14:textId="77777777" w:rsidR="00207B1C" w:rsidRPr="005E3B43" w:rsidRDefault="00207B1C" w:rsidP="00763BCF">
      <w:pPr>
        <w:pStyle w:val="subsection"/>
      </w:pPr>
      <w:r w:rsidRPr="005E3B43">
        <w:tab/>
        <w:t>(1)</w:t>
      </w:r>
      <w:r w:rsidRPr="005E3B43">
        <w:tab/>
        <w:t>Subject to subregulation</w:t>
      </w:r>
      <w:r w:rsidR="002B4943" w:rsidRPr="005E3B43">
        <w:t> </w:t>
      </w:r>
      <w:r w:rsidRPr="005E3B43">
        <w:t>(2), this regulation applies to an application to register a medicine that is a product of a kind specified in Part</w:t>
      </w:r>
      <w:r w:rsidR="004E6D00" w:rsidRPr="005E3B43">
        <w:t> </w:t>
      </w:r>
      <w:r w:rsidRPr="005E3B43">
        <w:t xml:space="preserve">1 of </w:t>
      </w:r>
      <w:r w:rsidR="008D1B4F" w:rsidRPr="005E3B43">
        <w:t>Schedule 1</w:t>
      </w:r>
      <w:r w:rsidRPr="005E3B43">
        <w:t>0 if:</w:t>
      </w:r>
    </w:p>
    <w:p w14:paraId="54647B47" w14:textId="77777777" w:rsidR="00207B1C" w:rsidRPr="005E3B43" w:rsidRDefault="00207B1C" w:rsidP="00763BCF">
      <w:pPr>
        <w:pStyle w:val="paragraph"/>
      </w:pPr>
      <w:r w:rsidRPr="005E3B43">
        <w:tab/>
        <w:t>(a)</w:t>
      </w:r>
      <w:r w:rsidRPr="005E3B43">
        <w:tab/>
        <w:t xml:space="preserve">the application is received by the Secretary on or after </w:t>
      </w:r>
      <w:r w:rsidR="006B5D8E" w:rsidRPr="005E3B43">
        <w:t>1 July</w:t>
      </w:r>
      <w:r w:rsidRPr="005E3B43">
        <w:t xml:space="preserve"> 1992; and</w:t>
      </w:r>
    </w:p>
    <w:p w14:paraId="2DDA2F68" w14:textId="77777777" w:rsidR="00207B1C" w:rsidRPr="005E3B43" w:rsidRDefault="00207B1C" w:rsidP="00763BCF">
      <w:pPr>
        <w:pStyle w:val="paragraph"/>
      </w:pPr>
      <w:r w:rsidRPr="005E3B43">
        <w:tab/>
        <w:t>(b)</w:t>
      </w:r>
      <w:r w:rsidRPr="005E3B43">
        <w:tab/>
        <w:t xml:space="preserve">the application requires an evaluation under </w:t>
      </w:r>
      <w:r w:rsidR="00FB7FAA" w:rsidRPr="005E3B43">
        <w:t>section 2</w:t>
      </w:r>
      <w:r w:rsidRPr="005E3B43">
        <w:t>5 of the Act; and</w:t>
      </w:r>
    </w:p>
    <w:p w14:paraId="26596FBE" w14:textId="77777777" w:rsidR="00207B1C" w:rsidRPr="005E3B43" w:rsidRDefault="00207B1C" w:rsidP="00763BCF">
      <w:pPr>
        <w:pStyle w:val="paragraph"/>
      </w:pPr>
      <w:r w:rsidRPr="005E3B43">
        <w:tab/>
        <w:t>(c)</w:t>
      </w:r>
      <w:r w:rsidRPr="005E3B43">
        <w:tab/>
        <w:t>the sponsor of the application holds a registration for a medicine that contains the same active ingredient or active ingredients, in the same dosage form and strength as stated in the application.</w:t>
      </w:r>
    </w:p>
    <w:p w14:paraId="50208006" w14:textId="4799041B" w:rsidR="00207B1C" w:rsidRPr="005E3B43" w:rsidRDefault="00207B1C" w:rsidP="00763BCF">
      <w:pPr>
        <w:pStyle w:val="subsection"/>
      </w:pPr>
      <w:r w:rsidRPr="005E3B43">
        <w:tab/>
        <w:t>(2)</w:t>
      </w:r>
      <w:r w:rsidRPr="005E3B43">
        <w:tab/>
        <w:t>This regulation does not apply to an application that, in the opinion of the Secretary, needs to be supported by clinical, pre</w:t>
      </w:r>
      <w:r w:rsidR="007C3215">
        <w:noBreakHyphen/>
      </w:r>
      <w:r w:rsidRPr="005E3B43">
        <w:t>clinical or bio</w:t>
      </w:r>
      <w:r w:rsidR="007C3215">
        <w:noBreakHyphen/>
      </w:r>
      <w:r w:rsidRPr="005E3B43">
        <w:t>equivalence data.</w:t>
      </w:r>
    </w:p>
    <w:p w14:paraId="09DC4245" w14:textId="77777777" w:rsidR="00207B1C" w:rsidRPr="005E3B43" w:rsidRDefault="00207B1C" w:rsidP="00763BCF">
      <w:pPr>
        <w:pStyle w:val="subsection"/>
      </w:pPr>
      <w:r w:rsidRPr="005E3B43">
        <w:tab/>
        <w:t>(3)</w:t>
      </w:r>
      <w:r w:rsidRPr="005E3B43">
        <w:tab/>
        <w:t xml:space="preserve">The provisions of </w:t>
      </w:r>
      <w:r w:rsidR="00B30D24" w:rsidRPr="005E3B43">
        <w:t>subregulations 1</w:t>
      </w:r>
      <w:r w:rsidRPr="005E3B43">
        <w:t>6F(3), (4) and (5) apply to applications to which this regulation applies as if those applications were applications to which regulation</w:t>
      </w:r>
      <w:r w:rsidR="004E6D00" w:rsidRPr="005E3B43">
        <w:t> </w:t>
      </w:r>
      <w:r w:rsidRPr="005E3B43">
        <w:t>16F applies.</w:t>
      </w:r>
    </w:p>
    <w:p w14:paraId="61E70D9B" w14:textId="53B0B533" w:rsidR="00207B1C" w:rsidRPr="005E3B43" w:rsidRDefault="007C3215" w:rsidP="00763BCF">
      <w:pPr>
        <w:pStyle w:val="ActHead3"/>
        <w:pageBreakBefore/>
      </w:pPr>
      <w:bookmarkStart w:id="98" w:name="_Toc187135692"/>
      <w:r>
        <w:rPr>
          <w:rStyle w:val="CharDivNo"/>
        </w:rPr>
        <w:lastRenderedPageBreak/>
        <w:t>Division 2</w:t>
      </w:r>
      <w:r w:rsidR="00E20BA4" w:rsidRPr="005E3B43">
        <w:t>—</w:t>
      </w:r>
      <w:r w:rsidR="00207B1C" w:rsidRPr="005E3B43">
        <w:rPr>
          <w:rStyle w:val="CharDivText"/>
        </w:rPr>
        <w:t>Applications for evaluation of substances</w:t>
      </w:r>
      <w:bookmarkEnd w:id="98"/>
    </w:p>
    <w:p w14:paraId="7801EA84" w14:textId="77777777" w:rsidR="00D54515" w:rsidRPr="005E3B43" w:rsidRDefault="00D54515" w:rsidP="00763BCF">
      <w:pPr>
        <w:pStyle w:val="ActHead5"/>
      </w:pPr>
      <w:bookmarkStart w:id="99" w:name="_Toc187135693"/>
      <w:r w:rsidRPr="005E3B43">
        <w:rPr>
          <w:rStyle w:val="CharSectno"/>
        </w:rPr>
        <w:t>16GA</w:t>
      </w:r>
      <w:r w:rsidRPr="005E3B43">
        <w:t xml:space="preserve">  Evaluation other than evaluation under subsection</w:t>
      </w:r>
      <w:r w:rsidR="004E6D00" w:rsidRPr="005E3B43">
        <w:t> </w:t>
      </w:r>
      <w:r w:rsidRPr="005E3B43">
        <w:t xml:space="preserve">9D(1), (2) or (3) or </w:t>
      </w:r>
      <w:r w:rsidR="00FB7FAA" w:rsidRPr="005E3B43">
        <w:t>section 2</w:t>
      </w:r>
      <w:r w:rsidRPr="005E3B43">
        <w:t>5 of the Act</w:t>
      </w:r>
      <w:bookmarkEnd w:id="99"/>
    </w:p>
    <w:p w14:paraId="7C8EC9C7" w14:textId="77777777" w:rsidR="00207B1C" w:rsidRPr="005E3B43" w:rsidRDefault="00207B1C" w:rsidP="00763BCF">
      <w:pPr>
        <w:pStyle w:val="subsection"/>
      </w:pPr>
      <w:r w:rsidRPr="005E3B43">
        <w:tab/>
        <w:t>(1)</w:t>
      </w:r>
      <w:r w:rsidRPr="005E3B43">
        <w:tab/>
        <w:t>At the request of a person, and on payment of the prescribed fee, the Department may evaluate data submitted by the person concerning the following substances:</w:t>
      </w:r>
    </w:p>
    <w:p w14:paraId="0CDFD301" w14:textId="77777777" w:rsidR="00207B1C" w:rsidRPr="005E3B43" w:rsidRDefault="00207B1C" w:rsidP="00763BCF">
      <w:pPr>
        <w:pStyle w:val="paragraph"/>
      </w:pPr>
      <w:r w:rsidRPr="005E3B43">
        <w:tab/>
        <w:t>(a)</w:t>
      </w:r>
      <w:r w:rsidRPr="005E3B43">
        <w:tab/>
        <w:t xml:space="preserve">a substance that is not an ingredient in listed goods or registered goods for supply in Australia, but that may be an ingredient in goods for which an application may be made for entry in the Register as listed goods or registered goods for supply in Australia; </w:t>
      </w:r>
    </w:p>
    <w:p w14:paraId="01AE7CA6" w14:textId="77777777" w:rsidR="00207B1C" w:rsidRPr="005E3B43" w:rsidRDefault="00207B1C" w:rsidP="00763BCF">
      <w:pPr>
        <w:pStyle w:val="paragraph"/>
      </w:pPr>
      <w:r w:rsidRPr="005E3B43">
        <w:tab/>
        <w:t>(b)</w:t>
      </w:r>
      <w:r w:rsidRPr="005E3B43">
        <w:tab/>
        <w:t xml:space="preserve">a new excipient in therapeutic goods for dermal application, being a substance not in use as an ingredient in any other listed goods or registered goods for supply in Australia at the time of conditional listing or conditional registration of those goods under </w:t>
      </w:r>
      <w:r w:rsidR="00FB7FAA" w:rsidRPr="005E3B43">
        <w:t>section 2</w:t>
      </w:r>
      <w:r w:rsidRPr="005E3B43">
        <w:t>8 of the Act.</w:t>
      </w:r>
    </w:p>
    <w:p w14:paraId="1DF09106" w14:textId="77777777" w:rsidR="00207B1C" w:rsidRPr="005E3B43" w:rsidRDefault="00207B1C" w:rsidP="00763BCF">
      <w:pPr>
        <w:pStyle w:val="subsection"/>
      </w:pPr>
      <w:r w:rsidRPr="005E3B43">
        <w:tab/>
        <w:t>(2)</w:t>
      </w:r>
      <w:r w:rsidRPr="005E3B43">
        <w:tab/>
        <w:t>An evaluation under this regulation may be made, although an application under subsection</w:t>
      </w:r>
      <w:r w:rsidR="004E6D00" w:rsidRPr="005E3B43">
        <w:t> </w:t>
      </w:r>
      <w:r w:rsidRPr="005E3B43">
        <w:t xml:space="preserve">9D(1), (2) or (3) or </w:t>
      </w:r>
      <w:r w:rsidR="00FB7FAA" w:rsidRPr="005E3B43">
        <w:t>section 2</w:t>
      </w:r>
      <w:r w:rsidRPr="005E3B43">
        <w:t>3 of the Act is not current.</w:t>
      </w:r>
    </w:p>
    <w:p w14:paraId="30F846CF" w14:textId="77777777" w:rsidR="00207B1C" w:rsidRPr="005E3B43" w:rsidRDefault="00207B1C" w:rsidP="00763BCF">
      <w:pPr>
        <w:pStyle w:val="SubsectionHead"/>
      </w:pPr>
      <w:r w:rsidRPr="005E3B43">
        <w:t>Exemption from fee</w:t>
      </w:r>
    </w:p>
    <w:p w14:paraId="3FC14373" w14:textId="77777777" w:rsidR="00207B1C" w:rsidRPr="005E3B43" w:rsidRDefault="00207B1C" w:rsidP="00763BCF">
      <w:pPr>
        <w:pStyle w:val="subsection"/>
      </w:pPr>
      <w:r w:rsidRPr="005E3B43">
        <w:tab/>
        <w:t>(3)</w:t>
      </w:r>
      <w:r w:rsidRPr="005E3B43">
        <w:tab/>
        <w:t xml:space="preserve">No fee is payable for an evaluation under </w:t>
      </w:r>
      <w:r w:rsidR="004E6D00" w:rsidRPr="005E3B43">
        <w:t>paragraph (</w:t>
      </w:r>
      <w:r w:rsidRPr="005E3B43">
        <w:t xml:space="preserve">1)(b) if the evaluation is in respect of a new excipient introduced for use as an ingredient, in compliance with a condition under </w:t>
      </w:r>
      <w:r w:rsidR="00FB7FAA" w:rsidRPr="005E3B43">
        <w:t>section 2</w:t>
      </w:r>
      <w:r w:rsidRPr="005E3B43">
        <w:t>8 of the Act, imposed before the commencement of this regulation but not earlier than 6 months before the application for evaluation is made.</w:t>
      </w:r>
    </w:p>
    <w:p w14:paraId="74455ADB" w14:textId="77777777" w:rsidR="0061454F" w:rsidRPr="005E3B43" w:rsidRDefault="00BE7FAC" w:rsidP="00763BCF">
      <w:pPr>
        <w:pStyle w:val="ActHead3"/>
        <w:pageBreakBefore/>
      </w:pPr>
      <w:bookmarkStart w:id="100" w:name="_Toc187135694"/>
      <w:r w:rsidRPr="005E3B43">
        <w:rPr>
          <w:rStyle w:val="CharDivNo"/>
        </w:rPr>
        <w:lastRenderedPageBreak/>
        <w:t>Division 3</w:t>
      </w:r>
      <w:r w:rsidR="00E20BA4" w:rsidRPr="005E3B43">
        <w:t>—</w:t>
      </w:r>
      <w:r w:rsidR="0061454F" w:rsidRPr="005E3B43">
        <w:rPr>
          <w:rStyle w:val="CharDivText"/>
        </w:rPr>
        <w:t>Class 2, Class 3 and Class 4 biologicals</w:t>
      </w:r>
      <w:bookmarkEnd w:id="100"/>
    </w:p>
    <w:p w14:paraId="23BB79B9" w14:textId="77777777" w:rsidR="00D54515" w:rsidRPr="005E3B43" w:rsidRDefault="00D54515" w:rsidP="00763BCF">
      <w:pPr>
        <w:pStyle w:val="ActHead5"/>
      </w:pPr>
      <w:bookmarkStart w:id="101" w:name="_Toc187135695"/>
      <w:r w:rsidRPr="005E3B43">
        <w:rPr>
          <w:rStyle w:val="CharSectno"/>
        </w:rPr>
        <w:t>16GC</w:t>
      </w:r>
      <w:r w:rsidRPr="005E3B43">
        <w:t xml:space="preserve">  Notification of preliminary assessment of applications and periods within which certain evaluations must be made</w:t>
      </w:r>
      <w:bookmarkEnd w:id="101"/>
    </w:p>
    <w:p w14:paraId="6A3972EA" w14:textId="77777777" w:rsidR="00D54515" w:rsidRPr="005E3B43" w:rsidRDefault="00D54515" w:rsidP="00763BCF">
      <w:pPr>
        <w:pStyle w:val="subsection"/>
      </w:pPr>
      <w:r w:rsidRPr="005E3B43">
        <w:tab/>
        <w:t>(1)</w:t>
      </w:r>
      <w:r w:rsidRPr="005E3B43">
        <w:tab/>
        <w:t>This regulation applies to an application under section</w:t>
      </w:r>
      <w:r w:rsidR="004E6D00" w:rsidRPr="005E3B43">
        <w:t> </w:t>
      </w:r>
      <w:r w:rsidRPr="005E3B43">
        <w:t>32DD of the Act that requires an evaluation of a Class 2, Class 3 or Class 4 biological under section</w:t>
      </w:r>
      <w:r w:rsidR="004E6D00" w:rsidRPr="005E3B43">
        <w:t> </w:t>
      </w:r>
      <w:r w:rsidRPr="005E3B43">
        <w:t>32DE of the Act.</w:t>
      </w:r>
    </w:p>
    <w:p w14:paraId="38FA6A80" w14:textId="77777777" w:rsidR="00D54515" w:rsidRPr="005E3B43" w:rsidRDefault="00D54515" w:rsidP="00763BCF">
      <w:pPr>
        <w:pStyle w:val="subsection"/>
      </w:pPr>
      <w:r w:rsidRPr="005E3B43">
        <w:tab/>
        <w:t>(2)</w:t>
      </w:r>
      <w:r w:rsidRPr="005E3B43">
        <w:tab/>
        <w:t>For the purposes of paragraph</w:t>
      </w:r>
      <w:r w:rsidR="004E6D00" w:rsidRPr="005E3B43">
        <w:t> </w:t>
      </w:r>
      <w:r w:rsidRPr="005E3B43">
        <w:t>63(2)(de) of the Act, the Secretary must send a notification in writing to the applicant that states whether the application has passed preliminary assessment within 30 working days after the Secretary receives the application.</w:t>
      </w:r>
    </w:p>
    <w:p w14:paraId="79D49520" w14:textId="77777777" w:rsidR="00D54515" w:rsidRPr="005E3B43" w:rsidRDefault="00D54515" w:rsidP="00763BCF">
      <w:pPr>
        <w:pStyle w:val="subsection"/>
      </w:pPr>
      <w:r w:rsidRPr="005E3B43">
        <w:tab/>
        <w:t>(3)</w:t>
      </w:r>
      <w:r w:rsidRPr="005E3B43">
        <w:tab/>
        <w:t>For the purposes of paragraph</w:t>
      </w:r>
      <w:r w:rsidR="004E6D00" w:rsidRPr="005E3B43">
        <w:t> </w:t>
      </w:r>
      <w:r w:rsidRPr="005E3B43">
        <w:t>63(2)(da) of the Act, the evaluation must be completed within 255 working days after the Secretary sends a notification to the applicant under subregulation (2).</w:t>
      </w:r>
    </w:p>
    <w:p w14:paraId="6B69EAA7" w14:textId="77777777" w:rsidR="00D54515" w:rsidRPr="005E3B43" w:rsidRDefault="00D54515" w:rsidP="00763BCF">
      <w:pPr>
        <w:pStyle w:val="ActHead5"/>
      </w:pPr>
      <w:bookmarkStart w:id="102" w:name="_Toc187135696"/>
      <w:r w:rsidRPr="005E3B43">
        <w:rPr>
          <w:rStyle w:val="CharSectno"/>
        </w:rPr>
        <w:t>16GD</w:t>
      </w:r>
      <w:r w:rsidRPr="005E3B43">
        <w:t xml:space="preserve">  Notification of effective request and period within which certain applications must be decided</w:t>
      </w:r>
      <w:bookmarkEnd w:id="102"/>
    </w:p>
    <w:p w14:paraId="595BF696" w14:textId="77777777" w:rsidR="00D54515" w:rsidRPr="005E3B43" w:rsidRDefault="00D54515" w:rsidP="00763BCF">
      <w:pPr>
        <w:pStyle w:val="subsection"/>
      </w:pPr>
      <w:r w:rsidRPr="005E3B43">
        <w:tab/>
        <w:t>(1)</w:t>
      </w:r>
      <w:r w:rsidRPr="005E3B43">
        <w:tab/>
        <w:t>This regulation applies to an application (other than an application to which regulation</w:t>
      </w:r>
      <w:r w:rsidR="004E6D00" w:rsidRPr="005E3B43">
        <w:t> </w:t>
      </w:r>
      <w:r w:rsidRPr="005E3B43">
        <w:t>16GF applies) for an evaluation of a biological if the application requests the Secretary under subsection</w:t>
      </w:r>
      <w:r w:rsidR="004E6D00" w:rsidRPr="005E3B43">
        <w:t> </w:t>
      </w:r>
      <w:r w:rsidRPr="005E3B43">
        <w:t>9D(3A) or (3AA) of the Act to vary the entry of the Class 2, Class 3 or Class 4 biological in the Register.</w:t>
      </w:r>
    </w:p>
    <w:p w14:paraId="380FC451" w14:textId="77777777" w:rsidR="00D54515" w:rsidRPr="005E3B43" w:rsidRDefault="00D54515" w:rsidP="00763BCF">
      <w:pPr>
        <w:pStyle w:val="subsection"/>
      </w:pPr>
      <w:r w:rsidRPr="005E3B43">
        <w:tab/>
        <w:t>(2)</w:t>
      </w:r>
      <w:r w:rsidRPr="005E3B43">
        <w:tab/>
        <w:t>For the purposes of paragraph</w:t>
      </w:r>
      <w:r w:rsidR="004E6D00" w:rsidRPr="005E3B43">
        <w:t> </w:t>
      </w:r>
      <w:r w:rsidRPr="005E3B43">
        <w:t>63(2)(de) of the Act, the Secretary must send a notification in writing to the applicant that states whether the application is effective within 30 working days after the Secretary receives the application.</w:t>
      </w:r>
    </w:p>
    <w:p w14:paraId="4FEB1983" w14:textId="77777777" w:rsidR="00D54515" w:rsidRPr="005E3B43" w:rsidRDefault="00D54515" w:rsidP="00763BCF">
      <w:pPr>
        <w:pStyle w:val="subsection"/>
      </w:pPr>
      <w:r w:rsidRPr="005E3B43">
        <w:tab/>
        <w:t>(3)</w:t>
      </w:r>
      <w:r w:rsidRPr="005E3B43">
        <w:tab/>
        <w:t>For the purposes of paragraph</w:t>
      </w:r>
      <w:r w:rsidR="004E6D00" w:rsidRPr="005E3B43">
        <w:t> </w:t>
      </w:r>
      <w:r w:rsidRPr="005E3B43">
        <w:t>63(2)(df) of the Act, the application must be decided, and notification given to the applicant, within 255 working days after the Secretary sends a notification to the applicant under subregulation (2) that the application is effective.</w:t>
      </w:r>
    </w:p>
    <w:p w14:paraId="093E9860" w14:textId="77777777" w:rsidR="0061454F" w:rsidRPr="005E3B43" w:rsidRDefault="0061454F" w:rsidP="00763BCF">
      <w:pPr>
        <w:pStyle w:val="ActHead5"/>
      </w:pPr>
      <w:bookmarkStart w:id="103" w:name="_Toc187135697"/>
      <w:r w:rsidRPr="005E3B43">
        <w:rPr>
          <w:rStyle w:val="CharSectno"/>
        </w:rPr>
        <w:t>16GE</w:t>
      </w:r>
      <w:r w:rsidR="00E20BA4" w:rsidRPr="005E3B43">
        <w:t xml:space="preserve">  </w:t>
      </w:r>
      <w:r w:rsidRPr="005E3B43">
        <w:t>Failure to decide an application within specified time</w:t>
      </w:r>
      <w:bookmarkEnd w:id="103"/>
    </w:p>
    <w:p w14:paraId="41684FED" w14:textId="77777777" w:rsidR="0061454F" w:rsidRPr="005E3B43" w:rsidRDefault="0061454F" w:rsidP="00763BCF">
      <w:pPr>
        <w:pStyle w:val="subsection"/>
      </w:pPr>
      <w:r w:rsidRPr="005E3B43">
        <w:tab/>
      </w:r>
      <w:r w:rsidRPr="005E3B43">
        <w:tab/>
        <w:t>The failure to decide, within the time mentioned in subregulation</w:t>
      </w:r>
      <w:r w:rsidR="004E6D00" w:rsidRPr="005E3B43">
        <w:t> </w:t>
      </w:r>
      <w:r w:rsidR="00D54515" w:rsidRPr="005E3B43">
        <w:t>16GD(3)</w:t>
      </w:r>
      <w:r w:rsidRPr="005E3B43">
        <w:t>, an application to which regulation</w:t>
      </w:r>
      <w:r w:rsidR="004E6D00" w:rsidRPr="005E3B43">
        <w:t> </w:t>
      </w:r>
      <w:r w:rsidRPr="005E3B43">
        <w:t>16GD applies does not make the Commonwealth, the Secretary or a delegate of the Secretary liable to a person for loss, damage or injury, of any kind, that is caused by or arises out of the failure.</w:t>
      </w:r>
    </w:p>
    <w:p w14:paraId="59CF01A6" w14:textId="77777777" w:rsidR="002035FC" w:rsidRPr="005E3B43" w:rsidRDefault="002035FC" w:rsidP="00763BCF">
      <w:pPr>
        <w:pStyle w:val="ActHead5"/>
      </w:pPr>
      <w:bookmarkStart w:id="104" w:name="_Toc187135698"/>
      <w:r w:rsidRPr="005E3B43">
        <w:rPr>
          <w:rStyle w:val="CharSectno"/>
        </w:rPr>
        <w:t>16GF</w:t>
      </w:r>
      <w:r w:rsidRPr="005E3B43">
        <w:t xml:space="preserve">  Evaluation, other than evaluation under subsection</w:t>
      </w:r>
      <w:r w:rsidR="004E6D00" w:rsidRPr="005E3B43">
        <w:t> </w:t>
      </w:r>
      <w:r w:rsidRPr="005E3B43">
        <w:t>9D(3A) or (3AA) or section</w:t>
      </w:r>
      <w:r w:rsidR="004E6D00" w:rsidRPr="005E3B43">
        <w:t> </w:t>
      </w:r>
      <w:r w:rsidRPr="005E3B43">
        <w:t>32DE of the Act</w:t>
      </w:r>
      <w:bookmarkEnd w:id="104"/>
    </w:p>
    <w:p w14:paraId="757F333D" w14:textId="77777777" w:rsidR="0061454F" w:rsidRPr="005E3B43" w:rsidRDefault="0061454F" w:rsidP="00763BCF">
      <w:pPr>
        <w:pStyle w:val="subsection"/>
      </w:pPr>
      <w:r w:rsidRPr="005E3B43">
        <w:tab/>
        <w:t>(1)</w:t>
      </w:r>
      <w:r w:rsidRPr="005E3B43">
        <w:tab/>
        <w:t>At the request of a person, and on payment of the prescribed fee, the Department may evaluate data submitted by the person about the following substances:</w:t>
      </w:r>
    </w:p>
    <w:p w14:paraId="2BDDA79E" w14:textId="1AE6A36E" w:rsidR="0061454F" w:rsidRPr="005E3B43" w:rsidRDefault="0061454F" w:rsidP="00763BCF">
      <w:pPr>
        <w:pStyle w:val="paragraph"/>
      </w:pPr>
      <w:r w:rsidRPr="005E3B43">
        <w:tab/>
        <w:t>(a)</w:t>
      </w:r>
      <w:r w:rsidRPr="005E3B43">
        <w:tab/>
        <w:t xml:space="preserve">a substance that is not an ingredient in a biological for supply in Australia, but that may be an ingredient in a biological for which an application may </w:t>
      </w:r>
      <w:r w:rsidRPr="005E3B43">
        <w:lastRenderedPageBreak/>
        <w:t xml:space="preserve">be made for inclusion in the Register under </w:t>
      </w:r>
      <w:r w:rsidR="00BB758E" w:rsidRPr="005E3B43">
        <w:t>Part 3</w:t>
      </w:r>
      <w:r w:rsidR="007C3215">
        <w:noBreakHyphen/>
      </w:r>
      <w:r w:rsidRPr="005E3B43">
        <w:t>2A of the Act as a biological for supply in Australia;</w:t>
      </w:r>
    </w:p>
    <w:p w14:paraId="717426FF" w14:textId="4FB0BF3C" w:rsidR="0061454F" w:rsidRPr="005E3B43" w:rsidRDefault="0061454F" w:rsidP="00763BCF">
      <w:pPr>
        <w:pStyle w:val="paragraph"/>
      </w:pPr>
      <w:r w:rsidRPr="005E3B43">
        <w:tab/>
        <w:t>(b)</w:t>
      </w:r>
      <w:r w:rsidRPr="005E3B43">
        <w:tab/>
        <w:t xml:space="preserve">a new excipient in a biological, being a substance not in use as an ingredient in any other biological for supply in Australia at the time of inclusion in the Register under </w:t>
      </w:r>
      <w:r w:rsidR="00BB758E" w:rsidRPr="005E3B43">
        <w:t>Part 3</w:t>
      </w:r>
      <w:r w:rsidR="007C3215">
        <w:noBreakHyphen/>
      </w:r>
      <w:r w:rsidRPr="005E3B43">
        <w:t>2A of the Act.</w:t>
      </w:r>
    </w:p>
    <w:p w14:paraId="1008F33C" w14:textId="77777777" w:rsidR="0061454F" w:rsidRPr="005E3B43" w:rsidRDefault="0061454F" w:rsidP="00763BCF">
      <w:pPr>
        <w:pStyle w:val="subsection"/>
      </w:pPr>
      <w:r w:rsidRPr="005E3B43">
        <w:tab/>
        <w:t>(2)</w:t>
      </w:r>
      <w:r w:rsidRPr="005E3B43">
        <w:tab/>
        <w:t>An evaluation under this regulation may be made, although an application under subsection</w:t>
      </w:r>
      <w:r w:rsidR="004E6D00" w:rsidRPr="005E3B43">
        <w:t> </w:t>
      </w:r>
      <w:r w:rsidRPr="005E3B43">
        <w:t>9D(3A) or (3AA) or section</w:t>
      </w:r>
      <w:r w:rsidR="004E6D00" w:rsidRPr="005E3B43">
        <w:t> </w:t>
      </w:r>
      <w:r w:rsidRPr="005E3B43">
        <w:t>32DD of the Act is not current.</w:t>
      </w:r>
    </w:p>
    <w:p w14:paraId="4267FC2B" w14:textId="77777777" w:rsidR="00ED129D" w:rsidRPr="005E3B43" w:rsidRDefault="00BE7FAC" w:rsidP="00763BCF">
      <w:pPr>
        <w:pStyle w:val="ActHead3"/>
        <w:pageBreakBefore/>
      </w:pPr>
      <w:bookmarkStart w:id="105" w:name="_Toc187135699"/>
      <w:r w:rsidRPr="005E3B43">
        <w:rPr>
          <w:rStyle w:val="CharDivNo"/>
        </w:rPr>
        <w:lastRenderedPageBreak/>
        <w:t>Division 4</w:t>
      </w:r>
      <w:r w:rsidR="00ED129D" w:rsidRPr="005E3B43">
        <w:t>—</w:t>
      </w:r>
      <w:r w:rsidR="00ED129D" w:rsidRPr="005E3B43">
        <w:rPr>
          <w:rStyle w:val="CharDivText"/>
        </w:rPr>
        <w:t>Complementary medicines</w:t>
      </w:r>
      <w:r w:rsidR="00E94EB6" w:rsidRPr="005E3B43">
        <w:rPr>
          <w:rStyle w:val="CharDivText"/>
        </w:rPr>
        <w:t xml:space="preserve"> and certain other listed medicines</w:t>
      </w:r>
      <w:bookmarkEnd w:id="105"/>
    </w:p>
    <w:p w14:paraId="2A41E061" w14:textId="77777777" w:rsidR="00ED129D" w:rsidRPr="005E3B43" w:rsidRDefault="00ED129D" w:rsidP="00763BCF">
      <w:pPr>
        <w:pStyle w:val="ActHead5"/>
      </w:pPr>
      <w:bookmarkStart w:id="106" w:name="_Toc187135700"/>
      <w:r w:rsidRPr="005E3B43">
        <w:rPr>
          <w:rStyle w:val="CharSectno"/>
        </w:rPr>
        <w:t>16GG</w:t>
      </w:r>
      <w:r w:rsidRPr="005E3B43">
        <w:t xml:space="preserve">  Variation of certain entries in the Register—notification of effective requests and period within which decisions must be made</w:t>
      </w:r>
      <w:bookmarkEnd w:id="106"/>
    </w:p>
    <w:p w14:paraId="3C49AC26" w14:textId="77777777" w:rsidR="00ED129D" w:rsidRPr="005E3B43" w:rsidRDefault="00ED129D" w:rsidP="00763BCF">
      <w:pPr>
        <w:pStyle w:val="subsection"/>
      </w:pPr>
      <w:r w:rsidRPr="005E3B43">
        <w:tab/>
        <w:t>(1)</w:t>
      </w:r>
      <w:r w:rsidRPr="005E3B43">
        <w:tab/>
        <w:t>For the purposes of paragraph</w:t>
      </w:r>
      <w:r w:rsidR="004E6D00" w:rsidRPr="005E3B43">
        <w:t> </w:t>
      </w:r>
      <w:r w:rsidRPr="005E3B43">
        <w:t>63(2)(df) of the Act, if the Secretary receives an RCMC1 (section</w:t>
      </w:r>
      <w:r w:rsidR="004E6D00" w:rsidRPr="005E3B43">
        <w:t> </w:t>
      </w:r>
      <w:r w:rsidRPr="005E3B43">
        <w:t>9D) request, a decision on the request must be made within 20 working days after the Secretary receives the application.</w:t>
      </w:r>
    </w:p>
    <w:p w14:paraId="715E0F82" w14:textId="77777777" w:rsidR="00ED129D" w:rsidRPr="005E3B43" w:rsidRDefault="00ED129D" w:rsidP="00763BCF">
      <w:pPr>
        <w:pStyle w:val="subsection"/>
      </w:pPr>
      <w:r w:rsidRPr="005E3B43">
        <w:tab/>
        <w:t>(2)</w:t>
      </w:r>
      <w:r w:rsidRPr="005E3B43">
        <w:tab/>
        <w:t>If the Secretary receives a request of a kind mentioned in column 1 of an item in the following table:</w:t>
      </w:r>
    </w:p>
    <w:p w14:paraId="4085E909" w14:textId="77777777" w:rsidR="00ED129D" w:rsidRPr="005E3B43" w:rsidRDefault="00ED129D" w:rsidP="00763BCF">
      <w:pPr>
        <w:pStyle w:val="paragraph"/>
      </w:pPr>
      <w:r w:rsidRPr="005E3B43">
        <w:tab/>
        <w:t>(a)</w:t>
      </w:r>
      <w:r w:rsidRPr="005E3B43">
        <w:tab/>
        <w:t>the Secretary must notify the person making the request in writing as to whether the request is effective within the period specified, for the purposes of paragraph</w:t>
      </w:r>
      <w:r w:rsidR="004E6D00" w:rsidRPr="005E3B43">
        <w:t> </w:t>
      </w:r>
      <w:r w:rsidRPr="005E3B43">
        <w:t>63(2)(de) of the Act, in column 2 of the item; and</w:t>
      </w:r>
    </w:p>
    <w:p w14:paraId="6C49CD04" w14:textId="77777777" w:rsidR="00ED129D" w:rsidRPr="005E3B43" w:rsidRDefault="00ED129D" w:rsidP="00763BCF">
      <w:pPr>
        <w:pStyle w:val="paragraph"/>
      </w:pPr>
      <w:r w:rsidRPr="005E3B43">
        <w:tab/>
        <w:t>(b)</w:t>
      </w:r>
      <w:r w:rsidRPr="005E3B43">
        <w:tab/>
        <w:t>if the request is effective—a decision on the request must be made within the period specified, for the purposes of paragraph</w:t>
      </w:r>
      <w:r w:rsidR="004E6D00" w:rsidRPr="005E3B43">
        <w:t> </w:t>
      </w:r>
      <w:r w:rsidRPr="005E3B43">
        <w:t>63(2)(df) of the Act, in column 3 of the item.</w:t>
      </w:r>
    </w:p>
    <w:p w14:paraId="664B0EFB" w14:textId="77777777" w:rsidR="00ED129D" w:rsidRPr="005E3B43" w:rsidRDefault="00ED129D" w:rsidP="00763BC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55"/>
        <w:gridCol w:w="1979"/>
        <w:gridCol w:w="2345"/>
        <w:gridCol w:w="3550"/>
      </w:tblGrid>
      <w:tr w:rsidR="00ED129D" w:rsidRPr="005E3B43" w14:paraId="2B6FB5E1" w14:textId="77777777" w:rsidTr="005A786D">
        <w:trPr>
          <w:tblHeader/>
        </w:trPr>
        <w:tc>
          <w:tcPr>
            <w:tcW w:w="5000" w:type="pct"/>
            <w:gridSpan w:val="4"/>
            <w:tcBorders>
              <w:top w:val="single" w:sz="12" w:space="0" w:color="auto"/>
              <w:bottom w:val="single" w:sz="6" w:space="0" w:color="auto"/>
            </w:tcBorders>
            <w:shd w:val="clear" w:color="auto" w:fill="auto"/>
          </w:tcPr>
          <w:p w14:paraId="688AAF30" w14:textId="77777777" w:rsidR="00ED129D" w:rsidRPr="005E3B43" w:rsidRDefault="00ED129D" w:rsidP="00763BCF">
            <w:pPr>
              <w:pStyle w:val="TableHeading"/>
            </w:pPr>
            <w:r w:rsidRPr="005E3B43">
              <w:t>Notification of effective requests and period within which decisions must be made</w:t>
            </w:r>
          </w:p>
        </w:tc>
      </w:tr>
      <w:tr w:rsidR="00ED129D" w:rsidRPr="005E3B43" w14:paraId="7B4B27A3" w14:textId="77777777" w:rsidTr="005A786D">
        <w:trPr>
          <w:tblHeader/>
        </w:trPr>
        <w:tc>
          <w:tcPr>
            <w:tcW w:w="384" w:type="pct"/>
            <w:tcBorders>
              <w:top w:val="single" w:sz="6" w:space="0" w:color="auto"/>
              <w:bottom w:val="single" w:sz="12" w:space="0" w:color="auto"/>
            </w:tcBorders>
            <w:shd w:val="clear" w:color="auto" w:fill="auto"/>
          </w:tcPr>
          <w:p w14:paraId="77A152B9" w14:textId="77777777" w:rsidR="00ED129D" w:rsidRPr="005E3B43" w:rsidRDefault="00ED129D" w:rsidP="00763BCF">
            <w:pPr>
              <w:pStyle w:val="TableHeading"/>
            </w:pPr>
            <w:r w:rsidRPr="005E3B43">
              <w:t>Item</w:t>
            </w:r>
          </w:p>
        </w:tc>
        <w:tc>
          <w:tcPr>
            <w:tcW w:w="1160" w:type="pct"/>
            <w:tcBorders>
              <w:top w:val="single" w:sz="6" w:space="0" w:color="auto"/>
              <w:bottom w:val="single" w:sz="12" w:space="0" w:color="auto"/>
            </w:tcBorders>
            <w:shd w:val="clear" w:color="auto" w:fill="auto"/>
          </w:tcPr>
          <w:p w14:paraId="02EF892F" w14:textId="77777777" w:rsidR="00ED129D" w:rsidRPr="005E3B43" w:rsidRDefault="00ED129D" w:rsidP="00763BCF">
            <w:pPr>
              <w:pStyle w:val="TableHeading"/>
            </w:pPr>
            <w:r w:rsidRPr="005E3B43">
              <w:t>Column 1</w:t>
            </w:r>
          </w:p>
          <w:p w14:paraId="3A6E7ADC" w14:textId="77777777" w:rsidR="00ED129D" w:rsidRPr="005E3B43" w:rsidRDefault="00ED129D" w:rsidP="00763BCF">
            <w:pPr>
              <w:pStyle w:val="TableHeading"/>
            </w:pPr>
            <w:r w:rsidRPr="005E3B43">
              <w:t>Kind of request</w:t>
            </w:r>
          </w:p>
        </w:tc>
        <w:tc>
          <w:tcPr>
            <w:tcW w:w="1375" w:type="pct"/>
            <w:tcBorders>
              <w:top w:val="single" w:sz="6" w:space="0" w:color="auto"/>
              <w:bottom w:val="single" w:sz="12" w:space="0" w:color="auto"/>
            </w:tcBorders>
            <w:shd w:val="clear" w:color="auto" w:fill="auto"/>
          </w:tcPr>
          <w:p w14:paraId="3B6C18E6" w14:textId="77777777" w:rsidR="00ED129D" w:rsidRPr="005E3B43" w:rsidRDefault="00ED129D" w:rsidP="00763BCF">
            <w:pPr>
              <w:pStyle w:val="TableHeading"/>
            </w:pPr>
            <w:r w:rsidRPr="005E3B43">
              <w:t>Column 2</w:t>
            </w:r>
          </w:p>
          <w:p w14:paraId="3D040B44" w14:textId="77777777" w:rsidR="00ED129D" w:rsidRPr="005E3B43" w:rsidRDefault="00ED129D" w:rsidP="00763BCF">
            <w:pPr>
              <w:pStyle w:val="TableHeading"/>
            </w:pPr>
            <w:r w:rsidRPr="005E3B43">
              <w:t>Notification of effective requests</w:t>
            </w:r>
          </w:p>
        </w:tc>
        <w:tc>
          <w:tcPr>
            <w:tcW w:w="2081" w:type="pct"/>
            <w:tcBorders>
              <w:top w:val="single" w:sz="6" w:space="0" w:color="auto"/>
              <w:bottom w:val="single" w:sz="12" w:space="0" w:color="auto"/>
            </w:tcBorders>
            <w:shd w:val="clear" w:color="auto" w:fill="auto"/>
          </w:tcPr>
          <w:p w14:paraId="5F311621" w14:textId="77777777" w:rsidR="00ED129D" w:rsidRPr="005E3B43" w:rsidRDefault="00ED129D" w:rsidP="00763BCF">
            <w:pPr>
              <w:pStyle w:val="TableHeading"/>
            </w:pPr>
            <w:r w:rsidRPr="005E3B43">
              <w:t>Column 3</w:t>
            </w:r>
          </w:p>
          <w:p w14:paraId="792AD570" w14:textId="77777777" w:rsidR="00ED129D" w:rsidRPr="005E3B43" w:rsidRDefault="00ED129D" w:rsidP="00763BCF">
            <w:pPr>
              <w:pStyle w:val="TableHeading"/>
            </w:pPr>
            <w:r w:rsidRPr="005E3B43">
              <w:t>Decision on request</w:t>
            </w:r>
          </w:p>
        </w:tc>
      </w:tr>
      <w:tr w:rsidR="00812375" w:rsidRPr="005E3B43" w14:paraId="1F9E7D77" w14:textId="77777777" w:rsidTr="005A786D">
        <w:tc>
          <w:tcPr>
            <w:tcW w:w="384" w:type="pct"/>
            <w:shd w:val="clear" w:color="auto" w:fill="auto"/>
          </w:tcPr>
          <w:p w14:paraId="0D3CA575" w14:textId="77777777" w:rsidR="00812375" w:rsidRPr="005E3B43" w:rsidRDefault="00812375" w:rsidP="00763BCF">
            <w:pPr>
              <w:pStyle w:val="Tabletext"/>
            </w:pPr>
            <w:r w:rsidRPr="005E3B43">
              <w:t>1A</w:t>
            </w:r>
          </w:p>
        </w:tc>
        <w:tc>
          <w:tcPr>
            <w:tcW w:w="1160" w:type="pct"/>
            <w:shd w:val="clear" w:color="auto" w:fill="auto"/>
          </w:tcPr>
          <w:p w14:paraId="6AA43C1D" w14:textId="77777777" w:rsidR="00812375" w:rsidRPr="005E3B43" w:rsidRDefault="00812375" w:rsidP="00763BCF">
            <w:pPr>
              <w:pStyle w:val="Tabletext"/>
            </w:pPr>
            <w:r w:rsidRPr="005E3B43">
              <w:t>L(A)C1 (section</w:t>
            </w:r>
            <w:r w:rsidR="004E6D00" w:rsidRPr="005E3B43">
              <w:t> </w:t>
            </w:r>
            <w:r w:rsidRPr="005E3B43">
              <w:t>9D) request</w:t>
            </w:r>
          </w:p>
        </w:tc>
        <w:tc>
          <w:tcPr>
            <w:tcW w:w="1375" w:type="pct"/>
            <w:shd w:val="clear" w:color="auto" w:fill="auto"/>
          </w:tcPr>
          <w:p w14:paraId="39A310BB" w14:textId="77777777" w:rsidR="00812375" w:rsidRPr="005E3B43" w:rsidRDefault="00812375" w:rsidP="00763BCF">
            <w:pPr>
              <w:pStyle w:val="Tabletext"/>
            </w:pPr>
            <w:r w:rsidRPr="005E3B43">
              <w:t>Within 40 working days after the Secretary receives the request</w:t>
            </w:r>
          </w:p>
        </w:tc>
        <w:tc>
          <w:tcPr>
            <w:tcW w:w="2081" w:type="pct"/>
            <w:shd w:val="clear" w:color="auto" w:fill="auto"/>
          </w:tcPr>
          <w:p w14:paraId="3FC5BADD" w14:textId="77777777" w:rsidR="00812375" w:rsidRPr="005E3B43" w:rsidRDefault="00812375" w:rsidP="00763BCF">
            <w:pPr>
              <w:pStyle w:val="Tabletext"/>
            </w:pPr>
            <w:r w:rsidRPr="005E3B43">
              <w:t>Within 30 working days after the Secretary notifies the applicant that the request has been accepted</w:t>
            </w:r>
          </w:p>
        </w:tc>
      </w:tr>
      <w:tr w:rsidR="00812375" w:rsidRPr="005E3B43" w14:paraId="46CF2997" w14:textId="77777777" w:rsidTr="005A786D">
        <w:tc>
          <w:tcPr>
            <w:tcW w:w="384" w:type="pct"/>
            <w:shd w:val="clear" w:color="auto" w:fill="auto"/>
          </w:tcPr>
          <w:p w14:paraId="1E3FF528" w14:textId="77777777" w:rsidR="00812375" w:rsidRPr="005E3B43" w:rsidRDefault="00812375" w:rsidP="00763BCF">
            <w:pPr>
              <w:pStyle w:val="Tabletext"/>
            </w:pPr>
            <w:r w:rsidRPr="005E3B43">
              <w:t>1B</w:t>
            </w:r>
          </w:p>
        </w:tc>
        <w:tc>
          <w:tcPr>
            <w:tcW w:w="1160" w:type="pct"/>
            <w:shd w:val="clear" w:color="auto" w:fill="auto"/>
          </w:tcPr>
          <w:p w14:paraId="16ACB87B" w14:textId="77777777" w:rsidR="00812375" w:rsidRPr="005E3B43" w:rsidRDefault="00812375" w:rsidP="00763BCF">
            <w:pPr>
              <w:pStyle w:val="Tabletext"/>
            </w:pPr>
            <w:r w:rsidRPr="005E3B43">
              <w:t>L(A)C2 (section</w:t>
            </w:r>
            <w:r w:rsidR="004E6D00" w:rsidRPr="005E3B43">
              <w:t> </w:t>
            </w:r>
            <w:r w:rsidRPr="005E3B43">
              <w:t>9D) request</w:t>
            </w:r>
          </w:p>
        </w:tc>
        <w:tc>
          <w:tcPr>
            <w:tcW w:w="1375" w:type="pct"/>
            <w:shd w:val="clear" w:color="auto" w:fill="auto"/>
          </w:tcPr>
          <w:p w14:paraId="7B2DFBF4" w14:textId="77777777" w:rsidR="00812375" w:rsidRPr="005E3B43" w:rsidRDefault="00812375" w:rsidP="00763BCF">
            <w:pPr>
              <w:pStyle w:val="Tabletext"/>
            </w:pPr>
            <w:r w:rsidRPr="005E3B43">
              <w:t>Within 40 working days after the Secretary receives the request</w:t>
            </w:r>
          </w:p>
        </w:tc>
        <w:tc>
          <w:tcPr>
            <w:tcW w:w="2081" w:type="pct"/>
            <w:shd w:val="clear" w:color="auto" w:fill="auto"/>
          </w:tcPr>
          <w:p w14:paraId="2E27C577" w14:textId="77777777" w:rsidR="00812375" w:rsidRPr="005E3B43" w:rsidRDefault="00812375" w:rsidP="00763BCF">
            <w:pPr>
              <w:pStyle w:val="Tabletext"/>
            </w:pPr>
            <w:r w:rsidRPr="005E3B43">
              <w:t>Within 120 working days after the Secretary notifies the applicant that the request has been accepted</w:t>
            </w:r>
          </w:p>
        </w:tc>
      </w:tr>
      <w:tr w:rsidR="00ED129D" w:rsidRPr="005E3B43" w14:paraId="64AD15CF" w14:textId="77777777" w:rsidTr="005A786D">
        <w:tc>
          <w:tcPr>
            <w:tcW w:w="384" w:type="pct"/>
            <w:shd w:val="clear" w:color="auto" w:fill="auto"/>
          </w:tcPr>
          <w:p w14:paraId="147B6B03" w14:textId="77777777" w:rsidR="00ED129D" w:rsidRPr="005E3B43" w:rsidRDefault="00ED129D" w:rsidP="00763BCF">
            <w:pPr>
              <w:pStyle w:val="Tabletext"/>
            </w:pPr>
            <w:r w:rsidRPr="005E3B43">
              <w:t>1</w:t>
            </w:r>
          </w:p>
        </w:tc>
        <w:tc>
          <w:tcPr>
            <w:tcW w:w="1160" w:type="pct"/>
            <w:shd w:val="clear" w:color="auto" w:fill="auto"/>
          </w:tcPr>
          <w:p w14:paraId="5DC50DCE" w14:textId="77777777" w:rsidR="00ED129D" w:rsidRPr="005E3B43" w:rsidRDefault="00ED129D" w:rsidP="00763BCF">
            <w:pPr>
              <w:pStyle w:val="Tabletext"/>
            </w:pPr>
            <w:r w:rsidRPr="005E3B43">
              <w:t>RCMC2 (section</w:t>
            </w:r>
            <w:r w:rsidR="004E6D00" w:rsidRPr="005E3B43">
              <w:t> </w:t>
            </w:r>
            <w:r w:rsidRPr="005E3B43">
              <w:t>9D) request</w:t>
            </w:r>
          </w:p>
        </w:tc>
        <w:tc>
          <w:tcPr>
            <w:tcW w:w="1375" w:type="pct"/>
            <w:shd w:val="clear" w:color="auto" w:fill="auto"/>
          </w:tcPr>
          <w:p w14:paraId="6BAF8F1F" w14:textId="77777777" w:rsidR="00ED129D" w:rsidRPr="005E3B43" w:rsidRDefault="00ED129D" w:rsidP="00763BCF">
            <w:pPr>
              <w:pStyle w:val="Tabletext"/>
            </w:pPr>
            <w:r w:rsidRPr="005E3B43">
              <w:t>Within 40 working days after the Secretary receives the request</w:t>
            </w:r>
          </w:p>
        </w:tc>
        <w:tc>
          <w:tcPr>
            <w:tcW w:w="2081" w:type="pct"/>
            <w:shd w:val="clear" w:color="auto" w:fill="auto"/>
          </w:tcPr>
          <w:p w14:paraId="491278B2" w14:textId="77777777" w:rsidR="00ED129D" w:rsidRPr="005E3B43" w:rsidRDefault="00ED129D" w:rsidP="00763BCF">
            <w:pPr>
              <w:pStyle w:val="Tabletext"/>
            </w:pPr>
            <w:r w:rsidRPr="005E3B43">
              <w:t>Within 64 working days after the Secretary notifies the applicant that the request has been accepted</w:t>
            </w:r>
          </w:p>
        </w:tc>
      </w:tr>
      <w:tr w:rsidR="00ED129D" w:rsidRPr="005E3B43" w14:paraId="625FA8BF" w14:textId="77777777" w:rsidTr="005A786D">
        <w:tc>
          <w:tcPr>
            <w:tcW w:w="384" w:type="pct"/>
            <w:tcBorders>
              <w:bottom w:val="single" w:sz="2" w:space="0" w:color="auto"/>
            </w:tcBorders>
            <w:shd w:val="clear" w:color="auto" w:fill="auto"/>
          </w:tcPr>
          <w:p w14:paraId="5F2A9B89" w14:textId="77777777" w:rsidR="00ED129D" w:rsidRPr="005E3B43" w:rsidRDefault="00ED129D" w:rsidP="00763BCF">
            <w:pPr>
              <w:pStyle w:val="Tabletext"/>
            </w:pPr>
            <w:r w:rsidRPr="005E3B43">
              <w:t>2</w:t>
            </w:r>
          </w:p>
        </w:tc>
        <w:tc>
          <w:tcPr>
            <w:tcW w:w="1160" w:type="pct"/>
            <w:tcBorders>
              <w:bottom w:val="single" w:sz="2" w:space="0" w:color="auto"/>
            </w:tcBorders>
            <w:shd w:val="clear" w:color="auto" w:fill="auto"/>
          </w:tcPr>
          <w:p w14:paraId="009DC1D9" w14:textId="77777777" w:rsidR="00ED129D" w:rsidRPr="005E3B43" w:rsidRDefault="00ED129D" w:rsidP="00763BCF">
            <w:pPr>
              <w:pStyle w:val="Tabletext"/>
            </w:pPr>
            <w:r w:rsidRPr="005E3B43">
              <w:t>RCMC3 (section</w:t>
            </w:r>
            <w:r w:rsidR="004E6D00" w:rsidRPr="005E3B43">
              <w:t> </w:t>
            </w:r>
            <w:r w:rsidRPr="005E3B43">
              <w:t>9D) request</w:t>
            </w:r>
          </w:p>
        </w:tc>
        <w:tc>
          <w:tcPr>
            <w:tcW w:w="1375" w:type="pct"/>
            <w:tcBorders>
              <w:bottom w:val="single" w:sz="2" w:space="0" w:color="auto"/>
            </w:tcBorders>
            <w:shd w:val="clear" w:color="auto" w:fill="auto"/>
          </w:tcPr>
          <w:p w14:paraId="3F224499" w14:textId="77777777" w:rsidR="00ED129D" w:rsidRPr="005E3B43" w:rsidRDefault="00ED129D" w:rsidP="00763BCF">
            <w:pPr>
              <w:pStyle w:val="Tabletext"/>
            </w:pPr>
            <w:r w:rsidRPr="005E3B43">
              <w:t>Within 40 working days after the Secretary receives the application</w:t>
            </w:r>
          </w:p>
        </w:tc>
        <w:tc>
          <w:tcPr>
            <w:tcW w:w="2081" w:type="pct"/>
            <w:tcBorders>
              <w:bottom w:val="single" w:sz="2" w:space="0" w:color="auto"/>
            </w:tcBorders>
            <w:shd w:val="clear" w:color="auto" w:fill="auto"/>
          </w:tcPr>
          <w:p w14:paraId="20AE8637" w14:textId="77777777" w:rsidR="00ED129D" w:rsidRPr="005E3B43" w:rsidRDefault="00ED129D" w:rsidP="00763BCF">
            <w:pPr>
              <w:pStyle w:val="Tabletext"/>
            </w:pPr>
            <w:r w:rsidRPr="005E3B43">
              <w:t>Within 120 working days after the Secretary notifies the applicant that the request has been accepted</w:t>
            </w:r>
          </w:p>
        </w:tc>
      </w:tr>
      <w:tr w:rsidR="00ED129D" w:rsidRPr="005E3B43" w14:paraId="510AE8CB" w14:textId="77777777" w:rsidTr="005A786D">
        <w:tc>
          <w:tcPr>
            <w:tcW w:w="384" w:type="pct"/>
            <w:tcBorders>
              <w:top w:val="single" w:sz="2" w:space="0" w:color="auto"/>
              <w:bottom w:val="single" w:sz="12" w:space="0" w:color="auto"/>
            </w:tcBorders>
            <w:shd w:val="clear" w:color="auto" w:fill="auto"/>
          </w:tcPr>
          <w:p w14:paraId="0AD98D25" w14:textId="77777777" w:rsidR="00ED129D" w:rsidRPr="005E3B43" w:rsidRDefault="00ED129D" w:rsidP="00763BCF">
            <w:pPr>
              <w:pStyle w:val="Tabletext"/>
            </w:pPr>
            <w:r w:rsidRPr="005E3B43">
              <w:t>3</w:t>
            </w:r>
          </w:p>
        </w:tc>
        <w:tc>
          <w:tcPr>
            <w:tcW w:w="1160" w:type="pct"/>
            <w:tcBorders>
              <w:top w:val="single" w:sz="2" w:space="0" w:color="auto"/>
              <w:bottom w:val="single" w:sz="12" w:space="0" w:color="auto"/>
            </w:tcBorders>
            <w:shd w:val="clear" w:color="auto" w:fill="auto"/>
          </w:tcPr>
          <w:p w14:paraId="57086B2E" w14:textId="77777777" w:rsidR="00ED129D" w:rsidRPr="005E3B43" w:rsidRDefault="00ED129D" w:rsidP="00763BCF">
            <w:pPr>
              <w:pStyle w:val="Tabletext"/>
            </w:pPr>
            <w:r w:rsidRPr="005E3B43">
              <w:t>RCMC4 (section</w:t>
            </w:r>
            <w:r w:rsidR="004E6D00" w:rsidRPr="005E3B43">
              <w:t> </w:t>
            </w:r>
            <w:r w:rsidRPr="005E3B43">
              <w:t>9D) request</w:t>
            </w:r>
          </w:p>
        </w:tc>
        <w:tc>
          <w:tcPr>
            <w:tcW w:w="1375" w:type="pct"/>
            <w:tcBorders>
              <w:top w:val="single" w:sz="2" w:space="0" w:color="auto"/>
              <w:bottom w:val="single" w:sz="12" w:space="0" w:color="auto"/>
            </w:tcBorders>
            <w:shd w:val="clear" w:color="auto" w:fill="auto"/>
          </w:tcPr>
          <w:p w14:paraId="79049A06" w14:textId="77777777" w:rsidR="00ED129D" w:rsidRPr="005E3B43" w:rsidRDefault="00ED129D" w:rsidP="00763BCF">
            <w:pPr>
              <w:pStyle w:val="Tabletext"/>
            </w:pPr>
            <w:r w:rsidRPr="005E3B43">
              <w:t>Within 40 working days after the Secretary receives the application</w:t>
            </w:r>
          </w:p>
        </w:tc>
        <w:tc>
          <w:tcPr>
            <w:tcW w:w="2081" w:type="pct"/>
            <w:tcBorders>
              <w:top w:val="single" w:sz="2" w:space="0" w:color="auto"/>
              <w:bottom w:val="single" w:sz="12" w:space="0" w:color="auto"/>
            </w:tcBorders>
            <w:shd w:val="clear" w:color="auto" w:fill="auto"/>
          </w:tcPr>
          <w:p w14:paraId="4095E1F9" w14:textId="77777777" w:rsidR="00ED129D" w:rsidRPr="005E3B43" w:rsidRDefault="00ED129D" w:rsidP="00763BCF">
            <w:pPr>
              <w:pStyle w:val="Tabletext"/>
            </w:pPr>
            <w:r w:rsidRPr="005E3B43">
              <w:t>Within 170 working days after the Secretary notifies the applicant that the request has been accepted</w:t>
            </w:r>
          </w:p>
        </w:tc>
      </w:tr>
    </w:tbl>
    <w:p w14:paraId="2A919DB2" w14:textId="77777777" w:rsidR="00ED129D" w:rsidRPr="005E3B43" w:rsidRDefault="00ED129D" w:rsidP="00763BCF">
      <w:pPr>
        <w:pStyle w:val="subsection"/>
      </w:pPr>
      <w:r w:rsidRPr="005E3B43">
        <w:tab/>
        <w:t>(3)</w:t>
      </w:r>
      <w:r w:rsidRPr="005E3B43">
        <w:tab/>
        <w:t>A failure to make a decision on a request mentioned in this regulation within the period mentioned in this regulation does not make the Commonwealth, the Secretary or a delegate of the Secretary liable to a person for loss, damage or injury, of any kind, that is caused by or arises out of the failure.</w:t>
      </w:r>
    </w:p>
    <w:p w14:paraId="2F5B895C" w14:textId="77777777" w:rsidR="00ED129D" w:rsidRPr="005E3B43" w:rsidRDefault="00ED129D" w:rsidP="00763BCF">
      <w:pPr>
        <w:pStyle w:val="ActHead5"/>
      </w:pPr>
      <w:bookmarkStart w:id="107" w:name="_Toc187135701"/>
      <w:r w:rsidRPr="005E3B43">
        <w:rPr>
          <w:rStyle w:val="CharSectno"/>
        </w:rPr>
        <w:lastRenderedPageBreak/>
        <w:t>16GH</w:t>
      </w:r>
      <w:r w:rsidRPr="005E3B43">
        <w:t xml:space="preserve">  Registration and listing of certain medicines—notification of preliminary assessment of applications and period within which evaluations must be completed</w:t>
      </w:r>
      <w:bookmarkEnd w:id="107"/>
    </w:p>
    <w:p w14:paraId="65B16423" w14:textId="77777777" w:rsidR="00ED129D" w:rsidRPr="005E3B43" w:rsidRDefault="00ED129D" w:rsidP="00763BCF">
      <w:pPr>
        <w:pStyle w:val="subsection"/>
      </w:pPr>
      <w:r w:rsidRPr="005E3B43">
        <w:tab/>
        <w:t>(1)</w:t>
      </w:r>
      <w:r w:rsidRPr="005E3B43">
        <w:tab/>
        <w:t>If the Secretary receives an application of a kind mentioned in column 1 of an item in the following table:</w:t>
      </w:r>
    </w:p>
    <w:p w14:paraId="615B8B1F" w14:textId="77777777" w:rsidR="00ED129D" w:rsidRPr="005E3B43" w:rsidRDefault="00ED129D" w:rsidP="00763BCF">
      <w:pPr>
        <w:pStyle w:val="paragraph"/>
      </w:pPr>
      <w:r w:rsidRPr="005E3B43">
        <w:tab/>
        <w:t>(a)</w:t>
      </w:r>
      <w:r w:rsidRPr="005E3B43">
        <w:tab/>
        <w:t>the Secretary must notify the applicant in writing as to whether the application has passed preliminary assessment within the period specified, for the purposes of paragraph</w:t>
      </w:r>
      <w:r w:rsidR="004E6D00" w:rsidRPr="005E3B43">
        <w:t> </w:t>
      </w:r>
      <w:r w:rsidRPr="005E3B43">
        <w:t>63(2)(de) of the Act, in column 2 of the item; and</w:t>
      </w:r>
    </w:p>
    <w:p w14:paraId="0FF5207F" w14:textId="77777777" w:rsidR="00ED129D" w:rsidRPr="005E3B43" w:rsidRDefault="00ED129D" w:rsidP="00763BCF">
      <w:pPr>
        <w:pStyle w:val="paragraph"/>
      </w:pPr>
      <w:r w:rsidRPr="005E3B43">
        <w:tab/>
        <w:t>(b)</w:t>
      </w:r>
      <w:r w:rsidRPr="005E3B43">
        <w:tab/>
        <w:t>if the application passes preliminary assessment—the evaluation of the medicine to which the application relates must be completed within the period specified, for the purposes of paragraphs 63(2)(da) and (daaaa) of the Act, in column 3 of the item.</w:t>
      </w:r>
    </w:p>
    <w:p w14:paraId="49EC61C2" w14:textId="77777777" w:rsidR="00ED129D" w:rsidRPr="005E3B43" w:rsidRDefault="00ED129D" w:rsidP="00763BC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34"/>
        <w:gridCol w:w="1764"/>
        <w:gridCol w:w="2262"/>
        <w:gridCol w:w="3869"/>
      </w:tblGrid>
      <w:tr w:rsidR="00ED129D" w:rsidRPr="005E3B43" w14:paraId="1DBC4F2E" w14:textId="77777777" w:rsidTr="005A786D">
        <w:trPr>
          <w:tblHeader/>
        </w:trPr>
        <w:tc>
          <w:tcPr>
            <w:tcW w:w="5000" w:type="pct"/>
            <w:gridSpan w:val="4"/>
            <w:tcBorders>
              <w:top w:val="single" w:sz="12" w:space="0" w:color="auto"/>
              <w:bottom w:val="single" w:sz="6" w:space="0" w:color="auto"/>
            </w:tcBorders>
            <w:shd w:val="clear" w:color="auto" w:fill="auto"/>
          </w:tcPr>
          <w:p w14:paraId="0C6F1D1B" w14:textId="77777777" w:rsidR="00ED129D" w:rsidRPr="005E3B43" w:rsidRDefault="00ED129D" w:rsidP="00763BCF">
            <w:pPr>
              <w:pStyle w:val="TableHeading"/>
            </w:pPr>
            <w:r w:rsidRPr="005E3B43">
              <w:t>Notification of preliminary assessment of application and period within which evaluations must be completed</w:t>
            </w:r>
          </w:p>
        </w:tc>
      </w:tr>
      <w:tr w:rsidR="00ED129D" w:rsidRPr="005E3B43" w14:paraId="383567BD" w14:textId="77777777" w:rsidTr="005A786D">
        <w:trPr>
          <w:tblHeader/>
        </w:trPr>
        <w:tc>
          <w:tcPr>
            <w:tcW w:w="372" w:type="pct"/>
            <w:tcBorders>
              <w:top w:val="single" w:sz="6" w:space="0" w:color="auto"/>
              <w:bottom w:val="single" w:sz="12" w:space="0" w:color="auto"/>
            </w:tcBorders>
            <w:shd w:val="clear" w:color="auto" w:fill="auto"/>
          </w:tcPr>
          <w:p w14:paraId="5C365E4B" w14:textId="77777777" w:rsidR="00ED129D" w:rsidRPr="005E3B43" w:rsidRDefault="00ED129D" w:rsidP="00763BCF">
            <w:pPr>
              <w:pStyle w:val="TableHeading"/>
            </w:pPr>
            <w:r w:rsidRPr="005E3B43">
              <w:t>Item</w:t>
            </w:r>
          </w:p>
        </w:tc>
        <w:tc>
          <w:tcPr>
            <w:tcW w:w="1034" w:type="pct"/>
            <w:tcBorders>
              <w:top w:val="single" w:sz="6" w:space="0" w:color="auto"/>
              <w:bottom w:val="single" w:sz="12" w:space="0" w:color="auto"/>
            </w:tcBorders>
            <w:shd w:val="clear" w:color="auto" w:fill="auto"/>
          </w:tcPr>
          <w:p w14:paraId="2CCC4122" w14:textId="77777777" w:rsidR="00ED129D" w:rsidRPr="005E3B43" w:rsidRDefault="00ED129D" w:rsidP="00763BCF">
            <w:pPr>
              <w:pStyle w:val="TableHeading"/>
            </w:pPr>
            <w:r w:rsidRPr="005E3B43">
              <w:t>Column 1</w:t>
            </w:r>
          </w:p>
          <w:p w14:paraId="32EB7FAE" w14:textId="77777777" w:rsidR="00ED129D" w:rsidRPr="005E3B43" w:rsidRDefault="00ED129D" w:rsidP="00763BCF">
            <w:pPr>
              <w:pStyle w:val="TableHeading"/>
            </w:pPr>
            <w:r w:rsidRPr="005E3B43">
              <w:t>Kind of application</w:t>
            </w:r>
          </w:p>
        </w:tc>
        <w:tc>
          <w:tcPr>
            <w:tcW w:w="1326" w:type="pct"/>
            <w:tcBorders>
              <w:top w:val="single" w:sz="6" w:space="0" w:color="auto"/>
              <w:bottom w:val="single" w:sz="12" w:space="0" w:color="auto"/>
            </w:tcBorders>
            <w:shd w:val="clear" w:color="auto" w:fill="auto"/>
          </w:tcPr>
          <w:p w14:paraId="0F8E173F" w14:textId="77777777" w:rsidR="00ED129D" w:rsidRPr="005E3B43" w:rsidRDefault="00ED129D" w:rsidP="00763BCF">
            <w:pPr>
              <w:pStyle w:val="TableHeading"/>
            </w:pPr>
            <w:r w:rsidRPr="005E3B43">
              <w:t>Column 2</w:t>
            </w:r>
          </w:p>
          <w:p w14:paraId="591E87FA" w14:textId="77777777" w:rsidR="00ED129D" w:rsidRPr="005E3B43" w:rsidRDefault="00ED129D" w:rsidP="00763BCF">
            <w:pPr>
              <w:pStyle w:val="TableHeading"/>
            </w:pPr>
            <w:r w:rsidRPr="005E3B43">
              <w:t>Notification of preliminary assessment</w:t>
            </w:r>
          </w:p>
        </w:tc>
        <w:tc>
          <w:tcPr>
            <w:tcW w:w="2268" w:type="pct"/>
            <w:tcBorders>
              <w:top w:val="single" w:sz="6" w:space="0" w:color="auto"/>
              <w:bottom w:val="single" w:sz="12" w:space="0" w:color="auto"/>
            </w:tcBorders>
            <w:shd w:val="clear" w:color="auto" w:fill="auto"/>
          </w:tcPr>
          <w:p w14:paraId="03537597" w14:textId="77777777" w:rsidR="00ED129D" w:rsidRPr="005E3B43" w:rsidRDefault="00ED129D" w:rsidP="00763BCF">
            <w:pPr>
              <w:pStyle w:val="TableHeading"/>
            </w:pPr>
            <w:r w:rsidRPr="005E3B43">
              <w:t>Column 3</w:t>
            </w:r>
          </w:p>
          <w:p w14:paraId="33D2C752" w14:textId="77777777" w:rsidR="00ED129D" w:rsidRPr="005E3B43" w:rsidRDefault="00ED129D" w:rsidP="00763BCF">
            <w:pPr>
              <w:pStyle w:val="TableHeading"/>
            </w:pPr>
            <w:r w:rsidRPr="005E3B43">
              <w:t>Completion of evaluation</w:t>
            </w:r>
          </w:p>
        </w:tc>
      </w:tr>
      <w:tr w:rsidR="00ED129D" w:rsidRPr="005E3B43" w14:paraId="24A4B6E4" w14:textId="77777777" w:rsidTr="005A786D">
        <w:tc>
          <w:tcPr>
            <w:tcW w:w="372" w:type="pct"/>
            <w:tcBorders>
              <w:top w:val="single" w:sz="12" w:space="0" w:color="auto"/>
            </w:tcBorders>
            <w:shd w:val="clear" w:color="auto" w:fill="auto"/>
          </w:tcPr>
          <w:p w14:paraId="73D98B0F" w14:textId="77777777" w:rsidR="00ED129D" w:rsidRPr="005E3B43" w:rsidRDefault="00ED129D" w:rsidP="00763BCF">
            <w:pPr>
              <w:pStyle w:val="Tabletext"/>
            </w:pPr>
            <w:r w:rsidRPr="005E3B43">
              <w:t>1</w:t>
            </w:r>
          </w:p>
        </w:tc>
        <w:tc>
          <w:tcPr>
            <w:tcW w:w="1034" w:type="pct"/>
            <w:tcBorders>
              <w:top w:val="single" w:sz="12" w:space="0" w:color="auto"/>
            </w:tcBorders>
            <w:shd w:val="clear" w:color="auto" w:fill="auto"/>
          </w:tcPr>
          <w:p w14:paraId="7BB8B0A3" w14:textId="77777777" w:rsidR="00ED129D" w:rsidRPr="005E3B43" w:rsidRDefault="00ED129D" w:rsidP="00763BCF">
            <w:pPr>
              <w:pStyle w:val="Tabletext"/>
            </w:pPr>
            <w:r w:rsidRPr="005E3B43">
              <w:t>L(A)1 application</w:t>
            </w:r>
          </w:p>
        </w:tc>
        <w:tc>
          <w:tcPr>
            <w:tcW w:w="1326" w:type="pct"/>
            <w:tcBorders>
              <w:top w:val="single" w:sz="12" w:space="0" w:color="auto"/>
            </w:tcBorders>
            <w:shd w:val="clear" w:color="auto" w:fill="auto"/>
          </w:tcPr>
          <w:p w14:paraId="775D5685" w14:textId="77777777" w:rsidR="00ED129D" w:rsidRPr="005E3B43" w:rsidRDefault="00ED129D" w:rsidP="00763BCF">
            <w:pPr>
              <w:pStyle w:val="Tabletext"/>
            </w:pPr>
            <w:r w:rsidRPr="005E3B43">
              <w:t>Within 40 working days after the Secretary receives the application</w:t>
            </w:r>
          </w:p>
        </w:tc>
        <w:tc>
          <w:tcPr>
            <w:tcW w:w="2268" w:type="pct"/>
            <w:tcBorders>
              <w:top w:val="single" w:sz="12" w:space="0" w:color="auto"/>
            </w:tcBorders>
            <w:shd w:val="clear" w:color="auto" w:fill="auto"/>
          </w:tcPr>
          <w:p w14:paraId="52CD2F84" w14:textId="77777777" w:rsidR="00ED129D" w:rsidRPr="005E3B43" w:rsidRDefault="00ED129D" w:rsidP="00763BCF">
            <w:pPr>
              <w:pStyle w:val="Tabletext"/>
            </w:pPr>
            <w:r w:rsidRPr="005E3B43">
              <w:t>Within 45 working days after the Secretary notifies the applicant that the application has passed preliminary assessment</w:t>
            </w:r>
          </w:p>
        </w:tc>
      </w:tr>
      <w:tr w:rsidR="00ED129D" w:rsidRPr="005E3B43" w14:paraId="16C5BA52" w14:textId="77777777" w:rsidTr="005A786D">
        <w:tc>
          <w:tcPr>
            <w:tcW w:w="372" w:type="pct"/>
            <w:shd w:val="clear" w:color="auto" w:fill="auto"/>
          </w:tcPr>
          <w:p w14:paraId="5E091DCC" w14:textId="77777777" w:rsidR="00ED129D" w:rsidRPr="005E3B43" w:rsidRDefault="00ED129D" w:rsidP="00763BCF">
            <w:pPr>
              <w:pStyle w:val="Tabletext"/>
            </w:pPr>
            <w:r w:rsidRPr="005E3B43">
              <w:t>2</w:t>
            </w:r>
          </w:p>
        </w:tc>
        <w:tc>
          <w:tcPr>
            <w:tcW w:w="1034" w:type="pct"/>
            <w:shd w:val="clear" w:color="auto" w:fill="auto"/>
          </w:tcPr>
          <w:p w14:paraId="1EC8F434" w14:textId="77777777" w:rsidR="00ED129D" w:rsidRPr="005E3B43" w:rsidRDefault="00ED129D" w:rsidP="00763BCF">
            <w:pPr>
              <w:pStyle w:val="Tabletext"/>
            </w:pPr>
            <w:r w:rsidRPr="005E3B43">
              <w:t>L(A)2 application</w:t>
            </w:r>
          </w:p>
        </w:tc>
        <w:tc>
          <w:tcPr>
            <w:tcW w:w="1326" w:type="pct"/>
            <w:shd w:val="clear" w:color="auto" w:fill="auto"/>
          </w:tcPr>
          <w:p w14:paraId="1E4D213F" w14:textId="77777777" w:rsidR="00ED129D" w:rsidRPr="005E3B43" w:rsidRDefault="00ED129D" w:rsidP="00763BCF">
            <w:pPr>
              <w:pStyle w:val="Tabletext"/>
            </w:pPr>
            <w:r w:rsidRPr="005E3B43">
              <w:t>Within 40 working days after the Secretary receives the application</w:t>
            </w:r>
          </w:p>
        </w:tc>
        <w:tc>
          <w:tcPr>
            <w:tcW w:w="2268" w:type="pct"/>
            <w:shd w:val="clear" w:color="auto" w:fill="auto"/>
          </w:tcPr>
          <w:p w14:paraId="100123C3" w14:textId="77777777" w:rsidR="00ED129D" w:rsidRPr="005E3B43" w:rsidRDefault="00ED129D" w:rsidP="00763BCF">
            <w:pPr>
              <w:pStyle w:val="Tabletext"/>
            </w:pPr>
            <w:r w:rsidRPr="005E3B43">
              <w:t>Within 60 working days after the Secretary notifies the applicant that the application has passed preliminary assessment</w:t>
            </w:r>
          </w:p>
        </w:tc>
      </w:tr>
      <w:tr w:rsidR="00ED129D" w:rsidRPr="005E3B43" w14:paraId="7AF3DF44" w14:textId="77777777" w:rsidTr="005A786D">
        <w:tc>
          <w:tcPr>
            <w:tcW w:w="372" w:type="pct"/>
            <w:shd w:val="clear" w:color="auto" w:fill="auto"/>
          </w:tcPr>
          <w:p w14:paraId="3A89A465" w14:textId="77777777" w:rsidR="00ED129D" w:rsidRPr="005E3B43" w:rsidRDefault="00ED129D" w:rsidP="00763BCF">
            <w:pPr>
              <w:pStyle w:val="Tabletext"/>
            </w:pPr>
            <w:r w:rsidRPr="005E3B43">
              <w:t>3</w:t>
            </w:r>
          </w:p>
        </w:tc>
        <w:tc>
          <w:tcPr>
            <w:tcW w:w="1034" w:type="pct"/>
            <w:shd w:val="clear" w:color="auto" w:fill="auto"/>
          </w:tcPr>
          <w:p w14:paraId="4D7490E8" w14:textId="77777777" w:rsidR="00ED129D" w:rsidRPr="005E3B43" w:rsidRDefault="00ED129D" w:rsidP="00763BCF">
            <w:pPr>
              <w:pStyle w:val="Tabletext"/>
            </w:pPr>
            <w:r w:rsidRPr="005E3B43">
              <w:t>L(A)3 application</w:t>
            </w:r>
          </w:p>
        </w:tc>
        <w:tc>
          <w:tcPr>
            <w:tcW w:w="1326" w:type="pct"/>
            <w:shd w:val="clear" w:color="auto" w:fill="auto"/>
          </w:tcPr>
          <w:p w14:paraId="0BE7E26F" w14:textId="77777777" w:rsidR="00ED129D" w:rsidRPr="005E3B43" w:rsidRDefault="00ED129D" w:rsidP="00763BCF">
            <w:pPr>
              <w:pStyle w:val="Tabletext"/>
            </w:pPr>
            <w:r w:rsidRPr="005E3B43">
              <w:t>Within 40 working days after the Secretary receives the application</w:t>
            </w:r>
          </w:p>
        </w:tc>
        <w:tc>
          <w:tcPr>
            <w:tcW w:w="2268" w:type="pct"/>
            <w:shd w:val="clear" w:color="auto" w:fill="auto"/>
          </w:tcPr>
          <w:p w14:paraId="59E6811B" w14:textId="77777777" w:rsidR="00ED129D" w:rsidRPr="005E3B43" w:rsidRDefault="00ED129D" w:rsidP="00763BCF">
            <w:pPr>
              <w:pStyle w:val="Tabletext"/>
            </w:pPr>
            <w:r w:rsidRPr="005E3B43">
              <w:t>Within 150 working days after the Secretary notifies the applicant that the application has passed preliminary assessment</w:t>
            </w:r>
          </w:p>
        </w:tc>
      </w:tr>
      <w:tr w:rsidR="005C3F6B" w:rsidRPr="005E3B43" w14:paraId="1DAB50D6" w14:textId="77777777" w:rsidTr="005A786D">
        <w:tc>
          <w:tcPr>
            <w:tcW w:w="372" w:type="pct"/>
            <w:shd w:val="clear" w:color="auto" w:fill="auto"/>
          </w:tcPr>
          <w:p w14:paraId="78C93A92" w14:textId="77777777" w:rsidR="005C3F6B" w:rsidRPr="005E3B43" w:rsidRDefault="005C3F6B" w:rsidP="00763BCF">
            <w:pPr>
              <w:pStyle w:val="Tabletext"/>
            </w:pPr>
            <w:r w:rsidRPr="005E3B43">
              <w:t>3A</w:t>
            </w:r>
          </w:p>
        </w:tc>
        <w:tc>
          <w:tcPr>
            <w:tcW w:w="1034" w:type="pct"/>
            <w:shd w:val="clear" w:color="auto" w:fill="auto"/>
          </w:tcPr>
          <w:p w14:paraId="5AD8F171" w14:textId="77777777" w:rsidR="005C3F6B" w:rsidRPr="005E3B43" w:rsidRDefault="005C3F6B" w:rsidP="00763BCF">
            <w:pPr>
              <w:pStyle w:val="Tabletext"/>
            </w:pPr>
            <w:r w:rsidRPr="005E3B43">
              <w:t>L(A)C1 (</w:t>
            </w:r>
            <w:r w:rsidR="00FB7FAA" w:rsidRPr="005E3B43">
              <w:t>section 2</w:t>
            </w:r>
            <w:r w:rsidRPr="005E3B43">
              <w:t>3) application</w:t>
            </w:r>
          </w:p>
        </w:tc>
        <w:tc>
          <w:tcPr>
            <w:tcW w:w="1326" w:type="pct"/>
            <w:shd w:val="clear" w:color="auto" w:fill="auto"/>
          </w:tcPr>
          <w:p w14:paraId="4FB36660" w14:textId="77777777" w:rsidR="005C3F6B" w:rsidRPr="005E3B43" w:rsidRDefault="005C3F6B" w:rsidP="00763BCF">
            <w:pPr>
              <w:pStyle w:val="Tabletext"/>
            </w:pPr>
            <w:r w:rsidRPr="005E3B43">
              <w:t>Within 40 working days after the Secretary receives the application</w:t>
            </w:r>
          </w:p>
        </w:tc>
        <w:tc>
          <w:tcPr>
            <w:tcW w:w="2268" w:type="pct"/>
            <w:shd w:val="clear" w:color="auto" w:fill="auto"/>
          </w:tcPr>
          <w:p w14:paraId="306B410D" w14:textId="77777777" w:rsidR="005C3F6B" w:rsidRPr="005E3B43" w:rsidRDefault="005C3F6B" w:rsidP="00763BCF">
            <w:pPr>
              <w:pStyle w:val="Tabletext"/>
            </w:pPr>
            <w:r w:rsidRPr="005E3B43">
              <w:t>Within 30 working days after the Secretary notifies the applicant that the application has passed preliminary assessment</w:t>
            </w:r>
          </w:p>
        </w:tc>
      </w:tr>
      <w:tr w:rsidR="005C3F6B" w:rsidRPr="005E3B43" w14:paraId="32A03031" w14:textId="77777777" w:rsidTr="005A786D">
        <w:tc>
          <w:tcPr>
            <w:tcW w:w="372" w:type="pct"/>
            <w:shd w:val="clear" w:color="auto" w:fill="auto"/>
          </w:tcPr>
          <w:p w14:paraId="5048F5A9" w14:textId="77777777" w:rsidR="005C3F6B" w:rsidRPr="005E3B43" w:rsidRDefault="005C3F6B" w:rsidP="00763BCF">
            <w:pPr>
              <w:pStyle w:val="Tabletext"/>
            </w:pPr>
            <w:r w:rsidRPr="005E3B43">
              <w:t>3B</w:t>
            </w:r>
          </w:p>
        </w:tc>
        <w:tc>
          <w:tcPr>
            <w:tcW w:w="1034" w:type="pct"/>
            <w:shd w:val="clear" w:color="auto" w:fill="auto"/>
          </w:tcPr>
          <w:p w14:paraId="1A053F05" w14:textId="77777777" w:rsidR="005C3F6B" w:rsidRPr="005E3B43" w:rsidRDefault="005C3F6B" w:rsidP="00763BCF">
            <w:pPr>
              <w:pStyle w:val="Tabletext"/>
            </w:pPr>
            <w:r w:rsidRPr="005E3B43">
              <w:t>L(A)C2 (</w:t>
            </w:r>
            <w:r w:rsidR="00FB7FAA" w:rsidRPr="005E3B43">
              <w:t>section 2</w:t>
            </w:r>
            <w:r w:rsidRPr="005E3B43">
              <w:t>3) application</w:t>
            </w:r>
          </w:p>
        </w:tc>
        <w:tc>
          <w:tcPr>
            <w:tcW w:w="1326" w:type="pct"/>
            <w:shd w:val="clear" w:color="auto" w:fill="auto"/>
          </w:tcPr>
          <w:p w14:paraId="564F6880" w14:textId="77777777" w:rsidR="005C3F6B" w:rsidRPr="005E3B43" w:rsidRDefault="005C3F6B" w:rsidP="00763BCF">
            <w:pPr>
              <w:pStyle w:val="Tabletext"/>
            </w:pPr>
            <w:r w:rsidRPr="005E3B43">
              <w:t>Within 40 working days after the Secretary receives the application</w:t>
            </w:r>
          </w:p>
        </w:tc>
        <w:tc>
          <w:tcPr>
            <w:tcW w:w="2268" w:type="pct"/>
            <w:shd w:val="clear" w:color="auto" w:fill="auto"/>
          </w:tcPr>
          <w:p w14:paraId="3F68CD7E" w14:textId="77777777" w:rsidR="005C3F6B" w:rsidRPr="005E3B43" w:rsidRDefault="005C3F6B" w:rsidP="00763BCF">
            <w:pPr>
              <w:pStyle w:val="Tabletext"/>
            </w:pPr>
            <w:r w:rsidRPr="005E3B43">
              <w:t>Within 120 working days after the Secretary notifies the applicant that the application has passed preliminary assessment</w:t>
            </w:r>
          </w:p>
        </w:tc>
      </w:tr>
      <w:tr w:rsidR="00ED129D" w:rsidRPr="005E3B43" w14:paraId="52748ADF" w14:textId="77777777" w:rsidTr="005A786D">
        <w:tc>
          <w:tcPr>
            <w:tcW w:w="372" w:type="pct"/>
            <w:shd w:val="clear" w:color="auto" w:fill="auto"/>
          </w:tcPr>
          <w:p w14:paraId="4665A456" w14:textId="77777777" w:rsidR="00ED129D" w:rsidRPr="005E3B43" w:rsidRDefault="00ED129D" w:rsidP="00763BCF">
            <w:pPr>
              <w:pStyle w:val="Tabletext"/>
            </w:pPr>
            <w:r w:rsidRPr="005E3B43">
              <w:t>4</w:t>
            </w:r>
          </w:p>
        </w:tc>
        <w:tc>
          <w:tcPr>
            <w:tcW w:w="1034" w:type="pct"/>
            <w:shd w:val="clear" w:color="auto" w:fill="auto"/>
          </w:tcPr>
          <w:p w14:paraId="445E5D98" w14:textId="77777777" w:rsidR="00ED129D" w:rsidRPr="005E3B43" w:rsidRDefault="00ED129D" w:rsidP="00763BCF">
            <w:pPr>
              <w:pStyle w:val="Tabletext"/>
            </w:pPr>
            <w:r w:rsidRPr="005E3B43">
              <w:t>RCM1 application</w:t>
            </w:r>
          </w:p>
        </w:tc>
        <w:tc>
          <w:tcPr>
            <w:tcW w:w="1326" w:type="pct"/>
            <w:shd w:val="clear" w:color="auto" w:fill="auto"/>
          </w:tcPr>
          <w:p w14:paraId="73396EB3" w14:textId="77777777" w:rsidR="00ED129D" w:rsidRPr="005E3B43" w:rsidRDefault="00ED129D" w:rsidP="00763BCF">
            <w:pPr>
              <w:pStyle w:val="Tabletext"/>
            </w:pPr>
            <w:r w:rsidRPr="005E3B43">
              <w:t>Within 40 working days after the Secretary receives the application</w:t>
            </w:r>
          </w:p>
        </w:tc>
        <w:tc>
          <w:tcPr>
            <w:tcW w:w="2268" w:type="pct"/>
            <w:shd w:val="clear" w:color="auto" w:fill="auto"/>
          </w:tcPr>
          <w:p w14:paraId="7D58CB19" w14:textId="77777777" w:rsidR="00ED129D" w:rsidRPr="005E3B43" w:rsidRDefault="00ED129D" w:rsidP="00763BCF">
            <w:pPr>
              <w:pStyle w:val="Tabletext"/>
            </w:pPr>
            <w:r w:rsidRPr="005E3B43">
              <w:t>Within 45 working days after the Secretary notifies the applicant that the application has passed preliminary assessment</w:t>
            </w:r>
          </w:p>
        </w:tc>
      </w:tr>
      <w:tr w:rsidR="00ED129D" w:rsidRPr="005E3B43" w14:paraId="284D3A3D" w14:textId="77777777" w:rsidTr="005A786D">
        <w:tc>
          <w:tcPr>
            <w:tcW w:w="372" w:type="pct"/>
            <w:shd w:val="clear" w:color="auto" w:fill="auto"/>
          </w:tcPr>
          <w:p w14:paraId="5C00728A" w14:textId="77777777" w:rsidR="00ED129D" w:rsidRPr="005E3B43" w:rsidRDefault="00ED129D" w:rsidP="00763BCF">
            <w:pPr>
              <w:pStyle w:val="Tabletext"/>
            </w:pPr>
            <w:r w:rsidRPr="005E3B43">
              <w:t>5</w:t>
            </w:r>
          </w:p>
        </w:tc>
        <w:tc>
          <w:tcPr>
            <w:tcW w:w="1034" w:type="pct"/>
            <w:shd w:val="clear" w:color="auto" w:fill="auto"/>
          </w:tcPr>
          <w:p w14:paraId="1836F6B2" w14:textId="77777777" w:rsidR="00ED129D" w:rsidRPr="005E3B43" w:rsidRDefault="00ED129D" w:rsidP="00763BCF">
            <w:pPr>
              <w:pStyle w:val="Tabletext"/>
            </w:pPr>
            <w:r w:rsidRPr="005E3B43">
              <w:t>RCM2 application</w:t>
            </w:r>
          </w:p>
        </w:tc>
        <w:tc>
          <w:tcPr>
            <w:tcW w:w="1326" w:type="pct"/>
            <w:shd w:val="clear" w:color="auto" w:fill="auto"/>
          </w:tcPr>
          <w:p w14:paraId="0FA2C6FC" w14:textId="77777777" w:rsidR="00ED129D" w:rsidRPr="005E3B43" w:rsidRDefault="00ED129D" w:rsidP="00763BCF">
            <w:pPr>
              <w:pStyle w:val="Tabletext"/>
            </w:pPr>
            <w:r w:rsidRPr="005E3B43">
              <w:t>Within 40 working days after the Secretary receives the application</w:t>
            </w:r>
          </w:p>
        </w:tc>
        <w:tc>
          <w:tcPr>
            <w:tcW w:w="2268" w:type="pct"/>
            <w:shd w:val="clear" w:color="auto" w:fill="auto"/>
          </w:tcPr>
          <w:p w14:paraId="72B86D7D" w14:textId="77777777" w:rsidR="00ED129D" w:rsidRPr="005E3B43" w:rsidRDefault="00ED129D" w:rsidP="00763BCF">
            <w:pPr>
              <w:pStyle w:val="Tabletext"/>
            </w:pPr>
            <w:r w:rsidRPr="005E3B43">
              <w:t>Within 90 working days after the Secretary notifies the applicant that the application has passed preliminary assessment</w:t>
            </w:r>
          </w:p>
        </w:tc>
      </w:tr>
      <w:tr w:rsidR="00ED129D" w:rsidRPr="005E3B43" w14:paraId="50D16EA7" w14:textId="77777777" w:rsidTr="005A786D">
        <w:tc>
          <w:tcPr>
            <w:tcW w:w="372" w:type="pct"/>
            <w:shd w:val="clear" w:color="auto" w:fill="auto"/>
          </w:tcPr>
          <w:p w14:paraId="35C00A4E" w14:textId="77777777" w:rsidR="00ED129D" w:rsidRPr="005E3B43" w:rsidRDefault="00ED129D" w:rsidP="00763BCF">
            <w:pPr>
              <w:pStyle w:val="Tabletext"/>
            </w:pPr>
            <w:r w:rsidRPr="005E3B43">
              <w:t>6</w:t>
            </w:r>
          </w:p>
        </w:tc>
        <w:tc>
          <w:tcPr>
            <w:tcW w:w="1034" w:type="pct"/>
            <w:shd w:val="clear" w:color="auto" w:fill="auto"/>
          </w:tcPr>
          <w:p w14:paraId="23582B81" w14:textId="77777777" w:rsidR="00ED129D" w:rsidRPr="005E3B43" w:rsidRDefault="00ED129D" w:rsidP="00763BCF">
            <w:pPr>
              <w:pStyle w:val="Tabletext"/>
            </w:pPr>
            <w:r w:rsidRPr="005E3B43">
              <w:t>RCM3 application</w:t>
            </w:r>
          </w:p>
        </w:tc>
        <w:tc>
          <w:tcPr>
            <w:tcW w:w="1326" w:type="pct"/>
            <w:shd w:val="clear" w:color="auto" w:fill="auto"/>
          </w:tcPr>
          <w:p w14:paraId="0889AD30" w14:textId="77777777" w:rsidR="00ED129D" w:rsidRPr="005E3B43" w:rsidRDefault="00ED129D" w:rsidP="00763BCF">
            <w:pPr>
              <w:pStyle w:val="Tabletext"/>
            </w:pPr>
            <w:r w:rsidRPr="005E3B43">
              <w:t>Within 40 working days after the Secretary receives the application</w:t>
            </w:r>
          </w:p>
        </w:tc>
        <w:tc>
          <w:tcPr>
            <w:tcW w:w="2268" w:type="pct"/>
            <w:shd w:val="clear" w:color="auto" w:fill="auto"/>
          </w:tcPr>
          <w:p w14:paraId="24C5BC31" w14:textId="77777777" w:rsidR="00ED129D" w:rsidRPr="005E3B43" w:rsidRDefault="00ED129D" w:rsidP="00763BCF">
            <w:pPr>
              <w:pStyle w:val="Tabletext"/>
            </w:pPr>
            <w:r w:rsidRPr="005E3B43">
              <w:t>Within 150 working days after the Secretary notifies the applicant that the application has passed preliminary assessment</w:t>
            </w:r>
          </w:p>
        </w:tc>
      </w:tr>
      <w:tr w:rsidR="00ED129D" w:rsidRPr="005E3B43" w14:paraId="0125708C" w14:textId="77777777" w:rsidTr="005A786D">
        <w:tc>
          <w:tcPr>
            <w:tcW w:w="372" w:type="pct"/>
            <w:tcBorders>
              <w:bottom w:val="single" w:sz="2" w:space="0" w:color="auto"/>
            </w:tcBorders>
            <w:shd w:val="clear" w:color="auto" w:fill="auto"/>
          </w:tcPr>
          <w:p w14:paraId="0D8EE81E" w14:textId="77777777" w:rsidR="00ED129D" w:rsidRPr="005E3B43" w:rsidRDefault="00ED129D" w:rsidP="00763BCF">
            <w:pPr>
              <w:pStyle w:val="Tabletext"/>
            </w:pPr>
            <w:r w:rsidRPr="005E3B43">
              <w:t>7</w:t>
            </w:r>
          </w:p>
        </w:tc>
        <w:tc>
          <w:tcPr>
            <w:tcW w:w="1034" w:type="pct"/>
            <w:tcBorders>
              <w:bottom w:val="single" w:sz="2" w:space="0" w:color="auto"/>
            </w:tcBorders>
            <w:shd w:val="clear" w:color="auto" w:fill="auto"/>
          </w:tcPr>
          <w:p w14:paraId="3E6B8C82" w14:textId="77777777" w:rsidR="00ED129D" w:rsidRPr="005E3B43" w:rsidRDefault="00ED129D" w:rsidP="00763BCF">
            <w:pPr>
              <w:pStyle w:val="Tabletext"/>
            </w:pPr>
            <w:r w:rsidRPr="005E3B43">
              <w:t>RCM4 application</w:t>
            </w:r>
          </w:p>
        </w:tc>
        <w:tc>
          <w:tcPr>
            <w:tcW w:w="1326" w:type="pct"/>
            <w:tcBorders>
              <w:bottom w:val="single" w:sz="2" w:space="0" w:color="auto"/>
            </w:tcBorders>
            <w:shd w:val="clear" w:color="auto" w:fill="auto"/>
          </w:tcPr>
          <w:p w14:paraId="3EFA2740" w14:textId="77777777" w:rsidR="00ED129D" w:rsidRPr="005E3B43" w:rsidRDefault="00ED129D" w:rsidP="00763BCF">
            <w:pPr>
              <w:pStyle w:val="Tabletext"/>
            </w:pPr>
            <w:r w:rsidRPr="005E3B43">
              <w:t>Within 40 working days after the Secretary receives the application</w:t>
            </w:r>
          </w:p>
        </w:tc>
        <w:tc>
          <w:tcPr>
            <w:tcW w:w="2268" w:type="pct"/>
            <w:tcBorders>
              <w:bottom w:val="single" w:sz="2" w:space="0" w:color="auto"/>
            </w:tcBorders>
            <w:shd w:val="clear" w:color="auto" w:fill="auto"/>
          </w:tcPr>
          <w:p w14:paraId="1DC09BCB" w14:textId="77777777" w:rsidR="00ED129D" w:rsidRPr="005E3B43" w:rsidRDefault="00ED129D" w:rsidP="00763BCF">
            <w:pPr>
              <w:pStyle w:val="Tabletext"/>
            </w:pPr>
            <w:r w:rsidRPr="005E3B43">
              <w:t>Within 180 working days after the Secretary notifies the applicant that the application has passed preliminary assessment</w:t>
            </w:r>
          </w:p>
        </w:tc>
      </w:tr>
      <w:tr w:rsidR="00ED129D" w:rsidRPr="005E3B43" w14:paraId="314D7418" w14:textId="77777777" w:rsidTr="005A786D">
        <w:tc>
          <w:tcPr>
            <w:tcW w:w="372" w:type="pct"/>
            <w:tcBorders>
              <w:top w:val="single" w:sz="2" w:space="0" w:color="auto"/>
              <w:bottom w:val="single" w:sz="2" w:space="0" w:color="auto"/>
            </w:tcBorders>
            <w:shd w:val="clear" w:color="auto" w:fill="auto"/>
          </w:tcPr>
          <w:p w14:paraId="145B6E5F" w14:textId="77777777" w:rsidR="00ED129D" w:rsidRPr="005E3B43" w:rsidRDefault="00ED129D" w:rsidP="00763BCF">
            <w:pPr>
              <w:pStyle w:val="Tabletext"/>
            </w:pPr>
            <w:r w:rsidRPr="005E3B43">
              <w:lastRenderedPageBreak/>
              <w:t>8</w:t>
            </w:r>
          </w:p>
        </w:tc>
        <w:tc>
          <w:tcPr>
            <w:tcW w:w="1034" w:type="pct"/>
            <w:tcBorders>
              <w:top w:val="single" w:sz="2" w:space="0" w:color="auto"/>
              <w:bottom w:val="single" w:sz="2" w:space="0" w:color="auto"/>
            </w:tcBorders>
            <w:shd w:val="clear" w:color="auto" w:fill="auto"/>
          </w:tcPr>
          <w:p w14:paraId="12A5FF3E" w14:textId="77777777" w:rsidR="00ED129D" w:rsidRPr="005E3B43" w:rsidRDefault="00ED129D" w:rsidP="00763BCF">
            <w:pPr>
              <w:pStyle w:val="Tabletext"/>
            </w:pPr>
            <w:r w:rsidRPr="005E3B43">
              <w:t>RCM5 application</w:t>
            </w:r>
          </w:p>
        </w:tc>
        <w:tc>
          <w:tcPr>
            <w:tcW w:w="1326" w:type="pct"/>
            <w:tcBorders>
              <w:top w:val="single" w:sz="2" w:space="0" w:color="auto"/>
              <w:bottom w:val="single" w:sz="2" w:space="0" w:color="auto"/>
            </w:tcBorders>
            <w:shd w:val="clear" w:color="auto" w:fill="auto"/>
          </w:tcPr>
          <w:p w14:paraId="053DAC81" w14:textId="77777777" w:rsidR="00ED129D" w:rsidRPr="005E3B43" w:rsidRDefault="00ED129D" w:rsidP="00763BCF">
            <w:pPr>
              <w:pStyle w:val="Tabletext"/>
            </w:pPr>
            <w:r w:rsidRPr="005E3B43">
              <w:t>Within 40 working days after the Secretary receives the application</w:t>
            </w:r>
          </w:p>
        </w:tc>
        <w:tc>
          <w:tcPr>
            <w:tcW w:w="2268" w:type="pct"/>
            <w:tcBorders>
              <w:top w:val="single" w:sz="2" w:space="0" w:color="auto"/>
              <w:bottom w:val="single" w:sz="2" w:space="0" w:color="auto"/>
            </w:tcBorders>
            <w:shd w:val="clear" w:color="auto" w:fill="auto"/>
          </w:tcPr>
          <w:p w14:paraId="2A0F8AD2" w14:textId="77777777" w:rsidR="00ED129D" w:rsidRPr="005E3B43" w:rsidRDefault="00ED129D" w:rsidP="00763BCF">
            <w:pPr>
              <w:pStyle w:val="Tabletext"/>
            </w:pPr>
            <w:r w:rsidRPr="005E3B43">
              <w:t>Within 210 working days after the Secretary notifies the applicant that the application has passed preliminary assessment</w:t>
            </w:r>
          </w:p>
        </w:tc>
      </w:tr>
      <w:tr w:rsidR="00ED129D" w:rsidRPr="005E3B43" w14:paraId="0E92222C" w14:textId="77777777" w:rsidTr="005A786D">
        <w:tc>
          <w:tcPr>
            <w:tcW w:w="372" w:type="pct"/>
            <w:tcBorders>
              <w:top w:val="single" w:sz="2" w:space="0" w:color="auto"/>
              <w:bottom w:val="single" w:sz="2" w:space="0" w:color="auto"/>
            </w:tcBorders>
            <w:shd w:val="clear" w:color="auto" w:fill="auto"/>
          </w:tcPr>
          <w:p w14:paraId="036B77BB" w14:textId="77777777" w:rsidR="00ED129D" w:rsidRPr="005E3B43" w:rsidRDefault="00ED129D" w:rsidP="00763BCF">
            <w:pPr>
              <w:pStyle w:val="Tabletext"/>
            </w:pPr>
            <w:r w:rsidRPr="005E3B43">
              <w:t>9</w:t>
            </w:r>
          </w:p>
        </w:tc>
        <w:tc>
          <w:tcPr>
            <w:tcW w:w="1034" w:type="pct"/>
            <w:tcBorders>
              <w:top w:val="single" w:sz="2" w:space="0" w:color="auto"/>
              <w:bottom w:val="single" w:sz="2" w:space="0" w:color="auto"/>
            </w:tcBorders>
            <w:shd w:val="clear" w:color="auto" w:fill="auto"/>
          </w:tcPr>
          <w:p w14:paraId="4CDCE2D7" w14:textId="77777777" w:rsidR="00ED129D" w:rsidRPr="005E3B43" w:rsidRDefault="00ED129D" w:rsidP="00763BCF">
            <w:pPr>
              <w:pStyle w:val="Tabletext"/>
            </w:pPr>
            <w:r w:rsidRPr="005E3B43">
              <w:t>RCMC1 (</w:t>
            </w:r>
            <w:r w:rsidR="00FB7FAA" w:rsidRPr="005E3B43">
              <w:t>section 2</w:t>
            </w:r>
            <w:r w:rsidRPr="005E3B43">
              <w:t>3) application</w:t>
            </w:r>
          </w:p>
        </w:tc>
        <w:tc>
          <w:tcPr>
            <w:tcW w:w="1326" w:type="pct"/>
            <w:tcBorders>
              <w:top w:val="single" w:sz="2" w:space="0" w:color="auto"/>
              <w:bottom w:val="single" w:sz="2" w:space="0" w:color="auto"/>
            </w:tcBorders>
            <w:shd w:val="clear" w:color="auto" w:fill="auto"/>
          </w:tcPr>
          <w:p w14:paraId="50F72024" w14:textId="77777777" w:rsidR="00ED129D" w:rsidRPr="005E3B43" w:rsidRDefault="00ED129D" w:rsidP="00763BCF">
            <w:pPr>
              <w:pStyle w:val="Tabletext"/>
            </w:pPr>
            <w:r w:rsidRPr="005E3B43">
              <w:t>Within 40 working days after the Secretary receives the application</w:t>
            </w:r>
          </w:p>
        </w:tc>
        <w:tc>
          <w:tcPr>
            <w:tcW w:w="2268" w:type="pct"/>
            <w:tcBorders>
              <w:top w:val="single" w:sz="2" w:space="0" w:color="auto"/>
              <w:bottom w:val="single" w:sz="2" w:space="0" w:color="auto"/>
            </w:tcBorders>
            <w:shd w:val="clear" w:color="auto" w:fill="auto"/>
          </w:tcPr>
          <w:p w14:paraId="3398F8EB" w14:textId="77777777" w:rsidR="00ED129D" w:rsidRPr="005E3B43" w:rsidRDefault="00ED129D" w:rsidP="00763BCF">
            <w:pPr>
              <w:pStyle w:val="Tabletext"/>
            </w:pPr>
            <w:r w:rsidRPr="005E3B43">
              <w:t>Within 20 working days after the Secretary notifies the applicant that the application has passed preliminary assessment</w:t>
            </w:r>
          </w:p>
        </w:tc>
      </w:tr>
      <w:tr w:rsidR="00ED129D" w:rsidRPr="005E3B43" w14:paraId="541CF288" w14:textId="77777777" w:rsidTr="005A786D">
        <w:tc>
          <w:tcPr>
            <w:tcW w:w="372" w:type="pct"/>
            <w:tcBorders>
              <w:top w:val="single" w:sz="2" w:space="0" w:color="auto"/>
              <w:bottom w:val="single" w:sz="2" w:space="0" w:color="auto"/>
            </w:tcBorders>
            <w:shd w:val="clear" w:color="auto" w:fill="auto"/>
          </w:tcPr>
          <w:p w14:paraId="17359A73" w14:textId="77777777" w:rsidR="00ED129D" w:rsidRPr="005E3B43" w:rsidRDefault="00ED129D" w:rsidP="00763BCF">
            <w:pPr>
              <w:pStyle w:val="Tabletext"/>
            </w:pPr>
            <w:r w:rsidRPr="005E3B43">
              <w:t>10</w:t>
            </w:r>
          </w:p>
        </w:tc>
        <w:tc>
          <w:tcPr>
            <w:tcW w:w="1034" w:type="pct"/>
            <w:tcBorders>
              <w:top w:val="single" w:sz="2" w:space="0" w:color="auto"/>
              <w:bottom w:val="single" w:sz="2" w:space="0" w:color="auto"/>
            </w:tcBorders>
            <w:shd w:val="clear" w:color="auto" w:fill="auto"/>
          </w:tcPr>
          <w:p w14:paraId="7E72E48C" w14:textId="77777777" w:rsidR="00ED129D" w:rsidRPr="005E3B43" w:rsidRDefault="00ED129D" w:rsidP="00763BCF">
            <w:pPr>
              <w:pStyle w:val="Tabletext"/>
            </w:pPr>
            <w:r w:rsidRPr="005E3B43">
              <w:t>RCMC2 (</w:t>
            </w:r>
            <w:r w:rsidR="00FB7FAA" w:rsidRPr="005E3B43">
              <w:t>section 2</w:t>
            </w:r>
            <w:r w:rsidRPr="005E3B43">
              <w:t>3) application</w:t>
            </w:r>
          </w:p>
        </w:tc>
        <w:tc>
          <w:tcPr>
            <w:tcW w:w="1326" w:type="pct"/>
            <w:tcBorders>
              <w:top w:val="single" w:sz="2" w:space="0" w:color="auto"/>
              <w:bottom w:val="single" w:sz="2" w:space="0" w:color="auto"/>
            </w:tcBorders>
            <w:shd w:val="clear" w:color="auto" w:fill="auto"/>
          </w:tcPr>
          <w:p w14:paraId="18B6C699" w14:textId="77777777" w:rsidR="00ED129D" w:rsidRPr="005E3B43" w:rsidRDefault="00ED129D" w:rsidP="00763BCF">
            <w:pPr>
              <w:pStyle w:val="Tabletext"/>
            </w:pPr>
            <w:r w:rsidRPr="005E3B43">
              <w:t>Within 40 working days after the Secretary receives the application</w:t>
            </w:r>
          </w:p>
        </w:tc>
        <w:tc>
          <w:tcPr>
            <w:tcW w:w="2268" w:type="pct"/>
            <w:tcBorders>
              <w:top w:val="single" w:sz="2" w:space="0" w:color="auto"/>
              <w:bottom w:val="single" w:sz="2" w:space="0" w:color="auto"/>
            </w:tcBorders>
            <w:shd w:val="clear" w:color="auto" w:fill="auto"/>
          </w:tcPr>
          <w:p w14:paraId="36ED9940" w14:textId="77777777" w:rsidR="00ED129D" w:rsidRPr="005E3B43" w:rsidRDefault="00ED129D" w:rsidP="00763BCF">
            <w:pPr>
              <w:pStyle w:val="Tabletext"/>
            </w:pPr>
            <w:r w:rsidRPr="005E3B43">
              <w:t>Within 64 working days after the Secretary notifies the applicant that the application has passed preliminary assessment</w:t>
            </w:r>
          </w:p>
        </w:tc>
      </w:tr>
      <w:tr w:rsidR="00ED129D" w:rsidRPr="005E3B43" w14:paraId="371345B8" w14:textId="77777777" w:rsidTr="005A786D">
        <w:tc>
          <w:tcPr>
            <w:tcW w:w="372" w:type="pct"/>
            <w:tcBorders>
              <w:top w:val="single" w:sz="2" w:space="0" w:color="auto"/>
              <w:bottom w:val="single" w:sz="2" w:space="0" w:color="auto"/>
            </w:tcBorders>
            <w:shd w:val="clear" w:color="auto" w:fill="auto"/>
          </w:tcPr>
          <w:p w14:paraId="759133C7" w14:textId="77777777" w:rsidR="00ED129D" w:rsidRPr="005E3B43" w:rsidRDefault="00ED129D" w:rsidP="00763BCF">
            <w:pPr>
              <w:pStyle w:val="Tabletext"/>
            </w:pPr>
            <w:r w:rsidRPr="005E3B43">
              <w:t>11</w:t>
            </w:r>
          </w:p>
        </w:tc>
        <w:tc>
          <w:tcPr>
            <w:tcW w:w="1034" w:type="pct"/>
            <w:tcBorders>
              <w:top w:val="single" w:sz="2" w:space="0" w:color="auto"/>
              <w:bottom w:val="single" w:sz="2" w:space="0" w:color="auto"/>
            </w:tcBorders>
            <w:shd w:val="clear" w:color="auto" w:fill="auto"/>
          </w:tcPr>
          <w:p w14:paraId="5E7C5A78" w14:textId="77777777" w:rsidR="00ED129D" w:rsidRPr="005E3B43" w:rsidRDefault="00ED129D" w:rsidP="00763BCF">
            <w:pPr>
              <w:pStyle w:val="Tabletext"/>
            </w:pPr>
            <w:r w:rsidRPr="005E3B43">
              <w:t>RCMC3 (</w:t>
            </w:r>
            <w:r w:rsidR="00FB7FAA" w:rsidRPr="005E3B43">
              <w:t>section 2</w:t>
            </w:r>
            <w:r w:rsidRPr="005E3B43">
              <w:t>3) application</w:t>
            </w:r>
          </w:p>
        </w:tc>
        <w:tc>
          <w:tcPr>
            <w:tcW w:w="1326" w:type="pct"/>
            <w:tcBorders>
              <w:top w:val="single" w:sz="2" w:space="0" w:color="auto"/>
              <w:bottom w:val="single" w:sz="2" w:space="0" w:color="auto"/>
            </w:tcBorders>
            <w:shd w:val="clear" w:color="auto" w:fill="auto"/>
          </w:tcPr>
          <w:p w14:paraId="63A78D20" w14:textId="77777777" w:rsidR="00ED129D" w:rsidRPr="005E3B43" w:rsidRDefault="00ED129D" w:rsidP="00763BCF">
            <w:pPr>
              <w:pStyle w:val="Tabletext"/>
            </w:pPr>
            <w:r w:rsidRPr="005E3B43">
              <w:t>Within 40 working days after the Secretary receives the application</w:t>
            </w:r>
          </w:p>
        </w:tc>
        <w:tc>
          <w:tcPr>
            <w:tcW w:w="2268" w:type="pct"/>
            <w:tcBorders>
              <w:top w:val="single" w:sz="2" w:space="0" w:color="auto"/>
              <w:bottom w:val="single" w:sz="2" w:space="0" w:color="auto"/>
            </w:tcBorders>
            <w:shd w:val="clear" w:color="auto" w:fill="auto"/>
          </w:tcPr>
          <w:p w14:paraId="2DDDF52B" w14:textId="77777777" w:rsidR="00ED129D" w:rsidRPr="005E3B43" w:rsidRDefault="00ED129D" w:rsidP="00763BCF">
            <w:pPr>
              <w:pStyle w:val="Tabletext"/>
            </w:pPr>
            <w:r w:rsidRPr="005E3B43">
              <w:t>Within 120 working days after the Secretary notifies the applicant that the application has passed preliminary assessment</w:t>
            </w:r>
          </w:p>
        </w:tc>
      </w:tr>
      <w:tr w:rsidR="00ED129D" w:rsidRPr="005E3B43" w14:paraId="6EE74A8E" w14:textId="77777777" w:rsidTr="005A786D">
        <w:trPr>
          <w:cantSplit/>
        </w:trPr>
        <w:tc>
          <w:tcPr>
            <w:tcW w:w="372" w:type="pct"/>
            <w:tcBorders>
              <w:top w:val="single" w:sz="2" w:space="0" w:color="auto"/>
              <w:bottom w:val="single" w:sz="12" w:space="0" w:color="auto"/>
            </w:tcBorders>
            <w:shd w:val="clear" w:color="auto" w:fill="auto"/>
          </w:tcPr>
          <w:p w14:paraId="7966682D" w14:textId="77777777" w:rsidR="00ED129D" w:rsidRPr="005E3B43" w:rsidRDefault="00ED129D" w:rsidP="00763BCF">
            <w:pPr>
              <w:pStyle w:val="Tabletext"/>
            </w:pPr>
            <w:r w:rsidRPr="005E3B43">
              <w:t>12</w:t>
            </w:r>
          </w:p>
        </w:tc>
        <w:tc>
          <w:tcPr>
            <w:tcW w:w="1034" w:type="pct"/>
            <w:tcBorders>
              <w:top w:val="single" w:sz="2" w:space="0" w:color="auto"/>
              <w:bottom w:val="single" w:sz="12" w:space="0" w:color="auto"/>
            </w:tcBorders>
            <w:shd w:val="clear" w:color="auto" w:fill="auto"/>
          </w:tcPr>
          <w:p w14:paraId="68B7795C" w14:textId="77777777" w:rsidR="00ED129D" w:rsidRPr="005E3B43" w:rsidRDefault="00ED129D" w:rsidP="00763BCF">
            <w:pPr>
              <w:pStyle w:val="Tabletext"/>
            </w:pPr>
            <w:r w:rsidRPr="005E3B43">
              <w:t>RCMC4 (</w:t>
            </w:r>
            <w:r w:rsidR="00FB7FAA" w:rsidRPr="005E3B43">
              <w:t>section 2</w:t>
            </w:r>
            <w:r w:rsidRPr="005E3B43">
              <w:t>3) application</w:t>
            </w:r>
          </w:p>
        </w:tc>
        <w:tc>
          <w:tcPr>
            <w:tcW w:w="1326" w:type="pct"/>
            <w:tcBorders>
              <w:top w:val="single" w:sz="2" w:space="0" w:color="auto"/>
              <w:bottom w:val="single" w:sz="12" w:space="0" w:color="auto"/>
            </w:tcBorders>
            <w:shd w:val="clear" w:color="auto" w:fill="auto"/>
          </w:tcPr>
          <w:p w14:paraId="61B7B7BB" w14:textId="77777777" w:rsidR="00ED129D" w:rsidRPr="005E3B43" w:rsidRDefault="00ED129D" w:rsidP="00763BCF">
            <w:pPr>
              <w:pStyle w:val="Tabletext"/>
            </w:pPr>
            <w:r w:rsidRPr="005E3B43">
              <w:t>Within 40 working days after the Secretary receives the application</w:t>
            </w:r>
          </w:p>
        </w:tc>
        <w:tc>
          <w:tcPr>
            <w:tcW w:w="2268" w:type="pct"/>
            <w:tcBorders>
              <w:top w:val="single" w:sz="2" w:space="0" w:color="auto"/>
              <w:bottom w:val="single" w:sz="12" w:space="0" w:color="auto"/>
            </w:tcBorders>
            <w:shd w:val="clear" w:color="auto" w:fill="auto"/>
          </w:tcPr>
          <w:p w14:paraId="60105DB1" w14:textId="77777777" w:rsidR="00ED129D" w:rsidRPr="005E3B43" w:rsidRDefault="00ED129D" w:rsidP="00763BCF">
            <w:pPr>
              <w:pStyle w:val="Tabletext"/>
            </w:pPr>
            <w:r w:rsidRPr="005E3B43">
              <w:t>Within 170 working days after the Secretary notifies the applicant that the application has passed preliminary assessment</w:t>
            </w:r>
          </w:p>
        </w:tc>
      </w:tr>
    </w:tbl>
    <w:p w14:paraId="3A242212" w14:textId="77777777" w:rsidR="00ED129D" w:rsidRPr="005E3B43" w:rsidRDefault="00ED129D" w:rsidP="00763BCF">
      <w:pPr>
        <w:pStyle w:val="subsection"/>
      </w:pPr>
      <w:r w:rsidRPr="005E3B43">
        <w:tab/>
        <w:t>(2)</w:t>
      </w:r>
      <w:r w:rsidRPr="005E3B43">
        <w:tab/>
        <w:t>A failure to complete an evaluation of an application mentioned in column 1 of an item of the table in subregulation (1) within the period mentioned in column 3 of the item does not make the Commonwealth, the Secretary or a delegate of the Secretary liable to a person for loss, damage or injury, of any kind, that is caused by or arises out of the failure.</w:t>
      </w:r>
    </w:p>
    <w:p w14:paraId="173BE961" w14:textId="77777777" w:rsidR="00DF1B3D" w:rsidRPr="005E3B43" w:rsidRDefault="00DF1B3D" w:rsidP="00763BCF">
      <w:pPr>
        <w:pStyle w:val="ActHead5"/>
      </w:pPr>
      <w:bookmarkStart w:id="108" w:name="_Toc187135702"/>
      <w:r w:rsidRPr="005E3B43">
        <w:rPr>
          <w:rStyle w:val="CharSectno"/>
        </w:rPr>
        <w:t>16GI</w:t>
      </w:r>
      <w:r w:rsidRPr="005E3B43">
        <w:t xml:space="preserve">  Registration and listing of certain medicines—notification of preliminary assessment of applications and period within which decisions on recommendations must be made</w:t>
      </w:r>
      <w:bookmarkEnd w:id="108"/>
    </w:p>
    <w:p w14:paraId="7074E3BC" w14:textId="77777777" w:rsidR="00ED129D" w:rsidRPr="005E3B43" w:rsidRDefault="00ED129D" w:rsidP="00763BCF">
      <w:pPr>
        <w:pStyle w:val="subsection"/>
      </w:pPr>
      <w:r w:rsidRPr="005E3B43">
        <w:tab/>
        <w:t>(1)</w:t>
      </w:r>
      <w:r w:rsidRPr="005E3B43">
        <w:tab/>
        <w:t>If the Secretary receives an application of a kind mentioned in column 1 of an item in the following table:</w:t>
      </w:r>
    </w:p>
    <w:p w14:paraId="4F5197A9" w14:textId="77777777" w:rsidR="00ED129D" w:rsidRPr="005E3B43" w:rsidRDefault="00ED129D" w:rsidP="00763BCF">
      <w:pPr>
        <w:pStyle w:val="paragraph"/>
      </w:pPr>
      <w:r w:rsidRPr="005E3B43">
        <w:tab/>
        <w:t>(a)</w:t>
      </w:r>
      <w:r w:rsidRPr="005E3B43">
        <w:tab/>
        <w:t xml:space="preserve">the Secretary must notify the applicant in writing as to whether the application has </w:t>
      </w:r>
      <w:r w:rsidR="00DF1B3D" w:rsidRPr="005E3B43">
        <w:t>passed preliminary assessment</w:t>
      </w:r>
      <w:r w:rsidRPr="005E3B43">
        <w:t xml:space="preserve"> within the period specified, for the purposes of paragraph</w:t>
      </w:r>
      <w:r w:rsidR="004E6D00" w:rsidRPr="005E3B43">
        <w:t> </w:t>
      </w:r>
      <w:r w:rsidRPr="005E3B43">
        <w:t>63(2)(de) of the Act, in column 2 of the item; and</w:t>
      </w:r>
    </w:p>
    <w:p w14:paraId="08340BAF" w14:textId="77777777" w:rsidR="00ED129D" w:rsidRPr="005E3B43" w:rsidRDefault="00ED129D" w:rsidP="00763BCF">
      <w:pPr>
        <w:pStyle w:val="paragraph"/>
      </w:pPr>
      <w:r w:rsidRPr="005E3B43">
        <w:tab/>
        <w:t>(b)</w:t>
      </w:r>
      <w:r w:rsidRPr="005E3B43">
        <w:tab/>
      </w:r>
      <w:r w:rsidR="00DF1B3D" w:rsidRPr="005E3B43">
        <w:t>if the application passes preliminary assessment—subject to subregulation (1A),</w:t>
      </w:r>
      <w:r w:rsidR="00E71693" w:rsidRPr="005E3B43">
        <w:t xml:space="preserve"> </w:t>
      </w:r>
      <w:r w:rsidRPr="005E3B43">
        <w:t>a decision on whether to make a recommendation on the application must be made within the period specified, for the purposes of paragraph</w:t>
      </w:r>
      <w:r w:rsidR="004E6D00" w:rsidRPr="005E3B43">
        <w:t> </w:t>
      </w:r>
      <w:r w:rsidRPr="005E3B43">
        <w:t>63(2)(daaa) of the Act, in column 3 of the item.</w:t>
      </w:r>
    </w:p>
    <w:p w14:paraId="4FB0F185" w14:textId="77777777" w:rsidR="00ED129D" w:rsidRPr="005E3B43" w:rsidRDefault="00ED129D" w:rsidP="00763BC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67"/>
        <w:gridCol w:w="1760"/>
        <w:gridCol w:w="2243"/>
        <w:gridCol w:w="3859"/>
      </w:tblGrid>
      <w:tr w:rsidR="00DF1B3D" w:rsidRPr="005E3B43" w14:paraId="56CAAE19" w14:textId="77777777" w:rsidTr="00DF1B3D">
        <w:trPr>
          <w:tblHeader/>
        </w:trPr>
        <w:tc>
          <w:tcPr>
            <w:tcW w:w="5000" w:type="pct"/>
            <w:gridSpan w:val="4"/>
            <w:tcBorders>
              <w:top w:val="single" w:sz="12" w:space="0" w:color="auto"/>
              <w:bottom w:val="single" w:sz="6" w:space="0" w:color="auto"/>
            </w:tcBorders>
            <w:shd w:val="clear" w:color="auto" w:fill="auto"/>
          </w:tcPr>
          <w:p w14:paraId="522E56F4" w14:textId="77777777" w:rsidR="00DF1B3D" w:rsidRPr="005E3B43" w:rsidRDefault="00DF1B3D" w:rsidP="00763BCF">
            <w:pPr>
              <w:pStyle w:val="TableHeading"/>
            </w:pPr>
            <w:r w:rsidRPr="005E3B43">
              <w:lastRenderedPageBreak/>
              <w:t>Notification of preliminary assessment of applications and period within which decisions on recommendations must be made</w:t>
            </w:r>
          </w:p>
        </w:tc>
      </w:tr>
      <w:tr w:rsidR="00DF1B3D" w:rsidRPr="005E3B43" w14:paraId="14715326" w14:textId="77777777" w:rsidTr="00DF1B3D">
        <w:trPr>
          <w:tblHeader/>
        </w:trPr>
        <w:tc>
          <w:tcPr>
            <w:tcW w:w="391" w:type="pct"/>
            <w:tcBorders>
              <w:top w:val="single" w:sz="6" w:space="0" w:color="auto"/>
              <w:bottom w:val="single" w:sz="12" w:space="0" w:color="auto"/>
            </w:tcBorders>
            <w:shd w:val="clear" w:color="auto" w:fill="auto"/>
          </w:tcPr>
          <w:p w14:paraId="3885DEA8" w14:textId="77777777" w:rsidR="00DF1B3D" w:rsidRPr="005E3B43" w:rsidRDefault="00DF1B3D" w:rsidP="00763BCF">
            <w:pPr>
              <w:pStyle w:val="TableHeading"/>
            </w:pPr>
            <w:r w:rsidRPr="005E3B43">
              <w:t>Item</w:t>
            </w:r>
          </w:p>
        </w:tc>
        <w:tc>
          <w:tcPr>
            <w:tcW w:w="1032" w:type="pct"/>
            <w:tcBorders>
              <w:top w:val="single" w:sz="6" w:space="0" w:color="auto"/>
              <w:bottom w:val="single" w:sz="12" w:space="0" w:color="auto"/>
            </w:tcBorders>
            <w:shd w:val="clear" w:color="auto" w:fill="auto"/>
          </w:tcPr>
          <w:p w14:paraId="02BBAA40" w14:textId="77777777" w:rsidR="00DF1B3D" w:rsidRPr="005E3B43" w:rsidRDefault="00DF1B3D" w:rsidP="00763BCF">
            <w:pPr>
              <w:pStyle w:val="TableHeading"/>
            </w:pPr>
            <w:r w:rsidRPr="005E3B43">
              <w:t>Column 1</w:t>
            </w:r>
          </w:p>
          <w:p w14:paraId="747F1D35" w14:textId="77777777" w:rsidR="00DF1B3D" w:rsidRPr="005E3B43" w:rsidRDefault="00DF1B3D" w:rsidP="00763BCF">
            <w:pPr>
              <w:pStyle w:val="TableHeading"/>
            </w:pPr>
            <w:r w:rsidRPr="005E3B43">
              <w:t>Kind of application</w:t>
            </w:r>
          </w:p>
        </w:tc>
        <w:tc>
          <w:tcPr>
            <w:tcW w:w="1315" w:type="pct"/>
            <w:tcBorders>
              <w:top w:val="single" w:sz="6" w:space="0" w:color="auto"/>
              <w:bottom w:val="single" w:sz="12" w:space="0" w:color="auto"/>
            </w:tcBorders>
            <w:shd w:val="clear" w:color="auto" w:fill="auto"/>
          </w:tcPr>
          <w:p w14:paraId="4B9070CB" w14:textId="77777777" w:rsidR="00DF1B3D" w:rsidRPr="005E3B43" w:rsidRDefault="00DF1B3D" w:rsidP="00763BCF">
            <w:pPr>
              <w:pStyle w:val="TableHeading"/>
            </w:pPr>
            <w:r w:rsidRPr="005E3B43">
              <w:t>Column 2</w:t>
            </w:r>
          </w:p>
          <w:p w14:paraId="7F43F3EF" w14:textId="77777777" w:rsidR="00DF1B3D" w:rsidRPr="005E3B43" w:rsidRDefault="00DF1B3D" w:rsidP="00763BCF">
            <w:pPr>
              <w:pStyle w:val="TableHeading"/>
            </w:pPr>
            <w:r w:rsidRPr="005E3B43">
              <w:t>Notification of preliminary assessment</w:t>
            </w:r>
          </w:p>
        </w:tc>
        <w:tc>
          <w:tcPr>
            <w:tcW w:w="2262" w:type="pct"/>
            <w:tcBorders>
              <w:top w:val="single" w:sz="6" w:space="0" w:color="auto"/>
              <w:bottom w:val="single" w:sz="12" w:space="0" w:color="auto"/>
            </w:tcBorders>
            <w:shd w:val="clear" w:color="auto" w:fill="auto"/>
          </w:tcPr>
          <w:p w14:paraId="6CF21002" w14:textId="77777777" w:rsidR="00DF1B3D" w:rsidRPr="005E3B43" w:rsidRDefault="00DF1B3D" w:rsidP="00763BCF">
            <w:pPr>
              <w:pStyle w:val="TableHeading"/>
            </w:pPr>
            <w:r w:rsidRPr="005E3B43">
              <w:t>Column 3</w:t>
            </w:r>
          </w:p>
          <w:p w14:paraId="1D5D040E" w14:textId="77777777" w:rsidR="00DF1B3D" w:rsidRPr="005E3B43" w:rsidRDefault="00DF1B3D" w:rsidP="00763BCF">
            <w:pPr>
              <w:pStyle w:val="TableHeading"/>
            </w:pPr>
            <w:r w:rsidRPr="005E3B43">
              <w:t>Decision on recommendation</w:t>
            </w:r>
          </w:p>
        </w:tc>
      </w:tr>
      <w:tr w:rsidR="00DF1B3D" w:rsidRPr="005E3B43" w14:paraId="09566E27" w14:textId="77777777" w:rsidTr="00DF1B3D">
        <w:tc>
          <w:tcPr>
            <w:tcW w:w="391" w:type="pct"/>
            <w:tcBorders>
              <w:top w:val="single" w:sz="12" w:space="0" w:color="auto"/>
            </w:tcBorders>
            <w:shd w:val="clear" w:color="auto" w:fill="auto"/>
          </w:tcPr>
          <w:p w14:paraId="5A8F85E9" w14:textId="77777777" w:rsidR="00DF1B3D" w:rsidRPr="005E3B43" w:rsidRDefault="00DF1B3D" w:rsidP="00763BCF">
            <w:pPr>
              <w:pStyle w:val="Tabletext"/>
            </w:pPr>
            <w:r w:rsidRPr="005E3B43">
              <w:t>1</w:t>
            </w:r>
          </w:p>
        </w:tc>
        <w:tc>
          <w:tcPr>
            <w:tcW w:w="1032" w:type="pct"/>
            <w:tcBorders>
              <w:top w:val="single" w:sz="12" w:space="0" w:color="auto"/>
            </w:tcBorders>
            <w:shd w:val="clear" w:color="auto" w:fill="auto"/>
          </w:tcPr>
          <w:p w14:paraId="4F1122D2" w14:textId="77777777" w:rsidR="00DF1B3D" w:rsidRPr="005E3B43" w:rsidRDefault="00DF1B3D" w:rsidP="00763BCF">
            <w:pPr>
              <w:pStyle w:val="Tabletext"/>
            </w:pPr>
            <w:r w:rsidRPr="005E3B43">
              <w:t>IN1 application</w:t>
            </w:r>
          </w:p>
        </w:tc>
        <w:tc>
          <w:tcPr>
            <w:tcW w:w="1315" w:type="pct"/>
            <w:tcBorders>
              <w:top w:val="single" w:sz="12" w:space="0" w:color="auto"/>
            </w:tcBorders>
            <w:shd w:val="clear" w:color="auto" w:fill="auto"/>
          </w:tcPr>
          <w:p w14:paraId="5F71B0B2" w14:textId="77777777" w:rsidR="00DF1B3D" w:rsidRPr="005E3B43" w:rsidRDefault="00DF1B3D" w:rsidP="00763BCF">
            <w:pPr>
              <w:pStyle w:val="Tabletext"/>
            </w:pPr>
            <w:r w:rsidRPr="005E3B43">
              <w:t>Within 40 working days after the Secretary receives the application</w:t>
            </w:r>
          </w:p>
        </w:tc>
        <w:tc>
          <w:tcPr>
            <w:tcW w:w="2262" w:type="pct"/>
            <w:tcBorders>
              <w:top w:val="single" w:sz="12" w:space="0" w:color="auto"/>
            </w:tcBorders>
            <w:shd w:val="clear" w:color="auto" w:fill="auto"/>
          </w:tcPr>
          <w:p w14:paraId="279497C6" w14:textId="77777777" w:rsidR="00DF1B3D" w:rsidRPr="005E3B43" w:rsidRDefault="00DF1B3D" w:rsidP="00763BCF">
            <w:pPr>
              <w:pStyle w:val="Tabletext"/>
            </w:pPr>
            <w:r w:rsidRPr="005E3B43">
              <w:t>The period of 70 working days beginning on the later of the following days:</w:t>
            </w:r>
          </w:p>
          <w:p w14:paraId="0A8F4B1E" w14:textId="77777777" w:rsidR="00DF1B3D" w:rsidRPr="005E3B43" w:rsidRDefault="00DF1B3D" w:rsidP="00763BCF">
            <w:pPr>
              <w:pStyle w:val="Tablea"/>
            </w:pPr>
            <w:r w:rsidRPr="005E3B43">
              <w:t>(a) the day the Secretary notifies the applicant that the application has passed preliminary assessment;</w:t>
            </w:r>
          </w:p>
          <w:p w14:paraId="36417C9D" w14:textId="77777777" w:rsidR="00DF1B3D" w:rsidRPr="005E3B43" w:rsidRDefault="00DF1B3D" w:rsidP="00763BCF">
            <w:pPr>
              <w:pStyle w:val="Tablea"/>
            </w:pPr>
            <w:r w:rsidRPr="005E3B43">
              <w:t>(b) the day the evaluation fee is paid for the application</w:t>
            </w:r>
          </w:p>
        </w:tc>
      </w:tr>
      <w:tr w:rsidR="00DF1B3D" w:rsidRPr="005E3B43" w14:paraId="15AACE7B" w14:textId="77777777" w:rsidTr="00DF1B3D">
        <w:tc>
          <w:tcPr>
            <w:tcW w:w="391" w:type="pct"/>
            <w:shd w:val="clear" w:color="auto" w:fill="auto"/>
          </w:tcPr>
          <w:p w14:paraId="53CC7CD9" w14:textId="77777777" w:rsidR="00DF1B3D" w:rsidRPr="005E3B43" w:rsidRDefault="00DF1B3D" w:rsidP="00763BCF">
            <w:pPr>
              <w:pStyle w:val="Tabletext"/>
            </w:pPr>
            <w:r w:rsidRPr="005E3B43">
              <w:t>2</w:t>
            </w:r>
          </w:p>
        </w:tc>
        <w:tc>
          <w:tcPr>
            <w:tcW w:w="1032" w:type="pct"/>
            <w:shd w:val="clear" w:color="auto" w:fill="auto"/>
          </w:tcPr>
          <w:p w14:paraId="66DE70E3" w14:textId="77777777" w:rsidR="00DF1B3D" w:rsidRPr="005E3B43" w:rsidRDefault="00DF1B3D" w:rsidP="00763BCF">
            <w:pPr>
              <w:pStyle w:val="Tabletext"/>
            </w:pPr>
            <w:r w:rsidRPr="005E3B43">
              <w:t>IN2 application</w:t>
            </w:r>
          </w:p>
        </w:tc>
        <w:tc>
          <w:tcPr>
            <w:tcW w:w="1315" w:type="pct"/>
            <w:shd w:val="clear" w:color="auto" w:fill="auto"/>
          </w:tcPr>
          <w:p w14:paraId="7E9DAF6B" w14:textId="77777777" w:rsidR="00DF1B3D" w:rsidRPr="005E3B43" w:rsidRDefault="00DF1B3D" w:rsidP="00763BCF">
            <w:pPr>
              <w:pStyle w:val="Tabletext"/>
            </w:pPr>
            <w:r w:rsidRPr="005E3B43">
              <w:t>Within 40 working days after the Secretary receives the application</w:t>
            </w:r>
          </w:p>
        </w:tc>
        <w:tc>
          <w:tcPr>
            <w:tcW w:w="2262" w:type="pct"/>
            <w:shd w:val="clear" w:color="auto" w:fill="auto"/>
          </w:tcPr>
          <w:p w14:paraId="025F9EDA" w14:textId="77777777" w:rsidR="00DF1B3D" w:rsidRPr="005E3B43" w:rsidRDefault="00DF1B3D" w:rsidP="00763BCF">
            <w:pPr>
              <w:pStyle w:val="Tabletext"/>
            </w:pPr>
            <w:r w:rsidRPr="005E3B43">
              <w:t>The period of 120 working days beginning on the later of the following days:</w:t>
            </w:r>
          </w:p>
          <w:p w14:paraId="295DB1CA" w14:textId="77777777" w:rsidR="00DF1B3D" w:rsidRPr="005E3B43" w:rsidRDefault="00DF1B3D" w:rsidP="00763BCF">
            <w:pPr>
              <w:pStyle w:val="Tablea"/>
            </w:pPr>
            <w:r w:rsidRPr="005E3B43">
              <w:t>(a) the day the Secretary notifies the applicant that the application has passed preliminary assessment;</w:t>
            </w:r>
          </w:p>
          <w:p w14:paraId="0A7A6CC1" w14:textId="77777777" w:rsidR="00DF1B3D" w:rsidRPr="005E3B43" w:rsidRDefault="00DF1B3D" w:rsidP="00763BCF">
            <w:pPr>
              <w:pStyle w:val="Tablea"/>
            </w:pPr>
            <w:r w:rsidRPr="005E3B43">
              <w:t>(b) the day the evaluation fee is paid for the application</w:t>
            </w:r>
          </w:p>
        </w:tc>
      </w:tr>
      <w:tr w:rsidR="00DF1B3D" w:rsidRPr="005E3B43" w14:paraId="05837433" w14:textId="77777777" w:rsidTr="00DF1B3D">
        <w:tc>
          <w:tcPr>
            <w:tcW w:w="391" w:type="pct"/>
            <w:tcBorders>
              <w:bottom w:val="single" w:sz="2" w:space="0" w:color="auto"/>
            </w:tcBorders>
            <w:shd w:val="clear" w:color="auto" w:fill="auto"/>
          </w:tcPr>
          <w:p w14:paraId="54BFF829" w14:textId="77777777" w:rsidR="00DF1B3D" w:rsidRPr="005E3B43" w:rsidRDefault="00DF1B3D" w:rsidP="00763BCF">
            <w:pPr>
              <w:pStyle w:val="Tabletext"/>
            </w:pPr>
            <w:r w:rsidRPr="005E3B43">
              <w:t>3</w:t>
            </w:r>
          </w:p>
        </w:tc>
        <w:tc>
          <w:tcPr>
            <w:tcW w:w="1032" w:type="pct"/>
            <w:tcBorders>
              <w:bottom w:val="single" w:sz="2" w:space="0" w:color="auto"/>
            </w:tcBorders>
            <w:shd w:val="clear" w:color="auto" w:fill="auto"/>
          </w:tcPr>
          <w:p w14:paraId="63A00E91" w14:textId="77777777" w:rsidR="00DF1B3D" w:rsidRPr="005E3B43" w:rsidRDefault="00DF1B3D" w:rsidP="00763BCF">
            <w:pPr>
              <w:pStyle w:val="Tabletext"/>
            </w:pPr>
            <w:r w:rsidRPr="005E3B43">
              <w:t>IN3 application</w:t>
            </w:r>
          </w:p>
        </w:tc>
        <w:tc>
          <w:tcPr>
            <w:tcW w:w="1315" w:type="pct"/>
            <w:tcBorders>
              <w:bottom w:val="single" w:sz="2" w:space="0" w:color="auto"/>
            </w:tcBorders>
            <w:shd w:val="clear" w:color="auto" w:fill="auto"/>
          </w:tcPr>
          <w:p w14:paraId="0E5BAA12" w14:textId="77777777" w:rsidR="00DF1B3D" w:rsidRPr="005E3B43" w:rsidRDefault="00DF1B3D" w:rsidP="00763BCF">
            <w:pPr>
              <w:pStyle w:val="Tabletext"/>
            </w:pPr>
            <w:r w:rsidRPr="005E3B43">
              <w:t>Within 40 working days after the Secretary receives the application</w:t>
            </w:r>
          </w:p>
        </w:tc>
        <w:tc>
          <w:tcPr>
            <w:tcW w:w="2262" w:type="pct"/>
            <w:tcBorders>
              <w:bottom w:val="single" w:sz="2" w:space="0" w:color="auto"/>
            </w:tcBorders>
            <w:shd w:val="clear" w:color="auto" w:fill="auto"/>
          </w:tcPr>
          <w:p w14:paraId="6D981C66" w14:textId="77777777" w:rsidR="00DF1B3D" w:rsidRPr="005E3B43" w:rsidRDefault="00DF1B3D" w:rsidP="00763BCF">
            <w:pPr>
              <w:pStyle w:val="Tabletext"/>
            </w:pPr>
            <w:r w:rsidRPr="005E3B43">
              <w:t>The period of 150 working days beginning on the later of the following days:</w:t>
            </w:r>
          </w:p>
          <w:p w14:paraId="7F86672B" w14:textId="77777777" w:rsidR="00DF1B3D" w:rsidRPr="005E3B43" w:rsidRDefault="00DF1B3D" w:rsidP="00763BCF">
            <w:pPr>
              <w:pStyle w:val="Tablea"/>
            </w:pPr>
            <w:r w:rsidRPr="005E3B43">
              <w:t>(a) the day the Secretary notifies the applicant that the application has passed preliminary assessment;</w:t>
            </w:r>
          </w:p>
          <w:p w14:paraId="6230CF09" w14:textId="77777777" w:rsidR="00DF1B3D" w:rsidRPr="005E3B43" w:rsidRDefault="00DF1B3D" w:rsidP="00763BCF">
            <w:pPr>
              <w:pStyle w:val="Tablea"/>
            </w:pPr>
            <w:r w:rsidRPr="005E3B43">
              <w:t>(b) the day the evaluation fee is paid for the application</w:t>
            </w:r>
          </w:p>
        </w:tc>
      </w:tr>
      <w:tr w:rsidR="00DF1B3D" w:rsidRPr="005E3B43" w14:paraId="72039922" w14:textId="77777777" w:rsidTr="00DF1B3D">
        <w:trPr>
          <w:cantSplit/>
        </w:trPr>
        <w:tc>
          <w:tcPr>
            <w:tcW w:w="391" w:type="pct"/>
            <w:tcBorders>
              <w:top w:val="single" w:sz="2" w:space="0" w:color="auto"/>
              <w:bottom w:val="single" w:sz="12" w:space="0" w:color="auto"/>
            </w:tcBorders>
            <w:shd w:val="clear" w:color="auto" w:fill="auto"/>
          </w:tcPr>
          <w:p w14:paraId="1F0D7988" w14:textId="77777777" w:rsidR="00DF1B3D" w:rsidRPr="005E3B43" w:rsidRDefault="00DF1B3D" w:rsidP="00763BCF">
            <w:pPr>
              <w:pStyle w:val="Tabletext"/>
            </w:pPr>
            <w:r w:rsidRPr="005E3B43">
              <w:t>4</w:t>
            </w:r>
          </w:p>
        </w:tc>
        <w:tc>
          <w:tcPr>
            <w:tcW w:w="1032" w:type="pct"/>
            <w:tcBorders>
              <w:top w:val="single" w:sz="2" w:space="0" w:color="auto"/>
              <w:bottom w:val="single" w:sz="12" w:space="0" w:color="auto"/>
            </w:tcBorders>
            <w:shd w:val="clear" w:color="auto" w:fill="auto"/>
          </w:tcPr>
          <w:p w14:paraId="62FC284D" w14:textId="77777777" w:rsidR="00DF1B3D" w:rsidRPr="005E3B43" w:rsidRDefault="00DF1B3D" w:rsidP="00763BCF">
            <w:pPr>
              <w:pStyle w:val="Tabletext"/>
            </w:pPr>
            <w:r w:rsidRPr="005E3B43">
              <w:t>IN4 application</w:t>
            </w:r>
          </w:p>
        </w:tc>
        <w:tc>
          <w:tcPr>
            <w:tcW w:w="1315" w:type="pct"/>
            <w:tcBorders>
              <w:top w:val="single" w:sz="2" w:space="0" w:color="auto"/>
              <w:bottom w:val="single" w:sz="12" w:space="0" w:color="auto"/>
            </w:tcBorders>
            <w:shd w:val="clear" w:color="auto" w:fill="auto"/>
          </w:tcPr>
          <w:p w14:paraId="7EA30043" w14:textId="77777777" w:rsidR="00DF1B3D" w:rsidRPr="005E3B43" w:rsidRDefault="00DF1B3D" w:rsidP="00763BCF">
            <w:pPr>
              <w:pStyle w:val="Tabletext"/>
            </w:pPr>
            <w:r w:rsidRPr="005E3B43">
              <w:t>Within 40 working days after the Secretary receives the application</w:t>
            </w:r>
          </w:p>
        </w:tc>
        <w:tc>
          <w:tcPr>
            <w:tcW w:w="2262" w:type="pct"/>
            <w:tcBorders>
              <w:top w:val="single" w:sz="2" w:space="0" w:color="auto"/>
              <w:bottom w:val="single" w:sz="12" w:space="0" w:color="auto"/>
            </w:tcBorders>
            <w:shd w:val="clear" w:color="auto" w:fill="auto"/>
          </w:tcPr>
          <w:p w14:paraId="4E4E18EE" w14:textId="77777777" w:rsidR="00DF1B3D" w:rsidRPr="005E3B43" w:rsidRDefault="00DF1B3D" w:rsidP="00763BCF">
            <w:pPr>
              <w:pStyle w:val="Tabletext"/>
            </w:pPr>
            <w:r w:rsidRPr="005E3B43">
              <w:t>The period of 180 working days beginning on the later of the following days:</w:t>
            </w:r>
          </w:p>
          <w:p w14:paraId="251F2F6A" w14:textId="77777777" w:rsidR="00DF1B3D" w:rsidRPr="005E3B43" w:rsidRDefault="00DF1B3D" w:rsidP="00763BCF">
            <w:pPr>
              <w:pStyle w:val="Tablea"/>
            </w:pPr>
            <w:r w:rsidRPr="005E3B43">
              <w:t>(a) the day the Secretary notifies the applicant that the application has passed preliminary assessment;</w:t>
            </w:r>
          </w:p>
          <w:p w14:paraId="386ABDE4" w14:textId="77777777" w:rsidR="00DF1B3D" w:rsidRPr="005E3B43" w:rsidRDefault="00DF1B3D" w:rsidP="00763BCF">
            <w:pPr>
              <w:pStyle w:val="Tablea"/>
            </w:pPr>
            <w:r w:rsidRPr="005E3B43">
              <w:t>(b) the day the evaluation fee is paid for the application</w:t>
            </w:r>
          </w:p>
        </w:tc>
      </w:tr>
    </w:tbl>
    <w:p w14:paraId="0F16AE3B" w14:textId="77777777" w:rsidR="00DF1B3D" w:rsidRPr="005E3B43" w:rsidRDefault="00DF1B3D" w:rsidP="00763BCF">
      <w:pPr>
        <w:pStyle w:val="subsection"/>
      </w:pPr>
      <w:r w:rsidRPr="005E3B43">
        <w:tab/>
        <w:t>(1A)</w:t>
      </w:r>
      <w:r w:rsidRPr="005E3B43">
        <w:tab/>
        <w:t>If:</w:t>
      </w:r>
    </w:p>
    <w:p w14:paraId="7426D117" w14:textId="77777777" w:rsidR="00DF1B3D" w:rsidRPr="005E3B43" w:rsidRDefault="00DF1B3D" w:rsidP="00763BCF">
      <w:pPr>
        <w:pStyle w:val="paragraph"/>
      </w:pPr>
      <w:r w:rsidRPr="005E3B43">
        <w:tab/>
        <w:t>(a)</w:t>
      </w:r>
      <w:r w:rsidRPr="005E3B43">
        <w:tab/>
        <w:t xml:space="preserve">an application (the </w:t>
      </w:r>
      <w:r w:rsidRPr="005E3B43">
        <w:rPr>
          <w:b/>
          <w:i/>
        </w:rPr>
        <w:t>current application</w:t>
      </w:r>
      <w:r w:rsidRPr="005E3B43">
        <w:t>) is made under sub</w:t>
      </w:r>
      <w:r w:rsidR="00FB7FAA" w:rsidRPr="005E3B43">
        <w:t>section 2</w:t>
      </w:r>
      <w:r w:rsidRPr="005E3B43">
        <w:t>6BD(1) of the Act in relation to an ingredient; and</w:t>
      </w:r>
    </w:p>
    <w:p w14:paraId="10306063" w14:textId="77777777" w:rsidR="00DF1B3D" w:rsidRPr="005E3B43" w:rsidRDefault="00DF1B3D" w:rsidP="00763BCF">
      <w:pPr>
        <w:pStyle w:val="paragraph"/>
      </w:pPr>
      <w:r w:rsidRPr="005E3B43">
        <w:tab/>
        <w:t>(b)</w:t>
      </w:r>
      <w:r w:rsidRPr="005E3B43">
        <w:tab/>
        <w:t>the Secretary gives a notice under sub</w:t>
      </w:r>
      <w:r w:rsidR="00FB7FAA" w:rsidRPr="005E3B43">
        <w:t>section 2</w:t>
      </w:r>
      <w:r w:rsidRPr="005E3B43">
        <w:t>6BD(5) of the Act to the applicant stating that the current application has passed preliminary assessment; and</w:t>
      </w:r>
    </w:p>
    <w:p w14:paraId="2AEE615A" w14:textId="77777777" w:rsidR="00DF1B3D" w:rsidRPr="005E3B43" w:rsidRDefault="00DF1B3D" w:rsidP="00763BCF">
      <w:pPr>
        <w:pStyle w:val="paragraph"/>
      </w:pPr>
      <w:r w:rsidRPr="005E3B43">
        <w:tab/>
        <w:t>(c)</w:t>
      </w:r>
      <w:r w:rsidRPr="005E3B43">
        <w:tab/>
        <w:t>at the time the Secretary gives the notice, there is no determination in force under sub</w:t>
      </w:r>
      <w:r w:rsidR="00FB7FAA" w:rsidRPr="005E3B43">
        <w:t>section 2</w:t>
      </w:r>
      <w:r w:rsidRPr="005E3B43">
        <w:t>6BB(1) of the Act in relation to that ingredient; and</w:t>
      </w:r>
    </w:p>
    <w:p w14:paraId="161973B1" w14:textId="77777777" w:rsidR="00DF1B3D" w:rsidRPr="005E3B43" w:rsidRDefault="00DF1B3D" w:rsidP="00763BCF">
      <w:pPr>
        <w:pStyle w:val="paragraph"/>
      </w:pPr>
      <w:r w:rsidRPr="005E3B43">
        <w:tab/>
        <w:t>(d)</w:t>
      </w:r>
      <w:r w:rsidRPr="005E3B43">
        <w:tab/>
        <w:t xml:space="preserve">at the time the Secretary gives the notice, there are one or more other applications (each of which is a </w:t>
      </w:r>
      <w:r w:rsidRPr="005E3B43">
        <w:rPr>
          <w:b/>
          <w:i/>
        </w:rPr>
        <w:t>related application</w:t>
      </w:r>
      <w:r w:rsidRPr="005E3B43">
        <w:t>) that:</w:t>
      </w:r>
    </w:p>
    <w:p w14:paraId="69781767" w14:textId="77777777" w:rsidR="00DF1B3D" w:rsidRPr="005E3B43" w:rsidRDefault="00DF1B3D" w:rsidP="00763BCF">
      <w:pPr>
        <w:pStyle w:val="paragraphsub"/>
      </w:pPr>
      <w:r w:rsidRPr="005E3B43">
        <w:tab/>
        <w:t>(i)</w:t>
      </w:r>
      <w:r w:rsidRPr="005E3B43">
        <w:tab/>
        <w:t>have already been made under sub</w:t>
      </w:r>
      <w:r w:rsidR="00FB7FAA" w:rsidRPr="005E3B43">
        <w:t>section 2</w:t>
      </w:r>
      <w:r w:rsidRPr="005E3B43">
        <w:t>6BD(1) of the Act in relation to that ingredient; and</w:t>
      </w:r>
    </w:p>
    <w:p w14:paraId="3F26BCE9" w14:textId="77777777" w:rsidR="00DF1B3D" w:rsidRPr="005E3B43" w:rsidRDefault="00DF1B3D" w:rsidP="00763BCF">
      <w:pPr>
        <w:pStyle w:val="paragraphsub"/>
      </w:pPr>
      <w:r w:rsidRPr="005E3B43">
        <w:lastRenderedPageBreak/>
        <w:tab/>
        <w:t>(ii)</w:t>
      </w:r>
      <w:r w:rsidRPr="005E3B43">
        <w:tab/>
        <w:t>have already been the subject of notices given under sub</w:t>
      </w:r>
      <w:r w:rsidR="00FB7FAA" w:rsidRPr="005E3B43">
        <w:t>section 2</w:t>
      </w:r>
      <w:r w:rsidRPr="005E3B43">
        <w:t>6BD(5) of the Act; and</w:t>
      </w:r>
    </w:p>
    <w:p w14:paraId="4C29FF1A" w14:textId="77777777" w:rsidR="00DF1B3D" w:rsidRPr="005E3B43" w:rsidRDefault="00DF1B3D" w:rsidP="00763BCF">
      <w:pPr>
        <w:pStyle w:val="paragraphsub"/>
      </w:pPr>
      <w:r w:rsidRPr="005E3B43">
        <w:tab/>
        <w:t>(iii)</w:t>
      </w:r>
      <w:r w:rsidRPr="005E3B43">
        <w:tab/>
        <w:t>have not been finally determined;</w:t>
      </w:r>
    </w:p>
    <w:p w14:paraId="022C54BA" w14:textId="77777777" w:rsidR="00DF1B3D" w:rsidRPr="005E3B43" w:rsidRDefault="00DF1B3D" w:rsidP="00763BCF">
      <w:pPr>
        <w:pStyle w:val="subsection2"/>
      </w:pPr>
      <w:r w:rsidRPr="005E3B43">
        <w:t>then a decision on whether to make a recommendation on the current application must be made within the period of:</w:t>
      </w:r>
    </w:p>
    <w:p w14:paraId="79BB1399" w14:textId="77777777" w:rsidR="00DF1B3D" w:rsidRPr="005E3B43" w:rsidRDefault="00DF1B3D" w:rsidP="00763BCF">
      <w:pPr>
        <w:pStyle w:val="paragraph"/>
      </w:pPr>
      <w:r w:rsidRPr="005E3B43">
        <w:tab/>
        <w:t>(e)</w:t>
      </w:r>
      <w:r w:rsidRPr="005E3B43">
        <w:tab/>
        <w:t>if the current application is an IN1 application—70 working days beginning on the later of the start day and the day the evaluation fee is paid for the current application; or</w:t>
      </w:r>
    </w:p>
    <w:p w14:paraId="18EBBEFC" w14:textId="77777777" w:rsidR="00DF1B3D" w:rsidRPr="005E3B43" w:rsidRDefault="00DF1B3D" w:rsidP="00763BCF">
      <w:pPr>
        <w:pStyle w:val="paragraph"/>
      </w:pPr>
      <w:r w:rsidRPr="005E3B43">
        <w:tab/>
        <w:t>(f)</w:t>
      </w:r>
      <w:r w:rsidRPr="005E3B43">
        <w:tab/>
        <w:t>if the current application is an IN2 application—120 working days beginning on the later of the start day and the day the evaluation fee is paid for the current application; or</w:t>
      </w:r>
    </w:p>
    <w:p w14:paraId="270A9168" w14:textId="77777777" w:rsidR="00DF1B3D" w:rsidRPr="005E3B43" w:rsidRDefault="00DF1B3D" w:rsidP="00763BCF">
      <w:pPr>
        <w:pStyle w:val="paragraph"/>
      </w:pPr>
      <w:r w:rsidRPr="005E3B43">
        <w:tab/>
        <w:t>(g)</w:t>
      </w:r>
      <w:r w:rsidRPr="005E3B43">
        <w:tab/>
        <w:t>if the current application is an IN3 application—150 working days beginning on the later of the start day and the day the evaluation fee is paid for the current application; or</w:t>
      </w:r>
    </w:p>
    <w:p w14:paraId="5B78FDAC" w14:textId="77777777" w:rsidR="00DF1B3D" w:rsidRPr="005E3B43" w:rsidRDefault="00DF1B3D" w:rsidP="00763BCF">
      <w:pPr>
        <w:pStyle w:val="paragraph"/>
      </w:pPr>
      <w:r w:rsidRPr="005E3B43">
        <w:tab/>
        <w:t>(h)</w:t>
      </w:r>
      <w:r w:rsidRPr="005E3B43">
        <w:tab/>
        <w:t>if the current application is an IN4 application—180 working days beginning on the later of the start day and the day the evaluation fee is paid for the current application.</w:t>
      </w:r>
    </w:p>
    <w:p w14:paraId="4BA8A6D8" w14:textId="77777777" w:rsidR="00DF1B3D" w:rsidRPr="005E3B43" w:rsidRDefault="00DF1B3D" w:rsidP="00763BCF">
      <w:pPr>
        <w:pStyle w:val="subsection"/>
      </w:pPr>
      <w:r w:rsidRPr="005E3B43">
        <w:tab/>
        <w:t>(1B)</w:t>
      </w:r>
      <w:r w:rsidRPr="005E3B43">
        <w:tab/>
        <w:t xml:space="preserve">For the purposes of this regulation, the </w:t>
      </w:r>
      <w:r w:rsidRPr="005E3B43">
        <w:rPr>
          <w:b/>
          <w:i/>
        </w:rPr>
        <w:t xml:space="preserve">start day </w:t>
      </w:r>
      <w:r w:rsidRPr="005E3B43">
        <w:t>is:</w:t>
      </w:r>
    </w:p>
    <w:p w14:paraId="201593DF" w14:textId="77777777" w:rsidR="00DF1B3D" w:rsidRPr="005E3B43" w:rsidRDefault="00DF1B3D" w:rsidP="00763BCF">
      <w:pPr>
        <w:pStyle w:val="paragraph"/>
      </w:pPr>
      <w:r w:rsidRPr="005E3B43">
        <w:tab/>
        <w:t>(a)</w:t>
      </w:r>
      <w:r w:rsidRPr="005E3B43">
        <w:tab/>
        <w:t>the day after all the related applications have been finally determined, unless paragraph (b) applies; or</w:t>
      </w:r>
    </w:p>
    <w:p w14:paraId="76D69EF6" w14:textId="77777777" w:rsidR="00DF1B3D" w:rsidRPr="005E3B43" w:rsidRDefault="00DF1B3D" w:rsidP="00763BCF">
      <w:pPr>
        <w:pStyle w:val="paragraph"/>
      </w:pPr>
      <w:r w:rsidRPr="005E3B43">
        <w:tab/>
        <w:t>(b)</w:t>
      </w:r>
      <w:r w:rsidRPr="005E3B43">
        <w:tab/>
        <w:t>if a determination is made under sub</w:t>
      </w:r>
      <w:r w:rsidR="00FB7FAA" w:rsidRPr="005E3B43">
        <w:t>section 2</w:t>
      </w:r>
      <w:r w:rsidRPr="005E3B43">
        <w:t>6BB(1) of the Act in relation to the ingredient—the day on which that determination commences.</w:t>
      </w:r>
    </w:p>
    <w:p w14:paraId="229D321D" w14:textId="77777777" w:rsidR="00DF1B3D" w:rsidRPr="005E3B43" w:rsidRDefault="00DF1B3D" w:rsidP="00763BCF">
      <w:pPr>
        <w:pStyle w:val="subsection"/>
      </w:pPr>
      <w:r w:rsidRPr="005E3B43">
        <w:tab/>
        <w:t>(1C)</w:t>
      </w:r>
      <w:r w:rsidRPr="005E3B43">
        <w:tab/>
        <w:t xml:space="preserve">For the purposes of this regulation, an application is </w:t>
      </w:r>
      <w:r w:rsidRPr="005E3B43">
        <w:rPr>
          <w:b/>
          <w:i/>
        </w:rPr>
        <w:t>finally determined</w:t>
      </w:r>
      <w:r w:rsidRPr="005E3B43">
        <w:t xml:space="preserve"> when the application, and any applications for review or appeals arising out of it, have been finally determined or otherwise disposed of.</w:t>
      </w:r>
    </w:p>
    <w:p w14:paraId="039847FF" w14:textId="77777777" w:rsidR="00ED129D" w:rsidRPr="005E3B43" w:rsidRDefault="00ED129D" w:rsidP="00763BCF">
      <w:pPr>
        <w:pStyle w:val="subsection"/>
      </w:pPr>
      <w:r w:rsidRPr="005E3B43">
        <w:tab/>
        <w:t>(2)</w:t>
      </w:r>
      <w:r w:rsidRPr="005E3B43">
        <w:tab/>
      </w:r>
      <w:r w:rsidR="00DF1B3D" w:rsidRPr="005E3B43">
        <w:t>A failure to make a decision on whether to make a recommendation on an application within the period applicable under this regulation</w:t>
      </w:r>
      <w:r w:rsidRPr="005E3B43">
        <w:t xml:space="preserve"> does not make the Commonwealth, the Secretary or a delegate of the Secretary liable to a person for loss, damage or injury, of any kind, that is caused by or arises out of the failure.</w:t>
      </w:r>
    </w:p>
    <w:p w14:paraId="040EC3BA" w14:textId="77777777" w:rsidR="007C0D96" w:rsidRPr="005E3B43" w:rsidRDefault="007C0D96" w:rsidP="00763BCF">
      <w:pPr>
        <w:pStyle w:val="ActHead5"/>
      </w:pPr>
      <w:bookmarkStart w:id="109" w:name="_Toc187135703"/>
      <w:r w:rsidRPr="005E3B43">
        <w:rPr>
          <w:rStyle w:val="CharSectno"/>
        </w:rPr>
        <w:t>16GIA</w:t>
      </w:r>
      <w:r w:rsidRPr="005E3B43">
        <w:t xml:space="preserve">  Period for paying evaluation fee for application under sub</w:t>
      </w:r>
      <w:r w:rsidR="00FB7FAA" w:rsidRPr="005E3B43">
        <w:t>section 2</w:t>
      </w:r>
      <w:r w:rsidRPr="005E3B43">
        <w:t>6BD(1) of the Act</w:t>
      </w:r>
      <w:bookmarkEnd w:id="109"/>
    </w:p>
    <w:p w14:paraId="457771FD" w14:textId="77777777" w:rsidR="007C0D96" w:rsidRPr="005E3B43" w:rsidRDefault="007C0D96" w:rsidP="00763BCF">
      <w:pPr>
        <w:pStyle w:val="subsection"/>
      </w:pPr>
      <w:r w:rsidRPr="005E3B43">
        <w:tab/>
      </w:r>
      <w:r w:rsidRPr="005E3B43">
        <w:tab/>
        <w:t>For the purposes of paragraph 26BDA(c) of the Act, the period is the period of 2 months beginning on the day that the applicant is notified of the amount of the evaluation fee and of the requirement for that fee to be paid.</w:t>
      </w:r>
    </w:p>
    <w:p w14:paraId="125CD253" w14:textId="77777777" w:rsidR="00ED129D" w:rsidRPr="005E3B43" w:rsidRDefault="00ED129D" w:rsidP="00763BCF">
      <w:pPr>
        <w:pStyle w:val="ActHead5"/>
      </w:pPr>
      <w:bookmarkStart w:id="110" w:name="_Toc187135704"/>
      <w:r w:rsidRPr="005E3B43">
        <w:rPr>
          <w:rStyle w:val="CharSectno"/>
        </w:rPr>
        <w:t>16GJ</w:t>
      </w:r>
      <w:r w:rsidRPr="005E3B43">
        <w:t xml:space="preserve">  Determination of competent regulatory authority of a foreign country or foreign jurisdiction in relation to evaluation of applications</w:t>
      </w:r>
      <w:bookmarkEnd w:id="110"/>
    </w:p>
    <w:p w14:paraId="0DFD84B6" w14:textId="77777777" w:rsidR="00ED129D" w:rsidRPr="005E3B43" w:rsidRDefault="00ED129D" w:rsidP="00763BCF">
      <w:pPr>
        <w:pStyle w:val="subsection"/>
      </w:pPr>
      <w:r w:rsidRPr="005E3B43">
        <w:tab/>
      </w:r>
      <w:r w:rsidRPr="005E3B43">
        <w:tab/>
        <w:t>The Secretary may, in writing published on the Therapeutic Goods Administration website, determine a competent regulatory authority of a foreign country or a foreign jurisdiction in relation to the evaluation of the following medicine applications:</w:t>
      </w:r>
    </w:p>
    <w:p w14:paraId="51D8E354" w14:textId="77777777" w:rsidR="00ED129D" w:rsidRPr="005E3B43" w:rsidRDefault="00ED129D" w:rsidP="00763BCF">
      <w:pPr>
        <w:pStyle w:val="paragraph"/>
      </w:pPr>
      <w:r w:rsidRPr="005E3B43">
        <w:tab/>
        <w:t>(a)</w:t>
      </w:r>
      <w:r w:rsidRPr="005E3B43">
        <w:tab/>
        <w:t>an IN1 application;</w:t>
      </w:r>
    </w:p>
    <w:p w14:paraId="0895E39D" w14:textId="77777777" w:rsidR="00ED129D" w:rsidRPr="005E3B43" w:rsidRDefault="00ED129D" w:rsidP="00763BCF">
      <w:pPr>
        <w:pStyle w:val="paragraph"/>
      </w:pPr>
      <w:r w:rsidRPr="005E3B43">
        <w:lastRenderedPageBreak/>
        <w:tab/>
        <w:t>(b)</w:t>
      </w:r>
      <w:r w:rsidRPr="005E3B43">
        <w:tab/>
        <w:t>an IN2 application;</w:t>
      </w:r>
    </w:p>
    <w:p w14:paraId="7949A632" w14:textId="77777777" w:rsidR="00ED129D" w:rsidRPr="005E3B43" w:rsidRDefault="00ED129D" w:rsidP="00763BCF">
      <w:pPr>
        <w:pStyle w:val="paragraph"/>
      </w:pPr>
      <w:r w:rsidRPr="005E3B43">
        <w:tab/>
        <w:t>(c)</w:t>
      </w:r>
      <w:r w:rsidRPr="005E3B43">
        <w:tab/>
        <w:t>an IN3 application;</w:t>
      </w:r>
    </w:p>
    <w:p w14:paraId="1979B3CB" w14:textId="77777777" w:rsidR="00ED129D" w:rsidRPr="005E3B43" w:rsidRDefault="00ED129D" w:rsidP="00763BCF">
      <w:pPr>
        <w:pStyle w:val="paragraph"/>
      </w:pPr>
      <w:r w:rsidRPr="005E3B43">
        <w:tab/>
        <w:t>(d)</w:t>
      </w:r>
      <w:r w:rsidRPr="005E3B43">
        <w:tab/>
        <w:t>an L(A)2 application;</w:t>
      </w:r>
    </w:p>
    <w:p w14:paraId="6CF32E50" w14:textId="77777777" w:rsidR="00ED129D" w:rsidRPr="005E3B43" w:rsidRDefault="00ED129D" w:rsidP="00763BCF">
      <w:pPr>
        <w:pStyle w:val="paragraph"/>
      </w:pPr>
      <w:r w:rsidRPr="005E3B43">
        <w:tab/>
        <w:t>(e)</w:t>
      </w:r>
      <w:r w:rsidRPr="005E3B43">
        <w:tab/>
        <w:t>an RCM2 application;</w:t>
      </w:r>
    </w:p>
    <w:p w14:paraId="48449C69" w14:textId="77777777" w:rsidR="00ED129D" w:rsidRPr="005E3B43" w:rsidRDefault="00ED129D" w:rsidP="00763BCF">
      <w:pPr>
        <w:pStyle w:val="paragraph"/>
      </w:pPr>
      <w:r w:rsidRPr="005E3B43">
        <w:tab/>
        <w:t>(f)</w:t>
      </w:r>
      <w:r w:rsidRPr="005E3B43">
        <w:tab/>
        <w:t>an RCM3 application;</w:t>
      </w:r>
    </w:p>
    <w:p w14:paraId="0B3150F9" w14:textId="77777777" w:rsidR="00ED129D" w:rsidRPr="005E3B43" w:rsidRDefault="00ED129D" w:rsidP="00763BCF">
      <w:pPr>
        <w:pStyle w:val="paragraph"/>
      </w:pPr>
      <w:r w:rsidRPr="005E3B43">
        <w:tab/>
        <w:t>(g)</w:t>
      </w:r>
      <w:r w:rsidRPr="005E3B43">
        <w:tab/>
        <w:t>an RCM4 application.</w:t>
      </w:r>
    </w:p>
    <w:p w14:paraId="7DFC185A" w14:textId="77777777" w:rsidR="00D05FF5" w:rsidRPr="005E3B43" w:rsidRDefault="00BB758E" w:rsidP="00763BCF">
      <w:pPr>
        <w:pStyle w:val="ActHead2"/>
        <w:pageBreakBefore/>
      </w:pPr>
      <w:bookmarkStart w:id="111" w:name="_Toc187135705"/>
      <w:r w:rsidRPr="005E3B43">
        <w:rPr>
          <w:rStyle w:val="CharPartNo"/>
        </w:rPr>
        <w:lastRenderedPageBreak/>
        <w:t>Part 3</w:t>
      </w:r>
      <w:r w:rsidR="00D05FF5" w:rsidRPr="005E3B43">
        <w:rPr>
          <w:rStyle w:val="CharPartNo"/>
        </w:rPr>
        <w:t>B</w:t>
      </w:r>
      <w:r w:rsidR="00D05FF5" w:rsidRPr="005E3B43">
        <w:t>—</w:t>
      </w:r>
      <w:r w:rsidR="00D05FF5" w:rsidRPr="005E3B43">
        <w:rPr>
          <w:rStyle w:val="CharPartText"/>
        </w:rPr>
        <w:t>Designated orphan drugs</w:t>
      </w:r>
      <w:bookmarkEnd w:id="111"/>
    </w:p>
    <w:p w14:paraId="4B3F21DE" w14:textId="77777777" w:rsidR="00D05FF5" w:rsidRPr="005E3B43" w:rsidRDefault="00D05FF5" w:rsidP="00763BCF">
      <w:pPr>
        <w:pStyle w:val="Header"/>
      </w:pPr>
      <w:r w:rsidRPr="005E3B43">
        <w:rPr>
          <w:rStyle w:val="CharDivNo"/>
        </w:rPr>
        <w:t xml:space="preserve"> </w:t>
      </w:r>
      <w:r w:rsidRPr="005E3B43">
        <w:rPr>
          <w:rStyle w:val="CharDivText"/>
        </w:rPr>
        <w:t xml:space="preserve"> </w:t>
      </w:r>
    </w:p>
    <w:p w14:paraId="50030E26" w14:textId="77777777" w:rsidR="00D05FF5" w:rsidRPr="005E3B43" w:rsidRDefault="00D05FF5" w:rsidP="00763BCF">
      <w:pPr>
        <w:pStyle w:val="ActHead5"/>
      </w:pPr>
      <w:bookmarkStart w:id="112" w:name="_Toc187135706"/>
      <w:r w:rsidRPr="005E3B43">
        <w:rPr>
          <w:rStyle w:val="CharSectno"/>
        </w:rPr>
        <w:t>16H</w:t>
      </w:r>
      <w:r w:rsidRPr="005E3B43">
        <w:t xml:space="preserve">  Application to designate medicine as orphan drug</w:t>
      </w:r>
      <w:bookmarkEnd w:id="112"/>
    </w:p>
    <w:p w14:paraId="2042B31B" w14:textId="77777777" w:rsidR="00D05FF5" w:rsidRPr="005E3B43" w:rsidRDefault="00D05FF5" w:rsidP="00763BCF">
      <w:pPr>
        <w:pStyle w:val="subsection"/>
      </w:pPr>
      <w:r w:rsidRPr="005E3B43">
        <w:tab/>
        <w:t>(1)</w:t>
      </w:r>
      <w:r w:rsidRPr="005E3B43">
        <w:tab/>
        <w:t>The sponsor of a medicine may apply to the Secretary to designate, in writing, the medicine as an orphan drug.</w:t>
      </w:r>
    </w:p>
    <w:p w14:paraId="39DDCA7B" w14:textId="77777777" w:rsidR="00D05FF5" w:rsidRPr="005E3B43" w:rsidRDefault="00D05FF5" w:rsidP="00763BCF">
      <w:pPr>
        <w:pStyle w:val="subsection"/>
      </w:pPr>
      <w:r w:rsidRPr="005E3B43">
        <w:tab/>
        <w:t>(2)</w:t>
      </w:r>
      <w:r w:rsidRPr="005E3B43">
        <w:tab/>
        <w:t>An application under subregulation (1) must be in a form approved, in writing, by the Secretary.</w:t>
      </w:r>
    </w:p>
    <w:p w14:paraId="0CADA8F4" w14:textId="77777777" w:rsidR="00D05FF5" w:rsidRPr="005E3B43" w:rsidRDefault="00D05FF5" w:rsidP="00763BCF">
      <w:pPr>
        <w:pStyle w:val="ActHead5"/>
      </w:pPr>
      <w:bookmarkStart w:id="113" w:name="_Toc187135707"/>
      <w:r w:rsidRPr="005E3B43">
        <w:rPr>
          <w:rStyle w:val="CharSectno"/>
        </w:rPr>
        <w:t>16J</w:t>
      </w:r>
      <w:r w:rsidRPr="005E3B43">
        <w:t xml:space="preserve">  Designation of medicine as orphan drug</w:t>
      </w:r>
      <w:bookmarkEnd w:id="113"/>
    </w:p>
    <w:p w14:paraId="7D374B10" w14:textId="77777777" w:rsidR="00D05FF5" w:rsidRPr="005E3B43" w:rsidRDefault="00D05FF5" w:rsidP="00763BCF">
      <w:pPr>
        <w:pStyle w:val="subsection"/>
      </w:pPr>
      <w:r w:rsidRPr="005E3B43">
        <w:tab/>
        <w:t>(1)</w:t>
      </w:r>
      <w:r w:rsidRPr="005E3B43">
        <w:tab/>
        <w:t>On receiving an application under subregulation</w:t>
      </w:r>
      <w:r w:rsidR="004E6D00" w:rsidRPr="005E3B43">
        <w:t> </w:t>
      </w:r>
      <w:r w:rsidRPr="005E3B43">
        <w:t>16H(1) to designate a medicine as an orphan drug, the Secretary must:</w:t>
      </w:r>
    </w:p>
    <w:p w14:paraId="4D47AE61" w14:textId="77777777" w:rsidR="00D05FF5" w:rsidRPr="005E3B43" w:rsidRDefault="00D05FF5" w:rsidP="00763BCF">
      <w:pPr>
        <w:pStyle w:val="paragraph"/>
      </w:pPr>
      <w:r w:rsidRPr="005E3B43">
        <w:tab/>
        <w:t>(a)</w:t>
      </w:r>
      <w:r w:rsidRPr="005E3B43">
        <w:tab/>
        <w:t>consider the application; and</w:t>
      </w:r>
    </w:p>
    <w:p w14:paraId="51F9ABF5" w14:textId="77777777" w:rsidR="00D05FF5" w:rsidRPr="005E3B43" w:rsidRDefault="00D05FF5" w:rsidP="00763BCF">
      <w:pPr>
        <w:pStyle w:val="paragraph"/>
      </w:pPr>
      <w:r w:rsidRPr="005E3B43">
        <w:tab/>
        <w:t>(b)</w:t>
      </w:r>
      <w:r w:rsidRPr="005E3B43">
        <w:tab/>
        <w:t>decide either:</w:t>
      </w:r>
    </w:p>
    <w:p w14:paraId="7246C558" w14:textId="77777777" w:rsidR="00D05FF5" w:rsidRPr="005E3B43" w:rsidRDefault="00D05FF5" w:rsidP="00763BCF">
      <w:pPr>
        <w:pStyle w:val="paragraphsub"/>
      </w:pPr>
      <w:r w:rsidRPr="005E3B43">
        <w:tab/>
        <w:t>(i)</w:t>
      </w:r>
      <w:r w:rsidRPr="005E3B43">
        <w:tab/>
        <w:t>to designate the medicine as an orphan drug; or</w:t>
      </w:r>
    </w:p>
    <w:p w14:paraId="200DBE07" w14:textId="77777777" w:rsidR="00D05FF5" w:rsidRPr="005E3B43" w:rsidRDefault="00D05FF5" w:rsidP="00763BCF">
      <w:pPr>
        <w:pStyle w:val="paragraphsub"/>
      </w:pPr>
      <w:r w:rsidRPr="005E3B43">
        <w:tab/>
        <w:t>(ii)</w:t>
      </w:r>
      <w:r w:rsidRPr="005E3B43">
        <w:tab/>
        <w:t>to refuse to designate the medicine as an orphan drug.</w:t>
      </w:r>
    </w:p>
    <w:p w14:paraId="4A3FCC2A" w14:textId="77777777" w:rsidR="00D05FF5" w:rsidRPr="005E3B43" w:rsidRDefault="00D05FF5" w:rsidP="00763BCF">
      <w:pPr>
        <w:pStyle w:val="subsection"/>
      </w:pPr>
      <w:r w:rsidRPr="005E3B43">
        <w:tab/>
        <w:t>(2)</w:t>
      </w:r>
      <w:r w:rsidRPr="005E3B43">
        <w:tab/>
        <w:t>The Secretary may decide to designate the medicine as an orphan drug if the Secretary is satisfied, having regard to any matter that the Secretary considers relevant, that:</w:t>
      </w:r>
    </w:p>
    <w:p w14:paraId="0C8834E3" w14:textId="77777777" w:rsidR="00D05FF5" w:rsidRPr="005E3B43" w:rsidRDefault="00D05FF5" w:rsidP="00763BCF">
      <w:pPr>
        <w:pStyle w:val="paragraph"/>
      </w:pPr>
      <w:r w:rsidRPr="005E3B43">
        <w:tab/>
        <w:t>(a)</w:t>
      </w:r>
      <w:r w:rsidRPr="005E3B43">
        <w:tab/>
        <w:t>if the medicine is not a new dosage form medicine—all of the criteria specified in subregulation (3) are satisfied in relation to the medicine; or</w:t>
      </w:r>
    </w:p>
    <w:p w14:paraId="6061A2D5" w14:textId="77777777" w:rsidR="00D05FF5" w:rsidRPr="005E3B43" w:rsidRDefault="00D05FF5" w:rsidP="00763BCF">
      <w:pPr>
        <w:pStyle w:val="paragraph"/>
      </w:pPr>
      <w:r w:rsidRPr="005E3B43">
        <w:tab/>
        <w:t>(b)</w:t>
      </w:r>
      <w:r w:rsidRPr="005E3B43">
        <w:tab/>
        <w:t>if the medicine is a new dosage form medicine—all of the criteria specified in subregulation (4) are satisfied in relation to the medicine.</w:t>
      </w:r>
    </w:p>
    <w:p w14:paraId="1CB0B254" w14:textId="77777777" w:rsidR="00D05FF5" w:rsidRPr="005E3B43" w:rsidRDefault="00D05FF5" w:rsidP="00763BCF">
      <w:pPr>
        <w:pStyle w:val="SubsectionHead"/>
      </w:pPr>
      <w:r w:rsidRPr="005E3B43">
        <w:t>General criteria</w:t>
      </w:r>
    </w:p>
    <w:p w14:paraId="41B5F80A" w14:textId="77777777" w:rsidR="00D05FF5" w:rsidRPr="005E3B43" w:rsidRDefault="00D05FF5" w:rsidP="00763BCF">
      <w:pPr>
        <w:pStyle w:val="subsection"/>
      </w:pPr>
      <w:r w:rsidRPr="005E3B43">
        <w:tab/>
        <w:t>(3)</w:t>
      </w:r>
      <w:r w:rsidRPr="005E3B43">
        <w:tab/>
        <w:t>The following criteria are specified in relation to a medicine that is not a new dosage form medicine:</w:t>
      </w:r>
    </w:p>
    <w:p w14:paraId="7CF961F5" w14:textId="77777777" w:rsidR="00D05FF5" w:rsidRPr="005E3B43" w:rsidRDefault="00D05FF5" w:rsidP="00763BCF">
      <w:pPr>
        <w:pStyle w:val="paragraph"/>
      </w:pPr>
      <w:r w:rsidRPr="005E3B43">
        <w:tab/>
        <w:t>(a)</w:t>
      </w:r>
      <w:r w:rsidRPr="005E3B43">
        <w:tab/>
        <w:t>the application is for only one indication of the medicine;</w:t>
      </w:r>
    </w:p>
    <w:p w14:paraId="062FFB67" w14:textId="3ECA5C45" w:rsidR="00D05FF5" w:rsidRPr="005E3B43" w:rsidRDefault="00D05FF5" w:rsidP="00763BCF">
      <w:pPr>
        <w:pStyle w:val="paragraph"/>
      </w:pPr>
      <w:r w:rsidRPr="005E3B43">
        <w:tab/>
        <w:t>(b)</w:t>
      </w:r>
      <w:r w:rsidRPr="005E3B43">
        <w:tab/>
        <w:t>the indication is the treatment, prevention or diagnosis of a life</w:t>
      </w:r>
      <w:r w:rsidR="007C3215">
        <w:noBreakHyphen/>
      </w:r>
      <w:r w:rsidRPr="005E3B43">
        <w:t xml:space="preserve">threatening or seriously debilitating condition in a particular class of patients (the </w:t>
      </w:r>
      <w:r w:rsidRPr="005E3B43">
        <w:rPr>
          <w:b/>
          <w:i/>
        </w:rPr>
        <w:t>relevant patient class</w:t>
      </w:r>
      <w:r w:rsidRPr="005E3B43">
        <w:t>);</w:t>
      </w:r>
    </w:p>
    <w:p w14:paraId="79CC5A95" w14:textId="77777777" w:rsidR="00D05FF5" w:rsidRPr="005E3B43" w:rsidRDefault="00D05FF5" w:rsidP="00763BCF">
      <w:pPr>
        <w:pStyle w:val="paragraph"/>
      </w:pPr>
      <w:r w:rsidRPr="005E3B43">
        <w:tab/>
        <w:t>(c)</w:t>
      </w:r>
      <w:r w:rsidRPr="005E3B43">
        <w:tab/>
        <w:t>it is not medically plausible that the medicine could effectively treat, prevent or diagnose the condition in another class of patients that is not covered by the relevant patient class;</w:t>
      </w:r>
    </w:p>
    <w:p w14:paraId="2FBC00DD" w14:textId="77777777" w:rsidR="00D05FF5" w:rsidRPr="005E3B43" w:rsidRDefault="00D05FF5" w:rsidP="00763BCF">
      <w:pPr>
        <w:pStyle w:val="paragraph"/>
      </w:pPr>
      <w:r w:rsidRPr="005E3B43">
        <w:tab/>
        <w:t>(d)</w:t>
      </w:r>
      <w:r w:rsidRPr="005E3B43">
        <w:tab/>
        <w:t>at least one of the following applies:</w:t>
      </w:r>
    </w:p>
    <w:p w14:paraId="5A79E624" w14:textId="77777777" w:rsidR="00D05FF5" w:rsidRPr="005E3B43" w:rsidRDefault="00D05FF5" w:rsidP="00763BCF">
      <w:pPr>
        <w:pStyle w:val="paragraphsub"/>
      </w:pPr>
      <w:r w:rsidRPr="005E3B43">
        <w:tab/>
        <w:t>(i)</w:t>
      </w:r>
      <w:r w:rsidRPr="005E3B43">
        <w:tab/>
        <w:t>if the medicine is intended to treat the condition—the condition affects fewer than 5 in 10,000 individuals in Australia when the application is made;</w:t>
      </w:r>
    </w:p>
    <w:p w14:paraId="117ED457" w14:textId="77777777" w:rsidR="00D05FF5" w:rsidRPr="005E3B43" w:rsidRDefault="00D05FF5" w:rsidP="00763BCF">
      <w:pPr>
        <w:pStyle w:val="paragraphsub"/>
      </w:pPr>
      <w:r w:rsidRPr="005E3B43">
        <w:tab/>
        <w:t>(ii)</w:t>
      </w:r>
      <w:r w:rsidRPr="005E3B43">
        <w:tab/>
        <w:t>if the medicine is intended to prevent or diagnose the condition—the medicine, if it were included in the Register, would not be likely to be supplied to more than 5 in 10,000 individuals in Australia during each year that it is included in the Register;</w:t>
      </w:r>
    </w:p>
    <w:p w14:paraId="49A4B83D" w14:textId="77777777" w:rsidR="00D05FF5" w:rsidRPr="005E3B43" w:rsidRDefault="00D05FF5" w:rsidP="00763BCF">
      <w:pPr>
        <w:pStyle w:val="paragraphsub"/>
      </w:pPr>
      <w:r w:rsidRPr="005E3B43">
        <w:lastRenderedPageBreak/>
        <w:tab/>
        <w:t>(iii)</w:t>
      </w:r>
      <w:r w:rsidRPr="005E3B43">
        <w:tab/>
        <w:t>it is not likely to be financially viable for the sponsor to market the medicine in Australia unless each fee referred to in paragraph</w:t>
      </w:r>
      <w:r w:rsidR="004E6D00" w:rsidRPr="005E3B43">
        <w:t> </w:t>
      </w:r>
      <w:r w:rsidRPr="005E3B43">
        <w:t>45(12)(c) were waived in relation to the medicine;</w:t>
      </w:r>
    </w:p>
    <w:p w14:paraId="4F3CE390" w14:textId="77777777" w:rsidR="00D05FF5" w:rsidRPr="005E3B43" w:rsidRDefault="00D05FF5" w:rsidP="00763BCF">
      <w:pPr>
        <w:pStyle w:val="paragraph"/>
      </w:pPr>
      <w:r w:rsidRPr="005E3B43">
        <w:tab/>
        <w:t>(e)</w:t>
      </w:r>
      <w:r w:rsidRPr="005E3B43">
        <w:tab/>
        <w:t>none of the following has refused to approve the medicine for the treatment, prevention or diagnosis of the condition for a reason relating to the medicine’s safety:</w:t>
      </w:r>
    </w:p>
    <w:p w14:paraId="6DF2D843" w14:textId="77777777" w:rsidR="00D05FF5" w:rsidRPr="005E3B43" w:rsidRDefault="00D05FF5" w:rsidP="00763BCF">
      <w:pPr>
        <w:pStyle w:val="paragraphsub"/>
      </w:pPr>
      <w:r w:rsidRPr="005E3B43">
        <w:tab/>
        <w:t>(i)</w:t>
      </w:r>
      <w:r w:rsidRPr="005E3B43">
        <w:tab/>
        <w:t>the Secretary;</w:t>
      </w:r>
    </w:p>
    <w:p w14:paraId="185F7116" w14:textId="77777777" w:rsidR="00D05FF5" w:rsidRPr="005E3B43" w:rsidRDefault="00D05FF5" w:rsidP="00763BCF">
      <w:pPr>
        <w:pStyle w:val="paragraphsub"/>
      </w:pPr>
      <w:r w:rsidRPr="005E3B43">
        <w:tab/>
        <w:t>(ii)</w:t>
      </w:r>
      <w:r w:rsidRPr="005E3B43">
        <w:tab/>
        <w:t>the United States Food and Drug Administration;</w:t>
      </w:r>
    </w:p>
    <w:p w14:paraId="20821E74" w14:textId="77777777" w:rsidR="00D05FF5" w:rsidRPr="005E3B43" w:rsidRDefault="00D05FF5" w:rsidP="00763BCF">
      <w:pPr>
        <w:pStyle w:val="paragraphsub"/>
      </w:pPr>
      <w:r w:rsidRPr="005E3B43">
        <w:tab/>
        <w:t>(iii)</w:t>
      </w:r>
      <w:r w:rsidRPr="005E3B43">
        <w:tab/>
        <w:t>the European Medicines Agency;</w:t>
      </w:r>
    </w:p>
    <w:p w14:paraId="3AD70A3A" w14:textId="77777777" w:rsidR="00D05FF5" w:rsidRPr="005E3B43" w:rsidRDefault="00D05FF5" w:rsidP="00763BCF">
      <w:pPr>
        <w:pStyle w:val="paragraphsub"/>
      </w:pPr>
      <w:r w:rsidRPr="005E3B43">
        <w:tab/>
        <w:t>(iv)</w:t>
      </w:r>
      <w:r w:rsidRPr="005E3B43">
        <w:tab/>
        <w:t>Health Canada;</w:t>
      </w:r>
    </w:p>
    <w:p w14:paraId="66B034DA" w14:textId="77777777" w:rsidR="00D05FF5" w:rsidRPr="005E3B43" w:rsidRDefault="00D05FF5" w:rsidP="00763BCF">
      <w:pPr>
        <w:pStyle w:val="paragraphsub"/>
      </w:pPr>
      <w:r w:rsidRPr="005E3B43">
        <w:tab/>
        <w:t>(v)</w:t>
      </w:r>
      <w:r w:rsidRPr="005E3B43">
        <w:tab/>
        <w:t>the Medicines and Healthcare products Regulatory Agency of the United Kingdom;</w:t>
      </w:r>
    </w:p>
    <w:p w14:paraId="10E86A9C" w14:textId="77777777" w:rsidR="00D05FF5" w:rsidRPr="005E3B43" w:rsidRDefault="00D05FF5" w:rsidP="00763BCF">
      <w:pPr>
        <w:pStyle w:val="paragraph"/>
      </w:pPr>
      <w:r w:rsidRPr="005E3B43">
        <w:tab/>
        <w:t>(f)</w:t>
      </w:r>
      <w:r w:rsidRPr="005E3B43">
        <w:tab/>
        <w:t>either:</w:t>
      </w:r>
    </w:p>
    <w:p w14:paraId="3F4EAD3A" w14:textId="77777777" w:rsidR="00D05FF5" w:rsidRPr="005E3B43" w:rsidRDefault="00D05FF5" w:rsidP="00763BCF">
      <w:pPr>
        <w:pStyle w:val="paragraphsub"/>
      </w:pPr>
      <w:r w:rsidRPr="005E3B43">
        <w:tab/>
        <w:t>(i)</w:t>
      </w:r>
      <w:r w:rsidRPr="005E3B43">
        <w:tab/>
        <w:t>no therapeutic goods that are intended to treat, prevent or diagnose the condition are included in the Register</w:t>
      </w:r>
      <w:r w:rsidR="004E6B03" w:rsidRPr="005E3B43">
        <w:t xml:space="preserve"> (except in the part of the Register for goods known as provisionally registered goods)</w:t>
      </w:r>
      <w:r w:rsidRPr="005E3B43">
        <w:t>; or</w:t>
      </w:r>
    </w:p>
    <w:p w14:paraId="485859A5" w14:textId="77777777" w:rsidR="00D05FF5" w:rsidRPr="005E3B43" w:rsidRDefault="00D05FF5" w:rsidP="00763BCF">
      <w:pPr>
        <w:pStyle w:val="paragraphsub"/>
      </w:pPr>
      <w:r w:rsidRPr="005E3B43">
        <w:tab/>
        <w:t>(ii)</w:t>
      </w:r>
      <w:r w:rsidRPr="005E3B43">
        <w:tab/>
        <w:t>if one or more therapeutic goods that are intended to treat, prevent or diagnose the condition are included in the Register</w:t>
      </w:r>
      <w:r w:rsidR="004E6B03" w:rsidRPr="005E3B43">
        <w:t xml:space="preserve"> (except in the part of the Register for goods known as provisionally registered goods)</w:t>
      </w:r>
      <w:r w:rsidRPr="005E3B43">
        <w:t>—the medicine provides a significant benefit in relation to the efficacy or safety of the treatment, prevention or diagnosis of the condition, or a major contribution to patient care, compared to those goods.</w:t>
      </w:r>
    </w:p>
    <w:p w14:paraId="0073E50A" w14:textId="77777777" w:rsidR="00D05FF5" w:rsidRPr="005E3B43" w:rsidRDefault="00D05FF5" w:rsidP="00763BCF">
      <w:pPr>
        <w:pStyle w:val="SubsectionHead"/>
      </w:pPr>
      <w:r w:rsidRPr="005E3B43">
        <w:t>New dosage form medicines</w:t>
      </w:r>
    </w:p>
    <w:p w14:paraId="792658CB" w14:textId="77777777" w:rsidR="00D05FF5" w:rsidRPr="005E3B43" w:rsidRDefault="00D05FF5" w:rsidP="00763BCF">
      <w:pPr>
        <w:pStyle w:val="subsection"/>
      </w:pPr>
      <w:r w:rsidRPr="005E3B43">
        <w:tab/>
        <w:t>(4)</w:t>
      </w:r>
      <w:r w:rsidRPr="005E3B43">
        <w:tab/>
        <w:t>The following criteria are specified in relation to a new dosage form medicine:</w:t>
      </w:r>
    </w:p>
    <w:p w14:paraId="4F294B5F" w14:textId="77777777" w:rsidR="00D05FF5" w:rsidRPr="005E3B43" w:rsidRDefault="00D05FF5" w:rsidP="00763BCF">
      <w:pPr>
        <w:pStyle w:val="paragraph"/>
      </w:pPr>
      <w:r w:rsidRPr="005E3B43">
        <w:tab/>
        <w:t>(a)</w:t>
      </w:r>
      <w:r w:rsidRPr="005E3B43">
        <w:tab/>
        <w:t>the application is for only one indication of the medicine;</w:t>
      </w:r>
    </w:p>
    <w:p w14:paraId="7E3D68FA" w14:textId="375426F1" w:rsidR="00D05FF5" w:rsidRPr="005E3B43" w:rsidRDefault="00D05FF5" w:rsidP="00763BCF">
      <w:pPr>
        <w:pStyle w:val="paragraph"/>
      </w:pPr>
      <w:r w:rsidRPr="005E3B43">
        <w:tab/>
        <w:t>(b)</w:t>
      </w:r>
      <w:r w:rsidRPr="005E3B43">
        <w:tab/>
        <w:t>the indication is the treatment, prevention or diagnosis of a life</w:t>
      </w:r>
      <w:r w:rsidR="007C3215">
        <w:noBreakHyphen/>
      </w:r>
      <w:r w:rsidRPr="005E3B43">
        <w:t>threatening or seriously debilitating condition;</w:t>
      </w:r>
    </w:p>
    <w:p w14:paraId="14F14D7D" w14:textId="77777777" w:rsidR="00D05FF5" w:rsidRPr="005E3B43" w:rsidRDefault="00D05FF5" w:rsidP="00763BCF">
      <w:pPr>
        <w:pStyle w:val="paragraph"/>
      </w:pPr>
      <w:r w:rsidRPr="005E3B43">
        <w:tab/>
        <w:t>(c)</w:t>
      </w:r>
      <w:r w:rsidRPr="005E3B43">
        <w:tab/>
        <w:t>it is not likely to be financially viable for the sponsor to market the medicine in Australia unless each fee referred to in paragraph</w:t>
      </w:r>
      <w:r w:rsidR="004E6D00" w:rsidRPr="005E3B43">
        <w:t> </w:t>
      </w:r>
      <w:r w:rsidRPr="005E3B43">
        <w:t>45(12)(c) were waived in relation to the medicine;</w:t>
      </w:r>
    </w:p>
    <w:p w14:paraId="083661E5" w14:textId="77777777" w:rsidR="00D05FF5" w:rsidRPr="005E3B43" w:rsidRDefault="00D05FF5" w:rsidP="00763BCF">
      <w:pPr>
        <w:pStyle w:val="paragraph"/>
      </w:pPr>
      <w:r w:rsidRPr="005E3B43">
        <w:tab/>
        <w:t>(d)</w:t>
      </w:r>
      <w:r w:rsidRPr="005E3B43">
        <w:tab/>
        <w:t>none of the following has refused to approve the medicine for the treatment, prevention or diagnosis of the condition for a reason relating to the medicine’s safety:</w:t>
      </w:r>
    </w:p>
    <w:p w14:paraId="29564B7C" w14:textId="77777777" w:rsidR="00D05FF5" w:rsidRPr="005E3B43" w:rsidRDefault="00D05FF5" w:rsidP="00763BCF">
      <w:pPr>
        <w:pStyle w:val="paragraphsub"/>
      </w:pPr>
      <w:r w:rsidRPr="005E3B43">
        <w:tab/>
        <w:t>(i)</w:t>
      </w:r>
      <w:r w:rsidRPr="005E3B43">
        <w:tab/>
        <w:t>the Secretary;</w:t>
      </w:r>
    </w:p>
    <w:p w14:paraId="6E9A9DD9" w14:textId="77777777" w:rsidR="00D05FF5" w:rsidRPr="005E3B43" w:rsidRDefault="00D05FF5" w:rsidP="00763BCF">
      <w:pPr>
        <w:pStyle w:val="paragraphsub"/>
      </w:pPr>
      <w:r w:rsidRPr="005E3B43">
        <w:tab/>
        <w:t>(ii)</w:t>
      </w:r>
      <w:r w:rsidRPr="005E3B43">
        <w:tab/>
        <w:t>the United States Food and Drug Administration;</w:t>
      </w:r>
    </w:p>
    <w:p w14:paraId="3CA68AD0" w14:textId="77777777" w:rsidR="00D05FF5" w:rsidRPr="005E3B43" w:rsidRDefault="00D05FF5" w:rsidP="00763BCF">
      <w:pPr>
        <w:pStyle w:val="paragraphsub"/>
      </w:pPr>
      <w:r w:rsidRPr="005E3B43">
        <w:tab/>
        <w:t>(iii)</w:t>
      </w:r>
      <w:r w:rsidRPr="005E3B43">
        <w:tab/>
        <w:t>the European Medicines Agency;</w:t>
      </w:r>
    </w:p>
    <w:p w14:paraId="5C282680" w14:textId="77777777" w:rsidR="00D05FF5" w:rsidRPr="005E3B43" w:rsidRDefault="00D05FF5" w:rsidP="00763BCF">
      <w:pPr>
        <w:pStyle w:val="paragraphsub"/>
      </w:pPr>
      <w:r w:rsidRPr="005E3B43">
        <w:tab/>
        <w:t>(iv)</w:t>
      </w:r>
      <w:r w:rsidRPr="005E3B43">
        <w:tab/>
        <w:t>Health Canada;</w:t>
      </w:r>
    </w:p>
    <w:p w14:paraId="0B59EDA5" w14:textId="77777777" w:rsidR="00D05FF5" w:rsidRPr="005E3B43" w:rsidRDefault="00D05FF5" w:rsidP="00763BCF">
      <w:pPr>
        <w:pStyle w:val="paragraphsub"/>
      </w:pPr>
      <w:r w:rsidRPr="005E3B43">
        <w:tab/>
        <w:t>(v)</w:t>
      </w:r>
      <w:r w:rsidRPr="005E3B43">
        <w:tab/>
        <w:t>the Medicines and Healthcare products Regulatory Agency of the United Kingdom;</w:t>
      </w:r>
    </w:p>
    <w:p w14:paraId="13FE910F" w14:textId="77777777" w:rsidR="00D05FF5" w:rsidRPr="005E3B43" w:rsidRDefault="00D05FF5" w:rsidP="00763BCF">
      <w:pPr>
        <w:pStyle w:val="paragraph"/>
      </w:pPr>
      <w:r w:rsidRPr="005E3B43">
        <w:tab/>
        <w:t>(e)</w:t>
      </w:r>
      <w:r w:rsidRPr="005E3B43">
        <w:tab/>
        <w:t>either:</w:t>
      </w:r>
    </w:p>
    <w:p w14:paraId="280FB62E" w14:textId="77777777" w:rsidR="00D05FF5" w:rsidRPr="005E3B43" w:rsidRDefault="00D05FF5" w:rsidP="00763BCF">
      <w:pPr>
        <w:pStyle w:val="paragraphsub"/>
      </w:pPr>
      <w:r w:rsidRPr="005E3B43">
        <w:tab/>
        <w:t>(i)</w:t>
      </w:r>
      <w:r w:rsidRPr="005E3B43">
        <w:tab/>
        <w:t>no therapeutic goods that are intended to treat, prevent or diagnose the condition are included in the Register</w:t>
      </w:r>
      <w:r w:rsidR="00484604" w:rsidRPr="005E3B43">
        <w:t xml:space="preserve"> (except in the part of the Register for goods known as provisionally registered goods)</w:t>
      </w:r>
      <w:r w:rsidRPr="005E3B43">
        <w:t>; or</w:t>
      </w:r>
    </w:p>
    <w:p w14:paraId="7DCCD25B" w14:textId="77777777" w:rsidR="00D05FF5" w:rsidRPr="005E3B43" w:rsidRDefault="00D05FF5" w:rsidP="00763BCF">
      <w:pPr>
        <w:pStyle w:val="paragraphsub"/>
      </w:pPr>
      <w:r w:rsidRPr="005E3B43">
        <w:lastRenderedPageBreak/>
        <w:tab/>
        <w:t>(ii)</w:t>
      </w:r>
      <w:r w:rsidRPr="005E3B43">
        <w:tab/>
        <w:t>if one or more therapeutic goods that are intended to treat, prevent or diagnose the condition are included in the Register</w:t>
      </w:r>
      <w:r w:rsidR="00484604" w:rsidRPr="005E3B43">
        <w:t xml:space="preserve"> (except in the part of the Register for goods known as provisionally registered goods)</w:t>
      </w:r>
      <w:r w:rsidRPr="005E3B43">
        <w:t>—the medicine provides a significant benefit in relation to the efficacy or safety of the treatment, prevention or diagnosis of the condition, or a major contribution to patient care, compared to those goods.</w:t>
      </w:r>
    </w:p>
    <w:p w14:paraId="35AEF07C" w14:textId="77777777" w:rsidR="00D05FF5" w:rsidRPr="005E3B43" w:rsidRDefault="00D05FF5" w:rsidP="00763BCF">
      <w:pPr>
        <w:pStyle w:val="SubsectionHead"/>
      </w:pPr>
      <w:r w:rsidRPr="005E3B43">
        <w:t>Publication of decision</w:t>
      </w:r>
    </w:p>
    <w:p w14:paraId="134C8F9B" w14:textId="77777777" w:rsidR="00D05FF5" w:rsidRPr="005E3B43" w:rsidRDefault="00D05FF5" w:rsidP="00763BCF">
      <w:pPr>
        <w:pStyle w:val="subsection"/>
      </w:pPr>
      <w:r w:rsidRPr="005E3B43">
        <w:tab/>
        <w:t>(5)</w:t>
      </w:r>
      <w:r w:rsidRPr="005E3B43">
        <w:tab/>
        <w:t>If the Secretary decides to designate the medicine as an orphan drug, the Secretary must, as soon as practicable after making the decision, publish a notice on the Department’s website stating the following:</w:t>
      </w:r>
    </w:p>
    <w:p w14:paraId="7B2DD684" w14:textId="77777777" w:rsidR="00D05FF5" w:rsidRPr="005E3B43" w:rsidRDefault="00D05FF5" w:rsidP="00763BCF">
      <w:pPr>
        <w:pStyle w:val="paragraph"/>
      </w:pPr>
      <w:r w:rsidRPr="005E3B43">
        <w:tab/>
        <w:t>(a)</w:t>
      </w:r>
      <w:r w:rsidRPr="005E3B43">
        <w:tab/>
        <w:t>the name of the sponsor of the medicine;</w:t>
      </w:r>
    </w:p>
    <w:p w14:paraId="288B8269" w14:textId="77777777" w:rsidR="00D05FF5" w:rsidRPr="005E3B43" w:rsidRDefault="00D05FF5" w:rsidP="00763BCF">
      <w:pPr>
        <w:pStyle w:val="paragraph"/>
      </w:pPr>
      <w:r w:rsidRPr="005E3B43">
        <w:tab/>
        <w:t>(b)</w:t>
      </w:r>
      <w:r w:rsidRPr="005E3B43">
        <w:tab/>
        <w:t xml:space="preserve">the indication referred to in </w:t>
      </w:r>
      <w:r w:rsidR="004E6D00" w:rsidRPr="005E3B43">
        <w:t>paragraph (</w:t>
      </w:r>
      <w:r w:rsidRPr="005E3B43">
        <w:t>3)(a) or (4)(a);</w:t>
      </w:r>
    </w:p>
    <w:p w14:paraId="0B16C4BF" w14:textId="77777777" w:rsidR="00D05FF5" w:rsidRPr="005E3B43" w:rsidRDefault="00D05FF5" w:rsidP="00763BCF">
      <w:pPr>
        <w:pStyle w:val="paragraph"/>
      </w:pPr>
      <w:r w:rsidRPr="005E3B43">
        <w:tab/>
        <w:t>(c)</w:t>
      </w:r>
      <w:r w:rsidRPr="005E3B43">
        <w:tab/>
        <w:t>the dosage form of the medicine;</w:t>
      </w:r>
    </w:p>
    <w:p w14:paraId="03869B9F" w14:textId="77777777" w:rsidR="00D05FF5" w:rsidRPr="005E3B43" w:rsidRDefault="00D05FF5" w:rsidP="00763BCF">
      <w:pPr>
        <w:pStyle w:val="paragraph"/>
      </w:pPr>
      <w:r w:rsidRPr="005E3B43">
        <w:tab/>
        <w:t>(d)</w:t>
      </w:r>
      <w:r w:rsidRPr="005E3B43">
        <w:tab/>
        <w:t>that the medicine is a designated orphan drug.</w:t>
      </w:r>
    </w:p>
    <w:p w14:paraId="5E0CDA22" w14:textId="77777777" w:rsidR="00D05FF5" w:rsidRPr="005E3B43" w:rsidRDefault="00D05FF5" w:rsidP="00763BCF">
      <w:pPr>
        <w:pStyle w:val="SubsectionHead"/>
      </w:pPr>
      <w:r w:rsidRPr="005E3B43">
        <w:t>Notification of decision</w:t>
      </w:r>
    </w:p>
    <w:p w14:paraId="2E192D1C" w14:textId="77777777" w:rsidR="00D05FF5" w:rsidRPr="005E3B43" w:rsidRDefault="00D05FF5" w:rsidP="00763BCF">
      <w:pPr>
        <w:pStyle w:val="subsection"/>
      </w:pPr>
      <w:r w:rsidRPr="005E3B43">
        <w:tab/>
        <w:t>(6)</w:t>
      </w:r>
      <w:r w:rsidRPr="005E3B43">
        <w:tab/>
        <w:t>As soon as practicable after making the decision, the Secretary must notify the applicant, in writing, of the decision.</w:t>
      </w:r>
    </w:p>
    <w:p w14:paraId="16E44E16" w14:textId="77777777" w:rsidR="00D05FF5" w:rsidRPr="005E3B43" w:rsidRDefault="00D05FF5" w:rsidP="00763BCF">
      <w:pPr>
        <w:pStyle w:val="subsection"/>
      </w:pPr>
      <w:r w:rsidRPr="005E3B43">
        <w:tab/>
        <w:t>(7)</w:t>
      </w:r>
      <w:r w:rsidRPr="005E3B43">
        <w:tab/>
        <w:t>If the Secretary decides to refuse to make the designation, the notification must include the reasons for the decision.</w:t>
      </w:r>
    </w:p>
    <w:p w14:paraId="4F945D56" w14:textId="77777777" w:rsidR="00D05FF5" w:rsidRPr="005E3B43" w:rsidRDefault="00D05FF5" w:rsidP="00763BCF">
      <w:pPr>
        <w:pStyle w:val="ActHead5"/>
      </w:pPr>
      <w:bookmarkStart w:id="114" w:name="_Toc187135708"/>
      <w:r w:rsidRPr="005E3B43">
        <w:rPr>
          <w:rStyle w:val="CharSectno"/>
        </w:rPr>
        <w:t>16K</w:t>
      </w:r>
      <w:r w:rsidRPr="005E3B43">
        <w:t xml:space="preserve">  Period during which designation is in force</w:t>
      </w:r>
      <w:bookmarkEnd w:id="114"/>
    </w:p>
    <w:p w14:paraId="09CD80B1" w14:textId="77777777" w:rsidR="00D05FF5" w:rsidRPr="005E3B43" w:rsidRDefault="00D05FF5" w:rsidP="00763BCF">
      <w:pPr>
        <w:pStyle w:val="subsection"/>
      </w:pPr>
      <w:r w:rsidRPr="005E3B43">
        <w:tab/>
        <w:t>(1)</w:t>
      </w:r>
      <w:r w:rsidRPr="005E3B43">
        <w:tab/>
        <w:t>A designation under regulation</w:t>
      </w:r>
      <w:r w:rsidR="004E6D00" w:rsidRPr="005E3B43">
        <w:t> </w:t>
      </w:r>
      <w:r w:rsidRPr="005E3B43">
        <w:t>16J of a medicine as an orphan drug:</w:t>
      </w:r>
    </w:p>
    <w:p w14:paraId="2BCEAE9D" w14:textId="77777777" w:rsidR="00D05FF5" w:rsidRPr="005E3B43" w:rsidRDefault="00D05FF5" w:rsidP="00763BCF">
      <w:pPr>
        <w:pStyle w:val="paragraph"/>
      </w:pPr>
      <w:r w:rsidRPr="005E3B43">
        <w:tab/>
        <w:t>(a)</w:t>
      </w:r>
      <w:r w:rsidRPr="005E3B43">
        <w:tab/>
        <w:t>comes into force when it is made; and</w:t>
      </w:r>
    </w:p>
    <w:p w14:paraId="330D8C3C" w14:textId="77777777" w:rsidR="00D05FF5" w:rsidRPr="005E3B43" w:rsidRDefault="00D05FF5" w:rsidP="00763BCF">
      <w:pPr>
        <w:pStyle w:val="paragraph"/>
      </w:pPr>
      <w:r w:rsidRPr="005E3B43">
        <w:tab/>
        <w:t>(b)</w:t>
      </w:r>
      <w:r w:rsidRPr="005E3B43">
        <w:tab/>
        <w:t>remains in force for a period of 6 months.</w:t>
      </w:r>
    </w:p>
    <w:p w14:paraId="29C9B36A" w14:textId="77777777" w:rsidR="00D05FF5" w:rsidRPr="005E3B43" w:rsidRDefault="00D05FF5" w:rsidP="00763BCF">
      <w:pPr>
        <w:pStyle w:val="subsection"/>
      </w:pPr>
      <w:r w:rsidRPr="005E3B43">
        <w:tab/>
        <w:t>(2)</w:t>
      </w:r>
      <w:r w:rsidRPr="005E3B43">
        <w:tab/>
        <w:t>Subregulation (1) has effect subject to regulations</w:t>
      </w:r>
      <w:r w:rsidR="004E6D00" w:rsidRPr="005E3B43">
        <w:t> </w:t>
      </w:r>
      <w:r w:rsidRPr="005E3B43">
        <w:t>16L and 16M.</w:t>
      </w:r>
    </w:p>
    <w:p w14:paraId="39F4A646" w14:textId="77777777" w:rsidR="00D05FF5" w:rsidRPr="005E3B43" w:rsidRDefault="00D05FF5" w:rsidP="00763BCF">
      <w:pPr>
        <w:pStyle w:val="ActHead5"/>
      </w:pPr>
      <w:bookmarkStart w:id="115" w:name="_Toc187135709"/>
      <w:r w:rsidRPr="005E3B43">
        <w:rPr>
          <w:rStyle w:val="CharSectno"/>
        </w:rPr>
        <w:t>16L</w:t>
      </w:r>
      <w:r w:rsidRPr="005E3B43">
        <w:t xml:space="preserve">  Extension of designation</w:t>
      </w:r>
      <w:bookmarkEnd w:id="115"/>
    </w:p>
    <w:p w14:paraId="799BB12E" w14:textId="77777777" w:rsidR="00D05FF5" w:rsidRPr="005E3B43" w:rsidRDefault="00D05FF5" w:rsidP="00763BCF">
      <w:pPr>
        <w:pStyle w:val="subsection"/>
      </w:pPr>
      <w:r w:rsidRPr="005E3B43">
        <w:tab/>
        <w:t>(1)</w:t>
      </w:r>
      <w:r w:rsidRPr="005E3B43">
        <w:tab/>
        <w:t>If a designation under regulation</w:t>
      </w:r>
      <w:r w:rsidR="004E6D00" w:rsidRPr="005E3B43">
        <w:t> </w:t>
      </w:r>
      <w:r w:rsidRPr="005E3B43">
        <w:t>16J of a medicine as an orphan drug is in force, the sponsor of the medicine may apply to the Secretary to extend the designation for a further 6 months.</w:t>
      </w:r>
    </w:p>
    <w:p w14:paraId="64E9252C" w14:textId="77777777" w:rsidR="00D05FF5" w:rsidRPr="005E3B43" w:rsidRDefault="00D05FF5" w:rsidP="00763BCF">
      <w:pPr>
        <w:pStyle w:val="subsection"/>
      </w:pPr>
      <w:r w:rsidRPr="005E3B43">
        <w:tab/>
        <w:t>(2)</w:t>
      </w:r>
      <w:r w:rsidRPr="005E3B43">
        <w:tab/>
        <w:t>An application under subregulation (1) to extend a designation must:</w:t>
      </w:r>
    </w:p>
    <w:p w14:paraId="5F4405BD" w14:textId="77777777" w:rsidR="00D05FF5" w:rsidRPr="005E3B43" w:rsidRDefault="00D05FF5" w:rsidP="00763BCF">
      <w:pPr>
        <w:pStyle w:val="paragraph"/>
      </w:pPr>
      <w:r w:rsidRPr="005E3B43">
        <w:tab/>
        <w:t>(a)</w:t>
      </w:r>
      <w:r w:rsidRPr="005E3B43">
        <w:tab/>
        <w:t>be in a form approved, in writing, by the Secretary; and</w:t>
      </w:r>
    </w:p>
    <w:p w14:paraId="4F9D0E0F" w14:textId="77777777" w:rsidR="00D05FF5" w:rsidRPr="005E3B43" w:rsidRDefault="00D05FF5" w:rsidP="00763BCF">
      <w:pPr>
        <w:pStyle w:val="paragraph"/>
      </w:pPr>
      <w:r w:rsidRPr="005E3B43">
        <w:tab/>
        <w:t>(b)</w:t>
      </w:r>
      <w:r w:rsidRPr="005E3B43">
        <w:tab/>
        <w:t>be made at least 28 days before the designation would cease to be in force.</w:t>
      </w:r>
    </w:p>
    <w:p w14:paraId="57312C97" w14:textId="77777777" w:rsidR="00D05FF5" w:rsidRPr="005E3B43" w:rsidRDefault="00D05FF5" w:rsidP="00763BCF">
      <w:pPr>
        <w:pStyle w:val="subsection"/>
      </w:pPr>
      <w:r w:rsidRPr="005E3B43">
        <w:tab/>
        <w:t>(3)</w:t>
      </w:r>
      <w:r w:rsidRPr="005E3B43">
        <w:tab/>
        <w:t>On receiving an application under subregulation (1) to extend a designation, the Secretary must decide either:</w:t>
      </w:r>
    </w:p>
    <w:p w14:paraId="14888037" w14:textId="77777777" w:rsidR="00D05FF5" w:rsidRPr="005E3B43" w:rsidRDefault="00D05FF5" w:rsidP="00763BCF">
      <w:pPr>
        <w:pStyle w:val="paragraph"/>
      </w:pPr>
      <w:r w:rsidRPr="005E3B43">
        <w:tab/>
        <w:t>(a)</w:t>
      </w:r>
      <w:r w:rsidRPr="005E3B43">
        <w:tab/>
        <w:t>to extend the designation; or</w:t>
      </w:r>
    </w:p>
    <w:p w14:paraId="53AB6BE9" w14:textId="77777777" w:rsidR="00D05FF5" w:rsidRPr="005E3B43" w:rsidRDefault="00D05FF5" w:rsidP="00763BCF">
      <w:pPr>
        <w:pStyle w:val="paragraph"/>
      </w:pPr>
      <w:r w:rsidRPr="005E3B43">
        <w:tab/>
        <w:t>(b)</w:t>
      </w:r>
      <w:r w:rsidRPr="005E3B43">
        <w:tab/>
        <w:t>to refuse to extend the designation.</w:t>
      </w:r>
    </w:p>
    <w:p w14:paraId="7257B0BE" w14:textId="77777777" w:rsidR="00D05FF5" w:rsidRPr="005E3B43" w:rsidRDefault="00D05FF5" w:rsidP="00763BCF">
      <w:pPr>
        <w:pStyle w:val="subsection"/>
      </w:pPr>
      <w:r w:rsidRPr="005E3B43">
        <w:tab/>
        <w:t>(4)</w:t>
      </w:r>
      <w:r w:rsidRPr="005E3B43">
        <w:tab/>
        <w:t>The Secretary may extend the designation if:</w:t>
      </w:r>
    </w:p>
    <w:p w14:paraId="292466D4" w14:textId="77777777" w:rsidR="00D05FF5" w:rsidRPr="005E3B43" w:rsidRDefault="00D05FF5" w:rsidP="00763BCF">
      <w:pPr>
        <w:pStyle w:val="paragraph"/>
      </w:pPr>
      <w:r w:rsidRPr="005E3B43">
        <w:lastRenderedPageBreak/>
        <w:tab/>
        <w:t>(a)</w:t>
      </w:r>
      <w:r w:rsidRPr="005E3B43">
        <w:tab/>
        <w:t>the Secretary has not previously extended the designation; and</w:t>
      </w:r>
    </w:p>
    <w:p w14:paraId="7489ABF4" w14:textId="77777777" w:rsidR="00D05FF5" w:rsidRPr="005E3B43" w:rsidRDefault="00D05FF5" w:rsidP="00763BCF">
      <w:pPr>
        <w:pStyle w:val="paragraph"/>
      </w:pPr>
      <w:r w:rsidRPr="005E3B43">
        <w:tab/>
        <w:t>(b)</w:t>
      </w:r>
      <w:r w:rsidRPr="005E3B43">
        <w:tab/>
        <w:t>the Secretary is satisfied that:</w:t>
      </w:r>
    </w:p>
    <w:p w14:paraId="6096A0C8" w14:textId="77777777" w:rsidR="00D05FF5" w:rsidRPr="005E3B43" w:rsidRDefault="00D05FF5" w:rsidP="00763BCF">
      <w:pPr>
        <w:pStyle w:val="paragraphsub"/>
      </w:pPr>
      <w:r w:rsidRPr="005E3B43">
        <w:tab/>
        <w:t>(i)</w:t>
      </w:r>
      <w:r w:rsidRPr="005E3B43">
        <w:tab/>
        <w:t>if the medicine is not a new dosage form medicine—the criteria specified in paragraphs 16J(3)(e) and (f) are satisfied in relation to the medicine; or</w:t>
      </w:r>
    </w:p>
    <w:p w14:paraId="0DA2FD4A" w14:textId="77777777" w:rsidR="00D05FF5" w:rsidRPr="005E3B43" w:rsidRDefault="00D05FF5" w:rsidP="00763BCF">
      <w:pPr>
        <w:pStyle w:val="paragraphsub"/>
      </w:pPr>
      <w:r w:rsidRPr="005E3B43">
        <w:tab/>
        <w:t>(ii)</w:t>
      </w:r>
      <w:r w:rsidRPr="005E3B43">
        <w:tab/>
        <w:t>if the medicine is a new dosage form medicine—the criteria specified in paragraphs 16J(4)(d) and (e) are satisfied in relation to the medicine; and</w:t>
      </w:r>
    </w:p>
    <w:p w14:paraId="40DBB130" w14:textId="77777777" w:rsidR="00D05FF5" w:rsidRPr="005E3B43" w:rsidRDefault="00D05FF5" w:rsidP="00763BCF">
      <w:pPr>
        <w:pStyle w:val="paragraph"/>
      </w:pPr>
      <w:r w:rsidRPr="005E3B43">
        <w:tab/>
        <w:t>(c)</w:t>
      </w:r>
      <w:r w:rsidRPr="005E3B43">
        <w:tab/>
        <w:t xml:space="preserve">the Secretary is satisfied that, if the Secretary were to extend the designation, the sponsor would make an application in relation to the medicine under </w:t>
      </w:r>
      <w:r w:rsidR="00FB7FAA" w:rsidRPr="005E3B43">
        <w:t>section 2</w:t>
      </w:r>
      <w:r w:rsidRPr="005E3B43">
        <w:t>3 of the Act before the end of the extended designation.</w:t>
      </w:r>
    </w:p>
    <w:p w14:paraId="472945D8" w14:textId="77777777" w:rsidR="00D05FF5" w:rsidRPr="005E3B43" w:rsidRDefault="00D05FF5" w:rsidP="00763BCF">
      <w:pPr>
        <w:pStyle w:val="SubsectionHead"/>
      </w:pPr>
      <w:r w:rsidRPr="005E3B43">
        <w:t>Notification of decision</w:t>
      </w:r>
    </w:p>
    <w:p w14:paraId="15694D48" w14:textId="77777777" w:rsidR="00D05FF5" w:rsidRPr="005E3B43" w:rsidRDefault="00D05FF5" w:rsidP="00763BCF">
      <w:pPr>
        <w:pStyle w:val="subsection"/>
      </w:pPr>
      <w:r w:rsidRPr="005E3B43">
        <w:tab/>
        <w:t>(5)</w:t>
      </w:r>
      <w:r w:rsidRPr="005E3B43">
        <w:tab/>
        <w:t>As soon as practicable after making the decision, the Secretary must notify the applicant, in writing, of the decision.</w:t>
      </w:r>
    </w:p>
    <w:p w14:paraId="03C68685" w14:textId="77777777" w:rsidR="00D05FF5" w:rsidRPr="005E3B43" w:rsidRDefault="00D05FF5" w:rsidP="00763BCF">
      <w:pPr>
        <w:pStyle w:val="subsection"/>
      </w:pPr>
      <w:r w:rsidRPr="005E3B43">
        <w:tab/>
        <w:t>(6)</w:t>
      </w:r>
      <w:r w:rsidRPr="005E3B43">
        <w:tab/>
        <w:t>If the Secretary decides to refuse to extend the designation, the notification must include the reasons for the decision.</w:t>
      </w:r>
    </w:p>
    <w:p w14:paraId="72235B1B" w14:textId="77777777" w:rsidR="00D05FF5" w:rsidRPr="005E3B43" w:rsidRDefault="00D05FF5" w:rsidP="00763BCF">
      <w:pPr>
        <w:pStyle w:val="ActHead5"/>
      </w:pPr>
      <w:bookmarkStart w:id="116" w:name="_Toc187135710"/>
      <w:r w:rsidRPr="005E3B43">
        <w:rPr>
          <w:rStyle w:val="CharSectno"/>
        </w:rPr>
        <w:t>16M</w:t>
      </w:r>
      <w:r w:rsidRPr="005E3B43">
        <w:t xml:space="preserve">  Revocation of designation</w:t>
      </w:r>
      <w:bookmarkEnd w:id="116"/>
    </w:p>
    <w:p w14:paraId="516AFCE4" w14:textId="77777777" w:rsidR="00D05FF5" w:rsidRPr="005E3B43" w:rsidRDefault="00D05FF5" w:rsidP="00763BCF">
      <w:pPr>
        <w:pStyle w:val="subsection"/>
      </w:pPr>
      <w:r w:rsidRPr="005E3B43">
        <w:tab/>
        <w:t>(1)</w:t>
      </w:r>
      <w:r w:rsidRPr="005E3B43">
        <w:tab/>
        <w:t>The Secretary may, by written notice given to the sponsor of a designated orphan drug, revoke the designation:</w:t>
      </w:r>
    </w:p>
    <w:p w14:paraId="107487D4" w14:textId="77777777" w:rsidR="00D05FF5" w:rsidRPr="005E3B43" w:rsidRDefault="00D05FF5" w:rsidP="00763BCF">
      <w:pPr>
        <w:pStyle w:val="paragraph"/>
      </w:pPr>
      <w:r w:rsidRPr="005E3B43">
        <w:tab/>
        <w:t>(a)</w:t>
      </w:r>
      <w:r w:rsidRPr="005E3B43">
        <w:tab/>
        <w:t>on application by the sponsor; or</w:t>
      </w:r>
    </w:p>
    <w:p w14:paraId="618B910D" w14:textId="77777777" w:rsidR="00D05FF5" w:rsidRPr="005E3B43" w:rsidRDefault="00D05FF5" w:rsidP="00763BCF">
      <w:pPr>
        <w:pStyle w:val="paragraph"/>
      </w:pPr>
      <w:r w:rsidRPr="005E3B43">
        <w:tab/>
        <w:t>(b)</w:t>
      </w:r>
      <w:r w:rsidRPr="005E3B43">
        <w:tab/>
        <w:t>if the Secretary is satisfied that:</w:t>
      </w:r>
    </w:p>
    <w:p w14:paraId="4248930A" w14:textId="77777777" w:rsidR="00D05FF5" w:rsidRPr="005E3B43" w:rsidRDefault="00D05FF5" w:rsidP="00763BCF">
      <w:pPr>
        <w:pStyle w:val="paragraphsub"/>
      </w:pPr>
      <w:r w:rsidRPr="005E3B43">
        <w:tab/>
        <w:t>(i)</w:t>
      </w:r>
      <w:r w:rsidRPr="005E3B43">
        <w:tab/>
        <w:t xml:space="preserve">if the designated orphan drug is a new dosage form medicine—the criteria specified in </w:t>
      </w:r>
      <w:r w:rsidR="00977060" w:rsidRPr="005E3B43">
        <w:t>subregulation</w:t>
      </w:r>
      <w:r w:rsidR="004E6D00" w:rsidRPr="005E3B43">
        <w:t> </w:t>
      </w:r>
      <w:r w:rsidR="00977060" w:rsidRPr="005E3B43">
        <w:t>16J(4)</w:t>
      </w:r>
      <w:r w:rsidRPr="005E3B43">
        <w:t xml:space="preserve"> are no longer satisfied in relation to the designated orphan drug; or</w:t>
      </w:r>
    </w:p>
    <w:p w14:paraId="753DAF03" w14:textId="77777777" w:rsidR="00D05FF5" w:rsidRPr="005E3B43" w:rsidRDefault="00D05FF5" w:rsidP="00763BCF">
      <w:pPr>
        <w:pStyle w:val="paragraphsub"/>
      </w:pPr>
      <w:r w:rsidRPr="005E3B43">
        <w:tab/>
        <w:t>(ii)</w:t>
      </w:r>
      <w:r w:rsidRPr="005E3B43">
        <w:tab/>
        <w:t xml:space="preserve">if the designated orphan drug is not a new dosage form medicine—the criteria specified in </w:t>
      </w:r>
      <w:r w:rsidR="00977060" w:rsidRPr="005E3B43">
        <w:t>subregulation</w:t>
      </w:r>
      <w:r w:rsidR="004E6D00" w:rsidRPr="005E3B43">
        <w:t> </w:t>
      </w:r>
      <w:r w:rsidR="00977060" w:rsidRPr="005E3B43">
        <w:t>16J(3)</w:t>
      </w:r>
      <w:r w:rsidRPr="005E3B43">
        <w:t xml:space="preserve"> are no longer satisfied in relation to the designated orphan drug.</w:t>
      </w:r>
    </w:p>
    <w:p w14:paraId="5A6FF1C3" w14:textId="77777777" w:rsidR="00D05FF5" w:rsidRPr="005E3B43" w:rsidRDefault="00D05FF5" w:rsidP="00763BCF">
      <w:pPr>
        <w:pStyle w:val="subsection"/>
      </w:pPr>
      <w:r w:rsidRPr="005E3B43">
        <w:tab/>
        <w:t>(2)</w:t>
      </w:r>
      <w:r w:rsidRPr="005E3B43">
        <w:tab/>
        <w:t>Subsection</w:t>
      </w:r>
      <w:r w:rsidR="004E6D00" w:rsidRPr="005E3B43">
        <w:t> </w:t>
      </w:r>
      <w:r w:rsidRPr="005E3B43">
        <w:t xml:space="preserve">33(3) of the </w:t>
      </w:r>
      <w:r w:rsidRPr="005E3B43">
        <w:rPr>
          <w:i/>
        </w:rPr>
        <w:t xml:space="preserve">Acts Interpretation Act 1901 </w:t>
      </w:r>
      <w:r w:rsidRPr="005E3B43">
        <w:t>does not apply in relation to a revocation of a designation under regulation</w:t>
      </w:r>
      <w:r w:rsidR="004E6D00" w:rsidRPr="005E3B43">
        <w:t> </w:t>
      </w:r>
      <w:r w:rsidRPr="005E3B43">
        <w:t>16J of a medicine as an orphan drug.</w:t>
      </w:r>
    </w:p>
    <w:p w14:paraId="139AA06E" w14:textId="77777777" w:rsidR="00102755" w:rsidRPr="005E3B43" w:rsidRDefault="00BB758E" w:rsidP="00763BCF">
      <w:pPr>
        <w:pStyle w:val="ActHead2"/>
        <w:pageBreakBefore/>
      </w:pPr>
      <w:bookmarkStart w:id="117" w:name="_Toc187135711"/>
      <w:r w:rsidRPr="005E3B43">
        <w:rPr>
          <w:rStyle w:val="CharPartNo"/>
        </w:rPr>
        <w:lastRenderedPageBreak/>
        <w:t>Part 3</w:t>
      </w:r>
      <w:r w:rsidR="00102755" w:rsidRPr="005E3B43">
        <w:rPr>
          <w:rStyle w:val="CharPartNo"/>
        </w:rPr>
        <w:t>C</w:t>
      </w:r>
      <w:r w:rsidR="00102755" w:rsidRPr="005E3B43">
        <w:t>—</w:t>
      </w:r>
      <w:r w:rsidR="00102755" w:rsidRPr="005E3B43">
        <w:rPr>
          <w:rStyle w:val="CharPartText"/>
        </w:rPr>
        <w:t>Therapeutic goods (priority applicant) determinations</w:t>
      </w:r>
      <w:bookmarkEnd w:id="117"/>
    </w:p>
    <w:p w14:paraId="2E096697" w14:textId="77777777" w:rsidR="00102755" w:rsidRPr="005E3B43" w:rsidRDefault="00102755" w:rsidP="00763BCF">
      <w:pPr>
        <w:pStyle w:val="Header"/>
      </w:pPr>
      <w:r w:rsidRPr="005E3B43">
        <w:rPr>
          <w:rStyle w:val="CharDivNo"/>
        </w:rPr>
        <w:t xml:space="preserve"> </w:t>
      </w:r>
      <w:r w:rsidRPr="005E3B43">
        <w:rPr>
          <w:rStyle w:val="CharDivText"/>
        </w:rPr>
        <w:t xml:space="preserve"> </w:t>
      </w:r>
    </w:p>
    <w:p w14:paraId="39B18566" w14:textId="77777777" w:rsidR="00102755" w:rsidRPr="005E3B43" w:rsidRDefault="00102755" w:rsidP="00763BCF">
      <w:pPr>
        <w:pStyle w:val="ActHead5"/>
      </w:pPr>
      <w:bookmarkStart w:id="118" w:name="_Toc187135712"/>
      <w:r w:rsidRPr="005E3B43">
        <w:rPr>
          <w:rStyle w:val="CharSectno"/>
        </w:rPr>
        <w:t>16P</w:t>
      </w:r>
      <w:r w:rsidRPr="005E3B43">
        <w:t xml:space="preserve">  Application of Part</w:t>
      </w:r>
      <w:bookmarkEnd w:id="118"/>
    </w:p>
    <w:p w14:paraId="6A576C06" w14:textId="77777777" w:rsidR="00102755" w:rsidRPr="005E3B43" w:rsidRDefault="00102755" w:rsidP="00763BCF">
      <w:pPr>
        <w:pStyle w:val="subsection"/>
      </w:pPr>
      <w:r w:rsidRPr="005E3B43">
        <w:tab/>
      </w:r>
      <w:r w:rsidRPr="005E3B43">
        <w:tab/>
        <w:t>For the purposes of sub</w:t>
      </w:r>
      <w:r w:rsidR="00FB7FAA" w:rsidRPr="005E3B43">
        <w:t>section 2</w:t>
      </w:r>
      <w:r w:rsidRPr="005E3B43">
        <w:t>5AAA(1) of the Act, this Part makes provision for and in relation to the making of a therapeutic goods (priority applicant) determination in relation to a medicine.</w:t>
      </w:r>
    </w:p>
    <w:p w14:paraId="36D81771" w14:textId="77777777" w:rsidR="00102755" w:rsidRPr="005E3B43" w:rsidRDefault="00102755" w:rsidP="00763BCF">
      <w:pPr>
        <w:pStyle w:val="ActHead5"/>
      </w:pPr>
      <w:bookmarkStart w:id="119" w:name="_Toc187135713"/>
      <w:r w:rsidRPr="005E3B43">
        <w:rPr>
          <w:rStyle w:val="CharSectno"/>
        </w:rPr>
        <w:t>16Q</w:t>
      </w:r>
      <w:r w:rsidRPr="005E3B43">
        <w:t xml:space="preserve">  Application for therapeutic goods (priority applicant) determination</w:t>
      </w:r>
      <w:bookmarkEnd w:id="119"/>
    </w:p>
    <w:p w14:paraId="1B082E28" w14:textId="77777777" w:rsidR="00102755" w:rsidRPr="005E3B43" w:rsidRDefault="00102755" w:rsidP="00763BCF">
      <w:pPr>
        <w:pStyle w:val="subsection"/>
      </w:pPr>
      <w:r w:rsidRPr="005E3B43">
        <w:tab/>
        <w:t>(1)</w:t>
      </w:r>
      <w:r w:rsidRPr="005E3B43">
        <w:tab/>
        <w:t>A person may apply to the Secretary for a therapeutic goods (priority applicant) determination in relation to a medicine.</w:t>
      </w:r>
    </w:p>
    <w:p w14:paraId="23DF81C9" w14:textId="77777777" w:rsidR="00102755" w:rsidRPr="005E3B43" w:rsidRDefault="00102755" w:rsidP="00763BCF">
      <w:pPr>
        <w:pStyle w:val="subsection"/>
      </w:pPr>
      <w:r w:rsidRPr="005E3B43">
        <w:tab/>
        <w:t>(2)</w:t>
      </w:r>
      <w:r w:rsidRPr="005E3B43">
        <w:tab/>
        <w:t>An application under subregulation (1) must:</w:t>
      </w:r>
    </w:p>
    <w:p w14:paraId="5082B9E9" w14:textId="77777777" w:rsidR="00102755" w:rsidRPr="005E3B43" w:rsidRDefault="00102755" w:rsidP="00763BCF">
      <w:pPr>
        <w:pStyle w:val="paragraph"/>
      </w:pPr>
      <w:r w:rsidRPr="005E3B43">
        <w:tab/>
        <w:t>(a)</w:t>
      </w:r>
      <w:r w:rsidRPr="005E3B43">
        <w:tab/>
        <w:t>be in writing; and</w:t>
      </w:r>
    </w:p>
    <w:p w14:paraId="4222FAD5" w14:textId="77777777" w:rsidR="00102755" w:rsidRPr="005E3B43" w:rsidRDefault="00102755" w:rsidP="00763BCF">
      <w:pPr>
        <w:pStyle w:val="paragraph"/>
      </w:pPr>
      <w:r w:rsidRPr="005E3B43">
        <w:tab/>
        <w:t>(b)</w:t>
      </w:r>
      <w:r w:rsidRPr="005E3B43">
        <w:tab/>
        <w:t>be in a form approved, in writing, by the Secretary; and</w:t>
      </w:r>
    </w:p>
    <w:p w14:paraId="52FD9964" w14:textId="77777777" w:rsidR="00102755" w:rsidRPr="005E3B43" w:rsidRDefault="00102755" w:rsidP="00763BCF">
      <w:pPr>
        <w:pStyle w:val="paragraph"/>
      </w:pPr>
      <w:r w:rsidRPr="005E3B43">
        <w:tab/>
        <w:t>(c)</w:t>
      </w:r>
      <w:r w:rsidRPr="005E3B43">
        <w:tab/>
        <w:t>have with it written information in such detail as is reasonably necessary to allow the application to be properly considered.</w:t>
      </w:r>
    </w:p>
    <w:p w14:paraId="65F26D43" w14:textId="77777777" w:rsidR="00102755" w:rsidRPr="005E3B43" w:rsidRDefault="00102755" w:rsidP="00763BCF">
      <w:pPr>
        <w:pStyle w:val="subsection"/>
      </w:pPr>
      <w:r w:rsidRPr="005E3B43">
        <w:tab/>
        <w:t>(3)</w:t>
      </w:r>
      <w:r w:rsidRPr="005E3B43">
        <w:tab/>
        <w:t>An application under subregulation (1) is taken not to have been made unless:</w:t>
      </w:r>
    </w:p>
    <w:p w14:paraId="20569EAD" w14:textId="77777777" w:rsidR="00102755" w:rsidRPr="005E3B43" w:rsidRDefault="00102755" w:rsidP="00763BCF">
      <w:pPr>
        <w:pStyle w:val="paragraph"/>
      </w:pPr>
      <w:r w:rsidRPr="005E3B43">
        <w:tab/>
        <w:t>(a)</w:t>
      </w:r>
      <w:r w:rsidRPr="005E3B43">
        <w:tab/>
        <w:t>the application meets the requirements in subregulation (2); and</w:t>
      </w:r>
    </w:p>
    <w:p w14:paraId="36120593" w14:textId="0F1F57AE" w:rsidR="00102755" w:rsidRPr="005E3B43" w:rsidRDefault="00102755" w:rsidP="00763BCF">
      <w:pPr>
        <w:pStyle w:val="paragraph"/>
      </w:pPr>
      <w:r w:rsidRPr="005E3B43">
        <w:tab/>
        <w:t>(b)</w:t>
      </w:r>
      <w:r w:rsidRPr="005E3B43">
        <w:tab/>
        <w:t>subject to paragraph</w:t>
      </w:r>
      <w:r w:rsidR="004E6D00" w:rsidRPr="005E3B43">
        <w:t> </w:t>
      </w:r>
      <w:r w:rsidRPr="005E3B43">
        <w:t xml:space="preserve">45(12)(d), the fee prescribed in </w:t>
      </w:r>
      <w:r w:rsidR="007C3215">
        <w:t>item 1</w:t>
      </w:r>
      <w:r w:rsidRPr="005E3B43">
        <w:t xml:space="preserve">B of </w:t>
      </w:r>
      <w:r w:rsidR="006B5D8E" w:rsidRPr="005E3B43">
        <w:t>Part 2</w:t>
      </w:r>
      <w:r w:rsidRPr="005E3B43">
        <w:t xml:space="preserve"> of Schedule</w:t>
      </w:r>
      <w:r w:rsidR="004E6D00" w:rsidRPr="005E3B43">
        <w:t> </w:t>
      </w:r>
      <w:r w:rsidRPr="005E3B43">
        <w:t>9 for making the application has been paid.</w:t>
      </w:r>
    </w:p>
    <w:p w14:paraId="6C6CB11D" w14:textId="77777777" w:rsidR="00102755" w:rsidRPr="005E3B43" w:rsidRDefault="00102755" w:rsidP="00763BCF">
      <w:pPr>
        <w:pStyle w:val="notetext"/>
      </w:pPr>
      <w:r w:rsidRPr="005E3B43">
        <w:t>Note:</w:t>
      </w:r>
      <w:r w:rsidRPr="005E3B43">
        <w:tab/>
      </w:r>
      <w:r w:rsidR="00B30D24" w:rsidRPr="005E3B43">
        <w:t>Paragraph 4</w:t>
      </w:r>
      <w:r w:rsidRPr="005E3B43">
        <w:t>5(12)(d) provides that the Secretary must waive the fee for applying for a therapeutic goods (priority applicant) determination in certain circumstances.</w:t>
      </w:r>
    </w:p>
    <w:p w14:paraId="20D3A823" w14:textId="77777777" w:rsidR="00102755" w:rsidRPr="005E3B43" w:rsidRDefault="00102755" w:rsidP="00763BCF">
      <w:pPr>
        <w:pStyle w:val="ActHead5"/>
      </w:pPr>
      <w:bookmarkStart w:id="120" w:name="_Toc187135714"/>
      <w:r w:rsidRPr="005E3B43">
        <w:rPr>
          <w:rStyle w:val="CharSectno"/>
        </w:rPr>
        <w:t>16R</w:t>
      </w:r>
      <w:r w:rsidRPr="005E3B43">
        <w:t xml:space="preserve">  Making of therapeutic goods (priority applicant) determination</w:t>
      </w:r>
      <w:bookmarkEnd w:id="120"/>
    </w:p>
    <w:p w14:paraId="72E61144" w14:textId="77777777" w:rsidR="00102755" w:rsidRPr="005E3B43" w:rsidRDefault="00102755" w:rsidP="00763BCF">
      <w:pPr>
        <w:pStyle w:val="subsection"/>
      </w:pPr>
      <w:r w:rsidRPr="005E3B43">
        <w:tab/>
        <w:t>(1)</w:t>
      </w:r>
      <w:r w:rsidRPr="005E3B43">
        <w:tab/>
        <w:t>On receiving an application under subregulation</w:t>
      </w:r>
      <w:r w:rsidR="004E6D00" w:rsidRPr="005E3B43">
        <w:t> </w:t>
      </w:r>
      <w:r w:rsidRPr="005E3B43">
        <w:t>16Q(1) for a therapeutic goods (priority applicant) determination in relation to a medicine, the Secretary must:</w:t>
      </w:r>
    </w:p>
    <w:p w14:paraId="7F3153A3" w14:textId="77777777" w:rsidR="00102755" w:rsidRPr="005E3B43" w:rsidRDefault="00102755" w:rsidP="00763BCF">
      <w:pPr>
        <w:pStyle w:val="paragraph"/>
      </w:pPr>
      <w:r w:rsidRPr="005E3B43">
        <w:tab/>
        <w:t>(a)</w:t>
      </w:r>
      <w:r w:rsidRPr="005E3B43">
        <w:tab/>
        <w:t>consider the application; and</w:t>
      </w:r>
    </w:p>
    <w:p w14:paraId="226290D3" w14:textId="77777777" w:rsidR="00102755" w:rsidRPr="005E3B43" w:rsidRDefault="00102755" w:rsidP="00763BCF">
      <w:pPr>
        <w:pStyle w:val="paragraph"/>
      </w:pPr>
      <w:r w:rsidRPr="005E3B43">
        <w:tab/>
        <w:t>(b)</w:t>
      </w:r>
      <w:r w:rsidRPr="005E3B43">
        <w:tab/>
        <w:t>decide either:</w:t>
      </w:r>
    </w:p>
    <w:p w14:paraId="3A5AA4D4" w14:textId="77777777" w:rsidR="00102755" w:rsidRPr="005E3B43" w:rsidRDefault="00102755" w:rsidP="00763BCF">
      <w:pPr>
        <w:pStyle w:val="paragraphsub"/>
      </w:pPr>
      <w:r w:rsidRPr="005E3B43">
        <w:tab/>
        <w:t>(i)</w:t>
      </w:r>
      <w:r w:rsidRPr="005E3B43">
        <w:tab/>
        <w:t>to make the determination; or</w:t>
      </w:r>
    </w:p>
    <w:p w14:paraId="42721901" w14:textId="77777777" w:rsidR="00102755" w:rsidRPr="005E3B43" w:rsidRDefault="00102755" w:rsidP="00763BCF">
      <w:pPr>
        <w:pStyle w:val="paragraphsub"/>
      </w:pPr>
      <w:r w:rsidRPr="005E3B43">
        <w:tab/>
        <w:t>(ii)</w:t>
      </w:r>
      <w:r w:rsidRPr="005E3B43">
        <w:tab/>
        <w:t>to refuse to make the determination.</w:t>
      </w:r>
    </w:p>
    <w:p w14:paraId="2E3619D9" w14:textId="77777777" w:rsidR="00102755" w:rsidRPr="005E3B43" w:rsidRDefault="00102755" w:rsidP="00763BCF">
      <w:pPr>
        <w:pStyle w:val="SubsectionHead"/>
      </w:pPr>
      <w:r w:rsidRPr="005E3B43">
        <w:t>Criteria</w:t>
      </w:r>
    </w:p>
    <w:p w14:paraId="6C8A758B" w14:textId="77777777" w:rsidR="00102755" w:rsidRPr="005E3B43" w:rsidRDefault="00102755" w:rsidP="00763BCF">
      <w:pPr>
        <w:pStyle w:val="subsection"/>
      </w:pPr>
      <w:r w:rsidRPr="005E3B43">
        <w:tab/>
        <w:t>(2)</w:t>
      </w:r>
      <w:r w:rsidRPr="005E3B43">
        <w:tab/>
        <w:t>The Secretary may make the determination if the Secretary is satisfied, having regard to any matter that the Secretary considers relevant, that all of the following criteria are satisfied in relation to the medicine:</w:t>
      </w:r>
    </w:p>
    <w:p w14:paraId="16CC3BED" w14:textId="77777777" w:rsidR="00102755" w:rsidRPr="005E3B43" w:rsidRDefault="00102755" w:rsidP="00763BCF">
      <w:pPr>
        <w:pStyle w:val="paragraph"/>
      </w:pPr>
      <w:r w:rsidRPr="005E3B43">
        <w:tab/>
        <w:t>(a)</w:t>
      </w:r>
      <w:r w:rsidRPr="005E3B43">
        <w:tab/>
        <w:t>the medicine is:</w:t>
      </w:r>
    </w:p>
    <w:p w14:paraId="3423B243" w14:textId="77777777" w:rsidR="00102755" w:rsidRPr="005E3B43" w:rsidRDefault="00102755" w:rsidP="00763BCF">
      <w:pPr>
        <w:pStyle w:val="paragraphsub"/>
      </w:pPr>
      <w:r w:rsidRPr="005E3B43">
        <w:tab/>
        <w:t>(i)</w:t>
      </w:r>
      <w:r w:rsidRPr="005E3B43">
        <w:tab/>
        <w:t>a new prescription medicine; or</w:t>
      </w:r>
    </w:p>
    <w:p w14:paraId="587A92E6" w14:textId="77777777" w:rsidR="00102755" w:rsidRPr="005E3B43" w:rsidRDefault="00102755" w:rsidP="00763BCF">
      <w:pPr>
        <w:pStyle w:val="paragraphsub"/>
      </w:pPr>
      <w:r w:rsidRPr="005E3B43">
        <w:tab/>
        <w:t>(ii)</w:t>
      </w:r>
      <w:r w:rsidRPr="005E3B43">
        <w:tab/>
        <w:t>a new indications medicine;</w:t>
      </w:r>
    </w:p>
    <w:p w14:paraId="7162643C" w14:textId="2A05F224" w:rsidR="00102755" w:rsidRPr="005E3B43" w:rsidRDefault="00102755" w:rsidP="00763BCF">
      <w:pPr>
        <w:pStyle w:val="paragraph"/>
      </w:pPr>
      <w:r w:rsidRPr="005E3B43">
        <w:lastRenderedPageBreak/>
        <w:tab/>
        <w:t>(b)</w:t>
      </w:r>
      <w:r w:rsidRPr="005E3B43">
        <w:tab/>
        <w:t xml:space="preserve">an indication of the medicine (the </w:t>
      </w:r>
      <w:r w:rsidRPr="005E3B43">
        <w:rPr>
          <w:b/>
          <w:i/>
        </w:rPr>
        <w:t>priority indication</w:t>
      </w:r>
      <w:r w:rsidRPr="005E3B43">
        <w:t>) is the treatment, prevention or diagnosis of a life</w:t>
      </w:r>
      <w:r w:rsidR="007C3215">
        <w:noBreakHyphen/>
      </w:r>
      <w:r w:rsidRPr="005E3B43">
        <w:t>threatening or seriously debilitating condition;</w:t>
      </w:r>
    </w:p>
    <w:p w14:paraId="66AC341A" w14:textId="77777777" w:rsidR="00102755" w:rsidRPr="005E3B43" w:rsidRDefault="00102755" w:rsidP="00763BCF">
      <w:pPr>
        <w:pStyle w:val="paragraph"/>
      </w:pPr>
      <w:r w:rsidRPr="005E3B43">
        <w:tab/>
        <w:t>(c)</w:t>
      </w:r>
      <w:r w:rsidRPr="005E3B43">
        <w:tab/>
        <w:t>either:</w:t>
      </w:r>
    </w:p>
    <w:p w14:paraId="7757AF45" w14:textId="77777777" w:rsidR="00102755" w:rsidRPr="005E3B43" w:rsidRDefault="00102755" w:rsidP="00763BCF">
      <w:pPr>
        <w:pStyle w:val="paragraphsub"/>
      </w:pPr>
      <w:r w:rsidRPr="005E3B43">
        <w:tab/>
        <w:t>(i)</w:t>
      </w:r>
      <w:r w:rsidRPr="005E3B43">
        <w:tab/>
        <w:t>no therapeutic goods that are intended to treat, prevent or diagnose the condition are included in the Register</w:t>
      </w:r>
      <w:r w:rsidR="001500D9" w:rsidRPr="005E3B43">
        <w:t xml:space="preserve"> (except in the part of the Register for goods known as provisionally registered goods)</w:t>
      </w:r>
      <w:r w:rsidRPr="005E3B43">
        <w:t>; or</w:t>
      </w:r>
    </w:p>
    <w:p w14:paraId="79EBE47F" w14:textId="77777777" w:rsidR="00102755" w:rsidRPr="005E3B43" w:rsidRDefault="00102755" w:rsidP="00763BCF">
      <w:pPr>
        <w:pStyle w:val="paragraphsub"/>
      </w:pPr>
      <w:r w:rsidRPr="005E3B43">
        <w:tab/>
        <w:t>(ii)</w:t>
      </w:r>
      <w:r w:rsidRPr="005E3B43">
        <w:tab/>
        <w:t>if one or more therapeutic goods that are intended to treat, prevent or diagnose the condition are included in the Register</w:t>
      </w:r>
      <w:r w:rsidR="001500D9" w:rsidRPr="005E3B43">
        <w:t xml:space="preserve"> (except in the part of the Register for goods known as provisionally registered goods)</w:t>
      </w:r>
      <w:r w:rsidRPr="005E3B43">
        <w:t>—there is substantial evidence demonstrating that the medicine provides a significant improvement in the efficacy or safety of the treatment, prevention or diagnosis of the condition compared to those goods;</w:t>
      </w:r>
    </w:p>
    <w:p w14:paraId="69A9D4D8" w14:textId="77777777" w:rsidR="00102755" w:rsidRPr="005E3B43" w:rsidRDefault="00102755" w:rsidP="00763BCF">
      <w:pPr>
        <w:pStyle w:val="paragraph"/>
      </w:pPr>
      <w:r w:rsidRPr="005E3B43">
        <w:tab/>
        <w:t>(d)</w:t>
      </w:r>
      <w:r w:rsidRPr="005E3B43">
        <w:tab/>
        <w:t>there is substantial evidence demonstrating that the medicine provides a major therapeutic advance.</w:t>
      </w:r>
    </w:p>
    <w:p w14:paraId="33575449" w14:textId="2BEC7928" w:rsidR="00102755" w:rsidRPr="005E3B43" w:rsidRDefault="00102755" w:rsidP="00763BCF">
      <w:pPr>
        <w:pStyle w:val="notetext"/>
      </w:pPr>
      <w:r w:rsidRPr="005E3B43">
        <w:t>Note:</w:t>
      </w:r>
      <w:r w:rsidRPr="005E3B43">
        <w:tab/>
      </w:r>
      <w:r w:rsidR="00B30D24" w:rsidRPr="005E3B43">
        <w:t>Paragraph 1</w:t>
      </w:r>
      <w:r w:rsidRPr="005E3B43">
        <w:t xml:space="preserve">6(1)(e) of the Act provides that, for the purposes of </w:t>
      </w:r>
      <w:r w:rsidR="00BB758E" w:rsidRPr="005E3B43">
        <w:t>Part 3</w:t>
      </w:r>
      <w:r w:rsidR="007C3215">
        <w:noBreakHyphen/>
      </w:r>
      <w:r w:rsidRPr="005E3B43">
        <w:t>2 of the Act, therapeutic goods (other than medicine of the kind to which sub</w:t>
      </w:r>
      <w:r w:rsidR="007C3215">
        <w:t>section 1</w:t>
      </w:r>
      <w:r w:rsidRPr="005E3B43">
        <w:t>6(1A) of the Act applies) are to be taken to be separate and distinct from other therapeutic goods if they have different indications.</w:t>
      </w:r>
    </w:p>
    <w:p w14:paraId="38494AFD" w14:textId="77777777" w:rsidR="00102755" w:rsidRPr="005E3B43" w:rsidRDefault="00102755" w:rsidP="00763BCF">
      <w:pPr>
        <w:pStyle w:val="SubsectionHead"/>
      </w:pPr>
      <w:r w:rsidRPr="005E3B43">
        <w:t>Information to be specified in determination</w:t>
      </w:r>
    </w:p>
    <w:p w14:paraId="6ECE96E9" w14:textId="77777777" w:rsidR="00102755" w:rsidRPr="005E3B43" w:rsidRDefault="00102755" w:rsidP="00763BCF">
      <w:pPr>
        <w:pStyle w:val="subsection"/>
      </w:pPr>
      <w:r w:rsidRPr="005E3B43">
        <w:tab/>
        <w:t>(3)</w:t>
      </w:r>
      <w:r w:rsidRPr="005E3B43">
        <w:tab/>
        <w:t>The determination must specify:</w:t>
      </w:r>
    </w:p>
    <w:p w14:paraId="06806208" w14:textId="77777777" w:rsidR="00102755" w:rsidRPr="005E3B43" w:rsidRDefault="00102755" w:rsidP="00763BCF">
      <w:pPr>
        <w:pStyle w:val="paragraph"/>
      </w:pPr>
      <w:r w:rsidRPr="005E3B43">
        <w:tab/>
        <w:t>(a)</w:t>
      </w:r>
      <w:r w:rsidRPr="005E3B43">
        <w:tab/>
        <w:t xml:space="preserve">the person who, as a result of </w:t>
      </w:r>
      <w:r w:rsidR="00FB7FAA" w:rsidRPr="005E3B43">
        <w:t>section 2</w:t>
      </w:r>
      <w:r w:rsidRPr="005E3B43">
        <w:t>5AAA of the Act, is the priority applicant; and</w:t>
      </w:r>
    </w:p>
    <w:p w14:paraId="063D8A47" w14:textId="77777777" w:rsidR="00102755" w:rsidRPr="005E3B43" w:rsidRDefault="00102755" w:rsidP="00763BCF">
      <w:pPr>
        <w:pStyle w:val="paragraph"/>
      </w:pPr>
      <w:r w:rsidRPr="005E3B43">
        <w:tab/>
        <w:t>(b)</w:t>
      </w:r>
      <w:r w:rsidRPr="005E3B43">
        <w:tab/>
        <w:t>each active ingredient of the medicine to which the determination relates; and</w:t>
      </w:r>
    </w:p>
    <w:p w14:paraId="01EE7035" w14:textId="77777777" w:rsidR="00102755" w:rsidRPr="005E3B43" w:rsidRDefault="00102755" w:rsidP="00763BCF">
      <w:pPr>
        <w:pStyle w:val="paragraph"/>
      </w:pPr>
      <w:r w:rsidRPr="005E3B43">
        <w:tab/>
        <w:t>(c)</w:t>
      </w:r>
      <w:r w:rsidRPr="005E3B43">
        <w:tab/>
        <w:t>the priority indication of the medicine.</w:t>
      </w:r>
    </w:p>
    <w:p w14:paraId="33534D63" w14:textId="77777777" w:rsidR="00102755" w:rsidRPr="005E3B43" w:rsidRDefault="00102755" w:rsidP="00763BCF">
      <w:pPr>
        <w:pStyle w:val="SubsectionHead"/>
      </w:pPr>
      <w:r w:rsidRPr="005E3B43">
        <w:t>Notification of decision</w:t>
      </w:r>
    </w:p>
    <w:p w14:paraId="1DCCA849" w14:textId="77777777" w:rsidR="00102755" w:rsidRPr="005E3B43" w:rsidRDefault="00102755" w:rsidP="00763BCF">
      <w:pPr>
        <w:pStyle w:val="subsection"/>
      </w:pPr>
      <w:r w:rsidRPr="005E3B43">
        <w:tab/>
        <w:t>(4)</w:t>
      </w:r>
      <w:r w:rsidRPr="005E3B43">
        <w:tab/>
        <w:t>As soon as practicable after making the decision, the Secretary must notify the applicant, in writing, of the decision.</w:t>
      </w:r>
    </w:p>
    <w:p w14:paraId="4F60B06A" w14:textId="77777777" w:rsidR="00102755" w:rsidRPr="005E3B43" w:rsidRDefault="00102755" w:rsidP="00763BCF">
      <w:pPr>
        <w:pStyle w:val="subsection"/>
      </w:pPr>
      <w:r w:rsidRPr="005E3B43">
        <w:tab/>
        <w:t>(5)</w:t>
      </w:r>
      <w:r w:rsidRPr="005E3B43">
        <w:tab/>
        <w:t>If the Secretary decides to refuse to make the determination, the notification must include the reasons for the decision.</w:t>
      </w:r>
    </w:p>
    <w:p w14:paraId="4B5CBFAE" w14:textId="77777777" w:rsidR="00102755" w:rsidRPr="005E3B43" w:rsidRDefault="00102755" w:rsidP="00763BCF">
      <w:pPr>
        <w:pStyle w:val="ActHead5"/>
      </w:pPr>
      <w:bookmarkStart w:id="121" w:name="_Toc187135715"/>
      <w:r w:rsidRPr="005E3B43">
        <w:rPr>
          <w:rStyle w:val="CharSectno"/>
        </w:rPr>
        <w:t>16S</w:t>
      </w:r>
      <w:r w:rsidRPr="005E3B43">
        <w:t xml:space="preserve">  Period during which therapeutic goods (priority applicant) determination is in force</w:t>
      </w:r>
      <w:bookmarkEnd w:id="121"/>
    </w:p>
    <w:p w14:paraId="403242A3" w14:textId="77777777" w:rsidR="00102755" w:rsidRPr="005E3B43" w:rsidRDefault="00102755" w:rsidP="00763BCF">
      <w:pPr>
        <w:pStyle w:val="subsection"/>
      </w:pPr>
      <w:r w:rsidRPr="005E3B43">
        <w:tab/>
        <w:t>(1)</w:t>
      </w:r>
      <w:r w:rsidRPr="005E3B43">
        <w:tab/>
        <w:t>A therapeutic goods (priority applicant) determination in relation to a medicine:</w:t>
      </w:r>
    </w:p>
    <w:p w14:paraId="63334B8B" w14:textId="77777777" w:rsidR="00102755" w:rsidRPr="005E3B43" w:rsidRDefault="00102755" w:rsidP="00763BCF">
      <w:pPr>
        <w:pStyle w:val="paragraph"/>
      </w:pPr>
      <w:r w:rsidRPr="005E3B43">
        <w:tab/>
        <w:t>(a)</w:t>
      </w:r>
      <w:r w:rsidRPr="005E3B43">
        <w:tab/>
        <w:t>comes into force on the day on which the Secretary notifies the priority applicant in accordance with subregulation</w:t>
      </w:r>
      <w:r w:rsidR="004E6D00" w:rsidRPr="005E3B43">
        <w:t> </w:t>
      </w:r>
      <w:r w:rsidRPr="005E3B43">
        <w:t>16R(4); and</w:t>
      </w:r>
    </w:p>
    <w:p w14:paraId="41E5F5A7" w14:textId="77777777" w:rsidR="00102755" w:rsidRPr="005E3B43" w:rsidRDefault="00102755" w:rsidP="00763BCF">
      <w:pPr>
        <w:pStyle w:val="paragraph"/>
      </w:pPr>
      <w:r w:rsidRPr="005E3B43">
        <w:tab/>
        <w:t>(b)</w:t>
      </w:r>
      <w:r w:rsidRPr="005E3B43">
        <w:tab/>
        <w:t>subject to subregulation (2) and regulation</w:t>
      </w:r>
      <w:r w:rsidR="004E6D00" w:rsidRPr="005E3B43">
        <w:t> </w:t>
      </w:r>
      <w:r w:rsidRPr="005E3B43">
        <w:t>16T, remains in force for 6 months.</w:t>
      </w:r>
    </w:p>
    <w:p w14:paraId="2E0DDF8F" w14:textId="77777777" w:rsidR="00102755" w:rsidRPr="005E3B43" w:rsidRDefault="00102755" w:rsidP="00763BCF">
      <w:pPr>
        <w:pStyle w:val="subsection"/>
      </w:pPr>
      <w:r w:rsidRPr="005E3B43">
        <w:tab/>
        <w:t>(2)</w:t>
      </w:r>
      <w:r w:rsidRPr="005E3B43">
        <w:tab/>
        <w:t xml:space="preserve">If the priority applicant specified in the determination makes an application under </w:t>
      </w:r>
      <w:r w:rsidR="00FB7FAA" w:rsidRPr="005E3B43">
        <w:t>section 2</w:t>
      </w:r>
      <w:r w:rsidRPr="005E3B43">
        <w:t xml:space="preserve">3 of the Act for the registration of the medicine </w:t>
      </w:r>
      <w:r w:rsidR="00705226" w:rsidRPr="005E3B43">
        <w:t xml:space="preserve">that passes </w:t>
      </w:r>
      <w:r w:rsidR="00705226" w:rsidRPr="005E3B43">
        <w:lastRenderedPageBreak/>
        <w:t xml:space="preserve">preliminary assessment </w:t>
      </w:r>
      <w:r w:rsidRPr="005E3B43">
        <w:t>before the end of the 6 month period beginning when the determination comes into force, the determination remains in force until:</w:t>
      </w:r>
    </w:p>
    <w:p w14:paraId="65464D42" w14:textId="77777777" w:rsidR="00102755" w:rsidRPr="005E3B43" w:rsidRDefault="00102755" w:rsidP="00763BCF">
      <w:pPr>
        <w:pStyle w:val="paragraph"/>
      </w:pPr>
      <w:r w:rsidRPr="005E3B43">
        <w:tab/>
        <w:t>(a)</w:t>
      </w:r>
      <w:r w:rsidRPr="005E3B43">
        <w:tab/>
        <w:t>the priority applicant withdraws the application; or</w:t>
      </w:r>
    </w:p>
    <w:p w14:paraId="550ED4C9" w14:textId="77777777" w:rsidR="00102755" w:rsidRPr="005E3B43" w:rsidRDefault="00102755" w:rsidP="00763BCF">
      <w:pPr>
        <w:pStyle w:val="paragraph"/>
      </w:pPr>
      <w:r w:rsidRPr="005E3B43">
        <w:tab/>
        <w:t>(b)</w:t>
      </w:r>
      <w:r w:rsidRPr="005E3B43">
        <w:tab/>
        <w:t>the application lapses in accordance with sub</w:t>
      </w:r>
      <w:r w:rsidR="00FB7FAA" w:rsidRPr="005E3B43">
        <w:t>section 2</w:t>
      </w:r>
      <w:r w:rsidRPr="005E3B43">
        <w:t>4(2) of the Act; or</w:t>
      </w:r>
    </w:p>
    <w:p w14:paraId="35060DDE" w14:textId="77777777" w:rsidR="00102755" w:rsidRPr="005E3B43" w:rsidRDefault="00102755" w:rsidP="00763BCF">
      <w:pPr>
        <w:pStyle w:val="paragraph"/>
      </w:pPr>
      <w:r w:rsidRPr="005E3B43">
        <w:tab/>
        <w:t>(c)</w:t>
      </w:r>
      <w:r w:rsidRPr="005E3B43">
        <w:tab/>
        <w:t>the priority applicant gives the Secretary written notice under sub</w:t>
      </w:r>
      <w:r w:rsidR="00FB7FAA" w:rsidRPr="005E3B43">
        <w:t>section 2</w:t>
      </w:r>
      <w:r w:rsidRPr="005E3B43">
        <w:t>4E(2) of the Act that the applicant wishes to treat the application as having been refused; or</w:t>
      </w:r>
    </w:p>
    <w:p w14:paraId="444ED83D" w14:textId="77777777" w:rsidR="00102755" w:rsidRPr="005E3B43" w:rsidRDefault="00102755" w:rsidP="00763BCF">
      <w:pPr>
        <w:pStyle w:val="paragraph"/>
      </w:pPr>
      <w:r w:rsidRPr="005E3B43">
        <w:tab/>
        <w:t>(d)</w:t>
      </w:r>
      <w:r w:rsidRPr="005E3B43">
        <w:tab/>
        <w:t>the application is finally determined.</w:t>
      </w:r>
    </w:p>
    <w:p w14:paraId="1FCA66CB" w14:textId="77777777" w:rsidR="00705226" w:rsidRPr="005E3B43" w:rsidRDefault="00705226" w:rsidP="00763BCF">
      <w:pPr>
        <w:pStyle w:val="notetext"/>
      </w:pPr>
      <w:r w:rsidRPr="005E3B43">
        <w:t>Note:</w:t>
      </w:r>
      <w:r w:rsidRPr="005E3B43">
        <w:tab/>
        <w:t>See sub</w:t>
      </w:r>
      <w:r w:rsidR="00FB7FAA" w:rsidRPr="005E3B43">
        <w:t>section 2</w:t>
      </w:r>
      <w:r w:rsidRPr="005E3B43">
        <w:t>3B(3) of the Act for when an application passes preliminary assessment.</w:t>
      </w:r>
    </w:p>
    <w:p w14:paraId="32D629ED" w14:textId="77777777" w:rsidR="00102755" w:rsidRPr="005E3B43" w:rsidRDefault="00102755" w:rsidP="00763BCF">
      <w:pPr>
        <w:pStyle w:val="ActHead5"/>
      </w:pPr>
      <w:bookmarkStart w:id="122" w:name="_Toc187135716"/>
      <w:r w:rsidRPr="005E3B43">
        <w:rPr>
          <w:rStyle w:val="CharSectno"/>
        </w:rPr>
        <w:t>16T</w:t>
      </w:r>
      <w:r w:rsidRPr="005E3B43">
        <w:t xml:space="preserve">  Revocation of therapeutic goods (priority applicant) determination</w:t>
      </w:r>
      <w:bookmarkEnd w:id="122"/>
    </w:p>
    <w:p w14:paraId="5D133B11" w14:textId="77777777" w:rsidR="00102755" w:rsidRPr="005E3B43" w:rsidRDefault="00102755" w:rsidP="00763BCF">
      <w:pPr>
        <w:pStyle w:val="subsection"/>
      </w:pPr>
      <w:r w:rsidRPr="005E3B43">
        <w:tab/>
        <w:t>(1)</w:t>
      </w:r>
      <w:r w:rsidRPr="005E3B43">
        <w:tab/>
        <w:t>The Secretary may revoke a therapeutic goods (priority applicant) determination in relation to a medicine if:</w:t>
      </w:r>
    </w:p>
    <w:p w14:paraId="45CDF070" w14:textId="77777777" w:rsidR="00102755" w:rsidRPr="005E3B43" w:rsidRDefault="00102755" w:rsidP="00763BCF">
      <w:pPr>
        <w:pStyle w:val="paragraph"/>
      </w:pPr>
      <w:r w:rsidRPr="005E3B43">
        <w:tab/>
        <w:t>(a)</w:t>
      </w:r>
      <w:r w:rsidRPr="005E3B43">
        <w:tab/>
        <w:t>either:</w:t>
      </w:r>
    </w:p>
    <w:p w14:paraId="088DDCCC" w14:textId="77777777" w:rsidR="00102755" w:rsidRPr="005E3B43" w:rsidRDefault="00102755" w:rsidP="00763BCF">
      <w:pPr>
        <w:pStyle w:val="paragraphsub"/>
      </w:pPr>
      <w:r w:rsidRPr="005E3B43">
        <w:tab/>
        <w:t>(i)</w:t>
      </w:r>
      <w:r w:rsidRPr="005E3B43">
        <w:tab/>
        <w:t xml:space="preserve">the priority applicant specified in the determination has not made an application under </w:t>
      </w:r>
      <w:r w:rsidR="00FB7FAA" w:rsidRPr="005E3B43">
        <w:t>section 2</w:t>
      </w:r>
      <w:r w:rsidRPr="005E3B43">
        <w:t>3 of the Act for the registration of the medicine; or</w:t>
      </w:r>
    </w:p>
    <w:p w14:paraId="455C24FF" w14:textId="77777777" w:rsidR="00102755" w:rsidRPr="005E3B43" w:rsidRDefault="00102755" w:rsidP="00763BCF">
      <w:pPr>
        <w:pStyle w:val="paragraphsub"/>
      </w:pPr>
      <w:r w:rsidRPr="005E3B43">
        <w:tab/>
        <w:t>(ii)</w:t>
      </w:r>
      <w:r w:rsidRPr="005E3B43">
        <w:tab/>
        <w:t xml:space="preserve">the priority applicant has made such an application, but the application </w:t>
      </w:r>
      <w:r w:rsidR="00C71434" w:rsidRPr="005E3B43">
        <w:t>does not pass preliminary assessment</w:t>
      </w:r>
      <w:r w:rsidRPr="005E3B43">
        <w:t>; and</w:t>
      </w:r>
    </w:p>
    <w:p w14:paraId="7B042EE3" w14:textId="77777777" w:rsidR="00102755" w:rsidRPr="005E3B43" w:rsidRDefault="00102755" w:rsidP="00763BCF">
      <w:pPr>
        <w:pStyle w:val="paragraph"/>
      </w:pPr>
      <w:r w:rsidRPr="005E3B43">
        <w:tab/>
        <w:t>(b)</w:t>
      </w:r>
      <w:r w:rsidRPr="005E3B43">
        <w:tab/>
        <w:t>the Secretary is satisfied that the criteria specified in subregulation</w:t>
      </w:r>
      <w:r w:rsidR="004E6D00" w:rsidRPr="005E3B43">
        <w:t> </w:t>
      </w:r>
      <w:r w:rsidRPr="005E3B43">
        <w:t>16R(2) are no longer satisfied in relation to the medicine.</w:t>
      </w:r>
    </w:p>
    <w:p w14:paraId="6A87BC03" w14:textId="77777777" w:rsidR="00C71434" w:rsidRPr="005E3B43" w:rsidRDefault="00C71434" w:rsidP="00763BCF">
      <w:pPr>
        <w:pStyle w:val="notetext"/>
      </w:pPr>
      <w:r w:rsidRPr="005E3B43">
        <w:t>Note:</w:t>
      </w:r>
      <w:r w:rsidRPr="005E3B43">
        <w:tab/>
        <w:t>See sub</w:t>
      </w:r>
      <w:r w:rsidR="00FB7FAA" w:rsidRPr="005E3B43">
        <w:t>section 2</w:t>
      </w:r>
      <w:r w:rsidRPr="005E3B43">
        <w:t>3B(3) of the Act for when an application passes preliminary assessment.</w:t>
      </w:r>
    </w:p>
    <w:p w14:paraId="7444C18A" w14:textId="77777777" w:rsidR="00102755" w:rsidRPr="005E3B43" w:rsidRDefault="00102755" w:rsidP="00763BCF">
      <w:pPr>
        <w:pStyle w:val="subsection"/>
      </w:pPr>
      <w:r w:rsidRPr="005E3B43">
        <w:tab/>
        <w:t>(2)</w:t>
      </w:r>
      <w:r w:rsidRPr="005E3B43">
        <w:tab/>
        <w:t>The revocation must be by written notice given by the Secretary to the priority applicant.</w:t>
      </w:r>
    </w:p>
    <w:p w14:paraId="0CC1AE0B" w14:textId="77777777" w:rsidR="007F5E99" w:rsidRPr="005E3B43" w:rsidRDefault="00BB758E" w:rsidP="00763BCF">
      <w:pPr>
        <w:pStyle w:val="ActHead2"/>
        <w:pageBreakBefore/>
      </w:pPr>
      <w:bookmarkStart w:id="123" w:name="_Toc187135717"/>
      <w:r w:rsidRPr="005E3B43">
        <w:rPr>
          <w:rStyle w:val="CharPartNo"/>
        </w:rPr>
        <w:lastRenderedPageBreak/>
        <w:t>Part 3</w:t>
      </w:r>
      <w:r w:rsidR="007F5E99" w:rsidRPr="005E3B43">
        <w:rPr>
          <w:rStyle w:val="CharPartNo"/>
        </w:rPr>
        <w:t>D</w:t>
      </w:r>
      <w:r w:rsidR="007F5E99" w:rsidRPr="005E3B43">
        <w:t>—</w:t>
      </w:r>
      <w:r w:rsidR="007F5E99" w:rsidRPr="005E3B43">
        <w:rPr>
          <w:rStyle w:val="CharPartText"/>
        </w:rPr>
        <w:t>Biologicals (priority applicant) determinations</w:t>
      </w:r>
      <w:bookmarkEnd w:id="123"/>
    </w:p>
    <w:p w14:paraId="7D3E867A" w14:textId="77777777" w:rsidR="007F5E99" w:rsidRPr="005E3B43" w:rsidRDefault="007F5E99" w:rsidP="00763BCF">
      <w:pPr>
        <w:pStyle w:val="Header"/>
      </w:pPr>
      <w:r w:rsidRPr="005E3B43">
        <w:rPr>
          <w:rStyle w:val="CharDivNo"/>
        </w:rPr>
        <w:t xml:space="preserve"> </w:t>
      </w:r>
      <w:r w:rsidRPr="005E3B43">
        <w:rPr>
          <w:rStyle w:val="CharDivText"/>
        </w:rPr>
        <w:t xml:space="preserve"> </w:t>
      </w:r>
    </w:p>
    <w:p w14:paraId="62B9F625" w14:textId="77777777" w:rsidR="007F5E99" w:rsidRPr="005E3B43" w:rsidRDefault="007F5E99" w:rsidP="00763BCF">
      <w:pPr>
        <w:pStyle w:val="ActHead5"/>
      </w:pPr>
      <w:bookmarkStart w:id="124" w:name="_Toc187135718"/>
      <w:r w:rsidRPr="005E3B43">
        <w:rPr>
          <w:rStyle w:val="CharSectno"/>
        </w:rPr>
        <w:t>16U</w:t>
      </w:r>
      <w:r w:rsidRPr="005E3B43">
        <w:t xml:space="preserve">  Application of Part</w:t>
      </w:r>
      <w:bookmarkEnd w:id="124"/>
    </w:p>
    <w:p w14:paraId="1324E527" w14:textId="77777777" w:rsidR="007F5E99" w:rsidRPr="005E3B43" w:rsidRDefault="007F5E99" w:rsidP="00763BCF">
      <w:pPr>
        <w:pStyle w:val="subsection"/>
      </w:pPr>
      <w:r w:rsidRPr="005E3B43">
        <w:tab/>
      </w:r>
      <w:r w:rsidRPr="005E3B43">
        <w:tab/>
        <w:t>For the purposes of subsection 32DEA(1) of the Act, this Part makes provision for and in relation to the making of biologicals (priority applicant) determinations.</w:t>
      </w:r>
    </w:p>
    <w:p w14:paraId="0977B860" w14:textId="77777777" w:rsidR="007F5E99" w:rsidRPr="005E3B43" w:rsidRDefault="007F5E99" w:rsidP="00763BCF">
      <w:pPr>
        <w:pStyle w:val="ActHead5"/>
      </w:pPr>
      <w:bookmarkStart w:id="125" w:name="_Toc187135719"/>
      <w:r w:rsidRPr="005E3B43">
        <w:rPr>
          <w:rStyle w:val="CharSectno"/>
        </w:rPr>
        <w:t>16V</w:t>
      </w:r>
      <w:r w:rsidRPr="005E3B43">
        <w:t xml:space="preserve">  Application for biologicals (priority applicant) determination</w:t>
      </w:r>
      <w:bookmarkEnd w:id="125"/>
    </w:p>
    <w:p w14:paraId="50E8FEFC" w14:textId="77777777" w:rsidR="007F5E99" w:rsidRPr="005E3B43" w:rsidRDefault="007F5E99" w:rsidP="00763BCF">
      <w:pPr>
        <w:pStyle w:val="subsection"/>
      </w:pPr>
      <w:r w:rsidRPr="005E3B43">
        <w:tab/>
        <w:t>(1)</w:t>
      </w:r>
      <w:r w:rsidRPr="005E3B43">
        <w:tab/>
        <w:t>A person may apply to the Secretary for a biologicals (priority applicant) determination in relation to a biological, other than a Class 1 biological</w:t>
      </w:r>
      <w:r w:rsidR="0091727F" w:rsidRPr="005E3B43">
        <w:t xml:space="preserve"> or an export only biological</w:t>
      </w:r>
      <w:r w:rsidRPr="005E3B43">
        <w:t>.</w:t>
      </w:r>
    </w:p>
    <w:p w14:paraId="158AE7A9" w14:textId="77777777" w:rsidR="007F5E99" w:rsidRPr="005E3B43" w:rsidRDefault="007F5E99" w:rsidP="00763BCF">
      <w:pPr>
        <w:pStyle w:val="subsection"/>
      </w:pPr>
      <w:r w:rsidRPr="005E3B43">
        <w:tab/>
        <w:t>(2)</w:t>
      </w:r>
      <w:r w:rsidRPr="005E3B43">
        <w:tab/>
        <w:t>An application under subregulation (1) must:</w:t>
      </w:r>
    </w:p>
    <w:p w14:paraId="0CE5F745" w14:textId="77777777" w:rsidR="007F5E99" w:rsidRPr="005E3B43" w:rsidRDefault="007F5E99" w:rsidP="00763BCF">
      <w:pPr>
        <w:pStyle w:val="paragraph"/>
      </w:pPr>
      <w:r w:rsidRPr="005E3B43">
        <w:tab/>
        <w:t>(a)</w:t>
      </w:r>
      <w:r w:rsidRPr="005E3B43">
        <w:tab/>
        <w:t>be in writing; and</w:t>
      </w:r>
    </w:p>
    <w:p w14:paraId="6D4BC05F" w14:textId="77777777" w:rsidR="007F5E99" w:rsidRPr="005E3B43" w:rsidRDefault="007F5E99" w:rsidP="00763BCF">
      <w:pPr>
        <w:pStyle w:val="paragraph"/>
      </w:pPr>
      <w:r w:rsidRPr="005E3B43">
        <w:tab/>
        <w:t>(b)</w:t>
      </w:r>
      <w:r w:rsidRPr="005E3B43">
        <w:tab/>
        <w:t>be in a form approved, in writing, by the Secretary; and</w:t>
      </w:r>
    </w:p>
    <w:p w14:paraId="0E1FE018" w14:textId="77777777" w:rsidR="007F5E99" w:rsidRPr="005E3B43" w:rsidRDefault="007F5E99" w:rsidP="00763BCF">
      <w:pPr>
        <w:pStyle w:val="paragraph"/>
      </w:pPr>
      <w:r w:rsidRPr="005E3B43">
        <w:tab/>
        <w:t>(c)</w:t>
      </w:r>
      <w:r w:rsidRPr="005E3B43">
        <w:tab/>
        <w:t>have with it written information in such detail as is reasonably necessary to allow the application to be properly considered.</w:t>
      </w:r>
    </w:p>
    <w:p w14:paraId="77E4BBA0" w14:textId="77777777" w:rsidR="007F5E99" w:rsidRPr="005E3B43" w:rsidRDefault="007F5E99" w:rsidP="00763BCF">
      <w:pPr>
        <w:pStyle w:val="subsection"/>
      </w:pPr>
      <w:r w:rsidRPr="005E3B43">
        <w:tab/>
        <w:t>(3)</w:t>
      </w:r>
      <w:r w:rsidRPr="005E3B43">
        <w:tab/>
        <w:t>An application under subregulation (1) is taken to not have been made unless:</w:t>
      </w:r>
    </w:p>
    <w:p w14:paraId="1CFEF132" w14:textId="77777777" w:rsidR="007F5E99" w:rsidRPr="005E3B43" w:rsidRDefault="007F5E99" w:rsidP="00763BCF">
      <w:pPr>
        <w:pStyle w:val="paragraph"/>
      </w:pPr>
      <w:r w:rsidRPr="005E3B43">
        <w:tab/>
        <w:t>(a)</w:t>
      </w:r>
      <w:r w:rsidRPr="005E3B43">
        <w:tab/>
        <w:t>the application meets the requirements in subregulation (2); and</w:t>
      </w:r>
    </w:p>
    <w:p w14:paraId="7B77DF9B" w14:textId="77777777" w:rsidR="007F5E99" w:rsidRPr="005E3B43" w:rsidRDefault="007F5E99" w:rsidP="00763BCF">
      <w:pPr>
        <w:pStyle w:val="paragraph"/>
      </w:pPr>
      <w:r w:rsidRPr="005E3B43">
        <w:tab/>
        <w:t>(b)</w:t>
      </w:r>
      <w:r w:rsidRPr="005E3B43">
        <w:tab/>
        <w:t xml:space="preserve">the fee prescribed in </w:t>
      </w:r>
      <w:r w:rsidR="006B5D8E" w:rsidRPr="005E3B43">
        <w:t>item 2</w:t>
      </w:r>
      <w:r w:rsidRPr="005E3B43">
        <w:t xml:space="preserve">A in </w:t>
      </w:r>
      <w:r w:rsidR="006B5D8E" w:rsidRPr="005E3B43">
        <w:t>Part 2</w:t>
      </w:r>
      <w:r w:rsidRPr="005E3B43">
        <w:t xml:space="preserve"> of Schedule 9A for making the application has been paid.</w:t>
      </w:r>
    </w:p>
    <w:p w14:paraId="40CA3259" w14:textId="77777777" w:rsidR="007F5E99" w:rsidRPr="005E3B43" w:rsidRDefault="007F5E99" w:rsidP="00763BCF">
      <w:pPr>
        <w:pStyle w:val="ActHead5"/>
      </w:pPr>
      <w:bookmarkStart w:id="126" w:name="_Toc187135720"/>
      <w:r w:rsidRPr="005E3B43">
        <w:rPr>
          <w:rStyle w:val="CharSectno"/>
        </w:rPr>
        <w:t>16W</w:t>
      </w:r>
      <w:r w:rsidRPr="005E3B43">
        <w:t xml:space="preserve">  Making of biologicals (priority applicant) determination</w:t>
      </w:r>
      <w:bookmarkEnd w:id="126"/>
    </w:p>
    <w:p w14:paraId="27FA4FAF" w14:textId="77777777" w:rsidR="007F5E99" w:rsidRPr="005E3B43" w:rsidRDefault="007F5E99" w:rsidP="00763BCF">
      <w:pPr>
        <w:pStyle w:val="subsection"/>
      </w:pPr>
      <w:r w:rsidRPr="005E3B43">
        <w:tab/>
        <w:t>(1)</w:t>
      </w:r>
      <w:r w:rsidRPr="005E3B43">
        <w:tab/>
        <w:t>On receiving an application under subregulation 16V(1) for a biologicals (priority applicant) determination in relation to a biological, the Secretary must:</w:t>
      </w:r>
    </w:p>
    <w:p w14:paraId="48CFADC3" w14:textId="77777777" w:rsidR="007F5E99" w:rsidRPr="005E3B43" w:rsidRDefault="007F5E99" w:rsidP="00763BCF">
      <w:pPr>
        <w:pStyle w:val="paragraph"/>
      </w:pPr>
      <w:r w:rsidRPr="005E3B43">
        <w:tab/>
        <w:t>(a)</w:t>
      </w:r>
      <w:r w:rsidRPr="005E3B43">
        <w:tab/>
        <w:t>consider the application; and</w:t>
      </w:r>
    </w:p>
    <w:p w14:paraId="6249ECBA" w14:textId="77777777" w:rsidR="007F5E99" w:rsidRPr="005E3B43" w:rsidRDefault="007F5E99" w:rsidP="00763BCF">
      <w:pPr>
        <w:pStyle w:val="paragraph"/>
      </w:pPr>
      <w:r w:rsidRPr="005E3B43">
        <w:tab/>
        <w:t>(b)</w:t>
      </w:r>
      <w:r w:rsidRPr="005E3B43">
        <w:tab/>
        <w:t>decide either:</w:t>
      </w:r>
    </w:p>
    <w:p w14:paraId="490B8212" w14:textId="77777777" w:rsidR="007F5E99" w:rsidRPr="005E3B43" w:rsidRDefault="007F5E99" w:rsidP="00763BCF">
      <w:pPr>
        <w:pStyle w:val="paragraphsub"/>
      </w:pPr>
      <w:r w:rsidRPr="005E3B43">
        <w:tab/>
        <w:t>(i)</w:t>
      </w:r>
      <w:r w:rsidRPr="005E3B43">
        <w:tab/>
        <w:t>to make the determination; or</w:t>
      </w:r>
    </w:p>
    <w:p w14:paraId="5989D8F6" w14:textId="77777777" w:rsidR="007F5E99" w:rsidRPr="005E3B43" w:rsidRDefault="007F5E99" w:rsidP="00763BCF">
      <w:pPr>
        <w:pStyle w:val="paragraphsub"/>
      </w:pPr>
      <w:r w:rsidRPr="005E3B43">
        <w:tab/>
        <w:t>(ii)</w:t>
      </w:r>
      <w:r w:rsidRPr="005E3B43">
        <w:tab/>
        <w:t>to refuse to make the determination.</w:t>
      </w:r>
    </w:p>
    <w:p w14:paraId="185528D7" w14:textId="77777777" w:rsidR="007F5E99" w:rsidRPr="005E3B43" w:rsidRDefault="007F5E99" w:rsidP="00763BCF">
      <w:pPr>
        <w:pStyle w:val="SubsectionHead"/>
      </w:pPr>
      <w:r w:rsidRPr="005E3B43">
        <w:t>Criteria</w:t>
      </w:r>
    </w:p>
    <w:p w14:paraId="160C80EC" w14:textId="77777777" w:rsidR="007F5E99" w:rsidRPr="005E3B43" w:rsidRDefault="007F5E99" w:rsidP="00763BCF">
      <w:pPr>
        <w:pStyle w:val="subsection"/>
      </w:pPr>
      <w:r w:rsidRPr="005E3B43">
        <w:tab/>
        <w:t>(2)</w:t>
      </w:r>
      <w:r w:rsidRPr="005E3B43">
        <w:tab/>
        <w:t>The Secretary may make the determination if the Secretary is satisfied, having regard to any matter that the Secretary considers relevant, that all of the following criteria are satisfied in relation to the biological:</w:t>
      </w:r>
    </w:p>
    <w:p w14:paraId="78BA95C7" w14:textId="77777777" w:rsidR="007F5E99" w:rsidRPr="005E3B43" w:rsidRDefault="007F5E99" w:rsidP="00763BCF">
      <w:pPr>
        <w:pStyle w:val="paragraph"/>
      </w:pPr>
      <w:r w:rsidRPr="005E3B43">
        <w:tab/>
        <w:t>(a)</w:t>
      </w:r>
      <w:r w:rsidRPr="005E3B43">
        <w:tab/>
        <w:t>the biological is separate and distinct from biologicals included in the Register;</w:t>
      </w:r>
    </w:p>
    <w:p w14:paraId="2910EE67" w14:textId="77777777" w:rsidR="007F5E99" w:rsidRPr="005E3B43" w:rsidRDefault="007F5E99" w:rsidP="00763BCF">
      <w:pPr>
        <w:pStyle w:val="paragraph"/>
      </w:pPr>
      <w:r w:rsidRPr="005E3B43">
        <w:tab/>
        <w:t>(b)</w:t>
      </w:r>
      <w:r w:rsidRPr="005E3B43">
        <w:tab/>
        <w:t>either:</w:t>
      </w:r>
    </w:p>
    <w:p w14:paraId="0996A9AE" w14:textId="324F746E" w:rsidR="007F5E99" w:rsidRPr="005E3B43" w:rsidRDefault="007F5E99" w:rsidP="00763BCF">
      <w:pPr>
        <w:pStyle w:val="paragraphsub"/>
      </w:pPr>
      <w:r w:rsidRPr="005E3B43">
        <w:tab/>
        <w:t>(i)</w:t>
      </w:r>
      <w:r w:rsidRPr="005E3B43">
        <w:tab/>
        <w:t xml:space="preserve">for a Class 2 biological—an intended clinical use (the </w:t>
      </w:r>
      <w:r w:rsidRPr="005E3B43">
        <w:rPr>
          <w:b/>
          <w:i/>
        </w:rPr>
        <w:t>priority indication</w:t>
      </w:r>
      <w:r w:rsidRPr="005E3B43">
        <w:t>) of the biological is the treatment, prevention or diagnosis of a life</w:t>
      </w:r>
      <w:r w:rsidR="007C3215">
        <w:noBreakHyphen/>
      </w:r>
      <w:r w:rsidRPr="005E3B43">
        <w:t>threating or seriously debilitating condition; or</w:t>
      </w:r>
    </w:p>
    <w:p w14:paraId="73F83DE4" w14:textId="043841FE" w:rsidR="007F5E99" w:rsidRPr="005E3B43" w:rsidRDefault="007F5E99" w:rsidP="00763BCF">
      <w:pPr>
        <w:pStyle w:val="paragraphsub"/>
      </w:pPr>
      <w:r w:rsidRPr="005E3B43">
        <w:lastRenderedPageBreak/>
        <w:tab/>
        <w:t>(ii)</w:t>
      </w:r>
      <w:r w:rsidRPr="005E3B43">
        <w:tab/>
        <w:t xml:space="preserve">for a Class 3 or Class 4 biological—a therapeutic indication (the </w:t>
      </w:r>
      <w:r w:rsidRPr="005E3B43">
        <w:rPr>
          <w:b/>
          <w:i/>
        </w:rPr>
        <w:t>priority indication</w:t>
      </w:r>
      <w:r w:rsidRPr="005E3B43">
        <w:t>) of the biological is the treatment, prevention or diagnosis of a life</w:t>
      </w:r>
      <w:r w:rsidR="007C3215">
        <w:noBreakHyphen/>
      </w:r>
      <w:r w:rsidRPr="005E3B43">
        <w:t>threatening or seriously debilitating condition;</w:t>
      </w:r>
    </w:p>
    <w:p w14:paraId="156B5130" w14:textId="77777777" w:rsidR="007F5E99" w:rsidRPr="005E3B43" w:rsidRDefault="007F5E99" w:rsidP="00763BCF">
      <w:pPr>
        <w:pStyle w:val="paragraph"/>
      </w:pPr>
      <w:r w:rsidRPr="005E3B43">
        <w:tab/>
        <w:t>(c)</w:t>
      </w:r>
      <w:r w:rsidRPr="005E3B43">
        <w:tab/>
        <w:t>either:</w:t>
      </w:r>
    </w:p>
    <w:p w14:paraId="51164D91" w14:textId="77777777" w:rsidR="007F5E99" w:rsidRPr="005E3B43" w:rsidRDefault="007F5E99" w:rsidP="00763BCF">
      <w:pPr>
        <w:pStyle w:val="paragraphsub"/>
      </w:pPr>
      <w:r w:rsidRPr="005E3B43">
        <w:tab/>
        <w:t>(i)</w:t>
      </w:r>
      <w:r w:rsidRPr="005E3B43">
        <w:tab/>
        <w:t>no therapeutic goods that are intended to treat, prevent or diagnose the condition are included in the Register (except in the part of the Register for goods known as provisionally registered goods); or</w:t>
      </w:r>
    </w:p>
    <w:p w14:paraId="5FAA972E" w14:textId="77777777" w:rsidR="007F5E99" w:rsidRPr="005E3B43" w:rsidRDefault="007F5E99" w:rsidP="00763BCF">
      <w:pPr>
        <w:pStyle w:val="paragraphsub"/>
      </w:pPr>
      <w:r w:rsidRPr="005E3B43">
        <w:tab/>
        <w:t>(ii)</w:t>
      </w:r>
      <w:r w:rsidRPr="005E3B43">
        <w:tab/>
        <w:t>if one or more therapeutic goods that are intended to treat, prevent or diagnose the condition are included in the Register (except in the part of the Register for goods known as provisionally registered goods)—there is substantial evidence demonstrating that the biological provides a significant improvement in the efficacy or safety of the treatment, prevention or diagnosis of the condition compared to those goods;</w:t>
      </w:r>
    </w:p>
    <w:p w14:paraId="2E76A1F1" w14:textId="77777777" w:rsidR="007F5E99" w:rsidRPr="005E3B43" w:rsidRDefault="007F5E99" w:rsidP="00763BCF">
      <w:pPr>
        <w:pStyle w:val="paragraph"/>
      </w:pPr>
      <w:r w:rsidRPr="005E3B43">
        <w:tab/>
        <w:t>(d)</w:t>
      </w:r>
      <w:r w:rsidRPr="005E3B43">
        <w:tab/>
        <w:t>there is substantial evidence demonstrating that the biological provides a major therapeutic advance.</w:t>
      </w:r>
    </w:p>
    <w:p w14:paraId="182F796A" w14:textId="77777777" w:rsidR="007F5E99" w:rsidRPr="005E3B43" w:rsidRDefault="007F5E99" w:rsidP="00763BCF">
      <w:pPr>
        <w:pStyle w:val="notetext"/>
      </w:pPr>
      <w:r w:rsidRPr="005E3B43">
        <w:t>Note:</w:t>
      </w:r>
      <w:r w:rsidRPr="005E3B43">
        <w:tab/>
        <w:t>For paragraph (a), see section 32AB of the Act and regulation 11A for when a biological is separate and distinct from other biologicals.</w:t>
      </w:r>
    </w:p>
    <w:p w14:paraId="70518955" w14:textId="77777777" w:rsidR="007F5E99" w:rsidRPr="005E3B43" w:rsidRDefault="007F5E99" w:rsidP="00763BCF">
      <w:pPr>
        <w:pStyle w:val="SubsectionHead"/>
      </w:pPr>
      <w:r w:rsidRPr="005E3B43">
        <w:t>Information to be specified in the determination</w:t>
      </w:r>
    </w:p>
    <w:p w14:paraId="030E7A11" w14:textId="77777777" w:rsidR="007F5E99" w:rsidRPr="005E3B43" w:rsidRDefault="007F5E99" w:rsidP="00763BCF">
      <w:pPr>
        <w:pStyle w:val="subsection"/>
      </w:pPr>
      <w:r w:rsidRPr="005E3B43">
        <w:tab/>
        <w:t>(3)</w:t>
      </w:r>
      <w:r w:rsidRPr="005E3B43">
        <w:tab/>
        <w:t>The determination must specify:</w:t>
      </w:r>
    </w:p>
    <w:p w14:paraId="5D6D9F23" w14:textId="77777777" w:rsidR="007F5E99" w:rsidRPr="005E3B43" w:rsidRDefault="007F5E99" w:rsidP="00763BCF">
      <w:pPr>
        <w:pStyle w:val="paragraph"/>
      </w:pPr>
      <w:r w:rsidRPr="005E3B43">
        <w:tab/>
        <w:t>(a)</w:t>
      </w:r>
      <w:r w:rsidRPr="005E3B43">
        <w:tab/>
        <w:t>the person who, as a result of section 32DEA of the Act, is the priority applicant; and</w:t>
      </w:r>
    </w:p>
    <w:p w14:paraId="517EEE10" w14:textId="77777777" w:rsidR="007F5E99" w:rsidRPr="005E3B43" w:rsidRDefault="007F5E99" w:rsidP="00763BCF">
      <w:pPr>
        <w:pStyle w:val="paragraph"/>
      </w:pPr>
      <w:r w:rsidRPr="005E3B43">
        <w:tab/>
        <w:t>(b)</w:t>
      </w:r>
      <w:r w:rsidRPr="005E3B43">
        <w:tab/>
        <w:t>each active ingredient of the biological to which the determination relates; and</w:t>
      </w:r>
    </w:p>
    <w:p w14:paraId="0D7FBF52" w14:textId="77777777" w:rsidR="007F5E99" w:rsidRPr="005E3B43" w:rsidRDefault="007F5E99" w:rsidP="00763BCF">
      <w:pPr>
        <w:pStyle w:val="paragraph"/>
      </w:pPr>
      <w:r w:rsidRPr="005E3B43">
        <w:tab/>
        <w:t>(c)</w:t>
      </w:r>
      <w:r w:rsidRPr="005E3B43">
        <w:tab/>
        <w:t>the priority indication of the biological.</w:t>
      </w:r>
    </w:p>
    <w:p w14:paraId="78DB68A7" w14:textId="77777777" w:rsidR="007F5E99" w:rsidRPr="005E3B43" w:rsidRDefault="007F5E99" w:rsidP="00763BCF">
      <w:pPr>
        <w:pStyle w:val="SubsectionHead"/>
      </w:pPr>
      <w:r w:rsidRPr="005E3B43">
        <w:t>Notification of decision</w:t>
      </w:r>
    </w:p>
    <w:p w14:paraId="144AD3E5" w14:textId="77777777" w:rsidR="007F5E99" w:rsidRPr="005E3B43" w:rsidRDefault="007F5E99" w:rsidP="00763BCF">
      <w:pPr>
        <w:pStyle w:val="subsection"/>
      </w:pPr>
      <w:r w:rsidRPr="005E3B43">
        <w:tab/>
        <w:t>(4)</w:t>
      </w:r>
      <w:r w:rsidRPr="005E3B43">
        <w:tab/>
        <w:t>As soon as practicable after making the decision, the Secretary must notify the applicant, in writing, of the decision.</w:t>
      </w:r>
    </w:p>
    <w:p w14:paraId="15AFAA2C" w14:textId="77777777" w:rsidR="007F5E99" w:rsidRPr="005E3B43" w:rsidRDefault="007F5E99" w:rsidP="00763BCF">
      <w:pPr>
        <w:pStyle w:val="subsection"/>
      </w:pPr>
      <w:r w:rsidRPr="005E3B43">
        <w:tab/>
        <w:t>(5)</w:t>
      </w:r>
      <w:r w:rsidRPr="005E3B43">
        <w:tab/>
        <w:t>If the Secretary decides to refuse to make the determination, the notification must include the reasons for the decision.</w:t>
      </w:r>
    </w:p>
    <w:p w14:paraId="0F201362" w14:textId="77777777" w:rsidR="007F5E99" w:rsidRPr="005E3B43" w:rsidRDefault="007F5E99" w:rsidP="00763BCF">
      <w:pPr>
        <w:pStyle w:val="ActHead5"/>
      </w:pPr>
      <w:bookmarkStart w:id="127" w:name="_Toc187135721"/>
      <w:r w:rsidRPr="005E3B43">
        <w:rPr>
          <w:rStyle w:val="CharSectno"/>
        </w:rPr>
        <w:t>16X</w:t>
      </w:r>
      <w:r w:rsidRPr="005E3B43">
        <w:t xml:space="preserve">  Period during which biologicals (priority applicant) determination is in force</w:t>
      </w:r>
      <w:bookmarkEnd w:id="127"/>
    </w:p>
    <w:p w14:paraId="5C944F52" w14:textId="77777777" w:rsidR="007F5E99" w:rsidRPr="005E3B43" w:rsidRDefault="007F5E99" w:rsidP="00763BCF">
      <w:pPr>
        <w:pStyle w:val="subsection"/>
      </w:pPr>
      <w:r w:rsidRPr="005E3B43">
        <w:tab/>
        <w:t>(1)</w:t>
      </w:r>
      <w:r w:rsidRPr="005E3B43">
        <w:tab/>
        <w:t>A biologicals (priority applicant) determination in relation to a biological:</w:t>
      </w:r>
    </w:p>
    <w:p w14:paraId="40B3E9E3" w14:textId="77777777" w:rsidR="007F5E99" w:rsidRPr="005E3B43" w:rsidRDefault="007F5E99" w:rsidP="00763BCF">
      <w:pPr>
        <w:pStyle w:val="paragraph"/>
      </w:pPr>
      <w:r w:rsidRPr="005E3B43">
        <w:tab/>
        <w:t>(a)</w:t>
      </w:r>
      <w:r w:rsidRPr="005E3B43">
        <w:tab/>
        <w:t>comes into force on the day on which the Secretary notifies the priority applicant in accordance with subregulation 16W(4); and</w:t>
      </w:r>
    </w:p>
    <w:p w14:paraId="51206EEC" w14:textId="77777777" w:rsidR="007F5E99" w:rsidRPr="005E3B43" w:rsidRDefault="007F5E99" w:rsidP="00763BCF">
      <w:pPr>
        <w:pStyle w:val="paragraph"/>
      </w:pPr>
      <w:r w:rsidRPr="005E3B43">
        <w:tab/>
        <w:t>(b)</w:t>
      </w:r>
      <w:r w:rsidRPr="005E3B43">
        <w:tab/>
        <w:t>subject to subregulation (2) and regulation 16Y, remains in force for 6 months.</w:t>
      </w:r>
    </w:p>
    <w:p w14:paraId="644C3C2F" w14:textId="77777777" w:rsidR="007F5E99" w:rsidRPr="005E3B43" w:rsidRDefault="007F5E99" w:rsidP="00763BCF">
      <w:pPr>
        <w:pStyle w:val="subsection"/>
      </w:pPr>
      <w:r w:rsidRPr="005E3B43">
        <w:tab/>
        <w:t>(2)</w:t>
      </w:r>
      <w:r w:rsidRPr="005E3B43">
        <w:tab/>
        <w:t xml:space="preserve">If the priority applicant specified in the determination makes an application under section 32DD of the Act to include the biological in the Register that passes preliminary assessment before the end of the 6 month period beginning </w:t>
      </w:r>
      <w:r w:rsidRPr="005E3B43">
        <w:lastRenderedPageBreak/>
        <w:t>when the determination comes into force, the determination remains in force until:</w:t>
      </w:r>
    </w:p>
    <w:p w14:paraId="5BADB8DB" w14:textId="77777777" w:rsidR="007F5E99" w:rsidRPr="005E3B43" w:rsidRDefault="007F5E99" w:rsidP="00763BCF">
      <w:pPr>
        <w:pStyle w:val="paragraph"/>
      </w:pPr>
      <w:r w:rsidRPr="005E3B43">
        <w:tab/>
        <w:t>(a)</w:t>
      </w:r>
      <w:r w:rsidRPr="005E3B43">
        <w:tab/>
        <w:t>the priority applicant withdraws the application; or</w:t>
      </w:r>
    </w:p>
    <w:p w14:paraId="329984F9" w14:textId="77777777" w:rsidR="007F5E99" w:rsidRPr="005E3B43" w:rsidRDefault="007F5E99" w:rsidP="00763BCF">
      <w:pPr>
        <w:pStyle w:val="paragraph"/>
      </w:pPr>
      <w:r w:rsidRPr="005E3B43">
        <w:tab/>
        <w:t>(b)</w:t>
      </w:r>
      <w:r w:rsidRPr="005E3B43">
        <w:tab/>
        <w:t>the application lapses in accordance with section 32DH of the Act; or</w:t>
      </w:r>
    </w:p>
    <w:p w14:paraId="468F0F03" w14:textId="77777777" w:rsidR="007F5E99" w:rsidRPr="005E3B43" w:rsidRDefault="007F5E99" w:rsidP="00763BCF">
      <w:pPr>
        <w:pStyle w:val="paragraph"/>
      </w:pPr>
      <w:r w:rsidRPr="005E3B43">
        <w:tab/>
        <w:t>(c)</w:t>
      </w:r>
      <w:r w:rsidRPr="005E3B43">
        <w:tab/>
        <w:t>the application is finally determined.</w:t>
      </w:r>
    </w:p>
    <w:p w14:paraId="793FB5A9" w14:textId="77777777" w:rsidR="007F5E99" w:rsidRPr="005E3B43" w:rsidRDefault="007F5E99" w:rsidP="00763BCF">
      <w:pPr>
        <w:pStyle w:val="notetext"/>
      </w:pPr>
      <w:r w:rsidRPr="005E3B43">
        <w:t>Note:</w:t>
      </w:r>
      <w:r w:rsidRPr="005E3B43">
        <w:tab/>
        <w:t>See subsection 32DDA(3) of the Act for when an application passes preliminary assessment.</w:t>
      </w:r>
    </w:p>
    <w:p w14:paraId="1C2910DA" w14:textId="77777777" w:rsidR="007F5E99" w:rsidRPr="005E3B43" w:rsidRDefault="007F5E99" w:rsidP="00763BCF">
      <w:pPr>
        <w:pStyle w:val="ActHead5"/>
      </w:pPr>
      <w:bookmarkStart w:id="128" w:name="_Toc187135722"/>
      <w:r w:rsidRPr="005E3B43">
        <w:rPr>
          <w:rStyle w:val="CharSectno"/>
        </w:rPr>
        <w:t>16Y</w:t>
      </w:r>
      <w:r w:rsidRPr="005E3B43">
        <w:t xml:space="preserve">  Revocation of biologicals (priority applicant) determination</w:t>
      </w:r>
      <w:bookmarkEnd w:id="128"/>
    </w:p>
    <w:p w14:paraId="6E7849CB" w14:textId="77777777" w:rsidR="007F5E99" w:rsidRPr="005E3B43" w:rsidRDefault="007F5E99" w:rsidP="00763BCF">
      <w:pPr>
        <w:pStyle w:val="subsection"/>
      </w:pPr>
      <w:r w:rsidRPr="005E3B43">
        <w:tab/>
        <w:t>(1)</w:t>
      </w:r>
      <w:r w:rsidRPr="005E3B43">
        <w:tab/>
        <w:t>The Secretary may revoke a biologicals (priority applicant) determination in relation to a biological if:</w:t>
      </w:r>
    </w:p>
    <w:p w14:paraId="17B3DF58" w14:textId="77777777" w:rsidR="007F5E99" w:rsidRPr="005E3B43" w:rsidRDefault="007F5E99" w:rsidP="00763BCF">
      <w:pPr>
        <w:pStyle w:val="paragraph"/>
      </w:pPr>
      <w:r w:rsidRPr="005E3B43">
        <w:tab/>
        <w:t>(a)</w:t>
      </w:r>
      <w:r w:rsidRPr="005E3B43">
        <w:tab/>
        <w:t>either:</w:t>
      </w:r>
    </w:p>
    <w:p w14:paraId="6A8BEA57" w14:textId="77777777" w:rsidR="007F5E99" w:rsidRPr="005E3B43" w:rsidRDefault="007F5E99" w:rsidP="00763BCF">
      <w:pPr>
        <w:pStyle w:val="paragraphsub"/>
      </w:pPr>
      <w:r w:rsidRPr="005E3B43">
        <w:tab/>
        <w:t>(i)</w:t>
      </w:r>
      <w:r w:rsidRPr="005E3B43">
        <w:tab/>
        <w:t>the priority applicant specified in the determination has not made an application under section 32DD of the Act to include the biological in the Register; or</w:t>
      </w:r>
    </w:p>
    <w:p w14:paraId="14A9EE5D" w14:textId="77777777" w:rsidR="007F5E99" w:rsidRPr="005E3B43" w:rsidRDefault="007F5E99" w:rsidP="00763BCF">
      <w:pPr>
        <w:pStyle w:val="paragraphsub"/>
      </w:pPr>
      <w:r w:rsidRPr="005E3B43">
        <w:tab/>
        <w:t>(ii)</w:t>
      </w:r>
      <w:r w:rsidRPr="005E3B43">
        <w:tab/>
        <w:t>the priority applicant has made such an application, but the application does not pass preliminary assessment; and</w:t>
      </w:r>
    </w:p>
    <w:p w14:paraId="562A28B2" w14:textId="77777777" w:rsidR="007F5E99" w:rsidRPr="005E3B43" w:rsidRDefault="007F5E99" w:rsidP="00763BCF">
      <w:pPr>
        <w:pStyle w:val="paragraph"/>
      </w:pPr>
      <w:r w:rsidRPr="005E3B43">
        <w:tab/>
        <w:t>(b)</w:t>
      </w:r>
      <w:r w:rsidRPr="005E3B43">
        <w:tab/>
        <w:t>the Secretary is satisfied that the criteria specified in subregulation 16W(2) are no longer satisfied in relation to the biological.</w:t>
      </w:r>
    </w:p>
    <w:p w14:paraId="2A68165F" w14:textId="77777777" w:rsidR="007F5E99" w:rsidRPr="005E3B43" w:rsidRDefault="007F5E99" w:rsidP="00763BCF">
      <w:pPr>
        <w:pStyle w:val="notetext"/>
      </w:pPr>
      <w:r w:rsidRPr="005E3B43">
        <w:t>Note:</w:t>
      </w:r>
      <w:r w:rsidRPr="005E3B43">
        <w:tab/>
        <w:t>See subsection 32DDA(3) of the Act for when an application passes preliminary assessment.</w:t>
      </w:r>
    </w:p>
    <w:p w14:paraId="762F0EF4" w14:textId="77777777" w:rsidR="007F5E99" w:rsidRPr="005E3B43" w:rsidRDefault="007F5E99" w:rsidP="00763BCF">
      <w:pPr>
        <w:pStyle w:val="subsection"/>
      </w:pPr>
      <w:r w:rsidRPr="005E3B43">
        <w:tab/>
        <w:t>(2)</w:t>
      </w:r>
      <w:r w:rsidRPr="005E3B43">
        <w:tab/>
        <w:t>The revocation must be by written notice given by the Secretary to the priority applicant.</w:t>
      </w:r>
    </w:p>
    <w:p w14:paraId="065D9BAF" w14:textId="77777777" w:rsidR="00207B1C" w:rsidRPr="005E3B43" w:rsidRDefault="00207B1C" w:rsidP="00763BCF">
      <w:pPr>
        <w:pStyle w:val="ActHead2"/>
        <w:pageBreakBefore/>
      </w:pPr>
      <w:bookmarkStart w:id="129" w:name="_Toc187135723"/>
      <w:r w:rsidRPr="005E3B43">
        <w:rPr>
          <w:rStyle w:val="CharPartNo"/>
        </w:rPr>
        <w:lastRenderedPageBreak/>
        <w:t>Part</w:t>
      </w:r>
      <w:r w:rsidR="004E6D00" w:rsidRPr="005E3B43">
        <w:rPr>
          <w:rStyle w:val="CharPartNo"/>
        </w:rPr>
        <w:t> </w:t>
      </w:r>
      <w:r w:rsidRPr="005E3B43">
        <w:rPr>
          <w:rStyle w:val="CharPartNo"/>
        </w:rPr>
        <w:t>4</w:t>
      </w:r>
      <w:r w:rsidR="00E20BA4" w:rsidRPr="005E3B43">
        <w:t>—</w:t>
      </w:r>
      <w:r w:rsidRPr="005E3B43">
        <w:rPr>
          <w:rStyle w:val="CharPartText"/>
        </w:rPr>
        <w:t>Licensing of manufacturers</w:t>
      </w:r>
      <w:bookmarkEnd w:id="129"/>
    </w:p>
    <w:p w14:paraId="502A318F" w14:textId="77777777" w:rsidR="00207B1C" w:rsidRPr="005E3B43" w:rsidRDefault="00E20BA4" w:rsidP="00763BCF">
      <w:pPr>
        <w:pStyle w:val="Header"/>
      </w:pPr>
      <w:r w:rsidRPr="005E3B43">
        <w:rPr>
          <w:rStyle w:val="CharDivNo"/>
        </w:rPr>
        <w:t xml:space="preserve"> </w:t>
      </w:r>
      <w:r w:rsidRPr="005E3B43">
        <w:rPr>
          <w:rStyle w:val="CharDivText"/>
        </w:rPr>
        <w:t xml:space="preserve"> </w:t>
      </w:r>
    </w:p>
    <w:p w14:paraId="7DBC227F" w14:textId="77777777" w:rsidR="00207B1C" w:rsidRPr="005E3B43" w:rsidRDefault="00207B1C" w:rsidP="00763BCF">
      <w:pPr>
        <w:pStyle w:val="ActHead5"/>
      </w:pPr>
      <w:bookmarkStart w:id="130" w:name="_Toc187135724"/>
      <w:r w:rsidRPr="005E3B43">
        <w:rPr>
          <w:rStyle w:val="CharSectno"/>
        </w:rPr>
        <w:t>17</w:t>
      </w:r>
      <w:r w:rsidR="00E20BA4" w:rsidRPr="005E3B43">
        <w:t xml:space="preserve">  </w:t>
      </w:r>
      <w:r w:rsidRPr="005E3B43">
        <w:t xml:space="preserve">Exempt goods for the purposes of </w:t>
      </w:r>
      <w:r w:rsidR="00842CCD" w:rsidRPr="005E3B43">
        <w:t>subsection 3</w:t>
      </w:r>
      <w:r w:rsidRPr="005E3B43">
        <w:t>4(1) of the Act</w:t>
      </w:r>
      <w:bookmarkEnd w:id="130"/>
    </w:p>
    <w:p w14:paraId="35846364" w14:textId="5EB9E024" w:rsidR="00207B1C" w:rsidRPr="005E3B43" w:rsidRDefault="00207B1C" w:rsidP="00763BCF">
      <w:pPr>
        <w:pStyle w:val="subsection"/>
      </w:pPr>
      <w:r w:rsidRPr="005E3B43">
        <w:tab/>
        <w:t>(1)</w:t>
      </w:r>
      <w:r w:rsidRPr="005E3B43">
        <w:tab/>
        <w:t xml:space="preserve">For the purposes of </w:t>
      </w:r>
      <w:r w:rsidR="00842CCD" w:rsidRPr="005E3B43">
        <w:t>subsection 3</w:t>
      </w:r>
      <w:r w:rsidRPr="005E3B43">
        <w:t>4(1) of the Act, the therapeutic goods specified in Schedule</w:t>
      </w:r>
      <w:r w:rsidR="004E6D00" w:rsidRPr="005E3B43">
        <w:t> </w:t>
      </w:r>
      <w:r w:rsidRPr="005E3B43">
        <w:t xml:space="preserve">7 are exempt from the operation of </w:t>
      </w:r>
      <w:r w:rsidR="00BB758E" w:rsidRPr="005E3B43">
        <w:t>Part 3</w:t>
      </w:r>
      <w:r w:rsidR="007C3215">
        <w:noBreakHyphen/>
      </w:r>
      <w:r w:rsidRPr="005E3B43">
        <w:t>3 of the Act unless the goods are supplied as pharmaceutical benefits.</w:t>
      </w:r>
    </w:p>
    <w:p w14:paraId="32E5B38B" w14:textId="77777777" w:rsidR="00207B1C" w:rsidRPr="005E3B43" w:rsidRDefault="00207B1C" w:rsidP="00763BCF">
      <w:pPr>
        <w:pStyle w:val="subsection"/>
      </w:pPr>
      <w:r w:rsidRPr="005E3B43">
        <w:tab/>
        <w:t>(2)</w:t>
      </w:r>
      <w:r w:rsidRPr="005E3B43">
        <w:tab/>
        <w:t>If:</w:t>
      </w:r>
    </w:p>
    <w:p w14:paraId="3125A886" w14:textId="641B4396" w:rsidR="00207B1C" w:rsidRPr="005E3B43" w:rsidRDefault="00207B1C" w:rsidP="00763BCF">
      <w:pPr>
        <w:pStyle w:val="paragraph"/>
      </w:pPr>
      <w:r w:rsidRPr="005E3B43">
        <w:tab/>
        <w:t>(a)</w:t>
      </w:r>
      <w:r w:rsidRPr="005E3B43">
        <w:tab/>
        <w:t xml:space="preserve">therapeutic goods that are exempt from the operation of </w:t>
      </w:r>
      <w:r w:rsidR="00BB758E" w:rsidRPr="005E3B43">
        <w:t>Part 3</w:t>
      </w:r>
      <w:r w:rsidR="007C3215">
        <w:noBreakHyphen/>
      </w:r>
      <w:r w:rsidRPr="005E3B43">
        <w:t>3 of the Act cease to be exempt; and</w:t>
      </w:r>
    </w:p>
    <w:p w14:paraId="0CBEEC08" w14:textId="77777777" w:rsidR="00207B1C" w:rsidRPr="005E3B43" w:rsidRDefault="00207B1C" w:rsidP="00763BCF">
      <w:pPr>
        <w:pStyle w:val="paragraph"/>
      </w:pPr>
      <w:r w:rsidRPr="005E3B43">
        <w:tab/>
        <w:t>(b)</w:t>
      </w:r>
      <w:r w:rsidRPr="005E3B43">
        <w:tab/>
        <w:t>before the day on which the goods cease to be exempt, each person who carries out a step in the manufacture of the goods applies for a licence authorising the person to carry out the step on premises referred to in the application;</w:t>
      </w:r>
    </w:p>
    <w:p w14:paraId="1371B019" w14:textId="77777777" w:rsidR="00207B1C" w:rsidRPr="005E3B43" w:rsidRDefault="00207B1C" w:rsidP="00763BCF">
      <w:pPr>
        <w:pStyle w:val="subsection2"/>
      </w:pPr>
      <w:r w:rsidRPr="005E3B43">
        <w:t>the goods produced by those persons carrying out the steps on those premises are taken to be exempt from the operation of that Part until each application is determined.</w:t>
      </w:r>
    </w:p>
    <w:p w14:paraId="0B7D639C" w14:textId="77777777" w:rsidR="00207B1C" w:rsidRPr="005E3B43" w:rsidRDefault="00207B1C" w:rsidP="00763BCF">
      <w:pPr>
        <w:pStyle w:val="ActHead5"/>
      </w:pPr>
      <w:bookmarkStart w:id="131" w:name="_Toc187135725"/>
      <w:r w:rsidRPr="005E3B43">
        <w:rPr>
          <w:rStyle w:val="CharSectno"/>
        </w:rPr>
        <w:t>18</w:t>
      </w:r>
      <w:r w:rsidR="00E20BA4" w:rsidRPr="005E3B43">
        <w:t xml:space="preserve">  </w:t>
      </w:r>
      <w:r w:rsidRPr="005E3B43">
        <w:t>Exempt Persons</w:t>
      </w:r>
      <w:bookmarkEnd w:id="131"/>
    </w:p>
    <w:p w14:paraId="646317CF" w14:textId="716A3251" w:rsidR="00207B1C" w:rsidRPr="005E3B43" w:rsidRDefault="00207B1C" w:rsidP="00763BCF">
      <w:pPr>
        <w:pStyle w:val="subsection"/>
      </w:pPr>
      <w:r w:rsidRPr="005E3B43">
        <w:tab/>
      </w:r>
      <w:r w:rsidRPr="005E3B43">
        <w:tab/>
        <w:t xml:space="preserve">For the purposes of </w:t>
      </w:r>
      <w:r w:rsidR="00842CCD" w:rsidRPr="005E3B43">
        <w:t>subsection 3</w:t>
      </w:r>
      <w:r w:rsidRPr="005E3B43">
        <w:t>4(2) of the Act, the persons specified in column 2 of an item in Schedule</w:t>
      </w:r>
      <w:r w:rsidR="004E6D00" w:rsidRPr="005E3B43">
        <w:t> </w:t>
      </w:r>
      <w:r w:rsidRPr="005E3B43">
        <w:t xml:space="preserve">8 are exempt from the operation of </w:t>
      </w:r>
      <w:r w:rsidR="00BB758E" w:rsidRPr="005E3B43">
        <w:t>Part 3</w:t>
      </w:r>
      <w:r w:rsidR="007C3215">
        <w:noBreakHyphen/>
      </w:r>
      <w:r w:rsidRPr="005E3B43">
        <w:t>3 of the Act in relation to the manufacture, or the steps in the manufacture, of the therapeutic goods specified in column 3 of that item.</w:t>
      </w:r>
    </w:p>
    <w:p w14:paraId="48954C9F" w14:textId="77777777" w:rsidR="00207B1C" w:rsidRPr="005E3B43" w:rsidRDefault="00207B1C" w:rsidP="00763BCF">
      <w:pPr>
        <w:pStyle w:val="ActHead5"/>
      </w:pPr>
      <w:bookmarkStart w:id="132" w:name="_Toc187135726"/>
      <w:r w:rsidRPr="005E3B43">
        <w:rPr>
          <w:rStyle w:val="CharSectno"/>
        </w:rPr>
        <w:t>19</w:t>
      </w:r>
      <w:r w:rsidR="00E20BA4" w:rsidRPr="005E3B43">
        <w:t xml:space="preserve">  </w:t>
      </w:r>
      <w:r w:rsidRPr="005E3B43">
        <w:t>Requirements for licence holders</w:t>
      </w:r>
      <w:bookmarkEnd w:id="132"/>
    </w:p>
    <w:p w14:paraId="22A9433C" w14:textId="77777777" w:rsidR="00207B1C" w:rsidRPr="005E3B43" w:rsidRDefault="00207B1C" w:rsidP="00763BCF">
      <w:pPr>
        <w:pStyle w:val="subsection"/>
      </w:pPr>
      <w:r w:rsidRPr="005E3B43">
        <w:tab/>
      </w:r>
      <w:r w:rsidRPr="005E3B43">
        <w:tab/>
        <w:t>For the purposes of section</w:t>
      </w:r>
      <w:r w:rsidR="004E6D00" w:rsidRPr="005E3B43">
        <w:t> </w:t>
      </w:r>
      <w:r w:rsidRPr="005E3B43">
        <w:t>40 of the Act, it is a condition of each licence that the licence holder must give the Secretary, at the time of payment of the annual licensing charge in respect of the licence:</w:t>
      </w:r>
    </w:p>
    <w:p w14:paraId="5285159C" w14:textId="77777777" w:rsidR="00207B1C" w:rsidRPr="005E3B43" w:rsidRDefault="00207B1C" w:rsidP="00763BCF">
      <w:pPr>
        <w:pStyle w:val="paragraph"/>
      </w:pPr>
      <w:r w:rsidRPr="005E3B43">
        <w:tab/>
        <w:t>(a)</w:t>
      </w:r>
      <w:r w:rsidRPr="005E3B43">
        <w:tab/>
        <w:t>if the Secretary so requests</w:t>
      </w:r>
      <w:r w:rsidR="00E20BA4" w:rsidRPr="005E3B43">
        <w:t>—</w:t>
      </w:r>
      <w:r w:rsidRPr="005E3B43">
        <w:t>details of therapeutic goods manufactured by or on behalf of the licence holder during the period of 12 months immediately preceding the date on which the payment of the charge is due; and</w:t>
      </w:r>
    </w:p>
    <w:p w14:paraId="569AE015" w14:textId="77777777" w:rsidR="00207B1C" w:rsidRPr="005E3B43" w:rsidRDefault="00207B1C" w:rsidP="00763BCF">
      <w:pPr>
        <w:pStyle w:val="paragraph"/>
      </w:pPr>
      <w:r w:rsidRPr="005E3B43">
        <w:tab/>
        <w:t>(b)</w:t>
      </w:r>
      <w:r w:rsidRPr="005E3B43">
        <w:tab/>
        <w:t>the name, qualifications and details of the relevant experience of any person nominated by the licence holder as having control of:</w:t>
      </w:r>
    </w:p>
    <w:p w14:paraId="0E935A60" w14:textId="77777777" w:rsidR="00207B1C" w:rsidRPr="005E3B43" w:rsidRDefault="00207B1C" w:rsidP="00763BCF">
      <w:pPr>
        <w:pStyle w:val="paragraphsub"/>
      </w:pPr>
      <w:r w:rsidRPr="005E3B43">
        <w:tab/>
        <w:t>(i)</w:t>
      </w:r>
      <w:r w:rsidRPr="005E3B43">
        <w:tab/>
        <w:t>the production of the goods; and</w:t>
      </w:r>
    </w:p>
    <w:p w14:paraId="45FED90F" w14:textId="77777777" w:rsidR="00207B1C" w:rsidRPr="005E3B43" w:rsidRDefault="00207B1C" w:rsidP="00763BCF">
      <w:pPr>
        <w:pStyle w:val="paragraphsub"/>
      </w:pPr>
      <w:r w:rsidRPr="005E3B43">
        <w:tab/>
        <w:t>(ii)</w:t>
      </w:r>
      <w:r w:rsidRPr="005E3B43">
        <w:tab/>
        <w:t>the quality control measures that are to be employed in the manufacture of the goods.</w:t>
      </w:r>
    </w:p>
    <w:p w14:paraId="5CD9F987" w14:textId="77777777" w:rsidR="00207B1C" w:rsidRPr="005E3B43" w:rsidRDefault="00207B1C" w:rsidP="00763BCF">
      <w:pPr>
        <w:pStyle w:val="ActHead5"/>
      </w:pPr>
      <w:bookmarkStart w:id="133" w:name="_Toc187135727"/>
      <w:r w:rsidRPr="005E3B43">
        <w:rPr>
          <w:rStyle w:val="CharSectno"/>
        </w:rPr>
        <w:t>20</w:t>
      </w:r>
      <w:r w:rsidR="00E20BA4" w:rsidRPr="005E3B43">
        <w:t xml:space="preserve">  </w:t>
      </w:r>
      <w:r w:rsidRPr="005E3B43">
        <w:t>Conditions of licences</w:t>
      </w:r>
      <w:bookmarkEnd w:id="133"/>
    </w:p>
    <w:p w14:paraId="31468B28" w14:textId="77777777" w:rsidR="00207B1C" w:rsidRPr="005E3B43" w:rsidRDefault="00207B1C" w:rsidP="00763BCF">
      <w:pPr>
        <w:pStyle w:val="subsection"/>
      </w:pPr>
      <w:r w:rsidRPr="005E3B43">
        <w:tab/>
      </w:r>
      <w:r w:rsidRPr="005E3B43">
        <w:tab/>
        <w:t>For the purposes of section</w:t>
      </w:r>
      <w:r w:rsidR="004E6D00" w:rsidRPr="005E3B43">
        <w:t> </w:t>
      </w:r>
      <w:r w:rsidRPr="005E3B43">
        <w:t>40 of the Act, the following are conditions to which each licence is subject:</w:t>
      </w:r>
    </w:p>
    <w:p w14:paraId="7A555292" w14:textId="77777777" w:rsidR="00207B1C" w:rsidRPr="005E3B43" w:rsidRDefault="00207B1C" w:rsidP="00763BCF">
      <w:pPr>
        <w:pStyle w:val="paragraph"/>
      </w:pPr>
      <w:r w:rsidRPr="005E3B43">
        <w:lastRenderedPageBreak/>
        <w:tab/>
        <w:t>(a)</w:t>
      </w:r>
      <w:r w:rsidRPr="005E3B43">
        <w:tab/>
        <w:t>a copy of the licence and of any document issued by the Secretary imposing or amending the conditions applicable to that licence are to be displayed publicly at the premises specified in the licence;</w:t>
      </w:r>
    </w:p>
    <w:p w14:paraId="364DB176" w14:textId="77777777" w:rsidR="00207B1C" w:rsidRPr="005E3B43" w:rsidRDefault="00207B1C" w:rsidP="00763BCF">
      <w:pPr>
        <w:pStyle w:val="paragraph"/>
      </w:pPr>
      <w:r w:rsidRPr="005E3B43">
        <w:tab/>
        <w:t>(b)</w:t>
      </w:r>
      <w:r w:rsidRPr="005E3B43">
        <w:tab/>
        <w:t>unless the contrary intention appears in the licence or in documents issued by the Secretary imposing or amending the conditions applicable to the licence, the licence holder must:</w:t>
      </w:r>
    </w:p>
    <w:p w14:paraId="5D9DD09C" w14:textId="77777777" w:rsidR="00207B1C" w:rsidRPr="005E3B43" w:rsidRDefault="00207B1C" w:rsidP="00763BCF">
      <w:pPr>
        <w:pStyle w:val="paragraphsub"/>
      </w:pPr>
      <w:r w:rsidRPr="005E3B43">
        <w:tab/>
        <w:t>(i)</w:t>
      </w:r>
      <w:r w:rsidRPr="005E3B43">
        <w:tab/>
        <w:t>keep records showing:</w:t>
      </w:r>
    </w:p>
    <w:p w14:paraId="0A58DB39" w14:textId="77777777" w:rsidR="00207B1C" w:rsidRPr="005E3B43" w:rsidRDefault="00207B1C" w:rsidP="00763BCF">
      <w:pPr>
        <w:pStyle w:val="paragraphsub-sub"/>
      </w:pPr>
      <w:r w:rsidRPr="005E3B43">
        <w:tab/>
        <w:t>(A)</w:t>
      </w:r>
      <w:r w:rsidRPr="005E3B43">
        <w:tab/>
        <w:t>the materials used in the manufacture of the goods, the supplier and quantities of the materials used and details of the tests performed on those materials; and</w:t>
      </w:r>
    </w:p>
    <w:p w14:paraId="0DDED86D" w14:textId="77777777" w:rsidR="00207B1C" w:rsidRPr="005E3B43" w:rsidRDefault="00207B1C" w:rsidP="00763BCF">
      <w:pPr>
        <w:pStyle w:val="paragraphsub-sub"/>
      </w:pPr>
      <w:r w:rsidRPr="005E3B43">
        <w:tab/>
        <w:t>(B)</w:t>
      </w:r>
      <w:r w:rsidRPr="005E3B43">
        <w:tab/>
        <w:t>the procedures and controls employed in the manufacture of the goods, including the results of tests carried out during the processing of the goods; and</w:t>
      </w:r>
    </w:p>
    <w:p w14:paraId="39218259" w14:textId="77777777" w:rsidR="00207B1C" w:rsidRPr="005E3B43" w:rsidRDefault="00207B1C" w:rsidP="00763BCF">
      <w:pPr>
        <w:pStyle w:val="paragraphsub-sub"/>
      </w:pPr>
      <w:r w:rsidRPr="005E3B43">
        <w:tab/>
        <w:t>(C)</w:t>
      </w:r>
      <w:r w:rsidRPr="005E3B43">
        <w:tab/>
        <w:t>details of the tests performed on the goods and the results of those tests; and</w:t>
      </w:r>
    </w:p>
    <w:p w14:paraId="55926560" w14:textId="77777777" w:rsidR="00207B1C" w:rsidRPr="005E3B43" w:rsidRDefault="00207B1C" w:rsidP="00763BCF">
      <w:pPr>
        <w:pStyle w:val="paragraphsub-sub"/>
      </w:pPr>
      <w:r w:rsidRPr="005E3B43">
        <w:tab/>
        <w:t>(D)</w:t>
      </w:r>
      <w:r w:rsidRPr="005E3B43">
        <w:tab/>
        <w:t>the stability studies (if any) that validate the recommended shelf life and appropriate storage conditions of the goods; and</w:t>
      </w:r>
    </w:p>
    <w:p w14:paraId="6C47F3EE" w14:textId="77777777" w:rsidR="00207B1C" w:rsidRPr="005E3B43" w:rsidRDefault="00207B1C" w:rsidP="00763BCF">
      <w:pPr>
        <w:pStyle w:val="paragraphsub"/>
      </w:pPr>
      <w:r w:rsidRPr="005E3B43">
        <w:tab/>
        <w:t>(ii)</w:t>
      </w:r>
      <w:r w:rsidRPr="005E3B43">
        <w:tab/>
        <w:t>where the goods to which the licence relates are produced in identifiable batches:</w:t>
      </w:r>
    </w:p>
    <w:p w14:paraId="1F65EC6C" w14:textId="77777777" w:rsidR="00207B1C" w:rsidRPr="005E3B43" w:rsidRDefault="00207B1C" w:rsidP="00763BCF">
      <w:pPr>
        <w:pStyle w:val="paragraphsub-sub"/>
      </w:pPr>
      <w:r w:rsidRPr="005E3B43">
        <w:tab/>
        <w:t>(A)</w:t>
      </w:r>
      <w:r w:rsidRPr="005E3B43">
        <w:tab/>
        <w:t>assign a batch number to each batch of the goods; and</w:t>
      </w:r>
    </w:p>
    <w:p w14:paraId="242BA18F" w14:textId="77777777" w:rsidR="00207B1C" w:rsidRPr="005E3B43" w:rsidRDefault="00207B1C" w:rsidP="00763BCF">
      <w:pPr>
        <w:pStyle w:val="paragraphsub-sub"/>
      </w:pPr>
      <w:r w:rsidRPr="005E3B43">
        <w:tab/>
        <w:t>(B)</w:t>
      </w:r>
      <w:r w:rsidRPr="005E3B43">
        <w:tab/>
        <w:t>if it is not unreasonable in the circumstances</w:t>
      </w:r>
      <w:r w:rsidR="00E20BA4" w:rsidRPr="005E3B43">
        <w:t>—</w:t>
      </w:r>
      <w:r w:rsidRPr="005E3B43">
        <w:t>retain at those premises, for not less than 12 months after the expiry date of the goods or, if there is no expiry date, for not less than 6 years after completion of manufacture of the goods, a sample of each batch of the finished goods; and</w:t>
      </w:r>
    </w:p>
    <w:p w14:paraId="38E1B8E0" w14:textId="77777777" w:rsidR="00207B1C" w:rsidRPr="005E3B43" w:rsidRDefault="00207B1C" w:rsidP="00763BCF">
      <w:pPr>
        <w:pStyle w:val="paragraphsub"/>
      </w:pPr>
      <w:r w:rsidRPr="005E3B43">
        <w:tab/>
        <w:t>(iii)</w:t>
      </w:r>
      <w:r w:rsidRPr="005E3B43">
        <w:tab/>
        <w:t>retain those records at the licensed premises for at least 12 months after the expiry date of the goods to which they relate or, if there is no expiry date, for not less than 6 years after completion of manufacture of the goods; and</w:t>
      </w:r>
    </w:p>
    <w:p w14:paraId="467E3F9E" w14:textId="77777777" w:rsidR="00207B1C" w:rsidRPr="005E3B43" w:rsidRDefault="00207B1C" w:rsidP="00763BCF">
      <w:pPr>
        <w:pStyle w:val="paragraphsub"/>
      </w:pPr>
      <w:r w:rsidRPr="005E3B43">
        <w:tab/>
        <w:t>(iv)</w:t>
      </w:r>
      <w:r w:rsidRPr="005E3B43">
        <w:tab/>
        <w:t>ensure that the persons nominated by the licence holder as having control of the production of the goods and of the quality control measures that are to be employed in the manufacture of the goods maintain that control;</w:t>
      </w:r>
    </w:p>
    <w:p w14:paraId="745B6CDB" w14:textId="77777777" w:rsidR="00207B1C" w:rsidRPr="005E3B43" w:rsidRDefault="00207B1C" w:rsidP="00763BCF">
      <w:pPr>
        <w:pStyle w:val="paragraph"/>
      </w:pPr>
      <w:r w:rsidRPr="005E3B43">
        <w:tab/>
        <w:t>(c)</w:t>
      </w:r>
      <w:r w:rsidRPr="005E3B43">
        <w:tab/>
        <w:t>the licence holder must comply with the provisions of Part</w:t>
      </w:r>
      <w:r w:rsidR="004E6D00" w:rsidRPr="005E3B43">
        <w:t> </w:t>
      </w:r>
      <w:r w:rsidRPr="005E3B43">
        <w:t>5 in relation to the taking of samples by authorised officers.</w:t>
      </w:r>
    </w:p>
    <w:p w14:paraId="726C134E" w14:textId="77777777" w:rsidR="00207B1C" w:rsidRPr="005E3B43" w:rsidRDefault="00207B1C" w:rsidP="00763BCF">
      <w:pPr>
        <w:pStyle w:val="ActHead5"/>
      </w:pPr>
      <w:bookmarkStart w:id="134" w:name="_Toc187135728"/>
      <w:r w:rsidRPr="005E3B43">
        <w:rPr>
          <w:rStyle w:val="CharSectno"/>
        </w:rPr>
        <w:t>21</w:t>
      </w:r>
      <w:r w:rsidR="00E20BA4" w:rsidRPr="005E3B43">
        <w:t xml:space="preserve">  </w:t>
      </w:r>
      <w:r w:rsidRPr="005E3B43">
        <w:t>Persons having control of production etc to be named</w:t>
      </w:r>
      <w:bookmarkEnd w:id="134"/>
    </w:p>
    <w:p w14:paraId="372D7A04" w14:textId="77777777" w:rsidR="00207B1C" w:rsidRPr="005E3B43" w:rsidRDefault="00207B1C" w:rsidP="00763BCF">
      <w:pPr>
        <w:pStyle w:val="subsection"/>
      </w:pPr>
      <w:r w:rsidRPr="005E3B43">
        <w:tab/>
      </w:r>
      <w:r w:rsidRPr="005E3B43">
        <w:tab/>
        <w:t>If:</w:t>
      </w:r>
    </w:p>
    <w:p w14:paraId="66AECDD5" w14:textId="77777777" w:rsidR="00207B1C" w:rsidRPr="005E3B43" w:rsidRDefault="00207B1C" w:rsidP="00763BCF">
      <w:pPr>
        <w:pStyle w:val="paragraph"/>
      </w:pPr>
      <w:r w:rsidRPr="005E3B43">
        <w:tab/>
        <w:t>(a)</w:t>
      </w:r>
      <w:r w:rsidRPr="005E3B43">
        <w:tab/>
        <w:t>an applicant for a licence to manufacture therapeutic goods nominates a person as having control of the production of goods or the quality control measures in respect of the manufacture of the goods; and</w:t>
      </w:r>
    </w:p>
    <w:p w14:paraId="5B1B512C" w14:textId="77777777" w:rsidR="00207B1C" w:rsidRPr="005E3B43" w:rsidRDefault="00207B1C" w:rsidP="00763BCF">
      <w:pPr>
        <w:pStyle w:val="paragraph"/>
      </w:pPr>
      <w:r w:rsidRPr="005E3B43">
        <w:tab/>
        <w:t>(b)</w:t>
      </w:r>
      <w:r w:rsidRPr="005E3B43">
        <w:tab/>
        <w:t>the licence is granted; and</w:t>
      </w:r>
    </w:p>
    <w:p w14:paraId="4205FB4C" w14:textId="77777777" w:rsidR="00207B1C" w:rsidRPr="005E3B43" w:rsidRDefault="00207B1C" w:rsidP="00763BCF">
      <w:pPr>
        <w:pStyle w:val="paragraph"/>
      </w:pPr>
      <w:r w:rsidRPr="005E3B43">
        <w:tab/>
        <w:t>(c)</w:t>
      </w:r>
      <w:r w:rsidRPr="005E3B43">
        <w:tab/>
        <w:t>the applicant wishes to replace the nominated person with another person;</w:t>
      </w:r>
    </w:p>
    <w:p w14:paraId="7A86652D" w14:textId="77777777" w:rsidR="00207B1C" w:rsidRPr="005E3B43" w:rsidRDefault="00207B1C" w:rsidP="00763BCF">
      <w:pPr>
        <w:pStyle w:val="subsection2"/>
      </w:pPr>
      <w:r w:rsidRPr="005E3B43">
        <w:lastRenderedPageBreak/>
        <w:t>then it is a condition of the licence that the licence holder must inform the Secretary as soon as practicable of the name, qualifications and experience of that other person.</w:t>
      </w:r>
    </w:p>
    <w:p w14:paraId="10E475FF" w14:textId="77777777" w:rsidR="00207B1C" w:rsidRPr="005E3B43" w:rsidRDefault="00207B1C" w:rsidP="00763BCF">
      <w:pPr>
        <w:pStyle w:val="ActHead5"/>
      </w:pPr>
      <w:bookmarkStart w:id="135" w:name="_Toc187135729"/>
      <w:r w:rsidRPr="005E3B43">
        <w:rPr>
          <w:rStyle w:val="CharSectno"/>
        </w:rPr>
        <w:t>22</w:t>
      </w:r>
      <w:r w:rsidR="00E20BA4" w:rsidRPr="005E3B43">
        <w:t xml:space="preserve">  </w:t>
      </w:r>
      <w:r w:rsidRPr="005E3B43">
        <w:t>Transfer of licences</w:t>
      </w:r>
      <w:bookmarkEnd w:id="135"/>
    </w:p>
    <w:p w14:paraId="278F7AD9" w14:textId="77777777" w:rsidR="00207B1C" w:rsidRPr="005E3B43" w:rsidRDefault="00207B1C" w:rsidP="00763BCF">
      <w:pPr>
        <w:pStyle w:val="subsection"/>
      </w:pPr>
      <w:r w:rsidRPr="005E3B43">
        <w:tab/>
        <w:t>(1)</w:t>
      </w:r>
      <w:r w:rsidRPr="005E3B43">
        <w:tab/>
        <w:t>If a person who was the holder of a licence dies, the legal personal representative of the dead person:</w:t>
      </w:r>
    </w:p>
    <w:p w14:paraId="4668AE0C" w14:textId="77777777" w:rsidR="00207B1C" w:rsidRPr="005E3B43" w:rsidRDefault="00207B1C" w:rsidP="00763BCF">
      <w:pPr>
        <w:pStyle w:val="paragraph"/>
      </w:pPr>
      <w:r w:rsidRPr="005E3B43">
        <w:tab/>
        <w:t>(a)</w:t>
      </w:r>
      <w:r w:rsidRPr="005E3B43">
        <w:tab/>
        <w:t>is taken to be the holder of the licence; and</w:t>
      </w:r>
    </w:p>
    <w:p w14:paraId="38E9ECAF" w14:textId="77777777" w:rsidR="00207B1C" w:rsidRPr="005E3B43" w:rsidRDefault="00207B1C" w:rsidP="00763BCF">
      <w:pPr>
        <w:pStyle w:val="paragraph"/>
      </w:pPr>
      <w:r w:rsidRPr="005E3B43">
        <w:tab/>
        <w:t>(b)</w:t>
      </w:r>
      <w:r w:rsidRPr="005E3B43">
        <w:tab/>
        <w:t>must notify the Secretary, in writing, of the death not later than 3 months after it occurred.</w:t>
      </w:r>
    </w:p>
    <w:p w14:paraId="0129C5C0" w14:textId="77777777" w:rsidR="00207B1C" w:rsidRPr="005E3B43" w:rsidRDefault="00207B1C" w:rsidP="00763BCF">
      <w:pPr>
        <w:pStyle w:val="subsection"/>
      </w:pPr>
      <w:r w:rsidRPr="005E3B43">
        <w:tab/>
        <w:t>(2)</w:t>
      </w:r>
      <w:r w:rsidRPr="005E3B43">
        <w:tab/>
        <w:t>If a person who is the holder of a licence becomes bankrupt, the trustee in bankruptcy of the estate of the bankrupt:</w:t>
      </w:r>
    </w:p>
    <w:p w14:paraId="3A9417DD" w14:textId="77777777" w:rsidR="00207B1C" w:rsidRPr="005E3B43" w:rsidRDefault="00207B1C" w:rsidP="00763BCF">
      <w:pPr>
        <w:pStyle w:val="paragraph"/>
      </w:pPr>
      <w:r w:rsidRPr="005E3B43">
        <w:tab/>
        <w:t>(a)</w:t>
      </w:r>
      <w:r w:rsidRPr="005E3B43">
        <w:tab/>
        <w:t>is taken to be the holder of the licence; and</w:t>
      </w:r>
    </w:p>
    <w:p w14:paraId="5E644D34" w14:textId="77777777" w:rsidR="00207B1C" w:rsidRPr="005E3B43" w:rsidRDefault="00207B1C" w:rsidP="00763BCF">
      <w:pPr>
        <w:pStyle w:val="paragraph"/>
      </w:pPr>
      <w:r w:rsidRPr="005E3B43">
        <w:tab/>
        <w:t>(b)</w:t>
      </w:r>
      <w:r w:rsidRPr="005E3B43">
        <w:tab/>
        <w:t>must notify the Secretary, in writing, of the bankruptcy not later than 3 months after the person became bankrupt.</w:t>
      </w:r>
    </w:p>
    <w:p w14:paraId="48F2B9FA" w14:textId="77777777" w:rsidR="00207B1C" w:rsidRPr="005E3B43" w:rsidRDefault="00207B1C" w:rsidP="00763BCF">
      <w:pPr>
        <w:pStyle w:val="subsection"/>
      </w:pPr>
      <w:r w:rsidRPr="005E3B43">
        <w:tab/>
        <w:t>(3)</w:t>
      </w:r>
      <w:r w:rsidRPr="005E3B43">
        <w:tab/>
        <w:t>If a body corporate that is the holder of a licence is being wound up, the liquidator of the body corporate:</w:t>
      </w:r>
    </w:p>
    <w:p w14:paraId="22D58FDA" w14:textId="77777777" w:rsidR="00207B1C" w:rsidRPr="005E3B43" w:rsidRDefault="00207B1C" w:rsidP="00763BCF">
      <w:pPr>
        <w:pStyle w:val="paragraph"/>
      </w:pPr>
      <w:r w:rsidRPr="005E3B43">
        <w:tab/>
        <w:t>(a)</w:t>
      </w:r>
      <w:r w:rsidRPr="005E3B43">
        <w:tab/>
        <w:t>is taken to be the holder of the licence; and</w:t>
      </w:r>
    </w:p>
    <w:p w14:paraId="75FC647A" w14:textId="77777777" w:rsidR="00207B1C" w:rsidRPr="005E3B43" w:rsidRDefault="00207B1C" w:rsidP="00763BCF">
      <w:pPr>
        <w:pStyle w:val="paragraph"/>
      </w:pPr>
      <w:r w:rsidRPr="005E3B43">
        <w:tab/>
        <w:t>(b)</w:t>
      </w:r>
      <w:r w:rsidRPr="005E3B43">
        <w:tab/>
        <w:t>must, not later than 3 months after the body corporate is wound up, notify the Secretary, in writing, of the winding up.</w:t>
      </w:r>
    </w:p>
    <w:p w14:paraId="6EA784B1" w14:textId="77777777" w:rsidR="00207B1C" w:rsidRPr="005E3B43" w:rsidRDefault="00207B1C" w:rsidP="00763BCF">
      <w:pPr>
        <w:pStyle w:val="subsection"/>
      </w:pPr>
      <w:r w:rsidRPr="005E3B43">
        <w:tab/>
        <w:t>(4)</w:t>
      </w:r>
      <w:r w:rsidRPr="005E3B43">
        <w:tab/>
        <w:t>If:</w:t>
      </w:r>
    </w:p>
    <w:p w14:paraId="2B9A7B8E" w14:textId="77777777" w:rsidR="00207B1C" w:rsidRPr="005E3B43" w:rsidRDefault="00207B1C" w:rsidP="00763BCF">
      <w:pPr>
        <w:pStyle w:val="paragraph"/>
      </w:pPr>
      <w:r w:rsidRPr="005E3B43">
        <w:tab/>
        <w:t>(a)</w:t>
      </w:r>
      <w:r w:rsidRPr="005E3B43">
        <w:tab/>
        <w:t>a person agrees to dispose of a business relating to the manufacture, distribution or sale of therapeutic goods; and</w:t>
      </w:r>
    </w:p>
    <w:p w14:paraId="6082B6CC" w14:textId="77777777" w:rsidR="00207B1C" w:rsidRPr="005E3B43" w:rsidRDefault="00207B1C" w:rsidP="00763BCF">
      <w:pPr>
        <w:pStyle w:val="paragraph"/>
      </w:pPr>
      <w:r w:rsidRPr="005E3B43">
        <w:tab/>
        <w:t>(b)</w:t>
      </w:r>
      <w:r w:rsidRPr="005E3B43">
        <w:tab/>
        <w:t>it is agreed that the disposal of that business is to include a transfer of a licence held by that person;</w:t>
      </w:r>
    </w:p>
    <w:p w14:paraId="11ABA381" w14:textId="77777777" w:rsidR="00207B1C" w:rsidRPr="005E3B43" w:rsidRDefault="00207B1C" w:rsidP="00763BCF">
      <w:pPr>
        <w:pStyle w:val="subsection2"/>
      </w:pPr>
      <w:r w:rsidRPr="005E3B43">
        <w:t>then:</w:t>
      </w:r>
    </w:p>
    <w:p w14:paraId="00AC34DA" w14:textId="77777777" w:rsidR="00207B1C" w:rsidRPr="005E3B43" w:rsidRDefault="00207B1C" w:rsidP="00763BCF">
      <w:pPr>
        <w:pStyle w:val="paragraph"/>
      </w:pPr>
      <w:r w:rsidRPr="005E3B43">
        <w:tab/>
        <w:t>(c)</w:t>
      </w:r>
      <w:r w:rsidRPr="005E3B43">
        <w:tab/>
        <w:t>the person who acquires that business is taken to be the holder of the licence; and</w:t>
      </w:r>
    </w:p>
    <w:p w14:paraId="69745061" w14:textId="77777777" w:rsidR="00207B1C" w:rsidRPr="005E3B43" w:rsidRDefault="00207B1C" w:rsidP="00763BCF">
      <w:pPr>
        <w:pStyle w:val="paragraph"/>
      </w:pPr>
      <w:r w:rsidRPr="005E3B43">
        <w:tab/>
        <w:t>(d)</w:t>
      </w:r>
      <w:r w:rsidRPr="005E3B43">
        <w:tab/>
        <w:t>that person must, not later than 3 months after the transfer, notify the Secretary that the person has, by reason of that agreement, become an applicant for the licence.</w:t>
      </w:r>
    </w:p>
    <w:p w14:paraId="2E3C9A7E" w14:textId="77777777" w:rsidR="00207B1C" w:rsidRPr="005E3B43" w:rsidRDefault="00207B1C" w:rsidP="00763BCF">
      <w:pPr>
        <w:pStyle w:val="subsection"/>
      </w:pPr>
      <w:r w:rsidRPr="005E3B43">
        <w:tab/>
        <w:t>(4A)</w:t>
      </w:r>
      <w:r w:rsidRPr="005E3B43">
        <w:tab/>
        <w:t>If a person who is the holder of a licence:</w:t>
      </w:r>
    </w:p>
    <w:p w14:paraId="65FF9F60" w14:textId="77777777" w:rsidR="00207B1C" w:rsidRPr="005E3B43" w:rsidRDefault="00207B1C" w:rsidP="00763BCF">
      <w:pPr>
        <w:pStyle w:val="paragraph"/>
      </w:pPr>
      <w:r w:rsidRPr="005E3B43">
        <w:tab/>
        <w:t>(a)</w:t>
      </w:r>
      <w:r w:rsidRPr="005E3B43">
        <w:tab/>
        <w:t>changes his, her or its name; or</w:t>
      </w:r>
    </w:p>
    <w:p w14:paraId="1A920A48" w14:textId="77777777" w:rsidR="00207B1C" w:rsidRPr="005E3B43" w:rsidRDefault="00207B1C" w:rsidP="00763BCF">
      <w:pPr>
        <w:pStyle w:val="paragraph"/>
      </w:pPr>
      <w:r w:rsidRPr="005E3B43">
        <w:tab/>
        <w:t>(b)</w:t>
      </w:r>
      <w:r w:rsidRPr="005E3B43">
        <w:tab/>
        <w:t>being a corporation, amalgamates with another corporation under a name that is different from the name of the holder of the licence;</w:t>
      </w:r>
    </w:p>
    <w:p w14:paraId="6FA12EEA" w14:textId="77777777" w:rsidR="00207B1C" w:rsidRPr="005E3B43" w:rsidRDefault="00207B1C" w:rsidP="00763BCF">
      <w:pPr>
        <w:pStyle w:val="subsection2"/>
      </w:pPr>
      <w:r w:rsidRPr="005E3B43">
        <w:t>the person must give notice in writing to the Secretary of the new name of the person, and the circumstance giving rise to it, within 3 months after the occurrence of the circumstance.</w:t>
      </w:r>
    </w:p>
    <w:p w14:paraId="1591C125" w14:textId="77777777" w:rsidR="00207B1C" w:rsidRPr="005E3B43" w:rsidRDefault="00207B1C" w:rsidP="00763BCF">
      <w:pPr>
        <w:pStyle w:val="subsection"/>
      </w:pPr>
      <w:r w:rsidRPr="005E3B43">
        <w:tab/>
        <w:t>(4B)</w:t>
      </w:r>
      <w:r w:rsidRPr="005E3B43">
        <w:tab/>
        <w:t>The licence has effect as if it had been granted to the holder in the holder’s new name.</w:t>
      </w:r>
    </w:p>
    <w:p w14:paraId="13AB5EEB" w14:textId="77777777" w:rsidR="00207B1C" w:rsidRPr="005E3B43" w:rsidRDefault="00207B1C" w:rsidP="00763BCF">
      <w:pPr>
        <w:pStyle w:val="subsection"/>
      </w:pPr>
      <w:r w:rsidRPr="005E3B43">
        <w:tab/>
        <w:t>(5)</w:t>
      </w:r>
      <w:r w:rsidRPr="005E3B43">
        <w:tab/>
        <w:t xml:space="preserve">When a person notifies the Secretary of an event referred to in </w:t>
      </w:r>
      <w:r w:rsidR="004E6D00" w:rsidRPr="005E3B43">
        <w:t>paragraph (</w:t>
      </w:r>
      <w:r w:rsidRPr="005E3B43">
        <w:t xml:space="preserve">1)(b), (2)(b), (3)(b), (4)(d) or (4A)(a) or (b), the person must send to the Secretary </w:t>
      </w:r>
      <w:r w:rsidRPr="005E3B43">
        <w:lastRenderedPageBreak/>
        <w:t>sufficient documentary evidence to establish the matter asserted in the notification.</w:t>
      </w:r>
    </w:p>
    <w:p w14:paraId="306512DF" w14:textId="77777777" w:rsidR="00207B1C" w:rsidRPr="005E3B43" w:rsidRDefault="00207B1C" w:rsidP="00763BCF">
      <w:pPr>
        <w:pStyle w:val="subsection"/>
      </w:pPr>
      <w:r w:rsidRPr="005E3B43">
        <w:tab/>
        <w:t>(6)</w:t>
      </w:r>
      <w:r w:rsidRPr="005E3B43">
        <w:tab/>
        <w:t xml:space="preserve">When a person is taken to be the holder of a licence in accordance with this regulation, the Secretary may regard the person as an applicant for the licence and may deal with the notification referred to in </w:t>
      </w:r>
      <w:r w:rsidR="004E6D00" w:rsidRPr="005E3B43">
        <w:t>paragraph (</w:t>
      </w:r>
      <w:r w:rsidRPr="005E3B43">
        <w:t>1)(b), (2)(b), (3)(b), (4)(d) or (4A)(a) or (b) as if it were an application for a licence.</w:t>
      </w:r>
    </w:p>
    <w:p w14:paraId="3091C303" w14:textId="77777777" w:rsidR="00207B1C" w:rsidRPr="005E3B43" w:rsidRDefault="00207B1C" w:rsidP="00763BCF">
      <w:pPr>
        <w:pStyle w:val="subsection"/>
      </w:pPr>
      <w:r w:rsidRPr="005E3B43">
        <w:tab/>
        <w:t>(7)</w:t>
      </w:r>
      <w:r w:rsidRPr="005E3B43">
        <w:tab/>
        <w:t>In spite of subregulation</w:t>
      </w:r>
      <w:r w:rsidR="002B4943" w:rsidRPr="005E3B43">
        <w:t> </w:t>
      </w:r>
      <w:r w:rsidRPr="005E3B43">
        <w:t>(6), a person who is regarded as an applicant for a licence because of the operation of that subsection may continue to manufacture therapeutic goods under the original licence until the application is determined.</w:t>
      </w:r>
    </w:p>
    <w:p w14:paraId="62F3274D" w14:textId="77777777" w:rsidR="00207B1C" w:rsidRPr="005E3B43" w:rsidRDefault="00207B1C" w:rsidP="00763BCF">
      <w:pPr>
        <w:pStyle w:val="subsection"/>
      </w:pPr>
      <w:r w:rsidRPr="005E3B43">
        <w:tab/>
        <w:t>(8)</w:t>
      </w:r>
      <w:r w:rsidRPr="005E3B43">
        <w:tab/>
        <w:t xml:space="preserve">If, at any time, the Secretary becomes aware that he or she has not been informed in accordance with this regulation of an event referred to in </w:t>
      </w:r>
      <w:r w:rsidR="004E6D00" w:rsidRPr="005E3B43">
        <w:t>paragraph (</w:t>
      </w:r>
      <w:r w:rsidRPr="005E3B43">
        <w:t>1)(b), (2)(b), (3)(b), (4)(d) or (4A)(a) or (b), the Secretary may cancel the licence to which the event relates.</w:t>
      </w:r>
    </w:p>
    <w:p w14:paraId="25378D51" w14:textId="77777777" w:rsidR="00207B1C" w:rsidRPr="005E3B43" w:rsidRDefault="00207B1C" w:rsidP="00763BCF">
      <w:pPr>
        <w:pStyle w:val="ActHead2"/>
        <w:pageBreakBefore/>
      </w:pPr>
      <w:bookmarkStart w:id="136" w:name="_Toc187135730"/>
      <w:r w:rsidRPr="005E3B43">
        <w:rPr>
          <w:rStyle w:val="CharPartNo"/>
        </w:rPr>
        <w:lastRenderedPageBreak/>
        <w:t>Part</w:t>
      </w:r>
      <w:r w:rsidR="004E6D00" w:rsidRPr="005E3B43">
        <w:rPr>
          <w:rStyle w:val="CharPartNo"/>
        </w:rPr>
        <w:t> </w:t>
      </w:r>
      <w:r w:rsidRPr="005E3B43">
        <w:rPr>
          <w:rStyle w:val="CharPartNo"/>
        </w:rPr>
        <w:t>5</w:t>
      </w:r>
      <w:r w:rsidR="00E20BA4" w:rsidRPr="005E3B43">
        <w:t>—</w:t>
      </w:r>
      <w:r w:rsidRPr="005E3B43">
        <w:rPr>
          <w:rStyle w:val="CharPartText"/>
        </w:rPr>
        <w:t>Examination, testing and analysis of goods</w:t>
      </w:r>
      <w:bookmarkEnd w:id="136"/>
    </w:p>
    <w:p w14:paraId="5F3515D2" w14:textId="77777777" w:rsidR="00207B1C" w:rsidRPr="005E3B43" w:rsidRDefault="00E20BA4" w:rsidP="00763BCF">
      <w:pPr>
        <w:pStyle w:val="Header"/>
      </w:pPr>
      <w:r w:rsidRPr="005E3B43">
        <w:rPr>
          <w:rStyle w:val="CharDivNo"/>
        </w:rPr>
        <w:t xml:space="preserve"> </w:t>
      </w:r>
      <w:r w:rsidRPr="005E3B43">
        <w:rPr>
          <w:rStyle w:val="CharDivText"/>
        </w:rPr>
        <w:t xml:space="preserve"> </w:t>
      </w:r>
    </w:p>
    <w:p w14:paraId="1292F860" w14:textId="77777777" w:rsidR="00207B1C" w:rsidRPr="005E3B43" w:rsidRDefault="00207B1C" w:rsidP="00763BCF">
      <w:pPr>
        <w:pStyle w:val="ActHead5"/>
      </w:pPr>
      <w:bookmarkStart w:id="137" w:name="_Toc187135731"/>
      <w:r w:rsidRPr="005E3B43">
        <w:rPr>
          <w:rStyle w:val="CharSectno"/>
        </w:rPr>
        <w:t>23</w:t>
      </w:r>
      <w:r w:rsidR="00E20BA4" w:rsidRPr="005E3B43">
        <w:t xml:space="preserve">  </w:t>
      </w:r>
      <w:r w:rsidRPr="005E3B43">
        <w:t>Interpretation</w:t>
      </w:r>
      <w:bookmarkEnd w:id="137"/>
    </w:p>
    <w:p w14:paraId="2B4F419C" w14:textId="77777777" w:rsidR="00207B1C" w:rsidRPr="005E3B43" w:rsidRDefault="00207B1C" w:rsidP="00763BCF">
      <w:pPr>
        <w:pStyle w:val="subsection"/>
      </w:pPr>
      <w:r w:rsidRPr="005E3B43">
        <w:tab/>
      </w:r>
      <w:r w:rsidRPr="005E3B43">
        <w:tab/>
        <w:t>In this Part, unless the contrary intention appears:</w:t>
      </w:r>
    </w:p>
    <w:p w14:paraId="1A94C322" w14:textId="77777777" w:rsidR="003B615A" w:rsidRPr="005E3B43" w:rsidRDefault="003B615A" w:rsidP="00763BCF">
      <w:pPr>
        <w:pStyle w:val="Definition"/>
        <w:rPr>
          <w:b/>
          <w:i/>
        </w:rPr>
      </w:pPr>
      <w:r w:rsidRPr="005E3B43">
        <w:rPr>
          <w:b/>
          <w:i/>
        </w:rPr>
        <w:t xml:space="preserve">analyst </w:t>
      </w:r>
      <w:r w:rsidRPr="005E3B43">
        <w:t>means a person appointed by the Secretary as an analyst (except an official analyst) under regulation</w:t>
      </w:r>
      <w:r w:rsidR="004E6D00" w:rsidRPr="005E3B43">
        <w:t> </w:t>
      </w:r>
      <w:r w:rsidRPr="005E3B43">
        <w:t>25.</w:t>
      </w:r>
    </w:p>
    <w:p w14:paraId="580EB170" w14:textId="77777777" w:rsidR="003B615A" w:rsidRPr="005E3B43" w:rsidRDefault="003B615A" w:rsidP="00763BCF">
      <w:pPr>
        <w:pStyle w:val="Definition"/>
      </w:pPr>
      <w:r w:rsidRPr="005E3B43">
        <w:rPr>
          <w:b/>
          <w:i/>
        </w:rPr>
        <w:t xml:space="preserve">official analyst </w:t>
      </w:r>
      <w:r w:rsidRPr="005E3B43">
        <w:t>means a person appointed by the Secretary as an official analyst under regulation</w:t>
      </w:r>
      <w:r w:rsidR="004E6D00" w:rsidRPr="005E3B43">
        <w:t> </w:t>
      </w:r>
      <w:r w:rsidRPr="005E3B43">
        <w:t>25.</w:t>
      </w:r>
    </w:p>
    <w:p w14:paraId="46B9F778" w14:textId="77777777" w:rsidR="00207B1C" w:rsidRPr="005E3B43" w:rsidRDefault="00207B1C" w:rsidP="00763BCF">
      <w:pPr>
        <w:pStyle w:val="Definition"/>
      </w:pPr>
      <w:r w:rsidRPr="005E3B43">
        <w:rPr>
          <w:b/>
          <w:i/>
        </w:rPr>
        <w:t>responsible analyst</w:t>
      </w:r>
      <w:r w:rsidRPr="005E3B43">
        <w:t>, in relation to the analysis of a sample of therapeutic goods, means an</w:t>
      </w:r>
      <w:r w:rsidR="003B615A" w:rsidRPr="005E3B43">
        <w:t xml:space="preserve"> analyst or</w:t>
      </w:r>
      <w:r w:rsidRPr="005E3B43">
        <w:t xml:space="preserve"> official analyst who is nominated as a responsible analyst for the sample under paragraph</w:t>
      </w:r>
      <w:r w:rsidR="004E6D00" w:rsidRPr="005E3B43">
        <w:t> </w:t>
      </w:r>
      <w:r w:rsidRPr="005E3B43">
        <w:t>25(3)(c).</w:t>
      </w:r>
    </w:p>
    <w:p w14:paraId="67579201" w14:textId="77777777" w:rsidR="00207B1C" w:rsidRPr="005E3B43" w:rsidRDefault="00207B1C" w:rsidP="00763BCF">
      <w:pPr>
        <w:pStyle w:val="Definition"/>
      </w:pPr>
      <w:r w:rsidRPr="005E3B43">
        <w:rPr>
          <w:b/>
          <w:i/>
        </w:rPr>
        <w:t xml:space="preserve">samples officer </w:t>
      </w:r>
      <w:r w:rsidRPr="005E3B43">
        <w:t>means an officer of the Department performing duties under the direction of an official analyst.</w:t>
      </w:r>
    </w:p>
    <w:p w14:paraId="25892148" w14:textId="77777777" w:rsidR="00207B1C" w:rsidRPr="005E3B43" w:rsidRDefault="00207B1C" w:rsidP="00763BCF">
      <w:pPr>
        <w:pStyle w:val="ActHead5"/>
      </w:pPr>
      <w:bookmarkStart w:id="138" w:name="_Toc187135732"/>
      <w:r w:rsidRPr="005E3B43">
        <w:rPr>
          <w:rStyle w:val="CharSectno"/>
        </w:rPr>
        <w:t>24</w:t>
      </w:r>
      <w:r w:rsidR="00E20BA4" w:rsidRPr="005E3B43">
        <w:t xml:space="preserve">  </w:t>
      </w:r>
      <w:r w:rsidRPr="005E3B43">
        <w:t>Authorised officer</w:t>
      </w:r>
      <w:r w:rsidR="00E20BA4" w:rsidRPr="005E3B43">
        <w:t>—</w:t>
      </w:r>
      <w:r w:rsidRPr="005E3B43">
        <w:t>powers and duties</w:t>
      </w:r>
      <w:bookmarkEnd w:id="138"/>
    </w:p>
    <w:p w14:paraId="18CE96BC" w14:textId="77777777" w:rsidR="00207B1C" w:rsidRPr="005E3B43" w:rsidRDefault="00207B1C" w:rsidP="00763BCF">
      <w:pPr>
        <w:pStyle w:val="subsection"/>
      </w:pPr>
      <w:r w:rsidRPr="005E3B43">
        <w:tab/>
        <w:t>(1)</w:t>
      </w:r>
      <w:r w:rsidRPr="005E3B43">
        <w:tab/>
        <w:t>An authorised officer may, during normal business hours:</w:t>
      </w:r>
    </w:p>
    <w:p w14:paraId="48795A07" w14:textId="77777777" w:rsidR="00207B1C" w:rsidRPr="005E3B43" w:rsidRDefault="00207B1C" w:rsidP="00763BCF">
      <w:pPr>
        <w:pStyle w:val="paragraph"/>
      </w:pPr>
      <w:r w:rsidRPr="005E3B43">
        <w:tab/>
        <w:t>(a)</w:t>
      </w:r>
      <w:r w:rsidRPr="005E3B43">
        <w:tab/>
        <w:t>for the purpose of exercising the powers and performing the duties of an authorised officer under this regulation, enter the premises of a licence holder, manufacturer in respect of whom a conformity assessment certificate has been issued, or wholesaler on which therapeutic goods are kept for supply; and</w:t>
      </w:r>
    </w:p>
    <w:p w14:paraId="727F8D11" w14:textId="77777777" w:rsidR="00207B1C" w:rsidRPr="005E3B43" w:rsidRDefault="00207B1C" w:rsidP="00763BCF">
      <w:pPr>
        <w:pStyle w:val="paragraph"/>
      </w:pPr>
      <w:r w:rsidRPr="005E3B43">
        <w:tab/>
        <w:t>(b)</w:t>
      </w:r>
      <w:r w:rsidRPr="005E3B43">
        <w:tab/>
        <w:t>inspect the place at which those goods are kept; and</w:t>
      </w:r>
    </w:p>
    <w:p w14:paraId="2253ACCE" w14:textId="77777777" w:rsidR="00207B1C" w:rsidRPr="005E3B43" w:rsidRDefault="00207B1C" w:rsidP="00763BCF">
      <w:pPr>
        <w:pStyle w:val="paragraph"/>
      </w:pPr>
      <w:r w:rsidRPr="005E3B43">
        <w:tab/>
        <w:t>(c)</w:t>
      </w:r>
      <w:r w:rsidRPr="005E3B43">
        <w:tab/>
        <w:t>take samples of those goods; and</w:t>
      </w:r>
    </w:p>
    <w:p w14:paraId="7F191667" w14:textId="77777777" w:rsidR="00207B1C" w:rsidRPr="005E3B43" w:rsidRDefault="00207B1C" w:rsidP="00763BCF">
      <w:pPr>
        <w:pStyle w:val="paragraph"/>
      </w:pPr>
      <w:r w:rsidRPr="005E3B43">
        <w:tab/>
        <w:t>(d)</w:t>
      </w:r>
      <w:r w:rsidRPr="005E3B43">
        <w:tab/>
        <w:t>ask the owner of therapeutic goods, or the person apparently in charge of those goods, for information relevant to the manufacture and testing of those goods.</w:t>
      </w:r>
    </w:p>
    <w:p w14:paraId="007D56C5" w14:textId="77777777" w:rsidR="00207B1C" w:rsidRPr="005E3B43" w:rsidRDefault="00207B1C" w:rsidP="00763BCF">
      <w:pPr>
        <w:pStyle w:val="subsection"/>
      </w:pPr>
      <w:r w:rsidRPr="005E3B43">
        <w:tab/>
        <w:t>(2)</w:t>
      </w:r>
      <w:r w:rsidRPr="005E3B43">
        <w:tab/>
        <w:t>If the entry of goods in the Register is subject to the condition that the sponsor of the goods comply with this regulation, the powers of an authorised officer referred to in subregulation</w:t>
      </w:r>
      <w:r w:rsidR="002B4943" w:rsidRPr="005E3B43">
        <w:t> </w:t>
      </w:r>
      <w:r w:rsidRPr="005E3B43">
        <w:t>(1) extend to the sponsor as if the sponsor were a licence holder or a manufacturer in respect of whom a conformity assessment certificate has been issued.</w:t>
      </w:r>
    </w:p>
    <w:p w14:paraId="63768607" w14:textId="77777777" w:rsidR="003B615A" w:rsidRPr="005E3B43" w:rsidRDefault="003B615A" w:rsidP="00763BCF">
      <w:pPr>
        <w:pStyle w:val="ActHead5"/>
      </w:pPr>
      <w:bookmarkStart w:id="139" w:name="_Toc187135733"/>
      <w:r w:rsidRPr="005E3B43">
        <w:rPr>
          <w:rStyle w:val="CharSectno"/>
        </w:rPr>
        <w:t>25</w:t>
      </w:r>
      <w:r w:rsidRPr="005E3B43">
        <w:t xml:space="preserve">  Appointment of analysts and official analysts and powers of official analysts</w:t>
      </w:r>
      <w:bookmarkEnd w:id="139"/>
    </w:p>
    <w:p w14:paraId="550098CE" w14:textId="77777777" w:rsidR="00207B1C" w:rsidRPr="005E3B43" w:rsidRDefault="00207B1C" w:rsidP="00763BCF">
      <w:pPr>
        <w:pStyle w:val="subsection"/>
      </w:pPr>
      <w:r w:rsidRPr="005E3B43">
        <w:tab/>
        <w:t>(1)</w:t>
      </w:r>
      <w:r w:rsidRPr="005E3B43">
        <w:tab/>
        <w:t>The Secretary may, in writing, appoint a person who has appropriate qualifications and experience to be an</w:t>
      </w:r>
      <w:r w:rsidR="003B615A" w:rsidRPr="005E3B43">
        <w:t xml:space="preserve"> analyst or an</w:t>
      </w:r>
      <w:r w:rsidRPr="005E3B43">
        <w:t xml:space="preserve"> official analyst for the purposes of these Regulations.</w:t>
      </w:r>
    </w:p>
    <w:p w14:paraId="12F2E91C" w14:textId="77777777" w:rsidR="00207B1C" w:rsidRPr="005E3B43" w:rsidRDefault="00207B1C" w:rsidP="00763BCF">
      <w:pPr>
        <w:pStyle w:val="subsection"/>
      </w:pPr>
      <w:r w:rsidRPr="005E3B43">
        <w:tab/>
        <w:t>(3)</w:t>
      </w:r>
      <w:r w:rsidRPr="005E3B43">
        <w:tab/>
        <w:t>In addition to the other powers and functions of an official analyst, an official analyst may:</w:t>
      </w:r>
    </w:p>
    <w:p w14:paraId="0BE59B96" w14:textId="77777777" w:rsidR="00207B1C" w:rsidRPr="005E3B43" w:rsidRDefault="00207B1C" w:rsidP="00763BCF">
      <w:pPr>
        <w:pStyle w:val="paragraph"/>
      </w:pPr>
      <w:r w:rsidRPr="005E3B43">
        <w:tab/>
        <w:t>(a)</w:t>
      </w:r>
      <w:r w:rsidRPr="005E3B43">
        <w:tab/>
        <w:t>ask an authorised officer to take samples of therapeutic goods; and</w:t>
      </w:r>
    </w:p>
    <w:p w14:paraId="028E76C1" w14:textId="77777777" w:rsidR="00207B1C" w:rsidRPr="005E3B43" w:rsidRDefault="00207B1C" w:rsidP="00763BCF">
      <w:pPr>
        <w:pStyle w:val="paragraph"/>
      </w:pPr>
      <w:r w:rsidRPr="005E3B43">
        <w:lastRenderedPageBreak/>
        <w:tab/>
        <w:t>(b)</w:t>
      </w:r>
      <w:r w:rsidRPr="005E3B43">
        <w:tab/>
        <w:t xml:space="preserve">determine the tests that are to be performed on a sample taken under </w:t>
      </w:r>
      <w:r w:rsidR="004E6D00" w:rsidRPr="005E3B43">
        <w:t>paragraph (</w:t>
      </w:r>
      <w:r w:rsidRPr="005E3B43">
        <w:t xml:space="preserve">a) or delivered under </w:t>
      </w:r>
      <w:r w:rsidR="00ED129D" w:rsidRPr="005E3B43">
        <w:t>paragraph</w:t>
      </w:r>
      <w:r w:rsidR="004E6D00" w:rsidRPr="005E3B43">
        <w:t> </w:t>
      </w:r>
      <w:r w:rsidR="00ED129D" w:rsidRPr="005E3B43">
        <w:t>28(5)(h) or subsection</w:t>
      </w:r>
      <w:r w:rsidR="004E6D00" w:rsidRPr="005E3B43">
        <w:t> </w:t>
      </w:r>
      <w:r w:rsidR="00ED129D" w:rsidRPr="005E3B43">
        <w:t>41FN(2)</w:t>
      </w:r>
      <w:r w:rsidRPr="005E3B43">
        <w:t xml:space="preserve"> of the Act; and</w:t>
      </w:r>
    </w:p>
    <w:p w14:paraId="2E6E7280" w14:textId="77777777" w:rsidR="00207B1C" w:rsidRPr="005E3B43" w:rsidRDefault="00207B1C" w:rsidP="00763BCF">
      <w:pPr>
        <w:pStyle w:val="paragraph"/>
      </w:pPr>
      <w:r w:rsidRPr="005E3B43">
        <w:tab/>
        <w:t>(c)</w:t>
      </w:r>
      <w:r w:rsidRPr="005E3B43">
        <w:tab/>
        <w:t>nominate an</w:t>
      </w:r>
      <w:r w:rsidR="003B615A" w:rsidRPr="005E3B43">
        <w:t xml:space="preserve"> analyst or</w:t>
      </w:r>
      <w:r w:rsidRPr="005E3B43">
        <w:t xml:space="preserve"> official analyst to be the responsible analyst for a sample taken under </w:t>
      </w:r>
      <w:r w:rsidR="004E6D00" w:rsidRPr="005E3B43">
        <w:t>paragraph (</w:t>
      </w:r>
      <w:r w:rsidRPr="005E3B43">
        <w:t xml:space="preserve">a) or delivered under </w:t>
      </w:r>
      <w:r w:rsidR="00ED129D" w:rsidRPr="005E3B43">
        <w:t>paragraph</w:t>
      </w:r>
      <w:r w:rsidR="004E6D00" w:rsidRPr="005E3B43">
        <w:t> </w:t>
      </w:r>
      <w:r w:rsidR="00ED129D" w:rsidRPr="005E3B43">
        <w:t>28(5)(h) or subsection</w:t>
      </w:r>
      <w:r w:rsidR="004E6D00" w:rsidRPr="005E3B43">
        <w:t> </w:t>
      </w:r>
      <w:r w:rsidR="00ED129D" w:rsidRPr="005E3B43">
        <w:t>41FN(2)</w:t>
      </w:r>
      <w:r w:rsidRPr="005E3B43">
        <w:t xml:space="preserve"> of the Act.</w:t>
      </w:r>
    </w:p>
    <w:p w14:paraId="5E2B6EAB" w14:textId="77777777" w:rsidR="003B615A" w:rsidRPr="005E3B43" w:rsidRDefault="003B615A" w:rsidP="00763BCF">
      <w:pPr>
        <w:pStyle w:val="subsection"/>
      </w:pPr>
      <w:r w:rsidRPr="005E3B43">
        <w:tab/>
        <w:t>(4)</w:t>
      </w:r>
      <w:r w:rsidRPr="005E3B43">
        <w:tab/>
        <w:t xml:space="preserve">The tests determined under </w:t>
      </w:r>
      <w:r w:rsidR="004E6D00" w:rsidRPr="005E3B43">
        <w:t>paragraph (</w:t>
      </w:r>
      <w:r w:rsidRPr="005E3B43">
        <w:t>3)(b), by an official analyst, for the following matters must be tests covered by regulation</w:t>
      </w:r>
      <w:r w:rsidR="004E6D00" w:rsidRPr="005E3B43">
        <w:t> </w:t>
      </w:r>
      <w:r w:rsidRPr="005E3B43">
        <w:t>28:</w:t>
      </w:r>
    </w:p>
    <w:p w14:paraId="4341829E" w14:textId="77777777" w:rsidR="003B615A" w:rsidRPr="005E3B43" w:rsidRDefault="003B615A" w:rsidP="00763BCF">
      <w:pPr>
        <w:pStyle w:val="paragraph"/>
      </w:pPr>
      <w:r w:rsidRPr="005E3B43">
        <w:tab/>
        <w:t>(a)</w:t>
      </w:r>
      <w:r w:rsidRPr="005E3B43">
        <w:tab/>
        <w:t>determining whether particular therapeutic goods (other than medical devices) are goods that conform with a standard applicable to the goods;</w:t>
      </w:r>
    </w:p>
    <w:p w14:paraId="433CC1D6" w14:textId="77777777" w:rsidR="003B615A" w:rsidRPr="005E3B43" w:rsidRDefault="003B615A" w:rsidP="00763BCF">
      <w:pPr>
        <w:pStyle w:val="paragraph"/>
      </w:pPr>
      <w:r w:rsidRPr="005E3B43">
        <w:tab/>
        <w:t>(b)</w:t>
      </w:r>
      <w:r w:rsidRPr="005E3B43">
        <w:tab/>
        <w:t>determining whether a particular kind of medical device complies with the applicable provisions of the essential principles.</w:t>
      </w:r>
    </w:p>
    <w:p w14:paraId="0CE511CD" w14:textId="77777777" w:rsidR="003B615A" w:rsidRPr="005E3B43" w:rsidRDefault="003B615A" w:rsidP="00763BCF">
      <w:pPr>
        <w:pStyle w:val="subsection"/>
      </w:pPr>
      <w:r w:rsidRPr="005E3B43">
        <w:tab/>
        <w:t>(5)</w:t>
      </w:r>
      <w:r w:rsidRPr="005E3B43">
        <w:tab/>
        <w:t xml:space="preserve">The tests determined under </w:t>
      </w:r>
      <w:r w:rsidR="004E6D00" w:rsidRPr="005E3B43">
        <w:t>paragraph (</w:t>
      </w:r>
      <w:r w:rsidRPr="005E3B43">
        <w:t>3)(b), by an official analyst, for a matter not covered by subregulation (4), are the tests that the official analyst considers appropriate.</w:t>
      </w:r>
    </w:p>
    <w:p w14:paraId="4AE89DE5" w14:textId="77777777" w:rsidR="00207B1C" w:rsidRPr="005E3B43" w:rsidRDefault="00207B1C" w:rsidP="00763BCF">
      <w:pPr>
        <w:pStyle w:val="ActHead5"/>
      </w:pPr>
      <w:bookmarkStart w:id="140" w:name="_Toc187135734"/>
      <w:r w:rsidRPr="005E3B43">
        <w:rPr>
          <w:rStyle w:val="CharSectno"/>
        </w:rPr>
        <w:t>26</w:t>
      </w:r>
      <w:r w:rsidR="00E20BA4" w:rsidRPr="005E3B43">
        <w:t xml:space="preserve">  </w:t>
      </w:r>
      <w:r w:rsidRPr="005E3B43">
        <w:t>Taking of samples for testing</w:t>
      </w:r>
      <w:bookmarkEnd w:id="140"/>
    </w:p>
    <w:p w14:paraId="58FE2B6A" w14:textId="77777777" w:rsidR="00207B1C" w:rsidRPr="005E3B43" w:rsidRDefault="00207B1C" w:rsidP="00763BCF">
      <w:pPr>
        <w:pStyle w:val="subsection"/>
      </w:pPr>
      <w:r w:rsidRPr="005E3B43">
        <w:tab/>
        <w:t>(1)</w:t>
      </w:r>
      <w:r w:rsidRPr="005E3B43">
        <w:tab/>
        <w:t>When an authorised officer takes a sample of therapeutic goods (other than a further sample taken under the circumstances described in subregulation</w:t>
      </w:r>
      <w:r w:rsidR="004E6D00" w:rsidRPr="005E3B43">
        <w:t> </w:t>
      </w:r>
      <w:r w:rsidRPr="005E3B43">
        <w:t>30(6)), the authorised officer:</w:t>
      </w:r>
    </w:p>
    <w:p w14:paraId="29D45774" w14:textId="77777777" w:rsidR="00207B1C" w:rsidRPr="005E3B43" w:rsidRDefault="00207B1C" w:rsidP="00763BCF">
      <w:pPr>
        <w:pStyle w:val="paragraph"/>
      </w:pPr>
      <w:r w:rsidRPr="005E3B43">
        <w:tab/>
        <w:t>(a)</w:t>
      </w:r>
      <w:r w:rsidRPr="005E3B43">
        <w:tab/>
        <w:t>must notify the person from whom the sample was taken that the authorised officer is going to send the sample to a laboratory operated by the Department for analysis; and</w:t>
      </w:r>
    </w:p>
    <w:p w14:paraId="522BBDBA" w14:textId="77777777" w:rsidR="00207B1C" w:rsidRPr="005E3B43" w:rsidRDefault="00207B1C" w:rsidP="00763BCF">
      <w:pPr>
        <w:pStyle w:val="paragraph"/>
      </w:pPr>
      <w:r w:rsidRPr="005E3B43">
        <w:tab/>
        <w:t>(b)</w:t>
      </w:r>
      <w:r w:rsidRPr="005E3B43">
        <w:tab/>
        <w:t>must give the person from whom the sample was taken a notice setting out details of the goods taken and, if the person from whom the sample was taken was not the sponsor of the goods, send a copy of that notice to the sponsor of the goods; and</w:t>
      </w:r>
    </w:p>
    <w:p w14:paraId="731A786F" w14:textId="77777777" w:rsidR="00207B1C" w:rsidRPr="005E3B43" w:rsidRDefault="00207B1C" w:rsidP="00763BCF">
      <w:pPr>
        <w:pStyle w:val="paragraph"/>
      </w:pPr>
      <w:r w:rsidRPr="005E3B43">
        <w:tab/>
        <w:t>(c)</w:t>
      </w:r>
      <w:r w:rsidRPr="005E3B43">
        <w:tab/>
        <w:t>must forward the whole or part of the sample to the relevant laboratory.</w:t>
      </w:r>
    </w:p>
    <w:p w14:paraId="598B41CB" w14:textId="77777777" w:rsidR="00207B1C" w:rsidRPr="005E3B43" w:rsidRDefault="00207B1C" w:rsidP="00763BCF">
      <w:pPr>
        <w:pStyle w:val="subsection"/>
      </w:pPr>
      <w:r w:rsidRPr="005E3B43">
        <w:tab/>
        <w:t>(2)</w:t>
      </w:r>
      <w:r w:rsidRPr="005E3B43">
        <w:tab/>
        <w:t>An authorised officer must ensure that any sample of goods taken (including further samples taken under the circumstances described in subregulation</w:t>
      </w:r>
      <w:r w:rsidR="004E6D00" w:rsidRPr="005E3B43">
        <w:t> </w:t>
      </w:r>
      <w:r w:rsidRPr="005E3B43">
        <w:t>30(6)) is:</w:t>
      </w:r>
    </w:p>
    <w:p w14:paraId="4E67F22B" w14:textId="77777777" w:rsidR="00207B1C" w:rsidRPr="005E3B43" w:rsidRDefault="00207B1C" w:rsidP="00763BCF">
      <w:pPr>
        <w:pStyle w:val="paragraph"/>
      </w:pPr>
      <w:r w:rsidRPr="005E3B43">
        <w:tab/>
        <w:t>(a)</w:t>
      </w:r>
      <w:r w:rsidRPr="005E3B43">
        <w:tab/>
        <w:t>appropriately fastened and sealed; and</w:t>
      </w:r>
    </w:p>
    <w:p w14:paraId="04C24B45" w14:textId="77777777" w:rsidR="00207B1C" w:rsidRPr="005E3B43" w:rsidRDefault="00207B1C" w:rsidP="00763BCF">
      <w:pPr>
        <w:pStyle w:val="paragraph"/>
      </w:pPr>
      <w:r w:rsidRPr="005E3B43">
        <w:tab/>
        <w:t>(b)</w:t>
      </w:r>
      <w:r w:rsidRPr="005E3B43">
        <w:tab/>
        <w:t>stored and transported in accordance with the instructions (if any) specified on the label of the goods.</w:t>
      </w:r>
    </w:p>
    <w:p w14:paraId="2CCE3BE8" w14:textId="77777777" w:rsidR="00207B1C" w:rsidRPr="005E3B43" w:rsidRDefault="00207B1C" w:rsidP="00763BCF">
      <w:pPr>
        <w:pStyle w:val="ActHead5"/>
      </w:pPr>
      <w:bookmarkStart w:id="141" w:name="_Toc187135735"/>
      <w:r w:rsidRPr="005E3B43">
        <w:rPr>
          <w:rStyle w:val="CharSectno"/>
        </w:rPr>
        <w:t>26A</w:t>
      </w:r>
      <w:r w:rsidR="00E20BA4" w:rsidRPr="005E3B43">
        <w:t xml:space="preserve">  </w:t>
      </w:r>
      <w:r w:rsidRPr="005E3B43">
        <w:t>Receiving samples for testing</w:t>
      </w:r>
      <w:bookmarkEnd w:id="141"/>
    </w:p>
    <w:p w14:paraId="7EDD02B4" w14:textId="77777777" w:rsidR="00207B1C" w:rsidRPr="005E3B43" w:rsidRDefault="00207B1C" w:rsidP="00763BCF">
      <w:pPr>
        <w:pStyle w:val="subsection"/>
      </w:pPr>
      <w:r w:rsidRPr="005E3B43">
        <w:tab/>
        <w:t>(1)</w:t>
      </w:r>
      <w:r w:rsidRPr="005E3B43">
        <w:tab/>
        <w:t xml:space="preserve">When a sample of therapeutic goods is delivered under </w:t>
      </w:r>
      <w:r w:rsidR="00ED129D" w:rsidRPr="005E3B43">
        <w:t>paragraph</w:t>
      </w:r>
      <w:r w:rsidR="004E6D00" w:rsidRPr="005E3B43">
        <w:t> </w:t>
      </w:r>
      <w:r w:rsidR="00ED129D" w:rsidRPr="005E3B43">
        <w:t>28(5)(h) or subsection</w:t>
      </w:r>
      <w:r w:rsidR="004E6D00" w:rsidRPr="005E3B43">
        <w:t> </w:t>
      </w:r>
      <w:r w:rsidR="00ED129D" w:rsidRPr="005E3B43">
        <w:t>41FN(2)</w:t>
      </w:r>
      <w:r w:rsidRPr="005E3B43">
        <w:t xml:space="preserve"> of the Act, the Secretary must as soon as practicable:</w:t>
      </w:r>
    </w:p>
    <w:p w14:paraId="7FBDA1E8" w14:textId="77777777" w:rsidR="00207B1C" w:rsidRPr="005E3B43" w:rsidRDefault="00207B1C" w:rsidP="00763BCF">
      <w:pPr>
        <w:pStyle w:val="paragraph"/>
      </w:pPr>
      <w:r w:rsidRPr="005E3B43">
        <w:tab/>
        <w:t>(a)</w:t>
      </w:r>
      <w:r w:rsidRPr="005E3B43">
        <w:tab/>
        <w:t>determine whether the sample is appropriately fastened and sealed; and</w:t>
      </w:r>
    </w:p>
    <w:p w14:paraId="28F93E7D" w14:textId="77777777" w:rsidR="00207B1C" w:rsidRPr="005E3B43" w:rsidRDefault="00207B1C" w:rsidP="00763BCF">
      <w:pPr>
        <w:pStyle w:val="paragraph"/>
      </w:pPr>
      <w:r w:rsidRPr="005E3B43">
        <w:tab/>
        <w:t>(b)</w:t>
      </w:r>
      <w:r w:rsidRPr="005E3B43">
        <w:tab/>
        <w:t>do either of the following:</w:t>
      </w:r>
    </w:p>
    <w:p w14:paraId="7CDF08F7" w14:textId="77777777" w:rsidR="00207B1C" w:rsidRPr="005E3B43" w:rsidRDefault="00207B1C" w:rsidP="00763BCF">
      <w:pPr>
        <w:pStyle w:val="paragraphsub"/>
      </w:pPr>
      <w:r w:rsidRPr="005E3B43">
        <w:tab/>
        <w:t>(i)</w:t>
      </w:r>
      <w:r w:rsidRPr="005E3B43">
        <w:tab/>
        <w:t>if the sample is appropriately fastened and sealed</w:t>
      </w:r>
      <w:r w:rsidR="00E20BA4" w:rsidRPr="005E3B43">
        <w:t>—</w:t>
      </w:r>
      <w:r w:rsidRPr="005E3B43">
        <w:t>send the sample, in the form in which it was received, to the relevant laboratory operated by the Department for analysis;</w:t>
      </w:r>
    </w:p>
    <w:p w14:paraId="1367D77B" w14:textId="77777777" w:rsidR="00207B1C" w:rsidRPr="005E3B43" w:rsidRDefault="00207B1C" w:rsidP="00763BCF">
      <w:pPr>
        <w:pStyle w:val="paragraphsub"/>
      </w:pPr>
      <w:r w:rsidRPr="005E3B43">
        <w:lastRenderedPageBreak/>
        <w:tab/>
        <w:t>(ii)</w:t>
      </w:r>
      <w:r w:rsidRPr="005E3B43">
        <w:tab/>
        <w:t>if the sample is not appropriately fastened and sealed</w:t>
      </w:r>
      <w:r w:rsidR="00E20BA4" w:rsidRPr="005E3B43">
        <w:t>—</w:t>
      </w:r>
      <w:r w:rsidRPr="005E3B43">
        <w:t>return the sample to the sponsor of the goods, with a statement explaining in what way the sample is not appropriately fastened or sealed.</w:t>
      </w:r>
    </w:p>
    <w:p w14:paraId="11C244F4" w14:textId="77777777" w:rsidR="00207B1C" w:rsidRPr="005E3B43" w:rsidRDefault="00207B1C" w:rsidP="00763BCF">
      <w:pPr>
        <w:pStyle w:val="subsection"/>
      </w:pPr>
      <w:r w:rsidRPr="005E3B43">
        <w:tab/>
        <w:t>(2)</w:t>
      </w:r>
      <w:r w:rsidRPr="005E3B43">
        <w:tab/>
        <w:t>In complying with subregulation (1), the Secretary must ensure that the sample is stored and transported in accordance with the instructions (if any) specified on the label of the goods.</w:t>
      </w:r>
    </w:p>
    <w:p w14:paraId="64DC121D" w14:textId="77777777" w:rsidR="00207B1C" w:rsidRPr="005E3B43" w:rsidRDefault="00207B1C" w:rsidP="00763BCF">
      <w:pPr>
        <w:pStyle w:val="ActHead5"/>
      </w:pPr>
      <w:bookmarkStart w:id="142" w:name="_Toc187135736"/>
      <w:r w:rsidRPr="005E3B43">
        <w:rPr>
          <w:rStyle w:val="CharSectno"/>
        </w:rPr>
        <w:t>27</w:t>
      </w:r>
      <w:r w:rsidR="00E20BA4" w:rsidRPr="005E3B43">
        <w:t xml:space="preserve">  </w:t>
      </w:r>
      <w:r w:rsidRPr="005E3B43">
        <w:t>Examination and testing of sample</w:t>
      </w:r>
      <w:bookmarkEnd w:id="142"/>
    </w:p>
    <w:p w14:paraId="69AFDBB1" w14:textId="77777777" w:rsidR="00207B1C" w:rsidRPr="005E3B43" w:rsidRDefault="00207B1C" w:rsidP="00763BCF">
      <w:pPr>
        <w:pStyle w:val="subsection"/>
      </w:pPr>
      <w:r w:rsidRPr="005E3B43">
        <w:tab/>
        <w:t>(1)</w:t>
      </w:r>
      <w:r w:rsidRPr="005E3B43">
        <w:tab/>
        <w:t>A samples officer must, as soon as practicable after receiving a sample of goods at a laboratory operated by the Department:</w:t>
      </w:r>
    </w:p>
    <w:p w14:paraId="1A8C0A7E" w14:textId="77777777" w:rsidR="00207B1C" w:rsidRPr="005E3B43" w:rsidRDefault="00207B1C" w:rsidP="00763BCF">
      <w:pPr>
        <w:pStyle w:val="paragraph"/>
      </w:pPr>
      <w:r w:rsidRPr="005E3B43">
        <w:tab/>
        <w:t>(a)</w:t>
      </w:r>
      <w:r w:rsidRPr="005E3B43">
        <w:tab/>
        <w:t>determine whether the sample is appropriately fastened and sealed; and</w:t>
      </w:r>
    </w:p>
    <w:p w14:paraId="097B3A8D" w14:textId="77777777" w:rsidR="00207B1C" w:rsidRPr="005E3B43" w:rsidRDefault="00207B1C" w:rsidP="00763BCF">
      <w:pPr>
        <w:pStyle w:val="paragraph"/>
      </w:pPr>
      <w:r w:rsidRPr="005E3B43">
        <w:tab/>
        <w:t>(b)</w:t>
      </w:r>
      <w:r w:rsidRPr="005E3B43">
        <w:tab/>
        <w:t>if the sample is appropriately fastened and sealed</w:t>
      </w:r>
      <w:r w:rsidR="00E20BA4" w:rsidRPr="005E3B43">
        <w:t>—</w:t>
      </w:r>
      <w:r w:rsidRPr="005E3B43">
        <w:t>store the sample under the officer’s control and under secure conditions that are appropriate to the kind of goods.</w:t>
      </w:r>
    </w:p>
    <w:p w14:paraId="5781DE3B" w14:textId="77777777" w:rsidR="00207B1C" w:rsidRPr="005E3B43" w:rsidRDefault="00207B1C" w:rsidP="00763BCF">
      <w:pPr>
        <w:pStyle w:val="subsection"/>
      </w:pPr>
      <w:r w:rsidRPr="005E3B43">
        <w:tab/>
        <w:t>(2)</w:t>
      </w:r>
      <w:r w:rsidRPr="005E3B43">
        <w:tab/>
        <w:t>The responsible analyst must, as soon as practicable, collect the sample from the samples officer and arrange for:</w:t>
      </w:r>
    </w:p>
    <w:p w14:paraId="2C376151" w14:textId="77777777" w:rsidR="00207B1C" w:rsidRPr="005E3B43" w:rsidRDefault="00207B1C" w:rsidP="00763BCF">
      <w:pPr>
        <w:pStyle w:val="paragraph"/>
      </w:pPr>
      <w:r w:rsidRPr="005E3B43">
        <w:tab/>
        <w:t>(a)</w:t>
      </w:r>
      <w:r w:rsidRPr="005E3B43">
        <w:tab/>
        <w:t xml:space="preserve">an analysis of the sample by </w:t>
      </w:r>
      <w:r w:rsidR="003B615A" w:rsidRPr="005E3B43">
        <w:t>performing the tests determined under paragraph</w:t>
      </w:r>
      <w:r w:rsidR="004E6D00" w:rsidRPr="005E3B43">
        <w:t> </w:t>
      </w:r>
      <w:r w:rsidR="003B615A" w:rsidRPr="005E3B43">
        <w:t>25(3)(b) in relation to the sample</w:t>
      </w:r>
      <w:r w:rsidRPr="005E3B43">
        <w:t xml:space="preserve"> to establish:</w:t>
      </w:r>
    </w:p>
    <w:p w14:paraId="639D18C5" w14:textId="77777777" w:rsidR="00207B1C" w:rsidRPr="005E3B43" w:rsidRDefault="00207B1C" w:rsidP="00763BCF">
      <w:pPr>
        <w:pStyle w:val="paragraphsub"/>
      </w:pPr>
      <w:r w:rsidRPr="005E3B43">
        <w:tab/>
        <w:t>(i)</w:t>
      </w:r>
      <w:r w:rsidRPr="005E3B43">
        <w:tab/>
        <w:t>the quantity and quality of the goods comprising the sample; and</w:t>
      </w:r>
    </w:p>
    <w:p w14:paraId="1CCC2E30" w14:textId="77777777" w:rsidR="00207B1C" w:rsidRPr="005E3B43" w:rsidRDefault="00207B1C" w:rsidP="00763BCF">
      <w:pPr>
        <w:pStyle w:val="paragraphsub"/>
      </w:pPr>
      <w:r w:rsidRPr="005E3B43">
        <w:tab/>
        <w:t>(ii)</w:t>
      </w:r>
      <w:r w:rsidRPr="005E3B43">
        <w:tab/>
        <w:t>any other matter relevant to determining whether:</w:t>
      </w:r>
    </w:p>
    <w:p w14:paraId="60149B23" w14:textId="77777777" w:rsidR="00207B1C" w:rsidRPr="005E3B43" w:rsidRDefault="00207B1C" w:rsidP="00763BCF">
      <w:pPr>
        <w:pStyle w:val="paragraphsub-sub"/>
      </w:pPr>
      <w:r w:rsidRPr="005E3B43">
        <w:tab/>
        <w:t>(A)</w:t>
      </w:r>
      <w:r w:rsidRPr="005E3B43">
        <w:tab/>
        <w:t>for goods other than medical devices</w:t>
      </w:r>
      <w:r w:rsidR="00E20BA4" w:rsidRPr="005E3B43">
        <w:t>—</w:t>
      </w:r>
      <w:r w:rsidRPr="005E3B43">
        <w:t>the goods from which the sample was taken conform with any standard applicable to the goods and any conditions relating to matters mentioned in paragraph</w:t>
      </w:r>
      <w:r w:rsidR="004E6D00" w:rsidRPr="005E3B43">
        <w:t> </w:t>
      </w:r>
      <w:r w:rsidRPr="005E3B43">
        <w:t>28(2)(d) of the Act; and</w:t>
      </w:r>
    </w:p>
    <w:p w14:paraId="1190744B" w14:textId="77777777" w:rsidR="00207B1C" w:rsidRPr="005E3B43" w:rsidRDefault="00207B1C" w:rsidP="00763BCF">
      <w:pPr>
        <w:pStyle w:val="paragraphsub-sub"/>
      </w:pPr>
      <w:r w:rsidRPr="005E3B43">
        <w:tab/>
        <w:t>(B)</w:t>
      </w:r>
      <w:r w:rsidRPr="005E3B43">
        <w:tab/>
        <w:t>for medical devices</w:t>
      </w:r>
      <w:r w:rsidR="00E20BA4" w:rsidRPr="005E3B43">
        <w:t>—</w:t>
      </w:r>
      <w:r w:rsidRPr="005E3B43">
        <w:t>the goods from which the sample was taken comply with the applicable provisions of the essential principles and any conditions relating to matters mentioned in paragraph</w:t>
      </w:r>
      <w:r w:rsidR="004E6D00" w:rsidRPr="005E3B43">
        <w:t> </w:t>
      </w:r>
      <w:r w:rsidRPr="005E3B43">
        <w:t>41FO(2)(d) of the Act; and</w:t>
      </w:r>
    </w:p>
    <w:p w14:paraId="6DCA2E45" w14:textId="77777777" w:rsidR="003B615A" w:rsidRPr="005E3B43" w:rsidRDefault="003B615A" w:rsidP="00763BCF">
      <w:pPr>
        <w:pStyle w:val="paragraphsub"/>
      </w:pPr>
      <w:r w:rsidRPr="005E3B43">
        <w:tab/>
        <w:t>(iii)</w:t>
      </w:r>
      <w:r w:rsidRPr="005E3B43">
        <w:tab/>
        <w:t xml:space="preserve">for a sample of medicine listed under </w:t>
      </w:r>
      <w:r w:rsidR="00FB7FAA" w:rsidRPr="005E3B43">
        <w:t>section 2</w:t>
      </w:r>
      <w:r w:rsidRPr="005E3B43">
        <w:t>6A or 26AE of the Act—whether the medicine contains an ingredient that is not specified in a determination under paragraph</w:t>
      </w:r>
      <w:r w:rsidR="004E6D00" w:rsidRPr="005E3B43">
        <w:t> </w:t>
      </w:r>
      <w:r w:rsidRPr="005E3B43">
        <w:t>26BB(1)(a) of the Act or whether any of the requirements determined under paragraph</w:t>
      </w:r>
      <w:r w:rsidR="004E6D00" w:rsidRPr="005E3B43">
        <w:t> </w:t>
      </w:r>
      <w:r w:rsidRPr="005E3B43">
        <w:t>26BB(1)(b) of the Act have been contravened; and</w:t>
      </w:r>
    </w:p>
    <w:p w14:paraId="005E02C8" w14:textId="77777777" w:rsidR="00207B1C" w:rsidRPr="005E3B43" w:rsidRDefault="00207B1C" w:rsidP="00763BCF">
      <w:pPr>
        <w:pStyle w:val="paragraph"/>
      </w:pPr>
      <w:r w:rsidRPr="005E3B43">
        <w:tab/>
        <w:t>(b)</w:t>
      </w:r>
      <w:r w:rsidRPr="005E3B43">
        <w:tab/>
        <w:t>an examination of the goods, the label (if any) relating to the goods and the packaging of the goods, to determine whether the goods comply with the labelling, packaging and other requirements (including requirements relating to advertising) applicable to the goods.</w:t>
      </w:r>
    </w:p>
    <w:p w14:paraId="319D73EC" w14:textId="77777777" w:rsidR="003B615A" w:rsidRPr="005E3B43" w:rsidRDefault="003B615A" w:rsidP="00763BCF">
      <w:pPr>
        <w:pStyle w:val="ActHead5"/>
      </w:pPr>
      <w:bookmarkStart w:id="143" w:name="_Toc187135737"/>
      <w:r w:rsidRPr="005E3B43">
        <w:rPr>
          <w:rStyle w:val="CharSectno"/>
        </w:rPr>
        <w:t>28</w:t>
      </w:r>
      <w:r w:rsidRPr="005E3B43">
        <w:t xml:space="preserve">  Tests for determining conformity with a standard or compliance with essential principles</w:t>
      </w:r>
      <w:bookmarkEnd w:id="143"/>
    </w:p>
    <w:p w14:paraId="0074E03C" w14:textId="77777777" w:rsidR="00207B1C" w:rsidRPr="005E3B43" w:rsidRDefault="00207B1C" w:rsidP="00763BCF">
      <w:pPr>
        <w:pStyle w:val="subsection"/>
      </w:pPr>
      <w:r w:rsidRPr="005E3B43">
        <w:tab/>
        <w:t>(1)</w:t>
      </w:r>
      <w:r w:rsidRPr="005E3B43">
        <w:tab/>
        <w:t>Each of the following is a test for determining whether particular therapeutic goods (other than medical devices) are goods that conform with a standard applicable to the goods:</w:t>
      </w:r>
    </w:p>
    <w:p w14:paraId="1ECB01D7" w14:textId="147C98C6" w:rsidR="00207B1C" w:rsidRPr="005E3B43" w:rsidRDefault="00207B1C" w:rsidP="00763BCF">
      <w:pPr>
        <w:pStyle w:val="paragraph"/>
      </w:pPr>
      <w:r w:rsidRPr="005E3B43">
        <w:lastRenderedPageBreak/>
        <w:tab/>
        <w:t>(a)</w:t>
      </w:r>
      <w:r w:rsidRPr="005E3B43">
        <w:tab/>
        <w:t xml:space="preserve">a test specified by the Minister in an order under </w:t>
      </w:r>
      <w:r w:rsidR="007C3215">
        <w:t>section 1</w:t>
      </w:r>
      <w:r w:rsidRPr="005E3B43">
        <w:t>0 of the Act for those goods in relation to that standard; and</w:t>
      </w:r>
    </w:p>
    <w:p w14:paraId="6D1256BE" w14:textId="6E8D7933" w:rsidR="00207B1C" w:rsidRPr="005E3B43" w:rsidRDefault="00207B1C" w:rsidP="00763BCF">
      <w:pPr>
        <w:pStyle w:val="paragraph"/>
      </w:pPr>
      <w:r w:rsidRPr="005E3B43">
        <w:tab/>
        <w:t>(b)</w:t>
      </w:r>
      <w:r w:rsidRPr="005E3B43">
        <w:tab/>
        <w:t>a test specified in a monograph in the British Pharmacopoeia</w:t>
      </w:r>
      <w:r w:rsidR="003B615A" w:rsidRPr="005E3B43">
        <w:t>, the European Pharmacopoeia or the United States Pharmacopeia</w:t>
      </w:r>
      <w:r w:rsidR="007C3215">
        <w:noBreakHyphen/>
      </w:r>
      <w:r w:rsidR="003B615A" w:rsidRPr="005E3B43">
        <w:t>National Formulary</w:t>
      </w:r>
      <w:r w:rsidRPr="005E3B43">
        <w:t xml:space="preserve"> in relation to that standard if:</w:t>
      </w:r>
    </w:p>
    <w:p w14:paraId="7396A0DB" w14:textId="77777777" w:rsidR="00207B1C" w:rsidRPr="005E3B43" w:rsidRDefault="00207B1C" w:rsidP="00763BCF">
      <w:pPr>
        <w:pStyle w:val="paragraphsub"/>
      </w:pPr>
      <w:r w:rsidRPr="005E3B43">
        <w:tab/>
        <w:t>(i)</w:t>
      </w:r>
      <w:r w:rsidRPr="005E3B43">
        <w:tab/>
        <w:t>those goods are for use in humans; and</w:t>
      </w:r>
    </w:p>
    <w:p w14:paraId="74A5F475" w14:textId="4115DAE1" w:rsidR="00207B1C" w:rsidRPr="005E3B43" w:rsidRDefault="00207B1C" w:rsidP="00763BCF">
      <w:pPr>
        <w:pStyle w:val="paragraphsub"/>
      </w:pPr>
      <w:r w:rsidRPr="005E3B43">
        <w:tab/>
        <w:t>(ii)</w:t>
      </w:r>
      <w:r w:rsidRPr="005E3B43">
        <w:tab/>
        <w:t xml:space="preserve">the Minister has not specified a test in an order under </w:t>
      </w:r>
      <w:r w:rsidR="007C3215">
        <w:t>section 1</w:t>
      </w:r>
      <w:r w:rsidRPr="005E3B43">
        <w:t>0 of the Act for those goods in relation to that standard; and</w:t>
      </w:r>
    </w:p>
    <w:p w14:paraId="1DA012EF" w14:textId="07191BE4" w:rsidR="00207B1C" w:rsidRPr="005E3B43" w:rsidRDefault="00207B1C" w:rsidP="00763BCF">
      <w:pPr>
        <w:pStyle w:val="paragraph"/>
      </w:pPr>
      <w:r w:rsidRPr="005E3B43">
        <w:tab/>
        <w:t>(d)</w:t>
      </w:r>
      <w:r w:rsidRPr="005E3B43">
        <w:tab/>
        <w:t xml:space="preserve">a test accepted for the purposes of registration of the goods under </w:t>
      </w:r>
      <w:r w:rsidR="00BB758E" w:rsidRPr="005E3B43">
        <w:t>Part 3</w:t>
      </w:r>
      <w:r w:rsidR="007C3215">
        <w:noBreakHyphen/>
      </w:r>
      <w:r w:rsidRPr="005E3B43">
        <w:t>2 of the Act; and</w:t>
      </w:r>
    </w:p>
    <w:p w14:paraId="210319FE" w14:textId="77777777" w:rsidR="00207B1C" w:rsidRPr="005E3B43" w:rsidRDefault="00207B1C" w:rsidP="00763BCF">
      <w:pPr>
        <w:pStyle w:val="paragraph"/>
      </w:pPr>
      <w:r w:rsidRPr="005E3B43">
        <w:tab/>
        <w:t>(e)</w:t>
      </w:r>
      <w:r w:rsidRPr="005E3B43">
        <w:tab/>
        <w:t>any other suitable test that the Secretary requires to be carried out in respect of those goods in relation to that standard.</w:t>
      </w:r>
    </w:p>
    <w:p w14:paraId="0F08DD79" w14:textId="77777777" w:rsidR="00207B1C" w:rsidRPr="005E3B43" w:rsidRDefault="00207B1C" w:rsidP="00763BCF">
      <w:pPr>
        <w:pStyle w:val="subsection"/>
      </w:pPr>
      <w:r w:rsidRPr="005E3B43">
        <w:tab/>
        <w:t>(2)</w:t>
      </w:r>
      <w:r w:rsidRPr="005E3B43">
        <w:tab/>
        <w:t>Each of the following is a test for determining whether a particular kind of medical device complies with the applicable provisions of the essential principles:</w:t>
      </w:r>
    </w:p>
    <w:p w14:paraId="62252746" w14:textId="77777777" w:rsidR="00207B1C" w:rsidRPr="005E3B43" w:rsidRDefault="00207B1C" w:rsidP="00763BCF">
      <w:pPr>
        <w:pStyle w:val="paragraph"/>
      </w:pPr>
      <w:r w:rsidRPr="005E3B43">
        <w:tab/>
        <w:t>(a)</w:t>
      </w:r>
      <w:r w:rsidRPr="005E3B43">
        <w:tab/>
        <w:t>a test specified in a medical device standard or conformity assessment standard for the kind of device;</w:t>
      </w:r>
    </w:p>
    <w:p w14:paraId="46608ABC" w14:textId="77777777" w:rsidR="00207B1C" w:rsidRPr="005E3B43" w:rsidRDefault="00207B1C" w:rsidP="00763BCF">
      <w:pPr>
        <w:pStyle w:val="paragraph"/>
      </w:pPr>
      <w:r w:rsidRPr="005E3B43">
        <w:tab/>
        <w:t>(b)</w:t>
      </w:r>
      <w:r w:rsidRPr="005E3B43">
        <w:tab/>
        <w:t>a test accepted for the purpose of issuing a conformity assessment certificate in respect of the kind of device;</w:t>
      </w:r>
    </w:p>
    <w:p w14:paraId="00B73421" w14:textId="77777777" w:rsidR="00207B1C" w:rsidRPr="005E3B43" w:rsidRDefault="00207B1C" w:rsidP="00763BCF">
      <w:pPr>
        <w:pStyle w:val="paragraph"/>
      </w:pPr>
      <w:r w:rsidRPr="005E3B43">
        <w:tab/>
        <w:t>(c)</w:t>
      </w:r>
      <w:r w:rsidRPr="005E3B43">
        <w:tab/>
        <w:t>a test required under paragraph</w:t>
      </w:r>
      <w:r w:rsidR="004E6D00" w:rsidRPr="005E3B43">
        <w:t> </w:t>
      </w:r>
      <w:r w:rsidRPr="005E3B43">
        <w:t>41FO(2)(d) of the Act as a condition of inclusion of the kind of device in the Register;</w:t>
      </w:r>
    </w:p>
    <w:p w14:paraId="0F5783B3" w14:textId="77777777" w:rsidR="00207B1C" w:rsidRPr="005E3B43" w:rsidRDefault="00207B1C" w:rsidP="00763BCF">
      <w:pPr>
        <w:pStyle w:val="paragraph"/>
      </w:pPr>
      <w:r w:rsidRPr="005E3B43">
        <w:tab/>
        <w:t>(d)</w:t>
      </w:r>
      <w:r w:rsidRPr="005E3B43">
        <w:tab/>
        <w:t>any other suitable test that the Secretary requires to be carried out in respect of the kind of device for the purpose of demonstrating compliance with the applicable provisions of the essential principles.</w:t>
      </w:r>
    </w:p>
    <w:p w14:paraId="2B6415DD" w14:textId="77777777" w:rsidR="003B615A" w:rsidRPr="005E3B43" w:rsidRDefault="003B615A" w:rsidP="00763BCF">
      <w:pPr>
        <w:pStyle w:val="ActHead5"/>
      </w:pPr>
      <w:bookmarkStart w:id="144" w:name="_Toc187135738"/>
      <w:r w:rsidRPr="005E3B43">
        <w:rPr>
          <w:rStyle w:val="CharSectno"/>
        </w:rPr>
        <w:t>29</w:t>
      </w:r>
      <w:r w:rsidRPr="005E3B43">
        <w:t xml:space="preserve">  Certificate of responsible analyst</w:t>
      </w:r>
      <w:bookmarkEnd w:id="144"/>
    </w:p>
    <w:p w14:paraId="39A7883B" w14:textId="77777777" w:rsidR="00207B1C" w:rsidRPr="005E3B43" w:rsidRDefault="00207B1C" w:rsidP="00763BCF">
      <w:pPr>
        <w:pStyle w:val="subsection"/>
      </w:pPr>
      <w:r w:rsidRPr="005E3B43">
        <w:tab/>
        <w:t>(1)</w:t>
      </w:r>
      <w:r w:rsidRPr="005E3B43">
        <w:tab/>
        <w:t xml:space="preserve">The responsible analyst must </w:t>
      </w:r>
      <w:r w:rsidR="003B615A" w:rsidRPr="005E3B43">
        <w:t>issue a certificate</w:t>
      </w:r>
      <w:r w:rsidRPr="005E3B43">
        <w:t xml:space="preserve"> setting out the results of the examination and analysis.</w:t>
      </w:r>
    </w:p>
    <w:p w14:paraId="6B21FF75" w14:textId="77777777" w:rsidR="003B615A" w:rsidRPr="005E3B43" w:rsidRDefault="003B615A" w:rsidP="00763BCF">
      <w:pPr>
        <w:pStyle w:val="subsection"/>
      </w:pPr>
      <w:r w:rsidRPr="005E3B43">
        <w:tab/>
        <w:t>(2)</w:t>
      </w:r>
      <w:r w:rsidRPr="005E3B43">
        <w:tab/>
        <w:t>Within a reasonable time of the completion of the analysis, the responsible analyst must send a copy of the certificate to:</w:t>
      </w:r>
    </w:p>
    <w:p w14:paraId="125220B2" w14:textId="77777777" w:rsidR="003B615A" w:rsidRPr="005E3B43" w:rsidRDefault="003B615A" w:rsidP="00763BCF">
      <w:pPr>
        <w:pStyle w:val="paragraph"/>
      </w:pPr>
      <w:r w:rsidRPr="005E3B43">
        <w:tab/>
        <w:t>(a)</w:t>
      </w:r>
      <w:r w:rsidRPr="005E3B43">
        <w:tab/>
        <w:t>the sponsor of the goods; and</w:t>
      </w:r>
    </w:p>
    <w:p w14:paraId="73BD036F" w14:textId="77777777" w:rsidR="003B615A" w:rsidRPr="005E3B43" w:rsidRDefault="003B615A" w:rsidP="00763BCF">
      <w:pPr>
        <w:pStyle w:val="paragraph"/>
      </w:pPr>
      <w:r w:rsidRPr="005E3B43">
        <w:tab/>
        <w:t>(b)</w:t>
      </w:r>
      <w:r w:rsidRPr="005E3B43">
        <w:tab/>
        <w:t>if the sample was taken under paragraph</w:t>
      </w:r>
      <w:r w:rsidR="004E6D00" w:rsidRPr="005E3B43">
        <w:t> </w:t>
      </w:r>
      <w:r w:rsidRPr="005E3B43">
        <w:t>25(3)(a) and the person from whom the sample was taken is not the sponsor of the goods—the person from whom the sample was taken.</w:t>
      </w:r>
    </w:p>
    <w:p w14:paraId="3539B110" w14:textId="77777777" w:rsidR="00207B1C" w:rsidRPr="005E3B43" w:rsidRDefault="00207B1C" w:rsidP="00763BCF">
      <w:pPr>
        <w:pStyle w:val="subsection"/>
      </w:pPr>
      <w:r w:rsidRPr="005E3B43">
        <w:tab/>
        <w:t>(4)</w:t>
      </w:r>
      <w:r w:rsidRPr="005E3B43">
        <w:tab/>
        <w:t>If the certificate referred to in subregulation</w:t>
      </w:r>
      <w:r w:rsidR="002B4943" w:rsidRPr="005E3B43">
        <w:t> </w:t>
      </w:r>
      <w:r w:rsidRPr="005E3B43">
        <w:t>(1) states:</w:t>
      </w:r>
    </w:p>
    <w:p w14:paraId="014A707C" w14:textId="77777777" w:rsidR="00207B1C" w:rsidRPr="005E3B43" w:rsidRDefault="00207B1C" w:rsidP="00763BCF">
      <w:pPr>
        <w:pStyle w:val="paragraph"/>
      </w:pPr>
      <w:r w:rsidRPr="005E3B43">
        <w:tab/>
        <w:t>(a)</w:t>
      </w:r>
      <w:r w:rsidRPr="005E3B43">
        <w:tab/>
        <w:t>for relevant goods other than medical devices</w:t>
      </w:r>
      <w:r w:rsidR="00E20BA4" w:rsidRPr="005E3B43">
        <w:t>—</w:t>
      </w:r>
      <w:r w:rsidRPr="005E3B43">
        <w:t>that the goods do not conform with a specified standard or comply with a requirement that is applicable to the goods under regulation</w:t>
      </w:r>
      <w:r w:rsidR="004E6D00" w:rsidRPr="005E3B43">
        <w:t> </w:t>
      </w:r>
      <w:r w:rsidRPr="005E3B43">
        <w:t>27; or</w:t>
      </w:r>
    </w:p>
    <w:p w14:paraId="1FC9E4F8" w14:textId="77777777" w:rsidR="00207B1C" w:rsidRPr="005E3B43" w:rsidRDefault="00207B1C" w:rsidP="00763BCF">
      <w:pPr>
        <w:pStyle w:val="paragraph"/>
      </w:pPr>
      <w:r w:rsidRPr="005E3B43">
        <w:tab/>
        <w:t>(b)</w:t>
      </w:r>
      <w:r w:rsidRPr="005E3B43">
        <w:tab/>
        <w:t>for medical devices</w:t>
      </w:r>
      <w:r w:rsidR="00E20BA4" w:rsidRPr="005E3B43">
        <w:t>—</w:t>
      </w:r>
      <w:r w:rsidRPr="005E3B43">
        <w:t>that the goods do not comply with the applicable provisions of the essential principles or a requirement that is applicable to the goods under regulation</w:t>
      </w:r>
      <w:r w:rsidR="004E6D00" w:rsidRPr="005E3B43">
        <w:t> </w:t>
      </w:r>
      <w:r w:rsidRPr="005E3B43">
        <w:t>27;</w:t>
      </w:r>
    </w:p>
    <w:p w14:paraId="1F61C01C" w14:textId="77777777" w:rsidR="00207B1C" w:rsidRPr="005E3B43" w:rsidRDefault="003B615A" w:rsidP="00763BCF">
      <w:pPr>
        <w:pStyle w:val="subsection2"/>
      </w:pPr>
      <w:r w:rsidRPr="005E3B43">
        <w:t>a copy of the certificate sent under subregulation (2)</w:t>
      </w:r>
      <w:r w:rsidR="00207B1C" w:rsidRPr="005E3B43">
        <w:t xml:space="preserve"> must be accompanied by a notice that complies with subregulation</w:t>
      </w:r>
      <w:r w:rsidR="002B4943" w:rsidRPr="005E3B43">
        <w:t> </w:t>
      </w:r>
      <w:r w:rsidR="00207B1C" w:rsidRPr="005E3B43">
        <w:t>(4A).</w:t>
      </w:r>
    </w:p>
    <w:p w14:paraId="0413B221" w14:textId="77777777" w:rsidR="00207B1C" w:rsidRPr="005E3B43" w:rsidRDefault="00207B1C" w:rsidP="00763BCF">
      <w:pPr>
        <w:pStyle w:val="subsection"/>
      </w:pPr>
      <w:r w:rsidRPr="005E3B43">
        <w:lastRenderedPageBreak/>
        <w:tab/>
        <w:t>(4A)</w:t>
      </w:r>
      <w:r w:rsidRPr="005E3B43">
        <w:tab/>
        <w:t>For subregulation</w:t>
      </w:r>
      <w:r w:rsidR="002B4943" w:rsidRPr="005E3B43">
        <w:t> </w:t>
      </w:r>
      <w:r w:rsidRPr="005E3B43">
        <w:t>(4), the notice must:</w:t>
      </w:r>
    </w:p>
    <w:p w14:paraId="02A53D73" w14:textId="77777777" w:rsidR="00207B1C" w:rsidRPr="005E3B43" w:rsidRDefault="00207B1C" w:rsidP="00763BCF">
      <w:pPr>
        <w:pStyle w:val="paragraph"/>
      </w:pPr>
      <w:r w:rsidRPr="005E3B43">
        <w:tab/>
        <w:t>(a)</w:t>
      </w:r>
      <w:r w:rsidRPr="005E3B43">
        <w:tab/>
        <w:t xml:space="preserve">state that the person to whom the </w:t>
      </w:r>
      <w:r w:rsidR="003B615A" w:rsidRPr="005E3B43">
        <w:t>copy is sent may ask for the results of the analysis referred to in the copy</w:t>
      </w:r>
      <w:r w:rsidRPr="005E3B43">
        <w:t xml:space="preserve"> to be reviewed in accordance with regulation</w:t>
      </w:r>
      <w:r w:rsidR="004E6D00" w:rsidRPr="005E3B43">
        <w:t> </w:t>
      </w:r>
      <w:r w:rsidRPr="005E3B43">
        <w:t>30; and</w:t>
      </w:r>
    </w:p>
    <w:p w14:paraId="18330902" w14:textId="77777777" w:rsidR="00207B1C" w:rsidRPr="005E3B43" w:rsidRDefault="00207B1C" w:rsidP="00763BCF">
      <w:pPr>
        <w:pStyle w:val="paragraph"/>
      </w:pPr>
      <w:r w:rsidRPr="005E3B43">
        <w:tab/>
        <w:t>(b)</w:t>
      </w:r>
      <w:r w:rsidRPr="005E3B43">
        <w:tab/>
        <w:t>specify the time within which a request for a review of the results may be made; and</w:t>
      </w:r>
    </w:p>
    <w:p w14:paraId="78ED519A" w14:textId="77777777" w:rsidR="00207B1C" w:rsidRPr="005E3B43" w:rsidRDefault="00207B1C" w:rsidP="00763BCF">
      <w:pPr>
        <w:pStyle w:val="paragraph"/>
      </w:pPr>
      <w:r w:rsidRPr="005E3B43">
        <w:tab/>
        <w:t>(c)</w:t>
      </w:r>
      <w:r w:rsidRPr="005E3B43">
        <w:tab/>
        <w:t>state that the person may ask for an extension of that time if it is not reasonable to expect the person to comply with regulation</w:t>
      </w:r>
      <w:r w:rsidR="004E6D00" w:rsidRPr="005E3B43">
        <w:t> </w:t>
      </w:r>
      <w:r w:rsidRPr="005E3B43">
        <w:t>30 within the specified time.</w:t>
      </w:r>
    </w:p>
    <w:p w14:paraId="43607F2A" w14:textId="77777777" w:rsidR="00207B1C" w:rsidRPr="005E3B43" w:rsidRDefault="00207B1C" w:rsidP="00763BCF">
      <w:pPr>
        <w:pStyle w:val="subsection"/>
      </w:pPr>
      <w:r w:rsidRPr="005E3B43">
        <w:tab/>
        <w:t>(5)</w:t>
      </w:r>
      <w:r w:rsidRPr="005E3B43">
        <w:tab/>
        <w:t>In proceedings under the Act or these Regulations, a certificate issued under subregulation</w:t>
      </w:r>
      <w:r w:rsidR="002B4943" w:rsidRPr="005E3B43">
        <w:t> </w:t>
      </w:r>
      <w:r w:rsidRPr="005E3B43">
        <w:t>(1), or a copy of that certificate, is, in the absence of evidence to the contrary, conclusive proof of the matters set out or stated in it.</w:t>
      </w:r>
    </w:p>
    <w:p w14:paraId="67FB3404" w14:textId="77777777" w:rsidR="00207B1C" w:rsidRPr="005E3B43" w:rsidRDefault="00207B1C" w:rsidP="00763BCF">
      <w:pPr>
        <w:pStyle w:val="subsection"/>
      </w:pPr>
      <w:r w:rsidRPr="005E3B43">
        <w:tab/>
        <w:t>(6)</w:t>
      </w:r>
      <w:r w:rsidRPr="005E3B43">
        <w:tab/>
        <w:t>A document purporting to be:</w:t>
      </w:r>
    </w:p>
    <w:p w14:paraId="2B075B6A" w14:textId="77777777" w:rsidR="00207B1C" w:rsidRPr="005E3B43" w:rsidRDefault="00207B1C" w:rsidP="00763BCF">
      <w:pPr>
        <w:pStyle w:val="paragraph"/>
      </w:pPr>
      <w:r w:rsidRPr="005E3B43">
        <w:tab/>
        <w:t>(a)</w:t>
      </w:r>
      <w:r w:rsidRPr="005E3B43">
        <w:tab/>
        <w:t>a certificate issued under subregulation</w:t>
      </w:r>
      <w:r w:rsidR="002B4943" w:rsidRPr="005E3B43">
        <w:t> </w:t>
      </w:r>
      <w:r w:rsidRPr="005E3B43">
        <w:t>(1); or</w:t>
      </w:r>
    </w:p>
    <w:p w14:paraId="544AC2CE" w14:textId="77777777" w:rsidR="00207B1C" w:rsidRPr="005E3B43" w:rsidRDefault="00207B1C" w:rsidP="00763BCF">
      <w:pPr>
        <w:pStyle w:val="paragraph"/>
      </w:pPr>
      <w:r w:rsidRPr="005E3B43">
        <w:tab/>
        <w:t>(b)</w:t>
      </w:r>
      <w:r w:rsidRPr="005E3B43">
        <w:tab/>
        <w:t>a copy of that certificate;</w:t>
      </w:r>
    </w:p>
    <w:p w14:paraId="532035BF" w14:textId="77777777" w:rsidR="00207B1C" w:rsidRPr="005E3B43" w:rsidRDefault="00207B1C" w:rsidP="00763BCF">
      <w:pPr>
        <w:pStyle w:val="subsection2"/>
      </w:pPr>
      <w:r w:rsidRPr="005E3B43">
        <w:t>is, in the absence of evidence to the contrary, to be taken to be the certificate or a copy of the certificate.</w:t>
      </w:r>
    </w:p>
    <w:p w14:paraId="15BAC338" w14:textId="77777777" w:rsidR="003B615A" w:rsidRPr="005E3B43" w:rsidRDefault="003B615A" w:rsidP="00763BCF">
      <w:pPr>
        <w:pStyle w:val="ActHead5"/>
      </w:pPr>
      <w:bookmarkStart w:id="145" w:name="_Toc187135739"/>
      <w:r w:rsidRPr="005E3B43">
        <w:rPr>
          <w:rStyle w:val="CharSectno"/>
        </w:rPr>
        <w:t>30</w:t>
      </w:r>
      <w:r w:rsidRPr="005E3B43">
        <w:t xml:space="preserve">  Review of results of examination and analysis</w:t>
      </w:r>
      <w:bookmarkEnd w:id="145"/>
    </w:p>
    <w:p w14:paraId="38E00539" w14:textId="77777777" w:rsidR="00207B1C" w:rsidRPr="005E3B43" w:rsidRDefault="00207B1C" w:rsidP="00763BCF">
      <w:pPr>
        <w:pStyle w:val="subsection"/>
      </w:pPr>
      <w:r w:rsidRPr="005E3B43">
        <w:tab/>
        <w:t>(1)</w:t>
      </w:r>
      <w:r w:rsidRPr="005E3B43">
        <w:tab/>
        <w:t>A person:</w:t>
      </w:r>
    </w:p>
    <w:p w14:paraId="0535394C" w14:textId="77777777" w:rsidR="003B615A" w:rsidRPr="005E3B43" w:rsidRDefault="003B615A" w:rsidP="00763BCF">
      <w:pPr>
        <w:pStyle w:val="paragraph"/>
      </w:pPr>
      <w:r w:rsidRPr="005E3B43">
        <w:tab/>
        <w:t>(a)</w:t>
      </w:r>
      <w:r w:rsidRPr="005E3B43">
        <w:tab/>
        <w:t>to whom a copy of a certificate, setting out the results of the examination and analysis of goods, is sent under subregulation</w:t>
      </w:r>
      <w:r w:rsidR="004E6D00" w:rsidRPr="005E3B43">
        <w:t> </w:t>
      </w:r>
      <w:r w:rsidRPr="005E3B43">
        <w:t>29(2); and</w:t>
      </w:r>
    </w:p>
    <w:p w14:paraId="65E3C710" w14:textId="77777777" w:rsidR="00207B1C" w:rsidRPr="005E3B43" w:rsidRDefault="00207B1C" w:rsidP="00763BCF">
      <w:pPr>
        <w:pStyle w:val="paragraph"/>
      </w:pPr>
      <w:r w:rsidRPr="005E3B43">
        <w:tab/>
        <w:t>(b)</w:t>
      </w:r>
      <w:r w:rsidRPr="005E3B43">
        <w:tab/>
        <w:t>who sends to the Secretary evidence in writing establishing that the goods do conform with the specified standard or comply with an applicable requirement, or, for medical devices, do comply with the applicable provisions of the essential principles or an applicable requirement;</w:t>
      </w:r>
    </w:p>
    <w:p w14:paraId="6E58A254" w14:textId="77777777" w:rsidR="00207B1C" w:rsidRPr="005E3B43" w:rsidRDefault="00207B1C" w:rsidP="00763BCF">
      <w:pPr>
        <w:pStyle w:val="subsection2"/>
      </w:pPr>
      <w:r w:rsidRPr="005E3B43">
        <w:t>may ask for the results of the analysis to be reviewed.</w:t>
      </w:r>
    </w:p>
    <w:p w14:paraId="59585179" w14:textId="77777777" w:rsidR="00207B1C" w:rsidRPr="005E3B43" w:rsidRDefault="00207B1C" w:rsidP="00763BCF">
      <w:pPr>
        <w:pStyle w:val="subsection"/>
      </w:pPr>
      <w:r w:rsidRPr="005E3B43">
        <w:tab/>
        <w:t>(2)</w:t>
      </w:r>
      <w:r w:rsidRPr="005E3B43">
        <w:tab/>
        <w:t xml:space="preserve">A request for review of the results of the analysis is to be made not later than 21 days after the person receives the </w:t>
      </w:r>
      <w:r w:rsidR="003B615A" w:rsidRPr="005E3B43">
        <w:t>copy of the certificate</w:t>
      </w:r>
      <w:r w:rsidRPr="005E3B43">
        <w:t>.</w:t>
      </w:r>
    </w:p>
    <w:p w14:paraId="2C3A6A99" w14:textId="77777777" w:rsidR="00207B1C" w:rsidRPr="005E3B43" w:rsidRDefault="00207B1C" w:rsidP="00763BCF">
      <w:pPr>
        <w:pStyle w:val="subsection"/>
      </w:pPr>
      <w:r w:rsidRPr="005E3B43">
        <w:tab/>
        <w:t>(3)</w:t>
      </w:r>
      <w:r w:rsidRPr="005E3B43">
        <w:tab/>
        <w:t>The Secretary must extend the period of 21 days if it is not reasonable to expect the person to provide the evidence within the period referred to in subregulation</w:t>
      </w:r>
      <w:r w:rsidR="002B4943" w:rsidRPr="005E3B43">
        <w:t> </w:t>
      </w:r>
      <w:r w:rsidRPr="005E3B43">
        <w:t>(2).</w:t>
      </w:r>
    </w:p>
    <w:p w14:paraId="581828AD" w14:textId="77777777" w:rsidR="00207B1C" w:rsidRPr="005E3B43" w:rsidRDefault="00207B1C" w:rsidP="00763BCF">
      <w:pPr>
        <w:pStyle w:val="subsection"/>
      </w:pPr>
      <w:r w:rsidRPr="005E3B43">
        <w:tab/>
        <w:t>(4)</w:t>
      </w:r>
      <w:r w:rsidRPr="005E3B43">
        <w:tab/>
        <w:t xml:space="preserve">A person is not to be regarded as having sent the Secretary evidence establishing that goods conform with a specified standard or comply with an applicable requirement, or, for medical devices, comply with the applicable provisions of the essential principles or an applicable requirement, unless that person has sent to the Secretary a certificate of </w:t>
      </w:r>
      <w:r w:rsidR="003B615A" w:rsidRPr="005E3B43">
        <w:t xml:space="preserve">a person (the </w:t>
      </w:r>
      <w:r w:rsidR="003B615A" w:rsidRPr="005E3B43">
        <w:rPr>
          <w:b/>
          <w:i/>
        </w:rPr>
        <w:t>third party</w:t>
      </w:r>
      <w:r w:rsidR="003B615A" w:rsidRPr="005E3B43">
        <w:t>)</w:t>
      </w:r>
      <w:r w:rsidRPr="005E3B43">
        <w:t xml:space="preserve"> who has appropriate qualifications and experience setting out:</w:t>
      </w:r>
    </w:p>
    <w:p w14:paraId="31DD5E6C" w14:textId="77777777" w:rsidR="00207B1C" w:rsidRPr="005E3B43" w:rsidRDefault="00207B1C" w:rsidP="00763BCF">
      <w:pPr>
        <w:pStyle w:val="paragraph"/>
      </w:pPr>
      <w:r w:rsidRPr="005E3B43">
        <w:tab/>
        <w:t>(a)</w:t>
      </w:r>
      <w:r w:rsidRPr="005E3B43">
        <w:tab/>
        <w:t xml:space="preserve">a statement that the </w:t>
      </w:r>
      <w:r w:rsidR="003B615A" w:rsidRPr="005E3B43">
        <w:t>third party</w:t>
      </w:r>
      <w:r w:rsidRPr="005E3B43">
        <w:t xml:space="preserve"> has analysed a part of the same sample, or a similar sample from the same batch (if any), of those goods; and</w:t>
      </w:r>
    </w:p>
    <w:p w14:paraId="147C2C74" w14:textId="77777777" w:rsidR="00207B1C" w:rsidRPr="005E3B43" w:rsidRDefault="00207B1C" w:rsidP="00763BCF">
      <w:pPr>
        <w:pStyle w:val="paragraph"/>
      </w:pPr>
      <w:r w:rsidRPr="005E3B43">
        <w:tab/>
        <w:t>(b)</w:t>
      </w:r>
      <w:r w:rsidRPr="005E3B43">
        <w:tab/>
        <w:t>the results of that analysis; and</w:t>
      </w:r>
    </w:p>
    <w:p w14:paraId="7AC22219" w14:textId="77777777" w:rsidR="00207B1C" w:rsidRPr="005E3B43" w:rsidRDefault="00207B1C" w:rsidP="00763BCF">
      <w:pPr>
        <w:pStyle w:val="paragraph"/>
      </w:pPr>
      <w:r w:rsidRPr="005E3B43">
        <w:tab/>
        <w:t>(c)</w:t>
      </w:r>
      <w:r w:rsidRPr="005E3B43">
        <w:tab/>
        <w:t>details of the tests used in the analysis.</w:t>
      </w:r>
    </w:p>
    <w:p w14:paraId="04A30F9F" w14:textId="77777777" w:rsidR="00207B1C" w:rsidRPr="005E3B43" w:rsidRDefault="00207B1C" w:rsidP="00763BCF">
      <w:pPr>
        <w:pStyle w:val="subsection"/>
      </w:pPr>
      <w:r w:rsidRPr="005E3B43">
        <w:lastRenderedPageBreak/>
        <w:tab/>
        <w:t>(5)</w:t>
      </w:r>
      <w:r w:rsidRPr="005E3B43">
        <w:tab/>
        <w:t>If the certificate referred to in subregulation</w:t>
      </w:r>
      <w:r w:rsidR="002B4943" w:rsidRPr="005E3B43">
        <w:t> </w:t>
      </w:r>
      <w:r w:rsidRPr="005E3B43">
        <w:t xml:space="preserve">(4) shows that an analysis of goods for the purpose of establishing that the goods conform with a specified standard or comply with an applicable requirement, or, for medical devices, comply with the applicable provisions of the essential principles or an applicable requirement, was carried out in accordance with the </w:t>
      </w:r>
      <w:r w:rsidR="003B615A" w:rsidRPr="005E3B43">
        <w:t>tests determined by an official analyst under paragraph</w:t>
      </w:r>
      <w:r w:rsidR="004E6D00" w:rsidRPr="005E3B43">
        <w:t> </w:t>
      </w:r>
      <w:r w:rsidR="003B615A" w:rsidRPr="005E3B43">
        <w:t xml:space="preserve">25(3)(b) on the basis of which the certificate referred to in </w:t>
      </w:r>
      <w:r w:rsidR="004E6D00" w:rsidRPr="005E3B43">
        <w:t>paragraph (</w:t>
      </w:r>
      <w:r w:rsidR="003B615A" w:rsidRPr="005E3B43">
        <w:t>1)(a) of this regulation was issued</w:t>
      </w:r>
      <w:r w:rsidRPr="005E3B43">
        <w:t>, subregulation</w:t>
      </w:r>
      <w:r w:rsidR="002B4943" w:rsidRPr="005E3B43">
        <w:t> </w:t>
      </w:r>
      <w:r w:rsidRPr="005E3B43">
        <w:t>(6) applies to those goods.</w:t>
      </w:r>
    </w:p>
    <w:p w14:paraId="7E9B0805" w14:textId="77777777" w:rsidR="00207B1C" w:rsidRPr="005E3B43" w:rsidRDefault="00207B1C" w:rsidP="00763BCF">
      <w:pPr>
        <w:pStyle w:val="subsection"/>
      </w:pPr>
      <w:r w:rsidRPr="005E3B43">
        <w:tab/>
        <w:t>(6)</w:t>
      </w:r>
      <w:r w:rsidRPr="005E3B43">
        <w:tab/>
        <w:t>Unless the results of the analysis of a sample of goods to which this subregulation</w:t>
      </w:r>
      <w:r w:rsidR="002B4943" w:rsidRPr="005E3B43">
        <w:t> </w:t>
      </w:r>
      <w:r w:rsidRPr="005E3B43">
        <w:t>applies, or other information available to the Secretary in relation to those goods, shows lack of homogeneity in the sample, the Secretary must direct:</w:t>
      </w:r>
    </w:p>
    <w:p w14:paraId="1C8FB00A" w14:textId="77777777" w:rsidR="00207B1C" w:rsidRPr="005E3B43" w:rsidRDefault="00207B1C" w:rsidP="00763BCF">
      <w:pPr>
        <w:pStyle w:val="paragraph"/>
      </w:pPr>
      <w:r w:rsidRPr="005E3B43">
        <w:tab/>
        <w:t>(a)</w:t>
      </w:r>
      <w:r w:rsidRPr="005E3B43">
        <w:tab/>
        <w:t>if part of the sample remains unimpaired</w:t>
      </w:r>
      <w:r w:rsidR="00E20BA4" w:rsidRPr="005E3B43">
        <w:t>—</w:t>
      </w:r>
      <w:r w:rsidR="003B615A" w:rsidRPr="005E3B43">
        <w:t>an official analyst</w:t>
      </w:r>
      <w:r w:rsidRPr="005E3B43">
        <w:t xml:space="preserve"> to send so much of the sample as remains unimpaired; or</w:t>
      </w:r>
    </w:p>
    <w:p w14:paraId="4F612BCD" w14:textId="77777777" w:rsidR="00207B1C" w:rsidRPr="005E3B43" w:rsidRDefault="00207B1C" w:rsidP="00763BCF">
      <w:pPr>
        <w:pStyle w:val="paragraph"/>
      </w:pPr>
      <w:r w:rsidRPr="005E3B43">
        <w:tab/>
        <w:t>(b)</w:t>
      </w:r>
      <w:r w:rsidRPr="005E3B43">
        <w:tab/>
        <w:t>if no part of the sample remains unimpaired</w:t>
      </w:r>
      <w:r w:rsidR="00E20BA4" w:rsidRPr="005E3B43">
        <w:t>—</w:t>
      </w:r>
      <w:r w:rsidRPr="005E3B43">
        <w:t>that a further sample be taken by an authorised officer from the same batch as the original sample and that that further sample be sent;</w:t>
      </w:r>
    </w:p>
    <w:p w14:paraId="5DDA2BD7" w14:textId="77777777" w:rsidR="00207B1C" w:rsidRPr="005E3B43" w:rsidRDefault="003B615A" w:rsidP="00763BCF">
      <w:pPr>
        <w:pStyle w:val="subsection2"/>
      </w:pPr>
      <w:r w:rsidRPr="005E3B43">
        <w:t>to a person agreed (who may be an analyst or official analyst)</w:t>
      </w:r>
      <w:r w:rsidR="00207B1C" w:rsidRPr="005E3B43">
        <w:t xml:space="preserve"> upon by the person who requested the review and the official analyst</w:t>
      </w:r>
      <w:r w:rsidRPr="005E3B43">
        <w:t xml:space="preserve"> referred to in subregulation (5)</w:t>
      </w:r>
      <w:r w:rsidR="00207B1C" w:rsidRPr="005E3B43">
        <w:t xml:space="preserve">, or, in the absence of agreement, to </w:t>
      </w:r>
      <w:r w:rsidRPr="005E3B43">
        <w:t>a person nominated (who may be an analyst or official analyst)</w:t>
      </w:r>
      <w:r w:rsidR="00207B1C" w:rsidRPr="005E3B43">
        <w:t xml:space="preserve"> by the Secretary.</w:t>
      </w:r>
    </w:p>
    <w:p w14:paraId="15D0C52E" w14:textId="77777777" w:rsidR="00207B1C" w:rsidRPr="005E3B43" w:rsidRDefault="00207B1C" w:rsidP="00763BCF">
      <w:pPr>
        <w:pStyle w:val="subsection"/>
      </w:pPr>
      <w:r w:rsidRPr="005E3B43">
        <w:tab/>
        <w:t>(7)</w:t>
      </w:r>
      <w:r w:rsidRPr="005E3B43">
        <w:tab/>
        <w:t xml:space="preserve">If a sample is </w:t>
      </w:r>
      <w:r w:rsidR="003B615A" w:rsidRPr="005E3B43">
        <w:t>sent to a person as mentioned in subregulation (6), the person</w:t>
      </w:r>
      <w:r w:rsidRPr="005E3B43">
        <w:t xml:space="preserve"> is to:</w:t>
      </w:r>
    </w:p>
    <w:p w14:paraId="052922AC" w14:textId="77777777" w:rsidR="00207B1C" w:rsidRPr="005E3B43" w:rsidRDefault="00207B1C" w:rsidP="00763BCF">
      <w:pPr>
        <w:pStyle w:val="paragraph"/>
      </w:pPr>
      <w:r w:rsidRPr="005E3B43">
        <w:tab/>
        <w:t>(a)</w:t>
      </w:r>
      <w:r w:rsidRPr="005E3B43">
        <w:tab/>
        <w:t xml:space="preserve">analyse the sample of the goods in accordance with </w:t>
      </w:r>
      <w:r w:rsidR="003B615A" w:rsidRPr="005E3B43">
        <w:t>the tests determined by an official analyst under paragraph</w:t>
      </w:r>
      <w:r w:rsidR="004E6D00" w:rsidRPr="005E3B43">
        <w:t> </w:t>
      </w:r>
      <w:r w:rsidR="003B615A" w:rsidRPr="005E3B43">
        <w:t xml:space="preserve">25(3)(b) on the basis of which the certificate referred to in </w:t>
      </w:r>
      <w:r w:rsidR="004E6D00" w:rsidRPr="005E3B43">
        <w:t>paragraph (</w:t>
      </w:r>
      <w:r w:rsidR="003B615A" w:rsidRPr="005E3B43">
        <w:t>1)(a) of this regulation was issued</w:t>
      </w:r>
      <w:r w:rsidRPr="005E3B43">
        <w:t>;</w:t>
      </w:r>
    </w:p>
    <w:p w14:paraId="1623D35D" w14:textId="77777777" w:rsidR="00207B1C" w:rsidRPr="005E3B43" w:rsidRDefault="00207B1C" w:rsidP="00763BCF">
      <w:pPr>
        <w:pStyle w:val="paragraph"/>
      </w:pPr>
      <w:r w:rsidRPr="005E3B43">
        <w:tab/>
        <w:t>(b)</w:t>
      </w:r>
      <w:r w:rsidRPr="005E3B43">
        <w:tab/>
        <w:t xml:space="preserve">send to the Secretary a certificate, signed by the </w:t>
      </w:r>
      <w:r w:rsidR="003B615A" w:rsidRPr="005E3B43">
        <w:t>person</w:t>
      </w:r>
      <w:r w:rsidRPr="005E3B43">
        <w:t>, setting out the results of the analysis; and</w:t>
      </w:r>
    </w:p>
    <w:p w14:paraId="77705712" w14:textId="77777777" w:rsidR="00207B1C" w:rsidRPr="005E3B43" w:rsidRDefault="00207B1C" w:rsidP="00763BCF">
      <w:pPr>
        <w:pStyle w:val="paragraph"/>
      </w:pPr>
      <w:r w:rsidRPr="005E3B43">
        <w:tab/>
        <w:t>(c)</w:t>
      </w:r>
      <w:r w:rsidRPr="005E3B43">
        <w:tab/>
        <w:t xml:space="preserve">send a copy of that certificate, signed by the </w:t>
      </w:r>
      <w:r w:rsidR="003B615A" w:rsidRPr="005E3B43">
        <w:t>person</w:t>
      </w:r>
      <w:r w:rsidRPr="005E3B43">
        <w:t xml:space="preserve"> to the </w:t>
      </w:r>
      <w:r w:rsidR="003B615A" w:rsidRPr="005E3B43">
        <w:t>person who requested the review</w:t>
      </w:r>
      <w:r w:rsidRPr="005E3B43">
        <w:t>.</w:t>
      </w:r>
    </w:p>
    <w:p w14:paraId="2BC947E6" w14:textId="77777777" w:rsidR="00207B1C" w:rsidRPr="005E3B43" w:rsidRDefault="00207B1C" w:rsidP="00763BCF">
      <w:pPr>
        <w:pStyle w:val="subsection"/>
      </w:pPr>
      <w:r w:rsidRPr="005E3B43">
        <w:tab/>
        <w:t>(8)</w:t>
      </w:r>
      <w:r w:rsidRPr="005E3B43">
        <w:tab/>
        <w:t>A certificate under regulation</w:t>
      </w:r>
      <w:r w:rsidR="004E6D00" w:rsidRPr="005E3B43">
        <w:t> </w:t>
      </w:r>
      <w:r w:rsidRPr="005E3B43">
        <w:t>29 setting out the results of the analysis of a sample of goods ceases to have effect when the Secretary receives the certificate in relation to those goods under subregulation</w:t>
      </w:r>
      <w:r w:rsidR="002B4943" w:rsidRPr="005E3B43">
        <w:t> </w:t>
      </w:r>
      <w:r w:rsidRPr="005E3B43">
        <w:t>(7).</w:t>
      </w:r>
    </w:p>
    <w:p w14:paraId="63D80DDB" w14:textId="77777777" w:rsidR="00207B1C" w:rsidRPr="005E3B43" w:rsidRDefault="00207B1C" w:rsidP="00763BCF">
      <w:pPr>
        <w:pStyle w:val="subsection"/>
      </w:pPr>
      <w:r w:rsidRPr="005E3B43">
        <w:tab/>
        <w:t>(9)</w:t>
      </w:r>
      <w:r w:rsidRPr="005E3B43">
        <w:tab/>
        <w:t xml:space="preserve">If the findings of the </w:t>
      </w:r>
      <w:r w:rsidR="003B615A" w:rsidRPr="005E3B43">
        <w:t>responsible analyst</w:t>
      </w:r>
      <w:r w:rsidRPr="005E3B43">
        <w:t xml:space="preserve"> are upheld, the sponsor must pay any charges payable to the </w:t>
      </w:r>
      <w:r w:rsidR="003B615A" w:rsidRPr="005E3B43">
        <w:t>person to whom a sample is sent as mentioned in</w:t>
      </w:r>
      <w:r w:rsidRPr="005E3B43">
        <w:t xml:space="preserve"> subregulation</w:t>
      </w:r>
      <w:r w:rsidR="002B4943" w:rsidRPr="005E3B43">
        <w:t> </w:t>
      </w:r>
      <w:r w:rsidRPr="005E3B43">
        <w:t>(6) in respect of the analysis of the sample.</w:t>
      </w:r>
    </w:p>
    <w:p w14:paraId="72987973" w14:textId="77777777" w:rsidR="00207B1C" w:rsidRPr="005E3B43" w:rsidRDefault="00207B1C" w:rsidP="00763BCF">
      <w:pPr>
        <w:pStyle w:val="subsection"/>
      </w:pPr>
      <w:r w:rsidRPr="005E3B43">
        <w:tab/>
        <w:t>(10)</w:t>
      </w:r>
      <w:r w:rsidRPr="005E3B43">
        <w:tab/>
        <w:t>In proceedings under the Act or these Regulations, a certificate issued under subregulation</w:t>
      </w:r>
      <w:r w:rsidR="002B4943" w:rsidRPr="005E3B43">
        <w:t> </w:t>
      </w:r>
      <w:r w:rsidRPr="005E3B43">
        <w:t>(7) or a copy of that certificate is, in the absence of evidence to the contrary, conclusive proof of the matters stated in it.</w:t>
      </w:r>
    </w:p>
    <w:p w14:paraId="5E782A62" w14:textId="77777777" w:rsidR="00207B1C" w:rsidRPr="005E3B43" w:rsidRDefault="00207B1C" w:rsidP="00763BCF">
      <w:pPr>
        <w:pStyle w:val="subsection"/>
      </w:pPr>
      <w:r w:rsidRPr="005E3B43">
        <w:tab/>
        <w:t>(11)</w:t>
      </w:r>
      <w:r w:rsidRPr="005E3B43">
        <w:tab/>
        <w:t>A document purporting to be:</w:t>
      </w:r>
    </w:p>
    <w:p w14:paraId="42FEEA50" w14:textId="77777777" w:rsidR="00207B1C" w:rsidRPr="005E3B43" w:rsidRDefault="00207B1C" w:rsidP="00763BCF">
      <w:pPr>
        <w:pStyle w:val="paragraph"/>
      </w:pPr>
      <w:r w:rsidRPr="005E3B43">
        <w:tab/>
        <w:t>(a)</w:t>
      </w:r>
      <w:r w:rsidRPr="005E3B43">
        <w:tab/>
        <w:t xml:space="preserve">a certificate of </w:t>
      </w:r>
      <w:r w:rsidR="003B615A" w:rsidRPr="005E3B43">
        <w:t>a person</w:t>
      </w:r>
      <w:r w:rsidRPr="005E3B43">
        <w:t xml:space="preserve"> issued under subregulation</w:t>
      </w:r>
      <w:r w:rsidR="002B4943" w:rsidRPr="005E3B43">
        <w:t> </w:t>
      </w:r>
      <w:r w:rsidRPr="005E3B43">
        <w:t>(7); or</w:t>
      </w:r>
    </w:p>
    <w:p w14:paraId="486FCA71" w14:textId="77777777" w:rsidR="00207B1C" w:rsidRPr="005E3B43" w:rsidRDefault="00207B1C" w:rsidP="00763BCF">
      <w:pPr>
        <w:pStyle w:val="paragraph"/>
      </w:pPr>
      <w:r w:rsidRPr="005E3B43">
        <w:tab/>
        <w:t>(b)</w:t>
      </w:r>
      <w:r w:rsidRPr="005E3B43">
        <w:tab/>
        <w:t xml:space="preserve">a copy of that certificate, and purporting to be signed by the </w:t>
      </w:r>
      <w:r w:rsidR="003B615A" w:rsidRPr="005E3B43">
        <w:t>person</w:t>
      </w:r>
      <w:r w:rsidRPr="005E3B43">
        <w:t>;</w:t>
      </w:r>
    </w:p>
    <w:p w14:paraId="03B6208E" w14:textId="77777777" w:rsidR="00207B1C" w:rsidRPr="005E3B43" w:rsidRDefault="00207B1C" w:rsidP="00763BCF">
      <w:pPr>
        <w:pStyle w:val="subsection2"/>
      </w:pPr>
      <w:r w:rsidRPr="005E3B43">
        <w:t>is, in the absence of evidence to the contrary, to be regarded as the certificate</w:t>
      </w:r>
      <w:r w:rsidR="00BD5345" w:rsidRPr="005E3B43">
        <w:t xml:space="preserve"> </w:t>
      </w:r>
      <w:r w:rsidR="003B615A" w:rsidRPr="005E3B43">
        <w:t>or a copy of the certificate</w:t>
      </w:r>
      <w:r w:rsidRPr="005E3B43">
        <w:t>.</w:t>
      </w:r>
    </w:p>
    <w:p w14:paraId="7D0B9058" w14:textId="77777777" w:rsidR="00207B1C" w:rsidRPr="005E3B43" w:rsidRDefault="00207B1C" w:rsidP="00763BCF">
      <w:pPr>
        <w:pStyle w:val="ActHead5"/>
      </w:pPr>
      <w:bookmarkStart w:id="146" w:name="_Toc187135740"/>
      <w:r w:rsidRPr="005E3B43">
        <w:rPr>
          <w:rStyle w:val="CharSectno"/>
        </w:rPr>
        <w:lastRenderedPageBreak/>
        <w:t>31</w:t>
      </w:r>
      <w:r w:rsidR="00E20BA4" w:rsidRPr="005E3B43">
        <w:t xml:space="preserve">  </w:t>
      </w:r>
      <w:r w:rsidRPr="005E3B43">
        <w:t>Payment for samples</w:t>
      </w:r>
      <w:bookmarkEnd w:id="146"/>
    </w:p>
    <w:p w14:paraId="3FAD78FA" w14:textId="77777777" w:rsidR="00207B1C" w:rsidRPr="005E3B43" w:rsidRDefault="00207B1C" w:rsidP="00763BCF">
      <w:pPr>
        <w:pStyle w:val="subsection"/>
      </w:pPr>
      <w:r w:rsidRPr="005E3B43">
        <w:tab/>
        <w:t>(1)</w:t>
      </w:r>
      <w:r w:rsidRPr="005E3B43">
        <w:tab/>
        <w:t>If a sample of therapeutic goods is taken by an authorised officer, the Commonwealth is liable to pay the owner of the goods from which the sample was taken an amount equal to the value of any part of the sample removed by the authorised officer.</w:t>
      </w:r>
    </w:p>
    <w:p w14:paraId="7D06F625" w14:textId="77777777" w:rsidR="00207B1C" w:rsidRPr="005E3B43" w:rsidRDefault="00207B1C" w:rsidP="00763BCF">
      <w:pPr>
        <w:pStyle w:val="subsection"/>
      </w:pPr>
      <w:r w:rsidRPr="005E3B43">
        <w:tab/>
        <w:t>(1A)</w:t>
      </w:r>
      <w:r w:rsidRPr="005E3B43">
        <w:tab/>
        <w:t xml:space="preserve">If a sample of therapeutic goods delivered under </w:t>
      </w:r>
      <w:r w:rsidR="00ED129D" w:rsidRPr="005E3B43">
        <w:t>paragraph</w:t>
      </w:r>
      <w:r w:rsidR="004E6D00" w:rsidRPr="005E3B43">
        <w:t> </w:t>
      </w:r>
      <w:r w:rsidR="00ED129D" w:rsidRPr="005E3B43">
        <w:t>28(5)(h) or subsection</w:t>
      </w:r>
      <w:r w:rsidR="004E6D00" w:rsidRPr="005E3B43">
        <w:t> </w:t>
      </w:r>
      <w:r w:rsidR="00ED129D" w:rsidRPr="005E3B43">
        <w:t>41FN(2)</w:t>
      </w:r>
      <w:r w:rsidRPr="005E3B43">
        <w:t xml:space="preserve"> of the Act is sent to a laboratory for analysis, the Commonwealth is liable to pay to the person in relation to whom the goods are entered on the Register an amount equal to the value of the sample.</w:t>
      </w:r>
    </w:p>
    <w:p w14:paraId="0F1DD5CB" w14:textId="77777777" w:rsidR="00207B1C" w:rsidRPr="005E3B43" w:rsidRDefault="00207B1C" w:rsidP="00763BCF">
      <w:pPr>
        <w:pStyle w:val="subsection"/>
      </w:pPr>
      <w:r w:rsidRPr="005E3B43">
        <w:tab/>
        <w:t>(2)</w:t>
      </w:r>
      <w:r w:rsidRPr="005E3B43">
        <w:tab/>
        <w:t xml:space="preserve">The amount the Commonwealth is liable to pay is to be worked out on the basis of the market value of the sample when the sample was taken by the authorised officer or delivered under </w:t>
      </w:r>
      <w:r w:rsidR="00ED129D" w:rsidRPr="005E3B43">
        <w:t>paragraph</w:t>
      </w:r>
      <w:r w:rsidR="004E6D00" w:rsidRPr="005E3B43">
        <w:t> </w:t>
      </w:r>
      <w:r w:rsidR="00ED129D" w:rsidRPr="005E3B43">
        <w:t>28(5)(h) or subsection</w:t>
      </w:r>
      <w:r w:rsidR="004E6D00" w:rsidRPr="005E3B43">
        <w:t> </w:t>
      </w:r>
      <w:r w:rsidR="00ED129D" w:rsidRPr="005E3B43">
        <w:t>41FN(2)</w:t>
      </w:r>
      <w:r w:rsidRPr="005E3B43">
        <w:t xml:space="preserve"> of the Act.</w:t>
      </w:r>
    </w:p>
    <w:p w14:paraId="069F730A" w14:textId="77777777" w:rsidR="00207B1C" w:rsidRPr="005E3B43" w:rsidRDefault="00207B1C" w:rsidP="00763BCF">
      <w:pPr>
        <w:pStyle w:val="ActHead5"/>
      </w:pPr>
      <w:bookmarkStart w:id="147" w:name="_Toc187135741"/>
      <w:r w:rsidRPr="005E3B43">
        <w:rPr>
          <w:rStyle w:val="CharSectno"/>
        </w:rPr>
        <w:t>32</w:t>
      </w:r>
      <w:r w:rsidR="00E20BA4" w:rsidRPr="005E3B43">
        <w:t xml:space="preserve">  </w:t>
      </w:r>
      <w:r w:rsidRPr="005E3B43">
        <w:t>Offences relating to analysis etc</w:t>
      </w:r>
      <w:bookmarkEnd w:id="147"/>
    </w:p>
    <w:p w14:paraId="2E0CF324" w14:textId="77777777" w:rsidR="00207B1C" w:rsidRPr="005E3B43" w:rsidRDefault="00207B1C" w:rsidP="00763BCF">
      <w:pPr>
        <w:pStyle w:val="subsection"/>
      </w:pPr>
      <w:r w:rsidRPr="005E3B43">
        <w:tab/>
        <w:t>(1)</w:t>
      </w:r>
      <w:r w:rsidRPr="005E3B43">
        <w:tab/>
        <w:t>A person must not:</w:t>
      </w:r>
    </w:p>
    <w:p w14:paraId="41D881DF" w14:textId="77777777" w:rsidR="00207B1C" w:rsidRPr="005E3B43" w:rsidRDefault="00207B1C" w:rsidP="00763BCF">
      <w:pPr>
        <w:pStyle w:val="paragraph"/>
      </w:pPr>
      <w:r w:rsidRPr="005E3B43">
        <w:tab/>
        <w:t>(a)</w:t>
      </w:r>
      <w:r w:rsidRPr="005E3B43">
        <w:tab/>
        <w:t>molest, obstruct or try to intimidate or influence an authorised officer in the execution of his or her powers or the performance of his or her duties under these Regulations; or</w:t>
      </w:r>
    </w:p>
    <w:p w14:paraId="29FB2107" w14:textId="77777777" w:rsidR="00207B1C" w:rsidRPr="005E3B43" w:rsidRDefault="00207B1C" w:rsidP="00763BCF">
      <w:pPr>
        <w:pStyle w:val="paragraph"/>
      </w:pPr>
      <w:r w:rsidRPr="005E3B43">
        <w:tab/>
        <w:t>(b)</w:t>
      </w:r>
      <w:r w:rsidRPr="005E3B43">
        <w:tab/>
        <w:t>on being asked by an authorised officer, fail:</w:t>
      </w:r>
    </w:p>
    <w:p w14:paraId="222EDB4B" w14:textId="77777777" w:rsidR="00207B1C" w:rsidRPr="005E3B43" w:rsidRDefault="00207B1C" w:rsidP="00763BCF">
      <w:pPr>
        <w:pStyle w:val="paragraphsub"/>
      </w:pPr>
      <w:r w:rsidRPr="005E3B43">
        <w:tab/>
        <w:t>(i)</w:t>
      </w:r>
      <w:r w:rsidRPr="005E3B43">
        <w:tab/>
        <w:t>to show the authorised officer the place where any therapeutic goods are kept; or</w:t>
      </w:r>
    </w:p>
    <w:p w14:paraId="7A9F863D" w14:textId="77777777" w:rsidR="00207B1C" w:rsidRPr="005E3B43" w:rsidRDefault="00207B1C" w:rsidP="00763BCF">
      <w:pPr>
        <w:pStyle w:val="paragraphsub"/>
      </w:pPr>
      <w:r w:rsidRPr="005E3B43">
        <w:tab/>
        <w:t>(ii)</w:t>
      </w:r>
      <w:r w:rsidRPr="005E3B43">
        <w:tab/>
        <w:t>to admit the authorised officer to a place where therapeutic goods are kept; or</w:t>
      </w:r>
    </w:p>
    <w:p w14:paraId="54EDC2A0" w14:textId="77777777" w:rsidR="00207B1C" w:rsidRPr="005E3B43" w:rsidRDefault="00207B1C" w:rsidP="00763BCF">
      <w:pPr>
        <w:pStyle w:val="paragraphsub"/>
      </w:pPr>
      <w:r w:rsidRPr="005E3B43">
        <w:tab/>
        <w:t>(iii)</w:t>
      </w:r>
      <w:r w:rsidRPr="005E3B43">
        <w:tab/>
        <w:t>to show the authorised officer, or let the authorised officer inspect, therapeutic goods kept by the person; or</w:t>
      </w:r>
    </w:p>
    <w:p w14:paraId="405066B1" w14:textId="77777777" w:rsidR="00207B1C" w:rsidRPr="005E3B43" w:rsidRDefault="00207B1C" w:rsidP="00763BCF">
      <w:pPr>
        <w:pStyle w:val="paragraphsub"/>
      </w:pPr>
      <w:r w:rsidRPr="005E3B43">
        <w:tab/>
        <w:t>(iv)</w:t>
      </w:r>
      <w:r w:rsidRPr="005E3B43">
        <w:tab/>
        <w:t>to allow a sample of therapeutic goods to be taken in accordance with these Regulations; or</w:t>
      </w:r>
    </w:p>
    <w:p w14:paraId="678063B9" w14:textId="77777777" w:rsidR="00207B1C" w:rsidRPr="005E3B43" w:rsidRDefault="00207B1C" w:rsidP="00763BCF">
      <w:pPr>
        <w:pStyle w:val="paragraphsub"/>
      </w:pPr>
      <w:r w:rsidRPr="005E3B43">
        <w:tab/>
        <w:t>(v)</w:t>
      </w:r>
      <w:r w:rsidRPr="005E3B43">
        <w:tab/>
        <w:t>to give an authorised officer information required by the authorised officer, being information relevant to the manufacture and testing of therapeutic goods that the person is able to provide; or</w:t>
      </w:r>
    </w:p>
    <w:p w14:paraId="437E9EBA" w14:textId="77777777" w:rsidR="00207B1C" w:rsidRPr="005E3B43" w:rsidRDefault="00207B1C" w:rsidP="00763BCF">
      <w:pPr>
        <w:pStyle w:val="paragraphsub"/>
      </w:pPr>
      <w:r w:rsidRPr="005E3B43">
        <w:tab/>
        <w:t>(vi)</w:t>
      </w:r>
      <w:r w:rsidRPr="005E3B43">
        <w:tab/>
        <w:t>to assist the authorised officer in the execution of his or her powers or the performance of his or her duties under these Regulations; or</w:t>
      </w:r>
    </w:p>
    <w:p w14:paraId="6B9C1C56" w14:textId="77777777" w:rsidR="00207B1C" w:rsidRPr="005E3B43" w:rsidRDefault="00207B1C" w:rsidP="00763BCF">
      <w:pPr>
        <w:pStyle w:val="paragraph"/>
      </w:pPr>
      <w:r w:rsidRPr="005E3B43">
        <w:tab/>
        <w:t>(c)</w:t>
      </w:r>
      <w:r w:rsidRPr="005E3B43">
        <w:tab/>
        <w:t>on being asked by an official analyst, fail to give any information required by the official analyst, being information relevant to the testing of therapeutic goods, that that person is able to provide.</w:t>
      </w:r>
    </w:p>
    <w:p w14:paraId="5EF7F61E" w14:textId="77777777" w:rsidR="00207B1C" w:rsidRPr="005E3B43" w:rsidRDefault="00E20BA4" w:rsidP="00763BCF">
      <w:pPr>
        <w:pStyle w:val="Penalty"/>
      </w:pPr>
      <w:r w:rsidRPr="005E3B43">
        <w:t>Penalty:</w:t>
      </w:r>
      <w:r w:rsidRPr="005E3B43">
        <w:tab/>
      </w:r>
      <w:r w:rsidR="00207B1C" w:rsidRPr="005E3B43">
        <w:t>10 penalty units.</w:t>
      </w:r>
    </w:p>
    <w:p w14:paraId="69A9C5DF" w14:textId="77777777" w:rsidR="00207B1C" w:rsidRPr="005E3B43" w:rsidRDefault="00207B1C" w:rsidP="00763BCF">
      <w:pPr>
        <w:pStyle w:val="subsection"/>
      </w:pPr>
      <w:r w:rsidRPr="005E3B43">
        <w:tab/>
        <w:t>(1A)</w:t>
      </w:r>
      <w:r w:rsidRPr="005E3B43">
        <w:tab/>
        <w:t xml:space="preserve">For the purposes of an offence under </w:t>
      </w:r>
      <w:r w:rsidR="004E6D00" w:rsidRPr="005E3B43">
        <w:t>paragraph (</w:t>
      </w:r>
      <w:r w:rsidRPr="005E3B43">
        <w:t>1)(a), strict liability applies to the physical element that the duties mentioned in that paragraph are duties under these Regulations.</w:t>
      </w:r>
    </w:p>
    <w:p w14:paraId="3118E836" w14:textId="77777777" w:rsidR="00207B1C" w:rsidRPr="005E3B43" w:rsidRDefault="00E20BA4" w:rsidP="00763BCF">
      <w:pPr>
        <w:pStyle w:val="notetext"/>
      </w:pPr>
      <w:r w:rsidRPr="005E3B43">
        <w:t>Note:</w:t>
      </w:r>
      <w:r w:rsidRPr="005E3B43">
        <w:tab/>
      </w:r>
      <w:r w:rsidR="00207B1C" w:rsidRPr="005E3B43">
        <w:t xml:space="preserve">For </w:t>
      </w:r>
      <w:r w:rsidR="00207B1C" w:rsidRPr="005E3B43">
        <w:rPr>
          <w:b/>
          <w:i/>
        </w:rPr>
        <w:t>strict liability</w:t>
      </w:r>
      <w:r w:rsidR="00207B1C" w:rsidRPr="005E3B43">
        <w:t>, see section</w:t>
      </w:r>
      <w:r w:rsidR="004E6D00" w:rsidRPr="005E3B43">
        <w:t> </w:t>
      </w:r>
      <w:r w:rsidR="00207B1C" w:rsidRPr="005E3B43">
        <w:t xml:space="preserve">6.1 of the </w:t>
      </w:r>
      <w:r w:rsidR="00207B1C" w:rsidRPr="005E3B43">
        <w:rPr>
          <w:i/>
        </w:rPr>
        <w:t>Criminal Code</w:t>
      </w:r>
      <w:r w:rsidR="00207B1C" w:rsidRPr="005E3B43">
        <w:t>.</w:t>
      </w:r>
    </w:p>
    <w:p w14:paraId="23911E2F" w14:textId="77777777" w:rsidR="00207B1C" w:rsidRPr="005E3B43" w:rsidRDefault="00207B1C" w:rsidP="00763BCF">
      <w:pPr>
        <w:pStyle w:val="subsection"/>
      </w:pPr>
      <w:r w:rsidRPr="005E3B43">
        <w:tab/>
        <w:t>(1B)</w:t>
      </w:r>
      <w:r w:rsidRPr="005E3B43">
        <w:tab/>
        <w:t xml:space="preserve">An offence under </w:t>
      </w:r>
      <w:r w:rsidR="004E6D00" w:rsidRPr="005E3B43">
        <w:t>paragraph (</w:t>
      </w:r>
      <w:r w:rsidRPr="005E3B43">
        <w:t>1)(b) or (c) is an offence of strict liability.</w:t>
      </w:r>
    </w:p>
    <w:p w14:paraId="113FBE41" w14:textId="77777777" w:rsidR="00207B1C" w:rsidRPr="005E3B43" w:rsidRDefault="00E20BA4" w:rsidP="00763BCF">
      <w:pPr>
        <w:pStyle w:val="notetext"/>
      </w:pPr>
      <w:r w:rsidRPr="005E3B43">
        <w:t>Note:</w:t>
      </w:r>
      <w:r w:rsidRPr="005E3B43">
        <w:tab/>
      </w:r>
      <w:r w:rsidR="00207B1C" w:rsidRPr="005E3B43">
        <w:t xml:space="preserve">For </w:t>
      </w:r>
      <w:r w:rsidR="00207B1C" w:rsidRPr="005E3B43">
        <w:rPr>
          <w:b/>
          <w:i/>
        </w:rPr>
        <w:t>strict liability</w:t>
      </w:r>
      <w:r w:rsidR="00207B1C" w:rsidRPr="005E3B43">
        <w:t>, see section</w:t>
      </w:r>
      <w:r w:rsidR="004E6D00" w:rsidRPr="005E3B43">
        <w:t> </w:t>
      </w:r>
      <w:r w:rsidR="00207B1C" w:rsidRPr="005E3B43">
        <w:t xml:space="preserve">6.1 of the </w:t>
      </w:r>
      <w:r w:rsidR="00207B1C" w:rsidRPr="005E3B43">
        <w:rPr>
          <w:i/>
        </w:rPr>
        <w:t>Criminal Code</w:t>
      </w:r>
      <w:r w:rsidR="00207B1C" w:rsidRPr="005E3B43">
        <w:t>.</w:t>
      </w:r>
    </w:p>
    <w:p w14:paraId="55727A89" w14:textId="77777777" w:rsidR="00207B1C" w:rsidRPr="005E3B43" w:rsidRDefault="00207B1C" w:rsidP="00763BCF">
      <w:pPr>
        <w:pStyle w:val="subsection"/>
      </w:pPr>
      <w:r w:rsidRPr="005E3B43">
        <w:lastRenderedPageBreak/>
        <w:tab/>
        <w:t>(1C)</w:t>
      </w:r>
      <w:r w:rsidRPr="005E3B43">
        <w:tab/>
        <w:t xml:space="preserve">It is a defence to a prosecution under </w:t>
      </w:r>
      <w:r w:rsidR="004E6D00" w:rsidRPr="005E3B43">
        <w:t>paragraph (</w:t>
      </w:r>
      <w:r w:rsidRPr="005E3B43">
        <w:t>1)(b) or (c) if the person has a reasonable excuse.</w:t>
      </w:r>
    </w:p>
    <w:p w14:paraId="23D3B915" w14:textId="475A4EAE" w:rsidR="00207B1C" w:rsidRPr="005E3B43" w:rsidRDefault="00E20BA4" w:rsidP="00763BCF">
      <w:pPr>
        <w:pStyle w:val="notetext"/>
      </w:pPr>
      <w:r w:rsidRPr="005E3B43">
        <w:t>Note:</w:t>
      </w:r>
      <w:r w:rsidRPr="005E3B43">
        <w:tab/>
      </w:r>
      <w:r w:rsidR="00207B1C" w:rsidRPr="005E3B43">
        <w:t xml:space="preserve">A defendant bears an evidential burden in relation to the matter mentioned in subregulation (1C) (see </w:t>
      </w:r>
      <w:r w:rsidR="007C3215">
        <w:t>section 1</w:t>
      </w:r>
      <w:r w:rsidR="00207B1C" w:rsidRPr="005E3B43">
        <w:t xml:space="preserve">3.3 of the </w:t>
      </w:r>
      <w:r w:rsidR="00207B1C" w:rsidRPr="005E3B43">
        <w:rPr>
          <w:i/>
        </w:rPr>
        <w:t>Criminal Code</w:t>
      </w:r>
      <w:r w:rsidR="00207B1C" w:rsidRPr="005E3B43">
        <w:t>).</w:t>
      </w:r>
    </w:p>
    <w:p w14:paraId="0C700FE8" w14:textId="77777777" w:rsidR="00207B1C" w:rsidRPr="005E3B43" w:rsidRDefault="00207B1C" w:rsidP="00763BCF">
      <w:pPr>
        <w:pStyle w:val="subsection"/>
      </w:pPr>
      <w:r w:rsidRPr="005E3B43">
        <w:tab/>
        <w:t>(2)</w:t>
      </w:r>
      <w:r w:rsidRPr="005E3B43">
        <w:tab/>
        <w:t xml:space="preserve">It is a reasonable excuse for a person to fail to comply with a request for information under </w:t>
      </w:r>
      <w:r w:rsidR="004E6D00" w:rsidRPr="005E3B43">
        <w:t>paragraph (</w:t>
      </w:r>
      <w:r w:rsidRPr="005E3B43">
        <w:t>1)(b) or (c) if compliance with that request would tend to incriminate that person.</w:t>
      </w:r>
    </w:p>
    <w:p w14:paraId="421EF060" w14:textId="77777777" w:rsidR="00B94815" w:rsidRPr="005E3B43" w:rsidRDefault="00B94815" w:rsidP="00B94815">
      <w:pPr>
        <w:pStyle w:val="ActHead5"/>
      </w:pPr>
      <w:bookmarkStart w:id="148" w:name="_Toc187135742"/>
      <w:r w:rsidRPr="005E3B43">
        <w:rPr>
          <w:rStyle w:val="CharSectno"/>
        </w:rPr>
        <w:t>33</w:t>
      </w:r>
      <w:r w:rsidRPr="005E3B43">
        <w:t xml:space="preserve">  Production of identity card</w:t>
      </w:r>
      <w:bookmarkEnd w:id="148"/>
    </w:p>
    <w:p w14:paraId="37F87C73" w14:textId="77777777" w:rsidR="00B94815" w:rsidRPr="005E3B43" w:rsidRDefault="00B94815" w:rsidP="00B94815">
      <w:pPr>
        <w:pStyle w:val="subsection"/>
      </w:pPr>
      <w:r w:rsidRPr="005E3B43">
        <w:tab/>
        <w:t>(1)</w:t>
      </w:r>
      <w:r w:rsidRPr="005E3B43">
        <w:tab/>
        <w:t>An authorised officer is not entitled to exercise any powers under this Part in relation to premises if:</w:t>
      </w:r>
    </w:p>
    <w:p w14:paraId="52CB1EFE" w14:textId="77777777" w:rsidR="00B94815" w:rsidRPr="005E3B43" w:rsidRDefault="00B94815" w:rsidP="00B94815">
      <w:pPr>
        <w:pStyle w:val="paragraph"/>
      </w:pPr>
      <w:r w:rsidRPr="005E3B43">
        <w:tab/>
        <w:t>(a)</w:t>
      </w:r>
      <w:r w:rsidRPr="005E3B43">
        <w:tab/>
        <w:t>the occupier of the premises has required the authorised officer to produce the authorised officer’s identity card issued under regulation 46AA for inspection by the occupier; and</w:t>
      </w:r>
    </w:p>
    <w:p w14:paraId="5570E098" w14:textId="77777777" w:rsidR="00B94815" w:rsidRPr="005E3B43" w:rsidRDefault="00B94815" w:rsidP="00B94815">
      <w:pPr>
        <w:pStyle w:val="paragraph"/>
      </w:pPr>
      <w:r w:rsidRPr="005E3B43">
        <w:tab/>
        <w:t>(b)</w:t>
      </w:r>
      <w:r w:rsidRPr="005E3B43">
        <w:tab/>
        <w:t>the authorised officer fails to comply with the requirement.</w:t>
      </w:r>
    </w:p>
    <w:p w14:paraId="66651DC1" w14:textId="77777777" w:rsidR="00B94815" w:rsidRPr="005E3B43" w:rsidRDefault="00B94815" w:rsidP="00B94815">
      <w:pPr>
        <w:pStyle w:val="subsection"/>
      </w:pPr>
      <w:r w:rsidRPr="005E3B43">
        <w:tab/>
        <w:t>(2)</w:t>
      </w:r>
      <w:r w:rsidRPr="005E3B43">
        <w:tab/>
        <w:t xml:space="preserve">For the purposes of subregulation (1), </w:t>
      </w:r>
      <w:r w:rsidRPr="005E3B43">
        <w:rPr>
          <w:b/>
          <w:i/>
        </w:rPr>
        <w:t>occupier</w:t>
      </w:r>
      <w:r w:rsidRPr="005E3B43">
        <w:t>, in relation to premises, includes a person present at the premises who is in apparent control of the premises.</w:t>
      </w:r>
    </w:p>
    <w:p w14:paraId="50335C97" w14:textId="77777777" w:rsidR="0061454F" w:rsidRPr="005E3B43" w:rsidRDefault="0061454F" w:rsidP="00763BCF">
      <w:pPr>
        <w:pStyle w:val="ActHead2"/>
        <w:pageBreakBefore/>
      </w:pPr>
      <w:bookmarkStart w:id="149" w:name="_Toc187135743"/>
      <w:r w:rsidRPr="005E3B43">
        <w:rPr>
          <w:rStyle w:val="CharPartNo"/>
        </w:rPr>
        <w:lastRenderedPageBreak/>
        <w:t>Part</w:t>
      </w:r>
      <w:r w:rsidR="004E6D00" w:rsidRPr="005E3B43">
        <w:rPr>
          <w:rStyle w:val="CharPartNo"/>
        </w:rPr>
        <w:t> </w:t>
      </w:r>
      <w:r w:rsidRPr="005E3B43">
        <w:rPr>
          <w:rStyle w:val="CharPartNo"/>
        </w:rPr>
        <w:t>5A</w:t>
      </w:r>
      <w:r w:rsidR="00E20BA4" w:rsidRPr="005E3B43">
        <w:t>—</w:t>
      </w:r>
      <w:r w:rsidRPr="005E3B43">
        <w:rPr>
          <w:rStyle w:val="CharPartText"/>
        </w:rPr>
        <w:t>Exceptional release</w:t>
      </w:r>
      <w:bookmarkEnd w:id="149"/>
    </w:p>
    <w:p w14:paraId="5D73E0C6" w14:textId="77777777" w:rsidR="0061454F" w:rsidRPr="005E3B43" w:rsidRDefault="00E20BA4" w:rsidP="00763BCF">
      <w:pPr>
        <w:pStyle w:val="Header"/>
      </w:pPr>
      <w:r w:rsidRPr="005E3B43">
        <w:rPr>
          <w:rStyle w:val="CharDivNo"/>
        </w:rPr>
        <w:t xml:space="preserve"> </w:t>
      </w:r>
      <w:r w:rsidRPr="005E3B43">
        <w:rPr>
          <w:rStyle w:val="CharDivText"/>
        </w:rPr>
        <w:t xml:space="preserve"> </w:t>
      </w:r>
    </w:p>
    <w:p w14:paraId="4182F68E" w14:textId="77777777" w:rsidR="0061454F" w:rsidRPr="005E3B43" w:rsidRDefault="0061454F" w:rsidP="00763BCF">
      <w:pPr>
        <w:pStyle w:val="ActHead5"/>
      </w:pPr>
      <w:bookmarkStart w:id="150" w:name="_Toc187135744"/>
      <w:r w:rsidRPr="005E3B43">
        <w:rPr>
          <w:rStyle w:val="CharSectno"/>
        </w:rPr>
        <w:t>33A</w:t>
      </w:r>
      <w:r w:rsidR="00E20BA4" w:rsidRPr="005E3B43">
        <w:t xml:space="preserve">  </w:t>
      </w:r>
      <w:r w:rsidRPr="005E3B43">
        <w:t>Prescribed circumstances under which biologicals may be imported, exported or supplied</w:t>
      </w:r>
      <w:bookmarkEnd w:id="150"/>
    </w:p>
    <w:p w14:paraId="58396B45" w14:textId="77777777" w:rsidR="0061454F" w:rsidRPr="005E3B43" w:rsidRDefault="0061454F" w:rsidP="00763BCF">
      <w:pPr>
        <w:pStyle w:val="subsection"/>
      </w:pPr>
      <w:r w:rsidRPr="005E3B43">
        <w:tab/>
      </w:r>
      <w:r w:rsidRPr="005E3B43">
        <w:tab/>
        <w:t>For paragraphs 14(5A)(b), (9A)(b), (13A)(b), 14A(1A)(b), (2A)(b) and (3A)(b) of the Act, the circumstances are:</w:t>
      </w:r>
    </w:p>
    <w:p w14:paraId="2DD50D0F" w14:textId="77777777" w:rsidR="0061454F" w:rsidRPr="005E3B43" w:rsidRDefault="0061454F" w:rsidP="00763BCF">
      <w:pPr>
        <w:pStyle w:val="paragraph"/>
      </w:pPr>
      <w:r w:rsidRPr="005E3B43">
        <w:tab/>
        <w:t>(a)</w:t>
      </w:r>
      <w:r w:rsidRPr="005E3B43">
        <w:tab/>
        <w:t>the patient has been clinically assessed by the treating medical practitioner to require the biological urgently to treat a serious condition; and</w:t>
      </w:r>
    </w:p>
    <w:p w14:paraId="6162CDDE" w14:textId="30428050" w:rsidR="0061454F" w:rsidRPr="005E3B43" w:rsidRDefault="0061454F" w:rsidP="00763BCF">
      <w:pPr>
        <w:pStyle w:val="paragraph"/>
      </w:pPr>
      <w:r w:rsidRPr="005E3B43">
        <w:tab/>
        <w:t>(b)</w:t>
      </w:r>
      <w:r w:rsidRPr="005E3B43">
        <w:tab/>
        <w:t xml:space="preserve">a biological that is included in the Register under </w:t>
      </w:r>
      <w:r w:rsidR="00BB758E" w:rsidRPr="005E3B43">
        <w:t>Part 3</w:t>
      </w:r>
      <w:r w:rsidR="007C3215">
        <w:noBreakHyphen/>
      </w:r>
      <w:r w:rsidRPr="005E3B43">
        <w:t>2A of the Act and conforms with the applicable manufacturing requirements and standards is not available, or is not available within the time necessary for treatment to occur; and</w:t>
      </w:r>
    </w:p>
    <w:p w14:paraId="26809A30" w14:textId="1C31B5D0" w:rsidR="0061454F" w:rsidRPr="005E3B43" w:rsidRDefault="0061454F" w:rsidP="00763BCF">
      <w:pPr>
        <w:pStyle w:val="paragraph"/>
      </w:pPr>
      <w:r w:rsidRPr="005E3B43">
        <w:tab/>
        <w:t>(c)</w:t>
      </w:r>
      <w:r w:rsidRPr="005E3B43">
        <w:tab/>
        <w:t xml:space="preserve">a nonconforming biological that is included in the Register under </w:t>
      </w:r>
      <w:r w:rsidR="00BB758E" w:rsidRPr="005E3B43">
        <w:t>Part 3</w:t>
      </w:r>
      <w:r w:rsidR="007C3215">
        <w:noBreakHyphen/>
      </w:r>
      <w:r w:rsidRPr="005E3B43">
        <w:t>2A of the Act is available; and</w:t>
      </w:r>
    </w:p>
    <w:p w14:paraId="2EA7E36D" w14:textId="77777777" w:rsidR="0061454F" w:rsidRPr="005E3B43" w:rsidRDefault="0061454F" w:rsidP="00763BCF">
      <w:pPr>
        <w:pStyle w:val="paragraph"/>
      </w:pPr>
      <w:r w:rsidRPr="005E3B43">
        <w:tab/>
        <w:t>(d)</w:t>
      </w:r>
      <w:r w:rsidRPr="005E3B43">
        <w:tab/>
        <w:t>no other treatment option is suitable for the patient; and</w:t>
      </w:r>
    </w:p>
    <w:p w14:paraId="79CCAB14" w14:textId="77777777" w:rsidR="0061454F" w:rsidRPr="005E3B43" w:rsidRDefault="0061454F" w:rsidP="00763BCF">
      <w:pPr>
        <w:pStyle w:val="paragraph"/>
      </w:pPr>
      <w:r w:rsidRPr="005E3B43">
        <w:tab/>
        <w:t>(e)</w:t>
      </w:r>
      <w:r w:rsidRPr="005E3B43">
        <w:tab/>
        <w:t>the nonconforming biological is assessed as the most suitable treatment for the patient; and</w:t>
      </w:r>
    </w:p>
    <w:p w14:paraId="3BCC2057" w14:textId="77777777" w:rsidR="0061454F" w:rsidRPr="005E3B43" w:rsidRDefault="0061454F" w:rsidP="00763BCF">
      <w:pPr>
        <w:pStyle w:val="paragraph"/>
      </w:pPr>
      <w:r w:rsidRPr="005E3B43">
        <w:tab/>
        <w:t>(f)</w:t>
      </w:r>
      <w:r w:rsidRPr="005E3B43">
        <w:tab/>
        <w:t>the nonconforming biological is to be used only for the treatment of one patient.</w:t>
      </w:r>
    </w:p>
    <w:p w14:paraId="21019009" w14:textId="77777777" w:rsidR="0061454F" w:rsidRPr="005E3B43" w:rsidRDefault="0061454F" w:rsidP="00763BCF">
      <w:pPr>
        <w:pStyle w:val="ActHead5"/>
      </w:pPr>
      <w:bookmarkStart w:id="151" w:name="_Toc187135745"/>
      <w:r w:rsidRPr="005E3B43">
        <w:rPr>
          <w:rStyle w:val="CharSectno"/>
        </w:rPr>
        <w:t>33B</w:t>
      </w:r>
      <w:r w:rsidR="00E20BA4" w:rsidRPr="005E3B43">
        <w:t xml:space="preserve">  </w:t>
      </w:r>
      <w:r w:rsidRPr="005E3B43">
        <w:t>Conditions for supply of biologicals</w:t>
      </w:r>
      <w:bookmarkEnd w:id="151"/>
    </w:p>
    <w:p w14:paraId="53FF685C" w14:textId="20433966" w:rsidR="0061454F" w:rsidRPr="005E3B43" w:rsidRDefault="0061454F" w:rsidP="00763BCF">
      <w:pPr>
        <w:pStyle w:val="subsection"/>
      </w:pPr>
      <w:r w:rsidRPr="005E3B43">
        <w:tab/>
        <w:t>(1)</w:t>
      </w:r>
      <w:r w:rsidRPr="005E3B43">
        <w:tab/>
        <w:t>For sub</w:t>
      </w:r>
      <w:r w:rsidR="007C3215">
        <w:t>section 1</w:t>
      </w:r>
      <w:r w:rsidRPr="005E3B43">
        <w:t>5AB(1) of the Act, the conditions are that:</w:t>
      </w:r>
    </w:p>
    <w:p w14:paraId="08536904" w14:textId="77777777" w:rsidR="0061454F" w:rsidRPr="005E3B43" w:rsidRDefault="0061454F" w:rsidP="00763BCF">
      <w:pPr>
        <w:pStyle w:val="paragraph"/>
      </w:pPr>
      <w:r w:rsidRPr="005E3B43">
        <w:tab/>
        <w:t>(a)</w:t>
      </w:r>
      <w:r w:rsidRPr="005E3B43">
        <w:tab/>
        <w:t>all the circumstances mentioned in regulation</w:t>
      </w:r>
      <w:r w:rsidR="004E6D00" w:rsidRPr="005E3B43">
        <w:t> </w:t>
      </w:r>
      <w:r w:rsidRPr="005E3B43">
        <w:t>33A have occurred; and</w:t>
      </w:r>
    </w:p>
    <w:p w14:paraId="02F07EE5" w14:textId="77777777" w:rsidR="0061454F" w:rsidRPr="005E3B43" w:rsidRDefault="0061454F" w:rsidP="00763BCF">
      <w:pPr>
        <w:pStyle w:val="paragraph"/>
      </w:pPr>
      <w:r w:rsidRPr="005E3B43">
        <w:tab/>
        <w:t>(b)</w:t>
      </w:r>
      <w:r w:rsidRPr="005E3B43">
        <w:tab/>
        <w:t xml:space="preserve">the sponsor of the nonconforming biological mentioned in </w:t>
      </w:r>
      <w:r w:rsidR="00842CCD" w:rsidRPr="005E3B43">
        <w:t>paragraph 3</w:t>
      </w:r>
      <w:r w:rsidRPr="005E3B43">
        <w:t>3A(c) receives from the treating medical practitioner a copy of a written statement of the following:</w:t>
      </w:r>
    </w:p>
    <w:p w14:paraId="5F40D2C2" w14:textId="77777777" w:rsidR="0061454F" w:rsidRPr="005E3B43" w:rsidRDefault="0061454F" w:rsidP="00763BCF">
      <w:pPr>
        <w:pStyle w:val="paragraphsub"/>
      </w:pPr>
      <w:r w:rsidRPr="005E3B43">
        <w:tab/>
        <w:t>(i)</w:t>
      </w:r>
      <w:r w:rsidRPr="005E3B43">
        <w:tab/>
        <w:t>the proposal to use the nonconforming biological;</w:t>
      </w:r>
    </w:p>
    <w:p w14:paraId="54E245D4" w14:textId="77777777" w:rsidR="0061454F" w:rsidRPr="005E3B43" w:rsidRDefault="0061454F" w:rsidP="00763BCF">
      <w:pPr>
        <w:pStyle w:val="paragraphsub"/>
      </w:pPr>
      <w:r w:rsidRPr="005E3B43">
        <w:tab/>
        <w:t>(ii)</w:t>
      </w:r>
      <w:r w:rsidRPr="005E3B43">
        <w:tab/>
        <w:t>that the patient or guardian has been told about the likely risks and benefits from the use of the biological;</w:t>
      </w:r>
    </w:p>
    <w:p w14:paraId="079DAF55" w14:textId="77777777" w:rsidR="0061454F" w:rsidRPr="005E3B43" w:rsidRDefault="0061454F" w:rsidP="00763BCF">
      <w:pPr>
        <w:pStyle w:val="paragraphsub"/>
      </w:pPr>
      <w:r w:rsidRPr="005E3B43">
        <w:tab/>
        <w:t>(iii)</w:t>
      </w:r>
      <w:r w:rsidRPr="005E3B43">
        <w:tab/>
        <w:t>why the biological is nonconforming with standards applicable to the biological or was not manufactured in accordance with relevant manufacturing principles under section</w:t>
      </w:r>
      <w:r w:rsidR="004E6D00" w:rsidRPr="005E3B43">
        <w:t> </w:t>
      </w:r>
      <w:r w:rsidRPr="005E3B43">
        <w:t>36 of the Act; and</w:t>
      </w:r>
    </w:p>
    <w:p w14:paraId="475C1723" w14:textId="77777777" w:rsidR="0061454F" w:rsidRPr="005E3B43" w:rsidRDefault="0061454F" w:rsidP="00763BCF">
      <w:pPr>
        <w:pStyle w:val="paragraph"/>
      </w:pPr>
      <w:r w:rsidRPr="005E3B43">
        <w:tab/>
        <w:t>(c)</w:t>
      </w:r>
      <w:r w:rsidRPr="005E3B43">
        <w:tab/>
        <w:t>the medical or scientific director of the sponsor’s facility from which the supply of the biological is to occur must give written approval for release of the biological; and</w:t>
      </w:r>
    </w:p>
    <w:p w14:paraId="32F06997" w14:textId="77777777" w:rsidR="0061454F" w:rsidRPr="005E3B43" w:rsidRDefault="0061454F" w:rsidP="00763BCF">
      <w:pPr>
        <w:pStyle w:val="paragraph"/>
      </w:pPr>
      <w:r w:rsidRPr="005E3B43">
        <w:tab/>
        <w:t>(d)</w:t>
      </w:r>
      <w:r w:rsidRPr="005E3B43">
        <w:tab/>
        <w:t>before the biological is used:</w:t>
      </w:r>
    </w:p>
    <w:p w14:paraId="4C0F9175" w14:textId="77777777" w:rsidR="0061454F" w:rsidRPr="005E3B43" w:rsidRDefault="0061454F" w:rsidP="00763BCF">
      <w:pPr>
        <w:pStyle w:val="paragraphsub"/>
      </w:pPr>
      <w:r w:rsidRPr="005E3B43">
        <w:tab/>
        <w:t>(i)</w:t>
      </w:r>
      <w:r w:rsidRPr="005E3B43">
        <w:tab/>
        <w:t>the patient or the patient’s guardian must give written informed consent; or</w:t>
      </w:r>
    </w:p>
    <w:p w14:paraId="0C4C19E9" w14:textId="77777777" w:rsidR="0061454F" w:rsidRPr="005E3B43" w:rsidRDefault="0061454F" w:rsidP="00763BCF">
      <w:pPr>
        <w:pStyle w:val="paragraphsub"/>
      </w:pPr>
      <w:r w:rsidRPr="005E3B43">
        <w:tab/>
        <w:t>(ii)</w:t>
      </w:r>
      <w:r w:rsidRPr="005E3B43">
        <w:tab/>
        <w:t>the treating medical practitioner must give written statement of the reasons that consent cannot be given; and</w:t>
      </w:r>
    </w:p>
    <w:p w14:paraId="5E8AC267" w14:textId="77777777" w:rsidR="0061454F" w:rsidRPr="005E3B43" w:rsidRDefault="0061454F" w:rsidP="00763BCF">
      <w:pPr>
        <w:pStyle w:val="paragraph"/>
      </w:pPr>
      <w:r w:rsidRPr="005E3B43">
        <w:tab/>
        <w:t>(e)</w:t>
      </w:r>
      <w:r w:rsidRPr="005E3B43">
        <w:tab/>
        <w:t>the consent and the approval must be placed on the patient’s medical records and a copy must be given to the treating medical practitioner.</w:t>
      </w:r>
    </w:p>
    <w:p w14:paraId="0C50E38E" w14:textId="77777777" w:rsidR="0061454F" w:rsidRPr="005E3B43" w:rsidRDefault="0061454F" w:rsidP="00763BCF">
      <w:pPr>
        <w:pStyle w:val="subsection"/>
      </w:pPr>
      <w:r w:rsidRPr="005E3B43">
        <w:lastRenderedPageBreak/>
        <w:tab/>
        <w:t>(2)</w:t>
      </w:r>
      <w:r w:rsidRPr="005E3B43">
        <w:tab/>
        <w:t>Within 28 days after the release of the nonconforming biological, the sponsor must give to the Secretary:</w:t>
      </w:r>
    </w:p>
    <w:p w14:paraId="163674E9" w14:textId="77777777" w:rsidR="0061454F" w:rsidRPr="005E3B43" w:rsidRDefault="0061454F" w:rsidP="00763BCF">
      <w:pPr>
        <w:pStyle w:val="paragraph"/>
      </w:pPr>
      <w:r w:rsidRPr="005E3B43">
        <w:tab/>
        <w:t>(a)</w:t>
      </w:r>
      <w:r w:rsidRPr="005E3B43">
        <w:tab/>
        <w:t>a notification of use of the nonconforming biological, on a form approved by the Secretary; and</w:t>
      </w:r>
    </w:p>
    <w:p w14:paraId="422FDC92" w14:textId="77777777" w:rsidR="0061454F" w:rsidRPr="005E3B43" w:rsidRDefault="0061454F" w:rsidP="00763BCF">
      <w:pPr>
        <w:pStyle w:val="paragraph"/>
      </w:pPr>
      <w:r w:rsidRPr="005E3B43">
        <w:tab/>
        <w:t>(b)</w:t>
      </w:r>
      <w:r w:rsidRPr="005E3B43">
        <w:tab/>
        <w:t xml:space="preserve">a copy of the documents mentioned in </w:t>
      </w:r>
      <w:r w:rsidR="004E6D00" w:rsidRPr="005E3B43">
        <w:t>paragraphs (</w:t>
      </w:r>
      <w:r w:rsidRPr="005E3B43">
        <w:t>1)(b) to (d); and</w:t>
      </w:r>
    </w:p>
    <w:p w14:paraId="412DA348" w14:textId="77777777" w:rsidR="0061454F" w:rsidRPr="005E3B43" w:rsidRDefault="0061454F" w:rsidP="00763BCF">
      <w:pPr>
        <w:pStyle w:val="paragraph"/>
      </w:pPr>
      <w:r w:rsidRPr="005E3B43">
        <w:tab/>
        <w:t>(c)</w:t>
      </w:r>
      <w:r w:rsidRPr="005E3B43">
        <w:tab/>
        <w:t>any other information requested by the Secretary, including any information requested after submission of the notification.</w:t>
      </w:r>
    </w:p>
    <w:p w14:paraId="0EDDDD9F" w14:textId="77777777" w:rsidR="0061454F" w:rsidRPr="005E3B43" w:rsidRDefault="0061454F" w:rsidP="00763BCF">
      <w:pPr>
        <w:pStyle w:val="subsection"/>
      </w:pPr>
      <w:r w:rsidRPr="005E3B43">
        <w:tab/>
        <w:t>(3)</w:t>
      </w:r>
      <w:r w:rsidRPr="005E3B43">
        <w:tab/>
        <w:t>The Secretary must give the sponsor written acknowledgement of the receipt of the notification within 28 days after receiving the notification and any further information requested by the Secretary.</w:t>
      </w:r>
    </w:p>
    <w:p w14:paraId="708BD5C8" w14:textId="77777777" w:rsidR="0061454F" w:rsidRPr="005E3B43" w:rsidRDefault="0061454F" w:rsidP="00763BCF">
      <w:pPr>
        <w:pStyle w:val="ActHead5"/>
      </w:pPr>
      <w:bookmarkStart w:id="152" w:name="_Toc187135746"/>
      <w:r w:rsidRPr="005E3B43">
        <w:rPr>
          <w:rStyle w:val="CharSectno"/>
        </w:rPr>
        <w:t>33C</w:t>
      </w:r>
      <w:r w:rsidR="00E20BA4" w:rsidRPr="005E3B43">
        <w:t xml:space="preserve">  </w:t>
      </w:r>
      <w:r w:rsidRPr="005E3B43">
        <w:t>Report on release of nonconforming biological</w:t>
      </w:r>
      <w:bookmarkEnd w:id="152"/>
    </w:p>
    <w:p w14:paraId="3F953C43" w14:textId="77777777" w:rsidR="0061454F" w:rsidRPr="005E3B43" w:rsidRDefault="0061454F" w:rsidP="00763BCF">
      <w:pPr>
        <w:pStyle w:val="subsection"/>
      </w:pPr>
      <w:r w:rsidRPr="005E3B43">
        <w:tab/>
      </w:r>
      <w:r w:rsidRPr="005E3B43">
        <w:tab/>
        <w:t>For each nonconforming biological released from a cell or tissue bank, the sponsor of the nonconforming biological must give to the Secretary:</w:t>
      </w:r>
    </w:p>
    <w:p w14:paraId="5B35B1AD" w14:textId="77777777" w:rsidR="0061454F" w:rsidRPr="005E3B43" w:rsidRDefault="0061454F" w:rsidP="00763BCF">
      <w:pPr>
        <w:pStyle w:val="paragraph"/>
      </w:pPr>
      <w:r w:rsidRPr="005E3B43">
        <w:tab/>
        <w:t>(a)</w:t>
      </w:r>
      <w:r w:rsidRPr="005E3B43">
        <w:tab/>
        <w:t>within 6 months after the release</w:t>
      </w:r>
      <w:r w:rsidR="00E20BA4" w:rsidRPr="005E3B43">
        <w:t>—</w:t>
      </w:r>
      <w:r w:rsidRPr="005E3B43">
        <w:t>a report that includes the following information:</w:t>
      </w:r>
    </w:p>
    <w:p w14:paraId="35EE23CC" w14:textId="77777777" w:rsidR="0061454F" w:rsidRPr="005E3B43" w:rsidRDefault="0061454F" w:rsidP="00763BCF">
      <w:pPr>
        <w:pStyle w:val="paragraphsub"/>
      </w:pPr>
      <w:r w:rsidRPr="005E3B43">
        <w:tab/>
        <w:t>(i)</w:t>
      </w:r>
      <w:r w:rsidRPr="005E3B43">
        <w:tab/>
        <w:t>date of release;</w:t>
      </w:r>
    </w:p>
    <w:p w14:paraId="0BE01CCF" w14:textId="77777777" w:rsidR="0061454F" w:rsidRPr="005E3B43" w:rsidRDefault="0061454F" w:rsidP="00763BCF">
      <w:pPr>
        <w:pStyle w:val="paragraphsub"/>
      </w:pPr>
      <w:r w:rsidRPr="005E3B43">
        <w:tab/>
        <w:t>(ii)</w:t>
      </w:r>
      <w:r w:rsidRPr="005E3B43">
        <w:tab/>
        <w:t>product identification details;</w:t>
      </w:r>
    </w:p>
    <w:p w14:paraId="2FBDE08E" w14:textId="77777777" w:rsidR="0061454F" w:rsidRPr="005E3B43" w:rsidRDefault="0061454F" w:rsidP="00763BCF">
      <w:pPr>
        <w:pStyle w:val="paragraphsub"/>
      </w:pPr>
      <w:r w:rsidRPr="005E3B43">
        <w:tab/>
        <w:t>(iii)</w:t>
      </w:r>
      <w:r w:rsidRPr="005E3B43">
        <w:tab/>
        <w:t>name and address of transplant centre or medical practitioner to whom the nonconforming biological was released;</w:t>
      </w:r>
    </w:p>
    <w:p w14:paraId="225C79A2" w14:textId="77777777" w:rsidR="0061454F" w:rsidRPr="005E3B43" w:rsidRDefault="0061454F" w:rsidP="00763BCF">
      <w:pPr>
        <w:pStyle w:val="paragraphsub"/>
      </w:pPr>
      <w:r w:rsidRPr="005E3B43">
        <w:tab/>
        <w:t>(iv)</w:t>
      </w:r>
      <w:r w:rsidRPr="005E3B43">
        <w:tab/>
        <w:t>initials, gender and date of birth of patient;</w:t>
      </w:r>
    </w:p>
    <w:p w14:paraId="50B311B8" w14:textId="77777777" w:rsidR="0061454F" w:rsidRPr="005E3B43" w:rsidRDefault="0061454F" w:rsidP="00763BCF">
      <w:pPr>
        <w:pStyle w:val="paragraphsub"/>
      </w:pPr>
      <w:r w:rsidRPr="005E3B43">
        <w:tab/>
        <w:t>(v)</w:t>
      </w:r>
      <w:r w:rsidRPr="005E3B43">
        <w:tab/>
        <w:t>any adverse events relating to the use of the nonconforming biological; and</w:t>
      </w:r>
    </w:p>
    <w:p w14:paraId="00BB9FD5" w14:textId="77777777" w:rsidR="0061454F" w:rsidRPr="005E3B43" w:rsidRDefault="0061454F" w:rsidP="00763BCF">
      <w:pPr>
        <w:pStyle w:val="paragraph"/>
      </w:pPr>
      <w:r w:rsidRPr="005E3B43">
        <w:tab/>
        <w:t>(b)</w:t>
      </w:r>
      <w:r w:rsidRPr="005E3B43">
        <w:tab/>
        <w:t>within 14 days after a request by the Secretary</w:t>
      </w:r>
      <w:r w:rsidR="00E20BA4" w:rsidRPr="005E3B43">
        <w:t>—</w:t>
      </w:r>
      <w:r w:rsidRPr="005E3B43">
        <w:t>information about the supply of the nonconforming biological and the circumstances surrounding the supply, including:</w:t>
      </w:r>
    </w:p>
    <w:p w14:paraId="38EF55A4" w14:textId="77777777" w:rsidR="0061454F" w:rsidRPr="005E3B43" w:rsidRDefault="0061454F" w:rsidP="00763BCF">
      <w:pPr>
        <w:pStyle w:val="paragraphsub"/>
      </w:pPr>
      <w:r w:rsidRPr="005E3B43">
        <w:tab/>
        <w:t>(i)</w:t>
      </w:r>
      <w:r w:rsidRPr="005E3B43">
        <w:tab/>
        <w:t>the decision making process leading to the supply; and</w:t>
      </w:r>
    </w:p>
    <w:p w14:paraId="50B55550" w14:textId="77777777" w:rsidR="0061454F" w:rsidRPr="005E3B43" w:rsidRDefault="0061454F" w:rsidP="00763BCF">
      <w:pPr>
        <w:pStyle w:val="paragraphsub"/>
      </w:pPr>
      <w:r w:rsidRPr="005E3B43">
        <w:tab/>
        <w:t>(ii)</w:t>
      </w:r>
      <w:r w:rsidRPr="005E3B43">
        <w:tab/>
        <w:t>any adverse events related to the supply.</w:t>
      </w:r>
    </w:p>
    <w:p w14:paraId="5796B01C" w14:textId="77777777" w:rsidR="00207B1C" w:rsidRPr="005E3B43" w:rsidRDefault="00207B1C" w:rsidP="00763BCF">
      <w:pPr>
        <w:pStyle w:val="ActHead2"/>
        <w:pageBreakBefore/>
      </w:pPr>
      <w:bookmarkStart w:id="153" w:name="_Toc187135747"/>
      <w:r w:rsidRPr="005E3B43">
        <w:rPr>
          <w:rStyle w:val="CharPartNo"/>
        </w:rPr>
        <w:lastRenderedPageBreak/>
        <w:t>Part</w:t>
      </w:r>
      <w:r w:rsidR="004E6D00" w:rsidRPr="005E3B43">
        <w:rPr>
          <w:rStyle w:val="CharPartNo"/>
        </w:rPr>
        <w:t> </w:t>
      </w:r>
      <w:r w:rsidRPr="005E3B43">
        <w:rPr>
          <w:rStyle w:val="CharPartNo"/>
        </w:rPr>
        <w:t>6</w:t>
      </w:r>
      <w:r w:rsidR="00E20BA4" w:rsidRPr="005E3B43">
        <w:t>—</w:t>
      </w:r>
      <w:r w:rsidRPr="005E3B43">
        <w:rPr>
          <w:rStyle w:val="CharPartText"/>
        </w:rPr>
        <w:t>Committees</w:t>
      </w:r>
      <w:bookmarkEnd w:id="153"/>
    </w:p>
    <w:p w14:paraId="4AEEF80A" w14:textId="77777777" w:rsidR="00AE2007" w:rsidRPr="005E3B43" w:rsidRDefault="003C0723" w:rsidP="00763BCF">
      <w:pPr>
        <w:pStyle w:val="ActHead3"/>
      </w:pPr>
      <w:bookmarkStart w:id="154" w:name="_Toc187135748"/>
      <w:r w:rsidRPr="005E3B43">
        <w:rPr>
          <w:rStyle w:val="CharDivNo"/>
        </w:rPr>
        <w:t>Division 1</w:t>
      </w:r>
      <w:r w:rsidR="00AE2007" w:rsidRPr="005E3B43">
        <w:rPr>
          <w:rStyle w:val="CharDivNo"/>
        </w:rPr>
        <w:t>A</w:t>
      </w:r>
      <w:r w:rsidR="00AE2007" w:rsidRPr="005E3B43">
        <w:t>—</w:t>
      </w:r>
      <w:r w:rsidR="00AE2007" w:rsidRPr="005E3B43">
        <w:rPr>
          <w:rStyle w:val="CharDivText"/>
        </w:rPr>
        <w:t>Advisory Committee on Medicines</w:t>
      </w:r>
      <w:bookmarkEnd w:id="154"/>
    </w:p>
    <w:p w14:paraId="4CAE779E" w14:textId="77777777" w:rsidR="00AE2007" w:rsidRPr="005E3B43" w:rsidRDefault="00AE2007" w:rsidP="00763BCF">
      <w:pPr>
        <w:pStyle w:val="ActHead5"/>
      </w:pPr>
      <w:bookmarkStart w:id="155" w:name="_Toc187135749"/>
      <w:r w:rsidRPr="005E3B43">
        <w:rPr>
          <w:rStyle w:val="CharSectno"/>
        </w:rPr>
        <w:t>35</w:t>
      </w:r>
      <w:r w:rsidRPr="005E3B43">
        <w:t xml:space="preserve">  Establishment</w:t>
      </w:r>
      <w:bookmarkEnd w:id="155"/>
    </w:p>
    <w:p w14:paraId="5C2FB606" w14:textId="77777777" w:rsidR="00AE2007" w:rsidRPr="005E3B43" w:rsidRDefault="00AE2007" w:rsidP="00763BCF">
      <w:pPr>
        <w:pStyle w:val="subsection"/>
      </w:pPr>
      <w:r w:rsidRPr="005E3B43">
        <w:tab/>
      </w:r>
      <w:r w:rsidRPr="005E3B43">
        <w:tab/>
        <w:t>The Advisory Committee on Medicines is established.</w:t>
      </w:r>
    </w:p>
    <w:p w14:paraId="2D66E4EA" w14:textId="77777777" w:rsidR="00B72E8F" w:rsidRPr="005E3B43" w:rsidRDefault="00B72E8F" w:rsidP="00763BCF">
      <w:pPr>
        <w:pStyle w:val="ActHead5"/>
      </w:pPr>
      <w:bookmarkStart w:id="156" w:name="_Toc187135750"/>
      <w:r w:rsidRPr="005E3B43">
        <w:rPr>
          <w:rStyle w:val="CharSectno"/>
        </w:rPr>
        <w:t>35A</w:t>
      </w:r>
      <w:r w:rsidR="00E20BA4" w:rsidRPr="005E3B43">
        <w:t xml:space="preserve">  </w:t>
      </w:r>
      <w:r w:rsidRPr="005E3B43">
        <w:t>Functions</w:t>
      </w:r>
      <w:bookmarkEnd w:id="156"/>
    </w:p>
    <w:p w14:paraId="5F68AB97" w14:textId="77777777" w:rsidR="00B303D9" w:rsidRPr="005E3B43" w:rsidRDefault="00B303D9" w:rsidP="00763BCF">
      <w:pPr>
        <w:pStyle w:val="subsection"/>
      </w:pPr>
      <w:r w:rsidRPr="005E3B43">
        <w:tab/>
        <w:t>(1)</w:t>
      </w:r>
      <w:r w:rsidRPr="005E3B43">
        <w:tab/>
        <w:t>The committee’s functions are, at the request of the Minister or Secretary, to provide advice and to make recommendations to the Minister or Secretary about one or more of the following matters:</w:t>
      </w:r>
    </w:p>
    <w:p w14:paraId="4D8B9DBD" w14:textId="77777777" w:rsidR="00AE2007" w:rsidRPr="005E3B43" w:rsidRDefault="00AE2007" w:rsidP="00763BCF">
      <w:pPr>
        <w:pStyle w:val="paragraph"/>
      </w:pPr>
      <w:r w:rsidRPr="005E3B43">
        <w:tab/>
        <w:t>(a)</w:t>
      </w:r>
      <w:r w:rsidRPr="005E3B43">
        <w:tab/>
        <w:t>the safety, quality and efficacy of medicines, including in relation to pharmacovigilance;</w:t>
      </w:r>
    </w:p>
    <w:p w14:paraId="002F4C5B" w14:textId="77777777" w:rsidR="00AE2007" w:rsidRPr="005E3B43" w:rsidRDefault="00AE2007" w:rsidP="00763BCF">
      <w:pPr>
        <w:pStyle w:val="paragraph"/>
      </w:pPr>
      <w:r w:rsidRPr="005E3B43">
        <w:tab/>
        <w:t>(b)</w:t>
      </w:r>
      <w:r w:rsidRPr="005E3B43">
        <w:tab/>
        <w:t>the entry of a medicine in the Register;</w:t>
      </w:r>
    </w:p>
    <w:p w14:paraId="3190F9BB" w14:textId="77777777" w:rsidR="00AE2007" w:rsidRPr="005E3B43" w:rsidRDefault="00AE2007" w:rsidP="00763BCF">
      <w:pPr>
        <w:pStyle w:val="paragraph"/>
      </w:pPr>
      <w:r w:rsidRPr="005E3B43">
        <w:tab/>
        <w:t>(c)</w:t>
      </w:r>
      <w:r w:rsidRPr="005E3B43">
        <w:tab/>
        <w:t>the variation of an entry for a medicine in the Register;</w:t>
      </w:r>
    </w:p>
    <w:p w14:paraId="21C93708" w14:textId="77777777" w:rsidR="00AE2007" w:rsidRPr="005E3B43" w:rsidRDefault="00AE2007" w:rsidP="00763BCF">
      <w:pPr>
        <w:pStyle w:val="paragraph"/>
      </w:pPr>
      <w:r w:rsidRPr="005E3B43">
        <w:tab/>
        <w:t>(d)</w:t>
      </w:r>
      <w:r w:rsidRPr="005E3B43">
        <w:tab/>
        <w:t>the continued retention of a medicine in, or the removal of a medicine from, the Register;</w:t>
      </w:r>
    </w:p>
    <w:p w14:paraId="3F50E355" w14:textId="77777777" w:rsidR="00AE2007" w:rsidRPr="005E3B43" w:rsidRDefault="00AE2007" w:rsidP="00763BCF">
      <w:pPr>
        <w:pStyle w:val="paragraph"/>
      </w:pPr>
      <w:r w:rsidRPr="005E3B43">
        <w:tab/>
        <w:t>(e)</w:t>
      </w:r>
      <w:r w:rsidRPr="005E3B43">
        <w:tab/>
        <w:t>risk assessment and risk management of medicines;</w:t>
      </w:r>
    </w:p>
    <w:p w14:paraId="1D2DFAEA" w14:textId="77777777" w:rsidR="00B94815" w:rsidRPr="005E3B43" w:rsidRDefault="00B94815" w:rsidP="00B94815">
      <w:pPr>
        <w:pStyle w:val="paragraph"/>
      </w:pPr>
      <w:r w:rsidRPr="005E3B43">
        <w:tab/>
        <w:t>(ea)</w:t>
      </w:r>
      <w:r w:rsidRPr="005E3B43">
        <w:tab/>
        <w:t>the repurposing of medicines under the program known as the Medicines Repurposing Program;</w:t>
      </w:r>
    </w:p>
    <w:p w14:paraId="07FF9DFB" w14:textId="77777777" w:rsidR="00AE2007" w:rsidRPr="005E3B43" w:rsidRDefault="00AE2007" w:rsidP="00763BCF">
      <w:pPr>
        <w:pStyle w:val="paragraph"/>
      </w:pPr>
      <w:r w:rsidRPr="005E3B43">
        <w:tab/>
        <w:t>(f)</w:t>
      </w:r>
      <w:r w:rsidRPr="005E3B43">
        <w:tab/>
        <w:t>any other matter (whether or not related to a medicine), including a matter related to standards.</w:t>
      </w:r>
    </w:p>
    <w:p w14:paraId="745C57C9" w14:textId="77777777" w:rsidR="00B72E8F" w:rsidRPr="005E3B43" w:rsidRDefault="00B72E8F" w:rsidP="00763BCF">
      <w:pPr>
        <w:pStyle w:val="subsection"/>
      </w:pPr>
      <w:r w:rsidRPr="005E3B43">
        <w:tab/>
        <w:t>(2)</w:t>
      </w:r>
      <w:r w:rsidRPr="005E3B43">
        <w:tab/>
        <w:t>The Minister or Secretary may require the committee to give its advice to other persons or bodies.</w:t>
      </w:r>
    </w:p>
    <w:p w14:paraId="15A09D4D" w14:textId="77777777" w:rsidR="00B72E8F" w:rsidRPr="005E3B43" w:rsidRDefault="00B72E8F" w:rsidP="00763BCF">
      <w:pPr>
        <w:pStyle w:val="ActHead5"/>
      </w:pPr>
      <w:bookmarkStart w:id="157" w:name="_Toc187135751"/>
      <w:r w:rsidRPr="005E3B43">
        <w:rPr>
          <w:rStyle w:val="CharSectno"/>
        </w:rPr>
        <w:t>35B</w:t>
      </w:r>
      <w:r w:rsidR="00E20BA4" w:rsidRPr="005E3B43">
        <w:t xml:space="preserve">  </w:t>
      </w:r>
      <w:r w:rsidRPr="005E3B43">
        <w:t>Membership</w:t>
      </w:r>
      <w:bookmarkEnd w:id="157"/>
    </w:p>
    <w:p w14:paraId="4DBF6060" w14:textId="77777777" w:rsidR="00B72E8F" w:rsidRPr="005E3B43" w:rsidRDefault="00B72E8F" w:rsidP="00763BCF">
      <w:pPr>
        <w:pStyle w:val="subsection"/>
      </w:pPr>
      <w:r w:rsidRPr="005E3B43">
        <w:tab/>
        <w:t>(1)</w:t>
      </w:r>
      <w:r w:rsidRPr="005E3B43">
        <w:tab/>
        <w:t xml:space="preserve">The Minister may appoint, in writing, up to </w:t>
      </w:r>
      <w:r w:rsidR="00AE2007" w:rsidRPr="005E3B43">
        <w:t>20</w:t>
      </w:r>
      <w:r w:rsidRPr="005E3B43">
        <w:t xml:space="preserve"> persons to the committee in accordance with subregulations </w:t>
      </w:r>
      <w:r w:rsidR="00AE2007" w:rsidRPr="005E3B43">
        <w:t>(1A) and (1B)</w:t>
      </w:r>
      <w:r w:rsidRPr="005E3B43">
        <w:t>.</w:t>
      </w:r>
    </w:p>
    <w:p w14:paraId="41E10EB4" w14:textId="77777777" w:rsidR="00AE2007" w:rsidRPr="005E3B43" w:rsidRDefault="00AE2007" w:rsidP="00763BCF">
      <w:pPr>
        <w:pStyle w:val="subsection"/>
      </w:pPr>
      <w:r w:rsidRPr="005E3B43">
        <w:tab/>
        <w:t>(1A)</w:t>
      </w:r>
      <w:r w:rsidRPr="005E3B43">
        <w:tab/>
        <w:t>Subject to subregulation (1B):</w:t>
      </w:r>
    </w:p>
    <w:p w14:paraId="71FDE255" w14:textId="77777777" w:rsidR="00AE2007" w:rsidRPr="005E3B43" w:rsidRDefault="00AE2007" w:rsidP="00763BCF">
      <w:pPr>
        <w:pStyle w:val="paragraph"/>
      </w:pPr>
      <w:r w:rsidRPr="005E3B43">
        <w:tab/>
        <w:t>(a)</w:t>
      </w:r>
      <w:r w:rsidRPr="005E3B43">
        <w:tab/>
        <w:t>to the extent reasonably practicable, membership of the committee is to represent the widest possible range of fields mentioned in subregulation (2); and</w:t>
      </w:r>
    </w:p>
    <w:p w14:paraId="33E0DA01" w14:textId="77777777" w:rsidR="00AE2007" w:rsidRPr="005E3B43" w:rsidRDefault="00AE2007" w:rsidP="00763BCF">
      <w:pPr>
        <w:pStyle w:val="paragraph"/>
      </w:pPr>
      <w:r w:rsidRPr="005E3B43">
        <w:tab/>
        <w:t>(b)</w:t>
      </w:r>
      <w:r w:rsidRPr="005E3B43">
        <w:tab/>
        <w:t>each member of the committee must have expertise in at least one of those fields.</w:t>
      </w:r>
    </w:p>
    <w:p w14:paraId="54182D68" w14:textId="77777777" w:rsidR="00AE2007" w:rsidRPr="005E3B43" w:rsidRDefault="00AE2007" w:rsidP="00763BCF">
      <w:pPr>
        <w:pStyle w:val="subsection"/>
      </w:pPr>
      <w:r w:rsidRPr="005E3B43">
        <w:tab/>
        <w:t>(1B)</w:t>
      </w:r>
      <w:r w:rsidRPr="005E3B43">
        <w:tab/>
        <w:t>One member of the committee may have expertise in consumer health issues.</w:t>
      </w:r>
    </w:p>
    <w:p w14:paraId="3E92CED7" w14:textId="77777777" w:rsidR="00AE2007" w:rsidRPr="005E3B43" w:rsidRDefault="00AE2007" w:rsidP="00763BCF">
      <w:pPr>
        <w:pStyle w:val="subsection"/>
      </w:pPr>
      <w:r w:rsidRPr="005E3B43">
        <w:tab/>
        <w:t>(2)</w:t>
      </w:r>
      <w:r w:rsidRPr="005E3B43">
        <w:tab/>
        <w:t>For the purposes of subregulation (1A), the fields are as follows:</w:t>
      </w:r>
    </w:p>
    <w:p w14:paraId="2115E2B4" w14:textId="77777777" w:rsidR="00B72E8F" w:rsidRPr="005E3B43" w:rsidRDefault="00B72E8F" w:rsidP="00763BCF">
      <w:pPr>
        <w:pStyle w:val="paragraph"/>
      </w:pPr>
      <w:r w:rsidRPr="005E3B43">
        <w:tab/>
        <w:t>(a)</w:t>
      </w:r>
      <w:r w:rsidRPr="005E3B43">
        <w:tab/>
        <w:t>general medical practice in Australia;</w:t>
      </w:r>
    </w:p>
    <w:p w14:paraId="5FA6C9A3" w14:textId="77777777" w:rsidR="00AE2007" w:rsidRPr="005E3B43" w:rsidRDefault="00AE2007" w:rsidP="00763BCF">
      <w:pPr>
        <w:pStyle w:val="paragraph"/>
      </w:pPr>
      <w:r w:rsidRPr="005E3B43">
        <w:tab/>
        <w:t>(b)</w:t>
      </w:r>
      <w:r w:rsidRPr="005E3B43">
        <w:tab/>
        <w:t>specialist medical practice of a kind that is relevant to the committee’s functions;</w:t>
      </w:r>
    </w:p>
    <w:p w14:paraId="1C925F8A" w14:textId="77777777" w:rsidR="00B72E8F" w:rsidRPr="005E3B43" w:rsidRDefault="00B72E8F" w:rsidP="00763BCF">
      <w:pPr>
        <w:pStyle w:val="paragraph"/>
      </w:pPr>
      <w:r w:rsidRPr="005E3B43">
        <w:tab/>
        <w:t>(c)</w:t>
      </w:r>
      <w:r w:rsidRPr="005E3B43">
        <w:tab/>
        <w:t>epidemiology or biostatistics;</w:t>
      </w:r>
    </w:p>
    <w:p w14:paraId="3667E522" w14:textId="77777777" w:rsidR="00B72E8F" w:rsidRPr="005E3B43" w:rsidRDefault="00B72E8F" w:rsidP="00763BCF">
      <w:pPr>
        <w:pStyle w:val="paragraph"/>
      </w:pPr>
      <w:r w:rsidRPr="005E3B43">
        <w:lastRenderedPageBreak/>
        <w:tab/>
        <w:t>(d)</w:t>
      </w:r>
      <w:r w:rsidRPr="005E3B43">
        <w:tab/>
        <w:t>clinical pharmacology or pharmacokinetics;</w:t>
      </w:r>
    </w:p>
    <w:p w14:paraId="4ACE2570" w14:textId="77777777" w:rsidR="00B72E8F" w:rsidRPr="005E3B43" w:rsidRDefault="00B72E8F" w:rsidP="00763BCF">
      <w:pPr>
        <w:pStyle w:val="paragraph"/>
      </w:pPr>
      <w:r w:rsidRPr="005E3B43">
        <w:tab/>
        <w:t>(e)</w:t>
      </w:r>
      <w:r w:rsidRPr="005E3B43">
        <w:tab/>
        <w:t>paediatrics;</w:t>
      </w:r>
    </w:p>
    <w:p w14:paraId="617F1C97" w14:textId="77777777" w:rsidR="00B72E8F" w:rsidRPr="005E3B43" w:rsidRDefault="00B72E8F" w:rsidP="00763BCF">
      <w:pPr>
        <w:pStyle w:val="paragraph"/>
      </w:pPr>
      <w:r w:rsidRPr="005E3B43">
        <w:tab/>
        <w:t>(f)</w:t>
      </w:r>
      <w:r w:rsidRPr="005E3B43">
        <w:tab/>
        <w:t>gerontology;</w:t>
      </w:r>
    </w:p>
    <w:p w14:paraId="6478C411" w14:textId="77777777" w:rsidR="00B72E8F" w:rsidRPr="005E3B43" w:rsidRDefault="00B72E8F" w:rsidP="00763BCF">
      <w:pPr>
        <w:pStyle w:val="paragraph"/>
      </w:pPr>
      <w:r w:rsidRPr="005E3B43">
        <w:tab/>
        <w:t>(g)</w:t>
      </w:r>
      <w:r w:rsidRPr="005E3B43">
        <w:tab/>
        <w:t>internal medicine, including the following:</w:t>
      </w:r>
    </w:p>
    <w:p w14:paraId="080699A5" w14:textId="77777777" w:rsidR="00B72E8F" w:rsidRPr="005E3B43" w:rsidRDefault="00B72E8F" w:rsidP="00763BCF">
      <w:pPr>
        <w:pStyle w:val="paragraphsub"/>
      </w:pPr>
      <w:r w:rsidRPr="005E3B43">
        <w:tab/>
        <w:t>(i)</w:t>
      </w:r>
      <w:r w:rsidRPr="005E3B43">
        <w:tab/>
        <w:t>haematology;</w:t>
      </w:r>
    </w:p>
    <w:p w14:paraId="0040FDC7" w14:textId="77777777" w:rsidR="00B72E8F" w:rsidRPr="005E3B43" w:rsidRDefault="00B72E8F" w:rsidP="00763BCF">
      <w:pPr>
        <w:pStyle w:val="paragraphsub"/>
      </w:pPr>
      <w:r w:rsidRPr="005E3B43">
        <w:tab/>
        <w:t>(ii)</w:t>
      </w:r>
      <w:r w:rsidRPr="005E3B43">
        <w:tab/>
        <w:t>oncology;</w:t>
      </w:r>
    </w:p>
    <w:p w14:paraId="58545C8F" w14:textId="77777777" w:rsidR="00B72E8F" w:rsidRPr="005E3B43" w:rsidRDefault="00B72E8F" w:rsidP="00763BCF">
      <w:pPr>
        <w:pStyle w:val="paragraphsub"/>
      </w:pPr>
      <w:r w:rsidRPr="005E3B43">
        <w:tab/>
        <w:t>(iii)</w:t>
      </w:r>
      <w:r w:rsidRPr="005E3B43">
        <w:tab/>
        <w:t>infectious diseases;</w:t>
      </w:r>
    </w:p>
    <w:p w14:paraId="376FCCAB" w14:textId="77777777" w:rsidR="00B72E8F" w:rsidRPr="005E3B43" w:rsidRDefault="00B72E8F" w:rsidP="00763BCF">
      <w:pPr>
        <w:pStyle w:val="paragraphsub"/>
      </w:pPr>
      <w:r w:rsidRPr="005E3B43">
        <w:tab/>
        <w:t>(iv)</w:t>
      </w:r>
      <w:r w:rsidRPr="005E3B43">
        <w:tab/>
        <w:t>cardiology;</w:t>
      </w:r>
    </w:p>
    <w:p w14:paraId="570B8181" w14:textId="77777777" w:rsidR="00B72E8F" w:rsidRPr="005E3B43" w:rsidRDefault="00B72E8F" w:rsidP="00763BCF">
      <w:pPr>
        <w:pStyle w:val="paragraphsub"/>
      </w:pPr>
      <w:r w:rsidRPr="005E3B43">
        <w:tab/>
        <w:t>(v)</w:t>
      </w:r>
      <w:r w:rsidRPr="005E3B43">
        <w:tab/>
        <w:t>gastroenterology or hepatology;</w:t>
      </w:r>
    </w:p>
    <w:p w14:paraId="6F741358" w14:textId="77777777" w:rsidR="00B72E8F" w:rsidRPr="005E3B43" w:rsidRDefault="00B72E8F" w:rsidP="00763BCF">
      <w:pPr>
        <w:pStyle w:val="paragraphsub"/>
      </w:pPr>
      <w:r w:rsidRPr="005E3B43">
        <w:tab/>
        <w:t>(vi)</w:t>
      </w:r>
      <w:r w:rsidRPr="005E3B43">
        <w:tab/>
        <w:t>renal disease;</w:t>
      </w:r>
    </w:p>
    <w:p w14:paraId="5316FCDF" w14:textId="77777777" w:rsidR="00B72E8F" w:rsidRPr="005E3B43" w:rsidRDefault="00B72E8F" w:rsidP="00763BCF">
      <w:pPr>
        <w:pStyle w:val="paragraphsub"/>
      </w:pPr>
      <w:r w:rsidRPr="005E3B43">
        <w:tab/>
        <w:t>(vii)</w:t>
      </w:r>
      <w:r w:rsidRPr="005E3B43">
        <w:tab/>
        <w:t>endocrinology;</w:t>
      </w:r>
    </w:p>
    <w:p w14:paraId="33EFD20D" w14:textId="77777777" w:rsidR="00B72E8F" w:rsidRPr="005E3B43" w:rsidRDefault="00B72E8F" w:rsidP="00763BCF">
      <w:pPr>
        <w:pStyle w:val="paragraphsub"/>
      </w:pPr>
      <w:r w:rsidRPr="005E3B43">
        <w:tab/>
        <w:t>(viii)</w:t>
      </w:r>
      <w:r w:rsidRPr="005E3B43">
        <w:tab/>
        <w:t>neurology;</w:t>
      </w:r>
    </w:p>
    <w:p w14:paraId="125A0ACD" w14:textId="77777777" w:rsidR="00B72E8F" w:rsidRPr="005E3B43" w:rsidRDefault="00B72E8F" w:rsidP="00763BCF">
      <w:pPr>
        <w:pStyle w:val="paragraphsub"/>
      </w:pPr>
      <w:r w:rsidRPr="005E3B43">
        <w:tab/>
        <w:t>(ix)</w:t>
      </w:r>
      <w:r w:rsidRPr="005E3B43">
        <w:tab/>
        <w:t>immunology;</w:t>
      </w:r>
    </w:p>
    <w:p w14:paraId="235D184A" w14:textId="77777777" w:rsidR="00B72E8F" w:rsidRPr="005E3B43" w:rsidRDefault="00B72E8F" w:rsidP="00763BCF">
      <w:pPr>
        <w:pStyle w:val="paragraphsub"/>
      </w:pPr>
      <w:r w:rsidRPr="005E3B43">
        <w:tab/>
        <w:t>(x)</w:t>
      </w:r>
      <w:r w:rsidRPr="005E3B43">
        <w:tab/>
        <w:t>rheumatology;</w:t>
      </w:r>
    </w:p>
    <w:p w14:paraId="4579A31A" w14:textId="77777777" w:rsidR="00B72E8F" w:rsidRPr="005E3B43" w:rsidRDefault="00B72E8F" w:rsidP="00763BCF">
      <w:pPr>
        <w:pStyle w:val="paragraphsub"/>
      </w:pPr>
      <w:r w:rsidRPr="005E3B43">
        <w:tab/>
        <w:t>(xi)</w:t>
      </w:r>
      <w:r w:rsidRPr="005E3B43">
        <w:tab/>
        <w:t>respiratory disease;</w:t>
      </w:r>
    </w:p>
    <w:p w14:paraId="6672FC94" w14:textId="77777777" w:rsidR="00B72E8F" w:rsidRPr="005E3B43" w:rsidRDefault="00B72E8F" w:rsidP="00763BCF">
      <w:pPr>
        <w:pStyle w:val="paragraph"/>
      </w:pPr>
      <w:r w:rsidRPr="005E3B43">
        <w:tab/>
        <w:t>(h)</w:t>
      </w:r>
      <w:r w:rsidRPr="005E3B43">
        <w:tab/>
        <w:t>intensive care;</w:t>
      </w:r>
    </w:p>
    <w:p w14:paraId="64509553" w14:textId="77777777" w:rsidR="00B72E8F" w:rsidRPr="005E3B43" w:rsidRDefault="00B72E8F" w:rsidP="00763BCF">
      <w:pPr>
        <w:pStyle w:val="paragraph"/>
      </w:pPr>
      <w:r w:rsidRPr="005E3B43">
        <w:tab/>
        <w:t>(i)</w:t>
      </w:r>
      <w:r w:rsidRPr="005E3B43">
        <w:tab/>
        <w:t>anaesthetics;</w:t>
      </w:r>
    </w:p>
    <w:p w14:paraId="027D9003" w14:textId="77777777" w:rsidR="00B72E8F" w:rsidRPr="005E3B43" w:rsidRDefault="00B72E8F" w:rsidP="00763BCF">
      <w:pPr>
        <w:pStyle w:val="paragraph"/>
      </w:pPr>
      <w:r w:rsidRPr="005E3B43">
        <w:tab/>
        <w:t>(j)</w:t>
      </w:r>
      <w:r w:rsidRPr="005E3B43">
        <w:tab/>
        <w:t>psychiatry;</w:t>
      </w:r>
    </w:p>
    <w:p w14:paraId="260A640F" w14:textId="77777777" w:rsidR="00B72E8F" w:rsidRPr="005E3B43" w:rsidRDefault="00B72E8F" w:rsidP="00763BCF">
      <w:pPr>
        <w:pStyle w:val="paragraph"/>
      </w:pPr>
      <w:r w:rsidRPr="005E3B43">
        <w:tab/>
        <w:t>(k)</w:t>
      </w:r>
      <w:r w:rsidRPr="005E3B43">
        <w:tab/>
        <w:t>toxicology;</w:t>
      </w:r>
    </w:p>
    <w:p w14:paraId="77AD6A4A" w14:textId="77777777" w:rsidR="00AE2007" w:rsidRPr="005E3B43" w:rsidRDefault="00AE2007" w:rsidP="00763BCF">
      <w:pPr>
        <w:pStyle w:val="paragraph"/>
      </w:pPr>
      <w:r w:rsidRPr="005E3B43">
        <w:tab/>
        <w:t>(l)</w:t>
      </w:r>
      <w:r w:rsidRPr="005E3B43">
        <w:tab/>
        <w:t>pharmaceutical chemistry;</w:t>
      </w:r>
    </w:p>
    <w:p w14:paraId="52D39DBB" w14:textId="77777777" w:rsidR="00AE2007" w:rsidRPr="005E3B43" w:rsidRDefault="00AE2007" w:rsidP="00763BCF">
      <w:pPr>
        <w:pStyle w:val="paragraph"/>
      </w:pPr>
      <w:r w:rsidRPr="005E3B43">
        <w:tab/>
        <w:t>(m)</w:t>
      </w:r>
      <w:r w:rsidRPr="005E3B43">
        <w:tab/>
        <w:t>microbiology;</w:t>
      </w:r>
    </w:p>
    <w:p w14:paraId="1B56EAB9" w14:textId="77777777" w:rsidR="00AE2007" w:rsidRPr="005E3B43" w:rsidRDefault="00AE2007" w:rsidP="00763BCF">
      <w:pPr>
        <w:pStyle w:val="paragraph"/>
      </w:pPr>
      <w:r w:rsidRPr="005E3B43">
        <w:tab/>
        <w:t>(n)</w:t>
      </w:r>
      <w:r w:rsidRPr="005E3B43">
        <w:tab/>
        <w:t>community or clinical pharmacy;</w:t>
      </w:r>
    </w:p>
    <w:p w14:paraId="7077823D" w14:textId="77777777" w:rsidR="00AE2007" w:rsidRPr="005E3B43" w:rsidRDefault="00AE2007" w:rsidP="00763BCF">
      <w:pPr>
        <w:pStyle w:val="paragraph"/>
      </w:pPr>
      <w:r w:rsidRPr="005E3B43">
        <w:tab/>
        <w:t>(o)</w:t>
      </w:r>
      <w:r w:rsidRPr="005E3B43">
        <w:tab/>
        <w:t>manufacture of medicines;</w:t>
      </w:r>
    </w:p>
    <w:p w14:paraId="33CC3F7E" w14:textId="77777777" w:rsidR="00AE2007" w:rsidRPr="005E3B43" w:rsidRDefault="00AE2007" w:rsidP="00763BCF">
      <w:pPr>
        <w:pStyle w:val="paragraph"/>
      </w:pPr>
      <w:r w:rsidRPr="005E3B43">
        <w:tab/>
        <w:t>(p)</w:t>
      </w:r>
      <w:r w:rsidRPr="005E3B43">
        <w:tab/>
        <w:t>dermatology;</w:t>
      </w:r>
    </w:p>
    <w:p w14:paraId="3DAC9CD1" w14:textId="77777777" w:rsidR="00AE2007" w:rsidRPr="005E3B43" w:rsidRDefault="00AE2007" w:rsidP="00763BCF">
      <w:pPr>
        <w:pStyle w:val="paragraph"/>
      </w:pPr>
      <w:r w:rsidRPr="005E3B43">
        <w:tab/>
        <w:t>(q)</w:t>
      </w:r>
      <w:r w:rsidRPr="005E3B43">
        <w:tab/>
        <w:t>obstetrics or gynaecology;</w:t>
      </w:r>
    </w:p>
    <w:p w14:paraId="2208C1D0" w14:textId="77777777" w:rsidR="00AE2007" w:rsidRPr="005E3B43" w:rsidRDefault="00AE2007" w:rsidP="00763BCF">
      <w:pPr>
        <w:pStyle w:val="paragraph"/>
      </w:pPr>
      <w:r w:rsidRPr="005E3B43">
        <w:tab/>
        <w:t>(r)</w:t>
      </w:r>
      <w:r w:rsidRPr="005E3B43">
        <w:tab/>
        <w:t>ophthalmology;</w:t>
      </w:r>
    </w:p>
    <w:p w14:paraId="450011C4" w14:textId="77777777" w:rsidR="00AE2007" w:rsidRPr="005E3B43" w:rsidRDefault="00AE2007" w:rsidP="00763BCF">
      <w:pPr>
        <w:pStyle w:val="paragraph"/>
      </w:pPr>
      <w:r w:rsidRPr="005E3B43">
        <w:tab/>
        <w:t>(s)</w:t>
      </w:r>
      <w:r w:rsidRPr="005E3B43">
        <w:tab/>
        <w:t>radiology;</w:t>
      </w:r>
    </w:p>
    <w:p w14:paraId="2EB677CD" w14:textId="77777777" w:rsidR="00AE2007" w:rsidRPr="005E3B43" w:rsidRDefault="00AE2007" w:rsidP="00763BCF">
      <w:pPr>
        <w:pStyle w:val="paragraph"/>
      </w:pPr>
      <w:r w:rsidRPr="005E3B43">
        <w:tab/>
        <w:t>(t)</w:t>
      </w:r>
      <w:r w:rsidRPr="005E3B43">
        <w:tab/>
        <w:t>medical genetics;</w:t>
      </w:r>
    </w:p>
    <w:p w14:paraId="291EC705" w14:textId="77777777" w:rsidR="00AE2007" w:rsidRPr="005E3B43" w:rsidRDefault="00AE2007" w:rsidP="00763BCF">
      <w:pPr>
        <w:pStyle w:val="paragraph"/>
      </w:pPr>
      <w:r w:rsidRPr="005E3B43">
        <w:tab/>
        <w:t>(u)</w:t>
      </w:r>
      <w:r w:rsidRPr="005E3B43">
        <w:tab/>
        <w:t>developmental or reproductive toxicology;</w:t>
      </w:r>
    </w:p>
    <w:p w14:paraId="1CC5D29A" w14:textId="77777777" w:rsidR="00AE2007" w:rsidRPr="005E3B43" w:rsidRDefault="00AE2007" w:rsidP="00763BCF">
      <w:pPr>
        <w:pStyle w:val="paragraph"/>
      </w:pPr>
      <w:r w:rsidRPr="005E3B43">
        <w:tab/>
        <w:t>(v)</w:t>
      </w:r>
      <w:r w:rsidRPr="005E3B43">
        <w:tab/>
        <w:t>medicines in pregnancy;</w:t>
      </w:r>
    </w:p>
    <w:p w14:paraId="6C2D11DE" w14:textId="77777777" w:rsidR="00AE2007" w:rsidRPr="005E3B43" w:rsidRDefault="00AE2007" w:rsidP="00763BCF">
      <w:pPr>
        <w:pStyle w:val="paragraph"/>
      </w:pPr>
      <w:r w:rsidRPr="005E3B43">
        <w:tab/>
        <w:t>(w)</w:t>
      </w:r>
      <w:r w:rsidRPr="005E3B43">
        <w:tab/>
        <w:t>medical ethics.</w:t>
      </w:r>
    </w:p>
    <w:p w14:paraId="18136D22" w14:textId="77777777" w:rsidR="00B72E8F" w:rsidRPr="005E3B43" w:rsidRDefault="003C0723" w:rsidP="00763BCF">
      <w:pPr>
        <w:pStyle w:val="ActHead3"/>
        <w:pageBreakBefore/>
      </w:pPr>
      <w:bookmarkStart w:id="158" w:name="_Toc187135752"/>
      <w:r w:rsidRPr="005E3B43">
        <w:rPr>
          <w:rStyle w:val="CharDivNo"/>
        </w:rPr>
        <w:lastRenderedPageBreak/>
        <w:t>Division 1</w:t>
      </w:r>
      <w:r w:rsidR="00B72E8F" w:rsidRPr="005E3B43">
        <w:rPr>
          <w:rStyle w:val="CharDivNo"/>
        </w:rPr>
        <w:t>D</w:t>
      </w:r>
      <w:r w:rsidR="00E20BA4" w:rsidRPr="005E3B43">
        <w:t>—</w:t>
      </w:r>
      <w:r w:rsidR="00B72E8F" w:rsidRPr="005E3B43">
        <w:rPr>
          <w:rStyle w:val="CharDivText"/>
        </w:rPr>
        <w:t>Advisory Committee on Medical Devices</w:t>
      </w:r>
      <w:bookmarkEnd w:id="158"/>
    </w:p>
    <w:p w14:paraId="3C4E7204" w14:textId="77777777" w:rsidR="00B72E8F" w:rsidRPr="005E3B43" w:rsidRDefault="00B72E8F" w:rsidP="00763BCF">
      <w:pPr>
        <w:pStyle w:val="ActHead5"/>
      </w:pPr>
      <w:bookmarkStart w:id="159" w:name="_Toc187135753"/>
      <w:r w:rsidRPr="005E3B43">
        <w:rPr>
          <w:rStyle w:val="CharSectno"/>
        </w:rPr>
        <w:t>38</w:t>
      </w:r>
      <w:r w:rsidR="00E20BA4" w:rsidRPr="005E3B43">
        <w:t xml:space="preserve">  </w:t>
      </w:r>
      <w:r w:rsidRPr="005E3B43">
        <w:t>Establishment</w:t>
      </w:r>
      <w:bookmarkEnd w:id="159"/>
    </w:p>
    <w:p w14:paraId="2878D3EE" w14:textId="77777777" w:rsidR="00B72E8F" w:rsidRPr="005E3B43" w:rsidRDefault="00B72E8F" w:rsidP="00763BCF">
      <w:pPr>
        <w:pStyle w:val="subsection"/>
      </w:pPr>
      <w:r w:rsidRPr="005E3B43">
        <w:tab/>
      </w:r>
      <w:r w:rsidRPr="005E3B43">
        <w:tab/>
        <w:t>The Advisory Committee on Medical Devices is established.</w:t>
      </w:r>
    </w:p>
    <w:p w14:paraId="3E670816" w14:textId="77777777" w:rsidR="00B72E8F" w:rsidRPr="005E3B43" w:rsidRDefault="00B72E8F" w:rsidP="00763BCF">
      <w:pPr>
        <w:pStyle w:val="ActHead5"/>
      </w:pPr>
      <w:bookmarkStart w:id="160" w:name="_Toc187135754"/>
      <w:r w:rsidRPr="005E3B43">
        <w:rPr>
          <w:rStyle w:val="CharSectno"/>
        </w:rPr>
        <w:t>38A</w:t>
      </w:r>
      <w:r w:rsidR="00E20BA4" w:rsidRPr="005E3B43">
        <w:t xml:space="preserve">  </w:t>
      </w:r>
      <w:r w:rsidRPr="005E3B43">
        <w:t>Functions</w:t>
      </w:r>
      <w:bookmarkEnd w:id="160"/>
    </w:p>
    <w:p w14:paraId="11ADF76E" w14:textId="77777777" w:rsidR="00B303D9" w:rsidRPr="005E3B43" w:rsidRDefault="00B303D9" w:rsidP="00763BCF">
      <w:pPr>
        <w:pStyle w:val="subsection"/>
      </w:pPr>
      <w:r w:rsidRPr="005E3B43">
        <w:tab/>
        <w:t>(1)</w:t>
      </w:r>
      <w:r w:rsidRPr="005E3B43">
        <w:tab/>
        <w:t>The committee’s functions are, at the request of the Minister or Secretary, to provide advice and to make recommendations to the Minister or Secretary about one or more of the following matters:</w:t>
      </w:r>
    </w:p>
    <w:p w14:paraId="59F9FCB8" w14:textId="77777777" w:rsidR="00860F28" w:rsidRPr="005E3B43" w:rsidRDefault="00860F28" w:rsidP="00763BCF">
      <w:pPr>
        <w:pStyle w:val="paragraph"/>
      </w:pPr>
      <w:r w:rsidRPr="005E3B43">
        <w:tab/>
        <w:t>(aa)</w:t>
      </w:r>
      <w:r w:rsidRPr="005E3B43">
        <w:tab/>
        <w:t>the safety, performance and manufacturing of a medical device;</w:t>
      </w:r>
    </w:p>
    <w:p w14:paraId="6660FCCD" w14:textId="77777777" w:rsidR="00B303D9" w:rsidRPr="005E3B43" w:rsidRDefault="00B303D9" w:rsidP="00763BCF">
      <w:pPr>
        <w:pStyle w:val="paragraph"/>
      </w:pPr>
      <w:r w:rsidRPr="005E3B43">
        <w:tab/>
        <w:t>(a)</w:t>
      </w:r>
      <w:r w:rsidRPr="005E3B43">
        <w:tab/>
      </w:r>
      <w:r w:rsidR="00860F28" w:rsidRPr="005E3B43">
        <w:t xml:space="preserve">the </w:t>
      </w:r>
      <w:r w:rsidRPr="005E3B43">
        <w:t>inclusion of a medical device or other therapeutic goods in the Register;</w:t>
      </w:r>
    </w:p>
    <w:p w14:paraId="31CF3C22" w14:textId="77777777" w:rsidR="00B303D9" w:rsidRPr="005E3B43" w:rsidRDefault="00B303D9" w:rsidP="00763BCF">
      <w:pPr>
        <w:pStyle w:val="paragraph"/>
      </w:pPr>
      <w:r w:rsidRPr="005E3B43">
        <w:tab/>
        <w:t>(b)</w:t>
      </w:r>
      <w:r w:rsidRPr="005E3B43">
        <w:tab/>
      </w:r>
      <w:r w:rsidR="00860F28" w:rsidRPr="005E3B43">
        <w:t xml:space="preserve">the </w:t>
      </w:r>
      <w:r w:rsidRPr="005E3B43">
        <w:t>variation of an entry for a medical device or other therapeutic goods in the Register;</w:t>
      </w:r>
    </w:p>
    <w:p w14:paraId="7642C142" w14:textId="77777777" w:rsidR="00860F28" w:rsidRPr="005E3B43" w:rsidRDefault="00860F28" w:rsidP="00763BCF">
      <w:pPr>
        <w:pStyle w:val="paragraph"/>
      </w:pPr>
      <w:r w:rsidRPr="005E3B43">
        <w:tab/>
        <w:t>(c)</w:t>
      </w:r>
      <w:r w:rsidRPr="005E3B43">
        <w:tab/>
        <w:t>the continued retention of a medical device or other therapeutic good in, or the removal of a medical device or other therapeutic good from, the Register;</w:t>
      </w:r>
    </w:p>
    <w:p w14:paraId="79FD0A2B" w14:textId="77777777" w:rsidR="00860F28" w:rsidRPr="005E3B43" w:rsidRDefault="00860F28" w:rsidP="00763BCF">
      <w:pPr>
        <w:pStyle w:val="paragraph"/>
      </w:pPr>
      <w:r w:rsidRPr="005E3B43">
        <w:tab/>
        <w:t>(d)</w:t>
      </w:r>
      <w:r w:rsidRPr="005E3B43">
        <w:tab/>
        <w:t>risk assessment and risk management of medical devices;</w:t>
      </w:r>
    </w:p>
    <w:p w14:paraId="7B7C03EF" w14:textId="77777777" w:rsidR="00860F28" w:rsidRPr="005E3B43" w:rsidRDefault="00860F28" w:rsidP="00763BCF">
      <w:pPr>
        <w:pStyle w:val="paragraph"/>
      </w:pPr>
      <w:r w:rsidRPr="005E3B43">
        <w:tab/>
        <w:t>(e)</w:t>
      </w:r>
      <w:r w:rsidRPr="005E3B43">
        <w:tab/>
        <w:t>any other matter (whether or not related to a medical device or other therapeutic goods).</w:t>
      </w:r>
    </w:p>
    <w:p w14:paraId="5FAFF2D1" w14:textId="77777777" w:rsidR="00B72E8F" w:rsidRPr="005E3B43" w:rsidRDefault="00B72E8F" w:rsidP="00763BCF">
      <w:pPr>
        <w:pStyle w:val="subsection"/>
      </w:pPr>
      <w:r w:rsidRPr="005E3B43">
        <w:tab/>
        <w:t>(2)</w:t>
      </w:r>
      <w:r w:rsidRPr="005E3B43">
        <w:tab/>
        <w:t>The Minister or Secretary may require the committee to give its advice to other persons or bodies.</w:t>
      </w:r>
    </w:p>
    <w:p w14:paraId="7C0313AA" w14:textId="77777777" w:rsidR="00B72E8F" w:rsidRPr="005E3B43" w:rsidRDefault="00B72E8F" w:rsidP="00763BCF">
      <w:pPr>
        <w:pStyle w:val="ActHead5"/>
      </w:pPr>
      <w:bookmarkStart w:id="161" w:name="_Toc187135755"/>
      <w:r w:rsidRPr="005E3B43">
        <w:rPr>
          <w:rStyle w:val="CharSectno"/>
        </w:rPr>
        <w:t>38B</w:t>
      </w:r>
      <w:r w:rsidR="00E20BA4" w:rsidRPr="005E3B43">
        <w:t xml:space="preserve">  </w:t>
      </w:r>
      <w:r w:rsidRPr="005E3B43">
        <w:t>Membership</w:t>
      </w:r>
      <w:bookmarkEnd w:id="161"/>
    </w:p>
    <w:p w14:paraId="1D165580" w14:textId="77777777" w:rsidR="00B72E8F" w:rsidRPr="005E3B43" w:rsidRDefault="00B72E8F" w:rsidP="00763BCF">
      <w:pPr>
        <w:pStyle w:val="subsection"/>
      </w:pPr>
      <w:r w:rsidRPr="005E3B43">
        <w:tab/>
        <w:t>(1)</w:t>
      </w:r>
      <w:r w:rsidRPr="005E3B43">
        <w:tab/>
        <w:t xml:space="preserve">The Minister may appoint, in writing, up to </w:t>
      </w:r>
      <w:r w:rsidR="00860F28" w:rsidRPr="005E3B43">
        <w:t>16</w:t>
      </w:r>
      <w:r w:rsidRPr="005E3B43">
        <w:t xml:space="preserve"> persons to the committee in accordance with </w:t>
      </w:r>
      <w:r w:rsidR="008C367D" w:rsidRPr="005E3B43">
        <w:t>subregulations (2) and (3).</w:t>
      </w:r>
    </w:p>
    <w:p w14:paraId="7CDAC2F9" w14:textId="77777777" w:rsidR="00860F28" w:rsidRPr="005E3B43" w:rsidRDefault="00860F28" w:rsidP="00763BCF">
      <w:pPr>
        <w:pStyle w:val="subsection"/>
      </w:pPr>
      <w:r w:rsidRPr="005E3B43">
        <w:tab/>
        <w:t>(2)</w:t>
      </w:r>
      <w:r w:rsidRPr="005E3B43">
        <w:tab/>
        <w:t>Subject to subregulation (3):</w:t>
      </w:r>
    </w:p>
    <w:p w14:paraId="6F76C27D" w14:textId="77777777" w:rsidR="00860F28" w:rsidRPr="005E3B43" w:rsidRDefault="00860F28" w:rsidP="00763BCF">
      <w:pPr>
        <w:pStyle w:val="paragraph"/>
      </w:pPr>
      <w:r w:rsidRPr="005E3B43">
        <w:tab/>
        <w:t>(a)</w:t>
      </w:r>
      <w:r w:rsidRPr="005E3B43">
        <w:tab/>
        <w:t>to the extent reasonably practicable, membership of the committee is to represent the widest possible range of fields mentioned in subregulations (4) and (5); and</w:t>
      </w:r>
    </w:p>
    <w:p w14:paraId="3A103550" w14:textId="77777777" w:rsidR="00860F28" w:rsidRPr="005E3B43" w:rsidRDefault="00860F28" w:rsidP="00763BCF">
      <w:pPr>
        <w:pStyle w:val="paragraph"/>
      </w:pPr>
      <w:r w:rsidRPr="005E3B43">
        <w:tab/>
        <w:t>(b)</w:t>
      </w:r>
      <w:r w:rsidRPr="005E3B43">
        <w:tab/>
        <w:t>each member of the committee must have either or both of the following:</w:t>
      </w:r>
    </w:p>
    <w:p w14:paraId="1ADA1A4D" w14:textId="77777777" w:rsidR="00860F28" w:rsidRPr="005E3B43" w:rsidRDefault="00860F28" w:rsidP="00763BCF">
      <w:pPr>
        <w:pStyle w:val="paragraphsub"/>
      </w:pPr>
      <w:r w:rsidRPr="005E3B43">
        <w:tab/>
        <w:t>(i)</w:t>
      </w:r>
      <w:r w:rsidRPr="005E3B43">
        <w:tab/>
        <w:t>medical or surgical expertise in one of the fields mentioned in subregulation (4);</w:t>
      </w:r>
    </w:p>
    <w:p w14:paraId="3C2FC674" w14:textId="77777777" w:rsidR="00860F28" w:rsidRPr="005E3B43" w:rsidRDefault="00860F28" w:rsidP="00763BCF">
      <w:pPr>
        <w:pStyle w:val="paragraphsub"/>
      </w:pPr>
      <w:r w:rsidRPr="005E3B43">
        <w:tab/>
        <w:t>(ii)</w:t>
      </w:r>
      <w:r w:rsidRPr="005E3B43">
        <w:tab/>
        <w:t>expertise in at least one of the fields mentioned in subregulation (5).</w:t>
      </w:r>
    </w:p>
    <w:p w14:paraId="0FDD18C0" w14:textId="77777777" w:rsidR="00860F28" w:rsidRPr="005E3B43" w:rsidRDefault="00860F28" w:rsidP="00763BCF">
      <w:pPr>
        <w:pStyle w:val="subsection"/>
      </w:pPr>
      <w:r w:rsidRPr="005E3B43">
        <w:tab/>
        <w:t>(3)</w:t>
      </w:r>
      <w:r w:rsidRPr="005E3B43">
        <w:tab/>
        <w:t>One member of the committee may have expertise in consumer health issues.</w:t>
      </w:r>
    </w:p>
    <w:p w14:paraId="300B319A" w14:textId="77777777" w:rsidR="00860F28" w:rsidRPr="005E3B43" w:rsidRDefault="00860F28" w:rsidP="00763BCF">
      <w:pPr>
        <w:pStyle w:val="subsection"/>
      </w:pPr>
      <w:r w:rsidRPr="005E3B43">
        <w:tab/>
        <w:t>(4)</w:t>
      </w:r>
      <w:r w:rsidRPr="005E3B43">
        <w:tab/>
        <w:t xml:space="preserve">For the purposes of </w:t>
      </w:r>
      <w:r w:rsidR="004E6D00" w:rsidRPr="005E3B43">
        <w:t>paragraph (</w:t>
      </w:r>
      <w:r w:rsidRPr="005E3B43">
        <w:t xml:space="preserve">2)(a) and </w:t>
      </w:r>
      <w:r w:rsidR="004E6D00" w:rsidRPr="005E3B43">
        <w:t>subparagraph (</w:t>
      </w:r>
      <w:r w:rsidRPr="005E3B43">
        <w:t>2)(b)(i), the fields are as follows:</w:t>
      </w:r>
    </w:p>
    <w:p w14:paraId="387AAF19" w14:textId="77777777" w:rsidR="00860F28" w:rsidRPr="005E3B43" w:rsidRDefault="00860F28" w:rsidP="00763BCF">
      <w:pPr>
        <w:pStyle w:val="paragraph"/>
      </w:pPr>
      <w:r w:rsidRPr="005E3B43">
        <w:tab/>
        <w:t>(a)</w:t>
      </w:r>
      <w:r w:rsidRPr="005E3B43">
        <w:tab/>
        <w:t>anaesthetics;</w:t>
      </w:r>
    </w:p>
    <w:p w14:paraId="559C16DD" w14:textId="77777777" w:rsidR="00860F28" w:rsidRPr="005E3B43" w:rsidRDefault="00860F28" w:rsidP="00763BCF">
      <w:pPr>
        <w:pStyle w:val="paragraph"/>
      </w:pPr>
      <w:r w:rsidRPr="005E3B43">
        <w:tab/>
        <w:t>(b)</w:t>
      </w:r>
      <w:r w:rsidRPr="005E3B43">
        <w:tab/>
        <w:t>cardiology;</w:t>
      </w:r>
    </w:p>
    <w:p w14:paraId="602612BF" w14:textId="77777777" w:rsidR="00860F28" w:rsidRPr="005E3B43" w:rsidRDefault="00860F28" w:rsidP="00763BCF">
      <w:pPr>
        <w:pStyle w:val="paragraph"/>
      </w:pPr>
      <w:r w:rsidRPr="005E3B43">
        <w:tab/>
        <w:t>(c)</w:t>
      </w:r>
      <w:r w:rsidRPr="005E3B43">
        <w:tab/>
        <w:t>cardiothoracic surgery;</w:t>
      </w:r>
    </w:p>
    <w:p w14:paraId="2FAA09E5" w14:textId="60080E0E" w:rsidR="00860F28" w:rsidRPr="005E3B43" w:rsidRDefault="00860F28" w:rsidP="00763BCF">
      <w:pPr>
        <w:pStyle w:val="paragraph"/>
      </w:pPr>
      <w:r w:rsidRPr="005E3B43">
        <w:tab/>
        <w:t>(d)</w:t>
      </w:r>
      <w:r w:rsidRPr="005E3B43">
        <w:tab/>
        <w:t>dentistry or oro</w:t>
      </w:r>
      <w:r w:rsidR="007C3215">
        <w:noBreakHyphen/>
      </w:r>
      <w:r w:rsidRPr="005E3B43">
        <w:t>maxillofacial surgery;</w:t>
      </w:r>
    </w:p>
    <w:p w14:paraId="294A6E3C" w14:textId="77777777" w:rsidR="00860F28" w:rsidRPr="005E3B43" w:rsidRDefault="00860F28" w:rsidP="00763BCF">
      <w:pPr>
        <w:pStyle w:val="paragraph"/>
      </w:pPr>
      <w:r w:rsidRPr="005E3B43">
        <w:lastRenderedPageBreak/>
        <w:tab/>
        <w:t>(e)</w:t>
      </w:r>
      <w:r w:rsidRPr="005E3B43">
        <w:tab/>
        <w:t>ear, nose and throat;</w:t>
      </w:r>
    </w:p>
    <w:p w14:paraId="2773B7AF" w14:textId="77777777" w:rsidR="00860F28" w:rsidRPr="005E3B43" w:rsidRDefault="00860F28" w:rsidP="00763BCF">
      <w:pPr>
        <w:pStyle w:val="paragraph"/>
      </w:pPr>
      <w:r w:rsidRPr="005E3B43">
        <w:tab/>
        <w:t>(f)</w:t>
      </w:r>
      <w:r w:rsidRPr="005E3B43">
        <w:tab/>
        <w:t>gastroenterology;</w:t>
      </w:r>
    </w:p>
    <w:p w14:paraId="1D5A7DC8" w14:textId="77777777" w:rsidR="00860F28" w:rsidRPr="005E3B43" w:rsidRDefault="00860F28" w:rsidP="00763BCF">
      <w:pPr>
        <w:pStyle w:val="paragraph"/>
      </w:pPr>
      <w:r w:rsidRPr="005E3B43">
        <w:tab/>
        <w:t>(g)</w:t>
      </w:r>
      <w:r w:rsidRPr="005E3B43">
        <w:tab/>
        <w:t>neurology;</w:t>
      </w:r>
    </w:p>
    <w:p w14:paraId="339826E4" w14:textId="77777777" w:rsidR="00860F28" w:rsidRPr="005E3B43" w:rsidRDefault="00860F28" w:rsidP="00763BCF">
      <w:pPr>
        <w:pStyle w:val="paragraph"/>
      </w:pPr>
      <w:r w:rsidRPr="005E3B43">
        <w:tab/>
        <w:t>(h)</w:t>
      </w:r>
      <w:r w:rsidRPr="005E3B43">
        <w:tab/>
        <w:t>obstetrics or gynaecology;</w:t>
      </w:r>
    </w:p>
    <w:p w14:paraId="6F18CC5F" w14:textId="77777777" w:rsidR="00860F28" w:rsidRPr="005E3B43" w:rsidRDefault="00860F28" w:rsidP="00763BCF">
      <w:pPr>
        <w:pStyle w:val="paragraph"/>
      </w:pPr>
      <w:r w:rsidRPr="005E3B43">
        <w:tab/>
        <w:t>(i)</w:t>
      </w:r>
      <w:r w:rsidRPr="005E3B43">
        <w:tab/>
        <w:t>ophthalmology;</w:t>
      </w:r>
    </w:p>
    <w:p w14:paraId="256546A9" w14:textId="77777777" w:rsidR="00860F28" w:rsidRPr="005E3B43" w:rsidRDefault="00860F28" w:rsidP="00763BCF">
      <w:pPr>
        <w:pStyle w:val="paragraph"/>
      </w:pPr>
      <w:r w:rsidRPr="005E3B43">
        <w:tab/>
        <w:t>(j)</w:t>
      </w:r>
      <w:r w:rsidRPr="005E3B43">
        <w:tab/>
        <w:t>orthopaedics;</w:t>
      </w:r>
    </w:p>
    <w:p w14:paraId="39547578" w14:textId="77777777" w:rsidR="00860F28" w:rsidRPr="005E3B43" w:rsidRDefault="00860F28" w:rsidP="00763BCF">
      <w:pPr>
        <w:pStyle w:val="paragraph"/>
      </w:pPr>
      <w:r w:rsidRPr="005E3B43">
        <w:tab/>
        <w:t>(k)</w:t>
      </w:r>
      <w:r w:rsidRPr="005E3B43">
        <w:tab/>
        <w:t>pathology;</w:t>
      </w:r>
    </w:p>
    <w:p w14:paraId="782B5FA5" w14:textId="77777777" w:rsidR="00860F28" w:rsidRPr="005E3B43" w:rsidRDefault="00860F28" w:rsidP="00763BCF">
      <w:pPr>
        <w:pStyle w:val="paragraph"/>
      </w:pPr>
      <w:r w:rsidRPr="005E3B43">
        <w:tab/>
        <w:t>(l)</w:t>
      </w:r>
      <w:r w:rsidRPr="005E3B43">
        <w:tab/>
        <w:t>plastic and reconstructive surgery;</w:t>
      </w:r>
    </w:p>
    <w:p w14:paraId="33014217" w14:textId="77777777" w:rsidR="00860F28" w:rsidRPr="005E3B43" w:rsidRDefault="00860F28" w:rsidP="00763BCF">
      <w:pPr>
        <w:pStyle w:val="paragraph"/>
      </w:pPr>
      <w:r w:rsidRPr="005E3B43">
        <w:tab/>
        <w:t>(m)</w:t>
      </w:r>
      <w:r w:rsidRPr="005E3B43">
        <w:tab/>
        <w:t>renal;</w:t>
      </w:r>
    </w:p>
    <w:p w14:paraId="52513DA7" w14:textId="77777777" w:rsidR="00860F28" w:rsidRPr="005E3B43" w:rsidRDefault="00860F28" w:rsidP="00763BCF">
      <w:pPr>
        <w:pStyle w:val="paragraph"/>
      </w:pPr>
      <w:r w:rsidRPr="005E3B43">
        <w:tab/>
        <w:t>(n)</w:t>
      </w:r>
      <w:r w:rsidRPr="005E3B43">
        <w:tab/>
        <w:t>respiratory medicine;</w:t>
      </w:r>
    </w:p>
    <w:p w14:paraId="11B70C95" w14:textId="77777777" w:rsidR="00860F28" w:rsidRPr="005E3B43" w:rsidRDefault="00860F28" w:rsidP="00763BCF">
      <w:pPr>
        <w:pStyle w:val="paragraph"/>
      </w:pPr>
      <w:r w:rsidRPr="005E3B43">
        <w:tab/>
        <w:t>(o)</w:t>
      </w:r>
      <w:r w:rsidRPr="005E3B43">
        <w:tab/>
        <w:t>vascular medicine;</w:t>
      </w:r>
    </w:p>
    <w:p w14:paraId="366A6C99" w14:textId="77777777" w:rsidR="00860F28" w:rsidRPr="005E3B43" w:rsidRDefault="00860F28" w:rsidP="00763BCF">
      <w:pPr>
        <w:pStyle w:val="paragraph"/>
      </w:pPr>
      <w:r w:rsidRPr="005E3B43">
        <w:tab/>
        <w:t>(p)</w:t>
      </w:r>
      <w:r w:rsidRPr="005E3B43">
        <w:tab/>
        <w:t>any other medical or surgical field of expertise that is relevant to the committee’s functions.</w:t>
      </w:r>
    </w:p>
    <w:p w14:paraId="2BD4F376" w14:textId="77777777" w:rsidR="00860F28" w:rsidRPr="005E3B43" w:rsidRDefault="00860F28" w:rsidP="00763BCF">
      <w:pPr>
        <w:pStyle w:val="subsection"/>
      </w:pPr>
      <w:r w:rsidRPr="005E3B43">
        <w:tab/>
        <w:t>(5)</w:t>
      </w:r>
      <w:r w:rsidRPr="005E3B43">
        <w:tab/>
        <w:t xml:space="preserve">For the purposes of </w:t>
      </w:r>
      <w:r w:rsidR="004E6D00" w:rsidRPr="005E3B43">
        <w:t>paragraph (</w:t>
      </w:r>
      <w:r w:rsidRPr="005E3B43">
        <w:t xml:space="preserve">2)(a) and </w:t>
      </w:r>
      <w:r w:rsidR="004E6D00" w:rsidRPr="005E3B43">
        <w:t>subparagraph (</w:t>
      </w:r>
      <w:r w:rsidRPr="005E3B43">
        <w:t>2)(b)(ii), the fields are as follows:</w:t>
      </w:r>
    </w:p>
    <w:p w14:paraId="238CD374" w14:textId="77777777" w:rsidR="00860F28" w:rsidRPr="005E3B43" w:rsidRDefault="00860F28" w:rsidP="00763BCF">
      <w:pPr>
        <w:pStyle w:val="paragraph"/>
      </w:pPr>
      <w:r w:rsidRPr="005E3B43">
        <w:tab/>
        <w:t>(a)</w:t>
      </w:r>
      <w:r w:rsidRPr="005E3B43">
        <w:tab/>
        <w:t>biomedical engineering or biomaterials;</w:t>
      </w:r>
    </w:p>
    <w:p w14:paraId="6C98DDF5" w14:textId="77777777" w:rsidR="00860F28" w:rsidRPr="005E3B43" w:rsidRDefault="00860F28" w:rsidP="00763BCF">
      <w:pPr>
        <w:pStyle w:val="paragraph"/>
      </w:pPr>
      <w:r w:rsidRPr="005E3B43">
        <w:tab/>
        <w:t>(b)</w:t>
      </w:r>
      <w:r w:rsidRPr="005E3B43">
        <w:tab/>
        <w:t>epidemiology or biostatistics;</w:t>
      </w:r>
    </w:p>
    <w:p w14:paraId="3F87F185" w14:textId="77777777" w:rsidR="00860F28" w:rsidRPr="005E3B43" w:rsidRDefault="00860F28" w:rsidP="00763BCF">
      <w:pPr>
        <w:pStyle w:val="paragraph"/>
      </w:pPr>
      <w:r w:rsidRPr="005E3B43">
        <w:tab/>
        <w:t>(c)</w:t>
      </w:r>
      <w:r w:rsidRPr="005E3B43">
        <w:tab/>
        <w:t>general medical practice in Australia;</w:t>
      </w:r>
    </w:p>
    <w:p w14:paraId="5D495C59" w14:textId="77777777" w:rsidR="00860F28" w:rsidRPr="005E3B43" w:rsidRDefault="00860F28" w:rsidP="00763BCF">
      <w:pPr>
        <w:pStyle w:val="paragraph"/>
      </w:pPr>
      <w:r w:rsidRPr="005E3B43">
        <w:tab/>
        <w:t>(d)</w:t>
      </w:r>
      <w:r w:rsidRPr="005E3B43">
        <w:tab/>
        <w:t>human factors analysis;</w:t>
      </w:r>
    </w:p>
    <w:p w14:paraId="6268A4C9" w14:textId="77777777" w:rsidR="00860F28" w:rsidRPr="005E3B43" w:rsidRDefault="00860F28" w:rsidP="00763BCF">
      <w:pPr>
        <w:pStyle w:val="paragraph"/>
      </w:pPr>
      <w:r w:rsidRPr="005E3B43">
        <w:tab/>
        <w:t>(e)</w:t>
      </w:r>
      <w:r w:rsidRPr="005E3B43">
        <w:tab/>
        <w:t>interventional cardiology;</w:t>
      </w:r>
    </w:p>
    <w:p w14:paraId="6386A6C8" w14:textId="77777777" w:rsidR="00860F28" w:rsidRPr="005E3B43" w:rsidRDefault="00860F28" w:rsidP="00763BCF">
      <w:pPr>
        <w:pStyle w:val="paragraph"/>
      </w:pPr>
      <w:r w:rsidRPr="005E3B43">
        <w:tab/>
        <w:t>(f)</w:t>
      </w:r>
      <w:r w:rsidRPr="005E3B43">
        <w:tab/>
        <w:t>interventional radiology;</w:t>
      </w:r>
    </w:p>
    <w:p w14:paraId="3FB938D9" w14:textId="77777777" w:rsidR="00860F28" w:rsidRPr="005E3B43" w:rsidRDefault="00860F28" w:rsidP="00763BCF">
      <w:pPr>
        <w:pStyle w:val="paragraph"/>
      </w:pPr>
      <w:r w:rsidRPr="005E3B43">
        <w:tab/>
        <w:t>(g)</w:t>
      </w:r>
      <w:r w:rsidRPr="005E3B43">
        <w:tab/>
        <w:t>manufacture of medical devices;</w:t>
      </w:r>
    </w:p>
    <w:p w14:paraId="3FC6AFC7" w14:textId="77777777" w:rsidR="00860F28" w:rsidRPr="005E3B43" w:rsidRDefault="00860F28" w:rsidP="00763BCF">
      <w:pPr>
        <w:pStyle w:val="paragraph"/>
      </w:pPr>
      <w:r w:rsidRPr="005E3B43">
        <w:tab/>
        <w:t>(h)</w:t>
      </w:r>
      <w:r w:rsidRPr="005E3B43">
        <w:tab/>
        <w:t>medical device software engineering;</w:t>
      </w:r>
    </w:p>
    <w:p w14:paraId="4452420E" w14:textId="77777777" w:rsidR="00860F28" w:rsidRPr="005E3B43" w:rsidRDefault="00860F28" w:rsidP="00763BCF">
      <w:pPr>
        <w:pStyle w:val="paragraph"/>
      </w:pPr>
      <w:r w:rsidRPr="005E3B43">
        <w:tab/>
        <w:t>(i)</w:t>
      </w:r>
      <w:r w:rsidRPr="005E3B43">
        <w:tab/>
        <w:t>nursing;</w:t>
      </w:r>
    </w:p>
    <w:p w14:paraId="22BCE7FB" w14:textId="77777777" w:rsidR="00860F28" w:rsidRPr="005E3B43" w:rsidRDefault="00860F28" w:rsidP="00763BCF">
      <w:pPr>
        <w:pStyle w:val="paragraph"/>
      </w:pPr>
      <w:r w:rsidRPr="005E3B43">
        <w:tab/>
        <w:t>(j)</w:t>
      </w:r>
      <w:r w:rsidRPr="005E3B43">
        <w:tab/>
        <w:t>any other clinical or technical field of expertise that is relevant to the committee’s functions.</w:t>
      </w:r>
    </w:p>
    <w:p w14:paraId="441C5A4E" w14:textId="77777777" w:rsidR="00677E21" w:rsidRPr="005E3B43" w:rsidRDefault="003C0723" w:rsidP="00763BCF">
      <w:pPr>
        <w:pStyle w:val="ActHead3"/>
        <w:pageBreakBefore/>
      </w:pPr>
      <w:bookmarkStart w:id="162" w:name="_Toc187135756"/>
      <w:r w:rsidRPr="005E3B43">
        <w:rPr>
          <w:rStyle w:val="CharDivNo"/>
        </w:rPr>
        <w:lastRenderedPageBreak/>
        <w:t>Division 1</w:t>
      </w:r>
      <w:r w:rsidR="00677E21" w:rsidRPr="005E3B43">
        <w:rPr>
          <w:rStyle w:val="CharDivNo"/>
        </w:rPr>
        <w:t>E</w:t>
      </w:r>
      <w:r w:rsidR="00E20BA4" w:rsidRPr="005E3B43">
        <w:t>—</w:t>
      </w:r>
      <w:r w:rsidR="00677E21" w:rsidRPr="005E3B43">
        <w:rPr>
          <w:rStyle w:val="CharDivText"/>
        </w:rPr>
        <w:t>Advisory Committee on Complementary Medicines</w:t>
      </w:r>
      <w:bookmarkEnd w:id="162"/>
    </w:p>
    <w:p w14:paraId="0EC13F2D" w14:textId="77777777" w:rsidR="00677E21" w:rsidRPr="005E3B43" w:rsidRDefault="00677E21" w:rsidP="00763BCF">
      <w:pPr>
        <w:pStyle w:val="ActHead5"/>
      </w:pPr>
      <w:bookmarkStart w:id="163" w:name="_Toc187135757"/>
      <w:r w:rsidRPr="005E3B43">
        <w:rPr>
          <w:rStyle w:val="CharSectno"/>
        </w:rPr>
        <w:t>39</w:t>
      </w:r>
      <w:r w:rsidR="00E20BA4" w:rsidRPr="005E3B43">
        <w:t xml:space="preserve">  </w:t>
      </w:r>
      <w:r w:rsidRPr="005E3B43">
        <w:t>Establishment</w:t>
      </w:r>
      <w:bookmarkEnd w:id="163"/>
    </w:p>
    <w:p w14:paraId="26A156D9" w14:textId="77777777" w:rsidR="00677E21" w:rsidRPr="005E3B43" w:rsidRDefault="00677E21" w:rsidP="00763BCF">
      <w:pPr>
        <w:pStyle w:val="subsection"/>
      </w:pPr>
      <w:r w:rsidRPr="005E3B43">
        <w:tab/>
      </w:r>
      <w:r w:rsidRPr="005E3B43">
        <w:tab/>
        <w:t>The Advisory Committee on Complementary Medicines is established.</w:t>
      </w:r>
    </w:p>
    <w:p w14:paraId="168D90D6" w14:textId="77777777" w:rsidR="00677E21" w:rsidRPr="005E3B43" w:rsidRDefault="00677E21" w:rsidP="00763BCF">
      <w:pPr>
        <w:pStyle w:val="ActHead5"/>
      </w:pPr>
      <w:bookmarkStart w:id="164" w:name="_Toc187135758"/>
      <w:r w:rsidRPr="005E3B43">
        <w:rPr>
          <w:rStyle w:val="CharSectno"/>
        </w:rPr>
        <w:t>39A</w:t>
      </w:r>
      <w:r w:rsidR="00E20BA4" w:rsidRPr="005E3B43">
        <w:t xml:space="preserve">  </w:t>
      </w:r>
      <w:r w:rsidRPr="005E3B43">
        <w:t>Functions</w:t>
      </w:r>
      <w:bookmarkEnd w:id="164"/>
    </w:p>
    <w:p w14:paraId="4FFA1897" w14:textId="77777777" w:rsidR="000E64FB" w:rsidRPr="005E3B43" w:rsidRDefault="000E64FB" w:rsidP="00763BCF">
      <w:pPr>
        <w:pStyle w:val="subsection"/>
      </w:pPr>
      <w:r w:rsidRPr="005E3B43">
        <w:tab/>
        <w:t>(1)</w:t>
      </w:r>
      <w:r w:rsidRPr="005E3B43">
        <w:tab/>
        <w:t>The committee’s functions are, at the request of the Minister or Secretary, to provide advice and to make recommendations to the Minister or Secretary about one or more of the following matters:</w:t>
      </w:r>
    </w:p>
    <w:p w14:paraId="488E3132" w14:textId="77777777" w:rsidR="00860F28" w:rsidRPr="005E3B43" w:rsidRDefault="00860F28" w:rsidP="00763BCF">
      <w:pPr>
        <w:pStyle w:val="paragraph"/>
      </w:pPr>
      <w:r w:rsidRPr="005E3B43">
        <w:tab/>
        <w:t>(a)</w:t>
      </w:r>
      <w:r w:rsidRPr="005E3B43">
        <w:tab/>
        <w:t>the safety, efficacy and manufacturing quality of a complementary medicine;</w:t>
      </w:r>
    </w:p>
    <w:p w14:paraId="12022AED" w14:textId="77777777" w:rsidR="00860F28" w:rsidRPr="005E3B43" w:rsidRDefault="00860F28" w:rsidP="00763BCF">
      <w:pPr>
        <w:pStyle w:val="paragraph"/>
      </w:pPr>
      <w:r w:rsidRPr="005E3B43">
        <w:tab/>
        <w:t>(b)</w:t>
      </w:r>
      <w:r w:rsidRPr="005E3B43">
        <w:tab/>
        <w:t>the safety and quality of ingredients that are, or are proposed to be, included in a determination under sub</w:t>
      </w:r>
      <w:r w:rsidR="00FB7FAA" w:rsidRPr="005E3B43">
        <w:t>section 2</w:t>
      </w:r>
      <w:r w:rsidRPr="005E3B43">
        <w:t>6BB(1) of the Act for a listed complementary medicine;</w:t>
      </w:r>
    </w:p>
    <w:p w14:paraId="78357ED1" w14:textId="77777777" w:rsidR="00860F28" w:rsidRPr="005E3B43" w:rsidRDefault="00860F28" w:rsidP="00763BCF">
      <w:pPr>
        <w:pStyle w:val="paragraph"/>
      </w:pPr>
      <w:r w:rsidRPr="005E3B43">
        <w:tab/>
        <w:t>(c)</w:t>
      </w:r>
      <w:r w:rsidRPr="005E3B43">
        <w:tab/>
        <w:t>any requirements that are, or are proposed to be, included in a determination under sub</w:t>
      </w:r>
      <w:r w:rsidR="00FB7FAA" w:rsidRPr="005E3B43">
        <w:t>section 2</w:t>
      </w:r>
      <w:r w:rsidRPr="005E3B43">
        <w:t>6BB(1) of the Act in relation to ingredients for a listed complementary medicine;</w:t>
      </w:r>
    </w:p>
    <w:p w14:paraId="374F0506" w14:textId="77777777" w:rsidR="00860F28" w:rsidRPr="005E3B43" w:rsidRDefault="00860F28" w:rsidP="00763BCF">
      <w:pPr>
        <w:pStyle w:val="paragraph"/>
      </w:pPr>
      <w:r w:rsidRPr="005E3B43">
        <w:tab/>
        <w:t>(d)</w:t>
      </w:r>
      <w:r w:rsidRPr="005E3B43">
        <w:tab/>
        <w:t>the registration or listing of a complementary medicine;</w:t>
      </w:r>
    </w:p>
    <w:p w14:paraId="6D807CA3" w14:textId="77777777" w:rsidR="00860F28" w:rsidRPr="005E3B43" w:rsidRDefault="00860F28" w:rsidP="00763BCF">
      <w:pPr>
        <w:pStyle w:val="paragraph"/>
      </w:pPr>
      <w:r w:rsidRPr="005E3B43">
        <w:tab/>
        <w:t>(e)</w:t>
      </w:r>
      <w:r w:rsidRPr="005E3B43">
        <w:tab/>
        <w:t>the variation of an entry for a complementary medicine in the Register;</w:t>
      </w:r>
    </w:p>
    <w:p w14:paraId="753A61A9" w14:textId="77777777" w:rsidR="00860F28" w:rsidRPr="005E3B43" w:rsidRDefault="00860F28" w:rsidP="00763BCF">
      <w:pPr>
        <w:pStyle w:val="paragraph"/>
      </w:pPr>
      <w:r w:rsidRPr="005E3B43">
        <w:tab/>
        <w:t>(f)</w:t>
      </w:r>
      <w:r w:rsidRPr="005E3B43">
        <w:tab/>
        <w:t>the continued retention of a complementary medicine in, or the removal of a complementary medicine from, the Register;</w:t>
      </w:r>
    </w:p>
    <w:p w14:paraId="5BC198B0" w14:textId="77777777" w:rsidR="00860F28" w:rsidRPr="005E3B43" w:rsidRDefault="00860F28" w:rsidP="00763BCF">
      <w:pPr>
        <w:pStyle w:val="paragraph"/>
      </w:pPr>
      <w:r w:rsidRPr="005E3B43">
        <w:tab/>
        <w:t>(g)</w:t>
      </w:r>
      <w:r w:rsidRPr="005E3B43">
        <w:tab/>
        <w:t>any other matter (whether or not related to a complementary medicine), including a matter related to standards.</w:t>
      </w:r>
    </w:p>
    <w:p w14:paraId="2D0B815D" w14:textId="77777777" w:rsidR="00677E21" w:rsidRPr="005E3B43" w:rsidRDefault="00677E21" w:rsidP="00763BCF">
      <w:pPr>
        <w:pStyle w:val="subsection"/>
      </w:pPr>
      <w:r w:rsidRPr="005E3B43">
        <w:tab/>
        <w:t>(2)</w:t>
      </w:r>
      <w:r w:rsidRPr="005E3B43">
        <w:tab/>
        <w:t>The Minister or Secretary may require the committee to give its advice to other persons or bodies.</w:t>
      </w:r>
    </w:p>
    <w:p w14:paraId="2D6E9611" w14:textId="77777777" w:rsidR="00677E21" w:rsidRPr="005E3B43" w:rsidRDefault="00677E21" w:rsidP="00763BCF">
      <w:pPr>
        <w:pStyle w:val="ActHead5"/>
      </w:pPr>
      <w:bookmarkStart w:id="165" w:name="_Toc187135759"/>
      <w:r w:rsidRPr="005E3B43">
        <w:rPr>
          <w:rStyle w:val="CharSectno"/>
        </w:rPr>
        <w:t>39B</w:t>
      </w:r>
      <w:r w:rsidR="00E20BA4" w:rsidRPr="005E3B43">
        <w:t xml:space="preserve">  </w:t>
      </w:r>
      <w:r w:rsidRPr="005E3B43">
        <w:t>Membership</w:t>
      </w:r>
      <w:bookmarkEnd w:id="165"/>
    </w:p>
    <w:p w14:paraId="067FD662" w14:textId="77777777" w:rsidR="00677E21" w:rsidRPr="005E3B43" w:rsidRDefault="00677E21" w:rsidP="00763BCF">
      <w:pPr>
        <w:pStyle w:val="subsection"/>
      </w:pPr>
      <w:r w:rsidRPr="005E3B43">
        <w:tab/>
        <w:t>(1)</w:t>
      </w:r>
      <w:r w:rsidRPr="005E3B43">
        <w:tab/>
        <w:t xml:space="preserve">The minister may appoint, in writing, up to </w:t>
      </w:r>
      <w:r w:rsidR="00860F28" w:rsidRPr="005E3B43">
        <w:t>8</w:t>
      </w:r>
      <w:r w:rsidRPr="005E3B43">
        <w:t xml:space="preserve"> persons to the committee in accordance with subregulations </w:t>
      </w:r>
      <w:r w:rsidR="00860F28" w:rsidRPr="005E3B43">
        <w:t>(1A) and (1B)</w:t>
      </w:r>
      <w:r w:rsidRPr="005E3B43">
        <w:t>.</w:t>
      </w:r>
    </w:p>
    <w:p w14:paraId="715016A9" w14:textId="77777777" w:rsidR="00860F28" w:rsidRPr="005E3B43" w:rsidRDefault="00860F28" w:rsidP="00763BCF">
      <w:pPr>
        <w:pStyle w:val="subsection"/>
      </w:pPr>
      <w:r w:rsidRPr="005E3B43">
        <w:tab/>
        <w:t>(1A)</w:t>
      </w:r>
      <w:r w:rsidRPr="005E3B43">
        <w:tab/>
        <w:t>Subject to subregulation (1B):</w:t>
      </w:r>
    </w:p>
    <w:p w14:paraId="28823FEA" w14:textId="77777777" w:rsidR="00860F28" w:rsidRPr="005E3B43" w:rsidRDefault="00860F28" w:rsidP="00763BCF">
      <w:pPr>
        <w:pStyle w:val="paragraph"/>
      </w:pPr>
      <w:r w:rsidRPr="005E3B43">
        <w:tab/>
        <w:t>(a)</w:t>
      </w:r>
      <w:r w:rsidRPr="005E3B43">
        <w:tab/>
        <w:t>to the extent reasonably practicable, membership of the committee is to represent the widest possible range of fields mentioned in subregulation (2); and</w:t>
      </w:r>
    </w:p>
    <w:p w14:paraId="27DACADA" w14:textId="77777777" w:rsidR="00860F28" w:rsidRPr="005E3B43" w:rsidRDefault="00860F28" w:rsidP="00763BCF">
      <w:pPr>
        <w:pStyle w:val="paragraph"/>
      </w:pPr>
      <w:r w:rsidRPr="005E3B43">
        <w:tab/>
        <w:t>(b)</w:t>
      </w:r>
      <w:r w:rsidRPr="005E3B43">
        <w:tab/>
        <w:t>each member of the committee must have expertise in at least one of those fields.</w:t>
      </w:r>
    </w:p>
    <w:p w14:paraId="0FA4D4AE" w14:textId="77777777" w:rsidR="00860F28" w:rsidRPr="005E3B43" w:rsidRDefault="00860F28" w:rsidP="00763BCF">
      <w:pPr>
        <w:pStyle w:val="subsection"/>
      </w:pPr>
      <w:r w:rsidRPr="005E3B43">
        <w:tab/>
        <w:t>(1B)</w:t>
      </w:r>
      <w:r w:rsidRPr="005E3B43">
        <w:tab/>
        <w:t>One member of the committee may have expertise in consumer health issues.</w:t>
      </w:r>
    </w:p>
    <w:p w14:paraId="417FD5A0" w14:textId="77777777" w:rsidR="00860F28" w:rsidRPr="005E3B43" w:rsidRDefault="00860F28" w:rsidP="00763BCF">
      <w:pPr>
        <w:pStyle w:val="subsection"/>
      </w:pPr>
      <w:r w:rsidRPr="005E3B43">
        <w:tab/>
        <w:t>(2)</w:t>
      </w:r>
      <w:r w:rsidRPr="005E3B43">
        <w:tab/>
        <w:t>For the purposes of subregulation (1A), the fields are as follows:</w:t>
      </w:r>
    </w:p>
    <w:p w14:paraId="603340BA" w14:textId="77777777" w:rsidR="00677E21" w:rsidRPr="005E3B43" w:rsidRDefault="00677E21" w:rsidP="00763BCF">
      <w:pPr>
        <w:pStyle w:val="paragraph"/>
      </w:pPr>
      <w:r w:rsidRPr="005E3B43">
        <w:tab/>
        <w:t>(a)</w:t>
      </w:r>
      <w:r w:rsidRPr="005E3B43">
        <w:tab/>
        <w:t>complementary medical practice;</w:t>
      </w:r>
    </w:p>
    <w:p w14:paraId="2947051A" w14:textId="77777777" w:rsidR="00677E21" w:rsidRPr="005E3B43" w:rsidRDefault="00677E21" w:rsidP="00763BCF">
      <w:pPr>
        <w:pStyle w:val="paragraph"/>
      </w:pPr>
      <w:r w:rsidRPr="005E3B43">
        <w:tab/>
        <w:t>(b)</w:t>
      </w:r>
      <w:r w:rsidRPr="005E3B43">
        <w:tab/>
        <w:t>manufacture of medicines;</w:t>
      </w:r>
    </w:p>
    <w:p w14:paraId="249B6EA5" w14:textId="77777777" w:rsidR="00677E21" w:rsidRPr="005E3B43" w:rsidRDefault="00677E21" w:rsidP="00763BCF">
      <w:pPr>
        <w:pStyle w:val="paragraph"/>
      </w:pPr>
      <w:r w:rsidRPr="005E3B43">
        <w:tab/>
        <w:t>(d)</w:t>
      </w:r>
      <w:r w:rsidRPr="005E3B43">
        <w:tab/>
        <w:t>general medical practice in Australia;</w:t>
      </w:r>
    </w:p>
    <w:p w14:paraId="79F06C41" w14:textId="77777777" w:rsidR="00677E21" w:rsidRPr="005E3B43" w:rsidRDefault="00677E21" w:rsidP="00763BCF">
      <w:pPr>
        <w:pStyle w:val="paragraph"/>
      </w:pPr>
      <w:r w:rsidRPr="005E3B43">
        <w:lastRenderedPageBreak/>
        <w:tab/>
        <w:t>(e)</w:t>
      </w:r>
      <w:r w:rsidRPr="005E3B43">
        <w:tab/>
        <w:t>herbal medicine;</w:t>
      </w:r>
    </w:p>
    <w:p w14:paraId="17760249" w14:textId="77777777" w:rsidR="00677E21" w:rsidRPr="005E3B43" w:rsidRDefault="00677E21" w:rsidP="00763BCF">
      <w:pPr>
        <w:pStyle w:val="paragraph"/>
      </w:pPr>
      <w:r w:rsidRPr="005E3B43">
        <w:tab/>
        <w:t>(f)</w:t>
      </w:r>
      <w:r w:rsidRPr="005E3B43">
        <w:tab/>
        <w:t>naturopathy;</w:t>
      </w:r>
    </w:p>
    <w:p w14:paraId="254269FC" w14:textId="77777777" w:rsidR="00677E21" w:rsidRPr="005E3B43" w:rsidRDefault="00677E21" w:rsidP="00763BCF">
      <w:pPr>
        <w:pStyle w:val="paragraph"/>
      </w:pPr>
      <w:r w:rsidRPr="005E3B43">
        <w:tab/>
        <w:t>(g)</w:t>
      </w:r>
      <w:r w:rsidRPr="005E3B43">
        <w:tab/>
        <w:t>nutrition and nutritional medicine;</w:t>
      </w:r>
    </w:p>
    <w:p w14:paraId="7FE8BC9D" w14:textId="77777777" w:rsidR="00677E21" w:rsidRPr="005E3B43" w:rsidRDefault="00677E21" w:rsidP="00763BCF">
      <w:pPr>
        <w:pStyle w:val="paragraph"/>
      </w:pPr>
      <w:r w:rsidRPr="005E3B43">
        <w:tab/>
        <w:t>(h)</w:t>
      </w:r>
      <w:r w:rsidRPr="005E3B43">
        <w:tab/>
        <w:t>pharmacology;</w:t>
      </w:r>
    </w:p>
    <w:p w14:paraId="1E98CB99" w14:textId="77777777" w:rsidR="00677E21" w:rsidRPr="005E3B43" w:rsidRDefault="00677E21" w:rsidP="00763BCF">
      <w:pPr>
        <w:pStyle w:val="paragraph"/>
      </w:pPr>
      <w:r w:rsidRPr="005E3B43">
        <w:tab/>
        <w:t>(i)</w:t>
      </w:r>
      <w:r w:rsidRPr="005E3B43">
        <w:tab/>
        <w:t>pharmacognosy;</w:t>
      </w:r>
    </w:p>
    <w:p w14:paraId="66C76A19" w14:textId="77777777" w:rsidR="00677E21" w:rsidRPr="005E3B43" w:rsidRDefault="00677E21" w:rsidP="00763BCF">
      <w:pPr>
        <w:pStyle w:val="paragraph"/>
      </w:pPr>
      <w:r w:rsidRPr="005E3B43">
        <w:tab/>
        <w:t>(j)</w:t>
      </w:r>
      <w:r w:rsidRPr="005E3B43">
        <w:tab/>
        <w:t>toxicology;</w:t>
      </w:r>
    </w:p>
    <w:p w14:paraId="0B3E1FCC" w14:textId="77777777" w:rsidR="00677E21" w:rsidRPr="005E3B43" w:rsidRDefault="00677E21" w:rsidP="00763BCF">
      <w:pPr>
        <w:pStyle w:val="paragraph"/>
      </w:pPr>
      <w:r w:rsidRPr="005E3B43">
        <w:tab/>
        <w:t>(k)</w:t>
      </w:r>
      <w:r w:rsidRPr="005E3B43">
        <w:tab/>
        <w:t>epidemiology.</w:t>
      </w:r>
    </w:p>
    <w:p w14:paraId="695678FF" w14:textId="77777777" w:rsidR="0061454F" w:rsidRPr="005E3B43" w:rsidRDefault="003C0723" w:rsidP="00763BCF">
      <w:pPr>
        <w:pStyle w:val="ActHead3"/>
        <w:pageBreakBefore/>
      </w:pPr>
      <w:bookmarkStart w:id="166" w:name="_Toc187135760"/>
      <w:r w:rsidRPr="005E3B43">
        <w:rPr>
          <w:rStyle w:val="CharDivNo"/>
        </w:rPr>
        <w:lastRenderedPageBreak/>
        <w:t>Division 1</w:t>
      </w:r>
      <w:r w:rsidR="0061454F" w:rsidRPr="005E3B43">
        <w:rPr>
          <w:rStyle w:val="CharDivNo"/>
        </w:rPr>
        <w:t>EA</w:t>
      </w:r>
      <w:r w:rsidR="00E20BA4" w:rsidRPr="005E3B43">
        <w:t>—</w:t>
      </w:r>
      <w:r w:rsidR="0061454F" w:rsidRPr="005E3B43">
        <w:rPr>
          <w:rStyle w:val="CharDivText"/>
        </w:rPr>
        <w:t>Advisory Committee on Biologicals</w:t>
      </w:r>
      <w:bookmarkEnd w:id="166"/>
    </w:p>
    <w:p w14:paraId="356CCF11" w14:textId="77777777" w:rsidR="0061454F" w:rsidRPr="005E3B43" w:rsidRDefault="0061454F" w:rsidP="00763BCF">
      <w:pPr>
        <w:pStyle w:val="ActHead5"/>
      </w:pPr>
      <w:bookmarkStart w:id="167" w:name="_Toc187135761"/>
      <w:r w:rsidRPr="005E3B43">
        <w:rPr>
          <w:rStyle w:val="CharSectno"/>
        </w:rPr>
        <w:t>39C</w:t>
      </w:r>
      <w:r w:rsidR="00E20BA4" w:rsidRPr="005E3B43">
        <w:t xml:space="preserve">  </w:t>
      </w:r>
      <w:r w:rsidRPr="005E3B43">
        <w:t>Establishment</w:t>
      </w:r>
      <w:bookmarkEnd w:id="167"/>
    </w:p>
    <w:p w14:paraId="2A507F64" w14:textId="77777777" w:rsidR="0061454F" w:rsidRPr="005E3B43" w:rsidRDefault="0061454F" w:rsidP="00763BCF">
      <w:pPr>
        <w:pStyle w:val="subsection"/>
      </w:pPr>
      <w:r w:rsidRPr="005E3B43">
        <w:tab/>
      </w:r>
      <w:r w:rsidRPr="005E3B43">
        <w:tab/>
        <w:t>The Advisory Committee on Biologicals is established.</w:t>
      </w:r>
    </w:p>
    <w:p w14:paraId="6D33EC5A" w14:textId="77777777" w:rsidR="0061454F" w:rsidRPr="005E3B43" w:rsidRDefault="0061454F" w:rsidP="00763BCF">
      <w:pPr>
        <w:pStyle w:val="ActHead5"/>
      </w:pPr>
      <w:bookmarkStart w:id="168" w:name="_Toc187135762"/>
      <w:r w:rsidRPr="005E3B43">
        <w:rPr>
          <w:rStyle w:val="CharSectno"/>
        </w:rPr>
        <w:t>39D</w:t>
      </w:r>
      <w:r w:rsidR="00E20BA4" w:rsidRPr="005E3B43">
        <w:t xml:space="preserve">  </w:t>
      </w:r>
      <w:r w:rsidRPr="005E3B43">
        <w:t>Functions</w:t>
      </w:r>
      <w:bookmarkEnd w:id="168"/>
    </w:p>
    <w:p w14:paraId="7BFF2E68" w14:textId="77777777" w:rsidR="00FC5526" w:rsidRPr="005E3B43" w:rsidRDefault="00FC5526" w:rsidP="00763BCF">
      <w:pPr>
        <w:pStyle w:val="subsection"/>
      </w:pPr>
      <w:r w:rsidRPr="005E3B43">
        <w:tab/>
        <w:t>(1)</w:t>
      </w:r>
      <w:r w:rsidRPr="005E3B43">
        <w:tab/>
        <w:t>The committee’s functions are, at the request of the Minister or Secretary, to provide advice and to make recommendations to the Minister or Secretary about one or more of the following matters:</w:t>
      </w:r>
    </w:p>
    <w:p w14:paraId="07A43369" w14:textId="77777777" w:rsidR="00860F28" w:rsidRPr="005E3B43" w:rsidRDefault="00860F28" w:rsidP="00763BCF">
      <w:pPr>
        <w:pStyle w:val="paragraph"/>
      </w:pPr>
      <w:r w:rsidRPr="005E3B43">
        <w:tab/>
        <w:t>(aa)</w:t>
      </w:r>
      <w:r w:rsidRPr="005E3B43">
        <w:tab/>
        <w:t>the safety and efficacy of a biological;</w:t>
      </w:r>
    </w:p>
    <w:p w14:paraId="4154FEB6" w14:textId="71E2C163" w:rsidR="00FC5526" w:rsidRPr="005E3B43" w:rsidRDefault="00FC5526" w:rsidP="00763BCF">
      <w:pPr>
        <w:pStyle w:val="paragraph"/>
      </w:pPr>
      <w:r w:rsidRPr="005E3B43">
        <w:tab/>
        <w:t>(a)</w:t>
      </w:r>
      <w:r w:rsidRPr="005E3B43">
        <w:tab/>
      </w:r>
      <w:r w:rsidR="00860F28" w:rsidRPr="005E3B43">
        <w:t xml:space="preserve">the </w:t>
      </w:r>
      <w:r w:rsidRPr="005E3B43">
        <w:t xml:space="preserve">inclusion of a biological in the Register under </w:t>
      </w:r>
      <w:r w:rsidR="00BB758E" w:rsidRPr="005E3B43">
        <w:t>Part 3</w:t>
      </w:r>
      <w:r w:rsidR="007C3215">
        <w:noBreakHyphen/>
      </w:r>
      <w:r w:rsidRPr="005E3B43">
        <w:t>2A of the Act;</w:t>
      </w:r>
    </w:p>
    <w:p w14:paraId="74BC7577" w14:textId="6874CAA0" w:rsidR="00FC5526" w:rsidRPr="005E3B43" w:rsidRDefault="00FC5526" w:rsidP="00763BCF">
      <w:pPr>
        <w:pStyle w:val="paragraph"/>
      </w:pPr>
      <w:r w:rsidRPr="005E3B43">
        <w:tab/>
        <w:t>(b)</w:t>
      </w:r>
      <w:r w:rsidRPr="005E3B43">
        <w:tab/>
      </w:r>
      <w:r w:rsidR="00860F28" w:rsidRPr="005E3B43">
        <w:t xml:space="preserve">the </w:t>
      </w:r>
      <w:r w:rsidRPr="005E3B43">
        <w:t xml:space="preserve">variation of an entry for a biological included in the Register under </w:t>
      </w:r>
      <w:r w:rsidR="00BB758E" w:rsidRPr="005E3B43">
        <w:t>Part 3</w:t>
      </w:r>
      <w:r w:rsidR="007C3215">
        <w:noBreakHyphen/>
      </w:r>
      <w:r w:rsidRPr="005E3B43">
        <w:t>2A of the Act;</w:t>
      </w:r>
    </w:p>
    <w:p w14:paraId="7CF33EE7" w14:textId="77777777" w:rsidR="00860F28" w:rsidRPr="005E3B43" w:rsidRDefault="00860F28" w:rsidP="00763BCF">
      <w:pPr>
        <w:pStyle w:val="paragraph"/>
      </w:pPr>
      <w:r w:rsidRPr="005E3B43">
        <w:tab/>
        <w:t>(c)</w:t>
      </w:r>
      <w:r w:rsidRPr="005E3B43">
        <w:tab/>
        <w:t>the continued retention of a biological in, or the removal of a biological from, the Register;</w:t>
      </w:r>
    </w:p>
    <w:p w14:paraId="1AC11AAF" w14:textId="77777777" w:rsidR="00860F28" w:rsidRPr="005E3B43" w:rsidRDefault="00860F28" w:rsidP="00763BCF">
      <w:pPr>
        <w:pStyle w:val="paragraph"/>
      </w:pPr>
      <w:r w:rsidRPr="005E3B43">
        <w:tab/>
        <w:t>(d)</w:t>
      </w:r>
      <w:r w:rsidRPr="005E3B43">
        <w:tab/>
        <w:t>any other matter (whether or not related to a biological), including a matter related to standards.</w:t>
      </w:r>
    </w:p>
    <w:p w14:paraId="7D295B4D" w14:textId="77777777" w:rsidR="0061454F" w:rsidRPr="005E3B43" w:rsidRDefault="0061454F" w:rsidP="00763BCF">
      <w:pPr>
        <w:pStyle w:val="subsection"/>
      </w:pPr>
      <w:r w:rsidRPr="005E3B43">
        <w:tab/>
        <w:t>(2)</w:t>
      </w:r>
      <w:r w:rsidRPr="005E3B43">
        <w:tab/>
        <w:t>The Minister or Secretary may require the committee to give its advice to other persons or bodies.</w:t>
      </w:r>
    </w:p>
    <w:p w14:paraId="36A08DDD" w14:textId="77777777" w:rsidR="00871459" w:rsidRPr="005E3B43" w:rsidRDefault="00871459" w:rsidP="00763BCF">
      <w:pPr>
        <w:pStyle w:val="ActHead5"/>
      </w:pPr>
      <w:bookmarkStart w:id="169" w:name="_Toc187135763"/>
      <w:r w:rsidRPr="005E3B43">
        <w:rPr>
          <w:rStyle w:val="CharSectno"/>
        </w:rPr>
        <w:t>39E</w:t>
      </w:r>
      <w:r w:rsidR="00E20BA4" w:rsidRPr="005E3B43">
        <w:t xml:space="preserve">  </w:t>
      </w:r>
      <w:r w:rsidRPr="005E3B43">
        <w:t>Membership</w:t>
      </w:r>
      <w:bookmarkEnd w:id="169"/>
    </w:p>
    <w:p w14:paraId="486F188C" w14:textId="77777777" w:rsidR="00871459" w:rsidRPr="005E3B43" w:rsidRDefault="00871459" w:rsidP="00763BCF">
      <w:pPr>
        <w:pStyle w:val="subsection"/>
      </w:pPr>
      <w:r w:rsidRPr="005E3B43">
        <w:tab/>
        <w:t>(1)</w:t>
      </w:r>
      <w:r w:rsidRPr="005E3B43">
        <w:tab/>
        <w:t xml:space="preserve">The Minister may, in writing, appoint up to 12 persons to the committee in accordance with subregulations </w:t>
      </w:r>
      <w:r w:rsidR="0015232B" w:rsidRPr="005E3B43">
        <w:t>(1A) and (1B)</w:t>
      </w:r>
      <w:r w:rsidRPr="005E3B43">
        <w:t>.</w:t>
      </w:r>
    </w:p>
    <w:p w14:paraId="690D94B7" w14:textId="77777777" w:rsidR="0015232B" w:rsidRPr="005E3B43" w:rsidRDefault="0015232B" w:rsidP="00763BCF">
      <w:pPr>
        <w:pStyle w:val="subsection"/>
      </w:pPr>
      <w:r w:rsidRPr="005E3B43">
        <w:tab/>
        <w:t>(1A)</w:t>
      </w:r>
      <w:r w:rsidRPr="005E3B43">
        <w:tab/>
        <w:t>Subject to subregulation (1B):</w:t>
      </w:r>
    </w:p>
    <w:p w14:paraId="490F12DC" w14:textId="77777777" w:rsidR="0015232B" w:rsidRPr="005E3B43" w:rsidRDefault="0015232B" w:rsidP="00763BCF">
      <w:pPr>
        <w:pStyle w:val="paragraph"/>
      </w:pPr>
      <w:r w:rsidRPr="005E3B43">
        <w:tab/>
        <w:t>(a)</w:t>
      </w:r>
      <w:r w:rsidRPr="005E3B43">
        <w:tab/>
        <w:t>to the extent reasonably practicable, membership of the committee is to represent the widest possible range of fields mentioned in subregulation (2); and</w:t>
      </w:r>
    </w:p>
    <w:p w14:paraId="62536EB7" w14:textId="77777777" w:rsidR="0015232B" w:rsidRPr="005E3B43" w:rsidRDefault="0015232B" w:rsidP="00763BCF">
      <w:pPr>
        <w:pStyle w:val="paragraph"/>
      </w:pPr>
      <w:r w:rsidRPr="005E3B43">
        <w:tab/>
        <w:t>(b)</w:t>
      </w:r>
      <w:r w:rsidRPr="005E3B43">
        <w:tab/>
        <w:t>each member of the committee must have expertise in at least one of those fields.</w:t>
      </w:r>
    </w:p>
    <w:p w14:paraId="35CB58CB" w14:textId="77777777" w:rsidR="0015232B" w:rsidRPr="005E3B43" w:rsidRDefault="0015232B" w:rsidP="00763BCF">
      <w:pPr>
        <w:pStyle w:val="subsection"/>
      </w:pPr>
      <w:r w:rsidRPr="005E3B43">
        <w:tab/>
        <w:t>(1B)</w:t>
      </w:r>
      <w:r w:rsidRPr="005E3B43">
        <w:tab/>
        <w:t>One member of the committee may have expertise in consumer health issues.</w:t>
      </w:r>
    </w:p>
    <w:p w14:paraId="551A3651" w14:textId="77777777" w:rsidR="0015232B" w:rsidRPr="005E3B43" w:rsidRDefault="0015232B" w:rsidP="00763BCF">
      <w:pPr>
        <w:pStyle w:val="subsection"/>
      </w:pPr>
      <w:r w:rsidRPr="005E3B43">
        <w:tab/>
        <w:t>(2)</w:t>
      </w:r>
      <w:r w:rsidRPr="005E3B43">
        <w:tab/>
        <w:t>For the purposes of subregulation (1A), the fields are as follows:</w:t>
      </w:r>
    </w:p>
    <w:p w14:paraId="69A2A1B5" w14:textId="77777777" w:rsidR="00871459" w:rsidRPr="005E3B43" w:rsidRDefault="00871459" w:rsidP="00763BCF">
      <w:pPr>
        <w:pStyle w:val="paragraph"/>
      </w:pPr>
      <w:r w:rsidRPr="005E3B43">
        <w:tab/>
        <w:t>(a)</w:t>
      </w:r>
      <w:r w:rsidRPr="005E3B43">
        <w:tab/>
        <w:t>infectious diseases;</w:t>
      </w:r>
    </w:p>
    <w:p w14:paraId="1F228641" w14:textId="77777777" w:rsidR="00871459" w:rsidRPr="005E3B43" w:rsidRDefault="00871459" w:rsidP="00763BCF">
      <w:pPr>
        <w:pStyle w:val="paragraph"/>
      </w:pPr>
      <w:r w:rsidRPr="005E3B43">
        <w:tab/>
        <w:t>(b)</w:t>
      </w:r>
      <w:r w:rsidRPr="005E3B43">
        <w:tab/>
        <w:t>tissue products;</w:t>
      </w:r>
    </w:p>
    <w:p w14:paraId="0A853BDD" w14:textId="77777777" w:rsidR="00871459" w:rsidRPr="005E3B43" w:rsidRDefault="00871459" w:rsidP="00763BCF">
      <w:pPr>
        <w:pStyle w:val="paragraph"/>
      </w:pPr>
      <w:r w:rsidRPr="005E3B43">
        <w:tab/>
        <w:t>(c)</w:t>
      </w:r>
      <w:r w:rsidRPr="005E3B43">
        <w:tab/>
        <w:t>blood products;</w:t>
      </w:r>
    </w:p>
    <w:p w14:paraId="3456555E" w14:textId="77777777" w:rsidR="00871459" w:rsidRPr="005E3B43" w:rsidRDefault="00871459" w:rsidP="00763BCF">
      <w:pPr>
        <w:pStyle w:val="paragraph"/>
      </w:pPr>
      <w:r w:rsidRPr="005E3B43">
        <w:tab/>
        <w:t>(d)</w:t>
      </w:r>
      <w:r w:rsidRPr="005E3B43">
        <w:tab/>
        <w:t>cellular therapies, including tissue engineering;</w:t>
      </w:r>
    </w:p>
    <w:p w14:paraId="6F15C6F2" w14:textId="77777777" w:rsidR="00871459" w:rsidRPr="005E3B43" w:rsidRDefault="00871459" w:rsidP="00763BCF">
      <w:pPr>
        <w:pStyle w:val="paragraph"/>
      </w:pPr>
      <w:r w:rsidRPr="005E3B43">
        <w:tab/>
        <w:t>(g)</w:t>
      </w:r>
      <w:r w:rsidRPr="005E3B43">
        <w:tab/>
        <w:t>clinical expertise;</w:t>
      </w:r>
    </w:p>
    <w:p w14:paraId="317E1CEA" w14:textId="77777777" w:rsidR="00871459" w:rsidRPr="005E3B43" w:rsidRDefault="00871459" w:rsidP="00763BCF">
      <w:pPr>
        <w:pStyle w:val="paragraph"/>
      </w:pPr>
      <w:r w:rsidRPr="005E3B43">
        <w:tab/>
        <w:t>(h)</w:t>
      </w:r>
      <w:r w:rsidRPr="005E3B43">
        <w:tab/>
        <w:t>epidemiology or biostatistics;</w:t>
      </w:r>
    </w:p>
    <w:p w14:paraId="4E27FF2B" w14:textId="77777777" w:rsidR="00ED7174" w:rsidRPr="005E3B43" w:rsidRDefault="00ED7174" w:rsidP="00763BCF">
      <w:pPr>
        <w:pStyle w:val="paragraph"/>
      </w:pPr>
      <w:r w:rsidRPr="005E3B43">
        <w:tab/>
        <w:t>(i)</w:t>
      </w:r>
      <w:r w:rsidRPr="005E3B43">
        <w:tab/>
        <w:t>toxicology.</w:t>
      </w:r>
    </w:p>
    <w:p w14:paraId="6F74FD5E" w14:textId="77777777" w:rsidR="00ED7174" w:rsidRPr="005E3B43" w:rsidRDefault="003C0723" w:rsidP="00763BCF">
      <w:pPr>
        <w:pStyle w:val="ActHead3"/>
        <w:pageBreakBefore/>
      </w:pPr>
      <w:bookmarkStart w:id="170" w:name="_Toc187135764"/>
      <w:r w:rsidRPr="005E3B43">
        <w:rPr>
          <w:rStyle w:val="CharDivNo"/>
        </w:rPr>
        <w:lastRenderedPageBreak/>
        <w:t>Division 1</w:t>
      </w:r>
      <w:r w:rsidR="00ED7174" w:rsidRPr="005E3B43">
        <w:rPr>
          <w:rStyle w:val="CharDivNo"/>
        </w:rPr>
        <w:t>EB</w:t>
      </w:r>
      <w:r w:rsidR="00ED7174" w:rsidRPr="005E3B43">
        <w:t>—</w:t>
      </w:r>
      <w:r w:rsidR="00ED7174" w:rsidRPr="005E3B43">
        <w:rPr>
          <w:rStyle w:val="CharDivText"/>
        </w:rPr>
        <w:t>Advisory Committee on Vaccines</w:t>
      </w:r>
      <w:bookmarkEnd w:id="170"/>
    </w:p>
    <w:p w14:paraId="7628FCCD" w14:textId="77777777" w:rsidR="00ED7174" w:rsidRPr="005E3B43" w:rsidRDefault="00ED7174" w:rsidP="00763BCF">
      <w:pPr>
        <w:pStyle w:val="ActHead5"/>
      </w:pPr>
      <w:bookmarkStart w:id="171" w:name="_Toc187135765"/>
      <w:r w:rsidRPr="005E3B43">
        <w:rPr>
          <w:rStyle w:val="CharSectno"/>
        </w:rPr>
        <w:t>39F</w:t>
      </w:r>
      <w:r w:rsidRPr="005E3B43">
        <w:t xml:space="preserve">  Establishment</w:t>
      </w:r>
      <w:bookmarkEnd w:id="171"/>
    </w:p>
    <w:p w14:paraId="1D7735D7" w14:textId="77777777" w:rsidR="00ED7174" w:rsidRPr="005E3B43" w:rsidRDefault="00ED7174" w:rsidP="00763BCF">
      <w:pPr>
        <w:pStyle w:val="subsection"/>
      </w:pPr>
      <w:r w:rsidRPr="005E3B43">
        <w:tab/>
      </w:r>
      <w:r w:rsidRPr="005E3B43">
        <w:tab/>
        <w:t>The Advisory Committee on Vaccines is established.</w:t>
      </w:r>
    </w:p>
    <w:p w14:paraId="01594C35" w14:textId="77777777" w:rsidR="00F079C4" w:rsidRPr="005E3B43" w:rsidRDefault="00F079C4" w:rsidP="00763BCF">
      <w:pPr>
        <w:pStyle w:val="ActHead5"/>
      </w:pPr>
      <w:bookmarkStart w:id="172" w:name="_Toc187135766"/>
      <w:r w:rsidRPr="005E3B43">
        <w:rPr>
          <w:rStyle w:val="CharSectno"/>
        </w:rPr>
        <w:t>39G</w:t>
      </w:r>
      <w:r w:rsidR="00E20BA4" w:rsidRPr="005E3B43">
        <w:t xml:space="preserve">  </w:t>
      </w:r>
      <w:r w:rsidRPr="005E3B43">
        <w:t>Functions</w:t>
      </w:r>
      <w:bookmarkEnd w:id="172"/>
    </w:p>
    <w:p w14:paraId="59CD2B39" w14:textId="77777777" w:rsidR="00C27F5C" w:rsidRPr="005E3B43" w:rsidRDefault="00C27F5C" w:rsidP="00763BCF">
      <w:pPr>
        <w:pStyle w:val="subsection"/>
      </w:pPr>
      <w:r w:rsidRPr="005E3B43">
        <w:tab/>
        <w:t>(1)</w:t>
      </w:r>
      <w:r w:rsidRPr="005E3B43">
        <w:tab/>
        <w:t>The committee’s functions are, at the request of the Minister or Secretary, to provide advice and to make recommendations to the Minister or Secretary about one or more of the following matters:</w:t>
      </w:r>
    </w:p>
    <w:p w14:paraId="2F001CB9" w14:textId="77777777" w:rsidR="00ED7174" w:rsidRPr="005E3B43" w:rsidRDefault="00ED7174" w:rsidP="00763BCF">
      <w:pPr>
        <w:pStyle w:val="paragraph"/>
      </w:pPr>
      <w:r w:rsidRPr="005E3B43">
        <w:tab/>
        <w:t>(a)</w:t>
      </w:r>
      <w:r w:rsidRPr="005E3B43">
        <w:tab/>
        <w:t>the safety, quality and efficacy of vaccines, including in relation to pharmacovigilance;</w:t>
      </w:r>
    </w:p>
    <w:p w14:paraId="325AC38B" w14:textId="77777777" w:rsidR="00ED7174" w:rsidRPr="005E3B43" w:rsidRDefault="00ED7174" w:rsidP="00763BCF">
      <w:pPr>
        <w:pStyle w:val="paragraph"/>
      </w:pPr>
      <w:r w:rsidRPr="005E3B43">
        <w:tab/>
        <w:t>(b)</w:t>
      </w:r>
      <w:r w:rsidRPr="005E3B43">
        <w:tab/>
        <w:t>the registration of a vaccine;</w:t>
      </w:r>
    </w:p>
    <w:p w14:paraId="5F0C7945" w14:textId="77777777" w:rsidR="00ED7174" w:rsidRPr="005E3B43" w:rsidRDefault="00ED7174" w:rsidP="00763BCF">
      <w:pPr>
        <w:pStyle w:val="paragraph"/>
      </w:pPr>
      <w:r w:rsidRPr="005E3B43">
        <w:tab/>
        <w:t>(c)</w:t>
      </w:r>
      <w:r w:rsidRPr="005E3B43">
        <w:tab/>
        <w:t>the variation of an entry for a vaccine in the Register;</w:t>
      </w:r>
    </w:p>
    <w:p w14:paraId="7C953ABB" w14:textId="77777777" w:rsidR="00ED7174" w:rsidRPr="005E3B43" w:rsidRDefault="00ED7174" w:rsidP="00763BCF">
      <w:pPr>
        <w:pStyle w:val="paragraph"/>
      </w:pPr>
      <w:r w:rsidRPr="005E3B43">
        <w:tab/>
        <w:t>(d)</w:t>
      </w:r>
      <w:r w:rsidRPr="005E3B43">
        <w:tab/>
        <w:t>the continued retention of a vaccine in, or the removal of a vaccine from, the Register;</w:t>
      </w:r>
    </w:p>
    <w:p w14:paraId="03FB2301" w14:textId="77777777" w:rsidR="00ED7174" w:rsidRPr="005E3B43" w:rsidRDefault="00ED7174" w:rsidP="00763BCF">
      <w:pPr>
        <w:pStyle w:val="paragraph"/>
      </w:pPr>
      <w:r w:rsidRPr="005E3B43">
        <w:tab/>
        <w:t>(e)</w:t>
      </w:r>
      <w:r w:rsidRPr="005E3B43">
        <w:tab/>
        <w:t>risk assessment and risk management of vaccines;</w:t>
      </w:r>
    </w:p>
    <w:p w14:paraId="547A95A2" w14:textId="77777777" w:rsidR="00ED7174" w:rsidRPr="005E3B43" w:rsidRDefault="00ED7174" w:rsidP="00763BCF">
      <w:pPr>
        <w:pStyle w:val="paragraph"/>
      </w:pPr>
      <w:r w:rsidRPr="005E3B43">
        <w:tab/>
        <w:t>(f)</w:t>
      </w:r>
      <w:r w:rsidRPr="005E3B43">
        <w:tab/>
        <w:t>any other matter (whether or not related to a vaccine), including a matter related to standards.</w:t>
      </w:r>
    </w:p>
    <w:p w14:paraId="7DCB517F" w14:textId="77777777" w:rsidR="00F079C4" w:rsidRPr="005E3B43" w:rsidRDefault="00F079C4" w:rsidP="00763BCF">
      <w:pPr>
        <w:pStyle w:val="subsection"/>
      </w:pPr>
      <w:r w:rsidRPr="005E3B43">
        <w:tab/>
        <w:t>(2)</w:t>
      </w:r>
      <w:r w:rsidRPr="005E3B43">
        <w:tab/>
        <w:t>The Minister or Secretary may require the committee to give its advice to other persons or bodies.</w:t>
      </w:r>
    </w:p>
    <w:p w14:paraId="7C0279AE" w14:textId="77777777" w:rsidR="00F079C4" w:rsidRPr="005E3B43" w:rsidRDefault="00F079C4" w:rsidP="00763BCF">
      <w:pPr>
        <w:pStyle w:val="ActHead5"/>
      </w:pPr>
      <w:bookmarkStart w:id="173" w:name="_Toc187135767"/>
      <w:r w:rsidRPr="005E3B43">
        <w:rPr>
          <w:rStyle w:val="CharSectno"/>
        </w:rPr>
        <w:t>39H</w:t>
      </w:r>
      <w:r w:rsidR="00E20BA4" w:rsidRPr="005E3B43">
        <w:t xml:space="preserve">  </w:t>
      </w:r>
      <w:r w:rsidRPr="005E3B43">
        <w:t>Membership</w:t>
      </w:r>
      <w:bookmarkEnd w:id="173"/>
    </w:p>
    <w:p w14:paraId="060314DB" w14:textId="77777777" w:rsidR="00F079C4" w:rsidRPr="005E3B43" w:rsidRDefault="00F079C4" w:rsidP="00763BCF">
      <w:pPr>
        <w:pStyle w:val="subsection"/>
      </w:pPr>
      <w:r w:rsidRPr="005E3B43">
        <w:tab/>
        <w:t>(1)</w:t>
      </w:r>
      <w:r w:rsidRPr="005E3B43">
        <w:tab/>
        <w:t xml:space="preserve">The Minister may, in writing, appoint up to 10 persons to the committee in accordance with subregulations </w:t>
      </w:r>
      <w:r w:rsidR="00ED7174" w:rsidRPr="005E3B43">
        <w:t>(1A), (1B) and (2)</w:t>
      </w:r>
      <w:r w:rsidRPr="005E3B43">
        <w:t>.</w:t>
      </w:r>
    </w:p>
    <w:p w14:paraId="3F43C6C9" w14:textId="77777777" w:rsidR="00ED7174" w:rsidRPr="005E3B43" w:rsidRDefault="00ED7174" w:rsidP="00763BCF">
      <w:pPr>
        <w:pStyle w:val="subsection"/>
      </w:pPr>
      <w:r w:rsidRPr="005E3B43">
        <w:tab/>
        <w:t>(1A)</w:t>
      </w:r>
      <w:r w:rsidRPr="005E3B43">
        <w:tab/>
        <w:t>Subject to subregulations (1B) and (2):</w:t>
      </w:r>
    </w:p>
    <w:p w14:paraId="262DF3D3" w14:textId="77777777" w:rsidR="00ED7174" w:rsidRPr="005E3B43" w:rsidRDefault="00ED7174" w:rsidP="00763BCF">
      <w:pPr>
        <w:pStyle w:val="paragraph"/>
      </w:pPr>
      <w:r w:rsidRPr="005E3B43">
        <w:tab/>
        <w:t>(a)</w:t>
      </w:r>
      <w:r w:rsidRPr="005E3B43">
        <w:tab/>
        <w:t>to the extent reasonably practicable, membership of the committee is to represent the widest possible range of fields mentioned in subregulation (3); and</w:t>
      </w:r>
    </w:p>
    <w:p w14:paraId="4BEFA138" w14:textId="77777777" w:rsidR="00ED7174" w:rsidRPr="005E3B43" w:rsidRDefault="00ED7174" w:rsidP="00763BCF">
      <w:pPr>
        <w:pStyle w:val="paragraph"/>
      </w:pPr>
      <w:r w:rsidRPr="005E3B43">
        <w:tab/>
        <w:t>(b)</w:t>
      </w:r>
      <w:r w:rsidRPr="005E3B43">
        <w:tab/>
        <w:t>each member of the committee must have expertise in at least one of those fields.</w:t>
      </w:r>
    </w:p>
    <w:p w14:paraId="4308CAB1" w14:textId="77777777" w:rsidR="00ED7174" w:rsidRPr="005E3B43" w:rsidRDefault="00ED7174" w:rsidP="00763BCF">
      <w:pPr>
        <w:pStyle w:val="subsection"/>
      </w:pPr>
      <w:r w:rsidRPr="005E3B43">
        <w:tab/>
        <w:t>(1B)</w:t>
      </w:r>
      <w:r w:rsidRPr="005E3B43">
        <w:tab/>
        <w:t>One member of the committee may have expertise in consumer health issues.</w:t>
      </w:r>
    </w:p>
    <w:p w14:paraId="4354D0FA" w14:textId="77777777" w:rsidR="00F079C4" w:rsidRPr="005E3B43" w:rsidRDefault="00F079C4" w:rsidP="00763BCF">
      <w:pPr>
        <w:pStyle w:val="subsection"/>
      </w:pPr>
      <w:r w:rsidRPr="005E3B43">
        <w:tab/>
        <w:t>(2)</w:t>
      </w:r>
      <w:r w:rsidRPr="005E3B43">
        <w:tab/>
        <w:t xml:space="preserve">The Minister </w:t>
      </w:r>
      <w:r w:rsidR="00ED7174" w:rsidRPr="005E3B43">
        <w:t>may</w:t>
      </w:r>
      <w:r w:rsidRPr="005E3B43">
        <w:t xml:space="preserve"> appoint one member from each of the following:</w:t>
      </w:r>
    </w:p>
    <w:p w14:paraId="27E1D725" w14:textId="77777777" w:rsidR="00F079C4" w:rsidRPr="005E3B43" w:rsidRDefault="00F079C4" w:rsidP="00763BCF">
      <w:pPr>
        <w:pStyle w:val="paragraph"/>
      </w:pPr>
      <w:r w:rsidRPr="005E3B43">
        <w:tab/>
        <w:t>(a)</w:t>
      </w:r>
      <w:r w:rsidRPr="005E3B43">
        <w:tab/>
        <w:t>the Australian Technical Advisory Group on Immunisation;</w:t>
      </w:r>
    </w:p>
    <w:p w14:paraId="1E07757E" w14:textId="77777777" w:rsidR="00F079C4" w:rsidRPr="005E3B43" w:rsidRDefault="00F079C4" w:rsidP="00763BCF">
      <w:pPr>
        <w:pStyle w:val="paragraph"/>
      </w:pPr>
      <w:r w:rsidRPr="005E3B43">
        <w:tab/>
        <w:t>(b)</w:t>
      </w:r>
      <w:r w:rsidRPr="005E3B43">
        <w:tab/>
        <w:t>the National Immunisation Committee;</w:t>
      </w:r>
    </w:p>
    <w:p w14:paraId="1F332E74" w14:textId="77777777" w:rsidR="00F079C4" w:rsidRPr="005E3B43" w:rsidRDefault="00F079C4" w:rsidP="00763BCF">
      <w:pPr>
        <w:pStyle w:val="paragraph"/>
      </w:pPr>
      <w:r w:rsidRPr="005E3B43">
        <w:tab/>
        <w:t>(d)</w:t>
      </w:r>
      <w:r w:rsidRPr="005E3B43">
        <w:tab/>
        <w:t>the National Centre for Immunisation Research and Surveillance.</w:t>
      </w:r>
    </w:p>
    <w:p w14:paraId="0989DD27" w14:textId="77777777" w:rsidR="00ED7174" w:rsidRPr="005E3B43" w:rsidRDefault="00ED7174" w:rsidP="00763BCF">
      <w:pPr>
        <w:pStyle w:val="subsection"/>
      </w:pPr>
      <w:r w:rsidRPr="005E3B43">
        <w:tab/>
        <w:t>(3)</w:t>
      </w:r>
      <w:r w:rsidRPr="005E3B43">
        <w:tab/>
        <w:t>For the purposes of subregulation (1A), the fields are as follows:</w:t>
      </w:r>
    </w:p>
    <w:p w14:paraId="08F5DFD0" w14:textId="77777777" w:rsidR="00F079C4" w:rsidRPr="005E3B43" w:rsidRDefault="00F079C4" w:rsidP="00763BCF">
      <w:pPr>
        <w:pStyle w:val="paragraph"/>
      </w:pPr>
      <w:r w:rsidRPr="005E3B43">
        <w:tab/>
        <w:t>(a)</w:t>
      </w:r>
      <w:r w:rsidRPr="005E3B43">
        <w:tab/>
        <w:t>immunology;</w:t>
      </w:r>
    </w:p>
    <w:p w14:paraId="5B97DC58" w14:textId="77777777" w:rsidR="00F079C4" w:rsidRPr="005E3B43" w:rsidRDefault="00F079C4" w:rsidP="00763BCF">
      <w:pPr>
        <w:pStyle w:val="paragraph"/>
      </w:pPr>
      <w:r w:rsidRPr="005E3B43">
        <w:tab/>
        <w:t>(b)</w:t>
      </w:r>
      <w:r w:rsidRPr="005E3B43">
        <w:tab/>
        <w:t>virology;</w:t>
      </w:r>
    </w:p>
    <w:p w14:paraId="6BECF522" w14:textId="77777777" w:rsidR="00F079C4" w:rsidRPr="005E3B43" w:rsidRDefault="00F079C4" w:rsidP="00763BCF">
      <w:pPr>
        <w:pStyle w:val="paragraph"/>
      </w:pPr>
      <w:r w:rsidRPr="005E3B43">
        <w:tab/>
        <w:t>(c)</w:t>
      </w:r>
      <w:r w:rsidRPr="005E3B43">
        <w:tab/>
        <w:t>bacteriology;</w:t>
      </w:r>
    </w:p>
    <w:p w14:paraId="7C84F908" w14:textId="77777777" w:rsidR="00ED7174" w:rsidRPr="005E3B43" w:rsidRDefault="00ED7174" w:rsidP="00763BCF">
      <w:pPr>
        <w:pStyle w:val="paragraph"/>
      </w:pPr>
      <w:r w:rsidRPr="005E3B43">
        <w:lastRenderedPageBreak/>
        <w:tab/>
        <w:t>(d)</w:t>
      </w:r>
      <w:r w:rsidRPr="005E3B43">
        <w:tab/>
        <w:t>infectious diseases in adults or children;</w:t>
      </w:r>
    </w:p>
    <w:p w14:paraId="1452A677" w14:textId="77777777" w:rsidR="00ED7174" w:rsidRPr="005E3B43" w:rsidRDefault="00ED7174" w:rsidP="00763BCF">
      <w:pPr>
        <w:pStyle w:val="paragraph"/>
      </w:pPr>
      <w:r w:rsidRPr="005E3B43">
        <w:tab/>
        <w:t>(e)</w:t>
      </w:r>
      <w:r w:rsidRPr="005E3B43">
        <w:tab/>
        <w:t>public health;</w:t>
      </w:r>
    </w:p>
    <w:p w14:paraId="41C8CEC4" w14:textId="77777777" w:rsidR="00ED7174" w:rsidRPr="005E3B43" w:rsidRDefault="00ED7174" w:rsidP="00763BCF">
      <w:pPr>
        <w:pStyle w:val="paragraph"/>
      </w:pPr>
      <w:r w:rsidRPr="005E3B43">
        <w:tab/>
        <w:t>(f)</w:t>
      </w:r>
      <w:r w:rsidRPr="005E3B43">
        <w:tab/>
        <w:t>epidemiology or biostatistics;</w:t>
      </w:r>
    </w:p>
    <w:p w14:paraId="4FB0FD22" w14:textId="77777777" w:rsidR="00ED7174" w:rsidRPr="005E3B43" w:rsidRDefault="00ED7174" w:rsidP="00763BCF">
      <w:pPr>
        <w:pStyle w:val="paragraph"/>
      </w:pPr>
      <w:r w:rsidRPr="005E3B43">
        <w:tab/>
        <w:t>(g)</w:t>
      </w:r>
      <w:r w:rsidRPr="005E3B43">
        <w:tab/>
        <w:t>vaccine program implementation;</w:t>
      </w:r>
    </w:p>
    <w:p w14:paraId="53EBE993" w14:textId="77777777" w:rsidR="00ED7174" w:rsidRPr="005E3B43" w:rsidRDefault="00ED7174" w:rsidP="00763BCF">
      <w:pPr>
        <w:pStyle w:val="paragraph"/>
      </w:pPr>
      <w:r w:rsidRPr="005E3B43">
        <w:tab/>
        <w:t>(h)</w:t>
      </w:r>
      <w:r w:rsidRPr="005E3B43">
        <w:tab/>
        <w:t>the provision of immunisation treatment by an individual;</w:t>
      </w:r>
    </w:p>
    <w:p w14:paraId="1C6C9FA5" w14:textId="77777777" w:rsidR="00ED7174" w:rsidRPr="005E3B43" w:rsidRDefault="00ED7174" w:rsidP="00763BCF">
      <w:pPr>
        <w:pStyle w:val="paragraph"/>
      </w:pPr>
      <w:r w:rsidRPr="005E3B43">
        <w:tab/>
        <w:t>(i)</w:t>
      </w:r>
      <w:r w:rsidRPr="005E3B43">
        <w:tab/>
        <w:t>paediatrics;</w:t>
      </w:r>
    </w:p>
    <w:p w14:paraId="0E353E5B" w14:textId="77777777" w:rsidR="00ED7174" w:rsidRPr="005E3B43" w:rsidRDefault="00ED7174" w:rsidP="00763BCF">
      <w:pPr>
        <w:pStyle w:val="paragraph"/>
      </w:pPr>
      <w:r w:rsidRPr="005E3B43">
        <w:tab/>
        <w:t>(j)</w:t>
      </w:r>
      <w:r w:rsidRPr="005E3B43">
        <w:tab/>
        <w:t>nursing.</w:t>
      </w:r>
    </w:p>
    <w:p w14:paraId="2BA5F27D" w14:textId="77777777" w:rsidR="00B72E8F" w:rsidRPr="005E3B43" w:rsidRDefault="003C0723" w:rsidP="00763BCF">
      <w:pPr>
        <w:pStyle w:val="ActHead3"/>
        <w:pageBreakBefore/>
      </w:pPr>
      <w:bookmarkStart w:id="174" w:name="_Toc187135768"/>
      <w:r w:rsidRPr="005E3B43">
        <w:rPr>
          <w:rStyle w:val="CharDivNo"/>
        </w:rPr>
        <w:lastRenderedPageBreak/>
        <w:t>Division 1</w:t>
      </w:r>
      <w:r w:rsidR="00B72E8F" w:rsidRPr="005E3B43">
        <w:rPr>
          <w:rStyle w:val="CharDivNo"/>
        </w:rPr>
        <w:t>F</w:t>
      </w:r>
      <w:r w:rsidR="00E20BA4" w:rsidRPr="005E3B43">
        <w:t>—</w:t>
      </w:r>
      <w:r w:rsidR="00B72E8F" w:rsidRPr="005E3B43">
        <w:rPr>
          <w:rStyle w:val="CharDivText"/>
        </w:rPr>
        <w:t>General</w:t>
      </w:r>
      <w:bookmarkEnd w:id="174"/>
    </w:p>
    <w:p w14:paraId="18547F8D" w14:textId="77777777" w:rsidR="00B72E8F" w:rsidRPr="005E3B43" w:rsidRDefault="00B72E8F" w:rsidP="00763BCF">
      <w:pPr>
        <w:pStyle w:val="ActHead5"/>
      </w:pPr>
      <w:bookmarkStart w:id="175" w:name="_Toc187135769"/>
      <w:r w:rsidRPr="005E3B43">
        <w:rPr>
          <w:rStyle w:val="CharSectno"/>
        </w:rPr>
        <w:t>40</w:t>
      </w:r>
      <w:r w:rsidR="00E20BA4" w:rsidRPr="005E3B43">
        <w:t xml:space="preserve">  </w:t>
      </w:r>
      <w:r w:rsidRPr="005E3B43">
        <w:t>Application of this Division</w:t>
      </w:r>
      <w:bookmarkEnd w:id="175"/>
    </w:p>
    <w:p w14:paraId="7CAE0B67" w14:textId="77777777" w:rsidR="00B72E8F" w:rsidRPr="005E3B43" w:rsidRDefault="00B72E8F" w:rsidP="00763BCF">
      <w:pPr>
        <w:pStyle w:val="subsection"/>
      </w:pPr>
      <w:r w:rsidRPr="005E3B43">
        <w:tab/>
      </w:r>
      <w:r w:rsidRPr="005E3B43">
        <w:tab/>
        <w:t>This Division applies to committees mentioned in Divisions</w:t>
      </w:r>
      <w:r w:rsidR="004E6D00" w:rsidRPr="005E3B43">
        <w:t> </w:t>
      </w:r>
      <w:r w:rsidR="00ED7174" w:rsidRPr="005E3B43">
        <w:t>1A, 1D,</w:t>
      </w:r>
      <w:r w:rsidR="008C367D" w:rsidRPr="005E3B43">
        <w:t xml:space="preserve"> </w:t>
      </w:r>
      <w:r w:rsidR="00F079C4" w:rsidRPr="005E3B43">
        <w:t>1E, 1EA and 1EB.</w:t>
      </w:r>
    </w:p>
    <w:p w14:paraId="3BF85DB0" w14:textId="77777777" w:rsidR="00B72E8F" w:rsidRPr="005E3B43" w:rsidRDefault="00B72E8F" w:rsidP="00763BCF">
      <w:pPr>
        <w:pStyle w:val="ActHead5"/>
      </w:pPr>
      <w:bookmarkStart w:id="176" w:name="_Toc187135770"/>
      <w:r w:rsidRPr="005E3B43">
        <w:rPr>
          <w:rStyle w:val="CharSectno"/>
        </w:rPr>
        <w:t>41</w:t>
      </w:r>
      <w:r w:rsidR="00E20BA4" w:rsidRPr="005E3B43">
        <w:t xml:space="preserve">  </w:t>
      </w:r>
      <w:r w:rsidRPr="005E3B43">
        <w:t>Appointment of members</w:t>
      </w:r>
      <w:bookmarkEnd w:id="176"/>
    </w:p>
    <w:p w14:paraId="422EF8BC" w14:textId="77777777" w:rsidR="00B72E8F" w:rsidRPr="005E3B43" w:rsidRDefault="00B72E8F" w:rsidP="00763BCF">
      <w:pPr>
        <w:pStyle w:val="subsection"/>
      </w:pPr>
      <w:r w:rsidRPr="005E3B43">
        <w:tab/>
        <w:t>(1)</w:t>
      </w:r>
      <w:r w:rsidRPr="005E3B43">
        <w:tab/>
        <w:t>A member is appointed to a committee for the term stated in the member’s instrument of appointment.</w:t>
      </w:r>
    </w:p>
    <w:p w14:paraId="1F092F4C" w14:textId="77777777" w:rsidR="00B72E8F" w:rsidRPr="005E3B43" w:rsidRDefault="00B72E8F" w:rsidP="00763BCF">
      <w:pPr>
        <w:pStyle w:val="subsection"/>
      </w:pPr>
      <w:r w:rsidRPr="005E3B43">
        <w:tab/>
        <w:t>(2)</w:t>
      </w:r>
      <w:r w:rsidRPr="005E3B43">
        <w:tab/>
        <w:t>A term of appointment must not be longer than 3 years.</w:t>
      </w:r>
    </w:p>
    <w:p w14:paraId="3E6838C5" w14:textId="77777777" w:rsidR="00B72E8F" w:rsidRPr="005E3B43" w:rsidRDefault="00B72E8F" w:rsidP="00763BCF">
      <w:pPr>
        <w:pStyle w:val="subsection"/>
      </w:pPr>
      <w:r w:rsidRPr="005E3B43">
        <w:tab/>
        <w:t>(3)</w:t>
      </w:r>
      <w:r w:rsidRPr="005E3B43">
        <w:tab/>
        <w:t>A member, other than a member mentioned in subregulation (4), must not be appointed for more than 3 consecutive terms.</w:t>
      </w:r>
    </w:p>
    <w:p w14:paraId="3F56C651" w14:textId="77777777" w:rsidR="00B72E8F" w:rsidRPr="005E3B43" w:rsidRDefault="00B72E8F" w:rsidP="00763BCF">
      <w:pPr>
        <w:pStyle w:val="subsection"/>
      </w:pPr>
      <w:r w:rsidRPr="005E3B43">
        <w:tab/>
        <w:t>(4)</w:t>
      </w:r>
      <w:r w:rsidRPr="005E3B43">
        <w:tab/>
        <w:t>A member appointed to a committee before the commencement of this subregulation</w:t>
      </w:r>
      <w:r w:rsidR="002B4943" w:rsidRPr="005E3B43">
        <w:t> </w:t>
      </w:r>
      <w:r w:rsidRPr="005E3B43">
        <w:t>must not be appointed for more than 3 further consecutive terms.</w:t>
      </w:r>
    </w:p>
    <w:p w14:paraId="7F02E8B7" w14:textId="77777777" w:rsidR="00B72E8F" w:rsidRPr="005E3B43" w:rsidRDefault="00B72E8F" w:rsidP="00763BCF">
      <w:pPr>
        <w:pStyle w:val="ActHead5"/>
      </w:pPr>
      <w:bookmarkStart w:id="177" w:name="_Toc187135771"/>
      <w:r w:rsidRPr="005E3B43">
        <w:rPr>
          <w:rStyle w:val="CharSectno"/>
        </w:rPr>
        <w:t>41A</w:t>
      </w:r>
      <w:r w:rsidR="00E20BA4" w:rsidRPr="005E3B43">
        <w:t xml:space="preserve">  </w:t>
      </w:r>
      <w:r w:rsidRPr="005E3B43">
        <w:t>Appointment of the chair</w:t>
      </w:r>
      <w:bookmarkEnd w:id="177"/>
    </w:p>
    <w:p w14:paraId="2DA6A5C6" w14:textId="77777777" w:rsidR="00B72E8F" w:rsidRPr="005E3B43" w:rsidRDefault="00B72E8F" w:rsidP="00763BCF">
      <w:pPr>
        <w:pStyle w:val="subsection"/>
      </w:pPr>
      <w:r w:rsidRPr="005E3B43">
        <w:tab/>
      </w:r>
      <w:r w:rsidRPr="005E3B43">
        <w:tab/>
        <w:t>The Minister must appoint, in writing, a member of a committee to be its chair.</w:t>
      </w:r>
    </w:p>
    <w:p w14:paraId="6D3268FB" w14:textId="77777777" w:rsidR="00B72E8F" w:rsidRPr="005E3B43" w:rsidRDefault="00B72E8F" w:rsidP="00763BCF">
      <w:pPr>
        <w:pStyle w:val="ActHead5"/>
      </w:pPr>
      <w:bookmarkStart w:id="178" w:name="_Toc187135772"/>
      <w:r w:rsidRPr="005E3B43">
        <w:rPr>
          <w:rStyle w:val="CharSectno"/>
        </w:rPr>
        <w:t>41B</w:t>
      </w:r>
      <w:r w:rsidR="00E20BA4" w:rsidRPr="005E3B43">
        <w:t xml:space="preserve">  </w:t>
      </w:r>
      <w:r w:rsidRPr="005E3B43">
        <w:t>Resignation or vacancy</w:t>
      </w:r>
      <w:bookmarkEnd w:id="178"/>
    </w:p>
    <w:p w14:paraId="41F24D09" w14:textId="77777777" w:rsidR="00B72E8F" w:rsidRPr="005E3B43" w:rsidRDefault="00B72E8F" w:rsidP="00763BCF">
      <w:pPr>
        <w:pStyle w:val="subsection"/>
      </w:pPr>
      <w:r w:rsidRPr="005E3B43">
        <w:tab/>
        <w:t>(1)</w:t>
      </w:r>
      <w:r w:rsidRPr="005E3B43">
        <w:tab/>
        <w:t>A member or chair may resign by giving written notice to the Minister.</w:t>
      </w:r>
    </w:p>
    <w:p w14:paraId="078222D2" w14:textId="77777777" w:rsidR="00B72E8F" w:rsidRPr="005E3B43" w:rsidRDefault="00B72E8F" w:rsidP="00763BCF">
      <w:pPr>
        <w:pStyle w:val="subsection"/>
      </w:pPr>
      <w:r w:rsidRPr="005E3B43">
        <w:tab/>
        <w:t>(2)</w:t>
      </w:r>
      <w:r w:rsidRPr="005E3B43">
        <w:tab/>
        <w:t>If a chair ceases to be a member of a committee, the position is taken to be vacant.</w:t>
      </w:r>
    </w:p>
    <w:p w14:paraId="267E8FE2" w14:textId="77777777" w:rsidR="00B72E8F" w:rsidRPr="005E3B43" w:rsidRDefault="00B72E8F" w:rsidP="00763BCF">
      <w:pPr>
        <w:pStyle w:val="ActHead5"/>
      </w:pPr>
      <w:bookmarkStart w:id="179" w:name="_Toc187135773"/>
      <w:r w:rsidRPr="005E3B43">
        <w:rPr>
          <w:rStyle w:val="CharSectno"/>
        </w:rPr>
        <w:t>41C</w:t>
      </w:r>
      <w:r w:rsidR="00E20BA4" w:rsidRPr="005E3B43">
        <w:t xml:space="preserve">  </w:t>
      </w:r>
      <w:r w:rsidRPr="005E3B43">
        <w:t>Termination of appointment</w:t>
      </w:r>
      <w:bookmarkEnd w:id="179"/>
    </w:p>
    <w:p w14:paraId="6062906A" w14:textId="77777777" w:rsidR="00B72E8F" w:rsidRPr="005E3B43" w:rsidRDefault="00B72E8F" w:rsidP="00763BCF">
      <w:pPr>
        <w:pStyle w:val="subsection"/>
      </w:pPr>
      <w:r w:rsidRPr="005E3B43">
        <w:tab/>
        <w:t>(1)</w:t>
      </w:r>
      <w:r w:rsidRPr="005E3B43">
        <w:tab/>
        <w:t>The Minister may terminate a member’s appointment on any of the following grounds:</w:t>
      </w:r>
    </w:p>
    <w:p w14:paraId="404B1F01" w14:textId="77777777" w:rsidR="00B72E8F" w:rsidRPr="005E3B43" w:rsidRDefault="00B72E8F" w:rsidP="00763BCF">
      <w:pPr>
        <w:pStyle w:val="paragraph"/>
      </w:pPr>
      <w:r w:rsidRPr="005E3B43">
        <w:tab/>
        <w:t>(a)</w:t>
      </w:r>
      <w:r w:rsidRPr="005E3B43">
        <w:tab/>
        <w:t>physical or mental incapacity;</w:t>
      </w:r>
    </w:p>
    <w:p w14:paraId="1CF143CE" w14:textId="77777777" w:rsidR="00B72E8F" w:rsidRPr="005E3B43" w:rsidRDefault="00B72E8F" w:rsidP="00763BCF">
      <w:pPr>
        <w:pStyle w:val="paragraph"/>
      </w:pPr>
      <w:r w:rsidRPr="005E3B43">
        <w:tab/>
        <w:t>(b)</w:t>
      </w:r>
      <w:r w:rsidRPr="005E3B43">
        <w:tab/>
        <w:t>misbehaviour;</w:t>
      </w:r>
    </w:p>
    <w:p w14:paraId="6EC2F286" w14:textId="77777777" w:rsidR="00B72E8F" w:rsidRPr="005E3B43" w:rsidRDefault="00B72E8F" w:rsidP="00763BCF">
      <w:pPr>
        <w:pStyle w:val="paragraph"/>
      </w:pPr>
      <w:r w:rsidRPr="005E3B43">
        <w:tab/>
        <w:t>(c)</w:t>
      </w:r>
      <w:r w:rsidRPr="005E3B43">
        <w:tab/>
        <w:t>incompetence;</w:t>
      </w:r>
    </w:p>
    <w:p w14:paraId="47DF03D4" w14:textId="77777777" w:rsidR="003A1DAA" w:rsidRPr="005E3B43" w:rsidRDefault="003A1DAA" w:rsidP="00763BCF">
      <w:pPr>
        <w:pStyle w:val="paragraph"/>
      </w:pPr>
      <w:r w:rsidRPr="005E3B43">
        <w:tab/>
        <w:t>(d)</w:t>
      </w:r>
      <w:r w:rsidRPr="005E3B43">
        <w:tab/>
        <w:t>bankruptcy;</w:t>
      </w:r>
    </w:p>
    <w:p w14:paraId="51A2AD50" w14:textId="77777777" w:rsidR="003A1DAA" w:rsidRPr="005E3B43" w:rsidRDefault="003A1DAA" w:rsidP="00763BCF">
      <w:pPr>
        <w:pStyle w:val="paragraph"/>
      </w:pPr>
      <w:r w:rsidRPr="005E3B43">
        <w:tab/>
        <w:t>(e)</w:t>
      </w:r>
      <w:r w:rsidRPr="005E3B43">
        <w:tab/>
        <w:t>failing to comply with the disclosure of interest requirements mentioned in regulation</w:t>
      </w:r>
      <w:r w:rsidR="004E6D00" w:rsidRPr="005E3B43">
        <w:t> </w:t>
      </w:r>
      <w:r w:rsidRPr="005E3B43">
        <w:t>42.</w:t>
      </w:r>
    </w:p>
    <w:p w14:paraId="68DFB2F9" w14:textId="77777777" w:rsidR="00B72E8F" w:rsidRPr="005E3B43" w:rsidRDefault="00B72E8F" w:rsidP="00763BCF">
      <w:pPr>
        <w:pStyle w:val="subsection"/>
      </w:pPr>
      <w:r w:rsidRPr="005E3B43">
        <w:tab/>
        <w:t>(2)</w:t>
      </w:r>
      <w:r w:rsidRPr="005E3B43">
        <w:tab/>
        <w:t>The Minister must terminate a member’s appointment if:</w:t>
      </w:r>
    </w:p>
    <w:p w14:paraId="68E1DD49" w14:textId="77777777" w:rsidR="00B72E8F" w:rsidRPr="005E3B43" w:rsidRDefault="00B72E8F" w:rsidP="00763BCF">
      <w:pPr>
        <w:pStyle w:val="paragraph"/>
      </w:pPr>
      <w:r w:rsidRPr="005E3B43">
        <w:tab/>
        <w:t>(a)</w:t>
      </w:r>
      <w:r w:rsidRPr="005E3B43">
        <w:tab/>
        <w:t>the member is convicted of an offence punishable by imprisonment for at least 1 year; or</w:t>
      </w:r>
    </w:p>
    <w:p w14:paraId="3BF329C3" w14:textId="77777777" w:rsidR="00B72E8F" w:rsidRPr="005E3B43" w:rsidRDefault="00B72E8F" w:rsidP="00763BCF">
      <w:pPr>
        <w:pStyle w:val="paragraph"/>
      </w:pPr>
      <w:r w:rsidRPr="005E3B43">
        <w:tab/>
        <w:t>(b)</w:t>
      </w:r>
      <w:r w:rsidRPr="005E3B43">
        <w:tab/>
        <w:t>if the member is absent without leave of absence from 3 consecutive meetings of the committee.</w:t>
      </w:r>
    </w:p>
    <w:p w14:paraId="7A95FB6C" w14:textId="77777777" w:rsidR="00B72E8F" w:rsidRPr="005E3B43" w:rsidRDefault="00B72E8F" w:rsidP="00763BCF">
      <w:pPr>
        <w:pStyle w:val="ActHead5"/>
      </w:pPr>
      <w:bookmarkStart w:id="180" w:name="_Toc187135774"/>
      <w:r w:rsidRPr="005E3B43">
        <w:rPr>
          <w:rStyle w:val="CharSectno"/>
        </w:rPr>
        <w:lastRenderedPageBreak/>
        <w:t>41D</w:t>
      </w:r>
      <w:r w:rsidR="00E20BA4" w:rsidRPr="005E3B43">
        <w:t xml:space="preserve">  </w:t>
      </w:r>
      <w:r w:rsidRPr="005E3B43">
        <w:t>Leave of absence</w:t>
      </w:r>
      <w:bookmarkEnd w:id="180"/>
    </w:p>
    <w:p w14:paraId="66DB596A" w14:textId="77777777" w:rsidR="00B72E8F" w:rsidRPr="005E3B43" w:rsidRDefault="00B72E8F" w:rsidP="00763BCF">
      <w:pPr>
        <w:pStyle w:val="subsection"/>
      </w:pPr>
      <w:r w:rsidRPr="005E3B43">
        <w:tab/>
        <w:t>(1)</w:t>
      </w:r>
      <w:r w:rsidRPr="005E3B43">
        <w:tab/>
        <w:t>The Minister may grant leave of absence to the chair.</w:t>
      </w:r>
    </w:p>
    <w:p w14:paraId="08022907" w14:textId="77777777" w:rsidR="00B72E8F" w:rsidRPr="005E3B43" w:rsidRDefault="00B72E8F" w:rsidP="00763BCF">
      <w:pPr>
        <w:pStyle w:val="subsection"/>
      </w:pPr>
      <w:r w:rsidRPr="005E3B43">
        <w:tab/>
        <w:t>(2)</w:t>
      </w:r>
      <w:r w:rsidRPr="005E3B43">
        <w:tab/>
        <w:t>The chair may grant leave of absence to another committee member.</w:t>
      </w:r>
    </w:p>
    <w:p w14:paraId="55ECAC23" w14:textId="77777777" w:rsidR="00B72E8F" w:rsidRPr="005E3B43" w:rsidRDefault="00B72E8F" w:rsidP="00763BCF">
      <w:pPr>
        <w:pStyle w:val="ActHead5"/>
      </w:pPr>
      <w:bookmarkStart w:id="181" w:name="_Toc187135775"/>
      <w:r w:rsidRPr="005E3B43">
        <w:rPr>
          <w:rStyle w:val="CharSectno"/>
        </w:rPr>
        <w:t>41E</w:t>
      </w:r>
      <w:r w:rsidR="00E20BA4" w:rsidRPr="005E3B43">
        <w:t xml:space="preserve">  </w:t>
      </w:r>
      <w:r w:rsidRPr="005E3B43">
        <w:t>Acting members</w:t>
      </w:r>
      <w:bookmarkEnd w:id="181"/>
    </w:p>
    <w:p w14:paraId="73949633" w14:textId="77777777" w:rsidR="00B72E8F" w:rsidRPr="005E3B43" w:rsidRDefault="00B72E8F" w:rsidP="00763BCF">
      <w:pPr>
        <w:pStyle w:val="subsection"/>
      </w:pPr>
      <w:r w:rsidRPr="005E3B43">
        <w:tab/>
        <w:t>(1)</w:t>
      </w:r>
      <w:r w:rsidRPr="005E3B43">
        <w:tab/>
        <w:t>The Minister may appoint a person to act as a member of a committee.</w:t>
      </w:r>
    </w:p>
    <w:p w14:paraId="26531A6A" w14:textId="77777777" w:rsidR="00B72E8F" w:rsidRPr="005E3B43" w:rsidRDefault="00B72E8F" w:rsidP="00763BCF">
      <w:pPr>
        <w:pStyle w:val="subsection"/>
      </w:pPr>
      <w:r w:rsidRPr="005E3B43">
        <w:tab/>
        <w:t>(2)</w:t>
      </w:r>
      <w:r w:rsidRPr="005E3B43">
        <w:tab/>
        <w:t>A person may act as a member of a committee:</w:t>
      </w:r>
    </w:p>
    <w:p w14:paraId="5D291FF6" w14:textId="77777777" w:rsidR="00B72E8F" w:rsidRPr="005E3B43" w:rsidRDefault="00B72E8F" w:rsidP="00763BCF">
      <w:pPr>
        <w:pStyle w:val="paragraph"/>
      </w:pPr>
      <w:r w:rsidRPr="005E3B43">
        <w:tab/>
        <w:t>(a)</w:t>
      </w:r>
      <w:r w:rsidRPr="005E3B43">
        <w:tab/>
        <w:t>during a vacancy in the office, whether or not an appointment has previously been made to the office; or</w:t>
      </w:r>
    </w:p>
    <w:p w14:paraId="0DBBF6D6" w14:textId="77777777" w:rsidR="00B72E8F" w:rsidRPr="005E3B43" w:rsidRDefault="00B72E8F" w:rsidP="00763BCF">
      <w:pPr>
        <w:pStyle w:val="paragraph"/>
      </w:pPr>
      <w:r w:rsidRPr="005E3B43">
        <w:tab/>
        <w:t>(b)</w:t>
      </w:r>
      <w:r w:rsidRPr="005E3B43">
        <w:tab/>
        <w:t>during any period, or during all periods, when the holder of the office is absent from duty or is, for any reason, unable to perform the duties of the office.</w:t>
      </w:r>
    </w:p>
    <w:p w14:paraId="7EF93ABE" w14:textId="77777777" w:rsidR="00B72E8F" w:rsidRPr="005E3B43" w:rsidRDefault="00B72E8F" w:rsidP="00763BCF">
      <w:pPr>
        <w:pStyle w:val="subsection"/>
      </w:pPr>
      <w:r w:rsidRPr="005E3B43">
        <w:tab/>
        <w:t>(3)</w:t>
      </w:r>
      <w:r w:rsidRPr="005E3B43">
        <w:tab/>
        <w:t>A person appointed to act in an office must, to the extent reasonably practicable:</w:t>
      </w:r>
    </w:p>
    <w:p w14:paraId="3A4F8468" w14:textId="77777777" w:rsidR="00B72E8F" w:rsidRPr="005E3B43" w:rsidRDefault="00B72E8F" w:rsidP="00763BCF">
      <w:pPr>
        <w:pStyle w:val="paragraph"/>
      </w:pPr>
      <w:r w:rsidRPr="005E3B43">
        <w:tab/>
        <w:t>(a)</w:t>
      </w:r>
      <w:r w:rsidRPr="005E3B43">
        <w:tab/>
        <w:t>if a particular qualification is required for a substantive member</w:t>
      </w:r>
      <w:r w:rsidR="00E20BA4" w:rsidRPr="005E3B43">
        <w:t>—</w:t>
      </w:r>
      <w:r w:rsidRPr="005E3B43">
        <w:t>hold that qualification; or</w:t>
      </w:r>
    </w:p>
    <w:p w14:paraId="17976D83" w14:textId="77777777" w:rsidR="00B72E8F" w:rsidRPr="005E3B43" w:rsidRDefault="00B72E8F" w:rsidP="00763BCF">
      <w:pPr>
        <w:pStyle w:val="paragraph"/>
      </w:pPr>
      <w:r w:rsidRPr="005E3B43">
        <w:tab/>
        <w:t>(b)</w:t>
      </w:r>
      <w:r w:rsidRPr="005E3B43">
        <w:tab/>
        <w:t>if different qualifications are required for all members of the committee</w:t>
      </w:r>
      <w:r w:rsidR="00E20BA4" w:rsidRPr="005E3B43">
        <w:t>—</w:t>
      </w:r>
      <w:r w:rsidRPr="005E3B43">
        <w:t>hold 1 of those qualifications.</w:t>
      </w:r>
    </w:p>
    <w:p w14:paraId="27510B5D" w14:textId="77777777" w:rsidR="00B72E8F" w:rsidRPr="005E3B43" w:rsidRDefault="00B72E8F" w:rsidP="00763BCF">
      <w:pPr>
        <w:pStyle w:val="subsection"/>
      </w:pPr>
      <w:r w:rsidRPr="005E3B43">
        <w:tab/>
        <w:t>(4)</w:t>
      </w:r>
      <w:r w:rsidRPr="005E3B43">
        <w:tab/>
        <w:t>A person appointed to act during a vacancy must not continue to act for more than 12 months.</w:t>
      </w:r>
    </w:p>
    <w:p w14:paraId="6B2DC147" w14:textId="77777777" w:rsidR="00B72E8F" w:rsidRPr="005E3B43" w:rsidRDefault="00B72E8F" w:rsidP="00763BCF">
      <w:pPr>
        <w:pStyle w:val="ActHead5"/>
      </w:pPr>
      <w:bookmarkStart w:id="182" w:name="_Toc187135776"/>
      <w:r w:rsidRPr="005E3B43">
        <w:rPr>
          <w:rStyle w:val="CharSectno"/>
        </w:rPr>
        <w:t>41F</w:t>
      </w:r>
      <w:r w:rsidR="00E20BA4" w:rsidRPr="005E3B43">
        <w:t xml:space="preserve">  </w:t>
      </w:r>
      <w:r w:rsidRPr="005E3B43">
        <w:t>Committee procedures</w:t>
      </w:r>
      <w:bookmarkEnd w:id="182"/>
    </w:p>
    <w:p w14:paraId="555CC078" w14:textId="77777777" w:rsidR="00B72E8F" w:rsidRPr="005E3B43" w:rsidRDefault="00B72E8F" w:rsidP="00763BCF">
      <w:pPr>
        <w:pStyle w:val="subsection"/>
      </w:pPr>
      <w:r w:rsidRPr="005E3B43">
        <w:tab/>
      </w:r>
      <w:r w:rsidRPr="005E3B43">
        <w:tab/>
        <w:t>In performing its functions, a committee:</w:t>
      </w:r>
    </w:p>
    <w:p w14:paraId="6250A936" w14:textId="77777777" w:rsidR="00B72E8F" w:rsidRPr="005E3B43" w:rsidRDefault="00B72E8F" w:rsidP="00763BCF">
      <w:pPr>
        <w:pStyle w:val="paragraph"/>
      </w:pPr>
      <w:r w:rsidRPr="005E3B43">
        <w:tab/>
        <w:t>(a)</w:t>
      </w:r>
      <w:r w:rsidRPr="005E3B43">
        <w:tab/>
        <w:t>must act in accordance with this Division; and</w:t>
      </w:r>
    </w:p>
    <w:p w14:paraId="4B7872DB" w14:textId="77777777" w:rsidR="00B72E8F" w:rsidRPr="005E3B43" w:rsidRDefault="00B72E8F" w:rsidP="00763BCF">
      <w:pPr>
        <w:pStyle w:val="paragraph"/>
      </w:pPr>
      <w:r w:rsidRPr="005E3B43">
        <w:tab/>
        <w:t>(b)</w:t>
      </w:r>
      <w:r w:rsidRPr="005E3B43">
        <w:tab/>
        <w:t>must act with as little formality and as quickly as this Division and a proper consideration of the issues before the committee allow; and</w:t>
      </w:r>
    </w:p>
    <w:p w14:paraId="66DB0729" w14:textId="77777777" w:rsidR="00B72E8F" w:rsidRPr="005E3B43" w:rsidRDefault="00B72E8F" w:rsidP="00763BCF">
      <w:pPr>
        <w:pStyle w:val="paragraph"/>
      </w:pPr>
      <w:r w:rsidRPr="005E3B43">
        <w:tab/>
        <w:t>(c)</w:t>
      </w:r>
      <w:r w:rsidRPr="005E3B43">
        <w:tab/>
        <w:t>is not bound by the rules of evidence; and</w:t>
      </w:r>
    </w:p>
    <w:p w14:paraId="7BAE944C" w14:textId="77777777" w:rsidR="00B72E8F" w:rsidRPr="005E3B43" w:rsidRDefault="00B72E8F" w:rsidP="00763BCF">
      <w:pPr>
        <w:pStyle w:val="paragraph"/>
      </w:pPr>
      <w:r w:rsidRPr="005E3B43">
        <w:tab/>
        <w:t>(d)</w:t>
      </w:r>
      <w:r w:rsidRPr="005E3B43">
        <w:tab/>
        <w:t>may obtain information about an issue in any way it considers appropriate (subject to subregulation</w:t>
      </w:r>
      <w:r w:rsidR="004E6D00" w:rsidRPr="005E3B43">
        <w:t> </w:t>
      </w:r>
      <w:r w:rsidRPr="005E3B43">
        <w:t>42(9)); and</w:t>
      </w:r>
    </w:p>
    <w:p w14:paraId="737C10BB" w14:textId="77777777" w:rsidR="00B72E8F" w:rsidRPr="005E3B43" w:rsidRDefault="00B72E8F" w:rsidP="00763BCF">
      <w:pPr>
        <w:pStyle w:val="paragraph"/>
      </w:pPr>
      <w:r w:rsidRPr="005E3B43">
        <w:tab/>
        <w:t>(e)</w:t>
      </w:r>
      <w:r w:rsidRPr="005E3B43">
        <w:tab/>
        <w:t>may receive information or submissions orally or in writing; and</w:t>
      </w:r>
    </w:p>
    <w:p w14:paraId="799AD023" w14:textId="77777777" w:rsidR="00B72E8F" w:rsidRPr="005E3B43" w:rsidRDefault="00B72E8F" w:rsidP="00763BCF">
      <w:pPr>
        <w:pStyle w:val="paragraph"/>
      </w:pPr>
      <w:r w:rsidRPr="005E3B43">
        <w:tab/>
        <w:t>(f)</w:t>
      </w:r>
      <w:r w:rsidRPr="005E3B43">
        <w:tab/>
        <w:t>must comply with any directions given, in writing, to the committee by the Minister or the Secretary about the committee’s performance of its functions (other than a direction about advice given or proposed to be given by the committee).</w:t>
      </w:r>
    </w:p>
    <w:p w14:paraId="432FD8CF" w14:textId="77777777" w:rsidR="00B72E8F" w:rsidRPr="005E3B43" w:rsidRDefault="00B72E8F" w:rsidP="00763BCF">
      <w:pPr>
        <w:pStyle w:val="ActHead5"/>
      </w:pPr>
      <w:bookmarkStart w:id="183" w:name="_Toc187135777"/>
      <w:r w:rsidRPr="005E3B43">
        <w:rPr>
          <w:rStyle w:val="CharSectno"/>
        </w:rPr>
        <w:t>41G</w:t>
      </w:r>
      <w:r w:rsidR="00E20BA4" w:rsidRPr="005E3B43">
        <w:t xml:space="preserve">  </w:t>
      </w:r>
      <w:r w:rsidRPr="005E3B43">
        <w:t>Meetings</w:t>
      </w:r>
      <w:bookmarkEnd w:id="183"/>
    </w:p>
    <w:p w14:paraId="1D9D4E0D" w14:textId="77777777" w:rsidR="00B72E8F" w:rsidRPr="005E3B43" w:rsidRDefault="00B72E8F" w:rsidP="00763BCF">
      <w:pPr>
        <w:pStyle w:val="subsection"/>
      </w:pPr>
      <w:r w:rsidRPr="005E3B43">
        <w:tab/>
        <w:t>(1)</w:t>
      </w:r>
      <w:r w:rsidRPr="005E3B43">
        <w:tab/>
        <w:t>The chair of a committee may give written notice to the committee, or to some members of the committee, directing the committee, or those members, to hold meetings at the times and places, and to deal with the matters in the manner, stated in the notice.</w:t>
      </w:r>
    </w:p>
    <w:p w14:paraId="36C7FBD3" w14:textId="77777777" w:rsidR="00B72E8F" w:rsidRPr="005E3B43" w:rsidRDefault="00B72E8F" w:rsidP="00763BCF">
      <w:pPr>
        <w:pStyle w:val="subsection"/>
      </w:pPr>
      <w:r w:rsidRPr="005E3B43">
        <w:lastRenderedPageBreak/>
        <w:tab/>
        <w:t>(2)</w:t>
      </w:r>
      <w:r w:rsidRPr="005E3B43">
        <w:tab/>
        <w:t>The procedure of a meeting must be determined by the committee in accordance with this Division.</w:t>
      </w:r>
    </w:p>
    <w:p w14:paraId="3114A2D9" w14:textId="77777777" w:rsidR="00B72E8F" w:rsidRPr="005E3B43" w:rsidRDefault="00B72E8F" w:rsidP="00763BCF">
      <w:pPr>
        <w:pStyle w:val="ActHead5"/>
      </w:pPr>
      <w:bookmarkStart w:id="184" w:name="_Toc187135778"/>
      <w:r w:rsidRPr="005E3B43">
        <w:rPr>
          <w:rStyle w:val="CharSectno"/>
        </w:rPr>
        <w:t>41H</w:t>
      </w:r>
      <w:r w:rsidR="00E20BA4" w:rsidRPr="005E3B43">
        <w:t xml:space="preserve">  </w:t>
      </w:r>
      <w:r w:rsidRPr="005E3B43">
        <w:t>Presiding member</w:t>
      </w:r>
      <w:bookmarkEnd w:id="184"/>
    </w:p>
    <w:p w14:paraId="7FB82676" w14:textId="77777777" w:rsidR="00B72E8F" w:rsidRPr="005E3B43" w:rsidRDefault="00B72E8F" w:rsidP="00763BCF">
      <w:pPr>
        <w:pStyle w:val="subsection"/>
      </w:pPr>
      <w:r w:rsidRPr="005E3B43">
        <w:tab/>
        <w:t>(1)</w:t>
      </w:r>
      <w:r w:rsidRPr="005E3B43">
        <w:tab/>
        <w:t>The chair must preside at a committee meeting or nominate a member of the committee to preside at the meeting.</w:t>
      </w:r>
    </w:p>
    <w:p w14:paraId="56A86F95" w14:textId="77777777" w:rsidR="00B72E8F" w:rsidRPr="005E3B43" w:rsidRDefault="00B72E8F" w:rsidP="00763BCF">
      <w:pPr>
        <w:pStyle w:val="subsection"/>
      </w:pPr>
      <w:r w:rsidRPr="005E3B43">
        <w:tab/>
        <w:t>(2)</w:t>
      </w:r>
      <w:r w:rsidRPr="005E3B43">
        <w:tab/>
        <w:t>If the chair is temporarily absent from a meeting, the member chosen by the members present must preside at the meeting.</w:t>
      </w:r>
    </w:p>
    <w:p w14:paraId="16CD8491" w14:textId="77777777" w:rsidR="00B72E8F" w:rsidRPr="005E3B43" w:rsidRDefault="00B72E8F" w:rsidP="00763BCF">
      <w:pPr>
        <w:pStyle w:val="subsection"/>
      </w:pPr>
      <w:r w:rsidRPr="005E3B43">
        <w:tab/>
        <w:t>(3)</w:t>
      </w:r>
      <w:r w:rsidRPr="005E3B43">
        <w:tab/>
        <w:t>A member chosen to preside under subregulation</w:t>
      </w:r>
      <w:r w:rsidR="002B4943" w:rsidRPr="005E3B43">
        <w:t> </w:t>
      </w:r>
      <w:r w:rsidRPr="005E3B43">
        <w:t>(2) may exercise the powers and functions of the chair.</w:t>
      </w:r>
    </w:p>
    <w:p w14:paraId="6563758E" w14:textId="77777777" w:rsidR="00B72E8F" w:rsidRPr="005E3B43" w:rsidRDefault="00B72E8F" w:rsidP="00763BCF">
      <w:pPr>
        <w:pStyle w:val="ActHead5"/>
      </w:pPr>
      <w:bookmarkStart w:id="185" w:name="_Toc187135779"/>
      <w:r w:rsidRPr="005E3B43">
        <w:rPr>
          <w:rStyle w:val="CharSectno"/>
        </w:rPr>
        <w:t>41I</w:t>
      </w:r>
      <w:r w:rsidR="00E20BA4" w:rsidRPr="005E3B43">
        <w:t xml:space="preserve">  </w:t>
      </w:r>
      <w:r w:rsidRPr="005E3B43">
        <w:t>Quorum</w:t>
      </w:r>
      <w:bookmarkEnd w:id="185"/>
    </w:p>
    <w:p w14:paraId="33A1C258" w14:textId="77777777" w:rsidR="00B72E8F" w:rsidRPr="005E3B43" w:rsidRDefault="00B72E8F" w:rsidP="00763BCF">
      <w:pPr>
        <w:pStyle w:val="subsection"/>
      </w:pPr>
      <w:r w:rsidRPr="005E3B43">
        <w:tab/>
      </w:r>
      <w:r w:rsidRPr="005E3B43">
        <w:tab/>
        <w:t>A quorum exists at a committee meeting when:</w:t>
      </w:r>
    </w:p>
    <w:p w14:paraId="5FA98A2D" w14:textId="77777777" w:rsidR="00B72E8F" w:rsidRPr="005E3B43" w:rsidRDefault="00B72E8F" w:rsidP="00763BCF">
      <w:pPr>
        <w:pStyle w:val="paragraph"/>
      </w:pPr>
      <w:r w:rsidRPr="005E3B43">
        <w:tab/>
        <w:t>(a)</w:t>
      </w:r>
      <w:r w:rsidRPr="005E3B43">
        <w:tab/>
        <w:t>at least half of the members are present; or</w:t>
      </w:r>
    </w:p>
    <w:p w14:paraId="0626C2E2" w14:textId="77777777" w:rsidR="00B72E8F" w:rsidRPr="005E3B43" w:rsidRDefault="00B72E8F" w:rsidP="00763BCF">
      <w:pPr>
        <w:pStyle w:val="paragraph"/>
      </w:pPr>
      <w:r w:rsidRPr="005E3B43">
        <w:tab/>
        <w:t>(b)</w:t>
      </w:r>
      <w:r w:rsidRPr="005E3B43">
        <w:tab/>
        <w:t>at least half of the members who have been directed to hold the meeting under subregulation</w:t>
      </w:r>
      <w:r w:rsidR="004E6D00" w:rsidRPr="005E3B43">
        <w:t> </w:t>
      </w:r>
      <w:r w:rsidRPr="005E3B43">
        <w:t>41G(1) are present.</w:t>
      </w:r>
    </w:p>
    <w:p w14:paraId="180F061C" w14:textId="77777777" w:rsidR="00B72E8F" w:rsidRPr="005E3B43" w:rsidRDefault="00B72E8F" w:rsidP="00763BCF">
      <w:pPr>
        <w:pStyle w:val="ActHead5"/>
      </w:pPr>
      <w:bookmarkStart w:id="186" w:name="_Toc187135780"/>
      <w:r w:rsidRPr="005E3B43">
        <w:rPr>
          <w:rStyle w:val="CharSectno"/>
        </w:rPr>
        <w:t>41J</w:t>
      </w:r>
      <w:r w:rsidR="00E20BA4" w:rsidRPr="005E3B43">
        <w:t xml:space="preserve">  </w:t>
      </w:r>
      <w:r w:rsidRPr="005E3B43">
        <w:t>Voting</w:t>
      </w:r>
      <w:bookmarkEnd w:id="186"/>
    </w:p>
    <w:p w14:paraId="136A27E2" w14:textId="77777777" w:rsidR="00B72E8F" w:rsidRPr="005E3B43" w:rsidRDefault="00B72E8F" w:rsidP="00763BCF">
      <w:pPr>
        <w:pStyle w:val="subsection"/>
      </w:pPr>
      <w:r w:rsidRPr="005E3B43">
        <w:tab/>
        <w:t>(1)</w:t>
      </w:r>
      <w:r w:rsidRPr="005E3B43">
        <w:tab/>
        <w:t>A decision made at a committee meeting by a majority of the votes of the members present and voting is a decision of the committee.</w:t>
      </w:r>
    </w:p>
    <w:p w14:paraId="6A88B60E" w14:textId="77777777" w:rsidR="00B72E8F" w:rsidRPr="005E3B43" w:rsidRDefault="00B72E8F" w:rsidP="00763BCF">
      <w:pPr>
        <w:pStyle w:val="subsection"/>
      </w:pPr>
      <w:r w:rsidRPr="005E3B43">
        <w:tab/>
        <w:t>(2)</w:t>
      </w:r>
      <w:r w:rsidRPr="005E3B43">
        <w:tab/>
        <w:t>The member presiding at a committee meeting has a deliberative vote and, if the votes are equal, also has a casting vote.</w:t>
      </w:r>
    </w:p>
    <w:p w14:paraId="19BD36B1" w14:textId="77777777" w:rsidR="00B72E8F" w:rsidRPr="005E3B43" w:rsidRDefault="00B72E8F" w:rsidP="00763BCF">
      <w:pPr>
        <w:pStyle w:val="ActHead5"/>
      </w:pPr>
      <w:bookmarkStart w:id="187" w:name="_Toc187135781"/>
      <w:r w:rsidRPr="005E3B43">
        <w:rPr>
          <w:rStyle w:val="CharSectno"/>
        </w:rPr>
        <w:t>42</w:t>
      </w:r>
      <w:r w:rsidR="00E20BA4" w:rsidRPr="005E3B43">
        <w:t xml:space="preserve">  </w:t>
      </w:r>
      <w:r w:rsidRPr="005E3B43">
        <w:t>Miscellaneous</w:t>
      </w:r>
      <w:bookmarkEnd w:id="187"/>
    </w:p>
    <w:p w14:paraId="0AE7E498" w14:textId="77777777" w:rsidR="00B72E8F" w:rsidRPr="005E3B43" w:rsidRDefault="00B72E8F" w:rsidP="00763BCF">
      <w:pPr>
        <w:pStyle w:val="SubsectionHead"/>
      </w:pPr>
      <w:r w:rsidRPr="005E3B43">
        <w:t>Sitting fees and travel entitlements</w:t>
      </w:r>
    </w:p>
    <w:p w14:paraId="7D3948D9" w14:textId="77777777" w:rsidR="00B72E8F" w:rsidRPr="005E3B43" w:rsidRDefault="00B72E8F" w:rsidP="00763BCF">
      <w:pPr>
        <w:pStyle w:val="subsection"/>
      </w:pPr>
      <w:r w:rsidRPr="005E3B43">
        <w:tab/>
        <w:t>(1)</w:t>
      </w:r>
      <w:r w:rsidRPr="005E3B43">
        <w:tab/>
        <w:t>A member of a committee is entitled to sitting fees and travel entitlements as determined by the Remuneration Tribunal.</w:t>
      </w:r>
    </w:p>
    <w:p w14:paraId="19AC9E6D" w14:textId="77777777" w:rsidR="00B72E8F" w:rsidRPr="005E3B43" w:rsidRDefault="00B72E8F" w:rsidP="00763BCF">
      <w:pPr>
        <w:pStyle w:val="SubsectionHead"/>
      </w:pPr>
      <w:r w:rsidRPr="005E3B43">
        <w:t>When committee may establish subcommittees</w:t>
      </w:r>
    </w:p>
    <w:p w14:paraId="0E467D2A" w14:textId="77777777" w:rsidR="00B72E8F" w:rsidRPr="005E3B43" w:rsidRDefault="00B72E8F" w:rsidP="00763BCF">
      <w:pPr>
        <w:pStyle w:val="subsection"/>
      </w:pPr>
      <w:r w:rsidRPr="005E3B43">
        <w:tab/>
        <w:t>(2)</w:t>
      </w:r>
      <w:r w:rsidRPr="005E3B43">
        <w:tab/>
        <w:t xml:space="preserve">A committee, with the approval of the </w:t>
      </w:r>
      <w:r w:rsidR="00A57667" w:rsidRPr="005E3B43">
        <w:t>Secretary</w:t>
      </w:r>
      <w:r w:rsidRPr="005E3B43">
        <w:t>, may establish subcommittees, consisting of members and other persons.</w:t>
      </w:r>
    </w:p>
    <w:p w14:paraId="413C6543" w14:textId="77777777" w:rsidR="00B72E8F" w:rsidRPr="005E3B43" w:rsidRDefault="00B72E8F" w:rsidP="00763BCF">
      <w:pPr>
        <w:pStyle w:val="subsection"/>
      </w:pPr>
      <w:r w:rsidRPr="005E3B43">
        <w:tab/>
        <w:t>(3)</w:t>
      </w:r>
      <w:r w:rsidRPr="005E3B43">
        <w:tab/>
        <w:t>The function of the subcommittee is to inquire into, and report to the committee on, any matter referred to the subcommittee that is within the functions of the committee.</w:t>
      </w:r>
    </w:p>
    <w:p w14:paraId="45058D3D" w14:textId="77777777" w:rsidR="00B72E8F" w:rsidRPr="005E3B43" w:rsidRDefault="00B72E8F" w:rsidP="00763BCF">
      <w:pPr>
        <w:pStyle w:val="SubsectionHead"/>
      </w:pPr>
      <w:r w:rsidRPr="005E3B43">
        <w:t>Disclosure of interests</w:t>
      </w:r>
    </w:p>
    <w:p w14:paraId="01082518" w14:textId="77777777" w:rsidR="00B72E8F" w:rsidRPr="005E3B43" w:rsidRDefault="00B72E8F" w:rsidP="00763BCF">
      <w:pPr>
        <w:pStyle w:val="subsection"/>
      </w:pPr>
      <w:r w:rsidRPr="005E3B43">
        <w:tab/>
        <w:t>(4)</w:t>
      </w:r>
      <w:r w:rsidRPr="005E3B43">
        <w:tab/>
        <w:t>A member of a committee who is aware that he or she has a direct or indirect material personal interest (whether pecuniary or not) in a matter being considered or about to be considered at a meeting of the committee must, without delay, disclose the nature of the interest at, or before, the meeting of the committee.</w:t>
      </w:r>
    </w:p>
    <w:p w14:paraId="3083CB95" w14:textId="77777777" w:rsidR="00B72E8F" w:rsidRPr="005E3B43" w:rsidRDefault="00B72E8F" w:rsidP="00763BCF">
      <w:pPr>
        <w:pStyle w:val="subsection"/>
      </w:pPr>
      <w:r w:rsidRPr="005E3B43">
        <w:lastRenderedPageBreak/>
        <w:tab/>
        <w:t>(5)</w:t>
      </w:r>
      <w:r w:rsidRPr="005E3B43">
        <w:tab/>
        <w:t xml:space="preserve">The disclosure must be recorded in the minutes of the meeting and the member must not, unless the committee otherwise determines, either be present during any deliberation of the committee about the matter or take </w:t>
      </w:r>
      <w:r w:rsidR="009D7AE0" w:rsidRPr="005E3B43">
        <w:t>part i</w:t>
      </w:r>
      <w:r w:rsidRPr="005E3B43">
        <w:t>n any decision of the committee about that matter.</w:t>
      </w:r>
    </w:p>
    <w:p w14:paraId="4B25E002" w14:textId="77777777" w:rsidR="00B72E8F" w:rsidRPr="005E3B43" w:rsidRDefault="00B72E8F" w:rsidP="00763BCF">
      <w:pPr>
        <w:pStyle w:val="subsection"/>
      </w:pPr>
      <w:r w:rsidRPr="005E3B43">
        <w:tab/>
        <w:t>(6)</w:t>
      </w:r>
      <w:r w:rsidRPr="005E3B43">
        <w:tab/>
        <w:t xml:space="preserve">When a committee is making a determination about a member who has made a disclosure, the member, and any other member who has a direct or indirect </w:t>
      </w:r>
      <w:r w:rsidR="00E92FE9" w:rsidRPr="005E3B43">
        <w:t xml:space="preserve">material personal interest (whether pecuniary or not) </w:t>
      </w:r>
      <w:r w:rsidRPr="005E3B43">
        <w:t xml:space="preserve">in the matter to which the disclosure relates, must not either be present during any deliberation of the committee or take </w:t>
      </w:r>
      <w:r w:rsidR="009D7AE0" w:rsidRPr="005E3B43">
        <w:t>part i</w:t>
      </w:r>
      <w:r w:rsidRPr="005E3B43">
        <w:t>n making the determination.</w:t>
      </w:r>
    </w:p>
    <w:p w14:paraId="070F79A5" w14:textId="77777777" w:rsidR="00B72E8F" w:rsidRPr="005E3B43" w:rsidRDefault="00B72E8F" w:rsidP="00763BCF">
      <w:pPr>
        <w:pStyle w:val="subsection"/>
      </w:pPr>
      <w:r w:rsidRPr="005E3B43">
        <w:tab/>
        <w:t>(7)</w:t>
      </w:r>
      <w:r w:rsidRPr="005E3B43">
        <w:tab/>
        <w:t>A member of a subcommittee appointed by a committee, who is aware that he or she has a direct or indirect material personal interest (whether pecuniary or not) in a matter being considered, or about to be considered, at a meeting of the subcommittee must, without delay, disclose the nature of the interest at, or before, the meeting of the subcommittee.</w:t>
      </w:r>
    </w:p>
    <w:p w14:paraId="77BA60B1" w14:textId="77777777" w:rsidR="00B72E8F" w:rsidRPr="005E3B43" w:rsidRDefault="00B72E8F" w:rsidP="00763BCF">
      <w:pPr>
        <w:pStyle w:val="SubsectionHead"/>
      </w:pPr>
      <w:r w:rsidRPr="005E3B43">
        <w:t>Seeking further advice</w:t>
      </w:r>
    </w:p>
    <w:p w14:paraId="441C5784" w14:textId="77777777" w:rsidR="00B72E8F" w:rsidRPr="005E3B43" w:rsidRDefault="00B72E8F" w:rsidP="00763BCF">
      <w:pPr>
        <w:pStyle w:val="subsection"/>
      </w:pPr>
      <w:r w:rsidRPr="005E3B43">
        <w:tab/>
        <w:t>(8)</w:t>
      </w:r>
      <w:r w:rsidRPr="005E3B43">
        <w:tab/>
        <w:t>Any advice or recommendation given by a committee to the Minister or the Secretary may be given to another expert advisory committee for the advice of that committee.</w:t>
      </w:r>
    </w:p>
    <w:p w14:paraId="0E564E7B" w14:textId="77777777" w:rsidR="00B72E8F" w:rsidRPr="005E3B43" w:rsidRDefault="00B72E8F" w:rsidP="00763BCF">
      <w:pPr>
        <w:pStyle w:val="subsection"/>
      </w:pPr>
      <w:r w:rsidRPr="005E3B43">
        <w:tab/>
        <w:t>(9)</w:t>
      </w:r>
      <w:r w:rsidRPr="005E3B43">
        <w:tab/>
        <w:t>In performing its functions, a committee may seek advice from other persons.</w:t>
      </w:r>
    </w:p>
    <w:p w14:paraId="200D6AE6" w14:textId="77777777" w:rsidR="00B72E8F" w:rsidRPr="005E3B43" w:rsidRDefault="00B72E8F" w:rsidP="00763BCF">
      <w:pPr>
        <w:pStyle w:val="SubsectionHead"/>
      </w:pPr>
      <w:r w:rsidRPr="005E3B43">
        <w:t>Validity of acts of members</w:t>
      </w:r>
    </w:p>
    <w:p w14:paraId="3DCAC575" w14:textId="77777777" w:rsidR="00B72E8F" w:rsidRPr="005E3B43" w:rsidRDefault="00B72E8F" w:rsidP="00763BCF">
      <w:pPr>
        <w:pStyle w:val="subsection"/>
      </w:pPr>
      <w:r w:rsidRPr="005E3B43">
        <w:tab/>
        <w:t>(10)</w:t>
      </w:r>
      <w:r w:rsidRPr="005E3B43">
        <w:tab/>
        <w:t>Anything done by a person purporting to be or act as a member (including a chair) is not invalid because:</w:t>
      </w:r>
    </w:p>
    <w:p w14:paraId="2705F36B" w14:textId="77777777" w:rsidR="00B72E8F" w:rsidRPr="005E3B43" w:rsidRDefault="00B72E8F" w:rsidP="00763BCF">
      <w:pPr>
        <w:pStyle w:val="paragraph"/>
      </w:pPr>
      <w:r w:rsidRPr="005E3B43">
        <w:tab/>
        <w:t>(a)</w:t>
      </w:r>
      <w:r w:rsidRPr="005E3B43">
        <w:tab/>
        <w:t>the person had not yet been appointed; or</w:t>
      </w:r>
    </w:p>
    <w:p w14:paraId="2A582883" w14:textId="77777777" w:rsidR="00B72E8F" w:rsidRPr="005E3B43" w:rsidRDefault="00B72E8F" w:rsidP="00763BCF">
      <w:pPr>
        <w:pStyle w:val="paragraph"/>
      </w:pPr>
      <w:r w:rsidRPr="005E3B43">
        <w:tab/>
        <w:t>(b)</w:t>
      </w:r>
      <w:r w:rsidRPr="005E3B43">
        <w:tab/>
        <w:t>there is a defect or irregularity in connection with the person’s appointment; or</w:t>
      </w:r>
    </w:p>
    <w:p w14:paraId="1316FEDC" w14:textId="77777777" w:rsidR="00B72E8F" w:rsidRPr="005E3B43" w:rsidRDefault="00B72E8F" w:rsidP="00763BCF">
      <w:pPr>
        <w:pStyle w:val="paragraph"/>
      </w:pPr>
      <w:r w:rsidRPr="005E3B43">
        <w:tab/>
        <w:t>(c)</w:t>
      </w:r>
      <w:r w:rsidRPr="005E3B43">
        <w:tab/>
        <w:t>the person’s appointment had ceased to have effect.</w:t>
      </w:r>
    </w:p>
    <w:p w14:paraId="743C0C85" w14:textId="77777777" w:rsidR="00B72E8F" w:rsidRPr="005E3B43" w:rsidRDefault="00B72E8F" w:rsidP="00763BCF">
      <w:pPr>
        <w:pStyle w:val="SubsectionHead"/>
      </w:pPr>
      <w:r w:rsidRPr="005E3B43">
        <w:t>Records and reports</w:t>
      </w:r>
    </w:p>
    <w:p w14:paraId="3EB938E9" w14:textId="77777777" w:rsidR="00B72E8F" w:rsidRPr="005E3B43" w:rsidRDefault="00B72E8F" w:rsidP="00763BCF">
      <w:pPr>
        <w:pStyle w:val="subsection"/>
      </w:pPr>
      <w:r w:rsidRPr="005E3B43">
        <w:tab/>
        <w:t>(11)</w:t>
      </w:r>
      <w:r w:rsidRPr="005E3B43">
        <w:tab/>
        <w:t>A committee must keep a record of its proceedings, and must prepare any other report about its activities that is requested by the Minister or the Secretary.</w:t>
      </w:r>
    </w:p>
    <w:p w14:paraId="62C92061" w14:textId="77777777" w:rsidR="00F079C4" w:rsidRPr="005E3B43" w:rsidRDefault="00F079C4" w:rsidP="00763BCF">
      <w:pPr>
        <w:pStyle w:val="SubsectionHead"/>
      </w:pPr>
      <w:r w:rsidRPr="005E3B43">
        <w:t>Publication of recommendations of committees</w:t>
      </w:r>
    </w:p>
    <w:p w14:paraId="58EC0BFE" w14:textId="77777777" w:rsidR="00F079C4" w:rsidRPr="005E3B43" w:rsidRDefault="00F079C4" w:rsidP="00763BCF">
      <w:pPr>
        <w:pStyle w:val="subsection"/>
      </w:pPr>
      <w:r w:rsidRPr="005E3B43">
        <w:tab/>
        <w:t>(12)</w:t>
      </w:r>
      <w:r w:rsidRPr="005E3B43">
        <w:tab/>
        <w:t>The Secretary must publish the recommendations of each committee.</w:t>
      </w:r>
    </w:p>
    <w:p w14:paraId="7294F88C" w14:textId="77777777" w:rsidR="00125634" w:rsidRPr="005E3B43" w:rsidRDefault="00BE7FAC" w:rsidP="00763BCF">
      <w:pPr>
        <w:pStyle w:val="ActHead3"/>
        <w:pageBreakBefore/>
      </w:pPr>
      <w:bookmarkStart w:id="188" w:name="_Toc187135782"/>
      <w:r w:rsidRPr="005E3B43">
        <w:rPr>
          <w:rStyle w:val="CharDivNo"/>
        </w:rPr>
        <w:lastRenderedPageBreak/>
        <w:t>Division 3</w:t>
      </w:r>
      <w:r w:rsidR="00125634" w:rsidRPr="005E3B43">
        <w:rPr>
          <w:rStyle w:val="CharDivNo"/>
        </w:rPr>
        <w:t>A</w:t>
      </w:r>
      <w:r w:rsidR="00E20BA4" w:rsidRPr="005E3B43">
        <w:t>—</w:t>
      </w:r>
      <w:r w:rsidR="00125634" w:rsidRPr="005E3B43">
        <w:rPr>
          <w:rStyle w:val="CharDivText"/>
        </w:rPr>
        <w:t>Advisory Committee on Medicines Scheduling</w:t>
      </w:r>
      <w:bookmarkEnd w:id="188"/>
    </w:p>
    <w:p w14:paraId="580FF491" w14:textId="77777777" w:rsidR="00125634" w:rsidRPr="005E3B43" w:rsidRDefault="00125634" w:rsidP="00763BCF">
      <w:pPr>
        <w:pStyle w:val="ActHead4"/>
      </w:pPr>
      <w:bookmarkStart w:id="189" w:name="_Toc187135783"/>
      <w:r w:rsidRPr="005E3B43">
        <w:rPr>
          <w:rStyle w:val="CharSubdNo"/>
        </w:rPr>
        <w:t>Subdivision</w:t>
      </w:r>
      <w:r w:rsidR="004E6D00" w:rsidRPr="005E3B43">
        <w:rPr>
          <w:rStyle w:val="CharSubdNo"/>
        </w:rPr>
        <w:t> </w:t>
      </w:r>
      <w:r w:rsidRPr="005E3B43">
        <w:rPr>
          <w:rStyle w:val="CharSubdNo"/>
        </w:rPr>
        <w:t>3A.1</w:t>
      </w:r>
      <w:r w:rsidR="00E20BA4" w:rsidRPr="005E3B43">
        <w:t>—</w:t>
      </w:r>
      <w:r w:rsidRPr="005E3B43">
        <w:rPr>
          <w:rStyle w:val="CharSubdText"/>
        </w:rPr>
        <w:t>Preliminary</w:t>
      </w:r>
      <w:bookmarkEnd w:id="189"/>
    </w:p>
    <w:p w14:paraId="7726331E" w14:textId="77777777" w:rsidR="00125634" w:rsidRPr="005E3B43" w:rsidRDefault="00125634" w:rsidP="00763BCF">
      <w:pPr>
        <w:pStyle w:val="ActHead5"/>
      </w:pPr>
      <w:bookmarkStart w:id="190" w:name="_Toc187135784"/>
      <w:r w:rsidRPr="005E3B43">
        <w:rPr>
          <w:rStyle w:val="CharSectno"/>
        </w:rPr>
        <w:t>42ZCA</w:t>
      </w:r>
      <w:r w:rsidR="00E20BA4" w:rsidRPr="005E3B43">
        <w:t xml:space="preserve">  </w:t>
      </w:r>
      <w:r w:rsidRPr="005E3B43">
        <w:t xml:space="preserve">Definitions for </w:t>
      </w:r>
      <w:r w:rsidR="00BE7FAC" w:rsidRPr="005E3B43">
        <w:t>Division 3</w:t>
      </w:r>
      <w:r w:rsidRPr="005E3B43">
        <w:t>A</w:t>
      </w:r>
      <w:bookmarkEnd w:id="190"/>
    </w:p>
    <w:p w14:paraId="0F83FAF1" w14:textId="77777777" w:rsidR="00125634" w:rsidRPr="005E3B43" w:rsidRDefault="00125634" w:rsidP="00763BCF">
      <w:pPr>
        <w:pStyle w:val="subsection"/>
      </w:pPr>
      <w:r w:rsidRPr="005E3B43">
        <w:tab/>
      </w:r>
      <w:r w:rsidRPr="005E3B43">
        <w:tab/>
        <w:t>In this Division:</w:t>
      </w:r>
    </w:p>
    <w:p w14:paraId="553E9889" w14:textId="77777777" w:rsidR="00125634" w:rsidRPr="005E3B43" w:rsidRDefault="00125634" w:rsidP="00763BCF">
      <w:pPr>
        <w:pStyle w:val="Definition"/>
      </w:pPr>
      <w:r w:rsidRPr="005E3B43">
        <w:rPr>
          <w:b/>
          <w:i/>
        </w:rPr>
        <w:t xml:space="preserve">appointed member </w:t>
      </w:r>
      <w:r w:rsidRPr="005E3B43">
        <w:t>means a member of the Committee appointed by the Minister under subregulation</w:t>
      </w:r>
      <w:r w:rsidR="004E6D00" w:rsidRPr="005E3B43">
        <w:t> </w:t>
      </w:r>
      <w:r w:rsidRPr="005E3B43">
        <w:t>42ZCD(1).</w:t>
      </w:r>
    </w:p>
    <w:p w14:paraId="5D6EA752" w14:textId="77777777" w:rsidR="00125634" w:rsidRPr="005E3B43" w:rsidRDefault="00125634" w:rsidP="00763BCF">
      <w:pPr>
        <w:pStyle w:val="Definition"/>
      </w:pPr>
      <w:r w:rsidRPr="005E3B43">
        <w:rPr>
          <w:b/>
          <w:i/>
        </w:rPr>
        <w:t xml:space="preserve">Committee </w:t>
      </w:r>
      <w:r w:rsidRPr="005E3B43">
        <w:t>means the Advisory Committee on Medicines Scheduling.</w:t>
      </w:r>
    </w:p>
    <w:p w14:paraId="7915CFAD" w14:textId="77777777" w:rsidR="00125634" w:rsidRPr="005E3B43" w:rsidRDefault="00E20BA4" w:rsidP="00763BCF">
      <w:pPr>
        <w:pStyle w:val="notetext"/>
      </w:pPr>
      <w:r w:rsidRPr="005E3B43">
        <w:t>Note:</w:t>
      </w:r>
      <w:r w:rsidRPr="005E3B43">
        <w:tab/>
      </w:r>
      <w:r w:rsidR="00125634" w:rsidRPr="005E3B43">
        <w:t>The Committee is established by section</w:t>
      </w:r>
      <w:r w:rsidR="004E6D00" w:rsidRPr="005E3B43">
        <w:t> </w:t>
      </w:r>
      <w:r w:rsidR="00125634" w:rsidRPr="005E3B43">
        <w:t>52B of the Act.</w:t>
      </w:r>
    </w:p>
    <w:p w14:paraId="54CD0659" w14:textId="77777777" w:rsidR="00125634" w:rsidRPr="005E3B43" w:rsidRDefault="00125634" w:rsidP="00763BCF">
      <w:pPr>
        <w:pStyle w:val="Definition"/>
      </w:pPr>
      <w:r w:rsidRPr="005E3B43">
        <w:rPr>
          <w:b/>
          <w:i/>
        </w:rPr>
        <w:t xml:space="preserve">Committee member </w:t>
      </w:r>
      <w:r w:rsidRPr="005E3B43">
        <w:t>means an appointed member or a nominated member.</w:t>
      </w:r>
    </w:p>
    <w:p w14:paraId="587970C1" w14:textId="77777777" w:rsidR="00125634" w:rsidRPr="005E3B43" w:rsidRDefault="00125634" w:rsidP="00763BCF">
      <w:pPr>
        <w:pStyle w:val="Definition"/>
      </w:pPr>
      <w:r w:rsidRPr="005E3B43">
        <w:rPr>
          <w:b/>
          <w:i/>
        </w:rPr>
        <w:t xml:space="preserve">nominated member </w:t>
      </w:r>
      <w:r w:rsidRPr="005E3B43">
        <w:t>means a member of the Committee nominated under subsection</w:t>
      </w:r>
      <w:r w:rsidR="004E6D00" w:rsidRPr="005E3B43">
        <w:t> </w:t>
      </w:r>
      <w:r w:rsidRPr="005E3B43">
        <w:t>52B(3) of the Act in accordance with regulation</w:t>
      </w:r>
      <w:r w:rsidR="004E6D00" w:rsidRPr="005E3B43">
        <w:t> </w:t>
      </w:r>
      <w:r w:rsidRPr="005E3B43">
        <w:t>42ZCE.</w:t>
      </w:r>
    </w:p>
    <w:p w14:paraId="45E76F95" w14:textId="77777777" w:rsidR="00125634" w:rsidRPr="005E3B43" w:rsidRDefault="00125634" w:rsidP="00763BCF">
      <w:pPr>
        <w:pStyle w:val="ActHead4"/>
      </w:pPr>
      <w:bookmarkStart w:id="191" w:name="_Toc187135785"/>
      <w:r w:rsidRPr="005E3B43">
        <w:rPr>
          <w:rStyle w:val="CharSubdNo"/>
        </w:rPr>
        <w:t>Subdivision</w:t>
      </w:r>
      <w:r w:rsidR="004E6D00" w:rsidRPr="005E3B43">
        <w:rPr>
          <w:rStyle w:val="CharSubdNo"/>
        </w:rPr>
        <w:t> </w:t>
      </w:r>
      <w:r w:rsidRPr="005E3B43">
        <w:rPr>
          <w:rStyle w:val="CharSubdNo"/>
        </w:rPr>
        <w:t>3A.2</w:t>
      </w:r>
      <w:r w:rsidR="00E20BA4" w:rsidRPr="005E3B43">
        <w:t>—</w:t>
      </w:r>
      <w:r w:rsidRPr="005E3B43">
        <w:rPr>
          <w:rStyle w:val="CharSubdText"/>
        </w:rPr>
        <w:t>Constitution of Committee</w:t>
      </w:r>
      <w:bookmarkEnd w:id="191"/>
    </w:p>
    <w:p w14:paraId="5AB08E4E" w14:textId="77777777" w:rsidR="00125634" w:rsidRPr="005E3B43" w:rsidRDefault="00125634" w:rsidP="00763BCF">
      <w:pPr>
        <w:pStyle w:val="ActHead5"/>
      </w:pPr>
      <w:bookmarkStart w:id="192" w:name="_Toc187135786"/>
      <w:r w:rsidRPr="005E3B43">
        <w:rPr>
          <w:rStyle w:val="CharSectno"/>
        </w:rPr>
        <w:t>42ZCB</w:t>
      </w:r>
      <w:r w:rsidR="00E20BA4" w:rsidRPr="005E3B43">
        <w:t xml:space="preserve">  </w:t>
      </w:r>
      <w:r w:rsidRPr="005E3B43">
        <w:t>Membership of Committee</w:t>
      </w:r>
      <w:bookmarkEnd w:id="192"/>
    </w:p>
    <w:p w14:paraId="425024BF" w14:textId="77777777" w:rsidR="00125634" w:rsidRPr="005E3B43" w:rsidRDefault="00125634" w:rsidP="00763BCF">
      <w:pPr>
        <w:pStyle w:val="subsection"/>
      </w:pPr>
      <w:r w:rsidRPr="005E3B43">
        <w:tab/>
      </w:r>
      <w:r w:rsidRPr="005E3B43">
        <w:tab/>
        <w:t>For subsection</w:t>
      </w:r>
      <w:r w:rsidR="004E6D00" w:rsidRPr="005E3B43">
        <w:t> </w:t>
      </w:r>
      <w:r w:rsidRPr="005E3B43">
        <w:t>52B(2) of the Act, the Committee is to be constituted in accordance with this Subdivision.</w:t>
      </w:r>
    </w:p>
    <w:p w14:paraId="179E8822" w14:textId="77777777" w:rsidR="00125634" w:rsidRPr="005E3B43" w:rsidRDefault="00125634" w:rsidP="00763BCF">
      <w:pPr>
        <w:pStyle w:val="ActHead5"/>
      </w:pPr>
      <w:bookmarkStart w:id="193" w:name="_Toc187135787"/>
      <w:r w:rsidRPr="005E3B43">
        <w:rPr>
          <w:rStyle w:val="CharSectno"/>
        </w:rPr>
        <w:t>42ZCC</w:t>
      </w:r>
      <w:r w:rsidR="00E20BA4" w:rsidRPr="005E3B43">
        <w:t xml:space="preserve">  </w:t>
      </w:r>
      <w:r w:rsidRPr="005E3B43">
        <w:t>Committee members</w:t>
      </w:r>
      <w:bookmarkEnd w:id="193"/>
    </w:p>
    <w:p w14:paraId="37D9448A" w14:textId="77777777" w:rsidR="00125634" w:rsidRPr="005E3B43" w:rsidRDefault="00125634" w:rsidP="00763BCF">
      <w:pPr>
        <w:pStyle w:val="subsection"/>
      </w:pPr>
      <w:r w:rsidRPr="005E3B43">
        <w:tab/>
        <w:t>(1)</w:t>
      </w:r>
      <w:r w:rsidRPr="005E3B43">
        <w:tab/>
        <w:t xml:space="preserve">The Committee comprises each nominated member and no more than </w:t>
      </w:r>
      <w:r w:rsidR="00516D9A" w:rsidRPr="005E3B43">
        <w:t>8 appointed members</w:t>
      </w:r>
      <w:r w:rsidRPr="005E3B43">
        <w:t>.</w:t>
      </w:r>
    </w:p>
    <w:p w14:paraId="252720DA" w14:textId="77777777" w:rsidR="00125634" w:rsidRPr="005E3B43" w:rsidRDefault="00125634" w:rsidP="00763BCF">
      <w:pPr>
        <w:pStyle w:val="subsection"/>
      </w:pPr>
      <w:r w:rsidRPr="005E3B43">
        <w:tab/>
        <w:t>(2)</w:t>
      </w:r>
      <w:r w:rsidRPr="005E3B43">
        <w:tab/>
        <w:t>A Committee member must have expertise in at least one of the following fields:</w:t>
      </w:r>
    </w:p>
    <w:p w14:paraId="6923FFF1" w14:textId="77777777" w:rsidR="00125634" w:rsidRPr="005E3B43" w:rsidRDefault="00125634" w:rsidP="00763BCF">
      <w:pPr>
        <w:pStyle w:val="paragraph"/>
      </w:pPr>
      <w:r w:rsidRPr="005E3B43">
        <w:tab/>
        <w:t>(a)</w:t>
      </w:r>
      <w:r w:rsidRPr="005E3B43">
        <w:tab/>
        <w:t>the regulation of scheduled medicines in Australia;</w:t>
      </w:r>
    </w:p>
    <w:p w14:paraId="251EBBF6" w14:textId="77777777" w:rsidR="00125634" w:rsidRPr="005E3B43" w:rsidRDefault="00125634" w:rsidP="00763BCF">
      <w:pPr>
        <w:pStyle w:val="paragraph"/>
      </w:pPr>
      <w:r w:rsidRPr="005E3B43">
        <w:tab/>
        <w:t>(b)</w:t>
      </w:r>
      <w:r w:rsidRPr="005E3B43">
        <w:tab/>
        <w:t>toxicology or pharmacology;</w:t>
      </w:r>
    </w:p>
    <w:p w14:paraId="271D8610" w14:textId="77777777" w:rsidR="00125634" w:rsidRPr="005E3B43" w:rsidRDefault="00125634" w:rsidP="00763BCF">
      <w:pPr>
        <w:pStyle w:val="paragraph"/>
      </w:pPr>
      <w:r w:rsidRPr="005E3B43">
        <w:tab/>
        <w:t>(c)</w:t>
      </w:r>
      <w:r w:rsidRPr="005E3B43">
        <w:tab/>
        <w:t>clinical pharmacology;</w:t>
      </w:r>
    </w:p>
    <w:p w14:paraId="32ACE868" w14:textId="77777777" w:rsidR="00125634" w:rsidRPr="005E3B43" w:rsidRDefault="00125634" w:rsidP="00763BCF">
      <w:pPr>
        <w:pStyle w:val="paragraph"/>
      </w:pPr>
      <w:r w:rsidRPr="005E3B43">
        <w:tab/>
        <w:t>(d)</w:t>
      </w:r>
      <w:r w:rsidRPr="005E3B43">
        <w:tab/>
        <w:t>pharmacy practice;</w:t>
      </w:r>
    </w:p>
    <w:p w14:paraId="2E5CBA65" w14:textId="77777777" w:rsidR="00125634" w:rsidRPr="005E3B43" w:rsidRDefault="00125634" w:rsidP="00763BCF">
      <w:pPr>
        <w:pStyle w:val="paragraph"/>
      </w:pPr>
      <w:r w:rsidRPr="005E3B43">
        <w:tab/>
        <w:t>(e)</w:t>
      </w:r>
      <w:r w:rsidRPr="005E3B43">
        <w:tab/>
        <w:t>medical practice;</w:t>
      </w:r>
    </w:p>
    <w:p w14:paraId="36677BA6" w14:textId="77777777" w:rsidR="00125634" w:rsidRPr="005E3B43" w:rsidRDefault="00125634" w:rsidP="00763BCF">
      <w:pPr>
        <w:pStyle w:val="paragraph"/>
      </w:pPr>
      <w:r w:rsidRPr="005E3B43">
        <w:tab/>
        <w:t>(f)</w:t>
      </w:r>
      <w:r w:rsidRPr="005E3B43">
        <w:tab/>
        <w:t>consumer health issues relating to the regulation of therapeutic goods;</w:t>
      </w:r>
    </w:p>
    <w:p w14:paraId="3AFF69AB" w14:textId="77777777" w:rsidR="00125634" w:rsidRPr="005E3B43" w:rsidRDefault="00125634" w:rsidP="00763BCF">
      <w:pPr>
        <w:pStyle w:val="paragraph"/>
      </w:pPr>
      <w:r w:rsidRPr="005E3B43">
        <w:tab/>
        <w:t>(g)</w:t>
      </w:r>
      <w:r w:rsidRPr="005E3B43">
        <w:tab/>
        <w:t>industry issues relating to the regulation of therapeutic goods.</w:t>
      </w:r>
    </w:p>
    <w:p w14:paraId="7385A135" w14:textId="77777777" w:rsidR="00125634" w:rsidRPr="005E3B43" w:rsidRDefault="00125634" w:rsidP="00763BCF">
      <w:pPr>
        <w:pStyle w:val="subsection"/>
      </w:pPr>
      <w:r w:rsidRPr="005E3B43">
        <w:tab/>
        <w:t>(3)</w:t>
      </w:r>
      <w:r w:rsidRPr="005E3B43">
        <w:tab/>
        <w:t>Membership of the Committee must, to the extent reasonably practicable, represent the widest possible range of the fields mentioned in subregulation (2).</w:t>
      </w:r>
    </w:p>
    <w:p w14:paraId="68865128" w14:textId="77777777" w:rsidR="00125634" w:rsidRPr="005E3B43" w:rsidRDefault="00125634" w:rsidP="00763BCF">
      <w:pPr>
        <w:pStyle w:val="ActHead5"/>
      </w:pPr>
      <w:bookmarkStart w:id="194" w:name="_Toc187135788"/>
      <w:r w:rsidRPr="005E3B43">
        <w:rPr>
          <w:rStyle w:val="CharSectno"/>
        </w:rPr>
        <w:t>42ZCD</w:t>
      </w:r>
      <w:r w:rsidR="00E20BA4" w:rsidRPr="005E3B43">
        <w:t xml:space="preserve">  </w:t>
      </w:r>
      <w:r w:rsidRPr="005E3B43">
        <w:t>Appointed members</w:t>
      </w:r>
      <w:bookmarkEnd w:id="194"/>
    </w:p>
    <w:p w14:paraId="03E462BF" w14:textId="77777777" w:rsidR="00125634" w:rsidRPr="005E3B43" w:rsidRDefault="00125634" w:rsidP="00763BCF">
      <w:pPr>
        <w:pStyle w:val="subsection"/>
      </w:pPr>
      <w:r w:rsidRPr="005E3B43">
        <w:tab/>
        <w:t>(1)</w:t>
      </w:r>
      <w:r w:rsidRPr="005E3B43">
        <w:tab/>
        <w:t>An appointed member must be appointed in writing by the Minister.</w:t>
      </w:r>
    </w:p>
    <w:p w14:paraId="6BACEC7C" w14:textId="77777777" w:rsidR="00125634" w:rsidRPr="005E3B43" w:rsidRDefault="00125634" w:rsidP="00763BCF">
      <w:pPr>
        <w:pStyle w:val="subsection"/>
      </w:pPr>
      <w:r w:rsidRPr="005E3B43">
        <w:tab/>
        <w:t>(2)</w:t>
      </w:r>
      <w:r w:rsidRPr="005E3B43">
        <w:tab/>
        <w:t>The term of an appointment of an appointed member is as specified in the instrument of appointment but must not be longer than 3 years.</w:t>
      </w:r>
    </w:p>
    <w:p w14:paraId="63F94C9A" w14:textId="77777777" w:rsidR="00125634" w:rsidRPr="005E3B43" w:rsidRDefault="00125634" w:rsidP="00763BCF">
      <w:pPr>
        <w:pStyle w:val="subsection"/>
      </w:pPr>
      <w:r w:rsidRPr="005E3B43">
        <w:lastRenderedPageBreak/>
        <w:tab/>
        <w:t>(3)</w:t>
      </w:r>
      <w:r w:rsidRPr="005E3B43">
        <w:tab/>
        <w:t>An appointed member must not be appointed for more than 3 consecutive terms.</w:t>
      </w:r>
    </w:p>
    <w:p w14:paraId="6DFC9E03" w14:textId="77777777" w:rsidR="00125634" w:rsidRPr="005E3B43" w:rsidRDefault="00125634" w:rsidP="00763BCF">
      <w:pPr>
        <w:pStyle w:val="ActHead5"/>
      </w:pPr>
      <w:bookmarkStart w:id="195" w:name="_Toc187135789"/>
      <w:r w:rsidRPr="005E3B43">
        <w:rPr>
          <w:rStyle w:val="CharSectno"/>
        </w:rPr>
        <w:t>42ZCE</w:t>
      </w:r>
      <w:r w:rsidR="00E20BA4" w:rsidRPr="005E3B43">
        <w:t xml:space="preserve">  </w:t>
      </w:r>
      <w:r w:rsidRPr="005E3B43">
        <w:t>Nominated members</w:t>
      </w:r>
      <w:bookmarkEnd w:id="195"/>
    </w:p>
    <w:p w14:paraId="0F46D2C7" w14:textId="77777777" w:rsidR="00125634" w:rsidRPr="005E3B43" w:rsidRDefault="00125634" w:rsidP="00763BCF">
      <w:pPr>
        <w:pStyle w:val="subsection"/>
      </w:pPr>
      <w:r w:rsidRPr="005E3B43">
        <w:tab/>
        <w:t>(1)</w:t>
      </w:r>
      <w:r w:rsidRPr="005E3B43">
        <w:tab/>
        <w:t>This regulation is made for subsection</w:t>
      </w:r>
      <w:r w:rsidR="004E6D00" w:rsidRPr="005E3B43">
        <w:t> </w:t>
      </w:r>
      <w:r w:rsidRPr="005E3B43">
        <w:t>52B(3) of the Act.</w:t>
      </w:r>
    </w:p>
    <w:p w14:paraId="2B10CF2C" w14:textId="77777777" w:rsidR="00125634" w:rsidRPr="005E3B43" w:rsidRDefault="00125634" w:rsidP="00763BCF">
      <w:pPr>
        <w:pStyle w:val="subsection"/>
      </w:pPr>
      <w:r w:rsidRPr="005E3B43">
        <w:tab/>
        <w:t>(2)</w:t>
      </w:r>
      <w:r w:rsidRPr="005E3B43">
        <w:tab/>
        <w:t>A nomination must be in writing.</w:t>
      </w:r>
    </w:p>
    <w:p w14:paraId="3EE88B46" w14:textId="77777777" w:rsidR="00125634" w:rsidRPr="005E3B43" w:rsidRDefault="00125634" w:rsidP="00763BCF">
      <w:pPr>
        <w:pStyle w:val="subsection"/>
      </w:pPr>
      <w:r w:rsidRPr="005E3B43">
        <w:tab/>
        <w:t>(3)</w:t>
      </w:r>
      <w:r w:rsidRPr="005E3B43">
        <w:tab/>
        <w:t>The nomination must specify the term of the nominee’s membership of the Committee.</w:t>
      </w:r>
    </w:p>
    <w:p w14:paraId="7A33D06C" w14:textId="77777777" w:rsidR="00125634" w:rsidRPr="005E3B43" w:rsidRDefault="00125634" w:rsidP="00763BCF">
      <w:pPr>
        <w:pStyle w:val="subsection"/>
      </w:pPr>
      <w:r w:rsidRPr="005E3B43">
        <w:tab/>
        <w:t>(4)</w:t>
      </w:r>
      <w:r w:rsidRPr="005E3B43">
        <w:tab/>
        <w:t>The nominee becomes a member of the Committee when the nomination is given to the Minister.</w:t>
      </w:r>
    </w:p>
    <w:p w14:paraId="30CFB0D4" w14:textId="77777777" w:rsidR="00125634" w:rsidRPr="005E3B43" w:rsidRDefault="00125634" w:rsidP="00763BCF">
      <w:pPr>
        <w:pStyle w:val="subsection"/>
      </w:pPr>
      <w:r w:rsidRPr="005E3B43">
        <w:tab/>
        <w:t>(5)</w:t>
      </w:r>
      <w:r w:rsidRPr="005E3B43">
        <w:tab/>
        <w:t>A nominated member stops being a member if:</w:t>
      </w:r>
    </w:p>
    <w:p w14:paraId="2ABF7694" w14:textId="77777777" w:rsidR="00125634" w:rsidRPr="005E3B43" w:rsidRDefault="00125634" w:rsidP="00763BCF">
      <w:pPr>
        <w:pStyle w:val="paragraph"/>
      </w:pPr>
      <w:r w:rsidRPr="005E3B43">
        <w:tab/>
        <w:t>(a)</w:t>
      </w:r>
      <w:r w:rsidRPr="005E3B43">
        <w:tab/>
        <w:t>the body that nominated the member gives the Minister written notice that the member’s nomination is withdrawn; or</w:t>
      </w:r>
    </w:p>
    <w:p w14:paraId="0E34E323" w14:textId="77777777" w:rsidR="00125634" w:rsidRPr="005E3B43" w:rsidRDefault="00125634" w:rsidP="00763BCF">
      <w:pPr>
        <w:pStyle w:val="paragraph"/>
      </w:pPr>
      <w:r w:rsidRPr="005E3B43">
        <w:tab/>
        <w:t>(b)</w:t>
      </w:r>
      <w:r w:rsidRPr="005E3B43">
        <w:tab/>
        <w:t>the member, by written notice given to the Minister under subregulation</w:t>
      </w:r>
      <w:r w:rsidR="004E6D00" w:rsidRPr="005E3B43">
        <w:t> </w:t>
      </w:r>
      <w:r w:rsidRPr="005E3B43">
        <w:t>42ZCG(1), resigns from the Committee.</w:t>
      </w:r>
    </w:p>
    <w:p w14:paraId="1DFA6140" w14:textId="77777777" w:rsidR="00125634" w:rsidRPr="005E3B43" w:rsidRDefault="00125634" w:rsidP="00763BCF">
      <w:pPr>
        <w:pStyle w:val="subsection"/>
      </w:pPr>
      <w:r w:rsidRPr="005E3B43">
        <w:tab/>
        <w:t>(6)</w:t>
      </w:r>
      <w:r w:rsidRPr="005E3B43">
        <w:tab/>
        <w:t xml:space="preserve">The Commonwealth, each State, the Australian Capital Territory and the Northern Territory may, by written notice given to the Minister, nominate a member (the </w:t>
      </w:r>
      <w:r w:rsidRPr="005E3B43">
        <w:rPr>
          <w:b/>
          <w:i/>
        </w:rPr>
        <w:t>temporary nominee</w:t>
      </w:r>
      <w:r w:rsidRPr="005E3B43">
        <w:t>) to temporarily replace an existing member nominated by the Commonwealth, the State or Territory:</w:t>
      </w:r>
    </w:p>
    <w:p w14:paraId="29719C2F" w14:textId="77777777" w:rsidR="00125634" w:rsidRPr="005E3B43" w:rsidRDefault="00125634" w:rsidP="00763BCF">
      <w:pPr>
        <w:pStyle w:val="paragraph"/>
      </w:pPr>
      <w:r w:rsidRPr="005E3B43">
        <w:tab/>
        <w:t>(a)</w:t>
      </w:r>
      <w:r w:rsidRPr="005E3B43">
        <w:tab/>
        <w:t>during a vacancy in the existing member’s office; or</w:t>
      </w:r>
    </w:p>
    <w:p w14:paraId="068178F1" w14:textId="77777777" w:rsidR="00125634" w:rsidRPr="005E3B43" w:rsidRDefault="00125634" w:rsidP="00763BCF">
      <w:pPr>
        <w:pStyle w:val="paragraph"/>
      </w:pPr>
      <w:r w:rsidRPr="005E3B43">
        <w:tab/>
        <w:t>(b)</w:t>
      </w:r>
      <w:r w:rsidRPr="005E3B43">
        <w:tab/>
        <w:t>during any period, or all periods, when the existing member is:</w:t>
      </w:r>
    </w:p>
    <w:p w14:paraId="30095C11" w14:textId="77777777" w:rsidR="00125634" w:rsidRPr="005E3B43" w:rsidRDefault="00125634" w:rsidP="00763BCF">
      <w:pPr>
        <w:pStyle w:val="paragraphsub"/>
      </w:pPr>
      <w:r w:rsidRPr="005E3B43">
        <w:tab/>
        <w:t>(i)</w:t>
      </w:r>
      <w:r w:rsidRPr="005E3B43">
        <w:tab/>
        <w:t>absent from duty or from Australia; or</w:t>
      </w:r>
    </w:p>
    <w:p w14:paraId="721DB996" w14:textId="77777777" w:rsidR="00125634" w:rsidRPr="005E3B43" w:rsidRDefault="00125634" w:rsidP="00763BCF">
      <w:pPr>
        <w:pStyle w:val="paragraphsub"/>
      </w:pPr>
      <w:r w:rsidRPr="005E3B43">
        <w:tab/>
        <w:t>(ii)</w:t>
      </w:r>
      <w:r w:rsidRPr="005E3B43">
        <w:tab/>
        <w:t>for any other reason unable to perform the functions of a nominated member.</w:t>
      </w:r>
    </w:p>
    <w:p w14:paraId="79659F48" w14:textId="77777777" w:rsidR="00125634" w:rsidRPr="005E3B43" w:rsidRDefault="00125634" w:rsidP="00763BCF">
      <w:pPr>
        <w:pStyle w:val="subsection"/>
      </w:pPr>
      <w:r w:rsidRPr="005E3B43">
        <w:tab/>
        <w:t>(7)</w:t>
      </w:r>
      <w:r w:rsidRPr="005E3B43">
        <w:tab/>
        <w:t>The temporary nominee becomes a member of the Committee, and the existing member stops being a member of the Committee:</w:t>
      </w:r>
    </w:p>
    <w:p w14:paraId="4A9C8DA8" w14:textId="77777777" w:rsidR="00125634" w:rsidRPr="005E3B43" w:rsidRDefault="00125634" w:rsidP="00763BCF">
      <w:pPr>
        <w:pStyle w:val="paragraph"/>
      </w:pPr>
      <w:r w:rsidRPr="005E3B43">
        <w:tab/>
        <w:t>(a)</w:t>
      </w:r>
      <w:r w:rsidRPr="005E3B43">
        <w:tab/>
        <w:t>when the circumstance giving rise to the temporary replacement commences; and</w:t>
      </w:r>
    </w:p>
    <w:p w14:paraId="72F353A6" w14:textId="77777777" w:rsidR="00125634" w:rsidRPr="005E3B43" w:rsidRDefault="00125634" w:rsidP="00763BCF">
      <w:pPr>
        <w:pStyle w:val="paragraph"/>
      </w:pPr>
      <w:r w:rsidRPr="005E3B43">
        <w:tab/>
        <w:t>(b)</w:t>
      </w:r>
      <w:r w:rsidRPr="005E3B43">
        <w:tab/>
        <w:t>until that circumstance ends.</w:t>
      </w:r>
    </w:p>
    <w:p w14:paraId="7BDCFD8A" w14:textId="77777777" w:rsidR="00125634" w:rsidRPr="005E3B43" w:rsidRDefault="00125634" w:rsidP="00763BCF">
      <w:pPr>
        <w:pStyle w:val="ActHead5"/>
      </w:pPr>
      <w:bookmarkStart w:id="196" w:name="_Toc187135790"/>
      <w:r w:rsidRPr="005E3B43">
        <w:rPr>
          <w:rStyle w:val="CharSectno"/>
        </w:rPr>
        <w:t>42ZCF</w:t>
      </w:r>
      <w:r w:rsidR="00E20BA4" w:rsidRPr="005E3B43">
        <w:t xml:space="preserve">  </w:t>
      </w:r>
      <w:r w:rsidRPr="005E3B43">
        <w:t>Appointment of the Chair and acting Chair</w:t>
      </w:r>
      <w:bookmarkEnd w:id="196"/>
    </w:p>
    <w:p w14:paraId="67F7893F" w14:textId="77777777" w:rsidR="00125634" w:rsidRPr="005E3B43" w:rsidRDefault="00125634" w:rsidP="00763BCF">
      <w:pPr>
        <w:pStyle w:val="subsection"/>
      </w:pPr>
      <w:r w:rsidRPr="005E3B43">
        <w:tab/>
        <w:t>(1)</w:t>
      </w:r>
      <w:r w:rsidRPr="005E3B43">
        <w:tab/>
        <w:t>The Minister must, in writing, appoint a Committee member to be the Chair of the Committee.</w:t>
      </w:r>
    </w:p>
    <w:p w14:paraId="1E59284E" w14:textId="77777777" w:rsidR="00125634" w:rsidRPr="005E3B43" w:rsidRDefault="00125634" w:rsidP="00763BCF">
      <w:pPr>
        <w:pStyle w:val="subsection"/>
      </w:pPr>
      <w:r w:rsidRPr="005E3B43">
        <w:tab/>
        <w:t>(2)</w:t>
      </w:r>
      <w:r w:rsidRPr="005E3B43">
        <w:tab/>
        <w:t>The Chair is appointed for the term stated in the appointment but may be reappointed for further terms.</w:t>
      </w:r>
    </w:p>
    <w:p w14:paraId="5D6BF9D2" w14:textId="77777777" w:rsidR="00125634" w:rsidRPr="005E3B43" w:rsidRDefault="00125634" w:rsidP="00763BCF">
      <w:pPr>
        <w:pStyle w:val="subsection"/>
      </w:pPr>
      <w:r w:rsidRPr="005E3B43">
        <w:tab/>
        <w:t>(3)</w:t>
      </w:r>
      <w:r w:rsidRPr="005E3B43">
        <w:tab/>
        <w:t>The Minister may, in writing, appoint a Committee member to act as the Chair:</w:t>
      </w:r>
    </w:p>
    <w:p w14:paraId="125BE40E" w14:textId="77777777" w:rsidR="00125634" w:rsidRPr="005E3B43" w:rsidRDefault="00125634" w:rsidP="00763BCF">
      <w:pPr>
        <w:pStyle w:val="paragraph"/>
      </w:pPr>
      <w:r w:rsidRPr="005E3B43">
        <w:tab/>
        <w:t>(a)</w:t>
      </w:r>
      <w:r w:rsidRPr="005E3B43">
        <w:tab/>
        <w:t>during a vacancy in the office of the Chair, whether or not an appointment has previously been made to the office; or</w:t>
      </w:r>
    </w:p>
    <w:p w14:paraId="6A489CBD" w14:textId="77777777" w:rsidR="00125634" w:rsidRPr="005E3B43" w:rsidRDefault="00125634" w:rsidP="00763BCF">
      <w:pPr>
        <w:pStyle w:val="paragraph"/>
      </w:pPr>
      <w:r w:rsidRPr="005E3B43">
        <w:tab/>
        <w:t>(b)</w:t>
      </w:r>
      <w:r w:rsidRPr="005E3B43">
        <w:tab/>
        <w:t>during any period, or during all periods, when the Chair is absent from duty or from Australia, or is, for any other reason, unable to perform the functions of the Chair.</w:t>
      </w:r>
    </w:p>
    <w:p w14:paraId="7EB1EC94" w14:textId="77777777" w:rsidR="00125634" w:rsidRPr="005E3B43" w:rsidRDefault="00E20BA4" w:rsidP="00763BCF">
      <w:pPr>
        <w:pStyle w:val="notetext"/>
      </w:pPr>
      <w:r w:rsidRPr="005E3B43">
        <w:lastRenderedPageBreak/>
        <w:t>Note:</w:t>
      </w:r>
      <w:r w:rsidRPr="005E3B43">
        <w:tab/>
      </w:r>
      <w:r w:rsidR="00125634" w:rsidRPr="005E3B43">
        <w:t>Section</w:t>
      </w:r>
      <w:r w:rsidR="004E6D00" w:rsidRPr="005E3B43">
        <w:t> </w:t>
      </w:r>
      <w:r w:rsidR="00125634" w:rsidRPr="005E3B43">
        <w:t xml:space="preserve">33A of the </w:t>
      </w:r>
      <w:r w:rsidR="00125634" w:rsidRPr="005E3B43">
        <w:rPr>
          <w:i/>
        </w:rPr>
        <w:t>Acts interpretation Act 1901</w:t>
      </w:r>
      <w:r w:rsidR="00125634" w:rsidRPr="005E3B43">
        <w:t xml:space="preserve"> sets out various matters about acting appointments, including how long a person can act in a vacant office.</w:t>
      </w:r>
    </w:p>
    <w:p w14:paraId="0ACDD584" w14:textId="77777777" w:rsidR="00125634" w:rsidRPr="005E3B43" w:rsidRDefault="00125634" w:rsidP="00763BCF">
      <w:pPr>
        <w:pStyle w:val="ActHead5"/>
      </w:pPr>
      <w:bookmarkStart w:id="197" w:name="_Toc187135791"/>
      <w:r w:rsidRPr="005E3B43">
        <w:rPr>
          <w:rStyle w:val="CharSectno"/>
        </w:rPr>
        <w:t>42ZCG</w:t>
      </w:r>
      <w:r w:rsidR="00E20BA4" w:rsidRPr="005E3B43">
        <w:t xml:space="preserve">  </w:t>
      </w:r>
      <w:r w:rsidRPr="005E3B43">
        <w:t>Resignation or vacancy</w:t>
      </w:r>
      <w:bookmarkEnd w:id="197"/>
    </w:p>
    <w:p w14:paraId="1584E439" w14:textId="77777777" w:rsidR="00125634" w:rsidRPr="005E3B43" w:rsidRDefault="00125634" w:rsidP="00763BCF">
      <w:pPr>
        <w:pStyle w:val="subsection"/>
      </w:pPr>
      <w:r w:rsidRPr="005E3B43">
        <w:tab/>
        <w:t>(1)</w:t>
      </w:r>
      <w:r w:rsidRPr="005E3B43">
        <w:tab/>
        <w:t>A Committee member or Chair may resign by giving written notice to the Minister.</w:t>
      </w:r>
    </w:p>
    <w:p w14:paraId="26342C2F" w14:textId="77777777" w:rsidR="00125634" w:rsidRPr="005E3B43" w:rsidRDefault="00125634" w:rsidP="00763BCF">
      <w:pPr>
        <w:pStyle w:val="subsection"/>
      </w:pPr>
      <w:r w:rsidRPr="005E3B43">
        <w:tab/>
        <w:t>(2)</w:t>
      </w:r>
      <w:r w:rsidRPr="005E3B43">
        <w:tab/>
        <w:t>If the Chair ceases to be a Committee member, the position is taken to be vacant.</w:t>
      </w:r>
    </w:p>
    <w:p w14:paraId="3A8FD9DF" w14:textId="77777777" w:rsidR="00125634" w:rsidRPr="005E3B43" w:rsidRDefault="00125634" w:rsidP="00763BCF">
      <w:pPr>
        <w:pStyle w:val="ActHead5"/>
      </w:pPr>
      <w:bookmarkStart w:id="198" w:name="_Toc187135792"/>
      <w:r w:rsidRPr="005E3B43">
        <w:rPr>
          <w:rStyle w:val="CharSectno"/>
        </w:rPr>
        <w:t>42ZCH</w:t>
      </w:r>
      <w:r w:rsidR="00E20BA4" w:rsidRPr="005E3B43">
        <w:t xml:space="preserve">  </w:t>
      </w:r>
      <w:r w:rsidRPr="005E3B43">
        <w:t>Termination of appointment</w:t>
      </w:r>
      <w:bookmarkEnd w:id="198"/>
    </w:p>
    <w:p w14:paraId="3BA60ED6" w14:textId="77777777" w:rsidR="00125634" w:rsidRPr="005E3B43" w:rsidRDefault="00125634" w:rsidP="00763BCF">
      <w:pPr>
        <w:pStyle w:val="subsection"/>
      </w:pPr>
      <w:r w:rsidRPr="005E3B43">
        <w:tab/>
        <w:t>(1)</w:t>
      </w:r>
      <w:r w:rsidRPr="005E3B43">
        <w:tab/>
        <w:t>The Minister may terminate an appointed member’s appointment on any of the following grounds:</w:t>
      </w:r>
    </w:p>
    <w:p w14:paraId="6C9404E0" w14:textId="77777777" w:rsidR="00125634" w:rsidRPr="005E3B43" w:rsidRDefault="00125634" w:rsidP="00763BCF">
      <w:pPr>
        <w:pStyle w:val="paragraph"/>
      </w:pPr>
      <w:r w:rsidRPr="005E3B43">
        <w:tab/>
        <w:t>(a)</w:t>
      </w:r>
      <w:r w:rsidRPr="005E3B43">
        <w:tab/>
        <w:t>physical or mental incapacity;</w:t>
      </w:r>
    </w:p>
    <w:p w14:paraId="058BFD1D" w14:textId="77777777" w:rsidR="00125634" w:rsidRPr="005E3B43" w:rsidRDefault="00125634" w:rsidP="00763BCF">
      <w:pPr>
        <w:pStyle w:val="paragraph"/>
      </w:pPr>
      <w:r w:rsidRPr="005E3B43">
        <w:tab/>
        <w:t>(b)</w:t>
      </w:r>
      <w:r w:rsidRPr="005E3B43">
        <w:tab/>
        <w:t>misbehaviour;</w:t>
      </w:r>
    </w:p>
    <w:p w14:paraId="6679FF33" w14:textId="77777777" w:rsidR="00125634" w:rsidRPr="005E3B43" w:rsidRDefault="00125634" w:rsidP="00763BCF">
      <w:pPr>
        <w:pStyle w:val="paragraph"/>
      </w:pPr>
      <w:r w:rsidRPr="005E3B43">
        <w:tab/>
        <w:t>(c)</w:t>
      </w:r>
      <w:r w:rsidRPr="005E3B43">
        <w:tab/>
        <w:t>incompetence;</w:t>
      </w:r>
    </w:p>
    <w:p w14:paraId="7140342C" w14:textId="77777777" w:rsidR="00125634" w:rsidRPr="005E3B43" w:rsidRDefault="00125634" w:rsidP="00763BCF">
      <w:pPr>
        <w:pStyle w:val="paragraph"/>
      </w:pPr>
      <w:r w:rsidRPr="005E3B43">
        <w:tab/>
        <w:t>(d)</w:t>
      </w:r>
      <w:r w:rsidRPr="005E3B43">
        <w:tab/>
        <w:t>bankruptcy;</w:t>
      </w:r>
    </w:p>
    <w:p w14:paraId="471E645C" w14:textId="77777777" w:rsidR="00125634" w:rsidRPr="005E3B43" w:rsidRDefault="00125634" w:rsidP="00763BCF">
      <w:pPr>
        <w:pStyle w:val="paragraph"/>
      </w:pPr>
      <w:r w:rsidRPr="005E3B43">
        <w:tab/>
        <w:t>(e)</w:t>
      </w:r>
      <w:r w:rsidRPr="005E3B43">
        <w:tab/>
        <w:t>failing to comply with the disclosure of interest requirements mentioned in regulation</w:t>
      </w:r>
      <w:r w:rsidR="004E6D00" w:rsidRPr="005E3B43">
        <w:t> </w:t>
      </w:r>
      <w:r w:rsidRPr="005E3B43">
        <w:t>42ZCP.</w:t>
      </w:r>
    </w:p>
    <w:p w14:paraId="73FCF84F" w14:textId="77777777" w:rsidR="00125634" w:rsidRPr="005E3B43" w:rsidRDefault="00125634" w:rsidP="00763BCF">
      <w:pPr>
        <w:pStyle w:val="subsection"/>
      </w:pPr>
      <w:r w:rsidRPr="005E3B43">
        <w:tab/>
        <w:t>(2)</w:t>
      </w:r>
      <w:r w:rsidRPr="005E3B43">
        <w:tab/>
        <w:t>The Minister must terminate an appointed member’s appointment if:</w:t>
      </w:r>
    </w:p>
    <w:p w14:paraId="4ACED533" w14:textId="77777777" w:rsidR="00125634" w:rsidRPr="005E3B43" w:rsidRDefault="00125634" w:rsidP="00763BCF">
      <w:pPr>
        <w:pStyle w:val="paragraph"/>
      </w:pPr>
      <w:r w:rsidRPr="005E3B43">
        <w:tab/>
        <w:t>(a)</w:t>
      </w:r>
      <w:r w:rsidRPr="005E3B43">
        <w:tab/>
        <w:t>the member is convicted of an offence punishable by imprisonment for at least 1 year; or</w:t>
      </w:r>
    </w:p>
    <w:p w14:paraId="7BD5F1F2" w14:textId="77777777" w:rsidR="00125634" w:rsidRPr="005E3B43" w:rsidRDefault="00125634" w:rsidP="00763BCF">
      <w:pPr>
        <w:pStyle w:val="paragraph"/>
      </w:pPr>
      <w:r w:rsidRPr="005E3B43">
        <w:tab/>
        <w:t>(b)</w:t>
      </w:r>
      <w:r w:rsidRPr="005E3B43">
        <w:tab/>
        <w:t>if the member is absent without leave of absence from 3 consecutive meetings of the Committee.</w:t>
      </w:r>
    </w:p>
    <w:p w14:paraId="59AFCABF" w14:textId="77777777" w:rsidR="00125634" w:rsidRPr="005E3B43" w:rsidRDefault="00125634" w:rsidP="00763BCF">
      <w:pPr>
        <w:pStyle w:val="ActHead5"/>
      </w:pPr>
      <w:bookmarkStart w:id="199" w:name="_Toc187135793"/>
      <w:r w:rsidRPr="005E3B43">
        <w:rPr>
          <w:rStyle w:val="CharSectno"/>
        </w:rPr>
        <w:t>42ZCI</w:t>
      </w:r>
      <w:r w:rsidR="00E20BA4" w:rsidRPr="005E3B43">
        <w:t xml:space="preserve">  </w:t>
      </w:r>
      <w:r w:rsidRPr="005E3B43">
        <w:t>Leave of absence</w:t>
      </w:r>
      <w:bookmarkEnd w:id="199"/>
    </w:p>
    <w:p w14:paraId="4801E8B6" w14:textId="77777777" w:rsidR="00125634" w:rsidRPr="005E3B43" w:rsidRDefault="00125634" w:rsidP="00763BCF">
      <w:pPr>
        <w:pStyle w:val="subsection"/>
      </w:pPr>
      <w:r w:rsidRPr="005E3B43">
        <w:tab/>
        <w:t>(1)</w:t>
      </w:r>
      <w:r w:rsidRPr="005E3B43">
        <w:tab/>
        <w:t>The Minister may grant leave of absence to the Chair.</w:t>
      </w:r>
    </w:p>
    <w:p w14:paraId="0C497A78" w14:textId="77777777" w:rsidR="00125634" w:rsidRPr="005E3B43" w:rsidRDefault="00125634" w:rsidP="00763BCF">
      <w:pPr>
        <w:pStyle w:val="subsection"/>
      </w:pPr>
      <w:r w:rsidRPr="005E3B43">
        <w:tab/>
        <w:t>(2)</w:t>
      </w:r>
      <w:r w:rsidRPr="005E3B43">
        <w:tab/>
        <w:t>The Chair may grant leave of absence to a Committee member.</w:t>
      </w:r>
    </w:p>
    <w:p w14:paraId="79EBF3BB" w14:textId="77777777" w:rsidR="00125634" w:rsidRPr="005E3B43" w:rsidRDefault="00125634" w:rsidP="00763BCF">
      <w:pPr>
        <w:pStyle w:val="ActHead5"/>
      </w:pPr>
      <w:bookmarkStart w:id="200" w:name="_Toc187135794"/>
      <w:r w:rsidRPr="005E3B43">
        <w:rPr>
          <w:rStyle w:val="CharSectno"/>
        </w:rPr>
        <w:t>42ZCJ</w:t>
      </w:r>
      <w:r w:rsidR="00E20BA4" w:rsidRPr="005E3B43">
        <w:t xml:space="preserve">  </w:t>
      </w:r>
      <w:r w:rsidRPr="005E3B43">
        <w:t>Acting members</w:t>
      </w:r>
      <w:bookmarkEnd w:id="200"/>
    </w:p>
    <w:p w14:paraId="6BF2383B" w14:textId="77777777" w:rsidR="00125634" w:rsidRPr="005E3B43" w:rsidRDefault="00125634" w:rsidP="00763BCF">
      <w:pPr>
        <w:pStyle w:val="subsection"/>
      </w:pPr>
      <w:r w:rsidRPr="005E3B43">
        <w:tab/>
        <w:t>(1)</w:t>
      </w:r>
      <w:r w:rsidRPr="005E3B43">
        <w:tab/>
        <w:t>The Minister may, in writing, appoint a person to act as an appointed member:</w:t>
      </w:r>
    </w:p>
    <w:p w14:paraId="46640D78" w14:textId="77777777" w:rsidR="00125634" w:rsidRPr="005E3B43" w:rsidRDefault="00125634" w:rsidP="00763BCF">
      <w:pPr>
        <w:pStyle w:val="paragraph"/>
      </w:pPr>
      <w:r w:rsidRPr="005E3B43">
        <w:tab/>
        <w:t>(a)</w:t>
      </w:r>
      <w:r w:rsidRPr="005E3B43">
        <w:tab/>
        <w:t>during a vacancy in the office of an appointed member, whether or not an appointment has previously been made to the office; or</w:t>
      </w:r>
    </w:p>
    <w:p w14:paraId="07658CF0" w14:textId="77777777" w:rsidR="00125634" w:rsidRPr="005E3B43" w:rsidRDefault="00125634" w:rsidP="00763BCF">
      <w:pPr>
        <w:pStyle w:val="paragraph"/>
      </w:pPr>
      <w:r w:rsidRPr="005E3B43">
        <w:tab/>
        <w:t>(b)</w:t>
      </w:r>
      <w:r w:rsidRPr="005E3B43">
        <w:tab/>
        <w:t>during any period, or during all periods, when an appointed member is absent from duty or from Australia, or is, for any reason, unable to perform the duties of the office.</w:t>
      </w:r>
    </w:p>
    <w:p w14:paraId="5DDC8C95" w14:textId="77777777" w:rsidR="00125634" w:rsidRPr="005E3B43" w:rsidRDefault="00125634" w:rsidP="00763BCF">
      <w:pPr>
        <w:pStyle w:val="subsection"/>
      </w:pPr>
      <w:r w:rsidRPr="005E3B43">
        <w:tab/>
        <w:t>(2)</w:t>
      </w:r>
      <w:r w:rsidRPr="005E3B43">
        <w:tab/>
        <w:t>A person appointed to act as an appointed member must have the expertise required for a substantive member.</w:t>
      </w:r>
    </w:p>
    <w:p w14:paraId="710A0F36" w14:textId="77777777" w:rsidR="00125634" w:rsidRPr="005E3B43" w:rsidRDefault="00E20BA4" w:rsidP="00763BCF">
      <w:pPr>
        <w:pStyle w:val="notetext"/>
      </w:pPr>
      <w:r w:rsidRPr="005E3B43">
        <w:t>Note:</w:t>
      </w:r>
      <w:r w:rsidRPr="005E3B43">
        <w:tab/>
      </w:r>
      <w:r w:rsidR="00125634" w:rsidRPr="005E3B43">
        <w:t>Section</w:t>
      </w:r>
      <w:r w:rsidR="004E6D00" w:rsidRPr="005E3B43">
        <w:t> </w:t>
      </w:r>
      <w:r w:rsidR="00125634" w:rsidRPr="005E3B43">
        <w:t xml:space="preserve">33A of the </w:t>
      </w:r>
      <w:r w:rsidR="00125634" w:rsidRPr="005E3B43">
        <w:rPr>
          <w:i/>
        </w:rPr>
        <w:t>Acts interpretation Act 1901</w:t>
      </w:r>
      <w:r w:rsidR="00125634" w:rsidRPr="005E3B43">
        <w:t xml:space="preserve"> sets out various matters about acting appointments, including how long a person can act in a vacant office.</w:t>
      </w:r>
    </w:p>
    <w:p w14:paraId="29F677B7" w14:textId="77777777" w:rsidR="00125634" w:rsidRPr="005E3B43" w:rsidRDefault="00125634" w:rsidP="00763BCF">
      <w:pPr>
        <w:pStyle w:val="ActHead4"/>
      </w:pPr>
      <w:bookmarkStart w:id="201" w:name="_Toc187135795"/>
      <w:r w:rsidRPr="005E3B43">
        <w:rPr>
          <w:rStyle w:val="CharSubdNo"/>
        </w:rPr>
        <w:lastRenderedPageBreak/>
        <w:t>Subdivision</w:t>
      </w:r>
      <w:r w:rsidR="004E6D00" w:rsidRPr="005E3B43">
        <w:rPr>
          <w:rStyle w:val="CharSubdNo"/>
        </w:rPr>
        <w:t> </w:t>
      </w:r>
      <w:r w:rsidRPr="005E3B43">
        <w:rPr>
          <w:rStyle w:val="CharSubdNo"/>
        </w:rPr>
        <w:t>3A.3</w:t>
      </w:r>
      <w:r w:rsidR="00E20BA4" w:rsidRPr="005E3B43">
        <w:t>—</w:t>
      </w:r>
      <w:r w:rsidRPr="005E3B43">
        <w:rPr>
          <w:rStyle w:val="CharSubdText"/>
        </w:rPr>
        <w:t>Committee meetings</w:t>
      </w:r>
      <w:bookmarkEnd w:id="201"/>
    </w:p>
    <w:p w14:paraId="6F5B6CF0" w14:textId="77777777" w:rsidR="00125634" w:rsidRPr="005E3B43" w:rsidRDefault="00125634" w:rsidP="00763BCF">
      <w:pPr>
        <w:pStyle w:val="ActHead5"/>
      </w:pPr>
      <w:bookmarkStart w:id="202" w:name="_Toc187135796"/>
      <w:r w:rsidRPr="005E3B43">
        <w:rPr>
          <w:rStyle w:val="CharSectno"/>
        </w:rPr>
        <w:t>42ZCK</w:t>
      </w:r>
      <w:r w:rsidR="00E20BA4" w:rsidRPr="005E3B43">
        <w:t xml:space="preserve">  </w:t>
      </w:r>
      <w:r w:rsidRPr="005E3B43">
        <w:t>Committee meetings</w:t>
      </w:r>
      <w:bookmarkEnd w:id="202"/>
    </w:p>
    <w:p w14:paraId="216F1BA4" w14:textId="77777777" w:rsidR="00125634" w:rsidRPr="005E3B43" w:rsidRDefault="00125634" w:rsidP="00763BCF">
      <w:pPr>
        <w:pStyle w:val="subsection"/>
      </w:pPr>
      <w:r w:rsidRPr="005E3B43">
        <w:tab/>
      </w:r>
      <w:r w:rsidRPr="005E3B43">
        <w:tab/>
        <w:t>For subsection</w:t>
      </w:r>
      <w:r w:rsidR="004E6D00" w:rsidRPr="005E3B43">
        <w:t> </w:t>
      </w:r>
      <w:r w:rsidRPr="005E3B43">
        <w:t>52B(2) of the Act, the Committee is to hold meetings in accordance with this Subdivision.</w:t>
      </w:r>
    </w:p>
    <w:p w14:paraId="3E841E26" w14:textId="77777777" w:rsidR="00125634" w:rsidRPr="005E3B43" w:rsidRDefault="00125634" w:rsidP="00763BCF">
      <w:pPr>
        <w:pStyle w:val="ActHead5"/>
      </w:pPr>
      <w:bookmarkStart w:id="203" w:name="_Toc187135797"/>
      <w:r w:rsidRPr="005E3B43">
        <w:rPr>
          <w:rStyle w:val="CharSectno"/>
        </w:rPr>
        <w:t>42ZCL</w:t>
      </w:r>
      <w:r w:rsidR="00E20BA4" w:rsidRPr="005E3B43">
        <w:t xml:space="preserve">  </w:t>
      </w:r>
      <w:r w:rsidRPr="005E3B43">
        <w:t>Meeting procedure</w:t>
      </w:r>
      <w:bookmarkEnd w:id="203"/>
    </w:p>
    <w:p w14:paraId="6D855ACA" w14:textId="77777777" w:rsidR="00125634" w:rsidRPr="005E3B43" w:rsidRDefault="00125634" w:rsidP="00763BCF">
      <w:pPr>
        <w:pStyle w:val="subsection"/>
      </w:pPr>
      <w:r w:rsidRPr="005E3B43">
        <w:tab/>
        <w:t>(1)</w:t>
      </w:r>
      <w:r w:rsidRPr="005E3B43">
        <w:tab/>
        <w:t>The Chair of the Committee may give written notice to the Committee directing the Committee to hold meetings at the times and places, and to deal with the matters in the manner, stated in the notice.</w:t>
      </w:r>
    </w:p>
    <w:p w14:paraId="2FF8E00F" w14:textId="77777777" w:rsidR="00125634" w:rsidRPr="005E3B43" w:rsidRDefault="00125634" w:rsidP="00763BCF">
      <w:pPr>
        <w:pStyle w:val="subsection"/>
      </w:pPr>
      <w:r w:rsidRPr="005E3B43">
        <w:tab/>
        <w:t>(2)</w:t>
      </w:r>
      <w:r w:rsidRPr="005E3B43">
        <w:tab/>
        <w:t>The procedure of a meeting must be determined by the Committee in accordance with this Subdivision.</w:t>
      </w:r>
    </w:p>
    <w:p w14:paraId="79B86FD8" w14:textId="77777777" w:rsidR="00125634" w:rsidRPr="005E3B43" w:rsidRDefault="00125634" w:rsidP="00763BCF">
      <w:pPr>
        <w:pStyle w:val="subsection"/>
      </w:pPr>
      <w:r w:rsidRPr="005E3B43">
        <w:tab/>
        <w:t>(3)</w:t>
      </w:r>
      <w:r w:rsidRPr="005E3B43">
        <w:tab/>
        <w:t>If the Chair of the Committee considers it appropriate and efficient in the circumstances, the Chair may direct the Committee to meet by video conference or teleconference or to meet out of session.</w:t>
      </w:r>
    </w:p>
    <w:p w14:paraId="33A7ADDA" w14:textId="77777777" w:rsidR="00125634" w:rsidRPr="005E3B43" w:rsidRDefault="00125634" w:rsidP="00763BCF">
      <w:pPr>
        <w:pStyle w:val="subsection"/>
      </w:pPr>
      <w:r w:rsidRPr="005E3B43">
        <w:tab/>
        <w:t>(4)</w:t>
      </w:r>
      <w:r w:rsidRPr="005E3B43">
        <w:tab/>
        <w:t>At a meeting, the Committee:</w:t>
      </w:r>
    </w:p>
    <w:p w14:paraId="42C54BC1" w14:textId="77777777" w:rsidR="00125634" w:rsidRPr="005E3B43" w:rsidRDefault="00125634" w:rsidP="00763BCF">
      <w:pPr>
        <w:pStyle w:val="paragraph"/>
      </w:pPr>
      <w:r w:rsidRPr="005E3B43">
        <w:tab/>
        <w:t>(a)</w:t>
      </w:r>
      <w:r w:rsidRPr="005E3B43">
        <w:tab/>
        <w:t>must act with as little formality and as quickly as this Subdivision and a proper consideration of the issues before the Committee allow; and</w:t>
      </w:r>
    </w:p>
    <w:p w14:paraId="25F7F080" w14:textId="77777777" w:rsidR="00125634" w:rsidRPr="005E3B43" w:rsidRDefault="00125634" w:rsidP="00763BCF">
      <w:pPr>
        <w:pStyle w:val="paragraph"/>
      </w:pPr>
      <w:r w:rsidRPr="005E3B43">
        <w:tab/>
        <w:t>(b)</w:t>
      </w:r>
      <w:r w:rsidRPr="005E3B43">
        <w:tab/>
        <w:t>is not bound by the rules of evidence; and</w:t>
      </w:r>
    </w:p>
    <w:p w14:paraId="33D2199F" w14:textId="77777777" w:rsidR="00125634" w:rsidRPr="005E3B43" w:rsidRDefault="00125634" w:rsidP="00763BCF">
      <w:pPr>
        <w:pStyle w:val="paragraph"/>
      </w:pPr>
      <w:r w:rsidRPr="005E3B43">
        <w:tab/>
        <w:t>(c)</w:t>
      </w:r>
      <w:r w:rsidRPr="005E3B43">
        <w:tab/>
        <w:t>may obtain information about an issue in any way it considers appropriate; and</w:t>
      </w:r>
    </w:p>
    <w:p w14:paraId="1E2DA84E" w14:textId="77777777" w:rsidR="00125634" w:rsidRPr="005E3B43" w:rsidRDefault="00125634" w:rsidP="00763BCF">
      <w:pPr>
        <w:pStyle w:val="paragraph"/>
      </w:pPr>
      <w:r w:rsidRPr="005E3B43">
        <w:tab/>
        <w:t>(d)</w:t>
      </w:r>
      <w:r w:rsidRPr="005E3B43">
        <w:tab/>
        <w:t>may receive information in any way it considers appropriate; and</w:t>
      </w:r>
    </w:p>
    <w:p w14:paraId="589E6D02" w14:textId="77777777" w:rsidR="00125634" w:rsidRPr="005E3B43" w:rsidRDefault="00125634" w:rsidP="00763BCF">
      <w:pPr>
        <w:pStyle w:val="paragraph"/>
      </w:pPr>
      <w:r w:rsidRPr="005E3B43">
        <w:tab/>
        <w:t>(e)</w:t>
      </w:r>
      <w:r w:rsidRPr="005E3B43">
        <w:tab/>
        <w:t>must comply with any directions given, in writing, to the Committee by the Minister or the Secretary about the Committee’s performance of its functions (other than a direction about advice given or proposed to be given by the Committee).</w:t>
      </w:r>
    </w:p>
    <w:p w14:paraId="50C8DA2A" w14:textId="77777777" w:rsidR="00125634" w:rsidRPr="005E3B43" w:rsidRDefault="00125634" w:rsidP="00763BCF">
      <w:pPr>
        <w:pStyle w:val="subsection"/>
      </w:pPr>
      <w:r w:rsidRPr="005E3B43">
        <w:tab/>
        <w:t>(5)</w:t>
      </w:r>
      <w:r w:rsidRPr="005E3B43">
        <w:tab/>
        <w:t>For this regulation:</w:t>
      </w:r>
    </w:p>
    <w:p w14:paraId="44666170" w14:textId="77777777" w:rsidR="00125634" w:rsidRPr="005E3B43" w:rsidRDefault="00125634" w:rsidP="00763BCF">
      <w:pPr>
        <w:pStyle w:val="Definition"/>
      </w:pPr>
      <w:r w:rsidRPr="005E3B43">
        <w:rPr>
          <w:b/>
          <w:i/>
        </w:rPr>
        <w:t>out of session</w:t>
      </w:r>
      <w:r w:rsidRPr="005E3B43">
        <w:t>, in relation to a meeting, means a meeting in which the members take part by correspondence, email, telephone or in any other way that does not involve formal simultaneous meeting and voting.</w:t>
      </w:r>
    </w:p>
    <w:p w14:paraId="26B4D9E9" w14:textId="77777777" w:rsidR="00125634" w:rsidRPr="005E3B43" w:rsidRDefault="00125634" w:rsidP="00763BCF">
      <w:pPr>
        <w:pStyle w:val="ActHead5"/>
      </w:pPr>
      <w:bookmarkStart w:id="204" w:name="_Toc187135798"/>
      <w:r w:rsidRPr="005E3B43">
        <w:rPr>
          <w:rStyle w:val="CharSectno"/>
        </w:rPr>
        <w:t>42ZCM</w:t>
      </w:r>
      <w:r w:rsidR="00E20BA4" w:rsidRPr="005E3B43">
        <w:t xml:space="preserve">  </w:t>
      </w:r>
      <w:r w:rsidRPr="005E3B43">
        <w:t>Presiding member</w:t>
      </w:r>
      <w:bookmarkEnd w:id="204"/>
    </w:p>
    <w:p w14:paraId="0318796B" w14:textId="77777777" w:rsidR="00125634" w:rsidRPr="005E3B43" w:rsidRDefault="00125634" w:rsidP="00763BCF">
      <w:pPr>
        <w:pStyle w:val="subsection"/>
      </w:pPr>
      <w:r w:rsidRPr="005E3B43">
        <w:tab/>
        <w:t>(1)</w:t>
      </w:r>
      <w:r w:rsidRPr="005E3B43">
        <w:tab/>
        <w:t>The Chair must preside at a Committee meeting at which he or she is present.</w:t>
      </w:r>
    </w:p>
    <w:p w14:paraId="5CF6B312" w14:textId="77777777" w:rsidR="00125634" w:rsidRPr="005E3B43" w:rsidRDefault="00125634" w:rsidP="00763BCF">
      <w:pPr>
        <w:pStyle w:val="subsection"/>
      </w:pPr>
      <w:r w:rsidRPr="005E3B43">
        <w:tab/>
        <w:t>(2)</w:t>
      </w:r>
      <w:r w:rsidRPr="005E3B43">
        <w:tab/>
        <w:t>If the Chair is unable to preside at a meeting, he or she must:</w:t>
      </w:r>
    </w:p>
    <w:p w14:paraId="7F409207" w14:textId="77777777" w:rsidR="00125634" w:rsidRPr="005E3B43" w:rsidRDefault="00125634" w:rsidP="00763BCF">
      <w:pPr>
        <w:pStyle w:val="paragraph"/>
      </w:pPr>
      <w:r w:rsidRPr="005E3B43">
        <w:tab/>
        <w:t>(a)</w:t>
      </w:r>
      <w:r w:rsidRPr="005E3B43">
        <w:tab/>
        <w:t>select a member of the Committee to preside at the meeting; and</w:t>
      </w:r>
    </w:p>
    <w:p w14:paraId="6B2F1B3D" w14:textId="77777777" w:rsidR="00125634" w:rsidRPr="005E3B43" w:rsidRDefault="00125634" w:rsidP="00763BCF">
      <w:pPr>
        <w:pStyle w:val="paragraph"/>
      </w:pPr>
      <w:r w:rsidRPr="005E3B43">
        <w:tab/>
        <w:t>(b)</w:t>
      </w:r>
      <w:r w:rsidRPr="005E3B43">
        <w:tab/>
        <w:t>advise the other Committee members of the selection.</w:t>
      </w:r>
    </w:p>
    <w:p w14:paraId="0934E761" w14:textId="77777777" w:rsidR="00125634" w:rsidRPr="005E3B43" w:rsidRDefault="00125634" w:rsidP="00763BCF">
      <w:pPr>
        <w:pStyle w:val="subsection"/>
      </w:pPr>
      <w:r w:rsidRPr="005E3B43">
        <w:tab/>
        <w:t>(3)</w:t>
      </w:r>
      <w:r w:rsidRPr="005E3B43">
        <w:tab/>
        <w:t>If the Chair is temporarily absent from a meeting, the member chosen by the Committee members present must preside at the meeting.</w:t>
      </w:r>
    </w:p>
    <w:p w14:paraId="4D9D1D39" w14:textId="77777777" w:rsidR="00125634" w:rsidRPr="005E3B43" w:rsidRDefault="00125634" w:rsidP="00763BCF">
      <w:pPr>
        <w:pStyle w:val="subsection"/>
      </w:pPr>
      <w:r w:rsidRPr="005E3B43">
        <w:lastRenderedPageBreak/>
        <w:tab/>
        <w:t>(4)</w:t>
      </w:r>
      <w:r w:rsidRPr="005E3B43">
        <w:tab/>
        <w:t>A member presiding under subregulation (2) or (3) may exercise the powers and functions of the Chair.</w:t>
      </w:r>
    </w:p>
    <w:p w14:paraId="1F76FB43" w14:textId="77777777" w:rsidR="00125634" w:rsidRPr="005E3B43" w:rsidRDefault="00125634" w:rsidP="00763BCF">
      <w:pPr>
        <w:pStyle w:val="ActHead5"/>
      </w:pPr>
      <w:bookmarkStart w:id="205" w:name="_Toc187135799"/>
      <w:r w:rsidRPr="005E3B43">
        <w:rPr>
          <w:rStyle w:val="CharSectno"/>
        </w:rPr>
        <w:t>42ZCN</w:t>
      </w:r>
      <w:r w:rsidR="00E20BA4" w:rsidRPr="005E3B43">
        <w:t xml:space="preserve">  </w:t>
      </w:r>
      <w:r w:rsidRPr="005E3B43">
        <w:t>Quorum</w:t>
      </w:r>
      <w:bookmarkEnd w:id="205"/>
    </w:p>
    <w:p w14:paraId="3291EDDE" w14:textId="77777777" w:rsidR="00125634" w:rsidRPr="005E3B43" w:rsidRDefault="00125634" w:rsidP="00763BCF">
      <w:pPr>
        <w:pStyle w:val="subsection"/>
      </w:pPr>
      <w:r w:rsidRPr="005E3B43">
        <w:tab/>
      </w:r>
      <w:r w:rsidRPr="005E3B43">
        <w:tab/>
        <w:t xml:space="preserve">A quorum exists at a Committee meeting when at least </w:t>
      </w:r>
      <w:r w:rsidR="00516D9A" w:rsidRPr="005E3B43">
        <w:t>half</w:t>
      </w:r>
      <w:r w:rsidRPr="005E3B43">
        <w:t xml:space="preserve"> of the Committee members are present.</w:t>
      </w:r>
    </w:p>
    <w:p w14:paraId="235F1DCA" w14:textId="77777777" w:rsidR="00125634" w:rsidRPr="005E3B43" w:rsidRDefault="00125634" w:rsidP="00763BCF">
      <w:pPr>
        <w:pStyle w:val="ActHead5"/>
      </w:pPr>
      <w:bookmarkStart w:id="206" w:name="_Toc187135800"/>
      <w:r w:rsidRPr="005E3B43">
        <w:rPr>
          <w:rStyle w:val="CharSectno"/>
        </w:rPr>
        <w:t>42ZCO</w:t>
      </w:r>
      <w:r w:rsidR="00E20BA4" w:rsidRPr="005E3B43">
        <w:t xml:space="preserve">  </w:t>
      </w:r>
      <w:r w:rsidRPr="005E3B43">
        <w:t>Voting</w:t>
      </w:r>
      <w:bookmarkEnd w:id="206"/>
    </w:p>
    <w:p w14:paraId="13069472" w14:textId="77777777" w:rsidR="00125634" w:rsidRPr="005E3B43" w:rsidRDefault="00125634" w:rsidP="00763BCF">
      <w:pPr>
        <w:pStyle w:val="subsection"/>
      </w:pPr>
      <w:r w:rsidRPr="005E3B43">
        <w:tab/>
        <w:t>(1)</w:t>
      </w:r>
      <w:r w:rsidRPr="005E3B43">
        <w:tab/>
        <w:t>A decision made at a Committee meeting by a majority of the votes of the members present and voting is a decision of the Committee.</w:t>
      </w:r>
    </w:p>
    <w:p w14:paraId="7E798684" w14:textId="77777777" w:rsidR="00125634" w:rsidRPr="005E3B43" w:rsidRDefault="00E20BA4" w:rsidP="00763BCF">
      <w:pPr>
        <w:pStyle w:val="notetext"/>
      </w:pPr>
      <w:r w:rsidRPr="005E3B43">
        <w:t>Note:</w:t>
      </w:r>
      <w:r w:rsidRPr="005E3B43">
        <w:tab/>
      </w:r>
      <w:r w:rsidR="00125634" w:rsidRPr="005E3B43">
        <w:t>Decisions of the Committee relate to the recommendations and advice the Committee provides to the Secretary under subsection</w:t>
      </w:r>
      <w:r w:rsidR="004E6D00" w:rsidRPr="005E3B43">
        <w:t> </w:t>
      </w:r>
      <w:r w:rsidR="00125634" w:rsidRPr="005E3B43">
        <w:t>52B(4) of the Act.</w:t>
      </w:r>
    </w:p>
    <w:p w14:paraId="172A837F" w14:textId="77777777" w:rsidR="00125634" w:rsidRPr="005E3B43" w:rsidRDefault="00125634" w:rsidP="00763BCF">
      <w:pPr>
        <w:pStyle w:val="subsection"/>
      </w:pPr>
      <w:r w:rsidRPr="005E3B43">
        <w:tab/>
        <w:t>(2)</w:t>
      </w:r>
      <w:r w:rsidRPr="005E3B43">
        <w:tab/>
        <w:t>The member presiding at a Committee meeting has a deliberative vote and, if the votes are equal, also has a casting vote.</w:t>
      </w:r>
    </w:p>
    <w:p w14:paraId="55035742" w14:textId="77777777" w:rsidR="00125634" w:rsidRPr="005E3B43" w:rsidRDefault="00125634" w:rsidP="00763BCF">
      <w:pPr>
        <w:pStyle w:val="ActHead5"/>
      </w:pPr>
      <w:bookmarkStart w:id="207" w:name="_Toc187135801"/>
      <w:r w:rsidRPr="005E3B43">
        <w:rPr>
          <w:rStyle w:val="CharSectno"/>
        </w:rPr>
        <w:t>42ZCP</w:t>
      </w:r>
      <w:r w:rsidR="00E20BA4" w:rsidRPr="005E3B43">
        <w:t xml:space="preserve">  </w:t>
      </w:r>
      <w:r w:rsidRPr="005E3B43">
        <w:t>Miscellaneous</w:t>
      </w:r>
      <w:bookmarkEnd w:id="207"/>
    </w:p>
    <w:p w14:paraId="7C375AAF" w14:textId="77777777" w:rsidR="00125634" w:rsidRPr="005E3B43" w:rsidRDefault="00125634" w:rsidP="00763BCF">
      <w:pPr>
        <w:pStyle w:val="SubsectionHead"/>
      </w:pPr>
      <w:r w:rsidRPr="005E3B43">
        <w:t>Sitting fees and travel entitlements</w:t>
      </w:r>
    </w:p>
    <w:p w14:paraId="729EF85D" w14:textId="77777777" w:rsidR="00125634" w:rsidRPr="005E3B43" w:rsidRDefault="00125634" w:rsidP="00763BCF">
      <w:pPr>
        <w:pStyle w:val="subsection"/>
      </w:pPr>
      <w:r w:rsidRPr="005E3B43">
        <w:tab/>
        <w:t>(1)</w:t>
      </w:r>
      <w:r w:rsidRPr="005E3B43">
        <w:tab/>
        <w:t>An appointed member is entitled to sitting fees and travel entitlements as determined by the Remuneration Tribunal.</w:t>
      </w:r>
    </w:p>
    <w:p w14:paraId="57AAED50" w14:textId="77777777" w:rsidR="00125634" w:rsidRPr="005E3B43" w:rsidRDefault="00125634" w:rsidP="00763BCF">
      <w:pPr>
        <w:pStyle w:val="SubsectionHead"/>
      </w:pPr>
      <w:r w:rsidRPr="005E3B43">
        <w:t>When Committee may establish subcommittees</w:t>
      </w:r>
    </w:p>
    <w:p w14:paraId="535EF4B2" w14:textId="77777777" w:rsidR="00125634" w:rsidRPr="005E3B43" w:rsidRDefault="00125634" w:rsidP="00763BCF">
      <w:pPr>
        <w:pStyle w:val="subsection"/>
      </w:pPr>
      <w:r w:rsidRPr="005E3B43">
        <w:tab/>
        <w:t>(2)</w:t>
      </w:r>
      <w:r w:rsidRPr="005E3B43">
        <w:tab/>
        <w:t>The Committee, with the approval of the Secretary, may establish subcommittees, consisting of Committee members and other persons.</w:t>
      </w:r>
    </w:p>
    <w:p w14:paraId="7CDE3A4F" w14:textId="77777777" w:rsidR="00125634" w:rsidRPr="005E3B43" w:rsidRDefault="00125634" w:rsidP="00763BCF">
      <w:pPr>
        <w:pStyle w:val="subsection"/>
      </w:pPr>
      <w:r w:rsidRPr="005E3B43">
        <w:tab/>
        <w:t>(3)</w:t>
      </w:r>
      <w:r w:rsidRPr="005E3B43">
        <w:tab/>
        <w:t>The function of a subcommittee is to inquire into, and report to the Committee on, any matter referred to the subcommittee that is within the functions of the Committee.</w:t>
      </w:r>
    </w:p>
    <w:p w14:paraId="746FED3F" w14:textId="77777777" w:rsidR="00125634" w:rsidRPr="005E3B43" w:rsidRDefault="00125634" w:rsidP="00763BCF">
      <w:pPr>
        <w:pStyle w:val="SubsectionHead"/>
      </w:pPr>
      <w:r w:rsidRPr="005E3B43">
        <w:t>Disclosure of interests</w:t>
      </w:r>
    </w:p>
    <w:p w14:paraId="04ED702B" w14:textId="77777777" w:rsidR="00125634" w:rsidRPr="005E3B43" w:rsidRDefault="00125634" w:rsidP="00763BCF">
      <w:pPr>
        <w:pStyle w:val="subsection"/>
      </w:pPr>
      <w:r w:rsidRPr="005E3B43">
        <w:tab/>
        <w:t>(4)</w:t>
      </w:r>
      <w:r w:rsidRPr="005E3B43">
        <w:tab/>
        <w:t>A Committee member who is aware that he or she has a direct or indirect material personal interest (whether pecuniary or not) in a matter being considered or about to be considered at a meeting of the Committee must, without delay, disclose the nature of the interest at, or before, the meeting of the Committee.</w:t>
      </w:r>
    </w:p>
    <w:p w14:paraId="23F4D2DA" w14:textId="77777777" w:rsidR="00125634" w:rsidRPr="005E3B43" w:rsidRDefault="00125634" w:rsidP="00763BCF">
      <w:pPr>
        <w:pStyle w:val="subsection"/>
      </w:pPr>
      <w:r w:rsidRPr="005E3B43">
        <w:tab/>
        <w:t>(5)</w:t>
      </w:r>
      <w:r w:rsidRPr="005E3B43">
        <w:tab/>
        <w:t xml:space="preserve">The disclosure must be recorded in the minutes of the meeting and the member must not, unless the Committee otherwise determines, either be present during any deliberation of the Committee about the matter or take </w:t>
      </w:r>
      <w:r w:rsidR="009D7AE0" w:rsidRPr="005E3B43">
        <w:t>part i</w:t>
      </w:r>
      <w:r w:rsidRPr="005E3B43">
        <w:t>n any decision of the Committee about the matter.</w:t>
      </w:r>
    </w:p>
    <w:p w14:paraId="0249B5A3" w14:textId="77777777" w:rsidR="00125634" w:rsidRPr="005E3B43" w:rsidRDefault="00125634" w:rsidP="00763BCF">
      <w:pPr>
        <w:pStyle w:val="subsection"/>
      </w:pPr>
      <w:r w:rsidRPr="005E3B43">
        <w:tab/>
        <w:t>(6)</w:t>
      </w:r>
      <w:r w:rsidRPr="005E3B43">
        <w:tab/>
        <w:t xml:space="preserve">When the Committee is making a determination about a member who has made a disclosure, the member, and any other member who has a direct or indirect material personal interest (whether pecuniary or not) in the matter to which the disclosure relates, must not be present during any deliberation of the Committee and must not take </w:t>
      </w:r>
      <w:r w:rsidR="009D7AE0" w:rsidRPr="005E3B43">
        <w:t>part i</w:t>
      </w:r>
      <w:r w:rsidRPr="005E3B43">
        <w:t>n making the determination.</w:t>
      </w:r>
    </w:p>
    <w:p w14:paraId="60C9E9C8" w14:textId="77777777" w:rsidR="00125634" w:rsidRPr="005E3B43" w:rsidRDefault="00125634" w:rsidP="00763BCF">
      <w:pPr>
        <w:pStyle w:val="subsection"/>
      </w:pPr>
      <w:r w:rsidRPr="005E3B43">
        <w:lastRenderedPageBreak/>
        <w:tab/>
        <w:t>(7)</w:t>
      </w:r>
      <w:r w:rsidRPr="005E3B43">
        <w:tab/>
        <w:t>A member of a subcommittee appointed by the Committee, who is aware that he or she has a direct or indirect material personal interest (whether pecuniary or not) in a matter being considered, or about to be considered, at a meeting of the subcommittee must, without delay, disclose the nature of the interest at, or before, the meeting of the subcommittee.</w:t>
      </w:r>
    </w:p>
    <w:p w14:paraId="3D1A8702" w14:textId="77777777" w:rsidR="00125634" w:rsidRPr="005E3B43" w:rsidRDefault="00125634" w:rsidP="00763BCF">
      <w:pPr>
        <w:pStyle w:val="SubsectionHead"/>
      </w:pPr>
      <w:r w:rsidRPr="005E3B43">
        <w:t>Seeking and providing further advice</w:t>
      </w:r>
    </w:p>
    <w:p w14:paraId="3DBA310B" w14:textId="77777777" w:rsidR="00125634" w:rsidRPr="005E3B43" w:rsidRDefault="00125634" w:rsidP="00763BCF">
      <w:pPr>
        <w:pStyle w:val="subsection"/>
      </w:pPr>
      <w:r w:rsidRPr="005E3B43">
        <w:tab/>
        <w:t>(8)</w:t>
      </w:r>
      <w:r w:rsidRPr="005E3B43">
        <w:tab/>
        <w:t>Any advice or recommendation given by the Committee to the Secretary may be given to another committee established under the Act or these Regulations for the advice of that committee.</w:t>
      </w:r>
    </w:p>
    <w:p w14:paraId="2AF83A41" w14:textId="77777777" w:rsidR="00125634" w:rsidRPr="005E3B43" w:rsidRDefault="00125634" w:rsidP="00763BCF">
      <w:pPr>
        <w:pStyle w:val="subsection"/>
      </w:pPr>
      <w:r w:rsidRPr="005E3B43">
        <w:tab/>
        <w:t>(9)</w:t>
      </w:r>
      <w:r w:rsidRPr="005E3B43">
        <w:tab/>
        <w:t>In performing its functions, the Committee may seek advice from other persons.</w:t>
      </w:r>
    </w:p>
    <w:p w14:paraId="0FDF9F7D" w14:textId="77777777" w:rsidR="00125634" w:rsidRPr="005E3B43" w:rsidRDefault="00125634" w:rsidP="00763BCF">
      <w:pPr>
        <w:pStyle w:val="SubsectionHead"/>
      </w:pPr>
      <w:r w:rsidRPr="005E3B43">
        <w:t>Validity of acts of members</w:t>
      </w:r>
    </w:p>
    <w:p w14:paraId="10F64A04" w14:textId="77777777" w:rsidR="00125634" w:rsidRPr="005E3B43" w:rsidRDefault="00125634" w:rsidP="00763BCF">
      <w:pPr>
        <w:pStyle w:val="subsection"/>
      </w:pPr>
      <w:r w:rsidRPr="005E3B43">
        <w:tab/>
        <w:t>(10)</w:t>
      </w:r>
      <w:r w:rsidRPr="005E3B43">
        <w:tab/>
        <w:t>Anything done by a person purporting to be, or purporting to act as, a Committee member (including the Chair) is not invalid because:</w:t>
      </w:r>
    </w:p>
    <w:p w14:paraId="5382397E" w14:textId="77777777" w:rsidR="00125634" w:rsidRPr="005E3B43" w:rsidRDefault="00125634" w:rsidP="00763BCF">
      <w:pPr>
        <w:pStyle w:val="paragraph"/>
      </w:pPr>
      <w:r w:rsidRPr="005E3B43">
        <w:tab/>
        <w:t>(a)</w:t>
      </w:r>
      <w:r w:rsidRPr="005E3B43">
        <w:tab/>
        <w:t>the person had not yet been appointed; or</w:t>
      </w:r>
    </w:p>
    <w:p w14:paraId="45E47FE6" w14:textId="77777777" w:rsidR="00125634" w:rsidRPr="005E3B43" w:rsidRDefault="00125634" w:rsidP="00763BCF">
      <w:pPr>
        <w:pStyle w:val="paragraph"/>
      </w:pPr>
      <w:r w:rsidRPr="005E3B43">
        <w:tab/>
        <w:t>(b)</w:t>
      </w:r>
      <w:r w:rsidRPr="005E3B43">
        <w:tab/>
        <w:t>there is a defect or irregularity in connection with the person’s appointment; or</w:t>
      </w:r>
    </w:p>
    <w:p w14:paraId="6A0B6E53" w14:textId="77777777" w:rsidR="00125634" w:rsidRPr="005E3B43" w:rsidRDefault="00125634" w:rsidP="00763BCF">
      <w:pPr>
        <w:pStyle w:val="paragraph"/>
      </w:pPr>
      <w:r w:rsidRPr="005E3B43">
        <w:tab/>
        <w:t>(c)</w:t>
      </w:r>
      <w:r w:rsidRPr="005E3B43">
        <w:tab/>
        <w:t>the person’s appointment had ceased to have effect.</w:t>
      </w:r>
    </w:p>
    <w:p w14:paraId="539442D6" w14:textId="77777777" w:rsidR="00125634" w:rsidRPr="005E3B43" w:rsidRDefault="00125634" w:rsidP="00763BCF">
      <w:pPr>
        <w:pStyle w:val="SubsectionHead"/>
      </w:pPr>
      <w:r w:rsidRPr="005E3B43">
        <w:t>Records and reports</w:t>
      </w:r>
    </w:p>
    <w:p w14:paraId="79D50007" w14:textId="77777777" w:rsidR="00125634" w:rsidRPr="005E3B43" w:rsidRDefault="00125634" w:rsidP="00763BCF">
      <w:pPr>
        <w:pStyle w:val="subsection"/>
      </w:pPr>
      <w:r w:rsidRPr="005E3B43">
        <w:tab/>
        <w:t>(11)</w:t>
      </w:r>
      <w:r w:rsidRPr="005E3B43">
        <w:tab/>
        <w:t>The Committee must keep a record of its proceedings, and must prepare any other report about its activities that is requested by the Minister or the Secretary.</w:t>
      </w:r>
    </w:p>
    <w:p w14:paraId="7B6F0925" w14:textId="77777777" w:rsidR="00125634" w:rsidRPr="005E3B43" w:rsidRDefault="00125634" w:rsidP="00763BCF">
      <w:pPr>
        <w:pStyle w:val="SubsectionHead"/>
      </w:pPr>
      <w:r w:rsidRPr="005E3B43">
        <w:t>Publication</w:t>
      </w:r>
    </w:p>
    <w:p w14:paraId="6DBED357" w14:textId="77777777" w:rsidR="00125634" w:rsidRPr="005E3B43" w:rsidRDefault="00125634" w:rsidP="00763BCF">
      <w:pPr>
        <w:pStyle w:val="subsection"/>
      </w:pPr>
      <w:r w:rsidRPr="005E3B43">
        <w:tab/>
        <w:t>(12)</w:t>
      </w:r>
      <w:r w:rsidRPr="005E3B43">
        <w:tab/>
        <w:t>The Committee must publish details of any recommendations it makes.</w:t>
      </w:r>
    </w:p>
    <w:p w14:paraId="4CBE9708" w14:textId="77777777" w:rsidR="00125634" w:rsidRPr="005E3B43" w:rsidRDefault="00BE7FAC" w:rsidP="00763BCF">
      <w:pPr>
        <w:pStyle w:val="ActHead3"/>
        <w:pageBreakBefore/>
      </w:pPr>
      <w:bookmarkStart w:id="208" w:name="_Toc187135802"/>
      <w:r w:rsidRPr="005E3B43">
        <w:rPr>
          <w:rStyle w:val="CharDivNo"/>
        </w:rPr>
        <w:lastRenderedPageBreak/>
        <w:t>Division 3</w:t>
      </w:r>
      <w:r w:rsidR="00125634" w:rsidRPr="005E3B43">
        <w:rPr>
          <w:rStyle w:val="CharDivNo"/>
        </w:rPr>
        <w:t>B</w:t>
      </w:r>
      <w:r w:rsidR="00E20BA4" w:rsidRPr="005E3B43">
        <w:t>—</w:t>
      </w:r>
      <w:r w:rsidR="00125634" w:rsidRPr="005E3B43">
        <w:rPr>
          <w:rStyle w:val="CharDivText"/>
        </w:rPr>
        <w:t>Advisory Committee on Chemicals Scheduling</w:t>
      </w:r>
      <w:bookmarkEnd w:id="208"/>
    </w:p>
    <w:p w14:paraId="46B4F36F" w14:textId="77777777" w:rsidR="00125634" w:rsidRPr="005E3B43" w:rsidRDefault="00125634" w:rsidP="00763BCF">
      <w:pPr>
        <w:pStyle w:val="ActHead4"/>
      </w:pPr>
      <w:bookmarkStart w:id="209" w:name="_Toc187135803"/>
      <w:r w:rsidRPr="005E3B43">
        <w:rPr>
          <w:rStyle w:val="CharSubdNo"/>
        </w:rPr>
        <w:t>Subdivision</w:t>
      </w:r>
      <w:r w:rsidR="004E6D00" w:rsidRPr="005E3B43">
        <w:rPr>
          <w:rStyle w:val="CharSubdNo"/>
        </w:rPr>
        <w:t> </w:t>
      </w:r>
      <w:r w:rsidRPr="005E3B43">
        <w:rPr>
          <w:rStyle w:val="CharSubdNo"/>
        </w:rPr>
        <w:t>3B.1</w:t>
      </w:r>
      <w:r w:rsidR="00E20BA4" w:rsidRPr="005E3B43">
        <w:t>—</w:t>
      </w:r>
      <w:r w:rsidRPr="005E3B43">
        <w:rPr>
          <w:rStyle w:val="CharSubdText"/>
        </w:rPr>
        <w:t>Preliminary</w:t>
      </w:r>
      <w:bookmarkEnd w:id="209"/>
    </w:p>
    <w:p w14:paraId="26EBC7E3" w14:textId="77777777" w:rsidR="00125634" w:rsidRPr="005E3B43" w:rsidRDefault="00125634" w:rsidP="00763BCF">
      <w:pPr>
        <w:pStyle w:val="ActHead5"/>
      </w:pPr>
      <w:bookmarkStart w:id="210" w:name="_Toc187135804"/>
      <w:r w:rsidRPr="005E3B43">
        <w:rPr>
          <w:rStyle w:val="CharSectno"/>
        </w:rPr>
        <w:t>42ZCQ</w:t>
      </w:r>
      <w:r w:rsidR="00E20BA4" w:rsidRPr="005E3B43">
        <w:t xml:space="preserve">  </w:t>
      </w:r>
      <w:r w:rsidRPr="005E3B43">
        <w:t xml:space="preserve">Definitions for </w:t>
      </w:r>
      <w:r w:rsidR="00BE7FAC" w:rsidRPr="005E3B43">
        <w:t>Division 3</w:t>
      </w:r>
      <w:r w:rsidRPr="005E3B43">
        <w:t>B</w:t>
      </w:r>
      <w:bookmarkEnd w:id="210"/>
    </w:p>
    <w:p w14:paraId="3E600BC8" w14:textId="77777777" w:rsidR="00125634" w:rsidRPr="005E3B43" w:rsidRDefault="00125634" w:rsidP="00763BCF">
      <w:pPr>
        <w:pStyle w:val="subsection"/>
      </w:pPr>
      <w:r w:rsidRPr="005E3B43">
        <w:tab/>
      </w:r>
      <w:r w:rsidRPr="005E3B43">
        <w:tab/>
        <w:t>In this Division:</w:t>
      </w:r>
    </w:p>
    <w:p w14:paraId="05B0D9F7" w14:textId="77777777" w:rsidR="00125634" w:rsidRPr="005E3B43" w:rsidRDefault="00125634" w:rsidP="00763BCF">
      <w:pPr>
        <w:pStyle w:val="Definition"/>
      </w:pPr>
      <w:r w:rsidRPr="005E3B43">
        <w:rPr>
          <w:b/>
          <w:i/>
        </w:rPr>
        <w:t xml:space="preserve">appointed member </w:t>
      </w:r>
      <w:r w:rsidRPr="005E3B43">
        <w:t>means a member of the Committee appointed by the Minister under subregulation</w:t>
      </w:r>
      <w:r w:rsidR="004E6D00" w:rsidRPr="005E3B43">
        <w:t> </w:t>
      </w:r>
      <w:r w:rsidRPr="005E3B43">
        <w:t>42ZCT(1).</w:t>
      </w:r>
    </w:p>
    <w:p w14:paraId="6CA69831" w14:textId="77777777" w:rsidR="00125634" w:rsidRPr="005E3B43" w:rsidRDefault="00125634" w:rsidP="00763BCF">
      <w:pPr>
        <w:pStyle w:val="Definition"/>
      </w:pPr>
      <w:r w:rsidRPr="005E3B43">
        <w:rPr>
          <w:b/>
          <w:i/>
        </w:rPr>
        <w:t xml:space="preserve">Committee </w:t>
      </w:r>
      <w:r w:rsidRPr="005E3B43">
        <w:t>means the Advisory Committee on Chemicals Scheduling.</w:t>
      </w:r>
    </w:p>
    <w:p w14:paraId="4E298A3C" w14:textId="77777777" w:rsidR="00125634" w:rsidRPr="005E3B43" w:rsidRDefault="00E20BA4" w:rsidP="00763BCF">
      <w:pPr>
        <w:pStyle w:val="notetext"/>
      </w:pPr>
      <w:r w:rsidRPr="005E3B43">
        <w:t>Note:</w:t>
      </w:r>
      <w:r w:rsidRPr="005E3B43">
        <w:tab/>
      </w:r>
      <w:r w:rsidR="00125634" w:rsidRPr="005E3B43">
        <w:t>The Committee is established by section</w:t>
      </w:r>
      <w:r w:rsidR="004E6D00" w:rsidRPr="005E3B43">
        <w:t> </w:t>
      </w:r>
      <w:r w:rsidR="00125634" w:rsidRPr="005E3B43">
        <w:t>52C of the Act.</w:t>
      </w:r>
    </w:p>
    <w:p w14:paraId="2AA8F225" w14:textId="77777777" w:rsidR="00125634" w:rsidRPr="005E3B43" w:rsidRDefault="00125634" w:rsidP="00763BCF">
      <w:pPr>
        <w:pStyle w:val="Definition"/>
      </w:pPr>
      <w:r w:rsidRPr="005E3B43">
        <w:rPr>
          <w:b/>
          <w:i/>
        </w:rPr>
        <w:t xml:space="preserve">Committee member </w:t>
      </w:r>
      <w:r w:rsidRPr="005E3B43">
        <w:t>means an appointed member or a nominated member.</w:t>
      </w:r>
    </w:p>
    <w:p w14:paraId="2E5E40D2" w14:textId="77777777" w:rsidR="00125634" w:rsidRPr="005E3B43" w:rsidRDefault="00125634" w:rsidP="00763BCF">
      <w:pPr>
        <w:pStyle w:val="Definition"/>
      </w:pPr>
      <w:r w:rsidRPr="005E3B43">
        <w:rPr>
          <w:b/>
          <w:i/>
        </w:rPr>
        <w:t xml:space="preserve">nominated member </w:t>
      </w:r>
      <w:r w:rsidRPr="005E3B43">
        <w:t>means a member of the Committee nominated under subsection</w:t>
      </w:r>
      <w:r w:rsidR="004E6D00" w:rsidRPr="005E3B43">
        <w:t> </w:t>
      </w:r>
      <w:r w:rsidRPr="005E3B43">
        <w:t>52C(3) of the Act in accordance with regulation</w:t>
      </w:r>
      <w:r w:rsidR="004E6D00" w:rsidRPr="005E3B43">
        <w:t> </w:t>
      </w:r>
      <w:r w:rsidRPr="005E3B43">
        <w:t>42ZCU.</w:t>
      </w:r>
    </w:p>
    <w:p w14:paraId="70E987C9" w14:textId="77777777" w:rsidR="00125634" w:rsidRPr="005E3B43" w:rsidRDefault="00125634" w:rsidP="00763BCF">
      <w:pPr>
        <w:pStyle w:val="ActHead4"/>
      </w:pPr>
      <w:bookmarkStart w:id="211" w:name="_Toc187135805"/>
      <w:r w:rsidRPr="005E3B43">
        <w:rPr>
          <w:rStyle w:val="CharSubdNo"/>
        </w:rPr>
        <w:t>Subdivision</w:t>
      </w:r>
      <w:r w:rsidR="004E6D00" w:rsidRPr="005E3B43">
        <w:rPr>
          <w:rStyle w:val="CharSubdNo"/>
        </w:rPr>
        <w:t> </w:t>
      </w:r>
      <w:r w:rsidRPr="005E3B43">
        <w:rPr>
          <w:rStyle w:val="CharSubdNo"/>
        </w:rPr>
        <w:t>3B.2</w:t>
      </w:r>
      <w:r w:rsidR="00E20BA4" w:rsidRPr="005E3B43">
        <w:t>—</w:t>
      </w:r>
      <w:r w:rsidRPr="005E3B43">
        <w:rPr>
          <w:rStyle w:val="CharSubdText"/>
        </w:rPr>
        <w:t>Constitution of Committee</w:t>
      </w:r>
      <w:bookmarkEnd w:id="211"/>
    </w:p>
    <w:p w14:paraId="4A0B1F82" w14:textId="77777777" w:rsidR="00125634" w:rsidRPr="005E3B43" w:rsidRDefault="00125634" w:rsidP="00763BCF">
      <w:pPr>
        <w:pStyle w:val="ActHead5"/>
      </w:pPr>
      <w:bookmarkStart w:id="212" w:name="_Toc187135806"/>
      <w:r w:rsidRPr="005E3B43">
        <w:rPr>
          <w:rStyle w:val="CharSectno"/>
        </w:rPr>
        <w:t>42ZCR</w:t>
      </w:r>
      <w:r w:rsidR="00E20BA4" w:rsidRPr="005E3B43">
        <w:t xml:space="preserve">  </w:t>
      </w:r>
      <w:r w:rsidRPr="005E3B43">
        <w:t>Membership of Committee</w:t>
      </w:r>
      <w:bookmarkEnd w:id="212"/>
    </w:p>
    <w:p w14:paraId="27C490E0" w14:textId="77777777" w:rsidR="00125634" w:rsidRPr="005E3B43" w:rsidRDefault="00125634" w:rsidP="00763BCF">
      <w:pPr>
        <w:pStyle w:val="subsection"/>
      </w:pPr>
      <w:r w:rsidRPr="005E3B43">
        <w:tab/>
      </w:r>
      <w:r w:rsidRPr="005E3B43">
        <w:tab/>
        <w:t>For subsection</w:t>
      </w:r>
      <w:r w:rsidR="004E6D00" w:rsidRPr="005E3B43">
        <w:t> </w:t>
      </w:r>
      <w:r w:rsidRPr="005E3B43">
        <w:t>52C(2) of the Act, the Committee is to be constituted in accordance with this Subdivision.</w:t>
      </w:r>
    </w:p>
    <w:p w14:paraId="3AF6A243" w14:textId="77777777" w:rsidR="00125634" w:rsidRPr="005E3B43" w:rsidRDefault="00125634" w:rsidP="00763BCF">
      <w:pPr>
        <w:pStyle w:val="ActHead5"/>
      </w:pPr>
      <w:bookmarkStart w:id="213" w:name="_Toc187135807"/>
      <w:r w:rsidRPr="005E3B43">
        <w:rPr>
          <w:rStyle w:val="CharSectno"/>
        </w:rPr>
        <w:t>42ZCS</w:t>
      </w:r>
      <w:r w:rsidR="00E20BA4" w:rsidRPr="005E3B43">
        <w:t xml:space="preserve">  </w:t>
      </w:r>
      <w:r w:rsidRPr="005E3B43">
        <w:t>Committee members</w:t>
      </w:r>
      <w:bookmarkEnd w:id="213"/>
    </w:p>
    <w:p w14:paraId="22BBC9B8" w14:textId="77777777" w:rsidR="00125634" w:rsidRPr="005E3B43" w:rsidRDefault="00125634" w:rsidP="00763BCF">
      <w:pPr>
        <w:pStyle w:val="subsection"/>
      </w:pPr>
      <w:r w:rsidRPr="005E3B43">
        <w:tab/>
        <w:t>(1)</w:t>
      </w:r>
      <w:r w:rsidRPr="005E3B43">
        <w:tab/>
        <w:t xml:space="preserve">The Committee comprises each nominated member and no more than </w:t>
      </w:r>
      <w:r w:rsidR="00516D9A" w:rsidRPr="005E3B43">
        <w:t>8 appointed members</w:t>
      </w:r>
      <w:r w:rsidRPr="005E3B43">
        <w:t>.</w:t>
      </w:r>
    </w:p>
    <w:p w14:paraId="19366878" w14:textId="77777777" w:rsidR="00125634" w:rsidRPr="005E3B43" w:rsidRDefault="00125634" w:rsidP="00763BCF">
      <w:pPr>
        <w:pStyle w:val="subsection"/>
      </w:pPr>
      <w:r w:rsidRPr="005E3B43">
        <w:tab/>
        <w:t>(2)</w:t>
      </w:r>
      <w:r w:rsidRPr="005E3B43">
        <w:tab/>
        <w:t>A Committee member must have expertise in at least one of the following fields:</w:t>
      </w:r>
    </w:p>
    <w:p w14:paraId="57528827" w14:textId="77777777" w:rsidR="00125634" w:rsidRPr="005E3B43" w:rsidRDefault="00125634" w:rsidP="00763BCF">
      <w:pPr>
        <w:pStyle w:val="paragraph"/>
      </w:pPr>
      <w:r w:rsidRPr="005E3B43">
        <w:tab/>
        <w:t>(a)</w:t>
      </w:r>
      <w:r w:rsidRPr="005E3B43">
        <w:tab/>
        <w:t>the regulation of scheduled chemicals in Australia;</w:t>
      </w:r>
    </w:p>
    <w:p w14:paraId="143E21BA" w14:textId="77777777" w:rsidR="00125634" w:rsidRPr="005E3B43" w:rsidRDefault="00125634" w:rsidP="00763BCF">
      <w:pPr>
        <w:pStyle w:val="paragraph"/>
      </w:pPr>
      <w:r w:rsidRPr="005E3B43">
        <w:tab/>
        <w:t>(b)</w:t>
      </w:r>
      <w:r w:rsidRPr="005E3B43">
        <w:tab/>
        <w:t>veterinary medicine or veterinary pathology;</w:t>
      </w:r>
    </w:p>
    <w:p w14:paraId="2EA0A314" w14:textId="77777777" w:rsidR="00125634" w:rsidRPr="005E3B43" w:rsidRDefault="00125634" w:rsidP="00763BCF">
      <w:pPr>
        <w:pStyle w:val="paragraph"/>
      </w:pPr>
      <w:r w:rsidRPr="005E3B43">
        <w:tab/>
        <w:t>(c)</w:t>
      </w:r>
      <w:r w:rsidRPr="005E3B43">
        <w:tab/>
        <w:t>toxicology;</w:t>
      </w:r>
    </w:p>
    <w:p w14:paraId="639D0D2E" w14:textId="77777777" w:rsidR="00125634" w:rsidRPr="005E3B43" w:rsidRDefault="00125634" w:rsidP="00763BCF">
      <w:pPr>
        <w:pStyle w:val="paragraph"/>
      </w:pPr>
      <w:r w:rsidRPr="005E3B43">
        <w:tab/>
        <w:t>(d)</w:t>
      </w:r>
      <w:r w:rsidRPr="005E3B43">
        <w:tab/>
        <w:t>industrial or domestic chemicals;</w:t>
      </w:r>
    </w:p>
    <w:p w14:paraId="1B0F9287" w14:textId="77777777" w:rsidR="00125634" w:rsidRPr="005E3B43" w:rsidRDefault="00125634" w:rsidP="00763BCF">
      <w:pPr>
        <w:pStyle w:val="paragraph"/>
      </w:pPr>
      <w:r w:rsidRPr="005E3B43">
        <w:tab/>
        <w:t>(e)</w:t>
      </w:r>
      <w:r w:rsidRPr="005E3B43">
        <w:tab/>
        <w:t>agricultural or veterinary chemicals;</w:t>
      </w:r>
    </w:p>
    <w:p w14:paraId="3F74FF56" w14:textId="77777777" w:rsidR="00125634" w:rsidRPr="005E3B43" w:rsidRDefault="00125634" w:rsidP="00763BCF">
      <w:pPr>
        <w:pStyle w:val="paragraph"/>
      </w:pPr>
      <w:r w:rsidRPr="005E3B43">
        <w:tab/>
        <w:t>(f)</w:t>
      </w:r>
      <w:r w:rsidRPr="005E3B43">
        <w:tab/>
        <w:t>clinical aspects of human poisoning;</w:t>
      </w:r>
    </w:p>
    <w:p w14:paraId="06746C39" w14:textId="77777777" w:rsidR="00125634" w:rsidRPr="005E3B43" w:rsidRDefault="00125634" w:rsidP="00763BCF">
      <w:pPr>
        <w:pStyle w:val="paragraph"/>
      </w:pPr>
      <w:r w:rsidRPr="005E3B43">
        <w:tab/>
        <w:t>(g)</w:t>
      </w:r>
      <w:r w:rsidRPr="005E3B43">
        <w:tab/>
        <w:t>occupational health, particularly as a medical practitioner;</w:t>
      </w:r>
    </w:p>
    <w:p w14:paraId="3B68825A" w14:textId="77777777" w:rsidR="00125634" w:rsidRPr="005E3B43" w:rsidRDefault="00125634" w:rsidP="00763BCF">
      <w:pPr>
        <w:pStyle w:val="paragraph"/>
      </w:pPr>
      <w:r w:rsidRPr="005E3B43">
        <w:tab/>
        <w:t>(h)</w:t>
      </w:r>
      <w:r w:rsidRPr="005E3B43">
        <w:tab/>
        <w:t>consumer health issues relating to the regulation of chemicals;</w:t>
      </w:r>
    </w:p>
    <w:p w14:paraId="335D80A7" w14:textId="77777777" w:rsidR="00125634" w:rsidRPr="005E3B43" w:rsidRDefault="00125634" w:rsidP="00763BCF">
      <w:pPr>
        <w:pStyle w:val="paragraph"/>
      </w:pPr>
      <w:r w:rsidRPr="005E3B43">
        <w:tab/>
        <w:t>(i)</w:t>
      </w:r>
      <w:r w:rsidRPr="005E3B43">
        <w:tab/>
        <w:t>industry issues relating to the regulation of chemicals.</w:t>
      </w:r>
    </w:p>
    <w:p w14:paraId="251D44DC" w14:textId="77777777" w:rsidR="00125634" w:rsidRPr="005E3B43" w:rsidRDefault="00125634" w:rsidP="00763BCF">
      <w:pPr>
        <w:pStyle w:val="subsection"/>
      </w:pPr>
      <w:r w:rsidRPr="005E3B43">
        <w:tab/>
        <w:t>(3)</w:t>
      </w:r>
      <w:r w:rsidRPr="005E3B43">
        <w:tab/>
        <w:t>Membership of the Committee must, to the extent reasonably practicable, represent the widest possible range of the fields mentioned in subregulation (2).</w:t>
      </w:r>
    </w:p>
    <w:p w14:paraId="6EE77C9E" w14:textId="77777777" w:rsidR="00125634" w:rsidRPr="005E3B43" w:rsidRDefault="00125634" w:rsidP="00763BCF">
      <w:pPr>
        <w:pStyle w:val="ActHead5"/>
      </w:pPr>
      <w:bookmarkStart w:id="214" w:name="_Toc187135808"/>
      <w:r w:rsidRPr="005E3B43">
        <w:rPr>
          <w:rStyle w:val="CharSectno"/>
        </w:rPr>
        <w:t>42ZCT</w:t>
      </w:r>
      <w:r w:rsidR="00E20BA4" w:rsidRPr="005E3B43">
        <w:t xml:space="preserve">  </w:t>
      </w:r>
      <w:r w:rsidRPr="005E3B43">
        <w:t>Appointed members</w:t>
      </w:r>
      <w:bookmarkEnd w:id="214"/>
    </w:p>
    <w:p w14:paraId="41A4AB4A" w14:textId="77777777" w:rsidR="00125634" w:rsidRPr="005E3B43" w:rsidRDefault="00125634" w:rsidP="00763BCF">
      <w:pPr>
        <w:pStyle w:val="subsection"/>
      </w:pPr>
      <w:r w:rsidRPr="005E3B43">
        <w:tab/>
        <w:t>(1)</w:t>
      </w:r>
      <w:r w:rsidRPr="005E3B43">
        <w:tab/>
        <w:t>An appointed member must be appointed in writing by the Minister.</w:t>
      </w:r>
    </w:p>
    <w:p w14:paraId="654C1351" w14:textId="77777777" w:rsidR="00125634" w:rsidRPr="005E3B43" w:rsidRDefault="00125634" w:rsidP="00763BCF">
      <w:pPr>
        <w:pStyle w:val="subsection"/>
      </w:pPr>
      <w:r w:rsidRPr="005E3B43">
        <w:lastRenderedPageBreak/>
        <w:tab/>
        <w:t>(2)</w:t>
      </w:r>
      <w:r w:rsidRPr="005E3B43">
        <w:tab/>
        <w:t>The term of an appointment of an appointed member is as specified in the instrument of appointment but must not be longer than 3 years.</w:t>
      </w:r>
    </w:p>
    <w:p w14:paraId="328DF7AC" w14:textId="77777777" w:rsidR="00125634" w:rsidRPr="005E3B43" w:rsidRDefault="00125634" w:rsidP="00763BCF">
      <w:pPr>
        <w:pStyle w:val="subsection"/>
      </w:pPr>
      <w:r w:rsidRPr="005E3B43">
        <w:tab/>
        <w:t>(3)</w:t>
      </w:r>
      <w:r w:rsidRPr="005E3B43">
        <w:tab/>
        <w:t>An appointed member must not be appointed for more than 3 consecutive terms.</w:t>
      </w:r>
    </w:p>
    <w:p w14:paraId="0B6354E2" w14:textId="77777777" w:rsidR="00125634" w:rsidRPr="005E3B43" w:rsidRDefault="00125634" w:rsidP="00763BCF">
      <w:pPr>
        <w:pStyle w:val="ActHead5"/>
      </w:pPr>
      <w:bookmarkStart w:id="215" w:name="_Toc187135809"/>
      <w:r w:rsidRPr="005E3B43">
        <w:rPr>
          <w:rStyle w:val="CharSectno"/>
        </w:rPr>
        <w:t>42ZCU</w:t>
      </w:r>
      <w:r w:rsidR="00E20BA4" w:rsidRPr="005E3B43">
        <w:t xml:space="preserve">  </w:t>
      </w:r>
      <w:r w:rsidRPr="005E3B43">
        <w:t>Nominated members</w:t>
      </w:r>
      <w:bookmarkEnd w:id="215"/>
    </w:p>
    <w:p w14:paraId="7CBC1BF1" w14:textId="77777777" w:rsidR="00125634" w:rsidRPr="005E3B43" w:rsidRDefault="00125634" w:rsidP="00763BCF">
      <w:pPr>
        <w:pStyle w:val="subsection"/>
      </w:pPr>
      <w:r w:rsidRPr="005E3B43">
        <w:tab/>
        <w:t>(1)</w:t>
      </w:r>
      <w:r w:rsidRPr="005E3B43">
        <w:tab/>
        <w:t>This regulation is made for subsection</w:t>
      </w:r>
      <w:r w:rsidR="004E6D00" w:rsidRPr="005E3B43">
        <w:t> </w:t>
      </w:r>
      <w:r w:rsidRPr="005E3B43">
        <w:t>52C(3) of the Act.</w:t>
      </w:r>
    </w:p>
    <w:p w14:paraId="5788F572" w14:textId="77777777" w:rsidR="00125634" w:rsidRPr="005E3B43" w:rsidRDefault="00125634" w:rsidP="00763BCF">
      <w:pPr>
        <w:pStyle w:val="subsection"/>
      </w:pPr>
      <w:r w:rsidRPr="005E3B43">
        <w:tab/>
        <w:t>(2)</w:t>
      </w:r>
      <w:r w:rsidRPr="005E3B43">
        <w:tab/>
        <w:t>A nomination must be in writing.</w:t>
      </w:r>
    </w:p>
    <w:p w14:paraId="3C3CEADC" w14:textId="77777777" w:rsidR="00125634" w:rsidRPr="005E3B43" w:rsidRDefault="00125634" w:rsidP="00763BCF">
      <w:pPr>
        <w:pStyle w:val="subsection"/>
      </w:pPr>
      <w:r w:rsidRPr="005E3B43">
        <w:tab/>
        <w:t>(3)</w:t>
      </w:r>
      <w:r w:rsidRPr="005E3B43">
        <w:tab/>
        <w:t>The nomination must specify the term of the nominee’s membership of the Committee.</w:t>
      </w:r>
    </w:p>
    <w:p w14:paraId="080AC89A" w14:textId="77777777" w:rsidR="00125634" w:rsidRPr="005E3B43" w:rsidRDefault="00125634" w:rsidP="00763BCF">
      <w:pPr>
        <w:pStyle w:val="subsection"/>
      </w:pPr>
      <w:r w:rsidRPr="005E3B43">
        <w:tab/>
        <w:t>(4)</w:t>
      </w:r>
      <w:r w:rsidRPr="005E3B43">
        <w:tab/>
        <w:t>The nominee becomes a member of the Committee when the nomination is given to the Minister.</w:t>
      </w:r>
    </w:p>
    <w:p w14:paraId="20BE64C9" w14:textId="77777777" w:rsidR="00125634" w:rsidRPr="005E3B43" w:rsidRDefault="00125634" w:rsidP="00763BCF">
      <w:pPr>
        <w:pStyle w:val="subsection"/>
      </w:pPr>
      <w:r w:rsidRPr="005E3B43">
        <w:tab/>
        <w:t>(5)</w:t>
      </w:r>
      <w:r w:rsidRPr="005E3B43">
        <w:tab/>
        <w:t>A nominated member stops being a member if:</w:t>
      </w:r>
    </w:p>
    <w:p w14:paraId="432D2645" w14:textId="77777777" w:rsidR="00125634" w:rsidRPr="005E3B43" w:rsidRDefault="00125634" w:rsidP="00763BCF">
      <w:pPr>
        <w:pStyle w:val="paragraph"/>
      </w:pPr>
      <w:r w:rsidRPr="005E3B43">
        <w:tab/>
        <w:t>(a)</w:t>
      </w:r>
      <w:r w:rsidRPr="005E3B43">
        <w:tab/>
        <w:t>the body that nominated the member gives the Minister written notice that the member’s nomination is withdrawn; or</w:t>
      </w:r>
    </w:p>
    <w:p w14:paraId="36220833" w14:textId="77777777" w:rsidR="00125634" w:rsidRPr="005E3B43" w:rsidRDefault="00125634" w:rsidP="00763BCF">
      <w:pPr>
        <w:pStyle w:val="paragraph"/>
      </w:pPr>
      <w:r w:rsidRPr="005E3B43">
        <w:tab/>
        <w:t>(b)</w:t>
      </w:r>
      <w:r w:rsidRPr="005E3B43">
        <w:tab/>
        <w:t>the member, by written notice given to the Minister under subregulation</w:t>
      </w:r>
      <w:r w:rsidR="004E6D00" w:rsidRPr="005E3B43">
        <w:t> </w:t>
      </w:r>
      <w:r w:rsidRPr="005E3B43">
        <w:t>42ZCW(1), resigns from the Committee.</w:t>
      </w:r>
    </w:p>
    <w:p w14:paraId="52A14BEA" w14:textId="77777777" w:rsidR="00125634" w:rsidRPr="005E3B43" w:rsidRDefault="00125634" w:rsidP="00763BCF">
      <w:pPr>
        <w:pStyle w:val="subsection"/>
      </w:pPr>
      <w:r w:rsidRPr="005E3B43">
        <w:tab/>
        <w:t>(6)</w:t>
      </w:r>
      <w:r w:rsidRPr="005E3B43">
        <w:tab/>
        <w:t xml:space="preserve">The Commonwealth, each State, the Australian Capital Territory and the Northern Territory may, by written notice given to the Minister, nominate a member (the </w:t>
      </w:r>
      <w:r w:rsidRPr="005E3B43">
        <w:rPr>
          <w:b/>
          <w:i/>
        </w:rPr>
        <w:t>temporary nominee</w:t>
      </w:r>
      <w:r w:rsidRPr="005E3B43">
        <w:t>) to temporarily replace an existing member nominated by the Commonwealth, the State or Territory:</w:t>
      </w:r>
    </w:p>
    <w:p w14:paraId="10EA437A" w14:textId="77777777" w:rsidR="00125634" w:rsidRPr="005E3B43" w:rsidRDefault="00125634" w:rsidP="00763BCF">
      <w:pPr>
        <w:pStyle w:val="paragraph"/>
      </w:pPr>
      <w:r w:rsidRPr="005E3B43">
        <w:tab/>
        <w:t>(a)</w:t>
      </w:r>
      <w:r w:rsidRPr="005E3B43">
        <w:tab/>
        <w:t>during a vacancy in the existing member’s office; or</w:t>
      </w:r>
    </w:p>
    <w:p w14:paraId="062B4F47" w14:textId="77777777" w:rsidR="00125634" w:rsidRPr="005E3B43" w:rsidRDefault="00125634" w:rsidP="00763BCF">
      <w:pPr>
        <w:pStyle w:val="paragraph"/>
      </w:pPr>
      <w:r w:rsidRPr="005E3B43">
        <w:tab/>
        <w:t>(b)</w:t>
      </w:r>
      <w:r w:rsidRPr="005E3B43">
        <w:tab/>
        <w:t>during any period, or all periods, when the existing member is:</w:t>
      </w:r>
    </w:p>
    <w:p w14:paraId="468D13DC" w14:textId="77777777" w:rsidR="00125634" w:rsidRPr="005E3B43" w:rsidRDefault="00125634" w:rsidP="00763BCF">
      <w:pPr>
        <w:pStyle w:val="paragraphsub"/>
      </w:pPr>
      <w:r w:rsidRPr="005E3B43">
        <w:tab/>
        <w:t>(i)</w:t>
      </w:r>
      <w:r w:rsidRPr="005E3B43">
        <w:tab/>
        <w:t>absent from duty or from Australia; or</w:t>
      </w:r>
    </w:p>
    <w:p w14:paraId="2D3FBA30" w14:textId="77777777" w:rsidR="00125634" w:rsidRPr="005E3B43" w:rsidRDefault="00125634" w:rsidP="00763BCF">
      <w:pPr>
        <w:pStyle w:val="paragraphsub"/>
      </w:pPr>
      <w:r w:rsidRPr="005E3B43">
        <w:tab/>
        <w:t>(ii)</w:t>
      </w:r>
      <w:r w:rsidRPr="005E3B43">
        <w:tab/>
        <w:t>for any other reason unable to perform the functions of a nominated member.</w:t>
      </w:r>
    </w:p>
    <w:p w14:paraId="00D6800F" w14:textId="77777777" w:rsidR="00125634" w:rsidRPr="005E3B43" w:rsidRDefault="00125634" w:rsidP="00763BCF">
      <w:pPr>
        <w:pStyle w:val="subsection"/>
      </w:pPr>
      <w:r w:rsidRPr="005E3B43">
        <w:tab/>
        <w:t>(7)</w:t>
      </w:r>
      <w:r w:rsidRPr="005E3B43">
        <w:tab/>
        <w:t>The temporary nominee becomes a member of the Committee, and the existing member stops being a member of the Committee:</w:t>
      </w:r>
    </w:p>
    <w:p w14:paraId="3FFB70E7" w14:textId="77777777" w:rsidR="00125634" w:rsidRPr="005E3B43" w:rsidRDefault="00125634" w:rsidP="00763BCF">
      <w:pPr>
        <w:pStyle w:val="paragraph"/>
      </w:pPr>
      <w:r w:rsidRPr="005E3B43">
        <w:tab/>
        <w:t>(a)</w:t>
      </w:r>
      <w:r w:rsidRPr="005E3B43">
        <w:tab/>
        <w:t>when the circumstance giving rise to the temporary replacement commences; and</w:t>
      </w:r>
    </w:p>
    <w:p w14:paraId="2C272344" w14:textId="77777777" w:rsidR="00125634" w:rsidRPr="005E3B43" w:rsidRDefault="00125634" w:rsidP="00763BCF">
      <w:pPr>
        <w:pStyle w:val="paragraph"/>
      </w:pPr>
      <w:r w:rsidRPr="005E3B43">
        <w:tab/>
        <w:t>(b)</w:t>
      </w:r>
      <w:r w:rsidRPr="005E3B43">
        <w:tab/>
        <w:t>until that circumstance ends.</w:t>
      </w:r>
    </w:p>
    <w:p w14:paraId="7480A25E" w14:textId="77777777" w:rsidR="00125634" w:rsidRPr="005E3B43" w:rsidRDefault="00125634" w:rsidP="00763BCF">
      <w:pPr>
        <w:pStyle w:val="ActHead5"/>
      </w:pPr>
      <w:bookmarkStart w:id="216" w:name="_Toc187135810"/>
      <w:r w:rsidRPr="005E3B43">
        <w:rPr>
          <w:rStyle w:val="CharSectno"/>
        </w:rPr>
        <w:t>42ZCV</w:t>
      </w:r>
      <w:r w:rsidR="00E20BA4" w:rsidRPr="005E3B43">
        <w:t xml:space="preserve">  </w:t>
      </w:r>
      <w:r w:rsidRPr="005E3B43">
        <w:t>Appointment of the Chair and acting Chair</w:t>
      </w:r>
      <w:bookmarkEnd w:id="216"/>
    </w:p>
    <w:p w14:paraId="05E1F8F9" w14:textId="77777777" w:rsidR="00125634" w:rsidRPr="005E3B43" w:rsidRDefault="00125634" w:rsidP="00763BCF">
      <w:pPr>
        <w:pStyle w:val="subsection"/>
      </w:pPr>
      <w:r w:rsidRPr="005E3B43">
        <w:tab/>
        <w:t>(1)</w:t>
      </w:r>
      <w:r w:rsidRPr="005E3B43">
        <w:tab/>
        <w:t>The Minister must, in writing, appoint a Committee member to be the Chair of the Committee.</w:t>
      </w:r>
    </w:p>
    <w:p w14:paraId="49190FA5" w14:textId="77777777" w:rsidR="00125634" w:rsidRPr="005E3B43" w:rsidRDefault="00125634" w:rsidP="00763BCF">
      <w:pPr>
        <w:pStyle w:val="subsection"/>
      </w:pPr>
      <w:r w:rsidRPr="005E3B43">
        <w:tab/>
        <w:t>(2)</w:t>
      </w:r>
      <w:r w:rsidRPr="005E3B43">
        <w:tab/>
        <w:t>The Chair is appointed for the term stated in the appointment but may be reappointed for further terms.</w:t>
      </w:r>
    </w:p>
    <w:p w14:paraId="617A06B4" w14:textId="77777777" w:rsidR="00125634" w:rsidRPr="005E3B43" w:rsidRDefault="00125634" w:rsidP="00763BCF">
      <w:pPr>
        <w:pStyle w:val="subsection"/>
      </w:pPr>
      <w:r w:rsidRPr="005E3B43">
        <w:tab/>
        <w:t>(3)</w:t>
      </w:r>
      <w:r w:rsidRPr="005E3B43">
        <w:tab/>
        <w:t>The Minister may, in writing, appoint a Committee member to act as the Chair:</w:t>
      </w:r>
    </w:p>
    <w:p w14:paraId="21601876" w14:textId="77777777" w:rsidR="00125634" w:rsidRPr="005E3B43" w:rsidRDefault="00125634" w:rsidP="00763BCF">
      <w:pPr>
        <w:pStyle w:val="paragraph"/>
      </w:pPr>
      <w:r w:rsidRPr="005E3B43">
        <w:tab/>
        <w:t>(a)</w:t>
      </w:r>
      <w:r w:rsidRPr="005E3B43">
        <w:tab/>
        <w:t>during a vacancy in the office of the Chair, whether or not an appointment has previously been made to the office; or</w:t>
      </w:r>
    </w:p>
    <w:p w14:paraId="7E971E03" w14:textId="77777777" w:rsidR="00125634" w:rsidRPr="005E3B43" w:rsidRDefault="00125634" w:rsidP="00763BCF">
      <w:pPr>
        <w:pStyle w:val="paragraph"/>
      </w:pPr>
      <w:r w:rsidRPr="005E3B43">
        <w:lastRenderedPageBreak/>
        <w:tab/>
        <w:t>(b)</w:t>
      </w:r>
      <w:r w:rsidRPr="005E3B43">
        <w:tab/>
        <w:t>during any period, or during all periods, when the Chair is absent from duty or from Australia, or is, for any other reason, unable to perform the functions of the Chair.</w:t>
      </w:r>
    </w:p>
    <w:p w14:paraId="06674D4F" w14:textId="77777777" w:rsidR="00125634" w:rsidRPr="005E3B43" w:rsidRDefault="00E20BA4" w:rsidP="00763BCF">
      <w:pPr>
        <w:pStyle w:val="notetext"/>
      </w:pPr>
      <w:r w:rsidRPr="005E3B43">
        <w:t>Note:</w:t>
      </w:r>
      <w:r w:rsidRPr="005E3B43">
        <w:tab/>
      </w:r>
      <w:r w:rsidR="00125634" w:rsidRPr="005E3B43">
        <w:t>Section</w:t>
      </w:r>
      <w:r w:rsidR="004E6D00" w:rsidRPr="005E3B43">
        <w:t> </w:t>
      </w:r>
      <w:r w:rsidR="00125634" w:rsidRPr="005E3B43">
        <w:t xml:space="preserve">33A of the </w:t>
      </w:r>
      <w:r w:rsidR="00125634" w:rsidRPr="005E3B43">
        <w:rPr>
          <w:i/>
        </w:rPr>
        <w:t>Acts interpretation Act 1901</w:t>
      </w:r>
      <w:r w:rsidR="00125634" w:rsidRPr="005E3B43">
        <w:t xml:space="preserve"> sets out various matters about acting appointments, including how long a person can act in a vacant office.</w:t>
      </w:r>
    </w:p>
    <w:p w14:paraId="440D78AF" w14:textId="77777777" w:rsidR="00125634" w:rsidRPr="005E3B43" w:rsidRDefault="00125634" w:rsidP="00763BCF">
      <w:pPr>
        <w:pStyle w:val="ActHead5"/>
      </w:pPr>
      <w:bookmarkStart w:id="217" w:name="_Toc187135811"/>
      <w:r w:rsidRPr="005E3B43">
        <w:rPr>
          <w:rStyle w:val="CharSectno"/>
        </w:rPr>
        <w:t>42ZCW</w:t>
      </w:r>
      <w:r w:rsidR="00E20BA4" w:rsidRPr="005E3B43">
        <w:t xml:space="preserve">  </w:t>
      </w:r>
      <w:r w:rsidRPr="005E3B43">
        <w:t>Resignation or vacancy</w:t>
      </w:r>
      <w:bookmarkEnd w:id="217"/>
    </w:p>
    <w:p w14:paraId="53DBB920" w14:textId="77777777" w:rsidR="00125634" w:rsidRPr="005E3B43" w:rsidRDefault="00125634" w:rsidP="00763BCF">
      <w:pPr>
        <w:pStyle w:val="subsection"/>
      </w:pPr>
      <w:r w:rsidRPr="005E3B43">
        <w:tab/>
        <w:t>(1)</w:t>
      </w:r>
      <w:r w:rsidRPr="005E3B43">
        <w:tab/>
        <w:t>A Committee member or Chair may resign by giving written notice to the Minister.</w:t>
      </w:r>
    </w:p>
    <w:p w14:paraId="2F59DB84" w14:textId="77777777" w:rsidR="00125634" w:rsidRPr="005E3B43" w:rsidRDefault="00125634" w:rsidP="00763BCF">
      <w:pPr>
        <w:pStyle w:val="subsection"/>
      </w:pPr>
      <w:r w:rsidRPr="005E3B43">
        <w:tab/>
        <w:t>(2)</w:t>
      </w:r>
      <w:r w:rsidRPr="005E3B43">
        <w:tab/>
        <w:t>If the Chair ceases to be a Committee member, the position is taken to be vacant.</w:t>
      </w:r>
    </w:p>
    <w:p w14:paraId="25471718" w14:textId="77777777" w:rsidR="00125634" w:rsidRPr="005E3B43" w:rsidRDefault="00125634" w:rsidP="00763BCF">
      <w:pPr>
        <w:pStyle w:val="ActHead5"/>
      </w:pPr>
      <w:bookmarkStart w:id="218" w:name="_Toc187135812"/>
      <w:r w:rsidRPr="005E3B43">
        <w:rPr>
          <w:rStyle w:val="CharSectno"/>
        </w:rPr>
        <w:t>42ZCX</w:t>
      </w:r>
      <w:r w:rsidR="00E20BA4" w:rsidRPr="005E3B43">
        <w:t xml:space="preserve">  </w:t>
      </w:r>
      <w:r w:rsidRPr="005E3B43">
        <w:t>Termination of appointment</w:t>
      </w:r>
      <w:bookmarkEnd w:id="218"/>
    </w:p>
    <w:p w14:paraId="334DB9C7" w14:textId="77777777" w:rsidR="00125634" w:rsidRPr="005E3B43" w:rsidRDefault="00125634" w:rsidP="00763BCF">
      <w:pPr>
        <w:pStyle w:val="subsection"/>
      </w:pPr>
      <w:r w:rsidRPr="005E3B43">
        <w:tab/>
        <w:t>(1)</w:t>
      </w:r>
      <w:r w:rsidRPr="005E3B43">
        <w:tab/>
        <w:t>The Minister may terminate an appointed member’s appointment on any of the following grounds:</w:t>
      </w:r>
    </w:p>
    <w:p w14:paraId="47DCDAC3" w14:textId="77777777" w:rsidR="00125634" w:rsidRPr="005E3B43" w:rsidRDefault="00125634" w:rsidP="00763BCF">
      <w:pPr>
        <w:pStyle w:val="paragraph"/>
      </w:pPr>
      <w:r w:rsidRPr="005E3B43">
        <w:tab/>
        <w:t>(a)</w:t>
      </w:r>
      <w:r w:rsidRPr="005E3B43">
        <w:tab/>
        <w:t>physical or mental incapacity;</w:t>
      </w:r>
    </w:p>
    <w:p w14:paraId="7EC15203" w14:textId="77777777" w:rsidR="00125634" w:rsidRPr="005E3B43" w:rsidRDefault="00125634" w:rsidP="00763BCF">
      <w:pPr>
        <w:pStyle w:val="paragraph"/>
      </w:pPr>
      <w:r w:rsidRPr="005E3B43">
        <w:tab/>
        <w:t>(b)</w:t>
      </w:r>
      <w:r w:rsidRPr="005E3B43">
        <w:tab/>
        <w:t>misbehaviour;</w:t>
      </w:r>
    </w:p>
    <w:p w14:paraId="597441DD" w14:textId="77777777" w:rsidR="00125634" w:rsidRPr="005E3B43" w:rsidRDefault="00125634" w:rsidP="00763BCF">
      <w:pPr>
        <w:pStyle w:val="paragraph"/>
      </w:pPr>
      <w:r w:rsidRPr="005E3B43">
        <w:tab/>
        <w:t>(c)</w:t>
      </w:r>
      <w:r w:rsidRPr="005E3B43">
        <w:tab/>
        <w:t>incompetence;</w:t>
      </w:r>
    </w:p>
    <w:p w14:paraId="5C0F9007" w14:textId="77777777" w:rsidR="00125634" w:rsidRPr="005E3B43" w:rsidRDefault="00125634" w:rsidP="00763BCF">
      <w:pPr>
        <w:pStyle w:val="paragraph"/>
      </w:pPr>
      <w:r w:rsidRPr="005E3B43">
        <w:tab/>
        <w:t>(d)</w:t>
      </w:r>
      <w:r w:rsidRPr="005E3B43">
        <w:tab/>
        <w:t>bankruptcy;</w:t>
      </w:r>
    </w:p>
    <w:p w14:paraId="5C154717" w14:textId="77777777" w:rsidR="00125634" w:rsidRPr="005E3B43" w:rsidRDefault="00125634" w:rsidP="00763BCF">
      <w:pPr>
        <w:pStyle w:val="paragraph"/>
      </w:pPr>
      <w:r w:rsidRPr="005E3B43">
        <w:tab/>
        <w:t>(e)</w:t>
      </w:r>
      <w:r w:rsidRPr="005E3B43">
        <w:tab/>
        <w:t>failing to comply with the disclosure of interest requirements mentioned in regulation</w:t>
      </w:r>
      <w:r w:rsidR="004E6D00" w:rsidRPr="005E3B43">
        <w:t> </w:t>
      </w:r>
      <w:r w:rsidRPr="005E3B43">
        <w:t>42ZCZF.</w:t>
      </w:r>
    </w:p>
    <w:p w14:paraId="3755226F" w14:textId="77777777" w:rsidR="00125634" w:rsidRPr="005E3B43" w:rsidRDefault="00125634" w:rsidP="00763BCF">
      <w:pPr>
        <w:pStyle w:val="subsection"/>
      </w:pPr>
      <w:r w:rsidRPr="005E3B43">
        <w:tab/>
        <w:t>(2)</w:t>
      </w:r>
      <w:r w:rsidRPr="005E3B43">
        <w:tab/>
        <w:t>The Minister must terminate an appointed member’s appointment if:</w:t>
      </w:r>
    </w:p>
    <w:p w14:paraId="5816D770" w14:textId="77777777" w:rsidR="00125634" w:rsidRPr="005E3B43" w:rsidRDefault="00125634" w:rsidP="00763BCF">
      <w:pPr>
        <w:pStyle w:val="paragraph"/>
      </w:pPr>
      <w:r w:rsidRPr="005E3B43">
        <w:tab/>
        <w:t>(a)</w:t>
      </w:r>
      <w:r w:rsidRPr="005E3B43">
        <w:tab/>
        <w:t>the member is convicted of an offence punishable by imprisonment for at least 1 year; or</w:t>
      </w:r>
    </w:p>
    <w:p w14:paraId="7F53B8BA" w14:textId="77777777" w:rsidR="00125634" w:rsidRPr="005E3B43" w:rsidRDefault="00125634" w:rsidP="00763BCF">
      <w:pPr>
        <w:pStyle w:val="paragraph"/>
      </w:pPr>
      <w:r w:rsidRPr="005E3B43">
        <w:tab/>
        <w:t>(b)</w:t>
      </w:r>
      <w:r w:rsidRPr="005E3B43">
        <w:tab/>
        <w:t>if the member is absent without leave of absence from 3 consecutive meetings of the Committee.</w:t>
      </w:r>
    </w:p>
    <w:p w14:paraId="49E2BDFE" w14:textId="77777777" w:rsidR="00125634" w:rsidRPr="005E3B43" w:rsidRDefault="00125634" w:rsidP="00763BCF">
      <w:pPr>
        <w:pStyle w:val="ActHead5"/>
      </w:pPr>
      <w:bookmarkStart w:id="219" w:name="_Toc187135813"/>
      <w:r w:rsidRPr="005E3B43">
        <w:rPr>
          <w:rStyle w:val="CharSectno"/>
        </w:rPr>
        <w:t>42ZCY</w:t>
      </w:r>
      <w:r w:rsidR="00E20BA4" w:rsidRPr="005E3B43">
        <w:t xml:space="preserve">  </w:t>
      </w:r>
      <w:r w:rsidRPr="005E3B43">
        <w:t>Leave of absence</w:t>
      </w:r>
      <w:bookmarkEnd w:id="219"/>
    </w:p>
    <w:p w14:paraId="1A9F8E05" w14:textId="77777777" w:rsidR="00125634" w:rsidRPr="005E3B43" w:rsidRDefault="00125634" w:rsidP="00763BCF">
      <w:pPr>
        <w:pStyle w:val="subsection"/>
      </w:pPr>
      <w:r w:rsidRPr="005E3B43">
        <w:tab/>
        <w:t>(1)</w:t>
      </w:r>
      <w:r w:rsidRPr="005E3B43">
        <w:tab/>
        <w:t>The Minister may grant leave of absence to the Chair.</w:t>
      </w:r>
    </w:p>
    <w:p w14:paraId="76181A00" w14:textId="77777777" w:rsidR="00125634" w:rsidRPr="005E3B43" w:rsidRDefault="00125634" w:rsidP="00763BCF">
      <w:pPr>
        <w:pStyle w:val="subsection"/>
      </w:pPr>
      <w:r w:rsidRPr="005E3B43">
        <w:tab/>
        <w:t>(2)</w:t>
      </w:r>
      <w:r w:rsidRPr="005E3B43">
        <w:tab/>
        <w:t>The Chair may grant leave of absence to a Committee member.</w:t>
      </w:r>
    </w:p>
    <w:p w14:paraId="15AA5715" w14:textId="77777777" w:rsidR="00125634" w:rsidRPr="005E3B43" w:rsidRDefault="00125634" w:rsidP="00763BCF">
      <w:pPr>
        <w:pStyle w:val="ActHead5"/>
      </w:pPr>
      <w:bookmarkStart w:id="220" w:name="_Toc187135814"/>
      <w:r w:rsidRPr="005E3B43">
        <w:rPr>
          <w:rStyle w:val="CharSectno"/>
        </w:rPr>
        <w:t>42ZCZ</w:t>
      </w:r>
      <w:r w:rsidR="00E20BA4" w:rsidRPr="005E3B43">
        <w:t xml:space="preserve">  </w:t>
      </w:r>
      <w:r w:rsidRPr="005E3B43">
        <w:t>Acting members</w:t>
      </w:r>
      <w:bookmarkEnd w:id="220"/>
    </w:p>
    <w:p w14:paraId="42DB7574" w14:textId="77777777" w:rsidR="00125634" w:rsidRPr="005E3B43" w:rsidRDefault="00125634" w:rsidP="00763BCF">
      <w:pPr>
        <w:pStyle w:val="subsection"/>
      </w:pPr>
      <w:r w:rsidRPr="005E3B43">
        <w:tab/>
        <w:t>(1)</w:t>
      </w:r>
      <w:r w:rsidRPr="005E3B43">
        <w:tab/>
        <w:t>The Minister may, in writing, appoint a person to act as an appointed member:</w:t>
      </w:r>
    </w:p>
    <w:p w14:paraId="7835BF26" w14:textId="77777777" w:rsidR="00125634" w:rsidRPr="005E3B43" w:rsidRDefault="00125634" w:rsidP="00763BCF">
      <w:pPr>
        <w:pStyle w:val="paragraph"/>
      </w:pPr>
      <w:r w:rsidRPr="005E3B43">
        <w:tab/>
        <w:t>(a)</w:t>
      </w:r>
      <w:r w:rsidRPr="005E3B43">
        <w:tab/>
        <w:t>during a vacancy in the office of an appointed member, whether or not an appointment has previously been made to the office; or</w:t>
      </w:r>
    </w:p>
    <w:p w14:paraId="40F3171B" w14:textId="77777777" w:rsidR="00125634" w:rsidRPr="005E3B43" w:rsidRDefault="00125634" w:rsidP="00763BCF">
      <w:pPr>
        <w:pStyle w:val="paragraph"/>
      </w:pPr>
      <w:r w:rsidRPr="005E3B43">
        <w:tab/>
        <w:t>(b)</w:t>
      </w:r>
      <w:r w:rsidRPr="005E3B43">
        <w:tab/>
        <w:t>during any period, or during all periods, when an appointed member is absent from duty or from Australia, or is, for any reason, unable to perform the duties of the office.</w:t>
      </w:r>
    </w:p>
    <w:p w14:paraId="48CA3BDA" w14:textId="77777777" w:rsidR="00125634" w:rsidRPr="005E3B43" w:rsidRDefault="00125634" w:rsidP="00763BCF">
      <w:pPr>
        <w:pStyle w:val="subsection"/>
      </w:pPr>
      <w:r w:rsidRPr="005E3B43">
        <w:tab/>
        <w:t>(2)</w:t>
      </w:r>
      <w:r w:rsidRPr="005E3B43">
        <w:tab/>
        <w:t>A person appointed to act as an appointed member must have the expertise required for a substantive member.</w:t>
      </w:r>
    </w:p>
    <w:p w14:paraId="1166FA42" w14:textId="77777777" w:rsidR="00125634" w:rsidRPr="005E3B43" w:rsidRDefault="00E20BA4" w:rsidP="00763BCF">
      <w:pPr>
        <w:pStyle w:val="notetext"/>
      </w:pPr>
      <w:r w:rsidRPr="005E3B43">
        <w:t>Note:</w:t>
      </w:r>
      <w:r w:rsidRPr="005E3B43">
        <w:tab/>
      </w:r>
      <w:r w:rsidR="00125634" w:rsidRPr="005E3B43">
        <w:t>Section</w:t>
      </w:r>
      <w:r w:rsidR="004E6D00" w:rsidRPr="005E3B43">
        <w:t> </w:t>
      </w:r>
      <w:r w:rsidR="00125634" w:rsidRPr="005E3B43">
        <w:t xml:space="preserve">33A of the </w:t>
      </w:r>
      <w:r w:rsidR="00125634" w:rsidRPr="005E3B43">
        <w:rPr>
          <w:i/>
        </w:rPr>
        <w:t>Acts interpretation Act 1901</w:t>
      </w:r>
      <w:r w:rsidR="00125634" w:rsidRPr="005E3B43">
        <w:t xml:space="preserve"> sets out various matters about acting appointments, including how long a person can act in a vacant office.</w:t>
      </w:r>
    </w:p>
    <w:p w14:paraId="369B6435" w14:textId="77777777" w:rsidR="00125634" w:rsidRPr="005E3B43" w:rsidRDefault="00125634" w:rsidP="00763BCF">
      <w:pPr>
        <w:pStyle w:val="ActHead4"/>
      </w:pPr>
      <w:bookmarkStart w:id="221" w:name="_Toc187135815"/>
      <w:r w:rsidRPr="005E3B43">
        <w:rPr>
          <w:rStyle w:val="CharSubdNo"/>
        </w:rPr>
        <w:lastRenderedPageBreak/>
        <w:t>Subdivision</w:t>
      </w:r>
      <w:r w:rsidR="004E6D00" w:rsidRPr="005E3B43">
        <w:rPr>
          <w:rStyle w:val="CharSubdNo"/>
        </w:rPr>
        <w:t> </w:t>
      </w:r>
      <w:r w:rsidRPr="005E3B43">
        <w:rPr>
          <w:rStyle w:val="CharSubdNo"/>
        </w:rPr>
        <w:t>3B.3</w:t>
      </w:r>
      <w:r w:rsidR="00E20BA4" w:rsidRPr="005E3B43">
        <w:t>—</w:t>
      </w:r>
      <w:r w:rsidRPr="005E3B43">
        <w:rPr>
          <w:rStyle w:val="CharSubdText"/>
        </w:rPr>
        <w:t>Committee meetings</w:t>
      </w:r>
      <w:bookmarkEnd w:id="221"/>
    </w:p>
    <w:p w14:paraId="026021DF" w14:textId="77777777" w:rsidR="00125634" w:rsidRPr="005E3B43" w:rsidRDefault="00125634" w:rsidP="00763BCF">
      <w:pPr>
        <w:pStyle w:val="ActHead5"/>
      </w:pPr>
      <w:bookmarkStart w:id="222" w:name="_Toc187135816"/>
      <w:r w:rsidRPr="005E3B43">
        <w:rPr>
          <w:rStyle w:val="CharSectno"/>
        </w:rPr>
        <w:t>42ZCZA</w:t>
      </w:r>
      <w:r w:rsidR="00E20BA4" w:rsidRPr="005E3B43">
        <w:t xml:space="preserve">  </w:t>
      </w:r>
      <w:r w:rsidRPr="005E3B43">
        <w:t>Committee meetings</w:t>
      </w:r>
      <w:bookmarkEnd w:id="222"/>
    </w:p>
    <w:p w14:paraId="3D00089B" w14:textId="77777777" w:rsidR="00125634" w:rsidRPr="005E3B43" w:rsidRDefault="00125634" w:rsidP="00763BCF">
      <w:pPr>
        <w:pStyle w:val="subsection"/>
      </w:pPr>
      <w:r w:rsidRPr="005E3B43">
        <w:tab/>
      </w:r>
      <w:r w:rsidRPr="005E3B43">
        <w:tab/>
        <w:t>For subsection</w:t>
      </w:r>
      <w:r w:rsidR="004E6D00" w:rsidRPr="005E3B43">
        <w:t> </w:t>
      </w:r>
      <w:r w:rsidRPr="005E3B43">
        <w:t>52C(2) of the Act, the Committee is to hold meetings in accordance with this Subdivision.</w:t>
      </w:r>
    </w:p>
    <w:p w14:paraId="4556FCAD" w14:textId="77777777" w:rsidR="00125634" w:rsidRPr="005E3B43" w:rsidRDefault="00125634" w:rsidP="00763BCF">
      <w:pPr>
        <w:pStyle w:val="ActHead5"/>
      </w:pPr>
      <w:bookmarkStart w:id="223" w:name="_Toc187135817"/>
      <w:r w:rsidRPr="005E3B43">
        <w:rPr>
          <w:rStyle w:val="CharSectno"/>
        </w:rPr>
        <w:t>42ZCZB</w:t>
      </w:r>
      <w:r w:rsidR="00E20BA4" w:rsidRPr="005E3B43">
        <w:t xml:space="preserve">  </w:t>
      </w:r>
      <w:r w:rsidRPr="005E3B43">
        <w:t>Meeting procedure</w:t>
      </w:r>
      <w:r w:rsidR="008845EB" w:rsidRPr="005E3B43">
        <w:t>—</w:t>
      </w:r>
      <w:r w:rsidRPr="005E3B43">
        <w:t>general</w:t>
      </w:r>
      <w:bookmarkEnd w:id="223"/>
    </w:p>
    <w:p w14:paraId="35284593" w14:textId="77777777" w:rsidR="00125634" w:rsidRPr="005E3B43" w:rsidRDefault="00125634" w:rsidP="00763BCF">
      <w:pPr>
        <w:pStyle w:val="subsection"/>
      </w:pPr>
      <w:r w:rsidRPr="005E3B43">
        <w:tab/>
        <w:t>(1)</w:t>
      </w:r>
      <w:r w:rsidRPr="005E3B43">
        <w:tab/>
        <w:t>The Chair of the Committee may give written notice to the Committee directing the Committee to hold meetings at the times and places, and to deal with the matters in the manner, stated in the notice.</w:t>
      </w:r>
    </w:p>
    <w:p w14:paraId="6501F23D" w14:textId="77777777" w:rsidR="00125634" w:rsidRPr="005E3B43" w:rsidRDefault="00125634" w:rsidP="00763BCF">
      <w:pPr>
        <w:pStyle w:val="subsection"/>
      </w:pPr>
      <w:r w:rsidRPr="005E3B43">
        <w:tab/>
        <w:t>(2)</w:t>
      </w:r>
      <w:r w:rsidRPr="005E3B43">
        <w:tab/>
        <w:t>The procedure of a meeting must be determined by the Committee in accordance with this Subdivision.</w:t>
      </w:r>
    </w:p>
    <w:p w14:paraId="16B70633" w14:textId="77777777" w:rsidR="00125634" w:rsidRPr="005E3B43" w:rsidRDefault="00125634" w:rsidP="00763BCF">
      <w:pPr>
        <w:pStyle w:val="subsection"/>
      </w:pPr>
      <w:r w:rsidRPr="005E3B43">
        <w:tab/>
        <w:t>(3)</w:t>
      </w:r>
      <w:r w:rsidRPr="005E3B43">
        <w:tab/>
        <w:t>If the Chair of the Committee considers it appropriate and efficient in the circumstances, the Chair may direct the Committee to meet by video conference or teleconference or to meet out of session.</w:t>
      </w:r>
    </w:p>
    <w:p w14:paraId="0675858F" w14:textId="77777777" w:rsidR="00125634" w:rsidRPr="005E3B43" w:rsidRDefault="00125634" w:rsidP="00763BCF">
      <w:pPr>
        <w:pStyle w:val="subsection"/>
      </w:pPr>
      <w:r w:rsidRPr="005E3B43">
        <w:tab/>
        <w:t>(4)</w:t>
      </w:r>
      <w:r w:rsidRPr="005E3B43">
        <w:tab/>
        <w:t>At a meeting, the Committee:</w:t>
      </w:r>
    </w:p>
    <w:p w14:paraId="659166CF" w14:textId="77777777" w:rsidR="00125634" w:rsidRPr="005E3B43" w:rsidRDefault="00125634" w:rsidP="00763BCF">
      <w:pPr>
        <w:pStyle w:val="paragraph"/>
      </w:pPr>
      <w:r w:rsidRPr="005E3B43">
        <w:tab/>
        <w:t>(a)</w:t>
      </w:r>
      <w:r w:rsidRPr="005E3B43">
        <w:tab/>
        <w:t>must act with as little formality and as quickly as this Subdivision and a proper consideration of the issues before the Committee allow; and</w:t>
      </w:r>
    </w:p>
    <w:p w14:paraId="16220551" w14:textId="77777777" w:rsidR="00125634" w:rsidRPr="005E3B43" w:rsidRDefault="00125634" w:rsidP="00763BCF">
      <w:pPr>
        <w:pStyle w:val="paragraph"/>
      </w:pPr>
      <w:r w:rsidRPr="005E3B43">
        <w:tab/>
        <w:t>(b)</w:t>
      </w:r>
      <w:r w:rsidRPr="005E3B43">
        <w:tab/>
        <w:t>is not bound by the rules of evidence; and</w:t>
      </w:r>
    </w:p>
    <w:p w14:paraId="3232C067" w14:textId="77777777" w:rsidR="00125634" w:rsidRPr="005E3B43" w:rsidRDefault="00125634" w:rsidP="00763BCF">
      <w:pPr>
        <w:pStyle w:val="paragraph"/>
      </w:pPr>
      <w:r w:rsidRPr="005E3B43">
        <w:tab/>
        <w:t>(c)</w:t>
      </w:r>
      <w:r w:rsidRPr="005E3B43">
        <w:tab/>
        <w:t>may obtain information about an issue in any way it considers appropriate; and</w:t>
      </w:r>
    </w:p>
    <w:p w14:paraId="600C104C" w14:textId="77777777" w:rsidR="00125634" w:rsidRPr="005E3B43" w:rsidRDefault="00125634" w:rsidP="00763BCF">
      <w:pPr>
        <w:pStyle w:val="paragraph"/>
      </w:pPr>
      <w:r w:rsidRPr="005E3B43">
        <w:tab/>
        <w:t>(d)</w:t>
      </w:r>
      <w:r w:rsidRPr="005E3B43">
        <w:tab/>
        <w:t>may receive information in any way it considers appropriate; and</w:t>
      </w:r>
    </w:p>
    <w:p w14:paraId="49DA2E7E" w14:textId="77777777" w:rsidR="00125634" w:rsidRPr="005E3B43" w:rsidRDefault="00125634" w:rsidP="00763BCF">
      <w:pPr>
        <w:pStyle w:val="paragraph"/>
      </w:pPr>
      <w:r w:rsidRPr="005E3B43">
        <w:tab/>
        <w:t>(e)</w:t>
      </w:r>
      <w:r w:rsidRPr="005E3B43">
        <w:tab/>
        <w:t>must comply with any directions given, in writing, to the Committee by the Minister or the Secretary about the Committee’s performance of its functions (other than a direction about advice given or proposed to be given by the Committee).</w:t>
      </w:r>
    </w:p>
    <w:p w14:paraId="52366D6A" w14:textId="77777777" w:rsidR="00125634" w:rsidRPr="005E3B43" w:rsidRDefault="00125634" w:rsidP="00763BCF">
      <w:pPr>
        <w:pStyle w:val="subsection"/>
      </w:pPr>
      <w:r w:rsidRPr="005E3B43">
        <w:tab/>
        <w:t>(5)</w:t>
      </w:r>
      <w:r w:rsidRPr="005E3B43">
        <w:tab/>
        <w:t>For this regulation:</w:t>
      </w:r>
    </w:p>
    <w:p w14:paraId="0D106CF4" w14:textId="77777777" w:rsidR="00125634" w:rsidRPr="005E3B43" w:rsidRDefault="00125634" w:rsidP="00763BCF">
      <w:pPr>
        <w:pStyle w:val="Definition"/>
      </w:pPr>
      <w:r w:rsidRPr="005E3B43">
        <w:rPr>
          <w:b/>
          <w:i/>
        </w:rPr>
        <w:t>out of session</w:t>
      </w:r>
      <w:r w:rsidRPr="005E3B43">
        <w:t>, in relation to a meeting, means a meeting in which the members take part by correspondence, email, telephone or in any other way that does not involve formal simultaneous meeting and voting.</w:t>
      </w:r>
    </w:p>
    <w:p w14:paraId="4A308044" w14:textId="77777777" w:rsidR="00125634" w:rsidRPr="005E3B43" w:rsidRDefault="00125634" w:rsidP="00763BCF">
      <w:pPr>
        <w:pStyle w:val="ActHead5"/>
      </w:pPr>
      <w:bookmarkStart w:id="224" w:name="_Toc187135818"/>
      <w:r w:rsidRPr="005E3B43">
        <w:rPr>
          <w:rStyle w:val="CharSectno"/>
        </w:rPr>
        <w:t>42ZCZC</w:t>
      </w:r>
      <w:r w:rsidR="00E20BA4" w:rsidRPr="005E3B43">
        <w:t xml:space="preserve">  </w:t>
      </w:r>
      <w:r w:rsidRPr="005E3B43">
        <w:t>Presiding member</w:t>
      </w:r>
      <w:bookmarkEnd w:id="224"/>
    </w:p>
    <w:p w14:paraId="41B59050" w14:textId="77777777" w:rsidR="00125634" w:rsidRPr="005E3B43" w:rsidRDefault="00125634" w:rsidP="00763BCF">
      <w:pPr>
        <w:pStyle w:val="subsection"/>
      </w:pPr>
      <w:r w:rsidRPr="005E3B43">
        <w:tab/>
        <w:t>(1)</w:t>
      </w:r>
      <w:r w:rsidRPr="005E3B43">
        <w:tab/>
        <w:t>The Chair must preside at a Committee meeting at which he or she is present.</w:t>
      </w:r>
    </w:p>
    <w:p w14:paraId="6D6E1E35" w14:textId="77777777" w:rsidR="00125634" w:rsidRPr="005E3B43" w:rsidRDefault="00125634" w:rsidP="00763BCF">
      <w:pPr>
        <w:pStyle w:val="subsection"/>
      </w:pPr>
      <w:r w:rsidRPr="005E3B43">
        <w:tab/>
        <w:t>(2)</w:t>
      </w:r>
      <w:r w:rsidRPr="005E3B43">
        <w:tab/>
        <w:t>If the Chair is unable to preside at a meeting, he or she must:</w:t>
      </w:r>
    </w:p>
    <w:p w14:paraId="3489CC98" w14:textId="77777777" w:rsidR="00125634" w:rsidRPr="005E3B43" w:rsidRDefault="00125634" w:rsidP="00763BCF">
      <w:pPr>
        <w:pStyle w:val="paragraph"/>
      </w:pPr>
      <w:r w:rsidRPr="005E3B43">
        <w:tab/>
        <w:t>(a)</w:t>
      </w:r>
      <w:r w:rsidRPr="005E3B43">
        <w:tab/>
        <w:t>select a member of the Committee to preside at the meeting; and</w:t>
      </w:r>
    </w:p>
    <w:p w14:paraId="257AA814" w14:textId="77777777" w:rsidR="00125634" w:rsidRPr="005E3B43" w:rsidRDefault="00125634" w:rsidP="00763BCF">
      <w:pPr>
        <w:pStyle w:val="paragraph"/>
      </w:pPr>
      <w:r w:rsidRPr="005E3B43">
        <w:tab/>
        <w:t>(b)</w:t>
      </w:r>
      <w:r w:rsidRPr="005E3B43">
        <w:tab/>
        <w:t>advise the other Committee members of the selection.</w:t>
      </w:r>
    </w:p>
    <w:p w14:paraId="6D8EDE54" w14:textId="77777777" w:rsidR="00125634" w:rsidRPr="005E3B43" w:rsidRDefault="00125634" w:rsidP="00763BCF">
      <w:pPr>
        <w:pStyle w:val="subsection"/>
      </w:pPr>
      <w:r w:rsidRPr="005E3B43">
        <w:tab/>
        <w:t>(3)</w:t>
      </w:r>
      <w:r w:rsidRPr="005E3B43">
        <w:tab/>
        <w:t>If the Chair is temporarily absent from a meeting, the member chosen by the Committee members present must preside at the meeting.</w:t>
      </w:r>
    </w:p>
    <w:p w14:paraId="1CF43F45" w14:textId="77777777" w:rsidR="00125634" w:rsidRPr="005E3B43" w:rsidRDefault="00125634" w:rsidP="00763BCF">
      <w:pPr>
        <w:pStyle w:val="subsection"/>
      </w:pPr>
      <w:r w:rsidRPr="005E3B43">
        <w:lastRenderedPageBreak/>
        <w:tab/>
        <w:t>(4)</w:t>
      </w:r>
      <w:r w:rsidRPr="005E3B43">
        <w:tab/>
        <w:t>A member presiding under subregulation (2) or (3) may exercise the powers and functions of the Chair.</w:t>
      </w:r>
    </w:p>
    <w:p w14:paraId="612BEC31" w14:textId="77777777" w:rsidR="00125634" w:rsidRPr="005E3B43" w:rsidRDefault="00125634" w:rsidP="00763BCF">
      <w:pPr>
        <w:pStyle w:val="ActHead5"/>
      </w:pPr>
      <w:bookmarkStart w:id="225" w:name="_Toc187135819"/>
      <w:r w:rsidRPr="005E3B43">
        <w:rPr>
          <w:rStyle w:val="CharSectno"/>
        </w:rPr>
        <w:t>42ZCZD</w:t>
      </w:r>
      <w:r w:rsidR="00E20BA4" w:rsidRPr="005E3B43">
        <w:t xml:space="preserve">  </w:t>
      </w:r>
      <w:r w:rsidRPr="005E3B43">
        <w:t>Quorum</w:t>
      </w:r>
      <w:bookmarkEnd w:id="225"/>
    </w:p>
    <w:p w14:paraId="6D11017E" w14:textId="77777777" w:rsidR="00125634" w:rsidRPr="005E3B43" w:rsidRDefault="00125634" w:rsidP="00763BCF">
      <w:pPr>
        <w:pStyle w:val="subsection"/>
      </w:pPr>
      <w:r w:rsidRPr="005E3B43">
        <w:tab/>
      </w:r>
      <w:r w:rsidRPr="005E3B43">
        <w:tab/>
        <w:t xml:space="preserve">A quorum exists at a Committee meeting when at least </w:t>
      </w:r>
      <w:r w:rsidR="00516D9A" w:rsidRPr="005E3B43">
        <w:t>half</w:t>
      </w:r>
      <w:r w:rsidRPr="005E3B43">
        <w:t xml:space="preserve"> of the Committee members are present.</w:t>
      </w:r>
    </w:p>
    <w:p w14:paraId="40733BFB" w14:textId="77777777" w:rsidR="00125634" w:rsidRPr="005E3B43" w:rsidRDefault="00125634" w:rsidP="00763BCF">
      <w:pPr>
        <w:pStyle w:val="ActHead5"/>
      </w:pPr>
      <w:bookmarkStart w:id="226" w:name="_Toc187135820"/>
      <w:r w:rsidRPr="005E3B43">
        <w:rPr>
          <w:rStyle w:val="CharSectno"/>
        </w:rPr>
        <w:t>42ZCZE</w:t>
      </w:r>
      <w:r w:rsidR="00E20BA4" w:rsidRPr="005E3B43">
        <w:t xml:space="preserve">  </w:t>
      </w:r>
      <w:r w:rsidRPr="005E3B43">
        <w:t>Voting</w:t>
      </w:r>
      <w:bookmarkEnd w:id="226"/>
    </w:p>
    <w:p w14:paraId="1FD0D3BE" w14:textId="77777777" w:rsidR="00125634" w:rsidRPr="005E3B43" w:rsidRDefault="00125634" w:rsidP="00763BCF">
      <w:pPr>
        <w:pStyle w:val="subsection"/>
      </w:pPr>
      <w:r w:rsidRPr="005E3B43">
        <w:tab/>
        <w:t>(1)</w:t>
      </w:r>
      <w:r w:rsidRPr="005E3B43">
        <w:tab/>
        <w:t>A decision made at a Committee meeting by a majority of the votes of the members present and voting is a decision of the Committee.</w:t>
      </w:r>
    </w:p>
    <w:p w14:paraId="2957E569" w14:textId="77777777" w:rsidR="00125634" w:rsidRPr="005E3B43" w:rsidRDefault="00E20BA4" w:rsidP="00763BCF">
      <w:pPr>
        <w:pStyle w:val="notetext"/>
      </w:pPr>
      <w:r w:rsidRPr="005E3B43">
        <w:t>Note:</w:t>
      </w:r>
      <w:r w:rsidRPr="005E3B43">
        <w:tab/>
      </w:r>
      <w:r w:rsidR="00125634" w:rsidRPr="005E3B43">
        <w:t>Decisions of the Committee relate to the recommendations and advice the Committee provides to the Secretary under subsection</w:t>
      </w:r>
      <w:r w:rsidR="004E6D00" w:rsidRPr="005E3B43">
        <w:t> </w:t>
      </w:r>
      <w:r w:rsidR="00125634" w:rsidRPr="005E3B43">
        <w:t>52C(4) of the Act.</w:t>
      </w:r>
    </w:p>
    <w:p w14:paraId="2C08A844" w14:textId="77777777" w:rsidR="00125634" w:rsidRPr="005E3B43" w:rsidRDefault="00125634" w:rsidP="00763BCF">
      <w:pPr>
        <w:pStyle w:val="subsection"/>
      </w:pPr>
      <w:r w:rsidRPr="005E3B43">
        <w:tab/>
        <w:t>(2)</w:t>
      </w:r>
      <w:r w:rsidRPr="005E3B43">
        <w:tab/>
        <w:t>The member presiding at a Committee meeting has a deliberative vote and, if the votes are equal, also has a casting vote.</w:t>
      </w:r>
    </w:p>
    <w:p w14:paraId="632BF83E" w14:textId="77777777" w:rsidR="00125634" w:rsidRPr="005E3B43" w:rsidRDefault="00125634" w:rsidP="00763BCF">
      <w:pPr>
        <w:pStyle w:val="ActHead5"/>
      </w:pPr>
      <w:bookmarkStart w:id="227" w:name="_Toc187135821"/>
      <w:r w:rsidRPr="005E3B43">
        <w:rPr>
          <w:rStyle w:val="CharSectno"/>
        </w:rPr>
        <w:t>42ZCZF</w:t>
      </w:r>
      <w:r w:rsidR="00E20BA4" w:rsidRPr="005E3B43">
        <w:t xml:space="preserve">  </w:t>
      </w:r>
      <w:r w:rsidRPr="005E3B43">
        <w:t>Miscellaneous</w:t>
      </w:r>
      <w:bookmarkEnd w:id="227"/>
    </w:p>
    <w:p w14:paraId="28DF3D90" w14:textId="77777777" w:rsidR="00125634" w:rsidRPr="005E3B43" w:rsidRDefault="00125634" w:rsidP="00763BCF">
      <w:pPr>
        <w:pStyle w:val="SubsectionHead"/>
      </w:pPr>
      <w:r w:rsidRPr="005E3B43">
        <w:t>Sitting fees and travel entitlements</w:t>
      </w:r>
    </w:p>
    <w:p w14:paraId="17498B64" w14:textId="77777777" w:rsidR="00125634" w:rsidRPr="005E3B43" w:rsidRDefault="00125634" w:rsidP="00763BCF">
      <w:pPr>
        <w:pStyle w:val="subsection"/>
      </w:pPr>
      <w:r w:rsidRPr="005E3B43">
        <w:tab/>
        <w:t>(1)</w:t>
      </w:r>
      <w:r w:rsidRPr="005E3B43">
        <w:tab/>
        <w:t>An appointed member is entitled to sitting fees and travel entitlements as determined by the Remuneration Tribunal.</w:t>
      </w:r>
    </w:p>
    <w:p w14:paraId="7B753924" w14:textId="77777777" w:rsidR="00125634" w:rsidRPr="005E3B43" w:rsidRDefault="00125634" w:rsidP="00763BCF">
      <w:pPr>
        <w:pStyle w:val="SubsectionHead"/>
      </w:pPr>
      <w:r w:rsidRPr="005E3B43">
        <w:t>When Committee may establish subcommittees</w:t>
      </w:r>
    </w:p>
    <w:p w14:paraId="5B1E14A9" w14:textId="77777777" w:rsidR="00125634" w:rsidRPr="005E3B43" w:rsidRDefault="00125634" w:rsidP="00763BCF">
      <w:pPr>
        <w:pStyle w:val="subsection"/>
      </w:pPr>
      <w:r w:rsidRPr="005E3B43">
        <w:tab/>
        <w:t>(2)</w:t>
      </w:r>
      <w:r w:rsidRPr="005E3B43">
        <w:tab/>
        <w:t>The Committee, with the approval of the Secretary, may establish subcommittees, consisting of Committee members and other persons.</w:t>
      </w:r>
    </w:p>
    <w:p w14:paraId="2C0B7787" w14:textId="77777777" w:rsidR="00125634" w:rsidRPr="005E3B43" w:rsidRDefault="00125634" w:rsidP="00763BCF">
      <w:pPr>
        <w:pStyle w:val="subsection"/>
      </w:pPr>
      <w:r w:rsidRPr="005E3B43">
        <w:tab/>
        <w:t>(3)</w:t>
      </w:r>
      <w:r w:rsidRPr="005E3B43">
        <w:tab/>
        <w:t>The function of the subcommittee is to inquire into, and report to the Committee on, any matter referred to the subcommittee that is within the functions of the Committee.</w:t>
      </w:r>
    </w:p>
    <w:p w14:paraId="4EF5519B" w14:textId="77777777" w:rsidR="00125634" w:rsidRPr="005E3B43" w:rsidRDefault="00125634" w:rsidP="00763BCF">
      <w:pPr>
        <w:pStyle w:val="SubsectionHead"/>
      </w:pPr>
      <w:r w:rsidRPr="005E3B43">
        <w:t>Disclosure of interests</w:t>
      </w:r>
    </w:p>
    <w:p w14:paraId="34487FCD" w14:textId="77777777" w:rsidR="00125634" w:rsidRPr="005E3B43" w:rsidRDefault="00125634" w:rsidP="00763BCF">
      <w:pPr>
        <w:pStyle w:val="subsection"/>
      </w:pPr>
      <w:r w:rsidRPr="005E3B43">
        <w:tab/>
        <w:t>(4)</w:t>
      </w:r>
      <w:r w:rsidRPr="005E3B43">
        <w:tab/>
        <w:t>A Committee member who is aware that he or she has a direct or indirect material personal interest (whether pecuniary or not) in a matter being considered or about to be considered at a meeting of the Committee must, without delay, disclose the nature of the interest at, or before, the meeting of the Committee.</w:t>
      </w:r>
    </w:p>
    <w:p w14:paraId="5C5BA2CE" w14:textId="77777777" w:rsidR="00125634" w:rsidRPr="005E3B43" w:rsidRDefault="00125634" w:rsidP="00763BCF">
      <w:pPr>
        <w:pStyle w:val="subsection"/>
      </w:pPr>
      <w:r w:rsidRPr="005E3B43">
        <w:tab/>
        <w:t>(5)</w:t>
      </w:r>
      <w:r w:rsidRPr="005E3B43">
        <w:tab/>
        <w:t xml:space="preserve">The disclosure must be recorded in the minutes of the meeting and the member must not, unless the Committee otherwise determines, either be present during any deliberation of the Committee about the matter or take </w:t>
      </w:r>
      <w:r w:rsidR="009D7AE0" w:rsidRPr="005E3B43">
        <w:t>part i</w:t>
      </w:r>
      <w:r w:rsidRPr="005E3B43">
        <w:t>n any decision of the Committee about the matter.</w:t>
      </w:r>
    </w:p>
    <w:p w14:paraId="42818FAE" w14:textId="77777777" w:rsidR="00125634" w:rsidRPr="005E3B43" w:rsidRDefault="00125634" w:rsidP="00763BCF">
      <w:pPr>
        <w:pStyle w:val="subsection"/>
      </w:pPr>
      <w:r w:rsidRPr="005E3B43">
        <w:tab/>
        <w:t>(6)</w:t>
      </w:r>
      <w:r w:rsidRPr="005E3B43">
        <w:tab/>
        <w:t xml:space="preserve">When the Committee is making a determination about a member who has made a disclosure, the member, and any other member who has a direct or indirect material personal interest (whether pecuniary or not) in the matter to which the disclosure relates, must not be present during any deliberation of the Committee and must not take </w:t>
      </w:r>
      <w:r w:rsidR="009D7AE0" w:rsidRPr="005E3B43">
        <w:t>part i</w:t>
      </w:r>
      <w:r w:rsidRPr="005E3B43">
        <w:t>n making the determination.</w:t>
      </w:r>
    </w:p>
    <w:p w14:paraId="7F71CDB0" w14:textId="77777777" w:rsidR="00125634" w:rsidRPr="005E3B43" w:rsidRDefault="00125634" w:rsidP="00763BCF">
      <w:pPr>
        <w:pStyle w:val="subsection"/>
      </w:pPr>
      <w:r w:rsidRPr="005E3B43">
        <w:lastRenderedPageBreak/>
        <w:tab/>
        <w:t>(7)</w:t>
      </w:r>
      <w:r w:rsidRPr="005E3B43">
        <w:tab/>
        <w:t>A member of a subcommittee appointed by the Committee, who is aware that he or she has a direct or indirect material personal interest (whether pecuniary or not) in a matter being considered, or about to be considered, at a meeting of the subcommittee must, without delay, disclose the nature of the interest at, or before, the meeting of the subcommittee.</w:t>
      </w:r>
    </w:p>
    <w:p w14:paraId="4BECE414" w14:textId="77777777" w:rsidR="00125634" w:rsidRPr="005E3B43" w:rsidRDefault="00125634" w:rsidP="00763BCF">
      <w:pPr>
        <w:pStyle w:val="SubsectionHead"/>
      </w:pPr>
      <w:r w:rsidRPr="005E3B43">
        <w:t>Seeking and providing further advice</w:t>
      </w:r>
    </w:p>
    <w:p w14:paraId="59F6B8F1" w14:textId="77777777" w:rsidR="00125634" w:rsidRPr="005E3B43" w:rsidRDefault="00125634" w:rsidP="00763BCF">
      <w:pPr>
        <w:pStyle w:val="subsection"/>
      </w:pPr>
      <w:r w:rsidRPr="005E3B43">
        <w:tab/>
        <w:t>(8)</w:t>
      </w:r>
      <w:r w:rsidRPr="005E3B43">
        <w:tab/>
        <w:t>Any advice or recommendation given by the Committee to the Secretary may be given to another committee established under the Act or these Regulations for the advice of that committee.</w:t>
      </w:r>
    </w:p>
    <w:p w14:paraId="6921E20B" w14:textId="77777777" w:rsidR="00125634" w:rsidRPr="005E3B43" w:rsidRDefault="00125634" w:rsidP="00763BCF">
      <w:pPr>
        <w:pStyle w:val="subsection"/>
      </w:pPr>
      <w:r w:rsidRPr="005E3B43">
        <w:tab/>
        <w:t>(9)</w:t>
      </w:r>
      <w:r w:rsidRPr="005E3B43">
        <w:tab/>
        <w:t>In performing its functions, the Committee may seek advice from other persons.</w:t>
      </w:r>
    </w:p>
    <w:p w14:paraId="53E9C0CC" w14:textId="77777777" w:rsidR="00125634" w:rsidRPr="005E3B43" w:rsidRDefault="00125634" w:rsidP="00763BCF">
      <w:pPr>
        <w:pStyle w:val="SubsectionHead"/>
      </w:pPr>
      <w:r w:rsidRPr="005E3B43">
        <w:t>Validity of acts of members</w:t>
      </w:r>
    </w:p>
    <w:p w14:paraId="4996352A" w14:textId="77777777" w:rsidR="00125634" w:rsidRPr="005E3B43" w:rsidRDefault="00125634" w:rsidP="00763BCF">
      <w:pPr>
        <w:pStyle w:val="subsection"/>
      </w:pPr>
      <w:r w:rsidRPr="005E3B43">
        <w:tab/>
        <w:t>(10)</w:t>
      </w:r>
      <w:r w:rsidRPr="005E3B43">
        <w:tab/>
        <w:t>Anything done by a person purporting to be, or purporting to act as, a Committee member (including the Chair) is not invalid because:</w:t>
      </w:r>
    </w:p>
    <w:p w14:paraId="22826B0B" w14:textId="77777777" w:rsidR="00125634" w:rsidRPr="005E3B43" w:rsidRDefault="00125634" w:rsidP="00763BCF">
      <w:pPr>
        <w:pStyle w:val="paragraph"/>
      </w:pPr>
      <w:r w:rsidRPr="005E3B43">
        <w:tab/>
        <w:t>(a)</w:t>
      </w:r>
      <w:r w:rsidRPr="005E3B43">
        <w:tab/>
        <w:t>the person had not yet been appointed; or</w:t>
      </w:r>
    </w:p>
    <w:p w14:paraId="00515639" w14:textId="77777777" w:rsidR="00125634" w:rsidRPr="005E3B43" w:rsidRDefault="00125634" w:rsidP="00763BCF">
      <w:pPr>
        <w:pStyle w:val="paragraph"/>
      </w:pPr>
      <w:r w:rsidRPr="005E3B43">
        <w:tab/>
        <w:t>(b)</w:t>
      </w:r>
      <w:r w:rsidRPr="005E3B43">
        <w:tab/>
        <w:t>there is a defect or irregularity in connection with the person’s appointment; or</w:t>
      </w:r>
    </w:p>
    <w:p w14:paraId="4B657849" w14:textId="77777777" w:rsidR="00125634" w:rsidRPr="005E3B43" w:rsidRDefault="00125634" w:rsidP="00763BCF">
      <w:pPr>
        <w:pStyle w:val="paragraph"/>
      </w:pPr>
      <w:r w:rsidRPr="005E3B43">
        <w:tab/>
        <w:t>(c)</w:t>
      </w:r>
      <w:r w:rsidRPr="005E3B43">
        <w:tab/>
        <w:t>the person’s appointment had ceased to have effect.</w:t>
      </w:r>
    </w:p>
    <w:p w14:paraId="0EC46F7A" w14:textId="77777777" w:rsidR="00125634" w:rsidRPr="005E3B43" w:rsidRDefault="00125634" w:rsidP="00763BCF">
      <w:pPr>
        <w:pStyle w:val="SubsectionHead"/>
      </w:pPr>
      <w:r w:rsidRPr="005E3B43">
        <w:t>Records and reports</w:t>
      </w:r>
    </w:p>
    <w:p w14:paraId="20F54CDA" w14:textId="77777777" w:rsidR="00125634" w:rsidRPr="005E3B43" w:rsidRDefault="00125634" w:rsidP="00763BCF">
      <w:pPr>
        <w:pStyle w:val="subsection"/>
      </w:pPr>
      <w:r w:rsidRPr="005E3B43">
        <w:tab/>
        <w:t>(11)</w:t>
      </w:r>
      <w:r w:rsidRPr="005E3B43">
        <w:tab/>
        <w:t>The Committee must keep a record of its proceedings, and must prepare any other report about its activities that is requested by the Minister or the Secretary.</w:t>
      </w:r>
    </w:p>
    <w:p w14:paraId="7D91FD24" w14:textId="77777777" w:rsidR="00125634" w:rsidRPr="005E3B43" w:rsidRDefault="00125634" w:rsidP="00763BCF">
      <w:pPr>
        <w:pStyle w:val="SubsectionHead"/>
      </w:pPr>
      <w:r w:rsidRPr="005E3B43">
        <w:t>Publication</w:t>
      </w:r>
    </w:p>
    <w:p w14:paraId="64A945E3" w14:textId="77777777" w:rsidR="00125634" w:rsidRPr="005E3B43" w:rsidRDefault="00125634" w:rsidP="00763BCF">
      <w:pPr>
        <w:pStyle w:val="subsection"/>
      </w:pPr>
      <w:r w:rsidRPr="005E3B43">
        <w:tab/>
        <w:t>(12)</w:t>
      </w:r>
      <w:r w:rsidRPr="005E3B43">
        <w:tab/>
        <w:t>The Committee must publish details of any recommendations it makes.</w:t>
      </w:r>
    </w:p>
    <w:p w14:paraId="4CEB0063" w14:textId="77777777" w:rsidR="00125634" w:rsidRPr="005E3B43" w:rsidRDefault="00BE7FAC" w:rsidP="00763BCF">
      <w:pPr>
        <w:pStyle w:val="ActHead3"/>
        <w:pageBreakBefore/>
        <w:spacing w:before="200"/>
      </w:pPr>
      <w:bookmarkStart w:id="228" w:name="_Toc187135822"/>
      <w:r w:rsidRPr="005E3B43">
        <w:rPr>
          <w:rStyle w:val="CharDivNo"/>
        </w:rPr>
        <w:lastRenderedPageBreak/>
        <w:t>Division 3</w:t>
      </w:r>
      <w:r w:rsidR="00125634" w:rsidRPr="005E3B43">
        <w:rPr>
          <w:rStyle w:val="CharDivNo"/>
        </w:rPr>
        <w:t>C</w:t>
      </w:r>
      <w:r w:rsidR="00E20BA4" w:rsidRPr="005E3B43">
        <w:t>—</w:t>
      </w:r>
      <w:r w:rsidR="00125634" w:rsidRPr="005E3B43">
        <w:rPr>
          <w:rStyle w:val="CharDivText"/>
        </w:rPr>
        <w:t>Joint meetings</w:t>
      </w:r>
      <w:bookmarkEnd w:id="228"/>
    </w:p>
    <w:p w14:paraId="6E7AB785" w14:textId="77777777" w:rsidR="00125634" w:rsidRPr="005E3B43" w:rsidRDefault="00125634" w:rsidP="00763BCF">
      <w:pPr>
        <w:pStyle w:val="ActHead5"/>
        <w:spacing w:before="240"/>
      </w:pPr>
      <w:bookmarkStart w:id="229" w:name="_Toc187135823"/>
      <w:r w:rsidRPr="005E3B43">
        <w:rPr>
          <w:rStyle w:val="CharSectno"/>
        </w:rPr>
        <w:t>42ZCZG</w:t>
      </w:r>
      <w:r w:rsidR="00E20BA4" w:rsidRPr="005E3B43">
        <w:t xml:space="preserve">  </w:t>
      </w:r>
      <w:r w:rsidRPr="005E3B43">
        <w:t>Joint meetings</w:t>
      </w:r>
      <w:bookmarkEnd w:id="229"/>
    </w:p>
    <w:p w14:paraId="74DF562F" w14:textId="77777777" w:rsidR="00125634" w:rsidRPr="005E3B43" w:rsidRDefault="00125634" w:rsidP="00763BCF">
      <w:pPr>
        <w:pStyle w:val="subsection"/>
        <w:spacing w:before="160"/>
      </w:pPr>
      <w:r w:rsidRPr="005E3B43">
        <w:tab/>
      </w:r>
      <w:r w:rsidRPr="005E3B43">
        <w:tab/>
        <w:t>For section</w:t>
      </w:r>
      <w:r w:rsidR="004E6D00" w:rsidRPr="005E3B43">
        <w:t> </w:t>
      </w:r>
      <w:r w:rsidRPr="005E3B43">
        <w:t>52CA of the Act, the Advisory Committee on Medicines Scheduling and the Advisory Committee on Chemicals Scheduling may hold joint meetings in accordance with this Division.</w:t>
      </w:r>
    </w:p>
    <w:p w14:paraId="36FA466E" w14:textId="77777777" w:rsidR="00125634" w:rsidRPr="005E3B43" w:rsidRDefault="00125634" w:rsidP="00763BCF">
      <w:pPr>
        <w:pStyle w:val="ActHead5"/>
        <w:spacing w:before="240"/>
      </w:pPr>
      <w:bookmarkStart w:id="230" w:name="_Toc187135824"/>
      <w:r w:rsidRPr="005E3B43">
        <w:rPr>
          <w:rStyle w:val="CharSectno"/>
        </w:rPr>
        <w:t>42ZCZH</w:t>
      </w:r>
      <w:r w:rsidR="00E20BA4" w:rsidRPr="005E3B43">
        <w:t xml:space="preserve">  </w:t>
      </w:r>
      <w:r w:rsidRPr="005E3B43">
        <w:t>Procedure for joint meetings</w:t>
      </w:r>
      <w:bookmarkEnd w:id="230"/>
    </w:p>
    <w:p w14:paraId="3A6CBF74" w14:textId="77777777" w:rsidR="00125634" w:rsidRPr="005E3B43" w:rsidRDefault="00125634" w:rsidP="00763BCF">
      <w:pPr>
        <w:pStyle w:val="subsection"/>
        <w:spacing w:before="160"/>
      </w:pPr>
      <w:r w:rsidRPr="005E3B43">
        <w:tab/>
        <w:t>(1)</w:t>
      </w:r>
      <w:r w:rsidRPr="005E3B43">
        <w:tab/>
        <w:t>The Secretary may, if the Secretary considers it appropriate to do so, give written notice to the Committee members of both Committees directing the Committees to hold a joint meeting at the time and place, and to deal with the matters in the manner, stated in the notice.</w:t>
      </w:r>
    </w:p>
    <w:p w14:paraId="78F9A8A4" w14:textId="77777777" w:rsidR="00125634" w:rsidRPr="005E3B43" w:rsidRDefault="00125634" w:rsidP="00763BCF">
      <w:pPr>
        <w:pStyle w:val="subsection"/>
        <w:spacing w:before="160"/>
      </w:pPr>
      <w:r w:rsidRPr="005E3B43">
        <w:tab/>
        <w:t>(2)</w:t>
      </w:r>
      <w:r w:rsidRPr="005E3B43">
        <w:tab/>
        <w:t>At a joint meeting, the Committee members present at the meeting must vote on which Chair (or presiding member) is to be the Chair of the joint meeting.</w:t>
      </w:r>
    </w:p>
    <w:p w14:paraId="1CC7A42D" w14:textId="77777777" w:rsidR="00125634" w:rsidRPr="005E3B43" w:rsidRDefault="00125634" w:rsidP="00763BCF">
      <w:pPr>
        <w:pStyle w:val="subsection"/>
        <w:spacing w:before="160"/>
      </w:pPr>
      <w:r w:rsidRPr="005E3B43">
        <w:tab/>
        <w:t>(3)</w:t>
      </w:r>
      <w:r w:rsidRPr="005E3B43">
        <w:tab/>
        <w:t>For the purpose of choosing a Chair, a Committee member may cast one vote in respect of each Committee of which he or she is a member.</w:t>
      </w:r>
    </w:p>
    <w:p w14:paraId="31F20AEB" w14:textId="77777777" w:rsidR="00125634" w:rsidRPr="005E3B43" w:rsidRDefault="00125634" w:rsidP="00763BCF">
      <w:pPr>
        <w:pStyle w:val="subsection"/>
        <w:spacing w:before="160"/>
      </w:pPr>
      <w:r w:rsidRPr="005E3B43">
        <w:tab/>
        <w:t>(4)</w:t>
      </w:r>
      <w:r w:rsidRPr="005E3B43">
        <w:tab/>
        <w:t>There is a quorum at a joint meeting if there is a quorum for each Committee.</w:t>
      </w:r>
    </w:p>
    <w:p w14:paraId="2D99B888" w14:textId="77777777" w:rsidR="00125634" w:rsidRPr="005E3B43" w:rsidRDefault="00125634" w:rsidP="00763BCF">
      <w:pPr>
        <w:pStyle w:val="subsection"/>
        <w:spacing w:before="160"/>
      </w:pPr>
      <w:r w:rsidRPr="005E3B43">
        <w:tab/>
        <w:t>(5)</w:t>
      </w:r>
      <w:r w:rsidRPr="005E3B43">
        <w:tab/>
        <w:t>At a joint meeting:</w:t>
      </w:r>
    </w:p>
    <w:p w14:paraId="7D49071A" w14:textId="77777777" w:rsidR="00125634" w:rsidRPr="005E3B43" w:rsidRDefault="00125634" w:rsidP="00763BCF">
      <w:pPr>
        <w:pStyle w:val="paragraph"/>
      </w:pPr>
      <w:r w:rsidRPr="005E3B43">
        <w:tab/>
        <w:t>(a)</w:t>
      </w:r>
      <w:r w:rsidRPr="005E3B43">
        <w:tab/>
        <w:t>decisions are to be made by a majority of the votes cast by the members present and voting; and</w:t>
      </w:r>
    </w:p>
    <w:p w14:paraId="75A27E82" w14:textId="77777777" w:rsidR="00125634" w:rsidRPr="005E3B43" w:rsidRDefault="00125634" w:rsidP="00763BCF">
      <w:pPr>
        <w:pStyle w:val="paragraph"/>
      </w:pPr>
      <w:r w:rsidRPr="005E3B43">
        <w:tab/>
        <w:t>(b)</w:t>
      </w:r>
      <w:r w:rsidRPr="005E3B43">
        <w:tab/>
        <w:t>each member has one vote in respect of each Committee of which he or she is a member.</w:t>
      </w:r>
    </w:p>
    <w:p w14:paraId="75DC2A0C" w14:textId="77777777" w:rsidR="00125634" w:rsidRPr="005E3B43" w:rsidRDefault="00125634" w:rsidP="00763BCF">
      <w:pPr>
        <w:pStyle w:val="subsection"/>
        <w:spacing w:before="160"/>
      </w:pPr>
      <w:r w:rsidRPr="005E3B43">
        <w:tab/>
        <w:t>(6)</w:t>
      </w:r>
      <w:r w:rsidRPr="005E3B43">
        <w:tab/>
        <w:t>A decision made at a joint meeting is taken to be a decision of each Committee for the purposes of any advice or recommendation provided to the Secretary by either Committee.</w:t>
      </w:r>
    </w:p>
    <w:p w14:paraId="1A46130F" w14:textId="77777777" w:rsidR="00125634" w:rsidRPr="005E3B43" w:rsidRDefault="00E20BA4" w:rsidP="00763BCF">
      <w:pPr>
        <w:pStyle w:val="notetext"/>
      </w:pPr>
      <w:r w:rsidRPr="005E3B43">
        <w:t>Note:</w:t>
      </w:r>
      <w:r w:rsidRPr="005E3B43">
        <w:tab/>
      </w:r>
      <w:r w:rsidR="00125634" w:rsidRPr="005E3B43">
        <w:t>Decisions at a joint meeting relate to the recommendations and advice a Committee may provide to the Secretary under subsections</w:t>
      </w:r>
      <w:r w:rsidR="004E6D00" w:rsidRPr="005E3B43">
        <w:t> </w:t>
      </w:r>
      <w:r w:rsidR="00125634" w:rsidRPr="005E3B43">
        <w:t>52B(4) and 52C(4) of the Act.</w:t>
      </w:r>
    </w:p>
    <w:p w14:paraId="0D55F44E" w14:textId="77777777" w:rsidR="00125634" w:rsidRPr="005E3B43" w:rsidRDefault="00125634" w:rsidP="00763BCF">
      <w:pPr>
        <w:pStyle w:val="subsection"/>
        <w:spacing w:before="160"/>
      </w:pPr>
      <w:r w:rsidRPr="005E3B43">
        <w:tab/>
        <w:t>(7)</w:t>
      </w:r>
      <w:r w:rsidRPr="005E3B43">
        <w:tab/>
        <w:t>Each Committee must keep a record of the proceedings of the joint meeting.</w:t>
      </w:r>
    </w:p>
    <w:p w14:paraId="3589FD3F" w14:textId="77777777" w:rsidR="00125634" w:rsidRPr="005E3B43" w:rsidRDefault="00BE7FAC" w:rsidP="00763BCF">
      <w:pPr>
        <w:pStyle w:val="ActHead3"/>
        <w:pageBreakBefore/>
      </w:pPr>
      <w:bookmarkStart w:id="231" w:name="_Toc187135825"/>
      <w:r w:rsidRPr="005E3B43">
        <w:rPr>
          <w:rStyle w:val="CharDivNo"/>
        </w:rPr>
        <w:lastRenderedPageBreak/>
        <w:t>Division 3</w:t>
      </w:r>
      <w:r w:rsidR="00125634" w:rsidRPr="005E3B43">
        <w:rPr>
          <w:rStyle w:val="CharDivNo"/>
        </w:rPr>
        <w:t>D</w:t>
      </w:r>
      <w:r w:rsidR="00E20BA4" w:rsidRPr="005E3B43">
        <w:t>—</w:t>
      </w:r>
      <w:r w:rsidR="00125634" w:rsidRPr="005E3B43">
        <w:rPr>
          <w:rStyle w:val="CharDivText"/>
        </w:rPr>
        <w:t>Procedure for amending the current Poisons Standard</w:t>
      </w:r>
      <w:bookmarkEnd w:id="231"/>
    </w:p>
    <w:p w14:paraId="09C53A79" w14:textId="77777777" w:rsidR="00125634" w:rsidRPr="005E3B43" w:rsidRDefault="00125634" w:rsidP="00763BCF">
      <w:pPr>
        <w:pStyle w:val="ActHead4"/>
      </w:pPr>
      <w:bookmarkStart w:id="232" w:name="_Toc187135826"/>
      <w:r w:rsidRPr="005E3B43">
        <w:rPr>
          <w:rStyle w:val="CharSubdNo"/>
        </w:rPr>
        <w:t>Subdivision</w:t>
      </w:r>
      <w:r w:rsidR="004E6D00" w:rsidRPr="005E3B43">
        <w:rPr>
          <w:rStyle w:val="CharSubdNo"/>
        </w:rPr>
        <w:t> </w:t>
      </w:r>
      <w:r w:rsidRPr="005E3B43">
        <w:rPr>
          <w:rStyle w:val="CharSubdNo"/>
        </w:rPr>
        <w:t>3D.1</w:t>
      </w:r>
      <w:r w:rsidR="00E20BA4" w:rsidRPr="005E3B43">
        <w:t>—</w:t>
      </w:r>
      <w:r w:rsidRPr="005E3B43">
        <w:rPr>
          <w:rStyle w:val="CharSubdText"/>
        </w:rPr>
        <w:t>Preliminary</w:t>
      </w:r>
      <w:bookmarkEnd w:id="232"/>
    </w:p>
    <w:p w14:paraId="6E60EC9A" w14:textId="77777777" w:rsidR="00125634" w:rsidRPr="005E3B43" w:rsidRDefault="00125634" w:rsidP="00763BCF">
      <w:pPr>
        <w:pStyle w:val="ActHead5"/>
      </w:pPr>
      <w:bookmarkStart w:id="233" w:name="_Toc187135827"/>
      <w:r w:rsidRPr="005E3B43">
        <w:rPr>
          <w:rStyle w:val="CharSectno"/>
        </w:rPr>
        <w:t>42ZCZI</w:t>
      </w:r>
      <w:r w:rsidR="00E20BA4" w:rsidRPr="005E3B43">
        <w:t xml:space="preserve">  </w:t>
      </w:r>
      <w:r w:rsidRPr="005E3B43">
        <w:t xml:space="preserve">Definitions for </w:t>
      </w:r>
      <w:r w:rsidR="00BE7FAC" w:rsidRPr="005E3B43">
        <w:t>Division 3</w:t>
      </w:r>
      <w:r w:rsidRPr="005E3B43">
        <w:t>D</w:t>
      </w:r>
      <w:bookmarkEnd w:id="233"/>
    </w:p>
    <w:p w14:paraId="1761B613" w14:textId="77777777" w:rsidR="00125634" w:rsidRPr="005E3B43" w:rsidRDefault="00125634" w:rsidP="00763BCF">
      <w:pPr>
        <w:pStyle w:val="subsection"/>
      </w:pPr>
      <w:r w:rsidRPr="005E3B43">
        <w:tab/>
      </w:r>
      <w:r w:rsidRPr="005E3B43">
        <w:tab/>
        <w:t>In this Division:</w:t>
      </w:r>
    </w:p>
    <w:p w14:paraId="1A92C08F" w14:textId="77777777" w:rsidR="00125634" w:rsidRPr="005E3B43" w:rsidRDefault="00125634" w:rsidP="00763BCF">
      <w:pPr>
        <w:pStyle w:val="Definition"/>
      </w:pPr>
      <w:r w:rsidRPr="005E3B43">
        <w:rPr>
          <w:b/>
          <w:i/>
        </w:rPr>
        <w:t xml:space="preserve">business day </w:t>
      </w:r>
      <w:r w:rsidRPr="005E3B43">
        <w:t>means a day that is not a Saturday, Sunday or public holiday in the Australian Capital Territory.</w:t>
      </w:r>
    </w:p>
    <w:p w14:paraId="0AF1F6A2" w14:textId="77777777" w:rsidR="00125634" w:rsidRPr="005E3B43" w:rsidRDefault="00125634" w:rsidP="00763BCF">
      <w:pPr>
        <w:pStyle w:val="Definition"/>
      </w:pPr>
      <w:r w:rsidRPr="005E3B43">
        <w:rPr>
          <w:b/>
          <w:i/>
        </w:rPr>
        <w:t xml:space="preserve">Committee member </w:t>
      </w:r>
      <w:r w:rsidRPr="005E3B43">
        <w:t>means a member of:</w:t>
      </w:r>
    </w:p>
    <w:p w14:paraId="7F8F5FAB" w14:textId="77777777" w:rsidR="00125634" w:rsidRPr="005E3B43" w:rsidRDefault="00125634" w:rsidP="00763BCF">
      <w:pPr>
        <w:pStyle w:val="paragraph"/>
      </w:pPr>
      <w:r w:rsidRPr="005E3B43">
        <w:tab/>
        <w:t>(a)</w:t>
      </w:r>
      <w:r w:rsidRPr="005E3B43">
        <w:tab/>
        <w:t>the Advisory Committee on Medicines Scheduling; or</w:t>
      </w:r>
    </w:p>
    <w:p w14:paraId="3A561384" w14:textId="77777777" w:rsidR="00125634" w:rsidRPr="005E3B43" w:rsidRDefault="00125634" w:rsidP="00763BCF">
      <w:pPr>
        <w:pStyle w:val="paragraph"/>
      </w:pPr>
      <w:r w:rsidRPr="005E3B43">
        <w:tab/>
        <w:t>(b)</w:t>
      </w:r>
      <w:r w:rsidRPr="005E3B43">
        <w:tab/>
        <w:t>the Advisory Committee on Chemicals Scheduling.</w:t>
      </w:r>
    </w:p>
    <w:p w14:paraId="1337741D" w14:textId="77777777" w:rsidR="00125634" w:rsidRPr="005E3B43" w:rsidRDefault="00125634" w:rsidP="00763BCF">
      <w:pPr>
        <w:pStyle w:val="Definition"/>
      </w:pPr>
      <w:r w:rsidRPr="005E3B43">
        <w:rPr>
          <w:b/>
          <w:i/>
        </w:rPr>
        <w:t xml:space="preserve">expert advisory committee </w:t>
      </w:r>
      <w:r w:rsidRPr="005E3B43">
        <w:t>means:</w:t>
      </w:r>
    </w:p>
    <w:p w14:paraId="516E491C" w14:textId="77777777" w:rsidR="00125634" w:rsidRPr="005E3B43" w:rsidRDefault="00125634" w:rsidP="00763BCF">
      <w:pPr>
        <w:pStyle w:val="paragraph"/>
      </w:pPr>
      <w:r w:rsidRPr="005E3B43">
        <w:tab/>
        <w:t>(a)</w:t>
      </w:r>
      <w:r w:rsidRPr="005E3B43">
        <w:tab/>
        <w:t>the Advisory Committee on Medicines Scheduling; or</w:t>
      </w:r>
    </w:p>
    <w:p w14:paraId="0EF7A971" w14:textId="77777777" w:rsidR="00125634" w:rsidRPr="005E3B43" w:rsidRDefault="00125634" w:rsidP="00763BCF">
      <w:pPr>
        <w:pStyle w:val="paragraph"/>
      </w:pPr>
      <w:r w:rsidRPr="005E3B43">
        <w:tab/>
        <w:t>(b)</w:t>
      </w:r>
      <w:r w:rsidRPr="005E3B43">
        <w:tab/>
        <w:t>the Advisory Committee on Chemicals Scheduling; or</w:t>
      </w:r>
    </w:p>
    <w:p w14:paraId="4E2C079A" w14:textId="77777777" w:rsidR="00125634" w:rsidRPr="005E3B43" w:rsidRDefault="00125634" w:rsidP="00763BCF">
      <w:pPr>
        <w:pStyle w:val="paragraph"/>
      </w:pPr>
      <w:r w:rsidRPr="005E3B43">
        <w:tab/>
        <w:t>(c)</w:t>
      </w:r>
      <w:r w:rsidRPr="005E3B43">
        <w:tab/>
        <w:t>the Advisory Committee on Medicines Scheduling and the Advisory Committee on Chemicals Scheduling in joint session.</w:t>
      </w:r>
    </w:p>
    <w:p w14:paraId="0A2C7797" w14:textId="77777777" w:rsidR="00125634" w:rsidRPr="005E3B43" w:rsidRDefault="00125634" w:rsidP="00763BCF">
      <w:pPr>
        <w:pStyle w:val="Definition"/>
      </w:pPr>
      <w:r w:rsidRPr="005E3B43">
        <w:rPr>
          <w:b/>
          <w:i/>
        </w:rPr>
        <w:t xml:space="preserve">first closing date </w:t>
      </w:r>
      <w:r w:rsidRPr="005E3B43">
        <w:t>has the meaning given by paragraph</w:t>
      </w:r>
      <w:r w:rsidR="004E6D00" w:rsidRPr="005E3B43">
        <w:t> </w:t>
      </w:r>
      <w:r w:rsidRPr="005E3B43">
        <w:t>42ZCZK(1)(d).</w:t>
      </w:r>
    </w:p>
    <w:p w14:paraId="66F48AC2" w14:textId="77777777" w:rsidR="00125634" w:rsidRPr="005E3B43" w:rsidRDefault="00125634" w:rsidP="00763BCF">
      <w:pPr>
        <w:pStyle w:val="Definition"/>
      </w:pPr>
      <w:r w:rsidRPr="005E3B43">
        <w:rPr>
          <w:b/>
          <w:i/>
        </w:rPr>
        <w:t xml:space="preserve">interim decision </w:t>
      </w:r>
      <w:r w:rsidRPr="005E3B43">
        <w:t>means:</w:t>
      </w:r>
    </w:p>
    <w:p w14:paraId="4E7C2970" w14:textId="77777777" w:rsidR="00125634" w:rsidRPr="005E3B43" w:rsidRDefault="00125634" w:rsidP="00763BCF">
      <w:pPr>
        <w:pStyle w:val="paragraph"/>
      </w:pPr>
      <w:r w:rsidRPr="005E3B43">
        <w:tab/>
        <w:t>(a)</w:t>
      </w:r>
      <w:r w:rsidRPr="005E3B43">
        <w:tab/>
        <w:t>in Subdivision</w:t>
      </w:r>
      <w:r w:rsidR="004E6D00" w:rsidRPr="005E3B43">
        <w:t> </w:t>
      </w:r>
      <w:r w:rsidRPr="005E3B43">
        <w:t>3D.2</w:t>
      </w:r>
      <w:r w:rsidR="00E20BA4" w:rsidRPr="005E3B43">
        <w:t>—</w:t>
      </w:r>
      <w:r w:rsidRPr="005E3B43">
        <w:t>a decision of the Secretary under regulation</w:t>
      </w:r>
      <w:r w:rsidR="004E6D00" w:rsidRPr="005E3B43">
        <w:t> </w:t>
      </w:r>
      <w:r w:rsidRPr="005E3B43">
        <w:t>42ZCZN; and</w:t>
      </w:r>
    </w:p>
    <w:p w14:paraId="0C4E9C49" w14:textId="77777777" w:rsidR="00125634" w:rsidRPr="005E3B43" w:rsidRDefault="00125634" w:rsidP="00763BCF">
      <w:pPr>
        <w:pStyle w:val="paragraph"/>
      </w:pPr>
      <w:r w:rsidRPr="005E3B43">
        <w:tab/>
        <w:t>(b)</w:t>
      </w:r>
      <w:r w:rsidRPr="005E3B43">
        <w:tab/>
        <w:t>in Subdivision</w:t>
      </w:r>
      <w:r w:rsidR="004E6D00" w:rsidRPr="005E3B43">
        <w:t> </w:t>
      </w:r>
      <w:r w:rsidRPr="005E3B43">
        <w:t>3D.3</w:t>
      </w:r>
      <w:r w:rsidR="00E20BA4" w:rsidRPr="005E3B43">
        <w:t>—</w:t>
      </w:r>
      <w:r w:rsidRPr="005E3B43">
        <w:t>a decision of the Secretary under paragraph</w:t>
      </w:r>
      <w:r w:rsidR="004E6D00" w:rsidRPr="005E3B43">
        <w:t> </w:t>
      </w:r>
      <w:r w:rsidRPr="005E3B43">
        <w:t>42ZCZV(a).</w:t>
      </w:r>
    </w:p>
    <w:p w14:paraId="3ECE53E4" w14:textId="77777777" w:rsidR="00125634" w:rsidRPr="005E3B43" w:rsidRDefault="00125634" w:rsidP="00763BCF">
      <w:pPr>
        <w:pStyle w:val="Definition"/>
      </w:pPr>
      <w:r w:rsidRPr="005E3B43">
        <w:rPr>
          <w:b/>
          <w:i/>
        </w:rPr>
        <w:t xml:space="preserve">proposed amendment </w:t>
      </w:r>
      <w:r w:rsidRPr="005E3B43">
        <w:t>means a proposal to amend the current Poisons Standard under subsection</w:t>
      </w:r>
      <w:r w:rsidR="004E6D00" w:rsidRPr="005E3B43">
        <w:t> </w:t>
      </w:r>
      <w:r w:rsidRPr="005E3B43">
        <w:t>52D(2) of the Act on the Secretary’s own initiative or in response to an application under section</w:t>
      </w:r>
      <w:r w:rsidR="004E6D00" w:rsidRPr="005E3B43">
        <w:t> </w:t>
      </w:r>
      <w:r w:rsidRPr="005E3B43">
        <w:t>52EAA of the Act.</w:t>
      </w:r>
    </w:p>
    <w:p w14:paraId="0C753496" w14:textId="77777777" w:rsidR="00125634" w:rsidRPr="005E3B43" w:rsidRDefault="00125634" w:rsidP="00763BCF">
      <w:pPr>
        <w:pStyle w:val="Definition"/>
      </w:pPr>
      <w:r w:rsidRPr="005E3B43">
        <w:rPr>
          <w:b/>
          <w:i/>
        </w:rPr>
        <w:t xml:space="preserve">public submission </w:t>
      </w:r>
      <w:r w:rsidRPr="005E3B43">
        <w:t>means a submission under this Division by a person who is not a Committee member.</w:t>
      </w:r>
    </w:p>
    <w:p w14:paraId="076F2168" w14:textId="77777777" w:rsidR="00125634" w:rsidRPr="005E3B43" w:rsidRDefault="00125634" w:rsidP="00763BCF">
      <w:pPr>
        <w:pStyle w:val="Definition"/>
      </w:pPr>
      <w:r w:rsidRPr="005E3B43">
        <w:rPr>
          <w:b/>
          <w:i/>
        </w:rPr>
        <w:t xml:space="preserve">relevant submission </w:t>
      </w:r>
      <w:r w:rsidRPr="005E3B43">
        <w:t>has the meaning given by paragraph</w:t>
      </w:r>
      <w:r w:rsidR="004E6D00" w:rsidRPr="005E3B43">
        <w:t> </w:t>
      </w:r>
      <w:r w:rsidRPr="005E3B43">
        <w:t>42ZCZQ(1)(a).</w:t>
      </w:r>
    </w:p>
    <w:p w14:paraId="4D614E20" w14:textId="77777777" w:rsidR="00125634" w:rsidRPr="005E3B43" w:rsidRDefault="00125634" w:rsidP="00763BCF">
      <w:pPr>
        <w:pStyle w:val="Definition"/>
      </w:pPr>
      <w:r w:rsidRPr="005E3B43">
        <w:rPr>
          <w:b/>
          <w:i/>
        </w:rPr>
        <w:t xml:space="preserve">second closing date </w:t>
      </w:r>
      <w:r w:rsidRPr="005E3B43">
        <w:t xml:space="preserve">has the meaning given by </w:t>
      </w:r>
      <w:r w:rsidR="006D1C1C" w:rsidRPr="005E3B43">
        <w:t>paragraph</w:t>
      </w:r>
      <w:r w:rsidR="004E6D00" w:rsidRPr="005E3B43">
        <w:t> </w:t>
      </w:r>
      <w:r w:rsidR="006D1C1C" w:rsidRPr="005E3B43">
        <w:t>42ZCZP(1)(c)</w:t>
      </w:r>
      <w:r w:rsidRPr="005E3B43">
        <w:t>.</w:t>
      </w:r>
    </w:p>
    <w:p w14:paraId="28FEF612" w14:textId="77777777" w:rsidR="00125634" w:rsidRPr="005E3B43" w:rsidRDefault="00E20BA4" w:rsidP="00763BCF">
      <w:pPr>
        <w:pStyle w:val="notetext"/>
      </w:pPr>
      <w:r w:rsidRPr="005E3B43">
        <w:t>Note:</w:t>
      </w:r>
      <w:r w:rsidRPr="005E3B43">
        <w:tab/>
      </w:r>
      <w:r w:rsidR="00125634" w:rsidRPr="005E3B43">
        <w:t xml:space="preserve">For </w:t>
      </w:r>
      <w:r w:rsidR="00125634" w:rsidRPr="005E3B43">
        <w:rPr>
          <w:b/>
          <w:i/>
        </w:rPr>
        <w:t>current Poisons Standard</w:t>
      </w:r>
      <w:r w:rsidR="00125634" w:rsidRPr="005E3B43">
        <w:t xml:space="preserve"> see s 52A of the Act.</w:t>
      </w:r>
    </w:p>
    <w:p w14:paraId="5832DF36" w14:textId="77777777" w:rsidR="00125634" w:rsidRPr="005E3B43" w:rsidRDefault="00125634" w:rsidP="00763BCF">
      <w:pPr>
        <w:pStyle w:val="ActHead4"/>
      </w:pPr>
      <w:bookmarkStart w:id="234" w:name="_Toc187135828"/>
      <w:r w:rsidRPr="005E3B43">
        <w:rPr>
          <w:rStyle w:val="CharSubdNo"/>
        </w:rPr>
        <w:t>Subdivision</w:t>
      </w:r>
      <w:r w:rsidR="004E6D00" w:rsidRPr="005E3B43">
        <w:rPr>
          <w:rStyle w:val="CharSubdNo"/>
        </w:rPr>
        <w:t> </w:t>
      </w:r>
      <w:r w:rsidRPr="005E3B43">
        <w:rPr>
          <w:rStyle w:val="CharSubdNo"/>
        </w:rPr>
        <w:t>3D.2</w:t>
      </w:r>
      <w:r w:rsidR="00E20BA4" w:rsidRPr="005E3B43">
        <w:t>—</w:t>
      </w:r>
      <w:r w:rsidRPr="005E3B43">
        <w:rPr>
          <w:rStyle w:val="CharSubdText"/>
        </w:rPr>
        <w:t>Procedure if proposed amendment referred to expert advisory committee</w:t>
      </w:r>
      <w:bookmarkEnd w:id="234"/>
    </w:p>
    <w:p w14:paraId="32AA102E" w14:textId="77777777" w:rsidR="00125634" w:rsidRPr="005E3B43" w:rsidRDefault="00125634" w:rsidP="00763BCF">
      <w:pPr>
        <w:pStyle w:val="ActHead5"/>
      </w:pPr>
      <w:bookmarkStart w:id="235" w:name="_Toc187135829"/>
      <w:r w:rsidRPr="005E3B43">
        <w:rPr>
          <w:rStyle w:val="CharSectno"/>
        </w:rPr>
        <w:t>42ZCZJ</w:t>
      </w:r>
      <w:r w:rsidR="00E20BA4" w:rsidRPr="005E3B43">
        <w:t xml:space="preserve">  </w:t>
      </w:r>
      <w:r w:rsidRPr="005E3B43">
        <w:t>Application</w:t>
      </w:r>
      <w:bookmarkEnd w:id="235"/>
    </w:p>
    <w:p w14:paraId="413B8E53" w14:textId="77777777" w:rsidR="00125634" w:rsidRPr="005E3B43" w:rsidRDefault="00125634" w:rsidP="00763BCF">
      <w:pPr>
        <w:pStyle w:val="subsection"/>
      </w:pPr>
      <w:r w:rsidRPr="005E3B43">
        <w:tab/>
        <w:t>(1)</w:t>
      </w:r>
      <w:r w:rsidRPr="005E3B43">
        <w:tab/>
        <w:t>For subsection</w:t>
      </w:r>
      <w:r w:rsidR="004E6D00" w:rsidRPr="005E3B43">
        <w:t> </w:t>
      </w:r>
      <w:r w:rsidRPr="005E3B43">
        <w:t>52D(2) of the Act, this Subdivision sets out the procedure that is to be followed in amending the current Poisons Standard:</w:t>
      </w:r>
    </w:p>
    <w:p w14:paraId="24CFE949" w14:textId="77777777" w:rsidR="00125634" w:rsidRPr="005E3B43" w:rsidRDefault="00125634" w:rsidP="00763BCF">
      <w:pPr>
        <w:pStyle w:val="paragraph"/>
      </w:pPr>
      <w:r w:rsidRPr="005E3B43">
        <w:tab/>
        <w:t>(a)</w:t>
      </w:r>
      <w:r w:rsidRPr="005E3B43">
        <w:tab/>
        <w:t>if:</w:t>
      </w:r>
    </w:p>
    <w:p w14:paraId="573554E8" w14:textId="77777777" w:rsidR="00125634" w:rsidRPr="005E3B43" w:rsidRDefault="00125634" w:rsidP="00763BCF">
      <w:pPr>
        <w:pStyle w:val="paragraphsub"/>
      </w:pPr>
      <w:r w:rsidRPr="005E3B43">
        <w:lastRenderedPageBreak/>
        <w:tab/>
        <w:t>(i)</w:t>
      </w:r>
      <w:r w:rsidRPr="005E3B43">
        <w:tab/>
        <w:t>a person applies to the Secretary under section</w:t>
      </w:r>
      <w:r w:rsidR="004E6D00" w:rsidRPr="005E3B43">
        <w:t> </w:t>
      </w:r>
      <w:r w:rsidRPr="005E3B43">
        <w:t>52EAA of the Act to amend the current Poisons Standard; and</w:t>
      </w:r>
    </w:p>
    <w:p w14:paraId="34073BBF" w14:textId="77777777" w:rsidR="00125634" w:rsidRPr="005E3B43" w:rsidRDefault="00125634" w:rsidP="00763BCF">
      <w:pPr>
        <w:pStyle w:val="paragraphsub"/>
      </w:pPr>
      <w:r w:rsidRPr="005E3B43">
        <w:tab/>
        <w:t>(ii)</w:t>
      </w:r>
      <w:r w:rsidRPr="005E3B43">
        <w:tab/>
        <w:t>the Secretary decides to refer the proposed amendment to an expert advisory committee; or</w:t>
      </w:r>
    </w:p>
    <w:p w14:paraId="148BE4B5" w14:textId="77777777" w:rsidR="00125634" w:rsidRPr="005E3B43" w:rsidRDefault="00125634" w:rsidP="00763BCF">
      <w:pPr>
        <w:pStyle w:val="paragraph"/>
      </w:pPr>
      <w:r w:rsidRPr="005E3B43">
        <w:tab/>
        <w:t>(b)</w:t>
      </w:r>
      <w:r w:rsidRPr="005E3B43">
        <w:tab/>
        <w:t>if the Secretary decides:</w:t>
      </w:r>
    </w:p>
    <w:p w14:paraId="55D1B0D2" w14:textId="77777777" w:rsidR="00125634" w:rsidRPr="005E3B43" w:rsidRDefault="00125634" w:rsidP="00763BCF">
      <w:pPr>
        <w:pStyle w:val="paragraphsub"/>
      </w:pPr>
      <w:r w:rsidRPr="005E3B43">
        <w:tab/>
        <w:t>(i)</w:t>
      </w:r>
      <w:r w:rsidRPr="005E3B43">
        <w:tab/>
        <w:t>to amend the current Poisons Standard on his or her own initiative; and</w:t>
      </w:r>
    </w:p>
    <w:p w14:paraId="6879438D" w14:textId="77777777" w:rsidR="00125634" w:rsidRPr="005E3B43" w:rsidRDefault="00125634" w:rsidP="00763BCF">
      <w:pPr>
        <w:pStyle w:val="paragraphsub"/>
      </w:pPr>
      <w:r w:rsidRPr="005E3B43">
        <w:tab/>
        <w:t>(ii)</w:t>
      </w:r>
      <w:r w:rsidRPr="005E3B43">
        <w:tab/>
        <w:t>to refer the proposed amendment to an expert advisory committee.</w:t>
      </w:r>
    </w:p>
    <w:p w14:paraId="0F215B35" w14:textId="77777777" w:rsidR="00125634" w:rsidRPr="005E3B43" w:rsidRDefault="00E20BA4" w:rsidP="00763BCF">
      <w:pPr>
        <w:pStyle w:val="notetext"/>
      </w:pPr>
      <w:r w:rsidRPr="005E3B43">
        <w:t>Note:</w:t>
      </w:r>
      <w:r w:rsidRPr="005E3B43">
        <w:tab/>
      </w:r>
      <w:r w:rsidR="00125634" w:rsidRPr="005E3B43">
        <w:t>This Subdivision does not limit the way the Secretary may exercise a power under subsection</w:t>
      </w:r>
      <w:r w:rsidR="004E6D00" w:rsidRPr="005E3B43">
        <w:t> </w:t>
      </w:r>
      <w:r w:rsidR="00125634" w:rsidRPr="005E3B43">
        <w:t>52D(2) of the Act in other circumstances.</w:t>
      </w:r>
    </w:p>
    <w:p w14:paraId="0DB4B1B6" w14:textId="77777777" w:rsidR="00125634" w:rsidRPr="005E3B43" w:rsidRDefault="00125634" w:rsidP="00763BCF">
      <w:pPr>
        <w:pStyle w:val="ActHead5"/>
      </w:pPr>
      <w:bookmarkStart w:id="236" w:name="_Toc187135830"/>
      <w:r w:rsidRPr="005E3B43">
        <w:rPr>
          <w:rStyle w:val="CharSectno"/>
        </w:rPr>
        <w:t>42ZCZK</w:t>
      </w:r>
      <w:r w:rsidR="00E20BA4" w:rsidRPr="005E3B43">
        <w:t xml:space="preserve">  </w:t>
      </w:r>
      <w:r w:rsidRPr="005E3B43">
        <w:t>Proposed amendment to be referred to expert advisory committee</w:t>
      </w:r>
      <w:bookmarkEnd w:id="236"/>
    </w:p>
    <w:p w14:paraId="68124218" w14:textId="77777777" w:rsidR="00125634" w:rsidRPr="005E3B43" w:rsidRDefault="00125634" w:rsidP="00763BCF">
      <w:pPr>
        <w:pStyle w:val="subsection"/>
      </w:pPr>
      <w:r w:rsidRPr="005E3B43">
        <w:tab/>
        <w:t>(1)</w:t>
      </w:r>
      <w:r w:rsidRPr="005E3B43">
        <w:tab/>
        <w:t>The Secretary must publish, in a manner the Secretary considers appropriate, a notice:</w:t>
      </w:r>
    </w:p>
    <w:p w14:paraId="1F7E8EA7" w14:textId="77777777" w:rsidR="00125634" w:rsidRPr="005E3B43" w:rsidRDefault="00125634" w:rsidP="00763BCF">
      <w:pPr>
        <w:pStyle w:val="paragraph"/>
      </w:pPr>
      <w:r w:rsidRPr="005E3B43">
        <w:tab/>
        <w:t>(a)</w:t>
      </w:r>
      <w:r w:rsidRPr="005E3B43">
        <w:tab/>
        <w:t>specifying the expert advisory committee to which the proposed amendment will be referred; and</w:t>
      </w:r>
    </w:p>
    <w:p w14:paraId="553360C7" w14:textId="77777777" w:rsidR="00125634" w:rsidRPr="005E3B43" w:rsidRDefault="00125634" w:rsidP="00763BCF">
      <w:pPr>
        <w:pStyle w:val="paragraph"/>
      </w:pPr>
      <w:r w:rsidRPr="005E3B43">
        <w:tab/>
        <w:t>(b)</w:t>
      </w:r>
      <w:r w:rsidRPr="005E3B43">
        <w:tab/>
        <w:t>specifying the date of the meeting of the committee; and</w:t>
      </w:r>
    </w:p>
    <w:p w14:paraId="2F149067" w14:textId="77777777" w:rsidR="00125634" w:rsidRPr="005E3B43" w:rsidRDefault="00125634" w:rsidP="00763BCF">
      <w:pPr>
        <w:pStyle w:val="paragraph"/>
      </w:pPr>
      <w:r w:rsidRPr="005E3B43">
        <w:tab/>
        <w:t>(c)</w:t>
      </w:r>
      <w:r w:rsidRPr="005E3B43">
        <w:tab/>
        <w:t>setting out details of the proposed amendment; and</w:t>
      </w:r>
    </w:p>
    <w:p w14:paraId="42F49EA7" w14:textId="77777777" w:rsidR="00125634" w:rsidRPr="005E3B43" w:rsidRDefault="00125634" w:rsidP="00763BCF">
      <w:pPr>
        <w:pStyle w:val="paragraph"/>
      </w:pPr>
      <w:r w:rsidRPr="005E3B43">
        <w:tab/>
        <w:t>(d)</w:t>
      </w:r>
      <w:r w:rsidRPr="005E3B43">
        <w:tab/>
        <w:t xml:space="preserve">inviting public submissions to be made to the committee by a date mentioned in the notice as the closing date for public submissions (the </w:t>
      </w:r>
      <w:r w:rsidRPr="005E3B43">
        <w:rPr>
          <w:b/>
          <w:i/>
        </w:rPr>
        <w:t>first closing date</w:t>
      </w:r>
      <w:r w:rsidRPr="005E3B43">
        <w:t>).</w:t>
      </w:r>
    </w:p>
    <w:p w14:paraId="3D774156" w14:textId="77777777" w:rsidR="00125634" w:rsidRPr="005E3B43" w:rsidRDefault="00125634" w:rsidP="00763BCF">
      <w:pPr>
        <w:pStyle w:val="subsection"/>
      </w:pPr>
      <w:r w:rsidRPr="005E3B43">
        <w:tab/>
        <w:t>(2)</w:t>
      </w:r>
      <w:r w:rsidRPr="005E3B43">
        <w:tab/>
        <w:t>The first closing date must be at least 20 business days after publication of the notice.</w:t>
      </w:r>
    </w:p>
    <w:p w14:paraId="231263D3" w14:textId="77777777" w:rsidR="00125634" w:rsidRPr="005E3B43" w:rsidRDefault="00125634" w:rsidP="00763BCF">
      <w:pPr>
        <w:pStyle w:val="subsection"/>
      </w:pPr>
      <w:r w:rsidRPr="005E3B43">
        <w:tab/>
        <w:t>(3)</w:t>
      </w:r>
      <w:r w:rsidRPr="005E3B43">
        <w:tab/>
        <w:t>The date of the meeting must be at least 10 business days after the first closing date.</w:t>
      </w:r>
    </w:p>
    <w:p w14:paraId="138C587E" w14:textId="77777777" w:rsidR="00125634" w:rsidRPr="005E3B43" w:rsidRDefault="00125634" w:rsidP="00763BCF">
      <w:pPr>
        <w:pStyle w:val="ActHead5"/>
      </w:pPr>
      <w:bookmarkStart w:id="237" w:name="_Toc187135831"/>
      <w:r w:rsidRPr="005E3B43">
        <w:rPr>
          <w:rStyle w:val="CharSectno"/>
        </w:rPr>
        <w:t>42ZCZL</w:t>
      </w:r>
      <w:r w:rsidR="00E20BA4" w:rsidRPr="005E3B43">
        <w:t xml:space="preserve">  </w:t>
      </w:r>
      <w:r w:rsidRPr="005E3B43">
        <w:t>Consideration of public submissions</w:t>
      </w:r>
      <w:bookmarkEnd w:id="237"/>
    </w:p>
    <w:p w14:paraId="0A2B8E27" w14:textId="77777777" w:rsidR="00125634" w:rsidRPr="005E3B43" w:rsidRDefault="00125634" w:rsidP="00763BCF">
      <w:pPr>
        <w:pStyle w:val="subsection"/>
      </w:pPr>
      <w:r w:rsidRPr="005E3B43">
        <w:tab/>
        <w:t>(1)</w:t>
      </w:r>
      <w:r w:rsidRPr="005E3B43">
        <w:tab/>
        <w:t>At a meeting of an expert advisory committee to consider the proposed amendment, the committee must consider all public submissions received by the first closing date that:</w:t>
      </w:r>
    </w:p>
    <w:p w14:paraId="43F9205F" w14:textId="77777777" w:rsidR="00125634" w:rsidRPr="005E3B43" w:rsidRDefault="00125634" w:rsidP="00763BCF">
      <w:pPr>
        <w:pStyle w:val="paragraph"/>
      </w:pPr>
      <w:r w:rsidRPr="005E3B43">
        <w:tab/>
        <w:t>(a)</w:t>
      </w:r>
      <w:r w:rsidRPr="005E3B43">
        <w:tab/>
        <w:t>address a matter mentioned in section</w:t>
      </w:r>
      <w:r w:rsidR="004E6D00" w:rsidRPr="005E3B43">
        <w:t> </w:t>
      </w:r>
      <w:r w:rsidRPr="005E3B43">
        <w:t>52E of the Act; and</w:t>
      </w:r>
    </w:p>
    <w:p w14:paraId="475BAAD0" w14:textId="77777777" w:rsidR="00125634" w:rsidRPr="005E3B43" w:rsidRDefault="00125634" w:rsidP="00763BCF">
      <w:pPr>
        <w:pStyle w:val="paragraph"/>
      </w:pPr>
      <w:r w:rsidRPr="005E3B43">
        <w:tab/>
        <w:t>(b)</w:t>
      </w:r>
      <w:r w:rsidRPr="005E3B43">
        <w:tab/>
        <w:t>are relevant to the proposed amendment.</w:t>
      </w:r>
    </w:p>
    <w:p w14:paraId="22B4C049" w14:textId="77777777" w:rsidR="00125634" w:rsidRPr="005E3B43" w:rsidRDefault="00125634" w:rsidP="00763BCF">
      <w:pPr>
        <w:pStyle w:val="subsection"/>
      </w:pPr>
      <w:r w:rsidRPr="005E3B43">
        <w:tab/>
        <w:t>(2)</w:t>
      </w:r>
      <w:r w:rsidRPr="005E3B43">
        <w:tab/>
        <w:t>The committee is not required to consider a public submission received after the first closing date.</w:t>
      </w:r>
    </w:p>
    <w:p w14:paraId="0B417861" w14:textId="77777777" w:rsidR="00125634" w:rsidRPr="005E3B43" w:rsidRDefault="00125634" w:rsidP="00763BCF">
      <w:pPr>
        <w:pStyle w:val="subsection"/>
      </w:pPr>
      <w:r w:rsidRPr="005E3B43">
        <w:tab/>
        <w:t>(3)</w:t>
      </w:r>
      <w:r w:rsidRPr="005E3B43">
        <w:tab/>
        <w:t>Subject to subregulation (4), the Secretary must publish, in a manner the Secretary considers appropriate, all public submissions received on or before the first closing date.</w:t>
      </w:r>
    </w:p>
    <w:p w14:paraId="69B3DC21" w14:textId="77777777" w:rsidR="00125634" w:rsidRPr="005E3B43" w:rsidRDefault="00125634" w:rsidP="00763BCF">
      <w:pPr>
        <w:pStyle w:val="subsection"/>
      </w:pPr>
      <w:r w:rsidRPr="005E3B43">
        <w:tab/>
        <w:t>(4)</w:t>
      </w:r>
      <w:r w:rsidRPr="005E3B43">
        <w:tab/>
        <w:t>The Secretary must not publish any information that the Secretary considers to be confidential information.</w:t>
      </w:r>
    </w:p>
    <w:p w14:paraId="3410D55A" w14:textId="77777777" w:rsidR="00125634" w:rsidRPr="005E3B43" w:rsidRDefault="00125634" w:rsidP="00763BCF">
      <w:pPr>
        <w:pStyle w:val="ActHead5"/>
      </w:pPr>
      <w:bookmarkStart w:id="238" w:name="_Toc187135832"/>
      <w:r w:rsidRPr="005E3B43">
        <w:rPr>
          <w:rStyle w:val="CharSectno"/>
        </w:rPr>
        <w:lastRenderedPageBreak/>
        <w:t>42ZCZM</w:t>
      </w:r>
      <w:r w:rsidR="00E20BA4" w:rsidRPr="005E3B43">
        <w:t xml:space="preserve">  </w:t>
      </w:r>
      <w:r w:rsidRPr="005E3B43">
        <w:t>Committee to advise Secretary</w:t>
      </w:r>
      <w:bookmarkEnd w:id="238"/>
    </w:p>
    <w:p w14:paraId="04D59EBD" w14:textId="77777777" w:rsidR="00125634" w:rsidRPr="005E3B43" w:rsidRDefault="00125634" w:rsidP="00763BCF">
      <w:pPr>
        <w:pStyle w:val="subsection"/>
      </w:pPr>
      <w:r w:rsidRPr="005E3B43">
        <w:tab/>
      </w:r>
      <w:r w:rsidRPr="005E3B43">
        <w:tab/>
        <w:t>After consideration of any public submissions received, the expert advisory committee must provide advice or a recommendation to the Secretary in relation to the proposed amendment.</w:t>
      </w:r>
    </w:p>
    <w:p w14:paraId="12375F40" w14:textId="77777777" w:rsidR="00125634" w:rsidRPr="005E3B43" w:rsidRDefault="00125634" w:rsidP="00763BCF">
      <w:pPr>
        <w:pStyle w:val="ActHead5"/>
      </w:pPr>
      <w:bookmarkStart w:id="239" w:name="_Toc187135833"/>
      <w:r w:rsidRPr="005E3B43">
        <w:rPr>
          <w:rStyle w:val="CharSectno"/>
        </w:rPr>
        <w:t>42ZCZN</w:t>
      </w:r>
      <w:r w:rsidR="00E20BA4" w:rsidRPr="005E3B43">
        <w:t xml:space="preserve">  </w:t>
      </w:r>
      <w:r w:rsidRPr="005E3B43">
        <w:t>Interim decision of Secretary</w:t>
      </w:r>
      <w:bookmarkEnd w:id="239"/>
    </w:p>
    <w:p w14:paraId="714DE2A1" w14:textId="77777777" w:rsidR="00125634" w:rsidRPr="005E3B43" w:rsidRDefault="00125634" w:rsidP="00763BCF">
      <w:pPr>
        <w:pStyle w:val="subsection"/>
      </w:pPr>
      <w:r w:rsidRPr="005E3B43">
        <w:tab/>
      </w:r>
      <w:r w:rsidRPr="005E3B43">
        <w:tab/>
        <w:t>After considering the advice or recommendation of the expert advisory committee, the Secretary must, subject to regulation</w:t>
      </w:r>
      <w:r w:rsidR="004E6D00" w:rsidRPr="005E3B43">
        <w:t> </w:t>
      </w:r>
      <w:r w:rsidRPr="005E3B43">
        <w:t>42ZCZO, make an interim decision in relation to the proposed amendment.</w:t>
      </w:r>
    </w:p>
    <w:p w14:paraId="53FC2629" w14:textId="77777777" w:rsidR="00125634" w:rsidRPr="005E3B43" w:rsidRDefault="00125634" w:rsidP="00763BCF">
      <w:pPr>
        <w:pStyle w:val="ActHead5"/>
      </w:pPr>
      <w:bookmarkStart w:id="240" w:name="_Toc187135834"/>
      <w:r w:rsidRPr="005E3B43">
        <w:rPr>
          <w:rStyle w:val="CharSectno"/>
        </w:rPr>
        <w:t>42ZCZO</w:t>
      </w:r>
      <w:r w:rsidR="00E20BA4" w:rsidRPr="005E3B43">
        <w:t xml:space="preserve">  </w:t>
      </w:r>
      <w:r w:rsidRPr="005E3B43">
        <w:t>Secretary may make final decision if no interim decision required</w:t>
      </w:r>
      <w:bookmarkEnd w:id="240"/>
    </w:p>
    <w:p w14:paraId="0B50CD7D" w14:textId="77777777" w:rsidR="00125634" w:rsidRPr="005E3B43" w:rsidRDefault="00125634" w:rsidP="00763BCF">
      <w:pPr>
        <w:pStyle w:val="subsection"/>
      </w:pPr>
      <w:r w:rsidRPr="005E3B43">
        <w:tab/>
        <w:t>(1)</w:t>
      </w:r>
      <w:r w:rsidRPr="005E3B43">
        <w:tab/>
        <w:t>The Secretary may make a final decision without making an interim decision if no public submissions are received in response to an invitation under paragraph</w:t>
      </w:r>
      <w:r w:rsidR="004E6D00" w:rsidRPr="005E3B43">
        <w:t> </w:t>
      </w:r>
      <w:r w:rsidRPr="005E3B43">
        <w:t>42ZCZK(1)(d).</w:t>
      </w:r>
    </w:p>
    <w:p w14:paraId="35E7D8AD" w14:textId="77777777" w:rsidR="00125634" w:rsidRPr="005E3B43" w:rsidRDefault="00125634" w:rsidP="00763BCF">
      <w:pPr>
        <w:pStyle w:val="subsection"/>
      </w:pPr>
      <w:r w:rsidRPr="005E3B43">
        <w:tab/>
        <w:t>(2)</w:t>
      </w:r>
      <w:r w:rsidRPr="005E3B43">
        <w:tab/>
        <w:t>The Secretary must comply with regulation</w:t>
      </w:r>
      <w:r w:rsidR="004E6D00" w:rsidRPr="005E3B43">
        <w:t> </w:t>
      </w:r>
      <w:r w:rsidRPr="005E3B43">
        <w:t>42ZCZS after making the final decision.</w:t>
      </w:r>
    </w:p>
    <w:p w14:paraId="1A703B64" w14:textId="77777777" w:rsidR="00125634" w:rsidRPr="005E3B43" w:rsidRDefault="00125634" w:rsidP="00763BCF">
      <w:pPr>
        <w:pStyle w:val="ActHead5"/>
      </w:pPr>
      <w:bookmarkStart w:id="241" w:name="_Toc187135835"/>
      <w:r w:rsidRPr="005E3B43">
        <w:rPr>
          <w:rStyle w:val="CharSectno"/>
        </w:rPr>
        <w:t>42ZCZP</w:t>
      </w:r>
      <w:r w:rsidR="00E20BA4" w:rsidRPr="005E3B43">
        <w:t xml:space="preserve">  </w:t>
      </w:r>
      <w:r w:rsidRPr="005E3B43">
        <w:t>Call for further submissions</w:t>
      </w:r>
      <w:bookmarkEnd w:id="241"/>
    </w:p>
    <w:p w14:paraId="5EA33D4C" w14:textId="77777777" w:rsidR="00125634" w:rsidRPr="005E3B43" w:rsidRDefault="00125634" w:rsidP="00763BCF">
      <w:pPr>
        <w:pStyle w:val="subsection"/>
      </w:pPr>
      <w:r w:rsidRPr="005E3B43">
        <w:tab/>
      </w:r>
      <w:r w:rsidR="006D1C1C" w:rsidRPr="005E3B43">
        <w:t>(1)</w:t>
      </w:r>
      <w:r w:rsidRPr="005E3B43">
        <w:tab/>
        <w:t>As soon as practicable after making the interim decision, the Secretary must publish, in a manner the Secretary considers appropriate, a notice:</w:t>
      </w:r>
    </w:p>
    <w:p w14:paraId="377381DF" w14:textId="77777777" w:rsidR="00125634" w:rsidRPr="005E3B43" w:rsidRDefault="00125634" w:rsidP="00763BCF">
      <w:pPr>
        <w:pStyle w:val="paragraph"/>
      </w:pPr>
      <w:r w:rsidRPr="005E3B43">
        <w:tab/>
        <w:t>(a)</w:t>
      </w:r>
      <w:r w:rsidRPr="005E3B43">
        <w:tab/>
        <w:t>setting out the interim decision and the reasons for making the interim decision; and</w:t>
      </w:r>
    </w:p>
    <w:p w14:paraId="654A2C1D" w14:textId="77777777" w:rsidR="00125634" w:rsidRPr="005E3B43" w:rsidRDefault="00125634" w:rsidP="00763BCF">
      <w:pPr>
        <w:pStyle w:val="paragraph"/>
      </w:pPr>
      <w:r w:rsidRPr="005E3B43">
        <w:tab/>
        <w:t>(b)</w:t>
      </w:r>
      <w:r w:rsidRPr="005E3B43">
        <w:tab/>
        <w:t>if the interim decision is to amend the current Poisons Standard</w:t>
      </w:r>
      <w:r w:rsidR="00E20BA4" w:rsidRPr="005E3B43">
        <w:t>—</w:t>
      </w:r>
      <w:r w:rsidRPr="005E3B43">
        <w:t>specifying the proposed date of effect of the proposed amendment; and</w:t>
      </w:r>
    </w:p>
    <w:p w14:paraId="698B4826" w14:textId="77777777" w:rsidR="00695AE4" w:rsidRPr="005E3B43" w:rsidRDefault="00695AE4" w:rsidP="00763BCF">
      <w:pPr>
        <w:pStyle w:val="paragraph"/>
      </w:pPr>
      <w:r w:rsidRPr="005E3B43">
        <w:tab/>
        <w:t>(c)</w:t>
      </w:r>
      <w:r w:rsidRPr="005E3B43">
        <w:tab/>
        <w:t xml:space="preserve">inviting interested persons to make submissions to the Secretary in relation to the interim decision by a date mentioned in the notice as the closing date for submissions (the </w:t>
      </w:r>
      <w:r w:rsidRPr="005E3B43">
        <w:rPr>
          <w:b/>
          <w:i/>
        </w:rPr>
        <w:t>second closing date</w:t>
      </w:r>
      <w:r w:rsidRPr="005E3B43">
        <w:t>); and</w:t>
      </w:r>
    </w:p>
    <w:p w14:paraId="1F5BBE10" w14:textId="77777777" w:rsidR="00125634" w:rsidRPr="005E3B43" w:rsidRDefault="00125634" w:rsidP="00763BCF">
      <w:pPr>
        <w:pStyle w:val="paragraph"/>
      </w:pPr>
      <w:r w:rsidRPr="005E3B43">
        <w:tab/>
        <w:t>(d)</w:t>
      </w:r>
      <w:r w:rsidRPr="005E3B43">
        <w:tab/>
        <w:t>if the interim decision is in response to an application made under section</w:t>
      </w:r>
      <w:r w:rsidR="004E6D00" w:rsidRPr="005E3B43">
        <w:t> </w:t>
      </w:r>
      <w:r w:rsidRPr="005E3B43">
        <w:t>52EAA</w:t>
      </w:r>
      <w:r w:rsidR="00E20BA4" w:rsidRPr="005E3B43">
        <w:t>—</w:t>
      </w:r>
      <w:r w:rsidRPr="005E3B43">
        <w:t>inviting the person who made the application to make a submission in relation to the interim decision by the second closing date.</w:t>
      </w:r>
    </w:p>
    <w:p w14:paraId="1D9720A4" w14:textId="77777777" w:rsidR="00695AE4" w:rsidRPr="005E3B43" w:rsidRDefault="00695AE4" w:rsidP="00763BCF">
      <w:pPr>
        <w:pStyle w:val="subsection"/>
      </w:pPr>
      <w:r w:rsidRPr="005E3B43">
        <w:tab/>
        <w:t>(2)</w:t>
      </w:r>
      <w:r w:rsidRPr="005E3B43">
        <w:tab/>
        <w:t>The second closing date must be at least 10 business days after publication of the notice.</w:t>
      </w:r>
    </w:p>
    <w:p w14:paraId="49CBE93A" w14:textId="77777777" w:rsidR="00125634" w:rsidRPr="005E3B43" w:rsidRDefault="00125634" w:rsidP="00763BCF">
      <w:pPr>
        <w:pStyle w:val="ActHead5"/>
      </w:pPr>
      <w:bookmarkStart w:id="242" w:name="_Toc187135836"/>
      <w:r w:rsidRPr="005E3B43">
        <w:rPr>
          <w:rStyle w:val="CharSectno"/>
        </w:rPr>
        <w:t>42ZCZQ</w:t>
      </w:r>
      <w:r w:rsidR="00E20BA4" w:rsidRPr="005E3B43">
        <w:t xml:space="preserve">  </w:t>
      </w:r>
      <w:r w:rsidRPr="005E3B43">
        <w:t>Reconsideration of interim decision</w:t>
      </w:r>
      <w:bookmarkEnd w:id="242"/>
    </w:p>
    <w:p w14:paraId="2EBF3202" w14:textId="77777777" w:rsidR="00125634" w:rsidRPr="005E3B43" w:rsidRDefault="00125634" w:rsidP="00763BCF">
      <w:pPr>
        <w:pStyle w:val="subsection"/>
      </w:pPr>
      <w:r w:rsidRPr="005E3B43">
        <w:tab/>
        <w:t>(1)</w:t>
      </w:r>
      <w:r w:rsidRPr="005E3B43">
        <w:tab/>
        <w:t>If the Secretary receives further submissions on or before the second closing date, the Secretary must, as soon as practicable after the second closing date:</w:t>
      </w:r>
    </w:p>
    <w:p w14:paraId="77EE4BB1" w14:textId="77777777" w:rsidR="00125634" w:rsidRPr="005E3B43" w:rsidRDefault="00125634" w:rsidP="00763BCF">
      <w:pPr>
        <w:pStyle w:val="paragraph"/>
      </w:pPr>
      <w:r w:rsidRPr="005E3B43">
        <w:tab/>
        <w:t>(a)</w:t>
      </w:r>
      <w:r w:rsidRPr="005E3B43">
        <w:tab/>
        <w:t xml:space="preserve">consider all public submissions (the </w:t>
      </w:r>
      <w:r w:rsidRPr="005E3B43">
        <w:rPr>
          <w:b/>
          <w:i/>
        </w:rPr>
        <w:t>relevant submissions</w:t>
      </w:r>
      <w:r w:rsidRPr="005E3B43">
        <w:t>) made by the second closing date that:</w:t>
      </w:r>
    </w:p>
    <w:p w14:paraId="0BDAC4C2" w14:textId="77777777" w:rsidR="00125634" w:rsidRPr="005E3B43" w:rsidRDefault="00125634" w:rsidP="00763BCF">
      <w:pPr>
        <w:pStyle w:val="paragraphsub"/>
      </w:pPr>
      <w:r w:rsidRPr="005E3B43">
        <w:tab/>
        <w:t>(i)</w:t>
      </w:r>
      <w:r w:rsidRPr="005E3B43">
        <w:tab/>
        <w:t>address a matter mentioned in section</w:t>
      </w:r>
      <w:r w:rsidR="004E6D00" w:rsidRPr="005E3B43">
        <w:t> </w:t>
      </w:r>
      <w:r w:rsidRPr="005E3B43">
        <w:t>52E of the Act; and</w:t>
      </w:r>
    </w:p>
    <w:p w14:paraId="62BAF8E7" w14:textId="77777777" w:rsidR="00125634" w:rsidRPr="005E3B43" w:rsidRDefault="00125634" w:rsidP="00763BCF">
      <w:pPr>
        <w:pStyle w:val="paragraphsub"/>
      </w:pPr>
      <w:r w:rsidRPr="005E3B43">
        <w:tab/>
        <w:t>(ii)</w:t>
      </w:r>
      <w:r w:rsidRPr="005E3B43">
        <w:tab/>
        <w:t>are relevant to the Secretary’s interim decision; and</w:t>
      </w:r>
    </w:p>
    <w:p w14:paraId="39EB9920" w14:textId="77777777" w:rsidR="00125634" w:rsidRPr="005E3B43" w:rsidRDefault="00125634" w:rsidP="00763BCF">
      <w:pPr>
        <w:pStyle w:val="paragraph"/>
      </w:pPr>
      <w:r w:rsidRPr="005E3B43">
        <w:tab/>
        <w:t>(b)</w:t>
      </w:r>
      <w:r w:rsidRPr="005E3B43">
        <w:tab/>
        <w:t xml:space="preserve">reconsider the interim decision in light of those submissions and any advice received in response to a request under </w:t>
      </w:r>
      <w:r w:rsidR="004E6D00" w:rsidRPr="005E3B43">
        <w:t>paragraph (</w:t>
      </w:r>
      <w:r w:rsidRPr="005E3B43">
        <w:t>2)(a).</w:t>
      </w:r>
    </w:p>
    <w:p w14:paraId="1E5E26FC" w14:textId="77777777" w:rsidR="00125634" w:rsidRPr="005E3B43" w:rsidRDefault="00125634" w:rsidP="00763BCF">
      <w:pPr>
        <w:pStyle w:val="subsection"/>
      </w:pPr>
      <w:r w:rsidRPr="005E3B43">
        <w:lastRenderedPageBreak/>
        <w:tab/>
        <w:t>(2)</w:t>
      </w:r>
      <w:r w:rsidRPr="005E3B43">
        <w:tab/>
        <w:t>In reconsidering the interim decision, the Secretary:</w:t>
      </w:r>
    </w:p>
    <w:p w14:paraId="1D0A5A88" w14:textId="77777777" w:rsidR="00125634" w:rsidRPr="005E3B43" w:rsidRDefault="00125634" w:rsidP="00763BCF">
      <w:pPr>
        <w:pStyle w:val="paragraph"/>
      </w:pPr>
      <w:r w:rsidRPr="005E3B43">
        <w:tab/>
        <w:t>(a)</w:t>
      </w:r>
      <w:r w:rsidRPr="005E3B43">
        <w:tab/>
        <w:t>may request advice from any committee or any person; and</w:t>
      </w:r>
    </w:p>
    <w:p w14:paraId="313FC3BC" w14:textId="77777777" w:rsidR="00125634" w:rsidRPr="005E3B43" w:rsidRDefault="00125634" w:rsidP="00763BCF">
      <w:pPr>
        <w:pStyle w:val="paragraph"/>
      </w:pPr>
      <w:r w:rsidRPr="005E3B43">
        <w:tab/>
        <w:t>(b)</w:t>
      </w:r>
      <w:r w:rsidRPr="005E3B43">
        <w:tab/>
        <w:t>is not required to engage in further public consultation.</w:t>
      </w:r>
    </w:p>
    <w:p w14:paraId="7644E334" w14:textId="77777777" w:rsidR="00125634" w:rsidRPr="005E3B43" w:rsidRDefault="00125634" w:rsidP="00763BCF">
      <w:pPr>
        <w:pStyle w:val="subsection"/>
      </w:pPr>
      <w:r w:rsidRPr="005E3B43">
        <w:tab/>
        <w:t>(3)</w:t>
      </w:r>
      <w:r w:rsidRPr="005E3B43">
        <w:tab/>
        <w:t>The Secretary need not consider a public submission made after the second closing date.</w:t>
      </w:r>
    </w:p>
    <w:p w14:paraId="4BCD2EE9" w14:textId="77777777" w:rsidR="00125634" w:rsidRPr="005E3B43" w:rsidRDefault="00125634" w:rsidP="00763BCF">
      <w:pPr>
        <w:pStyle w:val="subsection"/>
      </w:pPr>
      <w:r w:rsidRPr="005E3B43">
        <w:tab/>
        <w:t>(4)</w:t>
      </w:r>
      <w:r w:rsidRPr="005E3B43">
        <w:tab/>
        <w:t xml:space="preserve">Subject to </w:t>
      </w:r>
      <w:r w:rsidR="004E6D00" w:rsidRPr="005E3B43">
        <w:t>subsection (</w:t>
      </w:r>
      <w:r w:rsidRPr="005E3B43">
        <w:t>5), the Secretary must publish, in a manner the Secretary considers appropriate, all relevant submissions.</w:t>
      </w:r>
    </w:p>
    <w:p w14:paraId="198D8593" w14:textId="77777777" w:rsidR="00125634" w:rsidRPr="005E3B43" w:rsidRDefault="00125634" w:rsidP="00763BCF">
      <w:pPr>
        <w:pStyle w:val="subsection"/>
      </w:pPr>
      <w:r w:rsidRPr="005E3B43">
        <w:tab/>
        <w:t>(5)</w:t>
      </w:r>
      <w:r w:rsidRPr="005E3B43">
        <w:tab/>
        <w:t>The Secretary must not publish any information that the Secretary considers to be confidential information.</w:t>
      </w:r>
    </w:p>
    <w:p w14:paraId="654A2594" w14:textId="77777777" w:rsidR="00125634" w:rsidRPr="005E3B43" w:rsidRDefault="00125634" w:rsidP="00763BCF">
      <w:pPr>
        <w:pStyle w:val="ActHead5"/>
      </w:pPr>
      <w:bookmarkStart w:id="243" w:name="_Toc187135837"/>
      <w:r w:rsidRPr="005E3B43">
        <w:rPr>
          <w:rStyle w:val="CharSectno"/>
        </w:rPr>
        <w:t>42ZCZR</w:t>
      </w:r>
      <w:r w:rsidR="00E20BA4" w:rsidRPr="005E3B43">
        <w:t xml:space="preserve">  </w:t>
      </w:r>
      <w:r w:rsidRPr="005E3B43">
        <w:t>Final decision if there is an interim decision</w:t>
      </w:r>
      <w:bookmarkEnd w:id="243"/>
    </w:p>
    <w:p w14:paraId="68907C0D" w14:textId="77777777" w:rsidR="00125634" w:rsidRPr="005E3B43" w:rsidRDefault="00125634" w:rsidP="00763BCF">
      <w:pPr>
        <w:pStyle w:val="subsection"/>
      </w:pPr>
      <w:r w:rsidRPr="005E3B43">
        <w:tab/>
      </w:r>
      <w:r w:rsidRPr="005E3B43">
        <w:tab/>
        <w:t>The Secretary may make a final decision by confirming, varying or setting aside the interim decision only:</w:t>
      </w:r>
    </w:p>
    <w:p w14:paraId="09F3DE09" w14:textId="77777777" w:rsidR="00125634" w:rsidRPr="005E3B43" w:rsidRDefault="00125634" w:rsidP="00763BCF">
      <w:pPr>
        <w:pStyle w:val="paragraph"/>
      </w:pPr>
      <w:r w:rsidRPr="005E3B43">
        <w:tab/>
        <w:t>(a)</w:t>
      </w:r>
      <w:r w:rsidRPr="005E3B43">
        <w:tab/>
        <w:t>after considering all relevant submissions and any advice received in response to a request under paragraph</w:t>
      </w:r>
      <w:r w:rsidR="004E6D00" w:rsidRPr="005E3B43">
        <w:t> </w:t>
      </w:r>
      <w:r w:rsidRPr="005E3B43">
        <w:t>42ZCZQ(2)(a); or</w:t>
      </w:r>
    </w:p>
    <w:p w14:paraId="6B99B48B" w14:textId="77777777" w:rsidR="00125634" w:rsidRPr="005E3B43" w:rsidRDefault="00125634" w:rsidP="00763BCF">
      <w:pPr>
        <w:pStyle w:val="paragraph"/>
      </w:pPr>
      <w:r w:rsidRPr="005E3B43">
        <w:tab/>
        <w:t>(b)</w:t>
      </w:r>
      <w:r w:rsidRPr="005E3B43">
        <w:tab/>
        <w:t>if there are no such submissions or advice.</w:t>
      </w:r>
    </w:p>
    <w:p w14:paraId="02B017F5" w14:textId="77777777" w:rsidR="00125634" w:rsidRPr="005E3B43" w:rsidRDefault="00125634" w:rsidP="00763BCF">
      <w:pPr>
        <w:pStyle w:val="ActHead5"/>
      </w:pPr>
      <w:bookmarkStart w:id="244" w:name="_Toc187135838"/>
      <w:r w:rsidRPr="005E3B43">
        <w:rPr>
          <w:rStyle w:val="CharSectno"/>
        </w:rPr>
        <w:t>42ZCZS</w:t>
      </w:r>
      <w:r w:rsidR="00E20BA4" w:rsidRPr="005E3B43">
        <w:t xml:space="preserve">  </w:t>
      </w:r>
      <w:r w:rsidRPr="005E3B43">
        <w:t>Publication of final decision</w:t>
      </w:r>
      <w:bookmarkEnd w:id="244"/>
    </w:p>
    <w:p w14:paraId="3893D55D" w14:textId="77777777" w:rsidR="00125634" w:rsidRPr="005E3B43" w:rsidRDefault="00125634" w:rsidP="00763BCF">
      <w:pPr>
        <w:pStyle w:val="subsection"/>
      </w:pPr>
      <w:r w:rsidRPr="005E3B43">
        <w:tab/>
      </w:r>
      <w:r w:rsidRPr="005E3B43">
        <w:tab/>
        <w:t>After making a final decision under regulation</w:t>
      </w:r>
      <w:r w:rsidR="004E6D00" w:rsidRPr="005E3B43">
        <w:t> </w:t>
      </w:r>
      <w:r w:rsidRPr="005E3B43">
        <w:t>42ZCZR or 42ZCZO, the Secretary must:</w:t>
      </w:r>
    </w:p>
    <w:p w14:paraId="1A6D35F1" w14:textId="77777777" w:rsidR="00125634" w:rsidRPr="005E3B43" w:rsidRDefault="00125634" w:rsidP="00763BCF">
      <w:pPr>
        <w:pStyle w:val="paragraph"/>
      </w:pPr>
      <w:r w:rsidRPr="005E3B43">
        <w:tab/>
        <w:t>(a)</w:t>
      </w:r>
      <w:r w:rsidRPr="005E3B43">
        <w:tab/>
        <w:t>publish, in a manner that the Secretary considers appropriate:</w:t>
      </w:r>
    </w:p>
    <w:p w14:paraId="6ABB3145" w14:textId="77777777" w:rsidR="00125634" w:rsidRPr="005E3B43" w:rsidRDefault="00125634" w:rsidP="00763BCF">
      <w:pPr>
        <w:pStyle w:val="paragraphsub"/>
      </w:pPr>
      <w:r w:rsidRPr="005E3B43">
        <w:tab/>
        <w:t>(i)</w:t>
      </w:r>
      <w:r w:rsidRPr="005E3B43">
        <w:tab/>
        <w:t>the decision; and</w:t>
      </w:r>
    </w:p>
    <w:p w14:paraId="2A5E124A" w14:textId="77777777" w:rsidR="00125634" w:rsidRPr="005E3B43" w:rsidRDefault="00125634" w:rsidP="00763BCF">
      <w:pPr>
        <w:pStyle w:val="paragraphsub"/>
      </w:pPr>
      <w:r w:rsidRPr="005E3B43">
        <w:tab/>
        <w:t>(ii)</w:t>
      </w:r>
      <w:r w:rsidRPr="005E3B43">
        <w:tab/>
        <w:t>the reasons for the decision; and</w:t>
      </w:r>
    </w:p>
    <w:p w14:paraId="75F05BC6" w14:textId="77777777" w:rsidR="00125634" w:rsidRPr="005E3B43" w:rsidRDefault="00125634" w:rsidP="00763BCF">
      <w:pPr>
        <w:pStyle w:val="paragraphsub"/>
      </w:pPr>
      <w:r w:rsidRPr="005E3B43">
        <w:tab/>
        <w:t>(iii)</w:t>
      </w:r>
      <w:r w:rsidRPr="005E3B43">
        <w:tab/>
        <w:t>the date of effect of the decision; and</w:t>
      </w:r>
    </w:p>
    <w:p w14:paraId="20FDB24B" w14:textId="77777777" w:rsidR="00125634" w:rsidRPr="005E3B43" w:rsidRDefault="00125634" w:rsidP="00763BCF">
      <w:pPr>
        <w:pStyle w:val="paragraph"/>
      </w:pPr>
      <w:r w:rsidRPr="005E3B43">
        <w:tab/>
        <w:t>(b)</w:t>
      </w:r>
      <w:r w:rsidRPr="005E3B43">
        <w:tab/>
        <w:t>if the decision is to amend the current Poisons Standard</w:t>
      </w:r>
      <w:r w:rsidR="00E20BA4" w:rsidRPr="005E3B43">
        <w:t>—</w:t>
      </w:r>
      <w:r w:rsidRPr="005E3B43">
        <w:t>make the amendment.</w:t>
      </w:r>
    </w:p>
    <w:p w14:paraId="3FADA85C" w14:textId="77777777" w:rsidR="00125634" w:rsidRPr="005E3B43" w:rsidRDefault="00E20BA4" w:rsidP="00763BCF">
      <w:pPr>
        <w:pStyle w:val="notetext"/>
      </w:pPr>
      <w:r w:rsidRPr="005E3B43">
        <w:t>Note:</w:t>
      </w:r>
      <w:r w:rsidRPr="005E3B43">
        <w:tab/>
      </w:r>
      <w:r w:rsidR="00125634" w:rsidRPr="005E3B43">
        <w:t>The Secretary must comply with section</w:t>
      </w:r>
      <w:r w:rsidR="004E6D00" w:rsidRPr="005E3B43">
        <w:t> </w:t>
      </w:r>
      <w:r w:rsidR="00125634" w:rsidRPr="005E3B43">
        <w:t>52E of the Act when amending the current Poisons Standard.</w:t>
      </w:r>
    </w:p>
    <w:p w14:paraId="0420A558" w14:textId="77777777" w:rsidR="00125634" w:rsidRPr="005E3B43" w:rsidRDefault="00125634" w:rsidP="00763BCF">
      <w:pPr>
        <w:pStyle w:val="ActHead4"/>
      </w:pPr>
      <w:bookmarkStart w:id="245" w:name="_Toc187135839"/>
      <w:r w:rsidRPr="005E3B43">
        <w:rPr>
          <w:rStyle w:val="CharSubdNo"/>
        </w:rPr>
        <w:t>Subdivision</w:t>
      </w:r>
      <w:r w:rsidR="004E6D00" w:rsidRPr="005E3B43">
        <w:rPr>
          <w:rStyle w:val="CharSubdNo"/>
        </w:rPr>
        <w:t> </w:t>
      </w:r>
      <w:r w:rsidRPr="005E3B43">
        <w:rPr>
          <w:rStyle w:val="CharSubdNo"/>
        </w:rPr>
        <w:t>3D.3</w:t>
      </w:r>
      <w:r w:rsidR="00E20BA4" w:rsidRPr="005E3B43">
        <w:t>—</w:t>
      </w:r>
      <w:r w:rsidRPr="005E3B43">
        <w:rPr>
          <w:rStyle w:val="CharSubdText"/>
        </w:rPr>
        <w:t>Procedure if proposed amendments not referred to expert advisory committee</w:t>
      </w:r>
      <w:bookmarkEnd w:id="245"/>
    </w:p>
    <w:p w14:paraId="7373E53A" w14:textId="77777777" w:rsidR="00125634" w:rsidRPr="005E3B43" w:rsidRDefault="00125634" w:rsidP="00763BCF">
      <w:pPr>
        <w:pStyle w:val="ActHead5"/>
      </w:pPr>
      <w:bookmarkStart w:id="246" w:name="_Toc187135840"/>
      <w:r w:rsidRPr="005E3B43">
        <w:rPr>
          <w:rStyle w:val="CharSectno"/>
        </w:rPr>
        <w:t>42ZCZT</w:t>
      </w:r>
      <w:r w:rsidR="00E20BA4" w:rsidRPr="005E3B43">
        <w:t xml:space="preserve">  </w:t>
      </w:r>
      <w:r w:rsidRPr="005E3B43">
        <w:t>Application</w:t>
      </w:r>
      <w:bookmarkEnd w:id="246"/>
    </w:p>
    <w:p w14:paraId="402DCE1E" w14:textId="77777777" w:rsidR="00125634" w:rsidRPr="005E3B43" w:rsidRDefault="00125634" w:rsidP="00763BCF">
      <w:pPr>
        <w:pStyle w:val="subsection"/>
      </w:pPr>
      <w:r w:rsidRPr="005E3B43">
        <w:tab/>
      </w:r>
      <w:r w:rsidRPr="005E3B43">
        <w:tab/>
        <w:t>This Subdivision applies if the Secretary:</w:t>
      </w:r>
    </w:p>
    <w:p w14:paraId="38492C0A" w14:textId="77777777" w:rsidR="00125634" w:rsidRPr="005E3B43" w:rsidRDefault="00125634" w:rsidP="00763BCF">
      <w:pPr>
        <w:pStyle w:val="paragraph"/>
      </w:pPr>
      <w:r w:rsidRPr="005E3B43">
        <w:tab/>
        <w:t>(a)</w:t>
      </w:r>
      <w:r w:rsidRPr="005E3B43">
        <w:tab/>
        <w:t>receives an application under section</w:t>
      </w:r>
      <w:r w:rsidR="004E6D00" w:rsidRPr="005E3B43">
        <w:t> </w:t>
      </w:r>
      <w:r w:rsidRPr="005E3B43">
        <w:t>52EAA of the Act to amend the current Poisons Standard; and</w:t>
      </w:r>
    </w:p>
    <w:p w14:paraId="6A2B5EFC" w14:textId="77777777" w:rsidR="00125634" w:rsidRPr="005E3B43" w:rsidRDefault="00125634" w:rsidP="00763BCF">
      <w:pPr>
        <w:pStyle w:val="paragraph"/>
      </w:pPr>
      <w:r w:rsidRPr="005E3B43">
        <w:tab/>
        <w:t>(b)</w:t>
      </w:r>
      <w:r w:rsidRPr="005E3B43">
        <w:tab/>
        <w:t>decides not to refer the proposed amendment to an expert advisory committee.</w:t>
      </w:r>
    </w:p>
    <w:p w14:paraId="1CE7E435" w14:textId="77777777" w:rsidR="00125634" w:rsidRPr="005E3B43" w:rsidRDefault="00E20BA4" w:rsidP="00763BCF">
      <w:pPr>
        <w:pStyle w:val="notetext"/>
      </w:pPr>
      <w:r w:rsidRPr="005E3B43">
        <w:t>Note:</w:t>
      </w:r>
      <w:r w:rsidRPr="005E3B43">
        <w:tab/>
      </w:r>
      <w:r w:rsidR="00125634" w:rsidRPr="005E3B43">
        <w:t>This Subdivision does not limit the way the Secretary may exercise a power under subsection</w:t>
      </w:r>
      <w:r w:rsidR="004E6D00" w:rsidRPr="005E3B43">
        <w:t> </w:t>
      </w:r>
      <w:r w:rsidR="00125634" w:rsidRPr="005E3B43">
        <w:t>52D(2) of the Act in other circumstances.</w:t>
      </w:r>
    </w:p>
    <w:p w14:paraId="072A85FF" w14:textId="77777777" w:rsidR="00125634" w:rsidRPr="005E3B43" w:rsidRDefault="00125634" w:rsidP="00763BCF">
      <w:pPr>
        <w:pStyle w:val="ActHead5"/>
      </w:pPr>
      <w:bookmarkStart w:id="247" w:name="_Toc187135841"/>
      <w:r w:rsidRPr="005E3B43">
        <w:rPr>
          <w:rStyle w:val="CharSectno"/>
        </w:rPr>
        <w:lastRenderedPageBreak/>
        <w:t>42ZCZU</w:t>
      </w:r>
      <w:r w:rsidR="00E20BA4" w:rsidRPr="005E3B43">
        <w:t xml:space="preserve">  </w:t>
      </w:r>
      <w:r w:rsidRPr="005E3B43">
        <w:t>Final decision without interim decision</w:t>
      </w:r>
      <w:bookmarkEnd w:id="247"/>
    </w:p>
    <w:p w14:paraId="056338B8" w14:textId="77777777" w:rsidR="00125634" w:rsidRPr="005E3B43" w:rsidRDefault="00125634" w:rsidP="00763BCF">
      <w:pPr>
        <w:pStyle w:val="subsection"/>
      </w:pPr>
      <w:r w:rsidRPr="005E3B43">
        <w:tab/>
        <w:t>(1)</w:t>
      </w:r>
      <w:r w:rsidRPr="005E3B43">
        <w:tab/>
        <w:t>If the Secretary decides to amend the current Poisons Standard in the manner set out in the application, the Secretary may make a final decision without making an interim decision.</w:t>
      </w:r>
    </w:p>
    <w:p w14:paraId="4A839D58" w14:textId="77777777" w:rsidR="00125634" w:rsidRPr="005E3B43" w:rsidRDefault="00125634" w:rsidP="00763BCF">
      <w:pPr>
        <w:pStyle w:val="subsection"/>
      </w:pPr>
      <w:r w:rsidRPr="005E3B43">
        <w:tab/>
        <w:t>(2)</w:t>
      </w:r>
      <w:r w:rsidRPr="005E3B43">
        <w:tab/>
        <w:t>The Secretary must comply with regulation</w:t>
      </w:r>
      <w:r w:rsidR="004E6D00" w:rsidRPr="005E3B43">
        <w:t> </w:t>
      </w:r>
      <w:r w:rsidRPr="005E3B43">
        <w:t>42ZCZX after making the final decision.</w:t>
      </w:r>
    </w:p>
    <w:p w14:paraId="36382325" w14:textId="77777777" w:rsidR="00125634" w:rsidRPr="005E3B43" w:rsidRDefault="00125634" w:rsidP="00763BCF">
      <w:pPr>
        <w:pStyle w:val="ActHead5"/>
      </w:pPr>
      <w:bookmarkStart w:id="248" w:name="_Toc187135842"/>
      <w:r w:rsidRPr="005E3B43">
        <w:rPr>
          <w:rStyle w:val="CharSectno"/>
        </w:rPr>
        <w:t>42ZCZV</w:t>
      </w:r>
      <w:r w:rsidR="00E20BA4" w:rsidRPr="005E3B43">
        <w:t xml:space="preserve">  </w:t>
      </w:r>
      <w:r w:rsidRPr="005E3B43">
        <w:t>Interim decision required if Secretary decides not to amend as requested</w:t>
      </w:r>
      <w:bookmarkEnd w:id="248"/>
    </w:p>
    <w:p w14:paraId="22A904AE" w14:textId="77777777" w:rsidR="00125634" w:rsidRPr="005E3B43" w:rsidRDefault="00125634" w:rsidP="00763BCF">
      <w:pPr>
        <w:pStyle w:val="subsection"/>
      </w:pPr>
      <w:r w:rsidRPr="005E3B43">
        <w:tab/>
      </w:r>
      <w:r w:rsidRPr="005E3B43">
        <w:tab/>
        <w:t>If the Secretary decides not to amend the current Poisons Standard in the manner set out in the application, the Secretary must:</w:t>
      </w:r>
    </w:p>
    <w:p w14:paraId="49255091" w14:textId="77777777" w:rsidR="00125634" w:rsidRPr="005E3B43" w:rsidRDefault="00125634" w:rsidP="00763BCF">
      <w:pPr>
        <w:pStyle w:val="paragraph"/>
      </w:pPr>
      <w:r w:rsidRPr="005E3B43">
        <w:tab/>
        <w:t>(a)</w:t>
      </w:r>
      <w:r w:rsidRPr="005E3B43">
        <w:tab/>
        <w:t>make an interim decision on the application having regard to the information provided by the applicant; and</w:t>
      </w:r>
    </w:p>
    <w:p w14:paraId="37909DD9" w14:textId="77777777" w:rsidR="00125634" w:rsidRPr="005E3B43" w:rsidRDefault="00125634" w:rsidP="00763BCF">
      <w:pPr>
        <w:pStyle w:val="paragraph"/>
      </w:pPr>
      <w:r w:rsidRPr="005E3B43">
        <w:tab/>
        <w:t>(b)</w:t>
      </w:r>
      <w:r w:rsidRPr="005E3B43">
        <w:tab/>
        <w:t>give the applicant a written notice:</w:t>
      </w:r>
    </w:p>
    <w:p w14:paraId="42045923" w14:textId="77777777" w:rsidR="00125634" w:rsidRPr="005E3B43" w:rsidRDefault="00125634" w:rsidP="00763BCF">
      <w:pPr>
        <w:pStyle w:val="paragraphsub"/>
      </w:pPr>
      <w:r w:rsidRPr="005E3B43">
        <w:tab/>
        <w:t>(i)</w:t>
      </w:r>
      <w:r w:rsidRPr="005E3B43">
        <w:tab/>
        <w:t>setting out the interim decision and the reasons for the decision; and</w:t>
      </w:r>
    </w:p>
    <w:p w14:paraId="3BDC5C3F" w14:textId="77777777" w:rsidR="00125634" w:rsidRPr="005E3B43" w:rsidRDefault="00125634" w:rsidP="00763BCF">
      <w:pPr>
        <w:pStyle w:val="paragraphsub"/>
      </w:pPr>
      <w:r w:rsidRPr="005E3B43">
        <w:tab/>
        <w:t>(ii)</w:t>
      </w:r>
      <w:r w:rsidRPr="005E3B43">
        <w:tab/>
        <w:t>advising the applicant that he or she may, within the period specified in the notice (not being less than 10 business days after the date of the notice), make a written submission to the Secretary about the interim decision.</w:t>
      </w:r>
    </w:p>
    <w:p w14:paraId="0FCBB023" w14:textId="77777777" w:rsidR="00125634" w:rsidRPr="005E3B43" w:rsidRDefault="00125634" w:rsidP="00763BCF">
      <w:pPr>
        <w:pStyle w:val="ActHead5"/>
      </w:pPr>
      <w:bookmarkStart w:id="249" w:name="_Toc187135843"/>
      <w:r w:rsidRPr="005E3B43">
        <w:rPr>
          <w:rStyle w:val="CharSectno"/>
        </w:rPr>
        <w:t>42ZCZW</w:t>
      </w:r>
      <w:r w:rsidR="00E20BA4" w:rsidRPr="005E3B43">
        <w:t xml:space="preserve">  </w:t>
      </w:r>
      <w:r w:rsidRPr="005E3B43">
        <w:t>Final decision if there is interim decision</w:t>
      </w:r>
      <w:bookmarkEnd w:id="249"/>
    </w:p>
    <w:p w14:paraId="1430DAA0" w14:textId="77777777" w:rsidR="00125634" w:rsidRPr="005E3B43" w:rsidRDefault="00125634" w:rsidP="00763BCF">
      <w:pPr>
        <w:pStyle w:val="subsection"/>
      </w:pPr>
      <w:r w:rsidRPr="005E3B43">
        <w:tab/>
      </w:r>
      <w:r w:rsidRPr="005E3B43">
        <w:tab/>
        <w:t>If the Secretary makes an interim decision on the application, the Secretary may make a final decision on the application by confirming, varying or setting aside the interim decision only:</w:t>
      </w:r>
    </w:p>
    <w:p w14:paraId="313FF089" w14:textId="77777777" w:rsidR="00125634" w:rsidRPr="005E3B43" w:rsidRDefault="00125634" w:rsidP="00763BCF">
      <w:pPr>
        <w:pStyle w:val="paragraph"/>
      </w:pPr>
      <w:r w:rsidRPr="005E3B43">
        <w:tab/>
        <w:t>(a)</w:t>
      </w:r>
      <w:r w:rsidRPr="005E3B43">
        <w:tab/>
        <w:t>after considering any submission provided by the applicant within the time specified in the notice under paragraph</w:t>
      </w:r>
      <w:r w:rsidR="004E6D00" w:rsidRPr="005E3B43">
        <w:t> </w:t>
      </w:r>
      <w:r w:rsidRPr="005E3B43">
        <w:t>42ZCZV(b); or</w:t>
      </w:r>
    </w:p>
    <w:p w14:paraId="7CFB8B63" w14:textId="77777777" w:rsidR="00125634" w:rsidRPr="005E3B43" w:rsidRDefault="00125634" w:rsidP="00763BCF">
      <w:pPr>
        <w:pStyle w:val="paragraph"/>
      </w:pPr>
      <w:r w:rsidRPr="005E3B43">
        <w:tab/>
        <w:t>(b)</w:t>
      </w:r>
      <w:r w:rsidRPr="005E3B43">
        <w:tab/>
        <w:t>if no submission is received from the applicant within that time.</w:t>
      </w:r>
    </w:p>
    <w:p w14:paraId="591F4A14" w14:textId="77777777" w:rsidR="00125634" w:rsidRPr="005E3B43" w:rsidRDefault="00125634" w:rsidP="00763BCF">
      <w:pPr>
        <w:pStyle w:val="ActHead5"/>
      </w:pPr>
      <w:bookmarkStart w:id="250" w:name="_Toc187135844"/>
      <w:r w:rsidRPr="005E3B43">
        <w:rPr>
          <w:rStyle w:val="CharSectno"/>
        </w:rPr>
        <w:t>42ZCZX</w:t>
      </w:r>
      <w:r w:rsidR="00E20BA4" w:rsidRPr="005E3B43">
        <w:t xml:space="preserve">  </w:t>
      </w:r>
      <w:r w:rsidRPr="005E3B43">
        <w:t>Publication of final decision</w:t>
      </w:r>
      <w:bookmarkEnd w:id="250"/>
    </w:p>
    <w:p w14:paraId="2069B783" w14:textId="77777777" w:rsidR="00125634" w:rsidRPr="005E3B43" w:rsidRDefault="00125634" w:rsidP="00763BCF">
      <w:pPr>
        <w:pStyle w:val="subsection"/>
      </w:pPr>
      <w:r w:rsidRPr="005E3B43">
        <w:tab/>
      </w:r>
      <w:r w:rsidRPr="005E3B43">
        <w:tab/>
        <w:t>After making a final decision under regulation</w:t>
      </w:r>
      <w:r w:rsidR="004E6D00" w:rsidRPr="005E3B43">
        <w:t> </w:t>
      </w:r>
      <w:r w:rsidRPr="005E3B43">
        <w:t>42ZCZU or 42ZCZW, the Secretary must:</w:t>
      </w:r>
    </w:p>
    <w:p w14:paraId="12B1D2B1" w14:textId="77777777" w:rsidR="00125634" w:rsidRPr="005E3B43" w:rsidRDefault="00125634" w:rsidP="00763BCF">
      <w:pPr>
        <w:pStyle w:val="paragraph"/>
      </w:pPr>
      <w:r w:rsidRPr="005E3B43">
        <w:tab/>
        <w:t>(a)</w:t>
      </w:r>
      <w:r w:rsidRPr="005E3B43">
        <w:tab/>
        <w:t>publish, in a manner that the Secretary considers appropriate:</w:t>
      </w:r>
    </w:p>
    <w:p w14:paraId="4AEC8952" w14:textId="77777777" w:rsidR="00125634" w:rsidRPr="005E3B43" w:rsidRDefault="00125634" w:rsidP="00763BCF">
      <w:pPr>
        <w:pStyle w:val="paragraphsub"/>
      </w:pPr>
      <w:r w:rsidRPr="005E3B43">
        <w:tab/>
        <w:t>(i)</w:t>
      </w:r>
      <w:r w:rsidRPr="005E3B43">
        <w:tab/>
        <w:t>the decision; and</w:t>
      </w:r>
    </w:p>
    <w:p w14:paraId="6F5CF164" w14:textId="77777777" w:rsidR="00125634" w:rsidRPr="005E3B43" w:rsidRDefault="00125634" w:rsidP="00763BCF">
      <w:pPr>
        <w:pStyle w:val="paragraphsub"/>
      </w:pPr>
      <w:r w:rsidRPr="005E3B43">
        <w:tab/>
        <w:t>(ii)</w:t>
      </w:r>
      <w:r w:rsidRPr="005E3B43">
        <w:tab/>
        <w:t>the reasons for the decision; and</w:t>
      </w:r>
    </w:p>
    <w:p w14:paraId="5BA58B07" w14:textId="77777777" w:rsidR="00125634" w:rsidRPr="005E3B43" w:rsidRDefault="00125634" w:rsidP="00763BCF">
      <w:pPr>
        <w:pStyle w:val="paragraphsub"/>
      </w:pPr>
      <w:r w:rsidRPr="005E3B43">
        <w:tab/>
        <w:t>(iii)</w:t>
      </w:r>
      <w:r w:rsidRPr="005E3B43">
        <w:tab/>
        <w:t>the date of effect of the decision; and</w:t>
      </w:r>
    </w:p>
    <w:p w14:paraId="78D37590" w14:textId="77777777" w:rsidR="00125634" w:rsidRPr="005E3B43" w:rsidRDefault="00125634" w:rsidP="00763BCF">
      <w:pPr>
        <w:pStyle w:val="paragraph"/>
      </w:pPr>
      <w:r w:rsidRPr="005E3B43">
        <w:tab/>
        <w:t>(b)</w:t>
      </w:r>
      <w:r w:rsidRPr="005E3B43">
        <w:tab/>
        <w:t>if the decision is to amend the current Poisons Standard</w:t>
      </w:r>
      <w:r w:rsidR="00E20BA4" w:rsidRPr="005E3B43">
        <w:t>—</w:t>
      </w:r>
      <w:r w:rsidRPr="005E3B43">
        <w:t>make the amendment.</w:t>
      </w:r>
    </w:p>
    <w:p w14:paraId="63521656" w14:textId="77777777" w:rsidR="00125634" w:rsidRPr="005E3B43" w:rsidRDefault="00E20BA4" w:rsidP="00763BCF">
      <w:pPr>
        <w:pStyle w:val="notetext"/>
      </w:pPr>
      <w:r w:rsidRPr="005E3B43">
        <w:t>Note:</w:t>
      </w:r>
      <w:r w:rsidRPr="005E3B43">
        <w:tab/>
      </w:r>
      <w:r w:rsidR="00125634" w:rsidRPr="005E3B43">
        <w:t>The Secretary must comply with section</w:t>
      </w:r>
      <w:r w:rsidR="004E6D00" w:rsidRPr="005E3B43">
        <w:t> </w:t>
      </w:r>
      <w:r w:rsidR="00125634" w:rsidRPr="005E3B43">
        <w:t>52E of the Act when amending the current Poisons Standard.</w:t>
      </w:r>
    </w:p>
    <w:p w14:paraId="5F2FD95A" w14:textId="77777777" w:rsidR="00326265" w:rsidRPr="005E3B43" w:rsidRDefault="00326265" w:rsidP="00763BCF">
      <w:pPr>
        <w:pStyle w:val="ActHead2"/>
        <w:pageBreakBefore/>
        <w:spacing w:before="240"/>
      </w:pPr>
      <w:bookmarkStart w:id="251" w:name="_Toc187135845"/>
      <w:r w:rsidRPr="005E3B43">
        <w:rPr>
          <w:rStyle w:val="CharPartNo"/>
        </w:rPr>
        <w:lastRenderedPageBreak/>
        <w:t>Part</w:t>
      </w:r>
      <w:r w:rsidR="004E6D00" w:rsidRPr="005E3B43">
        <w:rPr>
          <w:rStyle w:val="CharPartNo"/>
        </w:rPr>
        <w:t> </w:t>
      </w:r>
      <w:r w:rsidRPr="005E3B43">
        <w:rPr>
          <w:rStyle w:val="CharPartNo"/>
        </w:rPr>
        <w:t>7</w:t>
      </w:r>
      <w:r w:rsidR="00E20BA4" w:rsidRPr="005E3B43">
        <w:t>—</w:t>
      </w:r>
      <w:r w:rsidRPr="005E3B43">
        <w:rPr>
          <w:rStyle w:val="CharPartText"/>
        </w:rPr>
        <w:t>Charges for registration, listing and inclusion, licences, exemptions, costs and fees</w:t>
      </w:r>
      <w:bookmarkEnd w:id="251"/>
    </w:p>
    <w:p w14:paraId="49B2320E" w14:textId="77777777" w:rsidR="00540F8D" w:rsidRPr="005E3B43" w:rsidRDefault="003C0723" w:rsidP="00763BCF">
      <w:pPr>
        <w:pStyle w:val="ActHead3"/>
        <w:rPr>
          <w:rFonts w:eastAsiaTheme="minorHAnsi"/>
        </w:rPr>
      </w:pPr>
      <w:bookmarkStart w:id="252" w:name="_Toc187135846"/>
      <w:r w:rsidRPr="005E3B43">
        <w:rPr>
          <w:rStyle w:val="CharDivNo"/>
        </w:rPr>
        <w:t>Division 1</w:t>
      </w:r>
      <w:r w:rsidR="00540F8D" w:rsidRPr="005E3B43">
        <w:t>—</w:t>
      </w:r>
      <w:r w:rsidR="00540F8D" w:rsidRPr="005E3B43">
        <w:rPr>
          <w:rStyle w:val="CharDivText"/>
        </w:rPr>
        <w:t>Charges for registration, listing and inclusion of therapeutic goods, exemptions and licences</w:t>
      </w:r>
      <w:bookmarkEnd w:id="252"/>
    </w:p>
    <w:p w14:paraId="54370D30" w14:textId="77777777" w:rsidR="002039B6" w:rsidRPr="005E3B43" w:rsidRDefault="002039B6" w:rsidP="00763BCF">
      <w:pPr>
        <w:pStyle w:val="ActHead4"/>
      </w:pPr>
      <w:bookmarkStart w:id="253" w:name="_Toc187135847"/>
      <w:r w:rsidRPr="005E3B43">
        <w:rPr>
          <w:rStyle w:val="CharSubdNo"/>
        </w:rPr>
        <w:t>Subdivision</w:t>
      </w:r>
      <w:r w:rsidR="004E6D00" w:rsidRPr="005E3B43">
        <w:rPr>
          <w:rStyle w:val="CharSubdNo"/>
        </w:rPr>
        <w:t> </w:t>
      </w:r>
      <w:r w:rsidRPr="005E3B43">
        <w:rPr>
          <w:rStyle w:val="CharSubdNo"/>
        </w:rPr>
        <w:t>1</w:t>
      </w:r>
      <w:r w:rsidRPr="005E3B43">
        <w:t>—</w:t>
      </w:r>
      <w:r w:rsidRPr="005E3B43">
        <w:rPr>
          <w:rStyle w:val="CharSubdText"/>
        </w:rPr>
        <w:t>Preliminary</w:t>
      </w:r>
      <w:bookmarkEnd w:id="253"/>
    </w:p>
    <w:p w14:paraId="5F01DCED" w14:textId="77777777" w:rsidR="002039B6" w:rsidRPr="005E3B43" w:rsidRDefault="002039B6" w:rsidP="00763BCF">
      <w:pPr>
        <w:pStyle w:val="ActHead5"/>
      </w:pPr>
      <w:bookmarkStart w:id="254" w:name="_Toc187135848"/>
      <w:r w:rsidRPr="005E3B43">
        <w:rPr>
          <w:rStyle w:val="CharSectno"/>
        </w:rPr>
        <w:t>43AAA</w:t>
      </w:r>
      <w:r w:rsidRPr="005E3B43">
        <w:t xml:space="preserve">  Meaning of turnover and when turnover is of low value</w:t>
      </w:r>
      <w:bookmarkEnd w:id="254"/>
    </w:p>
    <w:p w14:paraId="65855EEA" w14:textId="77777777" w:rsidR="002039B6" w:rsidRPr="005E3B43" w:rsidRDefault="002039B6" w:rsidP="00763BCF">
      <w:pPr>
        <w:pStyle w:val="subsection"/>
      </w:pPr>
      <w:r w:rsidRPr="005E3B43">
        <w:tab/>
        <w:t>(1)</w:t>
      </w:r>
      <w:r w:rsidRPr="005E3B43">
        <w:tab/>
        <w:t>For this Division (other than Subdivision</w:t>
      </w:r>
      <w:r w:rsidR="004E6D00" w:rsidRPr="005E3B43">
        <w:t> </w:t>
      </w:r>
      <w:r w:rsidRPr="005E3B43">
        <w:t>3) and subject to regulation</w:t>
      </w:r>
      <w:r w:rsidR="004E6D00" w:rsidRPr="005E3B43">
        <w:t> </w:t>
      </w:r>
      <w:r w:rsidRPr="005E3B43">
        <w:t>43AABB, a person’s turnover of therapeutic goods for a financial year is of low value if the turnover is $0.</w:t>
      </w:r>
    </w:p>
    <w:p w14:paraId="489729A6" w14:textId="77777777" w:rsidR="002039B6" w:rsidRPr="005E3B43" w:rsidRDefault="002039B6" w:rsidP="00763BCF">
      <w:pPr>
        <w:pStyle w:val="subsection"/>
      </w:pPr>
      <w:r w:rsidRPr="005E3B43">
        <w:tab/>
        <w:t>(2)</w:t>
      </w:r>
      <w:r w:rsidRPr="005E3B43">
        <w:tab/>
        <w:t>For this Division (other than Subdivision</w:t>
      </w:r>
      <w:r w:rsidR="004E6D00" w:rsidRPr="005E3B43">
        <w:t> </w:t>
      </w:r>
      <w:r w:rsidRPr="005E3B43">
        <w:t>3) and subject to regulation</w:t>
      </w:r>
      <w:r w:rsidR="004E6D00" w:rsidRPr="005E3B43">
        <w:t> </w:t>
      </w:r>
      <w:r w:rsidRPr="005E3B43">
        <w:t>43AABB:</w:t>
      </w:r>
    </w:p>
    <w:p w14:paraId="6A259BB2" w14:textId="77777777" w:rsidR="002039B6" w:rsidRPr="005E3B43" w:rsidRDefault="002039B6" w:rsidP="00763BCF">
      <w:pPr>
        <w:pStyle w:val="paragraph"/>
      </w:pPr>
      <w:r w:rsidRPr="005E3B43">
        <w:tab/>
        <w:t>(a)</w:t>
      </w:r>
      <w:r w:rsidRPr="005E3B43">
        <w:tab/>
        <w:t xml:space="preserve">a person’s </w:t>
      </w:r>
      <w:r w:rsidRPr="005E3B43">
        <w:rPr>
          <w:b/>
          <w:i/>
        </w:rPr>
        <w:t>turnover</w:t>
      </w:r>
      <w:r w:rsidRPr="005E3B43">
        <w:t xml:space="preserve"> of therapeutic goods for a financial year commencing on or after </w:t>
      </w:r>
      <w:r w:rsidR="006B5D8E" w:rsidRPr="005E3B43">
        <w:t>1 July</w:t>
      </w:r>
      <w:r w:rsidRPr="005E3B43">
        <w:t xml:space="preserve"> 2015 is the gross amount (in dollars) received (excluding GST) from sales (whether direct or indirect) of the goods in Australia by the person for the financial year; and</w:t>
      </w:r>
    </w:p>
    <w:p w14:paraId="3FD2E610" w14:textId="77777777" w:rsidR="002039B6" w:rsidRPr="005E3B43" w:rsidRDefault="002039B6" w:rsidP="00763BCF">
      <w:pPr>
        <w:pStyle w:val="paragraph"/>
      </w:pPr>
      <w:r w:rsidRPr="005E3B43">
        <w:tab/>
        <w:t>(b)</w:t>
      </w:r>
      <w:r w:rsidRPr="005E3B43">
        <w:tab/>
        <w:t xml:space="preserve">a person’s </w:t>
      </w:r>
      <w:r w:rsidRPr="005E3B43">
        <w:rPr>
          <w:b/>
          <w:i/>
        </w:rPr>
        <w:t>turnover</w:t>
      </w:r>
      <w:r w:rsidRPr="005E3B43">
        <w:t xml:space="preserve"> of therapeutic goods (other than a biological) for a financial year commencing before </w:t>
      </w:r>
      <w:r w:rsidR="006B5D8E" w:rsidRPr="005E3B43">
        <w:t>1 July</w:t>
      </w:r>
      <w:r w:rsidRPr="005E3B43">
        <w:t xml:space="preserve"> 2015 is the person’s turnover, as defined by regulation</w:t>
      </w:r>
      <w:r w:rsidR="004E6D00" w:rsidRPr="005E3B43">
        <w:t> </w:t>
      </w:r>
      <w:r w:rsidRPr="005E3B43">
        <w:t xml:space="preserve">43AAB of these Regulations as in force immediately before </w:t>
      </w:r>
      <w:r w:rsidR="006B5D8E" w:rsidRPr="005E3B43">
        <w:t>1 July</w:t>
      </w:r>
      <w:r w:rsidRPr="005E3B43">
        <w:t xml:space="preserve"> 2015, for the goods.</w:t>
      </w:r>
    </w:p>
    <w:p w14:paraId="18D0CAF5" w14:textId="77777777" w:rsidR="002039B6" w:rsidRPr="005E3B43" w:rsidRDefault="002039B6" w:rsidP="00763BCF">
      <w:pPr>
        <w:pStyle w:val="ActHead4"/>
      </w:pPr>
      <w:bookmarkStart w:id="255" w:name="_Toc187135849"/>
      <w:r w:rsidRPr="005E3B43">
        <w:rPr>
          <w:rStyle w:val="CharSubdNo"/>
        </w:rPr>
        <w:t>Subdivision</w:t>
      </w:r>
      <w:r w:rsidR="004E6D00" w:rsidRPr="005E3B43">
        <w:rPr>
          <w:rStyle w:val="CharSubdNo"/>
        </w:rPr>
        <w:t> </w:t>
      </w:r>
      <w:r w:rsidRPr="005E3B43">
        <w:rPr>
          <w:rStyle w:val="CharSubdNo"/>
        </w:rPr>
        <w:t>1A</w:t>
      </w:r>
      <w:r w:rsidRPr="005E3B43">
        <w:t>—</w:t>
      </w:r>
      <w:r w:rsidRPr="005E3B43">
        <w:rPr>
          <w:rStyle w:val="CharSubdText"/>
        </w:rPr>
        <w:t>Time for payment of certain annual charges</w:t>
      </w:r>
      <w:bookmarkEnd w:id="255"/>
    </w:p>
    <w:p w14:paraId="1D06D5FF" w14:textId="77777777" w:rsidR="002039B6" w:rsidRPr="005E3B43" w:rsidRDefault="002039B6" w:rsidP="00763BCF">
      <w:pPr>
        <w:pStyle w:val="ActHead5"/>
      </w:pPr>
      <w:bookmarkStart w:id="256" w:name="_Toc187135850"/>
      <w:r w:rsidRPr="005E3B43">
        <w:rPr>
          <w:rStyle w:val="CharSectno"/>
        </w:rPr>
        <w:t>43AAB</w:t>
      </w:r>
      <w:r w:rsidRPr="005E3B43">
        <w:t xml:space="preserve">  Time for payment of certain annual charges</w:t>
      </w:r>
      <w:bookmarkEnd w:id="256"/>
    </w:p>
    <w:p w14:paraId="2A4C6BEF" w14:textId="77777777" w:rsidR="002039B6" w:rsidRPr="005E3B43" w:rsidRDefault="002039B6" w:rsidP="00763BCF">
      <w:pPr>
        <w:pStyle w:val="SubsectionHead"/>
      </w:pPr>
      <w:r w:rsidRPr="005E3B43">
        <w:t>Entry of goods in Register commencing in financial year</w:t>
      </w:r>
    </w:p>
    <w:p w14:paraId="50D57090" w14:textId="77777777" w:rsidR="002039B6" w:rsidRPr="005E3B43" w:rsidRDefault="002039B6" w:rsidP="00763BCF">
      <w:pPr>
        <w:pStyle w:val="subsection"/>
      </w:pPr>
      <w:r w:rsidRPr="005E3B43">
        <w:tab/>
        <w:t>(1)</w:t>
      </w:r>
      <w:r w:rsidRPr="005E3B43">
        <w:tab/>
        <w:t>For paragraph</w:t>
      </w:r>
      <w:r w:rsidR="004E6D00" w:rsidRPr="005E3B43">
        <w:t> </w:t>
      </w:r>
      <w:r w:rsidRPr="005E3B43">
        <w:t>44(1)(a) of the Act, an annual registration charge, annual listing charge or annual charge for inclusion in the Register for a financial year becomes payable:</w:t>
      </w:r>
    </w:p>
    <w:p w14:paraId="274C1BC1" w14:textId="77777777" w:rsidR="002039B6" w:rsidRPr="005E3B43" w:rsidRDefault="002039B6" w:rsidP="00763BCF">
      <w:pPr>
        <w:pStyle w:val="paragraph"/>
      </w:pPr>
      <w:r w:rsidRPr="005E3B43">
        <w:tab/>
        <w:t>(a)</w:t>
      </w:r>
      <w:r w:rsidRPr="005E3B43">
        <w:tab/>
        <w:t>if the person who is liable to pay the charge notifies the Secretary, under regulation</w:t>
      </w:r>
      <w:r w:rsidR="004E6D00" w:rsidRPr="005E3B43">
        <w:t> </w:t>
      </w:r>
      <w:r w:rsidRPr="005E3B43">
        <w:t>43AAF</w:t>
      </w:r>
      <w:r w:rsidR="00CE1B7C" w:rsidRPr="005E3B43">
        <w:t xml:space="preserve"> or 43AAGE</w:t>
      </w:r>
      <w:r w:rsidRPr="005E3B43">
        <w:t>, that the person’s turnover of the therapeutic goods concerned for the financial year will not be of low value—on the last day of the month commencing after the month in which the notification was given; or</w:t>
      </w:r>
    </w:p>
    <w:p w14:paraId="2DD193FB" w14:textId="77777777" w:rsidR="002039B6" w:rsidRPr="005E3B43" w:rsidRDefault="002039B6" w:rsidP="00763BCF">
      <w:pPr>
        <w:pStyle w:val="paragraph"/>
      </w:pPr>
      <w:r w:rsidRPr="005E3B43">
        <w:tab/>
        <w:t>(b)</w:t>
      </w:r>
      <w:r w:rsidRPr="005E3B43">
        <w:tab/>
        <w:t>if the person who is liable to pay the charge does not give the Secretary a declaration relating to the person’s turnover of the therapeutic goods concerned for the financial year, in accordance with whichever of regulation</w:t>
      </w:r>
      <w:r w:rsidR="004E6D00" w:rsidRPr="005E3B43">
        <w:t> </w:t>
      </w:r>
      <w:r w:rsidRPr="005E3B43">
        <w:t>43AAC</w:t>
      </w:r>
      <w:r w:rsidR="00CE1B7C" w:rsidRPr="005E3B43">
        <w:t>, 43AAD, 43AAGB or 43AAGC</w:t>
      </w:r>
      <w:r w:rsidRPr="005E3B43">
        <w:t xml:space="preserve"> is applicable—on 15</w:t>
      </w:r>
      <w:r w:rsidR="004E6D00" w:rsidRPr="005E3B43">
        <w:t> </w:t>
      </w:r>
      <w:r w:rsidRPr="005E3B43">
        <w:t>September in the next financial year.</w:t>
      </w:r>
    </w:p>
    <w:p w14:paraId="5C26C7FE" w14:textId="77777777" w:rsidR="002039B6" w:rsidRPr="005E3B43" w:rsidRDefault="002039B6" w:rsidP="00763BCF">
      <w:pPr>
        <w:pStyle w:val="SubsectionHead"/>
      </w:pPr>
      <w:r w:rsidRPr="005E3B43">
        <w:lastRenderedPageBreak/>
        <w:t>Entry of goods in Register commencing before start of financial year</w:t>
      </w:r>
    </w:p>
    <w:p w14:paraId="56D343DF" w14:textId="77777777" w:rsidR="002039B6" w:rsidRPr="005E3B43" w:rsidRDefault="002039B6" w:rsidP="00763BCF">
      <w:pPr>
        <w:pStyle w:val="subsection"/>
      </w:pPr>
      <w:r w:rsidRPr="005E3B43">
        <w:tab/>
        <w:t>(2)</w:t>
      </w:r>
      <w:r w:rsidRPr="005E3B43">
        <w:tab/>
        <w:t>For subparagraph</w:t>
      </w:r>
      <w:r w:rsidR="004E6D00" w:rsidRPr="005E3B43">
        <w:t> </w:t>
      </w:r>
      <w:r w:rsidRPr="005E3B43">
        <w:t>44(1)(b)(ii) of the Act, an annual registration charge, annual listing charge or annual charge for inclusion in the Register for a financial year becomes payable on 15</w:t>
      </w:r>
      <w:r w:rsidR="004E6D00" w:rsidRPr="005E3B43">
        <w:t> </w:t>
      </w:r>
      <w:r w:rsidRPr="005E3B43">
        <w:t>September in that year.</w:t>
      </w:r>
    </w:p>
    <w:p w14:paraId="01DFB1BC" w14:textId="77777777" w:rsidR="002039B6" w:rsidRPr="005E3B43" w:rsidRDefault="002039B6" w:rsidP="00763BCF">
      <w:pPr>
        <w:pStyle w:val="notetext"/>
      </w:pPr>
      <w:r w:rsidRPr="005E3B43">
        <w:t>Note 1:</w:t>
      </w:r>
      <w:r w:rsidRPr="005E3B43">
        <w:tab/>
        <w:t>A person is not liable to pay an annual registration charge, annual listing charge or annual charge for inclusion in the Register for a financial year if:</w:t>
      </w:r>
    </w:p>
    <w:p w14:paraId="7DB2261A" w14:textId="77777777" w:rsidR="002039B6" w:rsidRPr="005E3B43" w:rsidRDefault="002039B6" w:rsidP="00763BCF">
      <w:pPr>
        <w:pStyle w:val="notepara"/>
      </w:pPr>
      <w:r w:rsidRPr="005E3B43">
        <w:t>(a)</w:t>
      </w:r>
      <w:r w:rsidRPr="005E3B43">
        <w:tab/>
        <w:t>the person is exempt from liability to pay the charge for that financial year under Subdivision</w:t>
      </w:r>
      <w:r w:rsidR="004E6D00" w:rsidRPr="005E3B43">
        <w:t> </w:t>
      </w:r>
      <w:r w:rsidRPr="005E3B43">
        <w:t>2; or</w:t>
      </w:r>
    </w:p>
    <w:p w14:paraId="366CA51D" w14:textId="77777777" w:rsidR="002039B6" w:rsidRPr="005E3B43" w:rsidRDefault="002039B6" w:rsidP="00763BCF">
      <w:pPr>
        <w:pStyle w:val="notepara"/>
      </w:pPr>
      <w:r w:rsidRPr="005E3B43">
        <w:t>(b)</w:t>
      </w:r>
      <w:r w:rsidRPr="005E3B43">
        <w:tab/>
        <w:t>the Secretary has waived the charge for that financial year under regulation</w:t>
      </w:r>
      <w:r w:rsidR="004E6D00" w:rsidRPr="005E3B43">
        <w:t> </w:t>
      </w:r>
      <w:r w:rsidRPr="005E3B43">
        <w:t>43AAH.</w:t>
      </w:r>
    </w:p>
    <w:p w14:paraId="01072913" w14:textId="77777777" w:rsidR="002039B6" w:rsidRPr="005E3B43" w:rsidRDefault="002039B6" w:rsidP="00763BCF">
      <w:pPr>
        <w:pStyle w:val="notetext"/>
      </w:pPr>
      <w:r w:rsidRPr="005E3B43">
        <w:t>Note 2:</w:t>
      </w:r>
      <w:r w:rsidRPr="005E3B43">
        <w:tab/>
        <w:t>This regulation is subject to subsection</w:t>
      </w:r>
      <w:r w:rsidR="004E6D00" w:rsidRPr="005E3B43">
        <w:t> </w:t>
      </w:r>
      <w:r w:rsidRPr="005E3B43">
        <w:t>44(3) of the Act. That subsection provides that the Secretary may, by notice in writing given to a person, specify a later day on which a charge becomes payable by the person for a financial year.</w:t>
      </w:r>
    </w:p>
    <w:p w14:paraId="0ABF61B9" w14:textId="77777777" w:rsidR="00CE1B7C" w:rsidRPr="005E3B43" w:rsidRDefault="00CE1B7C" w:rsidP="00763BCF">
      <w:pPr>
        <w:pStyle w:val="ActHead4"/>
      </w:pPr>
      <w:bookmarkStart w:id="257" w:name="_Toc187135851"/>
      <w:r w:rsidRPr="005E3B43">
        <w:rPr>
          <w:rStyle w:val="CharSubdNo"/>
        </w:rPr>
        <w:t>Subdivision</w:t>
      </w:r>
      <w:r w:rsidR="004E6D00" w:rsidRPr="005E3B43">
        <w:rPr>
          <w:rStyle w:val="CharSubdNo"/>
        </w:rPr>
        <w:t> </w:t>
      </w:r>
      <w:r w:rsidRPr="005E3B43">
        <w:rPr>
          <w:rStyle w:val="CharSubdNo"/>
        </w:rPr>
        <w:t>2</w:t>
      </w:r>
      <w:r w:rsidRPr="005E3B43">
        <w:t>—</w:t>
      </w:r>
      <w:r w:rsidRPr="005E3B43">
        <w:rPr>
          <w:rStyle w:val="CharSubdText"/>
        </w:rPr>
        <w:t>Exemption from liability to pay certain annual charges—therapeutic goods other than IVD devices</w:t>
      </w:r>
      <w:bookmarkEnd w:id="257"/>
    </w:p>
    <w:p w14:paraId="6B14A2F0" w14:textId="77777777" w:rsidR="00CE1B7C" w:rsidRPr="005E3B43" w:rsidRDefault="00CE1B7C" w:rsidP="00763BCF">
      <w:pPr>
        <w:pStyle w:val="ActHead5"/>
      </w:pPr>
      <w:bookmarkStart w:id="258" w:name="_Toc187135852"/>
      <w:r w:rsidRPr="005E3B43">
        <w:rPr>
          <w:rStyle w:val="CharSectno"/>
        </w:rPr>
        <w:t>43AAAA</w:t>
      </w:r>
      <w:r w:rsidRPr="005E3B43">
        <w:t xml:space="preserve">  Application</w:t>
      </w:r>
      <w:bookmarkEnd w:id="258"/>
    </w:p>
    <w:p w14:paraId="11BBC764" w14:textId="77777777" w:rsidR="00CE1B7C" w:rsidRPr="005E3B43" w:rsidRDefault="00CE1B7C" w:rsidP="00763BCF">
      <w:pPr>
        <w:pStyle w:val="subsection"/>
      </w:pPr>
      <w:r w:rsidRPr="005E3B43">
        <w:tab/>
      </w:r>
      <w:r w:rsidRPr="005E3B43">
        <w:tab/>
        <w:t>This Subdivision does not apply to IVD devices.</w:t>
      </w:r>
    </w:p>
    <w:p w14:paraId="6BDCFC4D" w14:textId="77777777" w:rsidR="00CE1B7C" w:rsidRPr="005E3B43" w:rsidRDefault="00CE1B7C" w:rsidP="00763BCF">
      <w:pPr>
        <w:pStyle w:val="ActHead5"/>
      </w:pPr>
      <w:bookmarkStart w:id="259" w:name="_Toc187135853"/>
      <w:r w:rsidRPr="005E3B43">
        <w:rPr>
          <w:rStyle w:val="CharSectno"/>
        </w:rPr>
        <w:t>43AABA</w:t>
      </w:r>
      <w:r w:rsidRPr="005E3B43">
        <w:t xml:space="preserve">  Purpose of this Subdivision</w:t>
      </w:r>
      <w:bookmarkEnd w:id="259"/>
    </w:p>
    <w:p w14:paraId="17C7FFED" w14:textId="77777777" w:rsidR="00CE1B7C" w:rsidRPr="005E3B43" w:rsidRDefault="00CE1B7C" w:rsidP="00763BCF">
      <w:pPr>
        <w:pStyle w:val="subsection"/>
      </w:pPr>
      <w:r w:rsidRPr="005E3B43">
        <w:tab/>
      </w:r>
      <w:r w:rsidRPr="005E3B43">
        <w:tab/>
        <w:t>For section</w:t>
      </w:r>
      <w:r w:rsidR="004E6D00" w:rsidRPr="005E3B43">
        <w:t> </w:t>
      </w:r>
      <w:r w:rsidRPr="005E3B43">
        <w:t>44A of the Act, this Subdivision makes provision for and in relation to exempting a person in relation to whom therapeutic goods (other than an IVD device) are registered, listed or included in the Register at any time in a financial year from liability to pay an annual registration charge, annual listing charge or annual charge for inclusion in the Register in respect of the goods for the financial year, if the person’s turnover of the goods for the financial year is of low value.</w:t>
      </w:r>
    </w:p>
    <w:p w14:paraId="6EB1D494" w14:textId="63EF5CEC" w:rsidR="002039B6" w:rsidRPr="005E3B43" w:rsidRDefault="002039B6" w:rsidP="00763BCF">
      <w:pPr>
        <w:pStyle w:val="ActHead5"/>
      </w:pPr>
      <w:bookmarkStart w:id="260" w:name="_Toc187135854"/>
      <w:r w:rsidRPr="005E3B43">
        <w:rPr>
          <w:rStyle w:val="CharSectno"/>
        </w:rPr>
        <w:t>43AABB</w:t>
      </w:r>
      <w:r w:rsidRPr="005E3B43">
        <w:t xml:space="preserve">  Exemption from liability to pay certain annual charges—2014</w:t>
      </w:r>
      <w:r w:rsidR="007C3215">
        <w:noBreakHyphen/>
      </w:r>
      <w:r w:rsidRPr="005E3B43">
        <w:t>15 financial year—goods entered on Register on or after 1</w:t>
      </w:r>
      <w:r w:rsidR="004E6D00" w:rsidRPr="005E3B43">
        <w:t> </w:t>
      </w:r>
      <w:r w:rsidRPr="005E3B43">
        <w:t>May 2015 and on or before 30</w:t>
      </w:r>
      <w:r w:rsidR="004E6D00" w:rsidRPr="005E3B43">
        <w:t> </w:t>
      </w:r>
      <w:r w:rsidRPr="005E3B43">
        <w:t>June 2015</w:t>
      </w:r>
      <w:bookmarkEnd w:id="260"/>
    </w:p>
    <w:p w14:paraId="3735156C" w14:textId="77777777" w:rsidR="002039B6" w:rsidRPr="005E3B43" w:rsidRDefault="002039B6" w:rsidP="00763BCF">
      <w:pPr>
        <w:pStyle w:val="subsection"/>
      </w:pPr>
      <w:r w:rsidRPr="005E3B43">
        <w:tab/>
        <w:t>(1)</w:t>
      </w:r>
      <w:r w:rsidRPr="005E3B43">
        <w:tab/>
        <w:t>This regulation applies in relation to therapeutic goods (other than a biological) that are registered, listed or included in the Register, if the registration, listing or inclusion commenced on or after 1</w:t>
      </w:r>
      <w:r w:rsidR="004E6D00" w:rsidRPr="005E3B43">
        <w:t> </w:t>
      </w:r>
      <w:r w:rsidRPr="005E3B43">
        <w:t>May 2015 and on or before 30</w:t>
      </w:r>
      <w:r w:rsidR="004E6D00" w:rsidRPr="005E3B43">
        <w:t> </w:t>
      </w:r>
      <w:r w:rsidRPr="005E3B43">
        <w:t>June 2015.</w:t>
      </w:r>
    </w:p>
    <w:p w14:paraId="0A839A31" w14:textId="77777777" w:rsidR="002039B6" w:rsidRPr="005E3B43" w:rsidRDefault="002039B6" w:rsidP="00763BCF">
      <w:pPr>
        <w:pStyle w:val="subsection"/>
      </w:pPr>
      <w:r w:rsidRPr="005E3B43">
        <w:tab/>
        <w:t>(2)</w:t>
      </w:r>
      <w:r w:rsidRPr="005E3B43">
        <w:tab/>
        <w:t>The person in relation to whom the goods are registered, listed or included in the Register is taken to have been granted, under Subdivision</w:t>
      </w:r>
      <w:r w:rsidR="004E6D00" w:rsidRPr="005E3B43">
        <w:t> </w:t>
      </w:r>
      <w:r w:rsidRPr="005E3B43">
        <w:t xml:space="preserve">2 of </w:t>
      </w:r>
      <w:r w:rsidR="003C0723" w:rsidRPr="005E3B43">
        <w:t>Division 1</w:t>
      </w:r>
      <w:r w:rsidRPr="005E3B43">
        <w:t xml:space="preserve"> of Part</w:t>
      </w:r>
      <w:r w:rsidR="004E6D00" w:rsidRPr="005E3B43">
        <w:t> </w:t>
      </w:r>
      <w:r w:rsidRPr="005E3B43">
        <w:t xml:space="preserve">7 of these Regulations as in force immediately before </w:t>
      </w:r>
      <w:r w:rsidR="006B5D8E" w:rsidRPr="005E3B43">
        <w:t>1 July</w:t>
      </w:r>
      <w:r w:rsidRPr="005E3B43">
        <w:t xml:space="preserve"> 2015, an exemption from liability to pay an annual registration charge, annual listing charge or annual charge for inclusion in the Register in respect of the goods for the financial year commencing on </w:t>
      </w:r>
      <w:r w:rsidR="006B5D8E" w:rsidRPr="005E3B43">
        <w:t>1 July</w:t>
      </w:r>
      <w:r w:rsidRPr="005E3B43">
        <w:t xml:space="preserve"> 2014, on the ground that the turnover of the goods for that financial year was a low value turnover.</w:t>
      </w:r>
    </w:p>
    <w:p w14:paraId="75BF07FD" w14:textId="77777777" w:rsidR="002039B6" w:rsidRPr="005E3B43" w:rsidRDefault="002039B6" w:rsidP="00763BCF">
      <w:pPr>
        <w:pStyle w:val="subsection"/>
      </w:pPr>
      <w:r w:rsidRPr="005E3B43">
        <w:lastRenderedPageBreak/>
        <w:tab/>
        <w:t>(3)</w:t>
      </w:r>
      <w:r w:rsidRPr="005E3B43">
        <w:tab/>
        <w:t>For this regulation, the following expressions have the meaning given by regulation</w:t>
      </w:r>
      <w:r w:rsidR="004E6D00" w:rsidRPr="005E3B43">
        <w:t> </w:t>
      </w:r>
      <w:r w:rsidRPr="005E3B43">
        <w:t xml:space="preserve">43AAB of these Regulations, as in force immediately before </w:t>
      </w:r>
      <w:r w:rsidR="006B5D8E" w:rsidRPr="005E3B43">
        <w:t>1 July</w:t>
      </w:r>
      <w:r w:rsidRPr="005E3B43">
        <w:t xml:space="preserve"> 2015:</w:t>
      </w:r>
    </w:p>
    <w:p w14:paraId="3CA26BF9" w14:textId="77777777" w:rsidR="002039B6" w:rsidRPr="005E3B43" w:rsidRDefault="002039B6" w:rsidP="00763BCF">
      <w:pPr>
        <w:pStyle w:val="paragraph"/>
      </w:pPr>
      <w:r w:rsidRPr="005E3B43">
        <w:tab/>
        <w:t>(a)</w:t>
      </w:r>
      <w:r w:rsidRPr="005E3B43">
        <w:tab/>
        <w:t>low value turnover;</w:t>
      </w:r>
    </w:p>
    <w:p w14:paraId="3E14FB0F" w14:textId="77777777" w:rsidR="002039B6" w:rsidRPr="005E3B43" w:rsidRDefault="002039B6" w:rsidP="00763BCF">
      <w:pPr>
        <w:pStyle w:val="paragraph"/>
      </w:pPr>
      <w:r w:rsidRPr="005E3B43">
        <w:tab/>
        <w:t>(b)</w:t>
      </w:r>
      <w:r w:rsidRPr="005E3B43">
        <w:tab/>
        <w:t>turnover.</w:t>
      </w:r>
    </w:p>
    <w:p w14:paraId="45F052DA" w14:textId="26649F9D" w:rsidR="002039B6" w:rsidRPr="005E3B43" w:rsidRDefault="002039B6" w:rsidP="00763BCF">
      <w:pPr>
        <w:pStyle w:val="ActHead5"/>
      </w:pPr>
      <w:bookmarkStart w:id="261" w:name="_Toc187135855"/>
      <w:r w:rsidRPr="005E3B43">
        <w:rPr>
          <w:rStyle w:val="CharSectno"/>
        </w:rPr>
        <w:t>43AAC</w:t>
      </w:r>
      <w:r w:rsidRPr="005E3B43">
        <w:t xml:space="preserve">  Exemption from liability to pay certain annual charges—2015</w:t>
      </w:r>
      <w:r w:rsidR="007C3215">
        <w:noBreakHyphen/>
      </w:r>
      <w:r w:rsidRPr="005E3B43">
        <w:t>16 financial year</w:t>
      </w:r>
      <w:bookmarkEnd w:id="261"/>
    </w:p>
    <w:p w14:paraId="2FA75E52" w14:textId="77777777" w:rsidR="002039B6" w:rsidRPr="005E3B43" w:rsidRDefault="002039B6" w:rsidP="00763BCF">
      <w:pPr>
        <w:pStyle w:val="SubsectionHead"/>
      </w:pPr>
      <w:r w:rsidRPr="005E3B43">
        <w:t>Therapeutic goods other than biologicals</w:t>
      </w:r>
    </w:p>
    <w:p w14:paraId="42DA438F" w14:textId="2C16D980" w:rsidR="002039B6" w:rsidRPr="005E3B43" w:rsidRDefault="002039B6" w:rsidP="00763BCF">
      <w:pPr>
        <w:pStyle w:val="subsection"/>
      </w:pPr>
      <w:r w:rsidRPr="005E3B43">
        <w:tab/>
        <w:t>(1)</w:t>
      </w:r>
      <w:r w:rsidRPr="005E3B43">
        <w:tab/>
        <w:t xml:space="preserve">A person in relation to whom therapeutic goods (other than a biological) are registered, listed or included in the Register at any time in the financial year commencing on </w:t>
      </w:r>
      <w:r w:rsidR="006B5D8E" w:rsidRPr="005E3B43">
        <w:t>1 July</w:t>
      </w:r>
      <w:r w:rsidRPr="005E3B43">
        <w:t xml:space="preserve"> 2015 (the </w:t>
      </w:r>
      <w:r w:rsidRPr="005E3B43">
        <w:rPr>
          <w:b/>
          <w:i/>
        </w:rPr>
        <w:t>2015</w:t>
      </w:r>
      <w:r w:rsidR="007C3215">
        <w:rPr>
          <w:b/>
          <w:i/>
        </w:rPr>
        <w:noBreakHyphen/>
      </w:r>
      <w:r w:rsidRPr="005E3B43">
        <w:rPr>
          <w:b/>
          <w:i/>
        </w:rPr>
        <w:t>16 financial year</w:t>
      </w:r>
      <w:r w:rsidRPr="005E3B43">
        <w:t>) is exempt from liability to pay an annual registration charge, annual listing charge or annual charge for inclusion in the Register in respect of the goods for the 2015</w:t>
      </w:r>
      <w:r w:rsidR="007C3215">
        <w:noBreakHyphen/>
      </w:r>
      <w:r w:rsidRPr="005E3B43">
        <w:t>16 financial year if the requirements in subregulation (2), (3), (4)</w:t>
      </w:r>
      <w:r w:rsidR="003865D8" w:rsidRPr="005E3B43">
        <w:t>, (5), (5A) or (5B)</w:t>
      </w:r>
      <w:r w:rsidRPr="005E3B43">
        <w:t xml:space="preserve"> are met.</w:t>
      </w:r>
    </w:p>
    <w:p w14:paraId="4A5EA1A3" w14:textId="16F5E81A" w:rsidR="002039B6" w:rsidRPr="005E3B43" w:rsidRDefault="002039B6" w:rsidP="00763BCF">
      <w:pPr>
        <w:pStyle w:val="SubsectionHead"/>
      </w:pPr>
      <w:r w:rsidRPr="005E3B43">
        <w:t>Entry of goods in Register commencing in 2015</w:t>
      </w:r>
      <w:r w:rsidR="007C3215">
        <w:noBreakHyphen/>
      </w:r>
      <w:r w:rsidRPr="005E3B43">
        <w:t>2016 financial year</w:t>
      </w:r>
    </w:p>
    <w:p w14:paraId="2B6BB824" w14:textId="77777777" w:rsidR="002039B6" w:rsidRPr="005E3B43" w:rsidRDefault="002039B6" w:rsidP="00763BCF">
      <w:pPr>
        <w:pStyle w:val="subsection"/>
      </w:pPr>
      <w:r w:rsidRPr="005E3B43">
        <w:tab/>
        <w:t>(2)</w:t>
      </w:r>
      <w:r w:rsidRPr="005E3B43">
        <w:tab/>
        <w:t>The requirements in this subregulation are met if:</w:t>
      </w:r>
    </w:p>
    <w:p w14:paraId="5E841352" w14:textId="1669BE23" w:rsidR="002039B6" w:rsidRPr="005E3B43" w:rsidRDefault="002039B6" w:rsidP="00763BCF">
      <w:pPr>
        <w:pStyle w:val="paragraph"/>
      </w:pPr>
      <w:r w:rsidRPr="005E3B43">
        <w:tab/>
        <w:t>(a)</w:t>
      </w:r>
      <w:r w:rsidRPr="005E3B43">
        <w:tab/>
        <w:t>the registration, listing or inclusion in the Register of the goods commenced in the 2015</w:t>
      </w:r>
      <w:r w:rsidR="007C3215">
        <w:noBreakHyphen/>
      </w:r>
      <w:r w:rsidRPr="005E3B43">
        <w:t>16 financial year; and</w:t>
      </w:r>
    </w:p>
    <w:p w14:paraId="0BE60D41" w14:textId="072D3D57" w:rsidR="002039B6" w:rsidRPr="005E3B43" w:rsidRDefault="002039B6" w:rsidP="00763BCF">
      <w:pPr>
        <w:pStyle w:val="paragraph"/>
      </w:pPr>
      <w:r w:rsidRPr="005E3B43">
        <w:tab/>
        <w:t>(b)</w:t>
      </w:r>
      <w:r w:rsidRPr="005E3B43">
        <w:tab/>
        <w:t>the person’s turnover of the goods for the 2015</w:t>
      </w:r>
      <w:r w:rsidR="007C3215">
        <w:noBreakHyphen/>
      </w:r>
      <w:r w:rsidRPr="005E3B43">
        <w:t>16 financial year is of low value; and</w:t>
      </w:r>
    </w:p>
    <w:p w14:paraId="13972FA3" w14:textId="4E7622C9" w:rsidR="002039B6" w:rsidRPr="005E3B43" w:rsidRDefault="002039B6" w:rsidP="00763BCF">
      <w:pPr>
        <w:pStyle w:val="paragraph"/>
      </w:pPr>
      <w:r w:rsidRPr="005E3B43">
        <w:tab/>
        <w:t>(c)</w:t>
      </w:r>
      <w:r w:rsidRPr="005E3B43">
        <w:tab/>
        <w:t>the person gives the Secretary, on or before 22</w:t>
      </w:r>
      <w:r w:rsidR="004E6D00" w:rsidRPr="005E3B43">
        <w:t> </w:t>
      </w:r>
      <w:r w:rsidRPr="005E3B43">
        <w:t>July 2016, a declaration, in a form or a manner approved by the Secretary, stating that the person’s turnover of the goods for the 2015</w:t>
      </w:r>
      <w:r w:rsidR="007C3215">
        <w:noBreakHyphen/>
      </w:r>
      <w:r w:rsidRPr="005E3B43">
        <w:t>16 financial year was of low value.</w:t>
      </w:r>
    </w:p>
    <w:p w14:paraId="2A0B3C75" w14:textId="77777777" w:rsidR="002039B6" w:rsidRPr="005E3B43" w:rsidRDefault="002039B6" w:rsidP="00763BCF">
      <w:pPr>
        <w:pStyle w:val="SubsectionHead"/>
      </w:pPr>
      <w:r w:rsidRPr="005E3B43">
        <w:t>Entry of goods in Register commencing on or after 1</w:t>
      </w:r>
      <w:r w:rsidR="004E6D00" w:rsidRPr="005E3B43">
        <w:t> </w:t>
      </w:r>
      <w:r w:rsidRPr="005E3B43">
        <w:t>May 2015 and on or before 30</w:t>
      </w:r>
      <w:r w:rsidR="004E6D00" w:rsidRPr="005E3B43">
        <w:t> </w:t>
      </w:r>
      <w:r w:rsidRPr="005E3B43">
        <w:t>June 2015</w:t>
      </w:r>
    </w:p>
    <w:p w14:paraId="0C1B2FD8" w14:textId="77777777" w:rsidR="002039B6" w:rsidRPr="005E3B43" w:rsidRDefault="002039B6" w:rsidP="00763BCF">
      <w:pPr>
        <w:pStyle w:val="subsection"/>
      </w:pPr>
      <w:r w:rsidRPr="005E3B43">
        <w:tab/>
        <w:t>(3)</w:t>
      </w:r>
      <w:r w:rsidRPr="005E3B43">
        <w:tab/>
        <w:t>The requirements in this subregulation are met if:</w:t>
      </w:r>
    </w:p>
    <w:p w14:paraId="0A07350F" w14:textId="77777777" w:rsidR="002039B6" w:rsidRPr="005E3B43" w:rsidRDefault="002039B6" w:rsidP="00763BCF">
      <w:pPr>
        <w:pStyle w:val="paragraph"/>
      </w:pPr>
      <w:r w:rsidRPr="005E3B43">
        <w:tab/>
        <w:t>(a)</w:t>
      </w:r>
      <w:r w:rsidRPr="005E3B43">
        <w:tab/>
        <w:t>the registration, listing or inclusion in the Register of the goods commenced on or after 1</w:t>
      </w:r>
      <w:r w:rsidR="004E6D00" w:rsidRPr="005E3B43">
        <w:t> </w:t>
      </w:r>
      <w:r w:rsidRPr="005E3B43">
        <w:t>May 2015 and on or before 30</w:t>
      </w:r>
      <w:r w:rsidR="004E6D00" w:rsidRPr="005E3B43">
        <w:t> </w:t>
      </w:r>
      <w:r w:rsidRPr="005E3B43">
        <w:t>June 2015; and</w:t>
      </w:r>
    </w:p>
    <w:p w14:paraId="518B2DC8" w14:textId="0D3D7386" w:rsidR="002039B6" w:rsidRPr="005E3B43" w:rsidRDefault="002039B6" w:rsidP="00763BCF">
      <w:pPr>
        <w:pStyle w:val="paragraph"/>
      </w:pPr>
      <w:r w:rsidRPr="005E3B43">
        <w:tab/>
        <w:t>(b)</w:t>
      </w:r>
      <w:r w:rsidRPr="005E3B43">
        <w:tab/>
        <w:t>the person is taken, under regulation</w:t>
      </w:r>
      <w:r w:rsidR="004E6D00" w:rsidRPr="005E3B43">
        <w:t> </w:t>
      </w:r>
      <w:r w:rsidRPr="005E3B43">
        <w:t xml:space="preserve">43AABB, to have been granted an exemption from liability to pay an annual registration charge, annual listing charge or annual charge for inclusion in the Register in respect of the goods for the financial year commencing on </w:t>
      </w:r>
      <w:r w:rsidR="006B5D8E" w:rsidRPr="005E3B43">
        <w:t>1 July</w:t>
      </w:r>
      <w:r w:rsidRPr="005E3B43">
        <w:t xml:space="preserve"> 2014 (the </w:t>
      </w:r>
      <w:r w:rsidRPr="005E3B43">
        <w:rPr>
          <w:b/>
          <w:i/>
        </w:rPr>
        <w:t>2014</w:t>
      </w:r>
      <w:r w:rsidR="007C3215">
        <w:rPr>
          <w:b/>
          <w:i/>
        </w:rPr>
        <w:noBreakHyphen/>
      </w:r>
      <w:r w:rsidRPr="005E3B43">
        <w:rPr>
          <w:b/>
          <w:i/>
        </w:rPr>
        <w:t>15 financial year</w:t>
      </w:r>
      <w:r w:rsidRPr="005E3B43">
        <w:t>); and</w:t>
      </w:r>
    </w:p>
    <w:p w14:paraId="6368275F" w14:textId="65D16C2E" w:rsidR="002039B6" w:rsidRPr="005E3B43" w:rsidRDefault="002039B6" w:rsidP="00763BCF">
      <w:pPr>
        <w:pStyle w:val="paragraph"/>
      </w:pPr>
      <w:r w:rsidRPr="005E3B43">
        <w:tab/>
        <w:t>(c)</w:t>
      </w:r>
      <w:r w:rsidRPr="005E3B43">
        <w:tab/>
        <w:t>the person’s turnover of the goods for the 2014</w:t>
      </w:r>
      <w:r w:rsidR="007C3215">
        <w:noBreakHyphen/>
      </w:r>
      <w:r w:rsidRPr="005E3B43">
        <w:t>15 financial year was of low value; and</w:t>
      </w:r>
    </w:p>
    <w:p w14:paraId="2DBB5FEC" w14:textId="06A80B7A" w:rsidR="002039B6" w:rsidRPr="005E3B43" w:rsidRDefault="002039B6" w:rsidP="00763BCF">
      <w:pPr>
        <w:pStyle w:val="paragraph"/>
      </w:pPr>
      <w:r w:rsidRPr="005E3B43">
        <w:tab/>
        <w:t>(d)</w:t>
      </w:r>
      <w:r w:rsidRPr="005E3B43">
        <w:tab/>
        <w:t>the person gives the Secretary, on or before 22</w:t>
      </w:r>
      <w:r w:rsidR="004E6D00" w:rsidRPr="005E3B43">
        <w:t> </w:t>
      </w:r>
      <w:r w:rsidRPr="005E3B43">
        <w:t>July 2016, a declaration, in a form or a manner approved by the Secretary, stating that the person’s turnover of the goods for the 2014</w:t>
      </w:r>
      <w:r w:rsidR="007C3215">
        <w:noBreakHyphen/>
      </w:r>
      <w:r w:rsidRPr="005E3B43">
        <w:t>15 financial year was of low value; and</w:t>
      </w:r>
    </w:p>
    <w:p w14:paraId="085BB69B" w14:textId="0F6D6263" w:rsidR="002039B6" w:rsidRPr="005E3B43" w:rsidRDefault="002039B6" w:rsidP="00763BCF">
      <w:pPr>
        <w:pStyle w:val="paragraph"/>
      </w:pPr>
      <w:r w:rsidRPr="005E3B43">
        <w:tab/>
        <w:t>(e)</w:t>
      </w:r>
      <w:r w:rsidRPr="005E3B43">
        <w:tab/>
        <w:t>the person’s turnover of the goods for the 2015</w:t>
      </w:r>
      <w:r w:rsidR="007C3215">
        <w:noBreakHyphen/>
      </w:r>
      <w:r w:rsidRPr="005E3B43">
        <w:t>16 financial years was of low value; and</w:t>
      </w:r>
    </w:p>
    <w:p w14:paraId="417911EE" w14:textId="05F88001" w:rsidR="002039B6" w:rsidRPr="005E3B43" w:rsidRDefault="002039B6" w:rsidP="00763BCF">
      <w:pPr>
        <w:pStyle w:val="paragraph"/>
      </w:pPr>
      <w:r w:rsidRPr="005E3B43">
        <w:lastRenderedPageBreak/>
        <w:tab/>
        <w:t>(f)</w:t>
      </w:r>
      <w:r w:rsidRPr="005E3B43">
        <w:tab/>
        <w:t>the person gives the Secretary, on or before 22</w:t>
      </w:r>
      <w:r w:rsidR="004E6D00" w:rsidRPr="005E3B43">
        <w:t> </w:t>
      </w:r>
      <w:r w:rsidRPr="005E3B43">
        <w:t>July 2016, a declaration, in a form or a manner approved by the Secretary, stating that the person’s turnover of the goods for the 2015</w:t>
      </w:r>
      <w:r w:rsidR="007C3215">
        <w:noBreakHyphen/>
      </w:r>
      <w:r w:rsidRPr="005E3B43">
        <w:t>16 financial year was of low value.</w:t>
      </w:r>
    </w:p>
    <w:p w14:paraId="5CB1A516" w14:textId="77777777" w:rsidR="002039B6" w:rsidRPr="005E3B43" w:rsidRDefault="002039B6" w:rsidP="00763BCF">
      <w:pPr>
        <w:pStyle w:val="SubsectionHead"/>
      </w:pPr>
      <w:r w:rsidRPr="005E3B43">
        <w:t xml:space="preserve">Entry of goods in Register commencing on or after </w:t>
      </w:r>
      <w:r w:rsidR="006B5D8E" w:rsidRPr="005E3B43">
        <w:t>1 July</w:t>
      </w:r>
      <w:r w:rsidRPr="005E3B43">
        <w:t xml:space="preserve"> 2014 and on or before 30</w:t>
      </w:r>
      <w:r w:rsidR="004E6D00" w:rsidRPr="005E3B43">
        <w:t> </w:t>
      </w:r>
      <w:r w:rsidRPr="005E3B43">
        <w:t>April 2015</w:t>
      </w:r>
    </w:p>
    <w:p w14:paraId="26171DBA" w14:textId="77777777" w:rsidR="002039B6" w:rsidRPr="005E3B43" w:rsidRDefault="002039B6" w:rsidP="00763BCF">
      <w:pPr>
        <w:pStyle w:val="subsection"/>
      </w:pPr>
      <w:r w:rsidRPr="005E3B43">
        <w:tab/>
        <w:t>(4)</w:t>
      </w:r>
      <w:r w:rsidRPr="005E3B43">
        <w:tab/>
        <w:t>The requirements in this subregulation are met if:</w:t>
      </w:r>
    </w:p>
    <w:p w14:paraId="5FDC2F27" w14:textId="77777777" w:rsidR="003865D8" w:rsidRPr="005E3B43" w:rsidRDefault="002039B6" w:rsidP="00763BCF">
      <w:pPr>
        <w:pStyle w:val="paragraph"/>
      </w:pPr>
      <w:r w:rsidRPr="005E3B43">
        <w:tab/>
        <w:t>(a)</w:t>
      </w:r>
      <w:r w:rsidRPr="005E3B43">
        <w:tab/>
        <w:t xml:space="preserve">the registration, listing or inclusion in the Register of the goods commenced on or after </w:t>
      </w:r>
      <w:r w:rsidR="006B5D8E" w:rsidRPr="005E3B43">
        <w:t>1 July</w:t>
      </w:r>
      <w:r w:rsidRPr="005E3B43">
        <w:t xml:space="preserve"> 2014 and on or before 30</w:t>
      </w:r>
      <w:r w:rsidR="004E6D00" w:rsidRPr="005E3B43">
        <w:t> </w:t>
      </w:r>
      <w:r w:rsidRPr="005E3B43">
        <w:t>April 2015; and</w:t>
      </w:r>
    </w:p>
    <w:p w14:paraId="1D09C90E" w14:textId="77777777" w:rsidR="003865D8" w:rsidRPr="005E3B43" w:rsidRDefault="003865D8" w:rsidP="00763BCF">
      <w:pPr>
        <w:pStyle w:val="paragraph"/>
      </w:pPr>
      <w:r w:rsidRPr="005E3B43">
        <w:tab/>
        <w:t>(b)</w:t>
      </w:r>
      <w:r w:rsidRPr="005E3B43">
        <w:tab/>
        <w:t>either:</w:t>
      </w:r>
    </w:p>
    <w:p w14:paraId="1B72E86B" w14:textId="7CE6E791" w:rsidR="003865D8" w:rsidRPr="005E3B43" w:rsidRDefault="003865D8" w:rsidP="00763BCF">
      <w:pPr>
        <w:pStyle w:val="paragraphsub"/>
      </w:pPr>
      <w:r w:rsidRPr="005E3B43">
        <w:tab/>
        <w:t>(i)</w:t>
      </w:r>
      <w:r w:rsidRPr="005E3B43">
        <w:tab/>
        <w:t>the person had been granted an exemption, under Subdivision</w:t>
      </w:r>
      <w:r w:rsidR="004E6D00" w:rsidRPr="005E3B43">
        <w:t> </w:t>
      </w:r>
      <w:r w:rsidRPr="005E3B43">
        <w:t xml:space="preserve">2 of </w:t>
      </w:r>
      <w:r w:rsidR="003C0723" w:rsidRPr="005E3B43">
        <w:t>Division 1</w:t>
      </w:r>
      <w:r w:rsidRPr="005E3B43">
        <w:t xml:space="preserve"> of Part</w:t>
      </w:r>
      <w:r w:rsidR="004E6D00" w:rsidRPr="005E3B43">
        <w:t> </w:t>
      </w:r>
      <w:r w:rsidRPr="005E3B43">
        <w:t xml:space="preserve">7 of these Regulations as in force immediately before </w:t>
      </w:r>
      <w:r w:rsidR="006B5D8E" w:rsidRPr="005E3B43">
        <w:t>1 July</w:t>
      </w:r>
      <w:r w:rsidRPr="005E3B43">
        <w:t xml:space="preserve"> 2015, from liability to pay an annual registration charge, annual listing charge or annual charge for inclusion in the Register in respect of the goods for the 2014</w:t>
      </w:r>
      <w:r w:rsidR="007C3215">
        <w:noBreakHyphen/>
      </w:r>
      <w:r w:rsidRPr="005E3B43">
        <w:t>15 financial year; or</w:t>
      </w:r>
    </w:p>
    <w:p w14:paraId="224B0B8B" w14:textId="02EDA717" w:rsidR="003865D8" w:rsidRPr="005E3B43" w:rsidRDefault="003865D8" w:rsidP="00763BCF">
      <w:pPr>
        <w:pStyle w:val="paragraphsub"/>
      </w:pPr>
      <w:r w:rsidRPr="005E3B43">
        <w:tab/>
        <w:t>(ii)</w:t>
      </w:r>
      <w:r w:rsidRPr="005E3B43">
        <w:tab/>
      </w:r>
      <w:r w:rsidRPr="005E3B43">
        <w:rPr>
          <w:szCs w:val="22"/>
        </w:rPr>
        <w:t xml:space="preserve">before </w:t>
      </w:r>
      <w:r w:rsidR="006B5D8E" w:rsidRPr="005E3B43">
        <w:rPr>
          <w:szCs w:val="22"/>
        </w:rPr>
        <w:t>1 July</w:t>
      </w:r>
      <w:r w:rsidRPr="005E3B43">
        <w:rPr>
          <w:szCs w:val="22"/>
        </w:rPr>
        <w:t xml:space="preserve"> 2015, the Finance Minister, under paragraph</w:t>
      </w:r>
      <w:r w:rsidR="004E6D00" w:rsidRPr="005E3B43">
        <w:rPr>
          <w:szCs w:val="22"/>
        </w:rPr>
        <w:t> </w:t>
      </w:r>
      <w:r w:rsidRPr="005E3B43">
        <w:rPr>
          <w:szCs w:val="22"/>
        </w:rPr>
        <w:t xml:space="preserve">63(1)(a) of the </w:t>
      </w:r>
      <w:r w:rsidRPr="005E3B43">
        <w:rPr>
          <w:i/>
          <w:iCs/>
          <w:szCs w:val="22"/>
        </w:rPr>
        <w:t>Public Governance, Performance and Accountability Act 2013</w:t>
      </w:r>
      <w:r w:rsidRPr="005E3B43">
        <w:rPr>
          <w:szCs w:val="22"/>
        </w:rPr>
        <w:t>,</w:t>
      </w:r>
      <w:r w:rsidRPr="005E3B43">
        <w:rPr>
          <w:iCs/>
          <w:szCs w:val="22"/>
        </w:rPr>
        <w:t xml:space="preserve"> </w:t>
      </w:r>
      <w:r w:rsidRPr="005E3B43">
        <w:rPr>
          <w:szCs w:val="22"/>
        </w:rPr>
        <w:t>authorised the waiver of an annual registration charge, an annual listing charge or an annual charge for inclusion in the Register in respect of the goods for the 2014</w:t>
      </w:r>
      <w:r w:rsidR="007C3215">
        <w:rPr>
          <w:szCs w:val="22"/>
        </w:rPr>
        <w:noBreakHyphen/>
      </w:r>
      <w:r w:rsidRPr="005E3B43">
        <w:rPr>
          <w:szCs w:val="22"/>
        </w:rPr>
        <w:t>15 financial year; and</w:t>
      </w:r>
    </w:p>
    <w:p w14:paraId="34068F97" w14:textId="2FBEA94E" w:rsidR="002039B6" w:rsidRPr="005E3B43" w:rsidRDefault="002039B6" w:rsidP="00763BCF">
      <w:pPr>
        <w:pStyle w:val="paragraph"/>
      </w:pPr>
      <w:r w:rsidRPr="005E3B43">
        <w:tab/>
        <w:t>(c)</w:t>
      </w:r>
      <w:r w:rsidRPr="005E3B43">
        <w:tab/>
        <w:t>the person’s turnover of the goods for the 2014</w:t>
      </w:r>
      <w:r w:rsidR="007C3215">
        <w:noBreakHyphen/>
      </w:r>
      <w:r w:rsidRPr="005E3B43">
        <w:t>15 financial was of low value; and</w:t>
      </w:r>
    </w:p>
    <w:p w14:paraId="7ABF6141" w14:textId="6AE945EF" w:rsidR="002039B6" w:rsidRPr="005E3B43" w:rsidRDefault="002039B6" w:rsidP="00763BCF">
      <w:pPr>
        <w:pStyle w:val="paragraph"/>
      </w:pPr>
      <w:r w:rsidRPr="005E3B43">
        <w:tab/>
        <w:t>(d)</w:t>
      </w:r>
      <w:r w:rsidRPr="005E3B43">
        <w:tab/>
        <w:t>the person gives the Secretary, on or before 22</w:t>
      </w:r>
      <w:r w:rsidR="004E6D00" w:rsidRPr="005E3B43">
        <w:t> </w:t>
      </w:r>
      <w:r w:rsidRPr="005E3B43">
        <w:t>July 2016, a declaration, in a form or a manner approved by the Secretary, stating that the person’s turnover of the goods for the 2014</w:t>
      </w:r>
      <w:r w:rsidR="007C3215">
        <w:noBreakHyphen/>
      </w:r>
      <w:r w:rsidRPr="005E3B43">
        <w:t>15 financial year was of low value; and</w:t>
      </w:r>
    </w:p>
    <w:p w14:paraId="1B02ECCE" w14:textId="5EDC78CE" w:rsidR="002039B6" w:rsidRPr="005E3B43" w:rsidRDefault="002039B6" w:rsidP="00763BCF">
      <w:pPr>
        <w:pStyle w:val="paragraph"/>
      </w:pPr>
      <w:r w:rsidRPr="005E3B43">
        <w:tab/>
        <w:t>(e)</w:t>
      </w:r>
      <w:r w:rsidRPr="005E3B43">
        <w:tab/>
        <w:t>the person’s turnover of the goods for the 2015</w:t>
      </w:r>
      <w:r w:rsidR="007C3215">
        <w:noBreakHyphen/>
      </w:r>
      <w:r w:rsidRPr="005E3B43">
        <w:t>16 financial years was of low value; and</w:t>
      </w:r>
    </w:p>
    <w:p w14:paraId="5A436DC8" w14:textId="427D46D1" w:rsidR="002039B6" w:rsidRPr="005E3B43" w:rsidRDefault="002039B6" w:rsidP="00763BCF">
      <w:pPr>
        <w:pStyle w:val="paragraph"/>
      </w:pPr>
      <w:r w:rsidRPr="005E3B43">
        <w:tab/>
        <w:t>(f)</w:t>
      </w:r>
      <w:r w:rsidRPr="005E3B43">
        <w:tab/>
        <w:t>the person gives the Secretary, on or before 22</w:t>
      </w:r>
      <w:r w:rsidR="004E6D00" w:rsidRPr="005E3B43">
        <w:t> </w:t>
      </w:r>
      <w:r w:rsidRPr="005E3B43">
        <w:t>July 2016, a declaration, in a form or a manner approved by the Secretary, stating that the person’s turnover of the goods for the 2015</w:t>
      </w:r>
      <w:r w:rsidR="007C3215">
        <w:noBreakHyphen/>
      </w:r>
      <w:r w:rsidRPr="005E3B43">
        <w:t>16 financial year was of low value.</w:t>
      </w:r>
    </w:p>
    <w:p w14:paraId="67D76E6A" w14:textId="77777777" w:rsidR="002039B6" w:rsidRPr="005E3B43" w:rsidRDefault="002039B6" w:rsidP="00763BCF">
      <w:pPr>
        <w:pStyle w:val="SubsectionHead"/>
      </w:pPr>
      <w:r w:rsidRPr="005E3B43">
        <w:t>Entry of goods in Register commencing on or before 30</w:t>
      </w:r>
      <w:r w:rsidR="004E6D00" w:rsidRPr="005E3B43">
        <w:t> </w:t>
      </w:r>
      <w:r w:rsidRPr="005E3B43">
        <w:t>June 2014</w:t>
      </w:r>
    </w:p>
    <w:p w14:paraId="4EB3D3C4" w14:textId="77777777" w:rsidR="002039B6" w:rsidRPr="005E3B43" w:rsidRDefault="002039B6" w:rsidP="00763BCF">
      <w:pPr>
        <w:pStyle w:val="subsection"/>
      </w:pPr>
      <w:r w:rsidRPr="005E3B43">
        <w:tab/>
        <w:t>(5)</w:t>
      </w:r>
      <w:r w:rsidRPr="005E3B43">
        <w:tab/>
        <w:t>The requirements in this subregulation are met if:</w:t>
      </w:r>
    </w:p>
    <w:p w14:paraId="63CFD853" w14:textId="77777777" w:rsidR="002039B6" w:rsidRPr="005E3B43" w:rsidRDefault="002039B6" w:rsidP="00763BCF">
      <w:pPr>
        <w:pStyle w:val="paragraph"/>
      </w:pPr>
      <w:r w:rsidRPr="005E3B43">
        <w:tab/>
        <w:t>(a)</w:t>
      </w:r>
      <w:r w:rsidRPr="005E3B43">
        <w:tab/>
        <w:t>the registration, listing or inclusion in the Register of the goods commenced on or before 30</w:t>
      </w:r>
      <w:r w:rsidR="004E6D00" w:rsidRPr="005E3B43">
        <w:t> </w:t>
      </w:r>
      <w:r w:rsidRPr="005E3B43">
        <w:t>June 2014; and</w:t>
      </w:r>
    </w:p>
    <w:p w14:paraId="37AAC4FD" w14:textId="77777777" w:rsidR="00B75D0A" w:rsidRPr="005E3B43" w:rsidRDefault="00B75D0A" w:rsidP="00763BCF">
      <w:pPr>
        <w:pStyle w:val="paragraph"/>
      </w:pPr>
      <w:r w:rsidRPr="005E3B43">
        <w:tab/>
        <w:t>(b)</w:t>
      </w:r>
      <w:r w:rsidRPr="005E3B43">
        <w:tab/>
        <w:t xml:space="preserve">for each financial year commencing on or after </w:t>
      </w:r>
      <w:r w:rsidR="006B5D8E" w:rsidRPr="005E3B43">
        <w:t>1 July</w:t>
      </w:r>
      <w:r w:rsidRPr="005E3B43">
        <w:t xml:space="preserve"> 2013 and ending on or before 30</w:t>
      </w:r>
      <w:r w:rsidR="004E6D00" w:rsidRPr="005E3B43">
        <w:t> </w:t>
      </w:r>
      <w:r w:rsidRPr="005E3B43">
        <w:t>June 2015, either:</w:t>
      </w:r>
    </w:p>
    <w:p w14:paraId="2D53F9C6" w14:textId="77777777" w:rsidR="00B75D0A" w:rsidRPr="005E3B43" w:rsidRDefault="00B75D0A" w:rsidP="00763BCF">
      <w:pPr>
        <w:pStyle w:val="paragraphsub"/>
        <w:rPr>
          <w:szCs w:val="22"/>
        </w:rPr>
      </w:pPr>
      <w:r w:rsidRPr="005E3B43">
        <w:tab/>
        <w:t>(i)</w:t>
      </w:r>
      <w:r w:rsidRPr="005E3B43">
        <w:tab/>
      </w:r>
      <w:r w:rsidRPr="005E3B43">
        <w:rPr>
          <w:szCs w:val="22"/>
        </w:rPr>
        <w:t>the person had been granted an exemption, under Subdivision</w:t>
      </w:r>
      <w:r w:rsidR="004E6D00" w:rsidRPr="005E3B43">
        <w:rPr>
          <w:szCs w:val="22"/>
        </w:rPr>
        <w:t> </w:t>
      </w:r>
      <w:r w:rsidRPr="005E3B43">
        <w:rPr>
          <w:szCs w:val="22"/>
        </w:rPr>
        <w:t xml:space="preserve">2 of </w:t>
      </w:r>
      <w:r w:rsidR="003C0723" w:rsidRPr="005E3B43">
        <w:rPr>
          <w:szCs w:val="22"/>
        </w:rPr>
        <w:t>Division 1</w:t>
      </w:r>
      <w:r w:rsidRPr="005E3B43">
        <w:rPr>
          <w:szCs w:val="22"/>
        </w:rPr>
        <w:t xml:space="preserve"> of Part</w:t>
      </w:r>
      <w:r w:rsidR="004E6D00" w:rsidRPr="005E3B43">
        <w:rPr>
          <w:szCs w:val="22"/>
        </w:rPr>
        <w:t> </w:t>
      </w:r>
      <w:r w:rsidRPr="005E3B43">
        <w:rPr>
          <w:szCs w:val="22"/>
        </w:rPr>
        <w:t xml:space="preserve">7 of these Regulations as in force immediately before </w:t>
      </w:r>
      <w:r w:rsidR="006B5D8E" w:rsidRPr="005E3B43">
        <w:rPr>
          <w:szCs w:val="22"/>
        </w:rPr>
        <w:t>1 July</w:t>
      </w:r>
      <w:r w:rsidRPr="005E3B43">
        <w:rPr>
          <w:szCs w:val="22"/>
        </w:rPr>
        <w:t xml:space="preserve"> 2015, from liability to pay an annual registration charge, annual listing charge or annual charge for inclusion in the Register in respect of the goods for that financial year; or</w:t>
      </w:r>
    </w:p>
    <w:p w14:paraId="09A1EEEF" w14:textId="77777777" w:rsidR="00B75D0A" w:rsidRPr="005E3B43" w:rsidRDefault="00B75D0A" w:rsidP="00763BCF">
      <w:pPr>
        <w:pStyle w:val="paragraphsub"/>
        <w:rPr>
          <w:szCs w:val="22"/>
        </w:rPr>
      </w:pPr>
      <w:r w:rsidRPr="005E3B43">
        <w:tab/>
        <w:t>(ii)</w:t>
      </w:r>
      <w:r w:rsidRPr="005E3B43">
        <w:tab/>
      </w:r>
      <w:r w:rsidRPr="005E3B43">
        <w:rPr>
          <w:szCs w:val="22"/>
        </w:rPr>
        <w:t xml:space="preserve">before </w:t>
      </w:r>
      <w:r w:rsidR="006B5D8E" w:rsidRPr="005E3B43">
        <w:rPr>
          <w:szCs w:val="22"/>
        </w:rPr>
        <w:t>1 July</w:t>
      </w:r>
      <w:r w:rsidRPr="005E3B43">
        <w:rPr>
          <w:szCs w:val="22"/>
        </w:rPr>
        <w:t xml:space="preserve"> 2015, the Finance Minister, under paragraph</w:t>
      </w:r>
      <w:r w:rsidR="004E6D00" w:rsidRPr="005E3B43">
        <w:rPr>
          <w:szCs w:val="22"/>
        </w:rPr>
        <w:t> </w:t>
      </w:r>
      <w:r w:rsidRPr="005E3B43">
        <w:rPr>
          <w:szCs w:val="22"/>
        </w:rPr>
        <w:t xml:space="preserve">63(1)(a) of the </w:t>
      </w:r>
      <w:r w:rsidRPr="005E3B43">
        <w:rPr>
          <w:i/>
          <w:iCs/>
          <w:szCs w:val="22"/>
        </w:rPr>
        <w:t>Public Governance, Performance and Accountability Act 2013</w:t>
      </w:r>
      <w:r w:rsidRPr="005E3B43">
        <w:rPr>
          <w:szCs w:val="22"/>
        </w:rPr>
        <w:t>,</w:t>
      </w:r>
      <w:r w:rsidRPr="005E3B43">
        <w:rPr>
          <w:iCs/>
          <w:szCs w:val="22"/>
        </w:rPr>
        <w:t xml:space="preserve"> </w:t>
      </w:r>
      <w:r w:rsidRPr="005E3B43">
        <w:rPr>
          <w:szCs w:val="22"/>
        </w:rPr>
        <w:t xml:space="preserve">authorised the waiver of an annual registration charge, an annual </w:t>
      </w:r>
      <w:r w:rsidRPr="005E3B43">
        <w:rPr>
          <w:szCs w:val="22"/>
        </w:rPr>
        <w:lastRenderedPageBreak/>
        <w:t>listing charge or an annual charge for inclusion in the Register in respect of the goods for that financial year; and</w:t>
      </w:r>
    </w:p>
    <w:p w14:paraId="2457FDAC" w14:textId="77777777" w:rsidR="002039B6" w:rsidRPr="005E3B43" w:rsidRDefault="002039B6" w:rsidP="00763BCF">
      <w:pPr>
        <w:pStyle w:val="paragraph"/>
      </w:pPr>
      <w:r w:rsidRPr="005E3B43">
        <w:tab/>
        <w:t>(c)</w:t>
      </w:r>
      <w:r w:rsidRPr="005E3B43">
        <w:tab/>
        <w:t xml:space="preserve">the person’s turnover of the goods for each financial year referred to in </w:t>
      </w:r>
      <w:r w:rsidR="004E6D00" w:rsidRPr="005E3B43">
        <w:t>paragraph (</w:t>
      </w:r>
      <w:r w:rsidRPr="005E3B43">
        <w:t>b) was of low value; and</w:t>
      </w:r>
    </w:p>
    <w:p w14:paraId="5EAB87D3" w14:textId="77777777" w:rsidR="002039B6" w:rsidRPr="005E3B43" w:rsidRDefault="002039B6" w:rsidP="00763BCF">
      <w:pPr>
        <w:pStyle w:val="paragraph"/>
      </w:pPr>
      <w:r w:rsidRPr="005E3B43">
        <w:tab/>
        <w:t>(d)</w:t>
      </w:r>
      <w:r w:rsidRPr="005E3B43">
        <w:tab/>
        <w:t>the person gives the Secretary, on or before 22</w:t>
      </w:r>
      <w:r w:rsidR="004E6D00" w:rsidRPr="005E3B43">
        <w:t> </w:t>
      </w:r>
      <w:r w:rsidRPr="005E3B43">
        <w:t xml:space="preserve">July 2016, a declaration, in a form or a manner approved by the Secretary, stating that the person’s turnover of the goods for each financial year referred to in </w:t>
      </w:r>
      <w:r w:rsidR="004E6D00" w:rsidRPr="005E3B43">
        <w:t>paragraph (</w:t>
      </w:r>
      <w:r w:rsidRPr="005E3B43">
        <w:t>b) was of low value; and</w:t>
      </w:r>
    </w:p>
    <w:p w14:paraId="75868968" w14:textId="73B0253A" w:rsidR="002039B6" w:rsidRPr="005E3B43" w:rsidRDefault="002039B6" w:rsidP="00763BCF">
      <w:pPr>
        <w:pStyle w:val="paragraph"/>
      </w:pPr>
      <w:r w:rsidRPr="005E3B43">
        <w:tab/>
        <w:t>(e)</w:t>
      </w:r>
      <w:r w:rsidRPr="005E3B43">
        <w:tab/>
        <w:t>the person’s turnover of the goods for the 2015</w:t>
      </w:r>
      <w:r w:rsidR="007C3215">
        <w:noBreakHyphen/>
      </w:r>
      <w:r w:rsidRPr="005E3B43">
        <w:t>16 financial years was of low value; and</w:t>
      </w:r>
    </w:p>
    <w:p w14:paraId="4552603B" w14:textId="22B4ED98" w:rsidR="002039B6" w:rsidRPr="005E3B43" w:rsidRDefault="002039B6" w:rsidP="00763BCF">
      <w:pPr>
        <w:pStyle w:val="paragraph"/>
      </w:pPr>
      <w:r w:rsidRPr="005E3B43">
        <w:tab/>
        <w:t>(f)</w:t>
      </w:r>
      <w:r w:rsidRPr="005E3B43">
        <w:tab/>
        <w:t>the person gives the Secretary, on or before 22</w:t>
      </w:r>
      <w:r w:rsidR="004E6D00" w:rsidRPr="005E3B43">
        <w:t> </w:t>
      </w:r>
      <w:r w:rsidRPr="005E3B43">
        <w:t>July 2016, a declaration, in a form or a manner approved by the Secretary, stating that the person’s turnover of the goods for the 2015</w:t>
      </w:r>
      <w:r w:rsidR="007C3215">
        <w:noBreakHyphen/>
      </w:r>
      <w:r w:rsidRPr="005E3B43">
        <w:t>16 financial year was of low value.</w:t>
      </w:r>
    </w:p>
    <w:p w14:paraId="04427E3F" w14:textId="77777777" w:rsidR="00B75D0A" w:rsidRPr="005E3B43" w:rsidRDefault="00B75D0A" w:rsidP="00763BCF">
      <w:pPr>
        <w:pStyle w:val="SubsectionHead"/>
      </w:pPr>
      <w:r w:rsidRPr="005E3B43">
        <w:t xml:space="preserve">Inclusion in Register of certain joint replacement medical devices on or after </w:t>
      </w:r>
      <w:r w:rsidR="006B5D8E" w:rsidRPr="005E3B43">
        <w:t>1 July</w:t>
      </w:r>
      <w:r w:rsidRPr="005E3B43">
        <w:t xml:space="preserve"> 2014 and on or before 30</w:t>
      </w:r>
      <w:r w:rsidR="004E6D00" w:rsidRPr="005E3B43">
        <w:t> </w:t>
      </w:r>
      <w:r w:rsidRPr="005E3B43">
        <w:t>June 2015</w:t>
      </w:r>
    </w:p>
    <w:p w14:paraId="05F1DCF4" w14:textId="77777777" w:rsidR="00B75D0A" w:rsidRPr="005E3B43" w:rsidRDefault="00B75D0A" w:rsidP="00763BCF">
      <w:pPr>
        <w:pStyle w:val="subsection"/>
      </w:pPr>
      <w:r w:rsidRPr="005E3B43">
        <w:tab/>
        <w:t>(5A)</w:t>
      </w:r>
      <w:r w:rsidRPr="005E3B43">
        <w:tab/>
        <w:t>The requirements in this subregulation are met if:</w:t>
      </w:r>
    </w:p>
    <w:p w14:paraId="2AB63A9C" w14:textId="77777777" w:rsidR="00B75D0A" w:rsidRPr="005E3B43" w:rsidRDefault="00B75D0A" w:rsidP="00763BCF">
      <w:pPr>
        <w:pStyle w:val="paragraph"/>
      </w:pPr>
      <w:r w:rsidRPr="005E3B43">
        <w:tab/>
        <w:t>(a)</w:t>
      </w:r>
      <w:r w:rsidRPr="005E3B43">
        <w:tab/>
        <w:t>the therapeutic goods are a joint replacement medical device; and</w:t>
      </w:r>
    </w:p>
    <w:p w14:paraId="2BF32E77" w14:textId="77777777" w:rsidR="00B75D0A" w:rsidRPr="005E3B43" w:rsidRDefault="00B75D0A" w:rsidP="00763BCF">
      <w:pPr>
        <w:pStyle w:val="paragraph"/>
      </w:pPr>
      <w:r w:rsidRPr="005E3B43">
        <w:tab/>
        <w:t>(b)</w:t>
      </w:r>
      <w:r w:rsidRPr="005E3B43">
        <w:tab/>
        <w:t xml:space="preserve">the inclusion in the Register of the joint replacement medical device as a Class III medical device commenced on or after </w:t>
      </w:r>
      <w:r w:rsidR="006B5D8E" w:rsidRPr="005E3B43">
        <w:t>1 July</w:t>
      </w:r>
      <w:r w:rsidRPr="005E3B43">
        <w:t xml:space="preserve"> 2014 and on or before 30</w:t>
      </w:r>
      <w:r w:rsidR="004E6D00" w:rsidRPr="005E3B43">
        <w:t> </w:t>
      </w:r>
      <w:r w:rsidRPr="005E3B43">
        <w:t>June 2015; and</w:t>
      </w:r>
    </w:p>
    <w:p w14:paraId="2B4A631F" w14:textId="5935975D" w:rsidR="00B75D0A" w:rsidRPr="005E3B43" w:rsidRDefault="00B75D0A" w:rsidP="00763BCF">
      <w:pPr>
        <w:pStyle w:val="paragraph"/>
      </w:pPr>
      <w:r w:rsidRPr="005E3B43">
        <w:tab/>
        <w:t>(c)</w:t>
      </w:r>
      <w:r w:rsidRPr="005E3B43">
        <w:tab/>
        <w:t>the medical device is covered by subregulation</w:t>
      </w:r>
      <w:r w:rsidR="004E6D00" w:rsidRPr="005E3B43">
        <w:t> </w:t>
      </w:r>
      <w:r w:rsidRPr="005E3B43">
        <w:t xml:space="preserve">11.22(3) of the </w:t>
      </w:r>
      <w:r w:rsidRPr="005E3B43">
        <w:rPr>
          <w:i/>
        </w:rPr>
        <w:t xml:space="preserve">Therapeutic Goods (Medical Devices) </w:t>
      </w:r>
      <w:r w:rsidR="007C3215">
        <w:rPr>
          <w:i/>
        </w:rPr>
        <w:t>Regulations 2</w:t>
      </w:r>
      <w:r w:rsidRPr="005E3B43">
        <w:rPr>
          <w:i/>
        </w:rPr>
        <w:t>002</w:t>
      </w:r>
      <w:r w:rsidRPr="005E3B43">
        <w:t>; and</w:t>
      </w:r>
    </w:p>
    <w:p w14:paraId="5FC97892" w14:textId="644461C5" w:rsidR="00B75D0A" w:rsidRPr="005E3B43" w:rsidRDefault="00B75D0A" w:rsidP="00763BCF">
      <w:pPr>
        <w:pStyle w:val="paragraph"/>
      </w:pPr>
      <w:r w:rsidRPr="005E3B43">
        <w:tab/>
        <w:t>(d)</w:t>
      </w:r>
      <w:r w:rsidRPr="005E3B43">
        <w:tab/>
        <w:t>the person’s turnover of the medical device for the 2014</w:t>
      </w:r>
      <w:r w:rsidR="007C3215">
        <w:noBreakHyphen/>
      </w:r>
      <w:r w:rsidRPr="005E3B43">
        <w:t>15 financial year was of low value; and</w:t>
      </w:r>
    </w:p>
    <w:p w14:paraId="4F2370D9" w14:textId="5A7A55D6" w:rsidR="00B75D0A" w:rsidRPr="005E3B43" w:rsidRDefault="00B75D0A" w:rsidP="00763BCF">
      <w:pPr>
        <w:pStyle w:val="paragraph"/>
      </w:pPr>
      <w:r w:rsidRPr="005E3B43">
        <w:tab/>
        <w:t>(e)</w:t>
      </w:r>
      <w:r w:rsidRPr="005E3B43">
        <w:tab/>
        <w:t>the person gives the Secretary, on or before 22</w:t>
      </w:r>
      <w:r w:rsidR="004E6D00" w:rsidRPr="005E3B43">
        <w:t> </w:t>
      </w:r>
      <w:r w:rsidRPr="005E3B43">
        <w:t>July 2016, a declaration, in a form or a manner approved by the Secretary, stating that the person’s turnover of the medical device for the 2014</w:t>
      </w:r>
      <w:r w:rsidR="007C3215">
        <w:noBreakHyphen/>
      </w:r>
      <w:r w:rsidRPr="005E3B43">
        <w:t>15 financial year was of low value; and</w:t>
      </w:r>
    </w:p>
    <w:p w14:paraId="1DAD1FAF" w14:textId="6D604810" w:rsidR="00B75D0A" w:rsidRPr="005E3B43" w:rsidRDefault="00B75D0A" w:rsidP="00763BCF">
      <w:pPr>
        <w:pStyle w:val="paragraph"/>
      </w:pPr>
      <w:r w:rsidRPr="005E3B43">
        <w:tab/>
        <w:t>(f)</w:t>
      </w:r>
      <w:r w:rsidRPr="005E3B43">
        <w:tab/>
        <w:t>the person’s turnover of the medical device for the 2015</w:t>
      </w:r>
      <w:r w:rsidR="007C3215">
        <w:noBreakHyphen/>
      </w:r>
      <w:r w:rsidRPr="005E3B43">
        <w:t>16 financial year was of low value; and</w:t>
      </w:r>
    </w:p>
    <w:p w14:paraId="15A530CD" w14:textId="644DFADC" w:rsidR="00B75D0A" w:rsidRPr="005E3B43" w:rsidRDefault="00B75D0A" w:rsidP="00763BCF">
      <w:pPr>
        <w:pStyle w:val="paragraph"/>
      </w:pPr>
      <w:r w:rsidRPr="005E3B43">
        <w:tab/>
        <w:t>(g)</w:t>
      </w:r>
      <w:r w:rsidRPr="005E3B43">
        <w:tab/>
        <w:t>the person gives the Secretary, on or before 22</w:t>
      </w:r>
      <w:r w:rsidR="004E6D00" w:rsidRPr="005E3B43">
        <w:t> </w:t>
      </w:r>
      <w:r w:rsidRPr="005E3B43">
        <w:t>July 2016, a declaration, in a form or a manner approved by the Secretary, stating that the person’s turnover of the medical device for the 2015</w:t>
      </w:r>
      <w:r w:rsidR="007C3215">
        <w:noBreakHyphen/>
      </w:r>
      <w:r w:rsidRPr="005E3B43">
        <w:t>16 financial year was of low value.</w:t>
      </w:r>
    </w:p>
    <w:p w14:paraId="7D4DF319" w14:textId="77777777" w:rsidR="00B75D0A" w:rsidRPr="005E3B43" w:rsidRDefault="00B75D0A" w:rsidP="00763BCF">
      <w:pPr>
        <w:pStyle w:val="SubsectionHead"/>
      </w:pPr>
      <w:r w:rsidRPr="005E3B43">
        <w:t>Inclusion in Register of certain joint replacement medical devices on or before 30</w:t>
      </w:r>
      <w:r w:rsidR="004E6D00" w:rsidRPr="005E3B43">
        <w:t> </w:t>
      </w:r>
      <w:r w:rsidRPr="005E3B43">
        <w:t>June 2014</w:t>
      </w:r>
    </w:p>
    <w:p w14:paraId="327402FD" w14:textId="77777777" w:rsidR="00B75D0A" w:rsidRPr="005E3B43" w:rsidRDefault="00B75D0A" w:rsidP="00763BCF">
      <w:pPr>
        <w:pStyle w:val="subsection"/>
      </w:pPr>
      <w:r w:rsidRPr="005E3B43">
        <w:tab/>
        <w:t>(5B)</w:t>
      </w:r>
      <w:r w:rsidRPr="005E3B43">
        <w:tab/>
        <w:t>The requirements in this subregulation are met if:</w:t>
      </w:r>
    </w:p>
    <w:p w14:paraId="27A375F5" w14:textId="77777777" w:rsidR="00B75D0A" w:rsidRPr="005E3B43" w:rsidRDefault="00B75D0A" w:rsidP="00763BCF">
      <w:pPr>
        <w:pStyle w:val="paragraph"/>
      </w:pPr>
      <w:r w:rsidRPr="005E3B43">
        <w:tab/>
        <w:t>(a)</w:t>
      </w:r>
      <w:r w:rsidRPr="005E3B43">
        <w:tab/>
        <w:t>the therapeutic goods are a joint replacement medical device; and</w:t>
      </w:r>
    </w:p>
    <w:p w14:paraId="44F10DDF" w14:textId="77777777" w:rsidR="00B75D0A" w:rsidRPr="005E3B43" w:rsidRDefault="00B75D0A" w:rsidP="00763BCF">
      <w:pPr>
        <w:pStyle w:val="paragraph"/>
      </w:pPr>
      <w:r w:rsidRPr="005E3B43">
        <w:tab/>
        <w:t>(b)</w:t>
      </w:r>
      <w:r w:rsidRPr="005E3B43">
        <w:tab/>
        <w:t>the inclusion in the Register of the joint replacement medical device as a Class III medical device commenced on or before 30</w:t>
      </w:r>
      <w:r w:rsidR="004E6D00" w:rsidRPr="005E3B43">
        <w:t> </w:t>
      </w:r>
      <w:r w:rsidRPr="005E3B43">
        <w:t>June 2014; and</w:t>
      </w:r>
    </w:p>
    <w:p w14:paraId="6EAE03FE" w14:textId="35B3F839" w:rsidR="00B75D0A" w:rsidRPr="005E3B43" w:rsidRDefault="00B75D0A" w:rsidP="00763BCF">
      <w:pPr>
        <w:pStyle w:val="paragraph"/>
      </w:pPr>
      <w:r w:rsidRPr="005E3B43">
        <w:tab/>
        <w:t>(c)</w:t>
      </w:r>
      <w:r w:rsidRPr="005E3B43">
        <w:tab/>
        <w:t>the medical device is covered by subregulation</w:t>
      </w:r>
      <w:r w:rsidR="004E6D00" w:rsidRPr="005E3B43">
        <w:t> </w:t>
      </w:r>
      <w:r w:rsidRPr="005E3B43">
        <w:t xml:space="preserve">11.22(3) of the </w:t>
      </w:r>
      <w:r w:rsidRPr="005E3B43">
        <w:rPr>
          <w:i/>
        </w:rPr>
        <w:t xml:space="preserve">Therapeutic Goods (Medical Devices) </w:t>
      </w:r>
      <w:r w:rsidR="007C3215">
        <w:rPr>
          <w:i/>
        </w:rPr>
        <w:t>Regulations 2</w:t>
      </w:r>
      <w:r w:rsidRPr="005E3B43">
        <w:rPr>
          <w:i/>
        </w:rPr>
        <w:t>002</w:t>
      </w:r>
      <w:r w:rsidRPr="005E3B43">
        <w:t>; and</w:t>
      </w:r>
    </w:p>
    <w:p w14:paraId="24DC1B44" w14:textId="77777777" w:rsidR="00B75D0A" w:rsidRPr="005E3B43" w:rsidRDefault="00B75D0A" w:rsidP="00763BCF">
      <w:pPr>
        <w:pStyle w:val="paragraph"/>
      </w:pPr>
      <w:r w:rsidRPr="005E3B43">
        <w:lastRenderedPageBreak/>
        <w:tab/>
        <w:t>(d)</w:t>
      </w:r>
      <w:r w:rsidRPr="005E3B43">
        <w:tab/>
        <w:t xml:space="preserve">the person’s turnover of the medical device for each financial year commencing on or after </w:t>
      </w:r>
      <w:r w:rsidR="006B5D8E" w:rsidRPr="005E3B43">
        <w:t>1 July</w:t>
      </w:r>
      <w:r w:rsidRPr="005E3B43">
        <w:t xml:space="preserve"> 2013 and ending on or before 30</w:t>
      </w:r>
      <w:r w:rsidR="004E6D00" w:rsidRPr="005E3B43">
        <w:t> </w:t>
      </w:r>
      <w:r w:rsidRPr="005E3B43">
        <w:t>June 2015 year was of low value; and</w:t>
      </w:r>
    </w:p>
    <w:p w14:paraId="2B0EBA13" w14:textId="77777777" w:rsidR="00B75D0A" w:rsidRPr="005E3B43" w:rsidRDefault="00B75D0A" w:rsidP="00763BCF">
      <w:pPr>
        <w:pStyle w:val="paragraph"/>
      </w:pPr>
      <w:r w:rsidRPr="005E3B43">
        <w:tab/>
        <w:t>(e)</w:t>
      </w:r>
      <w:r w:rsidRPr="005E3B43">
        <w:tab/>
        <w:t>the person gives the Secretary, on or before 22</w:t>
      </w:r>
      <w:r w:rsidR="004E6D00" w:rsidRPr="005E3B43">
        <w:t> </w:t>
      </w:r>
      <w:r w:rsidRPr="005E3B43">
        <w:t xml:space="preserve">July 2016, a declaration, in a form or a manner approved by the Secretary, stating that the person’s turnover of the medical device for each financial year referred to in </w:t>
      </w:r>
      <w:r w:rsidR="004E6D00" w:rsidRPr="005E3B43">
        <w:t>paragraph (</w:t>
      </w:r>
      <w:r w:rsidRPr="005E3B43">
        <w:t>d) was of low value; and</w:t>
      </w:r>
    </w:p>
    <w:p w14:paraId="6F05317B" w14:textId="22B9C954" w:rsidR="00B75D0A" w:rsidRPr="005E3B43" w:rsidRDefault="00B75D0A" w:rsidP="00763BCF">
      <w:pPr>
        <w:pStyle w:val="paragraph"/>
      </w:pPr>
      <w:r w:rsidRPr="005E3B43">
        <w:tab/>
        <w:t>(f)</w:t>
      </w:r>
      <w:r w:rsidRPr="005E3B43">
        <w:tab/>
        <w:t>the person’s turnover of the medical device for the 2015</w:t>
      </w:r>
      <w:r w:rsidR="007C3215">
        <w:noBreakHyphen/>
      </w:r>
      <w:r w:rsidRPr="005E3B43">
        <w:t>16 financial year was of low value; and</w:t>
      </w:r>
    </w:p>
    <w:p w14:paraId="35483FEF" w14:textId="1DA95C54" w:rsidR="00B75D0A" w:rsidRPr="005E3B43" w:rsidRDefault="00B75D0A" w:rsidP="00763BCF">
      <w:pPr>
        <w:pStyle w:val="paragraph"/>
      </w:pPr>
      <w:r w:rsidRPr="005E3B43">
        <w:tab/>
        <w:t>(g)</w:t>
      </w:r>
      <w:r w:rsidRPr="005E3B43">
        <w:tab/>
        <w:t>the person gives the Secretary, on or before 22</w:t>
      </w:r>
      <w:r w:rsidR="004E6D00" w:rsidRPr="005E3B43">
        <w:t> </w:t>
      </w:r>
      <w:r w:rsidRPr="005E3B43">
        <w:t>July 2016, a declaration, in a form or a manner approved by the Secretary, stating that the person’s turnover of the medical device for the 2015</w:t>
      </w:r>
      <w:r w:rsidR="007C3215">
        <w:noBreakHyphen/>
      </w:r>
      <w:r w:rsidRPr="005E3B43">
        <w:t>16 financial year was of low value.</w:t>
      </w:r>
    </w:p>
    <w:p w14:paraId="2FC97E3B" w14:textId="77777777" w:rsidR="002039B6" w:rsidRPr="005E3B43" w:rsidRDefault="002039B6" w:rsidP="00763BCF">
      <w:pPr>
        <w:pStyle w:val="SubsectionHead"/>
      </w:pPr>
      <w:r w:rsidRPr="005E3B43">
        <w:t>Biologicals</w:t>
      </w:r>
    </w:p>
    <w:p w14:paraId="5FFC5F12" w14:textId="735B1A05" w:rsidR="002039B6" w:rsidRPr="005E3B43" w:rsidRDefault="002039B6" w:rsidP="00763BCF">
      <w:pPr>
        <w:pStyle w:val="subsection"/>
      </w:pPr>
      <w:r w:rsidRPr="005E3B43">
        <w:tab/>
        <w:t>(6)</w:t>
      </w:r>
      <w:r w:rsidRPr="005E3B43">
        <w:tab/>
        <w:t>A person in relation to whom a biological is included in the Register at any time in the 2015</w:t>
      </w:r>
      <w:r w:rsidR="007C3215">
        <w:noBreakHyphen/>
      </w:r>
      <w:r w:rsidRPr="005E3B43">
        <w:t>16 financial year is exempt from liability to pay an annual charge for inclusion of the biological in the Register for the 2015</w:t>
      </w:r>
      <w:r w:rsidR="007C3215">
        <w:noBreakHyphen/>
      </w:r>
      <w:r w:rsidRPr="005E3B43">
        <w:t>16 financial year if:</w:t>
      </w:r>
    </w:p>
    <w:p w14:paraId="6FD813DF" w14:textId="32826FF2" w:rsidR="002039B6" w:rsidRPr="005E3B43" w:rsidRDefault="002039B6" w:rsidP="00763BCF">
      <w:pPr>
        <w:pStyle w:val="paragraph"/>
      </w:pPr>
      <w:r w:rsidRPr="005E3B43">
        <w:tab/>
        <w:t>(a)</w:t>
      </w:r>
      <w:r w:rsidRPr="005E3B43">
        <w:tab/>
        <w:t>the inclusion of the biological in the Register commenced in the 2015</w:t>
      </w:r>
      <w:r w:rsidR="007C3215">
        <w:noBreakHyphen/>
      </w:r>
      <w:r w:rsidRPr="005E3B43">
        <w:t>16 financial year; and</w:t>
      </w:r>
    </w:p>
    <w:p w14:paraId="4F7F4626" w14:textId="072AC1A6" w:rsidR="002039B6" w:rsidRPr="005E3B43" w:rsidRDefault="002039B6" w:rsidP="00763BCF">
      <w:pPr>
        <w:pStyle w:val="paragraph"/>
      </w:pPr>
      <w:r w:rsidRPr="005E3B43">
        <w:tab/>
        <w:t>(b)</w:t>
      </w:r>
      <w:r w:rsidRPr="005E3B43">
        <w:tab/>
        <w:t>the person’s turnover of the goods for the 2015</w:t>
      </w:r>
      <w:r w:rsidR="007C3215">
        <w:noBreakHyphen/>
      </w:r>
      <w:r w:rsidRPr="005E3B43">
        <w:t>16 financial year is of low value; and</w:t>
      </w:r>
    </w:p>
    <w:p w14:paraId="60B30E9F" w14:textId="3C109610" w:rsidR="002039B6" w:rsidRPr="005E3B43" w:rsidRDefault="002039B6" w:rsidP="00763BCF">
      <w:pPr>
        <w:pStyle w:val="paragraph"/>
      </w:pPr>
      <w:r w:rsidRPr="005E3B43">
        <w:tab/>
        <w:t>(c)</w:t>
      </w:r>
      <w:r w:rsidRPr="005E3B43">
        <w:tab/>
        <w:t>the person gives the Secretary, on or before 22</w:t>
      </w:r>
      <w:r w:rsidR="004E6D00" w:rsidRPr="005E3B43">
        <w:t> </w:t>
      </w:r>
      <w:r w:rsidRPr="005E3B43">
        <w:t>July 2016, a declaration, in a form or a manner approved by the Secretary, stating that the person’s turnover of the goods for the 2015</w:t>
      </w:r>
      <w:r w:rsidR="007C3215">
        <w:noBreakHyphen/>
      </w:r>
      <w:r w:rsidRPr="005E3B43">
        <w:t>16 financial year was of low value.</w:t>
      </w:r>
    </w:p>
    <w:p w14:paraId="5044DC67" w14:textId="77777777" w:rsidR="002039B6" w:rsidRPr="005E3B43" w:rsidRDefault="002039B6" w:rsidP="00763BCF">
      <w:pPr>
        <w:pStyle w:val="notetext"/>
      </w:pPr>
      <w:r w:rsidRPr="005E3B43">
        <w:t>Note 1:</w:t>
      </w:r>
      <w:r w:rsidRPr="005E3B43">
        <w:tab/>
        <w:t>See regulation</w:t>
      </w:r>
      <w:r w:rsidR="004E6D00" w:rsidRPr="005E3B43">
        <w:t> </w:t>
      </w:r>
      <w:r w:rsidRPr="005E3B43">
        <w:t xml:space="preserve">43AAA for the meaning of </w:t>
      </w:r>
      <w:r w:rsidRPr="005E3B43">
        <w:rPr>
          <w:b/>
          <w:i/>
        </w:rPr>
        <w:t>turnover</w:t>
      </w:r>
      <w:r w:rsidRPr="005E3B43">
        <w:t xml:space="preserve"> and when turnover is of low value.</w:t>
      </w:r>
    </w:p>
    <w:p w14:paraId="7CC831CF" w14:textId="77777777" w:rsidR="002039B6" w:rsidRPr="005E3B43" w:rsidRDefault="002039B6" w:rsidP="00763BCF">
      <w:pPr>
        <w:pStyle w:val="notetext"/>
      </w:pPr>
      <w:r w:rsidRPr="005E3B43">
        <w:t>Note 2:</w:t>
      </w:r>
      <w:r w:rsidRPr="005E3B43">
        <w:tab/>
        <w:t>A person may commit an offence if the person provides false or misleading information or documents (see sections</w:t>
      </w:r>
      <w:r w:rsidR="004E6D00" w:rsidRPr="005E3B43">
        <w:t> </w:t>
      </w:r>
      <w:r w:rsidRPr="005E3B43">
        <w:t xml:space="preserve">137.1 and 137.2 of the </w:t>
      </w:r>
      <w:r w:rsidRPr="005E3B43">
        <w:rPr>
          <w:i/>
        </w:rPr>
        <w:t>Criminal Code</w:t>
      </w:r>
      <w:r w:rsidRPr="005E3B43">
        <w:t>).</w:t>
      </w:r>
    </w:p>
    <w:p w14:paraId="272BBC99" w14:textId="5BC81E13" w:rsidR="002039B6" w:rsidRPr="005E3B43" w:rsidRDefault="002039B6" w:rsidP="00763BCF">
      <w:pPr>
        <w:pStyle w:val="notetext"/>
      </w:pPr>
      <w:r w:rsidRPr="005E3B43">
        <w:t>Note 3:</w:t>
      </w:r>
      <w:r w:rsidRPr="005E3B43">
        <w:tab/>
        <w:t>If a person is not exempt from liability to pay an annual charge for the 2015</w:t>
      </w:r>
      <w:r w:rsidR="007C3215">
        <w:noBreakHyphen/>
      </w:r>
      <w:r w:rsidRPr="005E3B43">
        <w:t>16 financial year only because the person did not give the Secretary the declaration, or declarations, relating to turnover in accordance with this regulation, the person may be exempt from liability to pay the charge for the 2015</w:t>
      </w:r>
      <w:r w:rsidR="007C3215">
        <w:noBreakHyphen/>
      </w:r>
      <w:r w:rsidRPr="005E3B43">
        <w:t>16 financial year under regulation</w:t>
      </w:r>
      <w:r w:rsidR="004E6D00" w:rsidRPr="005E3B43">
        <w:t> </w:t>
      </w:r>
      <w:r w:rsidRPr="005E3B43">
        <w:t>43AAE.</w:t>
      </w:r>
    </w:p>
    <w:p w14:paraId="53EF10B9" w14:textId="7519EC62" w:rsidR="002039B6" w:rsidRPr="005E3B43" w:rsidRDefault="002039B6" w:rsidP="00763BCF">
      <w:pPr>
        <w:pStyle w:val="notetext"/>
      </w:pPr>
      <w:r w:rsidRPr="005E3B43">
        <w:t>Note 4:</w:t>
      </w:r>
      <w:r w:rsidRPr="005E3B43">
        <w:tab/>
        <w:t>If a person becomes aware during the 2015</w:t>
      </w:r>
      <w:r w:rsidR="007C3215">
        <w:noBreakHyphen/>
      </w:r>
      <w:r w:rsidRPr="005E3B43">
        <w:t>16 financial year that the person’s turnover of the goods for that year will not be of low value, the person may notify the Secretary of that fact under regulation</w:t>
      </w:r>
      <w:r w:rsidR="004E6D00" w:rsidRPr="005E3B43">
        <w:t> </w:t>
      </w:r>
      <w:r w:rsidRPr="005E3B43">
        <w:t>43AAF.</w:t>
      </w:r>
    </w:p>
    <w:p w14:paraId="15616C91" w14:textId="36FEA447" w:rsidR="002039B6" w:rsidRPr="005E3B43" w:rsidRDefault="002039B6" w:rsidP="00763BCF">
      <w:pPr>
        <w:pStyle w:val="notetext"/>
      </w:pPr>
      <w:r w:rsidRPr="005E3B43">
        <w:t>Note 5:</w:t>
      </w:r>
      <w:r w:rsidRPr="005E3B43">
        <w:tab/>
        <w:t>If the Secretary becomes aware that a person’s turnover of the goods, for a financial year for which a declaration was given under this regulation, was not of low value, the Secretary may, under regulation</w:t>
      </w:r>
      <w:r w:rsidR="004E6D00" w:rsidRPr="005E3B43">
        <w:t> </w:t>
      </w:r>
      <w:r w:rsidRPr="005E3B43">
        <w:t>43AAG, notify the person that the person is liable to pay the charge for the 2015</w:t>
      </w:r>
      <w:r w:rsidR="007C3215">
        <w:noBreakHyphen/>
      </w:r>
      <w:r w:rsidRPr="005E3B43">
        <w:t>16 financial year.</w:t>
      </w:r>
    </w:p>
    <w:p w14:paraId="558EA49B" w14:textId="77777777" w:rsidR="002039B6" w:rsidRPr="005E3B43" w:rsidRDefault="002039B6" w:rsidP="00763BCF">
      <w:pPr>
        <w:pStyle w:val="ActHead5"/>
      </w:pPr>
      <w:bookmarkStart w:id="262" w:name="_Toc187135856"/>
      <w:r w:rsidRPr="005E3B43">
        <w:rPr>
          <w:rStyle w:val="CharSectno"/>
        </w:rPr>
        <w:lastRenderedPageBreak/>
        <w:t>43AAD</w:t>
      </w:r>
      <w:r w:rsidRPr="005E3B43">
        <w:t xml:space="preserve">  Exemption from liability to pay certain annual charges—financial years commencing on or after </w:t>
      </w:r>
      <w:r w:rsidR="006B5D8E" w:rsidRPr="005E3B43">
        <w:t>1 July</w:t>
      </w:r>
      <w:r w:rsidRPr="005E3B43">
        <w:t xml:space="preserve"> 2016</w:t>
      </w:r>
      <w:bookmarkEnd w:id="262"/>
    </w:p>
    <w:p w14:paraId="5C4DB569" w14:textId="77777777" w:rsidR="002039B6" w:rsidRPr="005E3B43" w:rsidRDefault="002039B6" w:rsidP="00763BCF">
      <w:pPr>
        <w:pStyle w:val="subsection"/>
        <w:keepNext/>
        <w:keepLines/>
      </w:pPr>
      <w:r w:rsidRPr="005E3B43">
        <w:tab/>
      </w:r>
      <w:r w:rsidRPr="005E3B43">
        <w:tab/>
        <w:t xml:space="preserve">A person in relation to whom therapeutic goods are registered, listed or included in the Register at any time in a financial year commencing on or after </w:t>
      </w:r>
      <w:r w:rsidR="006B5D8E" w:rsidRPr="005E3B43">
        <w:t>1 July</w:t>
      </w:r>
      <w:r w:rsidRPr="005E3B43">
        <w:t xml:space="preserve"> 2016 (the </w:t>
      </w:r>
      <w:r w:rsidRPr="005E3B43">
        <w:rPr>
          <w:b/>
          <w:i/>
        </w:rPr>
        <w:t>current financial year</w:t>
      </w:r>
      <w:r w:rsidRPr="005E3B43">
        <w:t>) is exempt from liability to pay an annual registration charge, annual listing charge or annual charge for inclusion in the Register in respect of the goods for the current financial year if the following requirements are met:</w:t>
      </w:r>
    </w:p>
    <w:p w14:paraId="2C355496" w14:textId="77777777" w:rsidR="002039B6" w:rsidRPr="005E3B43" w:rsidRDefault="002039B6" w:rsidP="00763BCF">
      <w:pPr>
        <w:pStyle w:val="paragraph"/>
      </w:pPr>
      <w:r w:rsidRPr="005E3B43">
        <w:tab/>
        <w:t>(a)</w:t>
      </w:r>
      <w:r w:rsidRPr="005E3B43">
        <w:tab/>
        <w:t>either:</w:t>
      </w:r>
    </w:p>
    <w:p w14:paraId="14FAD75C" w14:textId="77777777" w:rsidR="002039B6" w:rsidRPr="005E3B43" w:rsidRDefault="002039B6" w:rsidP="00763BCF">
      <w:pPr>
        <w:pStyle w:val="paragraphsub"/>
      </w:pPr>
      <w:r w:rsidRPr="005E3B43">
        <w:tab/>
        <w:t>(i)</w:t>
      </w:r>
      <w:r w:rsidRPr="005E3B43">
        <w:tab/>
        <w:t>the person was exempt from liability to pay the charge in respect of the goods for the immediately preceding financial year; or</w:t>
      </w:r>
    </w:p>
    <w:p w14:paraId="7624A83B" w14:textId="77777777" w:rsidR="002039B6" w:rsidRPr="005E3B43" w:rsidRDefault="002039B6" w:rsidP="00763BCF">
      <w:pPr>
        <w:pStyle w:val="paragraphsub"/>
      </w:pPr>
      <w:r w:rsidRPr="005E3B43">
        <w:tab/>
        <w:t>(ii)</w:t>
      </w:r>
      <w:r w:rsidRPr="005E3B43">
        <w:tab/>
        <w:t>the registration, listing or inclusion in the Register of the goods commenced in the current financial year;</w:t>
      </w:r>
    </w:p>
    <w:p w14:paraId="7756C808" w14:textId="77777777" w:rsidR="002039B6" w:rsidRPr="005E3B43" w:rsidRDefault="002039B6" w:rsidP="00763BCF">
      <w:pPr>
        <w:pStyle w:val="paragraph"/>
      </w:pPr>
      <w:r w:rsidRPr="005E3B43">
        <w:tab/>
        <w:t>(b)</w:t>
      </w:r>
      <w:r w:rsidRPr="005E3B43">
        <w:tab/>
        <w:t>the person’s turnover of the goods for the current financial year is of low value;</w:t>
      </w:r>
    </w:p>
    <w:p w14:paraId="5744CAA0" w14:textId="77777777" w:rsidR="002039B6" w:rsidRPr="005E3B43" w:rsidRDefault="002039B6" w:rsidP="00763BCF">
      <w:pPr>
        <w:pStyle w:val="paragraph"/>
      </w:pPr>
      <w:r w:rsidRPr="005E3B43">
        <w:tab/>
        <w:t>(c)</w:t>
      </w:r>
      <w:r w:rsidRPr="005E3B43">
        <w:tab/>
        <w:t>the person gives the Secretary, on or before 22</w:t>
      </w:r>
      <w:r w:rsidR="004E6D00" w:rsidRPr="005E3B43">
        <w:t> </w:t>
      </w:r>
      <w:r w:rsidRPr="005E3B43">
        <w:t>July of the next financial year, a declaration, in a form or a manner approved by the Secretary, stating that the person’s turnover of the goods for the current financial year was of low value.</w:t>
      </w:r>
    </w:p>
    <w:p w14:paraId="051E2F60" w14:textId="77777777" w:rsidR="002039B6" w:rsidRPr="005E3B43" w:rsidRDefault="002039B6" w:rsidP="00763BCF">
      <w:pPr>
        <w:pStyle w:val="notetext"/>
      </w:pPr>
      <w:r w:rsidRPr="005E3B43">
        <w:t>Note 1:</w:t>
      </w:r>
      <w:r w:rsidRPr="005E3B43">
        <w:tab/>
        <w:t>See regulation</w:t>
      </w:r>
      <w:r w:rsidR="004E6D00" w:rsidRPr="005E3B43">
        <w:t> </w:t>
      </w:r>
      <w:r w:rsidRPr="005E3B43">
        <w:t xml:space="preserve">43AAA for the meaning of </w:t>
      </w:r>
      <w:r w:rsidRPr="005E3B43">
        <w:rPr>
          <w:b/>
          <w:i/>
        </w:rPr>
        <w:t>turnover</w:t>
      </w:r>
      <w:r w:rsidRPr="005E3B43">
        <w:t xml:space="preserve"> and when turnover is of low value.</w:t>
      </w:r>
    </w:p>
    <w:p w14:paraId="720C21C8" w14:textId="77777777" w:rsidR="002039B6" w:rsidRPr="005E3B43" w:rsidRDefault="002039B6" w:rsidP="00763BCF">
      <w:pPr>
        <w:pStyle w:val="notetext"/>
      </w:pPr>
      <w:r w:rsidRPr="005E3B43">
        <w:t>Note 2:</w:t>
      </w:r>
      <w:r w:rsidRPr="005E3B43">
        <w:tab/>
        <w:t>A person may commit an offence if the person provides false or misleading information or documents (see sections</w:t>
      </w:r>
      <w:r w:rsidR="004E6D00" w:rsidRPr="005E3B43">
        <w:t> </w:t>
      </w:r>
      <w:r w:rsidRPr="005E3B43">
        <w:t xml:space="preserve">137.1 and 137.2 of the </w:t>
      </w:r>
      <w:r w:rsidRPr="005E3B43">
        <w:rPr>
          <w:i/>
        </w:rPr>
        <w:t>Criminal Code</w:t>
      </w:r>
      <w:r w:rsidRPr="005E3B43">
        <w:t>).</w:t>
      </w:r>
    </w:p>
    <w:p w14:paraId="5678E06E" w14:textId="77777777" w:rsidR="002039B6" w:rsidRPr="005E3B43" w:rsidRDefault="002039B6" w:rsidP="00763BCF">
      <w:pPr>
        <w:pStyle w:val="notetext"/>
      </w:pPr>
      <w:r w:rsidRPr="005E3B43">
        <w:t>Note 3:</w:t>
      </w:r>
      <w:r w:rsidRPr="005E3B43">
        <w:tab/>
        <w:t>If a person is not exempt from liability to pay an annual charge for the current financial year only because the person did not give the Secretary the declaration relating to turnover in accordance with this regulation, the person may be exempt from liability to pay the charge for the current financial year under regulation</w:t>
      </w:r>
      <w:r w:rsidR="004E6D00" w:rsidRPr="005E3B43">
        <w:t> </w:t>
      </w:r>
      <w:r w:rsidRPr="005E3B43">
        <w:t>43AAE.</w:t>
      </w:r>
    </w:p>
    <w:p w14:paraId="7646AFA7" w14:textId="77777777" w:rsidR="002039B6" w:rsidRPr="005E3B43" w:rsidRDefault="002039B6" w:rsidP="00763BCF">
      <w:pPr>
        <w:pStyle w:val="notetext"/>
      </w:pPr>
      <w:r w:rsidRPr="005E3B43">
        <w:t>Note 4:</w:t>
      </w:r>
      <w:r w:rsidRPr="005E3B43">
        <w:tab/>
        <w:t>If a person becomes aware during the current financial year that the person’s turnover of the goods for that year will not be of low value, the person may notify the Secretary of that fact under regulation</w:t>
      </w:r>
      <w:r w:rsidR="004E6D00" w:rsidRPr="005E3B43">
        <w:t> </w:t>
      </w:r>
      <w:r w:rsidRPr="005E3B43">
        <w:t>43AAF.</w:t>
      </w:r>
    </w:p>
    <w:p w14:paraId="10CD95C1" w14:textId="77777777" w:rsidR="002039B6" w:rsidRPr="005E3B43" w:rsidRDefault="002039B6" w:rsidP="00763BCF">
      <w:pPr>
        <w:pStyle w:val="notetext"/>
      </w:pPr>
      <w:r w:rsidRPr="005E3B43">
        <w:t>Note 5:</w:t>
      </w:r>
      <w:r w:rsidRPr="005E3B43">
        <w:tab/>
        <w:t>If the Secretary becomes aware that a person’s turnover of the goods for the current financial year was not of low value, the Secretary may, under regulation</w:t>
      </w:r>
      <w:r w:rsidR="004E6D00" w:rsidRPr="005E3B43">
        <w:t> </w:t>
      </w:r>
      <w:r w:rsidRPr="005E3B43">
        <w:t>43AAG, notify the person that the person is liable to pay the charge for the current financial year.</w:t>
      </w:r>
    </w:p>
    <w:p w14:paraId="39F6B8CC" w14:textId="77777777" w:rsidR="002039B6" w:rsidRPr="005E3B43" w:rsidRDefault="002039B6" w:rsidP="00763BCF">
      <w:pPr>
        <w:pStyle w:val="ActHead5"/>
      </w:pPr>
      <w:bookmarkStart w:id="263" w:name="_Toc187135857"/>
      <w:r w:rsidRPr="005E3B43">
        <w:rPr>
          <w:rStyle w:val="CharSectno"/>
        </w:rPr>
        <w:t>43AAE</w:t>
      </w:r>
      <w:r w:rsidRPr="005E3B43">
        <w:t xml:space="preserve">  Exemption from liability to pay certain annual charges—late notice that turnover was of low value</w:t>
      </w:r>
      <w:bookmarkEnd w:id="263"/>
    </w:p>
    <w:p w14:paraId="491C3FFA" w14:textId="77777777" w:rsidR="002039B6" w:rsidRPr="005E3B43" w:rsidRDefault="002039B6" w:rsidP="00763BCF">
      <w:pPr>
        <w:pStyle w:val="subsection"/>
      </w:pPr>
      <w:r w:rsidRPr="005E3B43">
        <w:tab/>
        <w:t>(1)</w:t>
      </w:r>
      <w:r w:rsidRPr="005E3B43">
        <w:tab/>
        <w:t xml:space="preserve">This regulation applies if a person would have been exempt from liability to pay an annual registration charge, annual listing charge or annual charge for inclusion in the Register in respect of therapeutic goods for a financial year commencing on or after </w:t>
      </w:r>
      <w:r w:rsidR="006B5D8E" w:rsidRPr="005E3B43">
        <w:t>1 July</w:t>
      </w:r>
      <w:r w:rsidRPr="005E3B43">
        <w:t xml:space="preserve"> 2015 (the </w:t>
      </w:r>
      <w:r w:rsidRPr="005E3B43">
        <w:rPr>
          <w:b/>
          <w:i/>
        </w:rPr>
        <w:t>relevant financial year</w:t>
      </w:r>
      <w:r w:rsidRPr="005E3B43">
        <w:t>), except that the person did not give the Secretary a declaration, or declarations, relating to the person’s turnover of the goods in accordance with whichever of regulation</w:t>
      </w:r>
      <w:r w:rsidR="004E6D00" w:rsidRPr="005E3B43">
        <w:t> </w:t>
      </w:r>
      <w:r w:rsidRPr="005E3B43">
        <w:t>43AAC or 43AAD was applicable.</w:t>
      </w:r>
    </w:p>
    <w:p w14:paraId="5BCF39CD" w14:textId="77777777" w:rsidR="002039B6" w:rsidRPr="005E3B43" w:rsidRDefault="002039B6" w:rsidP="00763BCF">
      <w:pPr>
        <w:pStyle w:val="subsection"/>
      </w:pPr>
      <w:r w:rsidRPr="005E3B43">
        <w:tab/>
        <w:t>(2)</w:t>
      </w:r>
      <w:r w:rsidRPr="005E3B43">
        <w:tab/>
        <w:t>The person may, on or before 15</w:t>
      </w:r>
      <w:r w:rsidR="004E6D00" w:rsidRPr="005E3B43">
        <w:t> </w:t>
      </w:r>
      <w:r w:rsidRPr="005E3B43">
        <w:t>September in the next financial year, give the Secretary, in writing:</w:t>
      </w:r>
    </w:p>
    <w:p w14:paraId="37E96176" w14:textId="77777777" w:rsidR="002039B6" w:rsidRPr="005E3B43" w:rsidRDefault="002039B6" w:rsidP="00763BCF">
      <w:pPr>
        <w:pStyle w:val="paragraph"/>
      </w:pPr>
      <w:r w:rsidRPr="005E3B43">
        <w:lastRenderedPageBreak/>
        <w:tab/>
        <w:t>(a)</w:t>
      </w:r>
      <w:r w:rsidRPr="005E3B43">
        <w:tab/>
        <w:t>a notice stating the reasons why the person was not able to give the Secretary the declaration, or declarations, in accordance with whichever of regulation</w:t>
      </w:r>
      <w:r w:rsidR="004E6D00" w:rsidRPr="005E3B43">
        <w:t> </w:t>
      </w:r>
      <w:r w:rsidRPr="005E3B43">
        <w:t>43AAC or 43AAD was applicable for the relevant financial year; and</w:t>
      </w:r>
    </w:p>
    <w:p w14:paraId="0F4CCC9A" w14:textId="77777777" w:rsidR="002039B6" w:rsidRPr="005E3B43" w:rsidRDefault="002039B6" w:rsidP="00763BCF">
      <w:pPr>
        <w:pStyle w:val="paragraph"/>
      </w:pPr>
      <w:r w:rsidRPr="005E3B43">
        <w:tab/>
        <w:t>(b)</w:t>
      </w:r>
      <w:r w:rsidRPr="005E3B43">
        <w:tab/>
        <w:t>a declaration stating that the person’s turnover of the goods for the relevant financial year was of low value; and</w:t>
      </w:r>
    </w:p>
    <w:p w14:paraId="1051F688" w14:textId="77777777" w:rsidR="002039B6" w:rsidRPr="005E3B43" w:rsidRDefault="002039B6" w:rsidP="00763BCF">
      <w:pPr>
        <w:pStyle w:val="paragraph"/>
      </w:pPr>
      <w:r w:rsidRPr="005E3B43">
        <w:tab/>
        <w:t>(c)</w:t>
      </w:r>
      <w:r w:rsidRPr="005E3B43">
        <w:tab/>
        <w:t xml:space="preserve">if the relevant financial year is the year commencing on </w:t>
      </w:r>
      <w:r w:rsidR="006B5D8E" w:rsidRPr="005E3B43">
        <w:t>1 July</w:t>
      </w:r>
      <w:r w:rsidRPr="005E3B43">
        <w:t xml:space="preserve"> 2015—a declaration in accordance with whichever of paragraph</w:t>
      </w:r>
      <w:r w:rsidR="004E6D00" w:rsidRPr="005E3B43">
        <w:t> </w:t>
      </w:r>
      <w:r w:rsidRPr="005E3B43">
        <w:t>43AAC(3)(d), (4)(d)</w:t>
      </w:r>
      <w:r w:rsidR="005246A2" w:rsidRPr="005E3B43">
        <w:t>, (5)(d), (5A)(e) or (5B)(e)</w:t>
      </w:r>
      <w:r w:rsidRPr="005E3B43">
        <w:t xml:space="preserve"> was applicable.</w:t>
      </w:r>
    </w:p>
    <w:p w14:paraId="336B76EE" w14:textId="77777777" w:rsidR="002039B6" w:rsidRPr="005E3B43" w:rsidRDefault="002039B6" w:rsidP="00763BCF">
      <w:pPr>
        <w:pStyle w:val="notetext"/>
      </w:pPr>
      <w:r w:rsidRPr="005E3B43">
        <w:t>Note:</w:t>
      </w:r>
      <w:r w:rsidRPr="005E3B43">
        <w:tab/>
        <w:t>A person may commit an offence if the person provides false or misleading information or documents (see sections</w:t>
      </w:r>
      <w:r w:rsidR="004E6D00" w:rsidRPr="005E3B43">
        <w:t> </w:t>
      </w:r>
      <w:r w:rsidRPr="005E3B43">
        <w:t xml:space="preserve">137.1 and 137.2 of the </w:t>
      </w:r>
      <w:r w:rsidRPr="005E3B43">
        <w:rPr>
          <w:i/>
        </w:rPr>
        <w:t>Criminal Code</w:t>
      </w:r>
      <w:r w:rsidRPr="005E3B43">
        <w:t>).</w:t>
      </w:r>
    </w:p>
    <w:p w14:paraId="3CBE52CA" w14:textId="77777777" w:rsidR="002039B6" w:rsidRPr="005E3B43" w:rsidRDefault="002039B6" w:rsidP="00763BCF">
      <w:pPr>
        <w:pStyle w:val="subsection"/>
      </w:pPr>
      <w:r w:rsidRPr="005E3B43">
        <w:tab/>
        <w:t>(3)</w:t>
      </w:r>
      <w:r w:rsidRPr="005E3B43">
        <w:tab/>
        <w:t>The documents given under subregulation (2) must be accompanied by the fee payable.</w:t>
      </w:r>
    </w:p>
    <w:p w14:paraId="6C7AF06A" w14:textId="77777777" w:rsidR="002039B6" w:rsidRPr="005E3B43" w:rsidRDefault="002039B6" w:rsidP="00763BCF">
      <w:pPr>
        <w:pStyle w:val="subsection"/>
      </w:pPr>
      <w:r w:rsidRPr="005E3B43">
        <w:tab/>
        <w:t>(4)</w:t>
      </w:r>
      <w:r w:rsidRPr="005E3B43">
        <w:tab/>
        <w:t>The person is exempt from liability to pay the charge for the relevant financial year if the person gives the Secretary, on or before 15</w:t>
      </w:r>
      <w:r w:rsidR="004E6D00" w:rsidRPr="005E3B43">
        <w:t> </w:t>
      </w:r>
      <w:r w:rsidRPr="005E3B43">
        <w:t>September in the next financial year:</w:t>
      </w:r>
    </w:p>
    <w:p w14:paraId="4365F4F7" w14:textId="77777777" w:rsidR="002039B6" w:rsidRPr="005E3B43" w:rsidRDefault="002039B6" w:rsidP="00763BCF">
      <w:pPr>
        <w:pStyle w:val="paragraph"/>
      </w:pPr>
      <w:r w:rsidRPr="005E3B43">
        <w:tab/>
        <w:t>(a)</w:t>
      </w:r>
      <w:r w:rsidRPr="005E3B43">
        <w:tab/>
        <w:t xml:space="preserve">the notice referred to in </w:t>
      </w:r>
      <w:r w:rsidR="004E6D00" w:rsidRPr="005E3B43">
        <w:t>paragraph (</w:t>
      </w:r>
      <w:r w:rsidRPr="005E3B43">
        <w:t>2)(a); and</w:t>
      </w:r>
    </w:p>
    <w:p w14:paraId="39737548" w14:textId="77777777" w:rsidR="002039B6" w:rsidRPr="005E3B43" w:rsidRDefault="002039B6" w:rsidP="00763BCF">
      <w:pPr>
        <w:pStyle w:val="paragraph"/>
      </w:pPr>
      <w:r w:rsidRPr="005E3B43">
        <w:tab/>
        <w:t>(b)</w:t>
      </w:r>
      <w:r w:rsidRPr="005E3B43">
        <w:tab/>
        <w:t xml:space="preserve">the declaration referred to in </w:t>
      </w:r>
      <w:r w:rsidR="004E6D00" w:rsidRPr="005E3B43">
        <w:t>paragraph (</w:t>
      </w:r>
      <w:r w:rsidRPr="005E3B43">
        <w:t>2)(b); and</w:t>
      </w:r>
    </w:p>
    <w:p w14:paraId="1D6724EC" w14:textId="77777777" w:rsidR="002039B6" w:rsidRPr="005E3B43" w:rsidRDefault="002039B6" w:rsidP="00763BCF">
      <w:pPr>
        <w:pStyle w:val="paragraph"/>
      </w:pPr>
      <w:r w:rsidRPr="005E3B43">
        <w:tab/>
        <w:t>(c)</w:t>
      </w:r>
      <w:r w:rsidRPr="005E3B43">
        <w:tab/>
        <w:t xml:space="preserve">if the relevant financial year is the year commencing on </w:t>
      </w:r>
      <w:r w:rsidR="006B5D8E" w:rsidRPr="005E3B43">
        <w:t>1 July</w:t>
      </w:r>
      <w:r w:rsidRPr="005E3B43">
        <w:t xml:space="preserve"> 2015—the declaration referred to in </w:t>
      </w:r>
      <w:r w:rsidR="004E6D00" w:rsidRPr="005E3B43">
        <w:t>paragraph (</w:t>
      </w:r>
      <w:r w:rsidRPr="005E3B43">
        <w:t>2)(c); and</w:t>
      </w:r>
    </w:p>
    <w:p w14:paraId="19003C71" w14:textId="77777777" w:rsidR="002039B6" w:rsidRPr="005E3B43" w:rsidRDefault="002039B6" w:rsidP="00763BCF">
      <w:pPr>
        <w:pStyle w:val="paragraph"/>
      </w:pPr>
      <w:r w:rsidRPr="005E3B43">
        <w:tab/>
        <w:t>(d)</w:t>
      </w:r>
      <w:r w:rsidRPr="005E3B43">
        <w:tab/>
        <w:t>the fee referred to in subregulation (3).</w:t>
      </w:r>
    </w:p>
    <w:p w14:paraId="391B7233" w14:textId="77777777" w:rsidR="002039B6" w:rsidRPr="005E3B43" w:rsidRDefault="002039B6" w:rsidP="00763BCF">
      <w:pPr>
        <w:pStyle w:val="subsection"/>
      </w:pPr>
      <w:r w:rsidRPr="005E3B43">
        <w:tab/>
        <w:t>(5)</w:t>
      </w:r>
      <w:r w:rsidRPr="005E3B43">
        <w:tab/>
        <w:t>If the person is exempt from liability to pay the charge for the relevant financial year under subregulation (4), the Secretary must give the person a written notice stating that the person is exempt from liability to pay the charge for the relevant financial year.</w:t>
      </w:r>
    </w:p>
    <w:p w14:paraId="6CF8DC60" w14:textId="77777777" w:rsidR="002039B6" w:rsidRPr="005E3B43" w:rsidRDefault="002039B6" w:rsidP="00763BCF">
      <w:pPr>
        <w:pStyle w:val="subsection"/>
      </w:pPr>
      <w:r w:rsidRPr="005E3B43">
        <w:tab/>
        <w:t>(6)</w:t>
      </w:r>
      <w:r w:rsidRPr="005E3B43">
        <w:tab/>
        <w:t>If the person gives the Secretary documents other than in accordance with subregulation (2), or the documents were not accompanied by the fee referred to in subregulation (3), the Secretary must give the person a written notice that:</w:t>
      </w:r>
    </w:p>
    <w:p w14:paraId="222B4484" w14:textId="77777777" w:rsidR="002039B6" w:rsidRPr="005E3B43" w:rsidRDefault="002039B6" w:rsidP="00763BCF">
      <w:pPr>
        <w:pStyle w:val="paragraph"/>
      </w:pPr>
      <w:r w:rsidRPr="005E3B43">
        <w:tab/>
        <w:t>(a)</w:t>
      </w:r>
      <w:r w:rsidRPr="005E3B43">
        <w:tab/>
        <w:t>states that the person is liable to pay the charge for the relevant financial year; and</w:t>
      </w:r>
    </w:p>
    <w:p w14:paraId="70F03652" w14:textId="77777777" w:rsidR="002039B6" w:rsidRPr="005E3B43" w:rsidRDefault="002039B6" w:rsidP="00763BCF">
      <w:pPr>
        <w:pStyle w:val="paragraph"/>
      </w:pPr>
      <w:r w:rsidRPr="005E3B43">
        <w:tab/>
        <w:t>(b)</w:t>
      </w:r>
      <w:r w:rsidRPr="005E3B43">
        <w:tab/>
        <w:t>states the reason why the person is not exempt from liability to pay the charge for the relevant financial year, being whichever of the following is applicable in the circumstances:</w:t>
      </w:r>
    </w:p>
    <w:p w14:paraId="4A60D4BC" w14:textId="77777777" w:rsidR="002039B6" w:rsidRPr="005E3B43" w:rsidRDefault="002039B6" w:rsidP="00763BCF">
      <w:pPr>
        <w:pStyle w:val="paragraphsub"/>
      </w:pPr>
      <w:r w:rsidRPr="005E3B43">
        <w:tab/>
        <w:t>(i)</w:t>
      </w:r>
      <w:r w:rsidRPr="005E3B43">
        <w:tab/>
        <w:t>the person did not give the documents to the Secretary by the required date;</w:t>
      </w:r>
    </w:p>
    <w:p w14:paraId="7FCE0E54" w14:textId="77777777" w:rsidR="002039B6" w:rsidRPr="005E3B43" w:rsidRDefault="002039B6" w:rsidP="00763BCF">
      <w:pPr>
        <w:pStyle w:val="paragraphsub"/>
      </w:pPr>
      <w:r w:rsidRPr="005E3B43">
        <w:tab/>
        <w:t>(ii)</w:t>
      </w:r>
      <w:r w:rsidRPr="005E3B43">
        <w:tab/>
        <w:t xml:space="preserve">one or more of the documents given was not in accordance with </w:t>
      </w:r>
      <w:r w:rsidR="004E6D00" w:rsidRPr="005E3B43">
        <w:t>paragraph (</w:t>
      </w:r>
      <w:r w:rsidRPr="005E3B43">
        <w:t xml:space="preserve">2)(a) or (b) or, if applicable, </w:t>
      </w:r>
      <w:r w:rsidR="004E6D00" w:rsidRPr="005E3B43">
        <w:t>paragraph (</w:t>
      </w:r>
      <w:r w:rsidRPr="005E3B43">
        <w:t>2)(c);</w:t>
      </w:r>
    </w:p>
    <w:p w14:paraId="1F08AB26" w14:textId="77777777" w:rsidR="002039B6" w:rsidRPr="005E3B43" w:rsidRDefault="002039B6" w:rsidP="00763BCF">
      <w:pPr>
        <w:pStyle w:val="paragraphsub"/>
      </w:pPr>
      <w:r w:rsidRPr="005E3B43">
        <w:tab/>
        <w:t>(iii)</w:t>
      </w:r>
      <w:r w:rsidRPr="005E3B43">
        <w:tab/>
        <w:t>the documents were not accompanied by the correct fee; and</w:t>
      </w:r>
    </w:p>
    <w:p w14:paraId="2A9A8362" w14:textId="77777777" w:rsidR="002039B6" w:rsidRPr="005E3B43" w:rsidRDefault="002039B6" w:rsidP="00763BCF">
      <w:pPr>
        <w:pStyle w:val="paragraph"/>
      </w:pPr>
      <w:r w:rsidRPr="005E3B43">
        <w:tab/>
        <w:t>(c)</w:t>
      </w:r>
      <w:r w:rsidRPr="005E3B43">
        <w:tab/>
        <w:t>specifies the date on which the charge for the relevant financial year becomes payable.</w:t>
      </w:r>
    </w:p>
    <w:p w14:paraId="04AF1162" w14:textId="77777777" w:rsidR="002039B6" w:rsidRPr="005E3B43" w:rsidRDefault="002039B6" w:rsidP="00763BCF">
      <w:pPr>
        <w:pStyle w:val="ActHead5"/>
      </w:pPr>
      <w:bookmarkStart w:id="264" w:name="_Toc187135858"/>
      <w:r w:rsidRPr="005E3B43">
        <w:rPr>
          <w:rStyle w:val="CharSectno"/>
        </w:rPr>
        <w:lastRenderedPageBreak/>
        <w:t>43AAF</w:t>
      </w:r>
      <w:r w:rsidRPr="005E3B43">
        <w:t xml:space="preserve">  Person may notify Secretary that turnover of goods for financial year will not be of low value</w:t>
      </w:r>
      <w:bookmarkEnd w:id="264"/>
    </w:p>
    <w:p w14:paraId="4B3A9AB7" w14:textId="77777777" w:rsidR="002039B6" w:rsidRPr="005E3B43" w:rsidRDefault="002039B6" w:rsidP="00763BCF">
      <w:pPr>
        <w:pStyle w:val="subsection"/>
        <w:keepNext/>
        <w:keepLines/>
      </w:pPr>
      <w:r w:rsidRPr="005E3B43">
        <w:tab/>
        <w:t>(1)</w:t>
      </w:r>
      <w:r w:rsidRPr="005E3B43">
        <w:tab/>
        <w:t>This regulation applies in relation to the following:</w:t>
      </w:r>
    </w:p>
    <w:p w14:paraId="224E4E93" w14:textId="77777777" w:rsidR="002039B6" w:rsidRPr="005E3B43" w:rsidRDefault="002039B6" w:rsidP="00763BCF">
      <w:pPr>
        <w:pStyle w:val="paragraph"/>
      </w:pPr>
      <w:r w:rsidRPr="005E3B43">
        <w:tab/>
        <w:t>(a)</w:t>
      </w:r>
      <w:r w:rsidRPr="005E3B43">
        <w:tab/>
        <w:t xml:space="preserve">therapeutic goods that are registered, listed or included in the Register at any time in a financial year commencing on or after </w:t>
      </w:r>
      <w:r w:rsidR="006B5D8E" w:rsidRPr="005E3B43">
        <w:t>1 July</w:t>
      </w:r>
      <w:r w:rsidRPr="005E3B43">
        <w:t xml:space="preserve"> 2015 (the </w:t>
      </w:r>
      <w:r w:rsidRPr="005E3B43">
        <w:rPr>
          <w:b/>
          <w:i/>
        </w:rPr>
        <w:t>current financial year</w:t>
      </w:r>
      <w:r w:rsidRPr="005E3B43">
        <w:t>) if the registration, listing or inclusion commenced in the current financial year;</w:t>
      </w:r>
    </w:p>
    <w:p w14:paraId="31292D0D" w14:textId="77777777" w:rsidR="002039B6" w:rsidRPr="005E3B43" w:rsidRDefault="002039B6" w:rsidP="00763BCF">
      <w:pPr>
        <w:pStyle w:val="paragraph"/>
      </w:pPr>
      <w:r w:rsidRPr="005E3B43">
        <w:tab/>
        <w:t>(b)</w:t>
      </w:r>
      <w:r w:rsidRPr="005E3B43">
        <w:tab/>
        <w:t xml:space="preserve">therapeutic goods (other than a biological) that are registered, listed or included in the Register at any time in a financial year commencing on or after </w:t>
      </w:r>
      <w:r w:rsidR="006B5D8E" w:rsidRPr="005E3B43">
        <w:t>1 July</w:t>
      </w:r>
      <w:r w:rsidRPr="005E3B43">
        <w:t xml:space="preserve"> 2015 (the </w:t>
      </w:r>
      <w:r w:rsidRPr="005E3B43">
        <w:rPr>
          <w:b/>
          <w:i/>
        </w:rPr>
        <w:t>current financial year</w:t>
      </w:r>
      <w:r w:rsidRPr="005E3B43">
        <w:t>) if the person in relation to whom the goods are registered, listed or included in the Register was exempt from liability to pay an annual registration charge, annual listing charge or annual charge for inclusion in the Register in respect of the goods for the immediately preceding financial year;</w:t>
      </w:r>
    </w:p>
    <w:p w14:paraId="13B228C9" w14:textId="77777777" w:rsidR="002039B6" w:rsidRPr="005E3B43" w:rsidRDefault="002039B6" w:rsidP="00763BCF">
      <w:pPr>
        <w:pStyle w:val="paragraph"/>
      </w:pPr>
      <w:r w:rsidRPr="005E3B43">
        <w:tab/>
        <w:t>(c)</w:t>
      </w:r>
      <w:r w:rsidRPr="005E3B43">
        <w:tab/>
        <w:t xml:space="preserve">a biological that is included in the Register at any time in a financial year commencing on or after </w:t>
      </w:r>
      <w:r w:rsidR="006B5D8E" w:rsidRPr="005E3B43">
        <w:t>1 July</w:t>
      </w:r>
      <w:r w:rsidRPr="005E3B43">
        <w:t xml:space="preserve"> 2016 (the </w:t>
      </w:r>
      <w:r w:rsidRPr="005E3B43">
        <w:rPr>
          <w:b/>
          <w:i/>
        </w:rPr>
        <w:t>current financial year</w:t>
      </w:r>
      <w:r w:rsidRPr="005E3B43">
        <w:t>) if the person in relation to whom the biological is included in the Register was exempt from liability to pay an annual charge for inclusion of the biological in the Register for the immediately preceding financial year.</w:t>
      </w:r>
    </w:p>
    <w:p w14:paraId="34D3716D" w14:textId="77777777" w:rsidR="002039B6" w:rsidRPr="005E3B43" w:rsidRDefault="002039B6" w:rsidP="00763BCF">
      <w:pPr>
        <w:pStyle w:val="subsection"/>
      </w:pPr>
      <w:r w:rsidRPr="005E3B43">
        <w:tab/>
        <w:t>(2)</w:t>
      </w:r>
      <w:r w:rsidRPr="005E3B43">
        <w:tab/>
        <w:t>If the person in relation to whom the goods are registered, listed or included in the Register becomes aware during the current financial year that the person’s turnover of the goods for that year will not be of low value, the person may notify the Secretary, in a form or a manner approved by the Secretary, of that fact.</w:t>
      </w:r>
    </w:p>
    <w:p w14:paraId="2EB3243C" w14:textId="77777777" w:rsidR="002039B6" w:rsidRPr="005E3B43" w:rsidRDefault="002039B6" w:rsidP="00763BCF">
      <w:pPr>
        <w:pStyle w:val="subsection"/>
      </w:pPr>
      <w:r w:rsidRPr="005E3B43">
        <w:tab/>
        <w:t>(3)</w:t>
      </w:r>
      <w:r w:rsidRPr="005E3B43">
        <w:tab/>
        <w:t>As soon as practicable after receiving a notification from a person under subregulation (2), the Secretary must give the person a written notice that specifies the date on which the charge for the current financial year becomes payable.</w:t>
      </w:r>
    </w:p>
    <w:p w14:paraId="2981F022" w14:textId="77777777" w:rsidR="002039B6" w:rsidRPr="005E3B43" w:rsidRDefault="002039B6" w:rsidP="00763BCF">
      <w:pPr>
        <w:pStyle w:val="notetext"/>
      </w:pPr>
      <w:r w:rsidRPr="005E3B43">
        <w:t>Note:</w:t>
      </w:r>
      <w:r w:rsidRPr="005E3B43">
        <w:tab/>
        <w:t>If the registration, listing or inclusion in the Register of the goods commenced in the current financial year, the date must be the last day of the month commencing after the month in which the notification under subregulation (2) was given (see paragraph</w:t>
      </w:r>
      <w:r w:rsidR="004E6D00" w:rsidRPr="005E3B43">
        <w:t> </w:t>
      </w:r>
      <w:r w:rsidRPr="005E3B43">
        <w:t>43AAB(1)(a)).</w:t>
      </w:r>
    </w:p>
    <w:p w14:paraId="78E61620" w14:textId="77777777" w:rsidR="002039B6" w:rsidRPr="005E3B43" w:rsidRDefault="002039B6" w:rsidP="00763BCF">
      <w:pPr>
        <w:pStyle w:val="ActHead5"/>
      </w:pPr>
      <w:bookmarkStart w:id="265" w:name="_Toc187135859"/>
      <w:r w:rsidRPr="005E3B43">
        <w:rPr>
          <w:rStyle w:val="CharSectno"/>
        </w:rPr>
        <w:t>43AAG</w:t>
      </w:r>
      <w:r w:rsidRPr="005E3B43">
        <w:t xml:space="preserve">  Secretary may notify person that annual charge is payable if turnover is not of low value</w:t>
      </w:r>
      <w:bookmarkEnd w:id="265"/>
    </w:p>
    <w:p w14:paraId="2DEBB84C" w14:textId="748F6FF0" w:rsidR="002039B6" w:rsidRPr="005E3B43" w:rsidRDefault="002039B6" w:rsidP="00763BCF">
      <w:pPr>
        <w:pStyle w:val="SubsectionHead"/>
      </w:pPr>
      <w:r w:rsidRPr="005E3B43">
        <w:t>Goods entered in Register at any time in 2015</w:t>
      </w:r>
      <w:r w:rsidR="007C3215">
        <w:noBreakHyphen/>
      </w:r>
      <w:r w:rsidRPr="005E3B43">
        <w:t>16 financial year</w:t>
      </w:r>
    </w:p>
    <w:p w14:paraId="4709FA06" w14:textId="77777777" w:rsidR="002039B6" w:rsidRPr="005E3B43" w:rsidRDefault="002039B6" w:rsidP="00763BCF">
      <w:pPr>
        <w:pStyle w:val="subsection"/>
      </w:pPr>
      <w:r w:rsidRPr="005E3B43">
        <w:tab/>
        <w:t>(1)</w:t>
      </w:r>
      <w:r w:rsidRPr="005E3B43">
        <w:tab/>
        <w:t>If:</w:t>
      </w:r>
    </w:p>
    <w:p w14:paraId="64C99DC8" w14:textId="7C686154" w:rsidR="002039B6" w:rsidRPr="005E3B43" w:rsidRDefault="002039B6" w:rsidP="00763BCF">
      <w:pPr>
        <w:pStyle w:val="paragraph"/>
      </w:pPr>
      <w:r w:rsidRPr="005E3B43">
        <w:tab/>
        <w:t>(a)</w:t>
      </w:r>
      <w:r w:rsidRPr="005E3B43">
        <w:tab/>
        <w:t xml:space="preserve">therapeutic goods are registered, listed or included in the Register at any time in the financial year commencing on </w:t>
      </w:r>
      <w:r w:rsidR="006B5D8E" w:rsidRPr="005E3B43">
        <w:t>1 July</w:t>
      </w:r>
      <w:r w:rsidRPr="005E3B43">
        <w:t xml:space="preserve"> 2015 (the </w:t>
      </w:r>
      <w:r w:rsidRPr="005E3B43">
        <w:rPr>
          <w:b/>
          <w:i/>
        </w:rPr>
        <w:t>2015</w:t>
      </w:r>
      <w:r w:rsidR="007C3215">
        <w:rPr>
          <w:b/>
          <w:i/>
        </w:rPr>
        <w:noBreakHyphen/>
      </w:r>
      <w:r w:rsidRPr="005E3B43">
        <w:rPr>
          <w:b/>
          <w:i/>
        </w:rPr>
        <w:t>16 financial year</w:t>
      </w:r>
      <w:r w:rsidRPr="005E3B43">
        <w:t>); and</w:t>
      </w:r>
    </w:p>
    <w:p w14:paraId="25B6E730" w14:textId="5BD8F08F" w:rsidR="002039B6" w:rsidRPr="005E3B43" w:rsidRDefault="002039B6" w:rsidP="00763BCF">
      <w:pPr>
        <w:pStyle w:val="paragraph"/>
      </w:pPr>
      <w:r w:rsidRPr="005E3B43">
        <w:tab/>
        <w:t>(b)</w:t>
      </w:r>
      <w:r w:rsidRPr="005E3B43">
        <w:tab/>
        <w:t>the person in relation to whom the goods are registered, listed or included in the Register has given the Secretary, in accordance with regulation</w:t>
      </w:r>
      <w:r w:rsidR="004E6D00" w:rsidRPr="005E3B43">
        <w:t> </w:t>
      </w:r>
      <w:r w:rsidRPr="005E3B43">
        <w:t xml:space="preserve">43AAC or 43AAE, a declaration stating that the person’s </w:t>
      </w:r>
      <w:r w:rsidRPr="005E3B43">
        <w:lastRenderedPageBreak/>
        <w:t>turnover of the goods for the 2015</w:t>
      </w:r>
      <w:r w:rsidR="007C3215">
        <w:noBreakHyphen/>
      </w:r>
      <w:r w:rsidRPr="005E3B43">
        <w:t>16 financial year, or for a previous financial year, was of low value; and</w:t>
      </w:r>
    </w:p>
    <w:p w14:paraId="74CFD4A1" w14:textId="64B2E649" w:rsidR="002039B6" w:rsidRPr="005E3B43" w:rsidRDefault="002039B6" w:rsidP="00763BCF">
      <w:pPr>
        <w:pStyle w:val="paragraph"/>
      </w:pPr>
      <w:r w:rsidRPr="005E3B43">
        <w:tab/>
        <w:t>(c)</w:t>
      </w:r>
      <w:r w:rsidRPr="005E3B43">
        <w:tab/>
        <w:t>the person has not paid an annual registration charge, annual listing charge or annual charge for inclusion in the Register in respect of the goods for the 2015</w:t>
      </w:r>
      <w:r w:rsidR="007C3215">
        <w:noBreakHyphen/>
      </w:r>
      <w:r w:rsidRPr="005E3B43">
        <w:t>16 financial year; and</w:t>
      </w:r>
    </w:p>
    <w:p w14:paraId="641D2D88" w14:textId="3A38E4FF" w:rsidR="002039B6" w:rsidRPr="005E3B43" w:rsidRDefault="002039B6" w:rsidP="00763BCF">
      <w:pPr>
        <w:pStyle w:val="paragraph"/>
      </w:pPr>
      <w:r w:rsidRPr="005E3B43">
        <w:tab/>
        <w:t>(d)</w:t>
      </w:r>
      <w:r w:rsidRPr="005E3B43">
        <w:tab/>
        <w:t>the Secretary becomes aware that the person’s turnover of the goods for the 2015</w:t>
      </w:r>
      <w:r w:rsidR="007C3215">
        <w:noBreakHyphen/>
      </w:r>
      <w:r w:rsidRPr="005E3B43">
        <w:t>16 financial year, or for a previous financial year for which a declaration was given, was not of low value;</w:t>
      </w:r>
    </w:p>
    <w:p w14:paraId="4E689CC9" w14:textId="77777777" w:rsidR="002039B6" w:rsidRPr="005E3B43" w:rsidRDefault="002039B6" w:rsidP="00763BCF">
      <w:pPr>
        <w:pStyle w:val="subsection2"/>
      </w:pPr>
      <w:r w:rsidRPr="005E3B43">
        <w:t>the Secretary must give the person a written notice in accordance with subregulation (2).</w:t>
      </w:r>
    </w:p>
    <w:p w14:paraId="1E53B7D1" w14:textId="77777777" w:rsidR="002039B6" w:rsidRPr="005E3B43" w:rsidRDefault="002039B6" w:rsidP="00763BCF">
      <w:pPr>
        <w:pStyle w:val="subsection"/>
      </w:pPr>
      <w:r w:rsidRPr="005E3B43">
        <w:tab/>
        <w:t>(2)</w:t>
      </w:r>
      <w:r w:rsidRPr="005E3B43">
        <w:tab/>
        <w:t>A notice given to a person under subregulation (1) must:</w:t>
      </w:r>
    </w:p>
    <w:p w14:paraId="0CBF9CE1" w14:textId="77777777" w:rsidR="002039B6" w:rsidRPr="005E3B43" w:rsidRDefault="002039B6" w:rsidP="00763BCF">
      <w:pPr>
        <w:pStyle w:val="paragraph"/>
      </w:pPr>
      <w:r w:rsidRPr="005E3B43">
        <w:tab/>
        <w:t>(a)</w:t>
      </w:r>
      <w:r w:rsidRPr="005E3B43">
        <w:tab/>
        <w:t>state that the person was not exempt from liability to pay an annual registration charge, annual listing charge or annual charge for inclusion in the Register in respect of the goods:</w:t>
      </w:r>
    </w:p>
    <w:p w14:paraId="2DF20FF3" w14:textId="65A5FB7F" w:rsidR="002039B6" w:rsidRPr="005E3B43" w:rsidRDefault="002039B6" w:rsidP="00763BCF">
      <w:pPr>
        <w:pStyle w:val="paragraphsub"/>
      </w:pPr>
      <w:r w:rsidRPr="005E3B43">
        <w:tab/>
        <w:t>(i)</w:t>
      </w:r>
      <w:r w:rsidRPr="005E3B43">
        <w:tab/>
        <w:t>for the 2015</w:t>
      </w:r>
      <w:r w:rsidR="007C3215">
        <w:noBreakHyphen/>
      </w:r>
      <w:r w:rsidRPr="005E3B43">
        <w:t>16 financial year; or</w:t>
      </w:r>
    </w:p>
    <w:p w14:paraId="3A5A9733" w14:textId="77777777" w:rsidR="002039B6" w:rsidRPr="005E3B43" w:rsidRDefault="002039B6" w:rsidP="00763BCF">
      <w:pPr>
        <w:pStyle w:val="paragraphsub"/>
      </w:pPr>
      <w:r w:rsidRPr="005E3B43">
        <w:tab/>
        <w:t>(ii)</w:t>
      </w:r>
      <w:r w:rsidRPr="005E3B43">
        <w:tab/>
        <w:t>for any later financial year for which the person did not pay an annual registration charge, annual listing charge or annual charge for inclusion in the Register in respect of the goods (other than because the charge was waived under regulation</w:t>
      </w:r>
      <w:r w:rsidR="004E6D00" w:rsidRPr="005E3B43">
        <w:t> </w:t>
      </w:r>
      <w:r w:rsidRPr="005E3B43">
        <w:t>43AAH); and</w:t>
      </w:r>
    </w:p>
    <w:p w14:paraId="406742AA" w14:textId="77777777" w:rsidR="002039B6" w:rsidRPr="005E3B43" w:rsidRDefault="002039B6" w:rsidP="00763BCF">
      <w:pPr>
        <w:pStyle w:val="paragraph"/>
      </w:pPr>
      <w:r w:rsidRPr="005E3B43">
        <w:tab/>
        <w:t>(b)</w:t>
      </w:r>
      <w:r w:rsidRPr="005E3B43">
        <w:tab/>
        <w:t>specify the date on which the relevant charge, or charges, become payable.</w:t>
      </w:r>
    </w:p>
    <w:p w14:paraId="54754401" w14:textId="77777777" w:rsidR="002039B6" w:rsidRPr="005E3B43" w:rsidRDefault="002039B6" w:rsidP="00763BCF">
      <w:pPr>
        <w:pStyle w:val="SubsectionHead"/>
      </w:pPr>
      <w:r w:rsidRPr="005E3B43">
        <w:t xml:space="preserve">Goods entered in Register at any time in financial year commencing on or after </w:t>
      </w:r>
      <w:r w:rsidR="006B5D8E" w:rsidRPr="005E3B43">
        <w:t>1 July</w:t>
      </w:r>
      <w:r w:rsidRPr="005E3B43">
        <w:t xml:space="preserve"> 2016</w:t>
      </w:r>
    </w:p>
    <w:p w14:paraId="31BEC8CF" w14:textId="77777777" w:rsidR="002039B6" w:rsidRPr="005E3B43" w:rsidRDefault="002039B6" w:rsidP="00763BCF">
      <w:pPr>
        <w:pStyle w:val="subsection"/>
      </w:pPr>
      <w:r w:rsidRPr="005E3B43">
        <w:tab/>
        <w:t>(3)</w:t>
      </w:r>
      <w:r w:rsidRPr="005E3B43">
        <w:tab/>
        <w:t>If:</w:t>
      </w:r>
    </w:p>
    <w:p w14:paraId="7F2A7CFF" w14:textId="77777777" w:rsidR="002039B6" w:rsidRPr="005E3B43" w:rsidRDefault="002039B6" w:rsidP="00763BCF">
      <w:pPr>
        <w:pStyle w:val="paragraph"/>
      </w:pPr>
      <w:r w:rsidRPr="005E3B43">
        <w:tab/>
        <w:t>(a)</w:t>
      </w:r>
      <w:r w:rsidRPr="005E3B43">
        <w:tab/>
        <w:t xml:space="preserve">therapeutic goods are registered, listed or included in the Register at any time in a financial year commencing on or after </w:t>
      </w:r>
      <w:r w:rsidR="006B5D8E" w:rsidRPr="005E3B43">
        <w:t>1 July</w:t>
      </w:r>
      <w:r w:rsidRPr="005E3B43">
        <w:t xml:space="preserve"> 2016 (the </w:t>
      </w:r>
      <w:r w:rsidRPr="005E3B43">
        <w:rPr>
          <w:b/>
          <w:i/>
        </w:rPr>
        <w:t>relevant financial year</w:t>
      </w:r>
      <w:r w:rsidRPr="005E3B43">
        <w:t>); and</w:t>
      </w:r>
    </w:p>
    <w:p w14:paraId="1C0A2DA3" w14:textId="77777777" w:rsidR="002039B6" w:rsidRPr="005E3B43" w:rsidRDefault="002039B6" w:rsidP="00763BCF">
      <w:pPr>
        <w:pStyle w:val="paragraph"/>
      </w:pPr>
      <w:r w:rsidRPr="005E3B43">
        <w:tab/>
        <w:t>(b)</w:t>
      </w:r>
      <w:r w:rsidRPr="005E3B43">
        <w:tab/>
        <w:t>the person in relation to whom the goods are registered, listed or included in the Register has given the Secretary, in accordance with regulation</w:t>
      </w:r>
      <w:r w:rsidR="004E6D00" w:rsidRPr="005E3B43">
        <w:t> </w:t>
      </w:r>
      <w:r w:rsidRPr="005E3B43">
        <w:t>43AAD or 43AAE, a declaration stating that the person’s turnover of the goods for the relevant financial year was of low value; and</w:t>
      </w:r>
    </w:p>
    <w:p w14:paraId="4D858860" w14:textId="77777777" w:rsidR="002039B6" w:rsidRPr="005E3B43" w:rsidRDefault="002039B6" w:rsidP="00763BCF">
      <w:pPr>
        <w:pStyle w:val="paragraph"/>
      </w:pPr>
      <w:r w:rsidRPr="005E3B43">
        <w:tab/>
        <w:t>(c)</w:t>
      </w:r>
      <w:r w:rsidRPr="005E3B43">
        <w:tab/>
        <w:t>the person has not paid an annual registration charge, annual listing charge or annual charge for inclusion in the Register in respect of the goods for the relevant financial year; and</w:t>
      </w:r>
    </w:p>
    <w:p w14:paraId="16CDB3A1" w14:textId="77777777" w:rsidR="002039B6" w:rsidRPr="005E3B43" w:rsidRDefault="002039B6" w:rsidP="00763BCF">
      <w:pPr>
        <w:pStyle w:val="paragraph"/>
      </w:pPr>
      <w:r w:rsidRPr="005E3B43">
        <w:tab/>
        <w:t>(d)</w:t>
      </w:r>
      <w:r w:rsidRPr="005E3B43">
        <w:tab/>
        <w:t>the Secretary becomes aware that the person’s turnover of the goods for the relevant financial year was not of low value;</w:t>
      </w:r>
    </w:p>
    <w:p w14:paraId="6C70D86A" w14:textId="77777777" w:rsidR="002039B6" w:rsidRPr="005E3B43" w:rsidRDefault="002039B6" w:rsidP="00763BCF">
      <w:pPr>
        <w:pStyle w:val="subsection2"/>
      </w:pPr>
      <w:r w:rsidRPr="005E3B43">
        <w:t>the Secretary must give the person a written notice in accordance with subregulation (4).</w:t>
      </w:r>
    </w:p>
    <w:p w14:paraId="402B4BCD" w14:textId="77777777" w:rsidR="002039B6" w:rsidRPr="005E3B43" w:rsidRDefault="002039B6" w:rsidP="00763BCF">
      <w:pPr>
        <w:pStyle w:val="subsection"/>
      </w:pPr>
      <w:r w:rsidRPr="005E3B43">
        <w:tab/>
        <w:t>(4)</w:t>
      </w:r>
      <w:r w:rsidRPr="005E3B43">
        <w:tab/>
        <w:t>A notice given to a person under subregulation (3) must:</w:t>
      </w:r>
    </w:p>
    <w:p w14:paraId="5807C386" w14:textId="77777777" w:rsidR="002039B6" w:rsidRPr="005E3B43" w:rsidRDefault="002039B6" w:rsidP="00763BCF">
      <w:pPr>
        <w:pStyle w:val="paragraph"/>
      </w:pPr>
      <w:r w:rsidRPr="005E3B43">
        <w:tab/>
        <w:t>(a)</w:t>
      </w:r>
      <w:r w:rsidRPr="005E3B43">
        <w:tab/>
        <w:t>state that the person was not exempt from liability to pay an annual registration charge, annual listing charge or annual charge for inclusion in the Register in respect of the goods:</w:t>
      </w:r>
    </w:p>
    <w:p w14:paraId="3CE4D388" w14:textId="77777777" w:rsidR="002039B6" w:rsidRPr="005E3B43" w:rsidRDefault="002039B6" w:rsidP="00763BCF">
      <w:pPr>
        <w:pStyle w:val="paragraphsub"/>
      </w:pPr>
      <w:r w:rsidRPr="005E3B43">
        <w:tab/>
        <w:t>(i)</w:t>
      </w:r>
      <w:r w:rsidRPr="005E3B43">
        <w:tab/>
        <w:t>for the relevant financial year; or</w:t>
      </w:r>
    </w:p>
    <w:p w14:paraId="3193D8CE" w14:textId="77777777" w:rsidR="002039B6" w:rsidRPr="005E3B43" w:rsidRDefault="002039B6" w:rsidP="00763BCF">
      <w:pPr>
        <w:pStyle w:val="paragraphsub"/>
      </w:pPr>
      <w:r w:rsidRPr="005E3B43">
        <w:lastRenderedPageBreak/>
        <w:tab/>
        <w:t>(ii)</w:t>
      </w:r>
      <w:r w:rsidRPr="005E3B43">
        <w:tab/>
        <w:t>for any later financial year for which the person did not pay an annual registration charge, annual listing charge or annual charge for inclusion in the Register in respect of the goods (other than because the charge was waived under regulation</w:t>
      </w:r>
      <w:r w:rsidR="004E6D00" w:rsidRPr="005E3B43">
        <w:t> </w:t>
      </w:r>
      <w:r w:rsidRPr="005E3B43">
        <w:t>43AAH); and</w:t>
      </w:r>
    </w:p>
    <w:p w14:paraId="0FF12CDB" w14:textId="77777777" w:rsidR="002039B6" w:rsidRPr="005E3B43" w:rsidRDefault="002039B6" w:rsidP="00763BCF">
      <w:pPr>
        <w:pStyle w:val="paragraph"/>
      </w:pPr>
      <w:r w:rsidRPr="005E3B43">
        <w:tab/>
        <w:t>(b)</w:t>
      </w:r>
      <w:r w:rsidRPr="005E3B43">
        <w:tab/>
        <w:t>specify the date on which the relevant charge, or charges, become payable.</w:t>
      </w:r>
    </w:p>
    <w:p w14:paraId="3252951E" w14:textId="77777777" w:rsidR="00B47EF0" w:rsidRPr="005E3B43" w:rsidRDefault="00B47EF0" w:rsidP="00763BCF">
      <w:pPr>
        <w:pStyle w:val="ActHead4"/>
      </w:pPr>
      <w:bookmarkStart w:id="266" w:name="_Toc187135860"/>
      <w:r w:rsidRPr="005E3B43">
        <w:rPr>
          <w:rStyle w:val="CharSubdNo"/>
        </w:rPr>
        <w:t>Subdivision</w:t>
      </w:r>
      <w:r w:rsidR="004E6D00" w:rsidRPr="005E3B43">
        <w:rPr>
          <w:rStyle w:val="CharSubdNo"/>
        </w:rPr>
        <w:t> </w:t>
      </w:r>
      <w:r w:rsidRPr="005E3B43">
        <w:rPr>
          <w:rStyle w:val="CharSubdNo"/>
        </w:rPr>
        <w:t>2A</w:t>
      </w:r>
      <w:r w:rsidRPr="005E3B43">
        <w:t>—</w:t>
      </w:r>
      <w:r w:rsidRPr="005E3B43">
        <w:rPr>
          <w:rStyle w:val="CharSubdText"/>
        </w:rPr>
        <w:t>Exemption from liability to pay annual charge—IVD devices</w:t>
      </w:r>
      <w:bookmarkEnd w:id="266"/>
    </w:p>
    <w:p w14:paraId="252F6549" w14:textId="77777777" w:rsidR="00B47EF0" w:rsidRPr="005E3B43" w:rsidRDefault="00B47EF0" w:rsidP="00763BCF">
      <w:pPr>
        <w:pStyle w:val="ActHead5"/>
      </w:pPr>
      <w:bookmarkStart w:id="267" w:name="_Toc187135861"/>
      <w:r w:rsidRPr="005E3B43">
        <w:rPr>
          <w:rStyle w:val="CharSectno"/>
        </w:rPr>
        <w:t>43AAGA</w:t>
      </w:r>
      <w:r w:rsidRPr="005E3B43">
        <w:t xml:space="preserve">  Purpose of this Subdivision</w:t>
      </w:r>
      <w:bookmarkEnd w:id="267"/>
    </w:p>
    <w:p w14:paraId="264D5CA4" w14:textId="77777777" w:rsidR="00B47EF0" w:rsidRPr="005E3B43" w:rsidRDefault="00B47EF0" w:rsidP="00763BCF">
      <w:pPr>
        <w:pStyle w:val="subsection"/>
      </w:pPr>
      <w:r w:rsidRPr="005E3B43">
        <w:tab/>
      </w:r>
      <w:r w:rsidRPr="005E3B43">
        <w:tab/>
        <w:t>For section</w:t>
      </w:r>
      <w:r w:rsidR="004E6D00" w:rsidRPr="005E3B43">
        <w:t> </w:t>
      </w:r>
      <w:r w:rsidRPr="005E3B43">
        <w:t>44A of the Act, this Subdivision makes provision for and in relation to exempting a person in relation to whom an IVD device is included in the Register at any time in a financial year from liability to pay an annual charge for inclusion in the Register in respect of the device for the financial year, if the person’s turnover of the device for the financial year is of low value.</w:t>
      </w:r>
    </w:p>
    <w:p w14:paraId="00E7BF1F" w14:textId="5368CEFA" w:rsidR="00B47EF0" w:rsidRPr="005E3B43" w:rsidRDefault="00B47EF0" w:rsidP="00763BCF">
      <w:pPr>
        <w:pStyle w:val="ActHead5"/>
      </w:pPr>
      <w:bookmarkStart w:id="268" w:name="_Toc187135862"/>
      <w:r w:rsidRPr="005E3B43">
        <w:rPr>
          <w:rStyle w:val="CharSectno"/>
        </w:rPr>
        <w:t>43AAGB</w:t>
      </w:r>
      <w:r w:rsidRPr="005E3B43">
        <w:t xml:space="preserve">  Exemption from liability to pay annual charge—2017</w:t>
      </w:r>
      <w:r w:rsidR="007C3215">
        <w:noBreakHyphen/>
      </w:r>
      <w:r w:rsidRPr="005E3B43">
        <w:t>18 financial year</w:t>
      </w:r>
      <w:bookmarkEnd w:id="268"/>
    </w:p>
    <w:p w14:paraId="559BBCEF" w14:textId="4F68DC82" w:rsidR="00B47EF0" w:rsidRPr="005E3B43" w:rsidRDefault="00B47EF0" w:rsidP="00763BCF">
      <w:pPr>
        <w:pStyle w:val="SubsectionHead"/>
      </w:pPr>
      <w:r w:rsidRPr="005E3B43">
        <w:t>Inclusion of IVD device in Register commencing in 2017</w:t>
      </w:r>
      <w:r w:rsidR="007C3215">
        <w:noBreakHyphen/>
      </w:r>
      <w:r w:rsidRPr="005E3B43">
        <w:t>18 financial year</w:t>
      </w:r>
    </w:p>
    <w:p w14:paraId="52AC1143" w14:textId="072DF09F" w:rsidR="00B47EF0" w:rsidRPr="005E3B43" w:rsidRDefault="00B47EF0" w:rsidP="00763BCF">
      <w:pPr>
        <w:pStyle w:val="subsection"/>
      </w:pPr>
      <w:r w:rsidRPr="005E3B43">
        <w:tab/>
        <w:t>(1)</w:t>
      </w:r>
      <w:r w:rsidRPr="005E3B43">
        <w:tab/>
        <w:t xml:space="preserve">A person in relation to whom an IVD device is included in the Register at any time in the financial year commencing </w:t>
      </w:r>
      <w:r w:rsidR="006B5D8E" w:rsidRPr="005E3B43">
        <w:t>1 July</w:t>
      </w:r>
      <w:r w:rsidRPr="005E3B43">
        <w:t xml:space="preserve"> 2017 (the </w:t>
      </w:r>
      <w:r w:rsidRPr="005E3B43">
        <w:rPr>
          <w:b/>
          <w:i/>
        </w:rPr>
        <w:t>2017</w:t>
      </w:r>
      <w:r w:rsidR="007C3215">
        <w:rPr>
          <w:b/>
          <w:i/>
        </w:rPr>
        <w:noBreakHyphen/>
      </w:r>
      <w:r w:rsidRPr="005E3B43">
        <w:rPr>
          <w:b/>
          <w:i/>
        </w:rPr>
        <w:t>18 financial year</w:t>
      </w:r>
      <w:r w:rsidRPr="005E3B43">
        <w:t>) is exempt from liability to pay an annual charge for inclusion in the Register in respect of the device for the 2017</w:t>
      </w:r>
      <w:r w:rsidR="007C3215">
        <w:noBreakHyphen/>
      </w:r>
      <w:r w:rsidRPr="005E3B43">
        <w:t>18 financial year if:</w:t>
      </w:r>
    </w:p>
    <w:p w14:paraId="2E1F26FC" w14:textId="02F0D674" w:rsidR="00B47EF0" w:rsidRPr="005E3B43" w:rsidRDefault="00B47EF0" w:rsidP="00763BCF">
      <w:pPr>
        <w:pStyle w:val="paragraph"/>
      </w:pPr>
      <w:r w:rsidRPr="005E3B43">
        <w:tab/>
        <w:t>(a)</w:t>
      </w:r>
      <w:r w:rsidRPr="005E3B43">
        <w:tab/>
        <w:t>the inclusion of the device in the Register commenced in the 2017</w:t>
      </w:r>
      <w:r w:rsidR="007C3215">
        <w:noBreakHyphen/>
      </w:r>
      <w:r w:rsidRPr="005E3B43">
        <w:t>18 financial year; and</w:t>
      </w:r>
    </w:p>
    <w:p w14:paraId="7C275DBF" w14:textId="33B36129" w:rsidR="00B47EF0" w:rsidRPr="005E3B43" w:rsidRDefault="00B47EF0" w:rsidP="00763BCF">
      <w:pPr>
        <w:pStyle w:val="paragraph"/>
      </w:pPr>
      <w:r w:rsidRPr="005E3B43">
        <w:tab/>
        <w:t>(b)</w:t>
      </w:r>
      <w:r w:rsidRPr="005E3B43">
        <w:tab/>
        <w:t>the person’s turnover of the device for the 2017</w:t>
      </w:r>
      <w:r w:rsidR="007C3215">
        <w:noBreakHyphen/>
      </w:r>
      <w:r w:rsidRPr="005E3B43">
        <w:t>18 financial year is of low value; and</w:t>
      </w:r>
    </w:p>
    <w:p w14:paraId="0D445E2D" w14:textId="25630D90" w:rsidR="00B47EF0" w:rsidRPr="005E3B43" w:rsidRDefault="00B47EF0" w:rsidP="00763BCF">
      <w:pPr>
        <w:pStyle w:val="paragraph"/>
      </w:pPr>
      <w:r w:rsidRPr="005E3B43">
        <w:tab/>
        <w:t>(c)</w:t>
      </w:r>
      <w:r w:rsidRPr="005E3B43">
        <w:tab/>
        <w:t>the person gives the Secretary, on or before 22</w:t>
      </w:r>
      <w:r w:rsidR="004E6D00" w:rsidRPr="005E3B43">
        <w:t> </w:t>
      </w:r>
      <w:r w:rsidRPr="005E3B43">
        <w:t>July 2018, a declaration, in a form or a manner approved by the Secretary, stating that the person’s turnover of the device for the 2017</w:t>
      </w:r>
      <w:r w:rsidR="007C3215">
        <w:noBreakHyphen/>
      </w:r>
      <w:r w:rsidRPr="005E3B43">
        <w:t>18 financial year was of low value.</w:t>
      </w:r>
    </w:p>
    <w:p w14:paraId="12DDAC82" w14:textId="77777777" w:rsidR="00B47EF0" w:rsidRPr="005E3B43" w:rsidRDefault="00B47EF0" w:rsidP="00763BCF">
      <w:pPr>
        <w:pStyle w:val="SubsectionHead"/>
      </w:pPr>
      <w:r w:rsidRPr="005E3B43">
        <w:t>Inclusion of IVD device in Register on or before 30</w:t>
      </w:r>
      <w:r w:rsidR="004E6D00" w:rsidRPr="005E3B43">
        <w:t> </w:t>
      </w:r>
      <w:r w:rsidRPr="005E3B43">
        <w:t>June 2017</w:t>
      </w:r>
    </w:p>
    <w:p w14:paraId="5D2FA7A1" w14:textId="3BDD532D" w:rsidR="00B47EF0" w:rsidRPr="005E3B43" w:rsidRDefault="00B47EF0" w:rsidP="00763BCF">
      <w:pPr>
        <w:pStyle w:val="subsection"/>
      </w:pPr>
      <w:r w:rsidRPr="005E3B43">
        <w:tab/>
        <w:t>(2)</w:t>
      </w:r>
      <w:r w:rsidRPr="005E3B43">
        <w:tab/>
        <w:t>A person in relation to whom an IVD device is included in the Register on or before 30</w:t>
      </w:r>
      <w:r w:rsidR="004E6D00" w:rsidRPr="005E3B43">
        <w:t> </w:t>
      </w:r>
      <w:r w:rsidRPr="005E3B43">
        <w:t>June 2017 is exempt from liability to pay an annual charge for inclusion in the Register in respect of the device for the 2017</w:t>
      </w:r>
      <w:r w:rsidR="007C3215">
        <w:noBreakHyphen/>
      </w:r>
      <w:r w:rsidRPr="005E3B43">
        <w:t>18 financial year if:</w:t>
      </w:r>
    </w:p>
    <w:p w14:paraId="083EB25E" w14:textId="77777777" w:rsidR="00B47EF0" w:rsidRPr="005E3B43" w:rsidRDefault="00B47EF0" w:rsidP="00763BCF">
      <w:pPr>
        <w:pStyle w:val="paragraph"/>
      </w:pPr>
      <w:r w:rsidRPr="005E3B43">
        <w:tab/>
        <w:t>(a)</w:t>
      </w:r>
      <w:r w:rsidRPr="005E3B43">
        <w:tab/>
        <w:t>the inclusion of the device in the Register commenced on or before 30</w:t>
      </w:r>
      <w:r w:rsidR="004E6D00" w:rsidRPr="005E3B43">
        <w:t> </w:t>
      </w:r>
      <w:r w:rsidRPr="005E3B43">
        <w:t>June 2017; and</w:t>
      </w:r>
    </w:p>
    <w:p w14:paraId="684D82AF" w14:textId="2C7675A1" w:rsidR="00B47EF0" w:rsidRPr="005E3B43" w:rsidRDefault="00B47EF0" w:rsidP="00763BCF">
      <w:pPr>
        <w:pStyle w:val="paragraph"/>
      </w:pPr>
      <w:r w:rsidRPr="005E3B43">
        <w:tab/>
        <w:t>(b)</w:t>
      </w:r>
      <w:r w:rsidRPr="005E3B43">
        <w:tab/>
        <w:t xml:space="preserve">the person’s turnover of the device for the financial year commencing on </w:t>
      </w:r>
      <w:r w:rsidR="006B5D8E" w:rsidRPr="005E3B43">
        <w:t>1 July</w:t>
      </w:r>
      <w:r w:rsidRPr="005E3B43">
        <w:t xml:space="preserve"> 2016 (the </w:t>
      </w:r>
      <w:r w:rsidRPr="005E3B43">
        <w:rPr>
          <w:b/>
          <w:i/>
        </w:rPr>
        <w:t>2016</w:t>
      </w:r>
      <w:r w:rsidR="007C3215">
        <w:rPr>
          <w:b/>
          <w:i/>
        </w:rPr>
        <w:noBreakHyphen/>
      </w:r>
      <w:r w:rsidRPr="005E3B43">
        <w:rPr>
          <w:b/>
          <w:i/>
        </w:rPr>
        <w:t>17 financial year</w:t>
      </w:r>
      <w:r w:rsidRPr="005E3B43">
        <w:t>) is of low value; and</w:t>
      </w:r>
    </w:p>
    <w:p w14:paraId="009B58CE" w14:textId="1C54DF35" w:rsidR="00B47EF0" w:rsidRPr="005E3B43" w:rsidRDefault="00B47EF0" w:rsidP="00763BCF">
      <w:pPr>
        <w:pStyle w:val="paragraph"/>
      </w:pPr>
      <w:r w:rsidRPr="005E3B43">
        <w:tab/>
        <w:t>(c)</w:t>
      </w:r>
      <w:r w:rsidRPr="005E3B43">
        <w:tab/>
        <w:t>the person gives the Secretary, on or before 22</w:t>
      </w:r>
      <w:r w:rsidR="004E6D00" w:rsidRPr="005E3B43">
        <w:t> </w:t>
      </w:r>
      <w:r w:rsidRPr="005E3B43">
        <w:t>July 2017, a declaration, in a form or a manner approved by the Secretary, stating that the person’s turnover of the device for the 2016</w:t>
      </w:r>
      <w:r w:rsidR="007C3215">
        <w:noBreakHyphen/>
      </w:r>
      <w:r w:rsidRPr="005E3B43">
        <w:t>17 financial year was of low value; and</w:t>
      </w:r>
    </w:p>
    <w:p w14:paraId="62AA9985" w14:textId="4E00D7AB" w:rsidR="00B47EF0" w:rsidRPr="005E3B43" w:rsidRDefault="00B47EF0" w:rsidP="00763BCF">
      <w:pPr>
        <w:pStyle w:val="paragraph"/>
      </w:pPr>
      <w:r w:rsidRPr="005E3B43">
        <w:tab/>
        <w:t>(d)</w:t>
      </w:r>
      <w:r w:rsidRPr="005E3B43">
        <w:tab/>
        <w:t>the person’s turnover of the device for the 2017</w:t>
      </w:r>
      <w:r w:rsidR="007C3215">
        <w:noBreakHyphen/>
      </w:r>
      <w:r w:rsidRPr="005E3B43">
        <w:t>18 financial year was of low value; and</w:t>
      </w:r>
    </w:p>
    <w:p w14:paraId="45D0767B" w14:textId="76685D4F" w:rsidR="00B47EF0" w:rsidRPr="005E3B43" w:rsidRDefault="00B47EF0" w:rsidP="00763BCF">
      <w:pPr>
        <w:pStyle w:val="paragraph"/>
      </w:pPr>
      <w:r w:rsidRPr="005E3B43">
        <w:lastRenderedPageBreak/>
        <w:tab/>
        <w:t>(e)</w:t>
      </w:r>
      <w:r w:rsidRPr="005E3B43">
        <w:tab/>
        <w:t>the person gives the Secretary, on or before 22</w:t>
      </w:r>
      <w:r w:rsidR="004E6D00" w:rsidRPr="005E3B43">
        <w:t> </w:t>
      </w:r>
      <w:r w:rsidRPr="005E3B43">
        <w:t>July 2018, a declaration, in a form or a manner approved by the Secretary, stating that the person’s turnover of the device for the 2017</w:t>
      </w:r>
      <w:r w:rsidR="007C3215">
        <w:noBreakHyphen/>
      </w:r>
      <w:r w:rsidRPr="005E3B43">
        <w:t>18 financial year was of low value.</w:t>
      </w:r>
    </w:p>
    <w:p w14:paraId="695E38F4" w14:textId="77777777" w:rsidR="00B47EF0" w:rsidRPr="005E3B43" w:rsidRDefault="00B47EF0" w:rsidP="00763BCF">
      <w:pPr>
        <w:pStyle w:val="notetext"/>
      </w:pPr>
      <w:r w:rsidRPr="005E3B43">
        <w:t>Note 1:</w:t>
      </w:r>
      <w:r w:rsidRPr="005E3B43">
        <w:tab/>
        <w:t>See regulation</w:t>
      </w:r>
      <w:r w:rsidR="004E6D00" w:rsidRPr="005E3B43">
        <w:t> </w:t>
      </w:r>
      <w:r w:rsidRPr="005E3B43">
        <w:t xml:space="preserve">43AAA for the meaning of </w:t>
      </w:r>
      <w:r w:rsidRPr="005E3B43">
        <w:rPr>
          <w:b/>
          <w:i/>
        </w:rPr>
        <w:t>turnover</w:t>
      </w:r>
      <w:r w:rsidRPr="005E3B43">
        <w:t xml:space="preserve"> and when turnover is of low value.</w:t>
      </w:r>
    </w:p>
    <w:p w14:paraId="5EBBD489" w14:textId="77777777" w:rsidR="00B47EF0" w:rsidRPr="005E3B43" w:rsidRDefault="00B47EF0" w:rsidP="00763BCF">
      <w:pPr>
        <w:pStyle w:val="notetext"/>
      </w:pPr>
      <w:r w:rsidRPr="005E3B43">
        <w:t>Note 2:</w:t>
      </w:r>
      <w:r w:rsidRPr="005E3B43">
        <w:tab/>
        <w:t>A person may commit an offence if the person provides false or misleading information or documents (see sections</w:t>
      </w:r>
      <w:r w:rsidR="004E6D00" w:rsidRPr="005E3B43">
        <w:t> </w:t>
      </w:r>
      <w:r w:rsidRPr="005E3B43">
        <w:t xml:space="preserve">137.1 and 137.2 of the </w:t>
      </w:r>
      <w:r w:rsidRPr="005E3B43">
        <w:rPr>
          <w:i/>
        </w:rPr>
        <w:t>Criminal Code</w:t>
      </w:r>
      <w:r w:rsidRPr="005E3B43">
        <w:t>).</w:t>
      </w:r>
    </w:p>
    <w:p w14:paraId="66D57B30" w14:textId="0DE6D6EC" w:rsidR="00B47EF0" w:rsidRPr="005E3B43" w:rsidRDefault="00B47EF0" w:rsidP="00763BCF">
      <w:pPr>
        <w:pStyle w:val="notetext"/>
      </w:pPr>
      <w:r w:rsidRPr="005E3B43">
        <w:t>Note 3:</w:t>
      </w:r>
      <w:r w:rsidRPr="005E3B43">
        <w:tab/>
        <w:t>If a person is not exempt from liability to pay an annual charge for the 2017</w:t>
      </w:r>
      <w:r w:rsidR="007C3215">
        <w:noBreakHyphen/>
      </w:r>
      <w:r w:rsidRPr="005E3B43">
        <w:t>18 financial year only because the person did not give the Secretary the declaration, or declarations, relating to turnover in accordance with this regulation, the person may be exempt from liability to pay the charge for the 2017</w:t>
      </w:r>
      <w:r w:rsidR="007C3215">
        <w:noBreakHyphen/>
      </w:r>
      <w:r w:rsidRPr="005E3B43">
        <w:t>18 financial year under regulation</w:t>
      </w:r>
      <w:r w:rsidR="004E6D00" w:rsidRPr="005E3B43">
        <w:t> </w:t>
      </w:r>
      <w:r w:rsidRPr="005E3B43">
        <w:t>43AAGD.</w:t>
      </w:r>
    </w:p>
    <w:p w14:paraId="26E3BE1A" w14:textId="2094A20A" w:rsidR="00B47EF0" w:rsidRPr="005E3B43" w:rsidRDefault="00B47EF0" w:rsidP="00763BCF">
      <w:pPr>
        <w:pStyle w:val="notetext"/>
      </w:pPr>
      <w:r w:rsidRPr="005E3B43">
        <w:t>Note 4:</w:t>
      </w:r>
      <w:r w:rsidRPr="005E3B43">
        <w:tab/>
        <w:t>If a person becomes aware during the 2017</w:t>
      </w:r>
      <w:r w:rsidR="007C3215">
        <w:noBreakHyphen/>
      </w:r>
      <w:r w:rsidRPr="005E3B43">
        <w:t>18 financial year that the person’s turnover of the device for that year will not be of low value, the person may notify the Secretary of that fact under regulation</w:t>
      </w:r>
      <w:r w:rsidR="004E6D00" w:rsidRPr="005E3B43">
        <w:t> </w:t>
      </w:r>
      <w:r w:rsidRPr="005E3B43">
        <w:t>43AAGE.</w:t>
      </w:r>
    </w:p>
    <w:p w14:paraId="0A00A0DF" w14:textId="3A26F0B0" w:rsidR="00B47EF0" w:rsidRPr="005E3B43" w:rsidRDefault="00B47EF0" w:rsidP="00763BCF">
      <w:pPr>
        <w:pStyle w:val="notetext"/>
      </w:pPr>
      <w:r w:rsidRPr="005E3B43">
        <w:t>Note 5:</w:t>
      </w:r>
      <w:r w:rsidRPr="005E3B43">
        <w:tab/>
        <w:t>If the Secretary becomes aware that a person’s turnover of the device, for a financial year for which a declaration was given under this regulation, was not of low value, the Secretary may, under regulation</w:t>
      </w:r>
      <w:r w:rsidR="004E6D00" w:rsidRPr="005E3B43">
        <w:t> </w:t>
      </w:r>
      <w:r w:rsidRPr="005E3B43">
        <w:t>43AAGF, notify the person that the person is liable to pay the charge for the 2017</w:t>
      </w:r>
      <w:r w:rsidR="007C3215">
        <w:noBreakHyphen/>
      </w:r>
      <w:r w:rsidRPr="005E3B43">
        <w:t>18 financial year.</w:t>
      </w:r>
    </w:p>
    <w:p w14:paraId="5528520B" w14:textId="77777777" w:rsidR="00B47EF0" w:rsidRPr="005E3B43" w:rsidRDefault="00B47EF0" w:rsidP="00763BCF">
      <w:pPr>
        <w:pStyle w:val="ActHead5"/>
      </w:pPr>
      <w:bookmarkStart w:id="269" w:name="_Toc187135863"/>
      <w:r w:rsidRPr="005E3B43">
        <w:rPr>
          <w:rStyle w:val="CharSectno"/>
        </w:rPr>
        <w:t>43AAGC</w:t>
      </w:r>
      <w:r w:rsidRPr="005E3B43">
        <w:t xml:space="preserve">  Exemption from liability to pay annual charge—financial years commencing on or after </w:t>
      </w:r>
      <w:r w:rsidR="006B5D8E" w:rsidRPr="005E3B43">
        <w:t>1 July</w:t>
      </w:r>
      <w:r w:rsidRPr="005E3B43">
        <w:t xml:space="preserve"> 2018</w:t>
      </w:r>
      <w:bookmarkEnd w:id="269"/>
    </w:p>
    <w:p w14:paraId="06E05155" w14:textId="77777777" w:rsidR="00B47EF0" w:rsidRPr="005E3B43" w:rsidRDefault="00B47EF0" w:rsidP="00763BCF">
      <w:pPr>
        <w:pStyle w:val="subsection"/>
      </w:pPr>
      <w:r w:rsidRPr="005E3B43">
        <w:tab/>
      </w:r>
      <w:r w:rsidRPr="005E3B43">
        <w:tab/>
        <w:t xml:space="preserve">A person in relation to whom an IVD device is included in the Register at any time in a financial year commencing on or after </w:t>
      </w:r>
      <w:r w:rsidR="006B5D8E" w:rsidRPr="005E3B43">
        <w:t>1 July</w:t>
      </w:r>
      <w:r w:rsidRPr="005E3B43">
        <w:t xml:space="preserve"> 2018 (the </w:t>
      </w:r>
      <w:r w:rsidRPr="005E3B43">
        <w:rPr>
          <w:b/>
          <w:i/>
        </w:rPr>
        <w:t>current financial year</w:t>
      </w:r>
      <w:r w:rsidRPr="005E3B43">
        <w:t>) is exempt from liability to pay an annual charge for inclusion in the Register in respect of the device for the current financial year if the following requirements are met:</w:t>
      </w:r>
    </w:p>
    <w:p w14:paraId="669CDB7B" w14:textId="77777777" w:rsidR="00B47EF0" w:rsidRPr="005E3B43" w:rsidRDefault="00B47EF0" w:rsidP="00763BCF">
      <w:pPr>
        <w:pStyle w:val="paragraph"/>
      </w:pPr>
      <w:r w:rsidRPr="005E3B43">
        <w:tab/>
        <w:t>(a)</w:t>
      </w:r>
      <w:r w:rsidRPr="005E3B43">
        <w:tab/>
        <w:t>either:</w:t>
      </w:r>
    </w:p>
    <w:p w14:paraId="2A9CE0F7" w14:textId="77777777" w:rsidR="00B47EF0" w:rsidRPr="005E3B43" w:rsidRDefault="00B47EF0" w:rsidP="00763BCF">
      <w:pPr>
        <w:pStyle w:val="paragraphsub"/>
      </w:pPr>
      <w:r w:rsidRPr="005E3B43">
        <w:tab/>
        <w:t>(i)</w:t>
      </w:r>
      <w:r w:rsidRPr="005E3B43">
        <w:tab/>
        <w:t>the person was exempt from liability to pay the charge in respect of the device for the immediately preceding financial year; or</w:t>
      </w:r>
    </w:p>
    <w:p w14:paraId="5F6F310E" w14:textId="77777777" w:rsidR="00B47EF0" w:rsidRPr="005E3B43" w:rsidRDefault="00B47EF0" w:rsidP="00763BCF">
      <w:pPr>
        <w:pStyle w:val="paragraphsub"/>
      </w:pPr>
      <w:r w:rsidRPr="005E3B43">
        <w:tab/>
        <w:t>(ii)</w:t>
      </w:r>
      <w:r w:rsidRPr="005E3B43">
        <w:tab/>
        <w:t>the inclusion in the Register of the device commenced in the current financial year;</w:t>
      </w:r>
    </w:p>
    <w:p w14:paraId="47B9D14F" w14:textId="77777777" w:rsidR="00B47EF0" w:rsidRPr="005E3B43" w:rsidRDefault="00B47EF0" w:rsidP="00763BCF">
      <w:pPr>
        <w:pStyle w:val="paragraph"/>
      </w:pPr>
      <w:r w:rsidRPr="005E3B43">
        <w:tab/>
        <w:t>(b)</w:t>
      </w:r>
      <w:r w:rsidRPr="005E3B43">
        <w:tab/>
        <w:t>the person’s turnover of the device for the current financial year is of low value;</w:t>
      </w:r>
    </w:p>
    <w:p w14:paraId="3E9F9AC4" w14:textId="77777777" w:rsidR="00B47EF0" w:rsidRPr="005E3B43" w:rsidRDefault="00B47EF0" w:rsidP="00763BCF">
      <w:pPr>
        <w:pStyle w:val="paragraph"/>
      </w:pPr>
      <w:r w:rsidRPr="005E3B43">
        <w:tab/>
        <w:t>(c)</w:t>
      </w:r>
      <w:r w:rsidRPr="005E3B43">
        <w:tab/>
        <w:t>the person gives the Secretary, on or before 22</w:t>
      </w:r>
      <w:r w:rsidR="004E6D00" w:rsidRPr="005E3B43">
        <w:t> </w:t>
      </w:r>
      <w:r w:rsidRPr="005E3B43">
        <w:t>July of the next financial year, a declaration, in a form or a manner approved by the Secretary, stating that the person’s turnover of the device for the current financial year was of low value.</w:t>
      </w:r>
    </w:p>
    <w:p w14:paraId="0C012D98" w14:textId="77777777" w:rsidR="00B47EF0" w:rsidRPr="005E3B43" w:rsidRDefault="00B47EF0" w:rsidP="00763BCF">
      <w:pPr>
        <w:pStyle w:val="notetext"/>
      </w:pPr>
      <w:r w:rsidRPr="005E3B43">
        <w:t>Note 1:</w:t>
      </w:r>
      <w:r w:rsidRPr="005E3B43">
        <w:tab/>
        <w:t>See regulation</w:t>
      </w:r>
      <w:r w:rsidR="004E6D00" w:rsidRPr="005E3B43">
        <w:t> </w:t>
      </w:r>
      <w:r w:rsidRPr="005E3B43">
        <w:t xml:space="preserve">43AAA for the meaning of </w:t>
      </w:r>
      <w:r w:rsidRPr="005E3B43">
        <w:rPr>
          <w:b/>
          <w:i/>
        </w:rPr>
        <w:t>turnover</w:t>
      </w:r>
      <w:r w:rsidRPr="005E3B43">
        <w:t xml:space="preserve"> and when turnover is of low value.</w:t>
      </w:r>
    </w:p>
    <w:p w14:paraId="243ED246" w14:textId="77777777" w:rsidR="00B47EF0" w:rsidRPr="005E3B43" w:rsidRDefault="00B47EF0" w:rsidP="00763BCF">
      <w:pPr>
        <w:pStyle w:val="notetext"/>
      </w:pPr>
      <w:r w:rsidRPr="005E3B43">
        <w:t>Note 2:</w:t>
      </w:r>
      <w:r w:rsidRPr="005E3B43">
        <w:tab/>
        <w:t>A person may commit an offence if the person provides false or misleading information or documents (see sections</w:t>
      </w:r>
      <w:r w:rsidR="004E6D00" w:rsidRPr="005E3B43">
        <w:t> </w:t>
      </w:r>
      <w:r w:rsidRPr="005E3B43">
        <w:t xml:space="preserve">137.1 and 137.2 of the </w:t>
      </w:r>
      <w:r w:rsidRPr="005E3B43">
        <w:rPr>
          <w:i/>
        </w:rPr>
        <w:t>Criminal Code</w:t>
      </w:r>
      <w:r w:rsidRPr="005E3B43">
        <w:t>).</w:t>
      </w:r>
    </w:p>
    <w:p w14:paraId="191587CC" w14:textId="77777777" w:rsidR="00B47EF0" w:rsidRPr="005E3B43" w:rsidRDefault="00B47EF0" w:rsidP="00763BCF">
      <w:pPr>
        <w:pStyle w:val="notetext"/>
      </w:pPr>
      <w:r w:rsidRPr="005E3B43">
        <w:t>Note 3:</w:t>
      </w:r>
      <w:r w:rsidRPr="005E3B43">
        <w:tab/>
        <w:t>If a person is not exempt from liability to pay an annual charge for the current financial year only because the person did not give the Secretary the declaration relating to turnover in accordance with this regulation, the person may be exempt from liability to pay the charge for the current financial year under regulation</w:t>
      </w:r>
      <w:r w:rsidR="004E6D00" w:rsidRPr="005E3B43">
        <w:t> </w:t>
      </w:r>
      <w:r w:rsidRPr="005E3B43">
        <w:t>43AAGD.</w:t>
      </w:r>
    </w:p>
    <w:p w14:paraId="6A0751B5" w14:textId="77777777" w:rsidR="00B47EF0" w:rsidRPr="005E3B43" w:rsidRDefault="00B47EF0" w:rsidP="00763BCF">
      <w:pPr>
        <w:pStyle w:val="notetext"/>
      </w:pPr>
      <w:r w:rsidRPr="005E3B43">
        <w:t>Note 4:</w:t>
      </w:r>
      <w:r w:rsidRPr="005E3B43">
        <w:tab/>
        <w:t>If a person becomes aware during the current financial year that the person’s turnover of the device for that year will not be of low value, the person may notify the Secretary of that fact under regulation</w:t>
      </w:r>
      <w:r w:rsidR="004E6D00" w:rsidRPr="005E3B43">
        <w:t> </w:t>
      </w:r>
      <w:r w:rsidRPr="005E3B43">
        <w:t>43AAGE.</w:t>
      </w:r>
    </w:p>
    <w:p w14:paraId="35D67A3A" w14:textId="77777777" w:rsidR="00B47EF0" w:rsidRPr="005E3B43" w:rsidRDefault="00B47EF0" w:rsidP="00763BCF">
      <w:pPr>
        <w:pStyle w:val="notetext"/>
      </w:pPr>
      <w:r w:rsidRPr="005E3B43">
        <w:lastRenderedPageBreak/>
        <w:t>Note 5:</w:t>
      </w:r>
      <w:r w:rsidRPr="005E3B43">
        <w:tab/>
        <w:t>If the Secretary becomes aware that a person’s turnover of the device for the current financial year was not of low value, the Secretary may, under regulation</w:t>
      </w:r>
      <w:r w:rsidR="004E6D00" w:rsidRPr="005E3B43">
        <w:t> </w:t>
      </w:r>
      <w:r w:rsidRPr="005E3B43">
        <w:t>43AAGF, notify the person that the person is liable to pay the charge for the current financial year.</w:t>
      </w:r>
    </w:p>
    <w:p w14:paraId="001BC503" w14:textId="77777777" w:rsidR="00B47EF0" w:rsidRPr="005E3B43" w:rsidRDefault="00B47EF0" w:rsidP="00763BCF">
      <w:pPr>
        <w:pStyle w:val="ActHead5"/>
      </w:pPr>
      <w:bookmarkStart w:id="270" w:name="_Toc187135864"/>
      <w:r w:rsidRPr="005E3B43">
        <w:rPr>
          <w:rStyle w:val="CharSectno"/>
        </w:rPr>
        <w:t>43AAGD</w:t>
      </w:r>
      <w:r w:rsidRPr="005E3B43">
        <w:t xml:space="preserve">  Exemption from liability to pay annual charge—late notice that turnover was of low value</w:t>
      </w:r>
      <w:bookmarkEnd w:id="270"/>
    </w:p>
    <w:p w14:paraId="4461B192" w14:textId="77777777" w:rsidR="00B47EF0" w:rsidRPr="005E3B43" w:rsidRDefault="00B47EF0" w:rsidP="00763BCF">
      <w:pPr>
        <w:pStyle w:val="subsection"/>
      </w:pPr>
      <w:r w:rsidRPr="005E3B43">
        <w:tab/>
        <w:t>(1)</w:t>
      </w:r>
      <w:r w:rsidRPr="005E3B43">
        <w:tab/>
        <w:t xml:space="preserve">This regulation applies if a person would have been exempt from liability to pay an annual charge for inclusion in the Register in respect of an IVD device for a financial year commencing on or after </w:t>
      </w:r>
      <w:r w:rsidR="006B5D8E" w:rsidRPr="005E3B43">
        <w:t>1 July</w:t>
      </w:r>
      <w:r w:rsidRPr="005E3B43">
        <w:t xml:space="preserve"> 2017 (the </w:t>
      </w:r>
      <w:r w:rsidRPr="005E3B43">
        <w:rPr>
          <w:b/>
          <w:i/>
        </w:rPr>
        <w:t>relevant financial year</w:t>
      </w:r>
      <w:r w:rsidRPr="005E3B43">
        <w:t>), except that the person did not give the Secretary a declaration, or declarations, relating to the person’s turnover of the device in accordance with whichever of regulation</w:t>
      </w:r>
      <w:r w:rsidR="004E6D00" w:rsidRPr="005E3B43">
        <w:t> </w:t>
      </w:r>
      <w:r w:rsidRPr="005E3B43">
        <w:t>43AAGB or 43AAGC was applicable.</w:t>
      </w:r>
    </w:p>
    <w:p w14:paraId="72E611B1" w14:textId="77777777" w:rsidR="00B47EF0" w:rsidRPr="005E3B43" w:rsidRDefault="00B47EF0" w:rsidP="00763BCF">
      <w:pPr>
        <w:pStyle w:val="subsection"/>
      </w:pPr>
      <w:r w:rsidRPr="005E3B43">
        <w:tab/>
        <w:t>(2)</w:t>
      </w:r>
      <w:r w:rsidRPr="005E3B43">
        <w:tab/>
        <w:t>The person may, on or before 15</w:t>
      </w:r>
      <w:r w:rsidR="004E6D00" w:rsidRPr="005E3B43">
        <w:t> </w:t>
      </w:r>
      <w:r w:rsidRPr="005E3B43">
        <w:t>September in the next financial year, give the Secretary, in writing:</w:t>
      </w:r>
    </w:p>
    <w:p w14:paraId="7F41B1DA" w14:textId="77777777" w:rsidR="00B47EF0" w:rsidRPr="005E3B43" w:rsidRDefault="00B47EF0" w:rsidP="00763BCF">
      <w:pPr>
        <w:pStyle w:val="paragraph"/>
      </w:pPr>
      <w:r w:rsidRPr="005E3B43">
        <w:tab/>
        <w:t>(a)</w:t>
      </w:r>
      <w:r w:rsidRPr="005E3B43">
        <w:tab/>
        <w:t>a notice stating the reasons why the person was not able to give the Secretary the declaration, or declarations, in accordance with whichever of regulation</w:t>
      </w:r>
      <w:r w:rsidR="004E6D00" w:rsidRPr="005E3B43">
        <w:t> </w:t>
      </w:r>
      <w:r w:rsidRPr="005E3B43">
        <w:t>43AAGB or 43AAGC was applicable for the relevant financial year; and</w:t>
      </w:r>
    </w:p>
    <w:p w14:paraId="1650F075" w14:textId="77777777" w:rsidR="00B47EF0" w:rsidRPr="005E3B43" w:rsidRDefault="00B47EF0" w:rsidP="00763BCF">
      <w:pPr>
        <w:pStyle w:val="paragraph"/>
      </w:pPr>
      <w:r w:rsidRPr="005E3B43">
        <w:tab/>
        <w:t>(b)</w:t>
      </w:r>
      <w:r w:rsidRPr="005E3B43">
        <w:tab/>
        <w:t>a declaration stating that the person’s turnover of the device for the relevant financial year was of low value; and</w:t>
      </w:r>
    </w:p>
    <w:p w14:paraId="3A258083" w14:textId="77777777" w:rsidR="00B47EF0" w:rsidRPr="005E3B43" w:rsidRDefault="00B47EF0" w:rsidP="00763BCF">
      <w:pPr>
        <w:pStyle w:val="paragraph"/>
      </w:pPr>
      <w:r w:rsidRPr="005E3B43">
        <w:tab/>
        <w:t>(c)</w:t>
      </w:r>
      <w:r w:rsidRPr="005E3B43">
        <w:tab/>
        <w:t xml:space="preserve">if the relevant financial year is the year commencing on </w:t>
      </w:r>
      <w:r w:rsidR="006B5D8E" w:rsidRPr="005E3B43">
        <w:t>1 July</w:t>
      </w:r>
      <w:r w:rsidRPr="005E3B43">
        <w:t xml:space="preserve"> 2017—a declaration in accordance with paragraph</w:t>
      </w:r>
      <w:r w:rsidR="004E6D00" w:rsidRPr="005E3B43">
        <w:t> </w:t>
      </w:r>
      <w:r w:rsidRPr="005E3B43">
        <w:t>43AAGB(2)(c).</w:t>
      </w:r>
    </w:p>
    <w:p w14:paraId="4BBFEA6B" w14:textId="77777777" w:rsidR="00B47EF0" w:rsidRPr="005E3B43" w:rsidRDefault="00B47EF0" w:rsidP="00763BCF">
      <w:pPr>
        <w:pStyle w:val="notetext"/>
      </w:pPr>
      <w:r w:rsidRPr="005E3B43">
        <w:t>Note:</w:t>
      </w:r>
      <w:r w:rsidRPr="005E3B43">
        <w:tab/>
        <w:t>A person may commit an offence if the person provides false or misleading information or documents (see sections</w:t>
      </w:r>
      <w:r w:rsidR="004E6D00" w:rsidRPr="005E3B43">
        <w:t> </w:t>
      </w:r>
      <w:r w:rsidRPr="005E3B43">
        <w:t xml:space="preserve">137.1 and 137.2 of the </w:t>
      </w:r>
      <w:r w:rsidRPr="005E3B43">
        <w:rPr>
          <w:i/>
        </w:rPr>
        <w:t>Criminal Code</w:t>
      </w:r>
      <w:r w:rsidRPr="005E3B43">
        <w:t>).</w:t>
      </w:r>
    </w:p>
    <w:p w14:paraId="1C90F9FE" w14:textId="77777777" w:rsidR="00B47EF0" w:rsidRPr="005E3B43" w:rsidRDefault="00B47EF0" w:rsidP="00763BCF">
      <w:pPr>
        <w:pStyle w:val="subsection"/>
      </w:pPr>
      <w:r w:rsidRPr="005E3B43">
        <w:tab/>
        <w:t>(3)</w:t>
      </w:r>
      <w:r w:rsidRPr="005E3B43">
        <w:tab/>
        <w:t>The documents given under subregulation (2) must be accompanied by the fee payable.</w:t>
      </w:r>
    </w:p>
    <w:p w14:paraId="00D34711" w14:textId="77777777" w:rsidR="00B47EF0" w:rsidRPr="005E3B43" w:rsidRDefault="00B47EF0" w:rsidP="00763BCF">
      <w:pPr>
        <w:pStyle w:val="subsection"/>
      </w:pPr>
      <w:r w:rsidRPr="005E3B43">
        <w:tab/>
        <w:t>(4)</w:t>
      </w:r>
      <w:r w:rsidRPr="005E3B43">
        <w:tab/>
        <w:t>The person is exempt from liability to pay the charge for the relevant financial year if the person gives the Secretary, on or before 15</w:t>
      </w:r>
      <w:r w:rsidR="004E6D00" w:rsidRPr="005E3B43">
        <w:t> </w:t>
      </w:r>
      <w:r w:rsidRPr="005E3B43">
        <w:t>September in the next financial year:</w:t>
      </w:r>
    </w:p>
    <w:p w14:paraId="4459F6B8" w14:textId="77777777" w:rsidR="00B47EF0" w:rsidRPr="005E3B43" w:rsidRDefault="00B47EF0" w:rsidP="00763BCF">
      <w:pPr>
        <w:pStyle w:val="paragraph"/>
      </w:pPr>
      <w:r w:rsidRPr="005E3B43">
        <w:tab/>
        <w:t>(a)</w:t>
      </w:r>
      <w:r w:rsidRPr="005E3B43">
        <w:tab/>
        <w:t xml:space="preserve">the notice referred to in </w:t>
      </w:r>
      <w:r w:rsidR="004E6D00" w:rsidRPr="005E3B43">
        <w:t>paragraph (</w:t>
      </w:r>
      <w:r w:rsidRPr="005E3B43">
        <w:t>2)(a); and</w:t>
      </w:r>
    </w:p>
    <w:p w14:paraId="4A5ADCBE" w14:textId="77777777" w:rsidR="00B47EF0" w:rsidRPr="005E3B43" w:rsidRDefault="00B47EF0" w:rsidP="00763BCF">
      <w:pPr>
        <w:pStyle w:val="paragraph"/>
      </w:pPr>
      <w:r w:rsidRPr="005E3B43">
        <w:tab/>
        <w:t>(b)</w:t>
      </w:r>
      <w:r w:rsidRPr="005E3B43">
        <w:tab/>
        <w:t xml:space="preserve">the declaration referred to in </w:t>
      </w:r>
      <w:r w:rsidR="004E6D00" w:rsidRPr="005E3B43">
        <w:t>paragraph (</w:t>
      </w:r>
      <w:r w:rsidRPr="005E3B43">
        <w:t>2)(b); and</w:t>
      </w:r>
    </w:p>
    <w:p w14:paraId="1AD3398C" w14:textId="77777777" w:rsidR="00B47EF0" w:rsidRPr="005E3B43" w:rsidRDefault="00B47EF0" w:rsidP="00763BCF">
      <w:pPr>
        <w:pStyle w:val="paragraph"/>
      </w:pPr>
      <w:r w:rsidRPr="005E3B43">
        <w:tab/>
        <w:t>(c)</w:t>
      </w:r>
      <w:r w:rsidRPr="005E3B43">
        <w:tab/>
        <w:t xml:space="preserve">if the relevant financial year is the year commencing on </w:t>
      </w:r>
      <w:r w:rsidR="006B5D8E" w:rsidRPr="005E3B43">
        <w:t>1 July</w:t>
      </w:r>
      <w:r w:rsidRPr="005E3B43">
        <w:t xml:space="preserve"> 2017—the declaration referred to in </w:t>
      </w:r>
      <w:r w:rsidR="004E6D00" w:rsidRPr="005E3B43">
        <w:t>paragraph (</w:t>
      </w:r>
      <w:r w:rsidRPr="005E3B43">
        <w:t>2)(c); and</w:t>
      </w:r>
    </w:p>
    <w:p w14:paraId="34535F24" w14:textId="77777777" w:rsidR="00B47EF0" w:rsidRPr="005E3B43" w:rsidRDefault="00B47EF0" w:rsidP="00763BCF">
      <w:pPr>
        <w:pStyle w:val="paragraph"/>
      </w:pPr>
      <w:r w:rsidRPr="005E3B43">
        <w:tab/>
        <w:t>(d)</w:t>
      </w:r>
      <w:r w:rsidRPr="005E3B43">
        <w:tab/>
        <w:t>the fee referred to in subregulation (3).</w:t>
      </w:r>
    </w:p>
    <w:p w14:paraId="7D75B327" w14:textId="77777777" w:rsidR="00B47EF0" w:rsidRPr="005E3B43" w:rsidRDefault="00B47EF0" w:rsidP="00763BCF">
      <w:pPr>
        <w:pStyle w:val="subsection"/>
      </w:pPr>
      <w:r w:rsidRPr="005E3B43">
        <w:tab/>
        <w:t>(5)</w:t>
      </w:r>
      <w:r w:rsidRPr="005E3B43">
        <w:tab/>
        <w:t>If the person is exempt from liability to pay the charge for the relevant financial year under subregulation (4), the Secretary must give the person a written notice stating that the person is exempt from liability to pay the charge for the relevant financial year.</w:t>
      </w:r>
    </w:p>
    <w:p w14:paraId="2766DF86" w14:textId="77777777" w:rsidR="00B47EF0" w:rsidRPr="005E3B43" w:rsidRDefault="00B47EF0" w:rsidP="00763BCF">
      <w:pPr>
        <w:pStyle w:val="subsection"/>
      </w:pPr>
      <w:r w:rsidRPr="005E3B43">
        <w:tab/>
        <w:t>(6)</w:t>
      </w:r>
      <w:r w:rsidRPr="005E3B43">
        <w:tab/>
        <w:t>If the person gives the Secretary documents other than in accordance with subregulation (2), or the documents were not accompanied by the fee referred to in subregulation (3), the Secretary must give the person a written notice that:</w:t>
      </w:r>
    </w:p>
    <w:p w14:paraId="3099D100" w14:textId="77777777" w:rsidR="00B47EF0" w:rsidRPr="005E3B43" w:rsidRDefault="00B47EF0" w:rsidP="00763BCF">
      <w:pPr>
        <w:pStyle w:val="paragraph"/>
      </w:pPr>
      <w:r w:rsidRPr="005E3B43">
        <w:tab/>
        <w:t>(a)</w:t>
      </w:r>
      <w:r w:rsidRPr="005E3B43">
        <w:tab/>
        <w:t>states that the person is liable to pay the charge for the relevant financial year; and</w:t>
      </w:r>
    </w:p>
    <w:p w14:paraId="17F3C51E" w14:textId="77777777" w:rsidR="00B47EF0" w:rsidRPr="005E3B43" w:rsidRDefault="00B47EF0" w:rsidP="00763BCF">
      <w:pPr>
        <w:pStyle w:val="paragraph"/>
      </w:pPr>
      <w:r w:rsidRPr="005E3B43">
        <w:lastRenderedPageBreak/>
        <w:tab/>
        <w:t>(b)</w:t>
      </w:r>
      <w:r w:rsidRPr="005E3B43">
        <w:tab/>
        <w:t>states the reason why the person is not exempt from liability to pay the charge for the relevant financial year, being whichever of the following is applicable in the circumstances:</w:t>
      </w:r>
    </w:p>
    <w:p w14:paraId="7DDDDAC0" w14:textId="77777777" w:rsidR="00B47EF0" w:rsidRPr="005E3B43" w:rsidRDefault="00B47EF0" w:rsidP="00763BCF">
      <w:pPr>
        <w:pStyle w:val="paragraphsub"/>
      </w:pPr>
      <w:r w:rsidRPr="005E3B43">
        <w:tab/>
        <w:t>(i)</w:t>
      </w:r>
      <w:r w:rsidRPr="005E3B43">
        <w:tab/>
        <w:t>the person did not give the documents to the Secretary by the required date;</w:t>
      </w:r>
    </w:p>
    <w:p w14:paraId="431DE333" w14:textId="77777777" w:rsidR="00B47EF0" w:rsidRPr="005E3B43" w:rsidRDefault="00B47EF0" w:rsidP="00763BCF">
      <w:pPr>
        <w:pStyle w:val="paragraphsub"/>
      </w:pPr>
      <w:r w:rsidRPr="005E3B43">
        <w:tab/>
        <w:t>(ii)</w:t>
      </w:r>
      <w:r w:rsidRPr="005E3B43">
        <w:tab/>
        <w:t xml:space="preserve">one or more of the documents given was not in accordance with </w:t>
      </w:r>
      <w:r w:rsidR="004E6D00" w:rsidRPr="005E3B43">
        <w:t>paragraph (</w:t>
      </w:r>
      <w:r w:rsidRPr="005E3B43">
        <w:t xml:space="preserve">2)(a) or (b) or, if applicable, </w:t>
      </w:r>
      <w:r w:rsidR="004E6D00" w:rsidRPr="005E3B43">
        <w:t>paragraph (</w:t>
      </w:r>
      <w:r w:rsidRPr="005E3B43">
        <w:t>2)(c);</w:t>
      </w:r>
    </w:p>
    <w:p w14:paraId="6CA1E148" w14:textId="77777777" w:rsidR="00B47EF0" w:rsidRPr="005E3B43" w:rsidRDefault="00B47EF0" w:rsidP="00763BCF">
      <w:pPr>
        <w:pStyle w:val="paragraphsub"/>
      </w:pPr>
      <w:r w:rsidRPr="005E3B43">
        <w:tab/>
        <w:t>(iii)</w:t>
      </w:r>
      <w:r w:rsidRPr="005E3B43">
        <w:tab/>
        <w:t>the documents were not accompanied by the correct fee; and</w:t>
      </w:r>
    </w:p>
    <w:p w14:paraId="194C8B7B" w14:textId="77777777" w:rsidR="00B47EF0" w:rsidRPr="005E3B43" w:rsidRDefault="00B47EF0" w:rsidP="00763BCF">
      <w:pPr>
        <w:pStyle w:val="paragraph"/>
      </w:pPr>
      <w:r w:rsidRPr="005E3B43">
        <w:tab/>
        <w:t>(c)</w:t>
      </w:r>
      <w:r w:rsidRPr="005E3B43">
        <w:tab/>
        <w:t>specifies the date on which the charge for the relevant financial year becomes payable.</w:t>
      </w:r>
    </w:p>
    <w:p w14:paraId="288FBF22" w14:textId="77777777" w:rsidR="00B47EF0" w:rsidRPr="005E3B43" w:rsidRDefault="00B47EF0" w:rsidP="00763BCF">
      <w:pPr>
        <w:pStyle w:val="ActHead5"/>
      </w:pPr>
      <w:bookmarkStart w:id="271" w:name="_Toc187135865"/>
      <w:r w:rsidRPr="005E3B43">
        <w:rPr>
          <w:rStyle w:val="CharSectno"/>
        </w:rPr>
        <w:t>43AAGE</w:t>
      </w:r>
      <w:r w:rsidRPr="005E3B43">
        <w:t xml:space="preserve">  Person may notify Secretary that turnover of IVD device for financial year will not be of low value</w:t>
      </w:r>
      <w:bookmarkEnd w:id="271"/>
    </w:p>
    <w:p w14:paraId="2DA43FD6" w14:textId="77777777" w:rsidR="00B47EF0" w:rsidRPr="005E3B43" w:rsidRDefault="00B47EF0" w:rsidP="00763BCF">
      <w:pPr>
        <w:pStyle w:val="subsection"/>
      </w:pPr>
      <w:r w:rsidRPr="005E3B43">
        <w:tab/>
        <w:t>(1)</w:t>
      </w:r>
      <w:r w:rsidRPr="005E3B43">
        <w:tab/>
        <w:t>This regulation applies in relation to the following:</w:t>
      </w:r>
    </w:p>
    <w:p w14:paraId="1131CF55" w14:textId="77777777" w:rsidR="00B47EF0" w:rsidRPr="005E3B43" w:rsidRDefault="00B47EF0" w:rsidP="00763BCF">
      <w:pPr>
        <w:pStyle w:val="paragraph"/>
      </w:pPr>
      <w:r w:rsidRPr="005E3B43">
        <w:tab/>
        <w:t>(a)</w:t>
      </w:r>
      <w:r w:rsidRPr="005E3B43">
        <w:tab/>
        <w:t xml:space="preserve">an IVD device that is included in the Register at any time in a financial year commencing on or after </w:t>
      </w:r>
      <w:r w:rsidR="006B5D8E" w:rsidRPr="005E3B43">
        <w:t>1 July</w:t>
      </w:r>
      <w:r w:rsidRPr="005E3B43">
        <w:t xml:space="preserve"> 2017 (the </w:t>
      </w:r>
      <w:r w:rsidRPr="005E3B43">
        <w:rPr>
          <w:b/>
          <w:i/>
        </w:rPr>
        <w:t>current financial year</w:t>
      </w:r>
      <w:r w:rsidRPr="005E3B43">
        <w:t>) if the inclusion commenced in the current financial year;</w:t>
      </w:r>
    </w:p>
    <w:p w14:paraId="3EEBBA82" w14:textId="77777777" w:rsidR="00B47EF0" w:rsidRPr="005E3B43" w:rsidRDefault="00B47EF0" w:rsidP="00763BCF">
      <w:pPr>
        <w:pStyle w:val="paragraph"/>
      </w:pPr>
      <w:r w:rsidRPr="005E3B43">
        <w:tab/>
        <w:t>(b)</w:t>
      </w:r>
      <w:r w:rsidRPr="005E3B43">
        <w:tab/>
        <w:t xml:space="preserve">an IVD device that is included in the Register at any time in a financial year commencing on or after </w:t>
      </w:r>
      <w:r w:rsidR="006B5D8E" w:rsidRPr="005E3B43">
        <w:t>1 July</w:t>
      </w:r>
      <w:r w:rsidRPr="005E3B43">
        <w:t xml:space="preserve"> 2017 (the </w:t>
      </w:r>
      <w:r w:rsidRPr="005E3B43">
        <w:rPr>
          <w:b/>
          <w:i/>
        </w:rPr>
        <w:t>current financial year</w:t>
      </w:r>
      <w:r w:rsidRPr="005E3B43">
        <w:t>) if the person in relation to whom the device is included in the Register was exempt from liability to pay an annual charge for inclusion in the Register in respect of the device for the immediately preceding financial year.</w:t>
      </w:r>
    </w:p>
    <w:p w14:paraId="745EE3C4" w14:textId="77777777" w:rsidR="00B47EF0" w:rsidRPr="005E3B43" w:rsidRDefault="00B47EF0" w:rsidP="00763BCF">
      <w:pPr>
        <w:pStyle w:val="subsection"/>
      </w:pPr>
      <w:r w:rsidRPr="005E3B43">
        <w:tab/>
        <w:t>(2)</w:t>
      </w:r>
      <w:r w:rsidRPr="005E3B43">
        <w:tab/>
        <w:t>If the person in relation to whom the device is included in the Register becomes aware during the current financial year that the person’s turnover of the device for that year will not be of low value, the person may notify the Secretary, in a form or a manner approved by the Secretary, of that fact.</w:t>
      </w:r>
    </w:p>
    <w:p w14:paraId="7754CE89" w14:textId="77777777" w:rsidR="00B47EF0" w:rsidRPr="005E3B43" w:rsidRDefault="00B47EF0" w:rsidP="00763BCF">
      <w:pPr>
        <w:pStyle w:val="subsection"/>
      </w:pPr>
      <w:r w:rsidRPr="005E3B43">
        <w:tab/>
        <w:t>(3)</w:t>
      </w:r>
      <w:r w:rsidRPr="005E3B43">
        <w:tab/>
        <w:t>As soon as practicable after receiving a notification from a person under subregulation (2), the Secretary must give the person a written notice that specifies the date on which the charge for the current financial year becomes payable.</w:t>
      </w:r>
    </w:p>
    <w:p w14:paraId="0B845330" w14:textId="77777777" w:rsidR="00B47EF0" w:rsidRPr="005E3B43" w:rsidRDefault="00B47EF0" w:rsidP="00763BCF">
      <w:pPr>
        <w:pStyle w:val="notetext"/>
      </w:pPr>
      <w:r w:rsidRPr="005E3B43">
        <w:t>Note:</w:t>
      </w:r>
      <w:r w:rsidRPr="005E3B43">
        <w:tab/>
        <w:t>If the inclusion in the Register of the device commenced in the current financial year, the date must be the last day of the month commencing after the month in which the notification under subregulation (2) was given (see paragraph</w:t>
      </w:r>
      <w:r w:rsidR="004E6D00" w:rsidRPr="005E3B43">
        <w:t> </w:t>
      </w:r>
      <w:r w:rsidRPr="005E3B43">
        <w:t>43AAB(1)(a)).</w:t>
      </w:r>
    </w:p>
    <w:p w14:paraId="6E77FDD3" w14:textId="77777777" w:rsidR="00B47EF0" w:rsidRPr="005E3B43" w:rsidRDefault="00B47EF0" w:rsidP="00763BCF">
      <w:pPr>
        <w:pStyle w:val="ActHead5"/>
      </w:pPr>
      <w:bookmarkStart w:id="272" w:name="_Toc187135866"/>
      <w:r w:rsidRPr="005E3B43">
        <w:rPr>
          <w:rStyle w:val="CharSectno"/>
        </w:rPr>
        <w:t>43AAGF</w:t>
      </w:r>
      <w:r w:rsidRPr="005E3B43">
        <w:t xml:space="preserve">  Secretary may notify person that annual charge is payable if turnover is not of low value</w:t>
      </w:r>
      <w:bookmarkEnd w:id="272"/>
    </w:p>
    <w:p w14:paraId="0C5179FF" w14:textId="4201DBAC" w:rsidR="00B47EF0" w:rsidRPr="005E3B43" w:rsidRDefault="00B47EF0" w:rsidP="00763BCF">
      <w:pPr>
        <w:pStyle w:val="SubsectionHead"/>
      </w:pPr>
      <w:r w:rsidRPr="005E3B43">
        <w:t>IVD device entered in Register at any time in 2017</w:t>
      </w:r>
      <w:r w:rsidR="007C3215">
        <w:noBreakHyphen/>
      </w:r>
      <w:r w:rsidRPr="005E3B43">
        <w:t>18 financial year</w:t>
      </w:r>
    </w:p>
    <w:p w14:paraId="2CC1E64F" w14:textId="77777777" w:rsidR="00B47EF0" w:rsidRPr="005E3B43" w:rsidRDefault="00B47EF0" w:rsidP="00763BCF">
      <w:pPr>
        <w:pStyle w:val="subsection"/>
      </w:pPr>
      <w:r w:rsidRPr="005E3B43">
        <w:tab/>
        <w:t>(1)</w:t>
      </w:r>
      <w:r w:rsidRPr="005E3B43">
        <w:tab/>
        <w:t>If:</w:t>
      </w:r>
    </w:p>
    <w:p w14:paraId="25AD20CB" w14:textId="49D79968" w:rsidR="00B47EF0" w:rsidRPr="005E3B43" w:rsidRDefault="00B47EF0" w:rsidP="00763BCF">
      <w:pPr>
        <w:pStyle w:val="paragraph"/>
      </w:pPr>
      <w:r w:rsidRPr="005E3B43">
        <w:tab/>
        <w:t>(a)</w:t>
      </w:r>
      <w:r w:rsidRPr="005E3B43">
        <w:tab/>
        <w:t xml:space="preserve">an IVD device is included in the Register at any time in the financial year commencing on </w:t>
      </w:r>
      <w:r w:rsidR="006B5D8E" w:rsidRPr="005E3B43">
        <w:t>1 July</w:t>
      </w:r>
      <w:r w:rsidRPr="005E3B43">
        <w:t xml:space="preserve"> 2017 (the </w:t>
      </w:r>
      <w:r w:rsidRPr="005E3B43">
        <w:rPr>
          <w:b/>
          <w:i/>
        </w:rPr>
        <w:t>2017</w:t>
      </w:r>
      <w:r w:rsidR="007C3215">
        <w:rPr>
          <w:b/>
          <w:i/>
        </w:rPr>
        <w:noBreakHyphen/>
      </w:r>
      <w:r w:rsidRPr="005E3B43">
        <w:rPr>
          <w:b/>
          <w:i/>
        </w:rPr>
        <w:t>18 financial year</w:t>
      </w:r>
      <w:r w:rsidRPr="005E3B43">
        <w:t>); and</w:t>
      </w:r>
    </w:p>
    <w:p w14:paraId="7DCFD925" w14:textId="7A5D175C" w:rsidR="00B47EF0" w:rsidRPr="005E3B43" w:rsidRDefault="00B47EF0" w:rsidP="00763BCF">
      <w:pPr>
        <w:pStyle w:val="paragraph"/>
      </w:pPr>
      <w:r w:rsidRPr="005E3B43">
        <w:tab/>
        <w:t>(b)</w:t>
      </w:r>
      <w:r w:rsidRPr="005E3B43">
        <w:tab/>
        <w:t>the person in relation to whom the device is included in the Register has given the Secretary, in accordance with regulation</w:t>
      </w:r>
      <w:r w:rsidR="004E6D00" w:rsidRPr="005E3B43">
        <w:t> </w:t>
      </w:r>
      <w:r w:rsidRPr="005E3B43">
        <w:t xml:space="preserve">43AAGB or 43AAGD, a declaration stating that the person’s turnover of the device for the </w:t>
      </w:r>
      <w:r w:rsidRPr="005E3B43">
        <w:lastRenderedPageBreak/>
        <w:t>2017</w:t>
      </w:r>
      <w:r w:rsidR="007C3215">
        <w:noBreakHyphen/>
      </w:r>
      <w:r w:rsidRPr="005E3B43">
        <w:t>18 financial year, or for a previous financial year, was of low value; and</w:t>
      </w:r>
    </w:p>
    <w:p w14:paraId="29CA52A2" w14:textId="655A4DC4" w:rsidR="00B47EF0" w:rsidRPr="005E3B43" w:rsidRDefault="00B47EF0" w:rsidP="00763BCF">
      <w:pPr>
        <w:pStyle w:val="paragraph"/>
      </w:pPr>
      <w:r w:rsidRPr="005E3B43">
        <w:tab/>
        <w:t>(c)</w:t>
      </w:r>
      <w:r w:rsidRPr="005E3B43">
        <w:tab/>
        <w:t>the person has not paid an annual charge for inclusion in the Register in respect of the device for the 2017</w:t>
      </w:r>
      <w:r w:rsidR="007C3215">
        <w:noBreakHyphen/>
      </w:r>
      <w:r w:rsidRPr="005E3B43">
        <w:t>18 financial year; and</w:t>
      </w:r>
    </w:p>
    <w:p w14:paraId="51D0E3CC" w14:textId="705B3900" w:rsidR="00B47EF0" w:rsidRPr="005E3B43" w:rsidRDefault="00B47EF0" w:rsidP="00763BCF">
      <w:pPr>
        <w:pStyle w:val="paragraph"/>
      </w:pPr>
      <w:r w:rsidRPr="005E3B43">
        <w:tab/>
        <w:t>(d)</w:t>
      </w:r>
      <w:r w:rsidRPr="005E3B43">
        <w:tab/>
        <w:t>the Secretary becomes aware that the person’s turnover of the device for the 2017</w:t>
      </w:r>
      <w:r w:rsidR="007C3215">
        <w:noBreakHyphen/>
      </w:r>
      <w:r w:rsidRPr="005E3B43">
        <w:t>18 financial year, or for a previous financial year for which a declaration was given, was not of low value;</w:t>
      </w:r>
    </w:p>
    <w:p w14:paraId="55BFE5DF" w14:textId="77777777" w:rsidR="00B47EF0" w:rsidRPr="005E3B43" w:rsidRDefault="00B47EF0" w:rsidP="00763BCF">
      <w:pPr>
        <w:pStyle w:val="subsection2"/>
      </w:pPr>
      <w:r w:rsidRPr="005E3B43">
        <w:t>the Secretary must give the person a written notice in accordance with subregulation (2).</w:t>
      </w:r>
    </w:p>
    <w:p w14:paraId="3DE270E8" w14:textId="77777777" w:rsidR="00B47EF0" w:rsidRPr="005E3B43" w:rsidRDefault="00B47EF0" w:rsidP="00763BCF">
      <w:pPr>
        <w:pStyle w:val="subsection"/>
      </w:pPr>
      <w:r w:rsidRPr="005E3B43">
        <w:tab/>
        <w:t>(2)</w:t>
      </w:r>
      <w:r w:rsidRPr="005E3B43">
        <w:tab/>
        <w:t>A notice given to a person under subregulation (1) must:</w:t>
      </w:r>
    </w:p>
    <w:p w14:paraId="33124667" w14:textId="77777777" w:rsidR="00B47EF0" w:rsidRPr="005E3B43" w:rsidRDefault="00B47EF0" w:rsidP="00763BCF">
      <w:pPr>
        <w:pStyle w:val="paragraph"/>
      </w:pPr>
      <w:r w:rsidRPr="005E3B43">
        <w:tab/>
        <w:t>(a)</w:t>
      </w:r>
      <w:r w:rsidRPr="005E3B43">
        <w:tab/>
        <w:t>state that the person was not exempt from liability to pay an annual charge for inclusion in the Register in respect of the device:</w:t>
      </w:r>
    </w:p>
    <w:p w14:paraId="5F23BA41" w14:textId="734ECB66" w:rsidR="00B47EF0" w:rsidRPr="005E3B43" w:rsidRDefault="00B47EF0" w:rsidP="00763BCF">
      <w:pPr>
        <w:pStyle w:val="paragraphsub"/>
      </w:pPr>
      <w:r w:rsidRPr="005E3B43">
        <w:tab/>
        <w:t>(i)</w:t>
      </w:r>
      <w:r w:rsidRPr="005E3B43">
        <w:tab/>
        <w:t>for the 2017</w:t>
      </w:r>
      <w:r w:rsidR="007C3215">
        <w:noBreakHyphen/>
      </w:r>
      <w:r w:rsidRPr="005E3B43">
        <w:t>18 financial year; or</w:t>
      </w:r>
    </w:p>
    <w:p w14:paraId="78AD2B79" w14:textId="77777777" w:rsidR="00B47EF0" w:rsidRPr="005E3B43" w:rsidRDefault="00B47EF0" w:rsidP="00763BCF">
      <w:pPr>
        <w:pStyle w:val="paragraphsub"/>
      </w:pPr>
      <w:r w:rsidRPr="005E3B43">
        <w:tab/>
        <w:t>(ii)</w:t>
      </w:r>
      <w:r w:rsidRPr="005E3B43">
        <w:tab/>
        <w:t>for any later financial year for which the person did not pay an annual charge for inclusion in the Register in respect of the device (other than because the charge was waived under regulation</w:t>
      </w:r>
      <w:r w:rsidR="004E6D00" w:rsidRPr="005E3B43">
        <w:t> </w:t>
      </w:r>
      <w:r w:rsidRPr="005E3B43">
        <w:t>43AAH); and</w:t>
      </w:r>
    </w:p>
    <w:p w14:paraId="2669B553" w14:textId="77777777" w:rsidR="00B47EF0" w:rsidRPr="005E3B43" w:rsidRDefault="00B47EF0" w:rsidP="00763BCF">
      <w:pPr>
        <w:pStyle w:val="paragraph"/>
      </w:pPr>
      <w:r w:rsidRPr="005E3B43">
        <w:tab/>
        <w:t>(b)</w:t>
      </w:r>
      <w:r w:rsidRPr="005E3B43">
        <w:tab/>
        <w:t>specify the date on which the relevant charge, or charges, become payable.</w:t>
      </w:r>
    </w:p>
    <w:p w14:paraId="405DE813" w14:textId="77777777" w:rsidR="00B47EF0" w:rsidRPr="005E3B43" w:rsidRDefault="00B47EF0" w:rsidP="00763BCF">
      <w:pPr>
        <w:pStyle w:val="SubsectionHead"/>
      </w:pPr>
      <w:r w:rsidRPr="005E3B43">
        <w:t xml:space="preserve">IVD device entered in Register at any time in financial year commencing on or after </w:t>
      </w:r>
      <w:r w:rsidR="006B5D8E" w:rsidRPr="005E3B43">
        <w:t>1 July</w:t>
      </w:r>
      <w:r w:rsidRPr="005E3B43">
        <w:t xml:space="preserve"> 2018</w:t>
      </w:r>
    </w:p>
    <w:p w14:paraId="6D9D0035" w14:textId="77777777" w:rsidR="00B47EF0" w:rsidRPr="005E3B43" w:rsidRDefault="00B47EF0" w:rsidP="00763BCF">
      <w:pPr>
        <w:pStyle w:val="subsection"/>
      </w:pPr>
      <w:r w:rsidRPr="005E3B43">
        <w:tab/>
        <w:t>(3)</w:t>
      </w:r>
      <w:r w:rsidRPr="005E3B43">
        <w:tab/>
        <w:t>If:</w:t>
      </w:r>
    </w:p>
    <w:p w14:paraId="3B1DF341" w14:textId="77777777" w:rsidR="00B47EF0" w:rsidRPr="005E3B43" w:rsidRDefault="00B47EF0" w:rsidP="00763BCF">
      <w:pPr>
        <w:pStyle w:val="paragraph"/>
      </w:pPr>
      <w:r w:rsidRPr="005E3B43">
        <w:tab/>
        <w:t>(a)</w:t>
      </w:r>
      <w:r w:rsidRPr="005E3B43">
        <w:tab/>
        <w:t xml:space="preserve">an IVD device is included in the Register at any time in a financial year commencing on or after </w:t>
      </w:r>
      <w:r w:rsidR="006B5D8E" w:rsidRPr="005E3B43">
        <w:t>1 July</w:t>
      </w:r>
      <w:r w:rsidRPr="005E3B43">
        <w:t xml:space="preserve"> 2018 (the </w:t>
      </w:r>
      <w:r w:rsidRPr="005E3B43">
        <w:rPr>
          <w:b/>
          <w:i/>
        </w:rPr>
        <w:t>relevant financial year</w:t>
      </w:r>
      <w:r w:rsidRPr="005E3B43">
        <w:t>); and</w:t>
      </w:r>
    </w:p>
    <w:p w14:paraId="0709E427" w14:textId="77777777" w:rsidR="00B47EF0" w:rsidRPr="005E3B43" w:rsidRDefault="00B47EF0" w:rsidP="00763BCF">
      <w:pPr>
        <w:pStyle w:val="paragraph"/>
      </w:pPr>
      <w:r w:rsidRPr="005E3B43">
        <w:tab/>
        <w:t>(b)</w:t>
      </w:r>
      <w:r w:rsidRPr="005E3B43">
        <w:tab/>
        <w:t>the person in relation to whom the device is included in the Register has given the Secretary, in accordance with regulation</w:t>
      </w:r>
      <w:r w:rsidR="004E6D00" w:rsidRPr="005E3B43">
        <w:t> </w:t>
      </w:r>
      <w:r w:rsidRPr="005E3B43">
        <w:t>43AAGC or 43AAGD, a declaration stating that the person’s turnover of the device for the relevant financial year was of low value; and</w:t>
      </w:r>
    </w:p>
    <w:p w14:paraId="21824FFC" w14:textId="77777777" w:rsidR="00B47EF0" w:rsidRPr="005E3B43" w:rsidRDefault="00B47EF0" w:rsidP="00763BCF">
      <w:pPr>
        <w:pStyle w:val="paragraph"/>
      </w:pPr>
      <w:r w:rsidRPr="005E3B43">
        <w:tab/>
        <w:t>(c)</w:t>
      </w:r>
      <w:r w:rsidRPr="005E3B43">
        <w:tab/>
        <w:t>the person has not paid an annual charge for inclusion in the Register in respect of the device for the relevant financial year; and</w:t>
      </w:r>
    </w:p>
    <w:p w14:paraId="1F4349A5" w14:textId="77777777" w:rsidR="00B47EF0" w:rsidRPr="005E3B43" w:rsidRDefault="00B47EF0" w:rsidP="00763BCF">
      <w:pPr>
        <w:pStyle w:val="paragraph"/>
      </w:pPr>
      <w:r w:rsidRPr="005E3B43">
        <w:tab/>
        <w:t>(d)</w:t>
      </w:r>
      <w:r w:rsidRPr="005E3B43">
        <w:tab/>
        <w:t>the Secretary becomes aware that the person’s turnover of the device for the relevant financial year was not of low value;</w:t>
      </w:r>
    </w:p>
    <w:p w14:paraId="736D0346" w14:textId="77777777" w:rsidR="00B47EF0" w:rsidRPr="005E3B43" w:rsidRDefault="00B47EF0" w:rsidP="00763BCF">
      <w:pPr>
        <w:pStyle w:val="subsection2"/>
      </w:pPr>
      <w:r w:rsidRPr="005E3B43">
        <w:t>the Secretary must give the person a written notice in accordance with subregulation (4).</w:t>
      </w:r>
    </w:p>
    <w:p w14:paraId="38238772" w14:textId="77777777" w:rsidR="00B47EF0" w:rsidRPr="005E3B43" w:rsidRDefault="00B47EF0" w:rsidP="00763BCF">
      <w:pPr>
        <w:pStyle w:val="subsection"/>
      </w:pPr>
      <w:r w:rsidRPr="005E3B43">
        <w:tab/>
        <w:t>(4)</w:t>
      </w:r>
      <w:r w:rsidRPr="005E3B43">
        <w:tab/>
        <w:t>A notice given to a person under subregulation (3) must:</w:t>
      </w:r>
    </w:p>
    <w:p w14:paraId="460FF35C" w14:textId="77777777" w:rsidR="00B47EF0" w:rsidRPr="005E3B43" w:rsidRDefault="00B47EF0" w:rsidP="00763BCF">
      <w:pPr>
        <w:pStyle w:val="paragraph"/>
      </w:pPr>
      <w:r w:rsidRPr="005E3B43">
        <w:tab/>
        <w:t>(a)</w:t>
      </w:r>
      <w:r w:rsidRPr="005E3B43">
        <w:tab/>
        <w:t>state that the person was not exempt from liability to pay an annual charge for inclusion in the Register in respect of the device:</w:t>
      </w:r>
    </w:p>
    <w:p w14:paraId="6CF7ED2E" w14:textId="77777777" w:rsidR="00B47EF0" w:rsidRPr="005E3B43" w:rsidRDefault="00B47EF0" w:rsidP="00763BCF">
      <w:pPr>
        <w:pStyle w:val="paragraphsub"/>
      </w:pPr>
      <w:r w:rsidRPr="005E3B43">
        <w:tab/>
        <w:t>(i)</w:t>
      </w:r>
      <w:r w:rsidRPr="005E3B43">
        <w:tab/>
        <w:t>for the relevant financial year; or</w:t>
      </w:r>
    </w:p>
    <w:p w14:paraId="7E52F8F7" w14:textId="77777777" w:rsidR="00B47EF0" w:rsidRPr="005E3B43" w:rsidRDefault="00B47EF0" w:rsidP="00763BCF">
      <w:pPr>
        <w:pStyle w:val="paragraphsub"/>
      </w:pPr>
      <w:r w:rsidRPr="005E3B43">
        <w:tab/>
        <w:t>(ii)</w:t>
      </w:r>
      <w:r w:rsidRPr="005E3B43">
        <w:tab/>
        <w:t>for any later financial year for which the person did not pay an annual charge for inclusion in the Register in respect of the device (other than because the charge was waived under regulation</w:t>
      </w:r>
      <w:r w:rsidR="004E6D00" w:rsidRPr="005E3B43">
        <w:t> </w:t>
      </w:r>
      <w:r w:rsidRPr="005E3B43">
        <w:t>43AAH); and</w:t>
      </w:r>
    </w:p>
    <w:p w14:paraId="5026144A" w14:textId="77777777" w:rsidR="00B47EF0" w:rsidRPr="005E3B43" w:rsidRDefault="00B47EF0" w:rsidP="00763BCF">
      <w:pPr>
        <w:pStyle w:val="paragraph"/>
      </w:pPr>
      <w:r w:rsidRPr="005E3B43">
        <w:tab/>
        <w:t>(b)</w:t>
      </w:r>
      <w:r w:rsidRPr="005E3B43">
        <w:tab/>
        <w:t>specify the date on which the relevant charge, or charges, become payable.</w:t>
      </w:r>
    </w:p>
    <w:p w14:paraId="5FE53EC3" w14:textId="77777777" w:rsidR="00B47EF0" w:rsidRPr="005E3B43" w:rsidRDefault="00B47EF0" w:rsidP="00763BCF">
      <w:pPr>
        <w:pStyle w:val="ActHead4"/>
      </w:pPr>
      <w:bookmarkStart w:id="273" w:name="_Toc187135867"/>
      <w:r w:rsidRPr="005E3B43">
        <w:rPr>
          <w:rStyle w:val="CharSubdNo"/>
        </w:rPr>
        <w:lastRenderedPageBreak/>
        <w:t>Subdivision</w:t>
      </w:r>
      <w:r w:rsidR="004E6D00" w:rsidRPr="005E3B43">
        <w:rPr>
          <w:rStyle w:val="CharSubdNo"/>
        </w:rPr>
        <w:t> </w:t>
      </w:r>
      <w:r w:rsidRPr="005E3B43">
        <w:rPr>
          <w:rStyle w:val="CharSubdNo"/>
        </w:rPr>
        <w:t>2B</w:t>
      </w:r>
      <w:r w:rsidRPr="005E3B43">
        <w:t>—</w:t>
      </w:r>
      <w:r w:rsidRPr="005E3B43">
        <w:rPr>
          <w:rStyle w:val="CharSubdText"/>
        </w:rPr>
        <w:t>Waiver of certain annual charges</w:t>
      </w:r>
      <w:bookmarkEnd w:id="273"/>
    </w:p>
    <w:p w14:paraId="78A59D8C" w14:textId="77777777" w:rsidR="00B47EF0" w:rsidRPr="005E3B43" w:rsidRDefault="00B47EF0" w:rsidP="00763BCF">
      <w:pPr>
        <w:pStyle w:val="ActHead5"/>
      </w:pPr>
      <w:bookmarkStart w:id="274" w:name="_Toc187135868"/>
      <w:r w:rsidRPr="005E3B43">
        <w:rPr>
          <w:rStyle w:val="CharSectno"/>
        </w:rPr>
        <w:t>43AAGG</w:t>
      </w:r>
      <w:r w:rsidRPr="005E3B43">
        <w:t xml:space="preserve">  Purpose of Subdivision</w:t>
      </w:r>
      <w:bookmarkEnd w:id="274"/>
    </w:p>
    <w:p w14:paraId="0499F47B" w14:textId="77777777" w:rsidR="00B47EF0" w:rsidRPr="005E3B43" w:rsidRDefault="00B47EF0" w:rsidP="00763BCF">
      <w:pPr>
        <w:pStyle w:val="subsection"/>
      </w:pPr>
      <w:r w:rsidRPr="005E3B43">
        <w:tab/>
      </w:r>
      <w:r w:rsidRPr="005E3B43">
        <w:tab/>
      </w:r>
      <w:r w:rsidR="00237808" w:rsidRPr="005E3B43">
        <w:t>For the purposes of paragraph 63(3)(b)</w:t>
      </w:r>
      <w:r w:rsidRPr="005E3B43">
        <w:t xml:space="preserve"> of the Act, this Subdivision makes provision for and in relation to waiving an annual registration charge, annual listing charge or annual charge for inclusion in the Register in respect of therapeutic goods for a financial year in certain circumstances.</w:t>
      </w:r>
    </w:p>
    <w:p w14:paraId="2144C676" w14:textId="77777777" w:rsidR="002039B6" w:rsidRPr="005E3B43" w:rsidRDefault="002039B6" w:rsidP="00763BCF">
      <w:pPr>
        <w:pStyle w:val="ActHead5"/>
      </w:pPr>
      <w:bookmarkStart w:id="275" w:name="_Toc187135869"/>
      <w:r w:rsidRPr="005E3B43">
        <w:rPr>
          <w:rStyle w:val="CharSectno"/>
        </w:rPr>
        <w:t>43AAH</w:t>
      </w:r>
      <w:r w:rsidRPr="005E3B43">
        <w:t xml:space="preserve">  Waiver of certain annual charges</w:t>
      </w:r>
      <w:bookmarkEnd w:id="275"/>
    </w:p>
    <w:p w14:paraId="667E640C" w14:textId="77777777" w:rsidR="002039B6" w:rsidRPr="005E3B43" w:rsidRDefault="002039B6" w:rsidP="00763BCF">
      <w:pPr>
        <w:pStyle w:val="SubsectionHead"/>
      </w:pPr>
      <w:r w:rsidRPr="005E3B43">
        <w:t>Scope</w:t>
      </w:r>
    </w:p>
    <w:p w14:paraId="19D10FA1" w14:textId="77777777" w:rsidR="002039B6" w:rsidRPr="005E3B43" w:rsidRDefault="002039B6" w:rsidP="00763BCF">
      <w:pPr>
        <w:pStyle w:val="subsection"/>
      </w:pPr>
      <w:r w:rsidRPr="005E3B43">
        <w:tab/>
        <w:t>(1)</w:t>
      </w:r>
      <w:r w:rsidRPr="005E3B43">
        <w:tab/>
        <w:t>This regulation applies in relation to a person who is liable to pay:</w:t>
      </w:r>
    </w:p>
    <w:p w14:paraId="04516337" w14:textId="77777777" w:rsidR="002039B6" w:rsidRPr="005E3B43" w:rsidRDefault="002039B6" w:rsidP="00763BCF">
      <w:pPr>
        <w:pStyle w:val="paragraph"/>
      </w:pPr>
      <w:r w:rsidRPr="005E3B43">
        <w:tab/>
        <w:t>(a)</w:t>
      </w:r>
      <w:r w:rsidRPr="005E3B43">
        <w:tab/>
        <w:t>an annual registration charge for registered goods that are medicines; or</w:t>
      </w:r>
    </w:p>
    <w:p w14:paraId="4157F2A6" w14:textId="77777777" w:rsidR="002039B6" w:rsidRPr="005E3B43" w:rsidRDefault="002039B6" w:rsidP="00763BCF">
      <w:pPr>
        <w:pStyle w:val="paragraph"/>
      </w:pPr>
      <w:r w:rsidRPr="005E3B43">
        <w:tab/>
        <w:t>(b)</w:t>
      </w:r>
      <w:r w:rsidRPr="005E3B43">
        <w:tab/>
        <w:t>an annual charge for inclusion in the Register for a financial year of:</w:t>
      </w:r>
    </w:p>
    <w:p w14:paraId="66049096" w14:textId="77777777" w:rsidR="002039B6" w:rsidRPr="005E3B43" w:rsidRDefault="002039B6" w:rsidP="00763BCF">
      <w:pPr>
        <w:pStyle w:val="paragraphsub"/>
      </w:pPr>
      <w:r w:rsidRPr="005E3B43">
        <w:tab/>
        <w:t>(i)</w:t>
      </w:r>
      <w:r w:rsidRPr="005E3B43">
        <w:tab/>
        <w:t>a biological; or</w:t>
      </w:r>
    </w:p>
    <w:p w14:paraId="582BB2DE" w14:textId="2FD150C6" w:rsidR="002039B6" w:rsidRPr="005E3B43" w:rsidRDefault="002039B6" w:rsidP="00763BCF">
      <w:pPr>
        <w:pStyle w:val="paragraphsub"/>
      </w:pPr>
      <w:r w:rsidRPr="005E3B43">
        <w:tab/>
        <w:t>(ii)</w:t>
      </w:r>
      <w:r w:rsidRPr="005E3B43">
        <w:tab/>
        <w:t xml:space="preserve">a medical device that is classified under the </w:t>
      </w:r>
      <w:r w:rsidRPr="005E3B43">
        <w:rPr>
          <w:i/>
        </w:rPr>
        <w:t xml:space="preserve">Therapeutic Goods (Medical Devices) </w:t>
      </w:r>
      <w:r w:rsidR="007C3215">
        <w:rPr>
          <w:i/>
        </w:rPr>
        <w:t>Regulations 2</w:t>
      </w:r>
      <w:r w:rsidRPr="005E3B43">
        <w:rPr>
          <w:i/>
        </w:rPr>
        <w:t>002</w:t>
      </w:r>
      <w:r w:rsidRPr="005E3B43">
        <w:t xml:space="preserve"> as Class IIa or higher; or</w:t>
      </w:r>
    </w:p>
    <w:p w14:paraId="1F79C977" w14:textId="0A21D681" w:rsidR="002039B6" w:rsidRPr="005E3B43" w:rsidRDefault="002039B6" w:rsidP="00763BCF">
      <w:pPr>
        <w:pStyle w:val="paragraphsub"/>
      </w:pPr>
      <w:r w:rsidRPr="005E3B43">
        <w:tab/>
        <w:t>(iii)</w:t>
      </w:r>
      <w:r w:rsidRPr="005E3B43">
        <w:tab/>
        <w:t xml:space="preserve">an IVD medical device that is classified under the </w:t>
      </w:r>
      <w:r w:rsidRPr="005E3B43">
        <w:rPr>
          <w:i/>
        </w:rPr>
        <w:t xml:space="preserve">Therapeutic Goods (Medical Devices) </w:t>
      </w:r>
      <w:r w:rsidR="007C3215">
        <w:rPr>
          <w:i/>
        </w:rPr>
        <w:t>Regulations 2</w:t>
      </w:r>
      <w:r w:rsidRPr="005E3B43">
        <w:rPr>
          <w:i/>
        </w:rPr>
        <w:t>002</w:t>
      </w:r>
      <w:r w:rsidRPr="005E3B43">
        <w:t xml:space="preserve"> as Class 2 or higher.</w:t>
      </w:r>
    </w:p>
    <w:p w14:paraId="1E329367" w14:textId="77777777" w:rsidR="002039B6" w:rsidRPr="005E3B43" w:rsidRDefault="002039B6" w:rsidP="00763BCF">
      <w:pPr>
        <w:pStyle w:val="SubsectionHead"/>
      </w:pPr>
      <w:r w:rsidRPr="005E3B43">
        <w:t>Application for waiver of charge</w:t>
      </w:r>
    </w:p>
    <w:p w14:paraId="154DA09A" w14:textId="77777777" w:rsidR="002039B6" w:rsidRPr="005E3B43" w:rsidRDefault="002039B6" w:rsidP="00763BCF">
      <w:pPr>
        <w:pStyle w:val="subsection"/>
      </w:pPr>
      <w:r w:rsidRPr="005E3B43">
        <w:tab/>
        <w:t>(2)</w:t>
      </w:r>
      <w:r w:rsidRPr="005E3B43">
        <w:tab/>
        <w:t>The person may apply to the Secretary, in writing, for the charge to be waived for a financial year.</w:t>
      </w:r>
    </w:p>
    <w:p w14:paraId="5E16E0AD" w14:textId="77777777" w:rsidR="002039B6" w:rsidRPr="005E3B43" w:rsidRDefault="002039B6" w:rsidP="00763BCF">
      <w:pPr>
        <w:pStyle w:val="subsection"/>
      </w:pPr>
      <w:r w:rsidRPr="005E3B43">
        <w:tab/>
        <w:t>(3)</w:t>
      </w:r>
      <w:r w:rsidRPr="005E3B43">
        <w:tab/>
        <w:t xml:space="preserve">An application under subregulation (2) in relation to particular therapeutic goods and a financial year (the </w:t>
      </w:r>
      <w:r w:rsidRPr="005E3B43">
        <w:rPr>
          <w:b/>
          <w:i/>
        </w:rPr>
        <w:t>relevant financial year</w:t>
      </w:r>
      <w:r w:rsidRPr="005E3B43">
        <w:t>) must:</w:t>
      </w:r>
    </w:p>
    <w:p w14:paraId="2EB6378C" w14:textId="77777777" w:rsidR="002039B6" w:rsidRPr="005E3B43" w:rsidRDefault="002039B6" w:rsidP="00763BCF">
      <w:pPr>
        <w:pStyle w:val="paragraph"/>
      </w:pPr>
      <w:r w:rsidRPr="005E3B43">
        <w:tab/>
        <w:t>(a)</w:t>
      </w:r>
      <w:r w:rsidRPr="005E3B43">
        <w:tab/>
        <w:t>be made:</w:t>
      </w:r>
    </w:p>
    <w:p w14:paraId="1F7DC283" w14:textId="77777777" w:rsidR="002039B6" w:rsidRPr="005E3B43" w:rsidRDefault="002039B6" w:rsidP="00763BCF">
      <w:pPr>
        <w:pStyle w:val="paragraphsub"/>
      </w:pPr>
      <w:r w:rsidRPr="005E3B43">
        <w:tab/>
        <w:t>(i)</w:t>
      </w:r>
      <w:r w:rsidRPr="005E3B43">
        <w:tab/>
        <w:t>if the registration or inclusion in the Register of the goods commenced in the relevant financial year—before 31</w:t>
      </w:r>
      <w:r w:rsidR="004E6D00" w:rsidRPr="005E3B43">
        <w:t> </w:t>
      </w:r>
      <w:r w:rsidRPr="005E3B43">
        <w:t>December in the next financial year; and</w:t>
      </w:r>
    </w:p>
    <w:p w14:paraId="369BEE76" w14:textId="77777777" w:rsidR="002039B6" w:rsidRPr="005E3B43" w:rsidRDefault="002039B6" w:rsidP="00763BCF">
      <w:pPr>
        <w:pStyle w:val="paragraphsub"/>
      </w:pPr>
      <w:r w:rsidRPr="005E3B43">
        <w:tab/>
        <w:t>(ii)</w:t>
      </w:r>
      <w:r w:rsidRPr="005E3B43">
        <w:tab/>
        <w:t>in any other case—at any time during the relevant financial year; and</w:t>
      </w:r>
    </w:p>
    <w:p w14:paraId="1717FAAA" w14:textId="77777777" w:rsidR="002039B6" w:rsidRPr="005E3B43" w:rsidRDefault="002039B6" w:rsidP="00763BCF">
      <w:pPr>
        <w:pStyle w:val="paragraph"/>
      </w:pPr>
      <w:r w:rsidRPr="005E3B43">
        <w:tab/>
        <w:t>(b)</w:t>
      </w:r>
      <w:r w:rsidRPr="005E3B43">
        <w:tab/>
        <w:t>be accompanied by information in support of the application that addresses the matters referred to subregulations (7) and (8).</w:t>
      </w:r>
    </w:p>
    <w:p w14:paraId="0DF7FE6A" w14:textId="77777777" w:rsidR="002039B6" w:rsidRPr="005E3B43" w:rsidRDefault="002039B6" w:rsidP="00763BCF">
      <w:pPr>
        <w:pStyle w:val="notetext"/>
      </w:pPr>
      <w:r w:rsidRPr="005E3B43">
        <w:t>Note 1:</w:t>
      </w:r>
      <w:r w:rsidRPr="005E3B43">
        <w:tab/>
        <w:t>No application fee is payable.</w:t>
      </w:r>
    </w:p>
    <w:p w14:paraId="7DE7D3E3" w14:textId="77777777" w:rsidR="002039B6" w:rsidRPr="005E3B43" w:rsidRDefault="002039B6" w:rsidP="00763BCF">
      <w:pPr>
        <w:pStyle w:val="notetext"/>
      </w:pPr>
      <w:r w:rsidRPr="005E3B43">
        <w:t>Note 2:</w:t>
      </w:r>
      <w:r w:rsidRPr="005E3B43">
        <w:tab/>
        <w:t>A person may commit an offence if the person provides false or misleading information or documents (see sections</w:t>
      </w:r>
      <w:r w:rsidR="004E6D00" w:rsidRPr="005E3B43">
        <w:t> </w:t>
      </w:r>
      <w:r w:rsidRPr="005E3B43">
        <w:t xml:space="preserve">137.1 and 137.2 of the </w:t>
      </w:r>
      <w:r w:rsidRPr="005E3B43">
        <w:rPr>
          <w:i/>
        </w:rPr>
        <w:t>Criminal Code</w:t>
      </w:r>
      <w:r w:rsidRPr="005E3B43">
        <w:t>).</w:t>
      </w:r>
    </w:p>
    <w:p w14:paraId="41B8B230" w14:textId="77777777" w:rsidR="002039B6" w:rsidRPr="005E3B43" w:rsidRDefault="002039B6" w:rsidP="00763BCF">
      <w:pPr>
        <w:pStyle w:val="SubsectionHead"/>
      </w:pPr>
      <w:r w:rsidRPr="005E3B43">
        <w:t>Decision by Secretary</w:t>
      </w:r>
    </w:p>
    <w:p w14:paraId="6598A5B1" w14:textId="77777777" w:rsidR="002039B6" w:rsidRPr="005E3B43" w:rsidRDefault="002039B6" w:rsidP="00763BCF">
      <w:pPr>
        <w:pStyle w:val="subsection"/>
      </w:pPr>
      <w:r w:rsidRPr="005E3B43">
        <w:tab/>
        <w:t>(4)</w:t>
      </w:r>
      <w:r w:rsidRPr="005E3B43">
        <w:tab/>
        <w:t>Within 60 days after receiving an application in accordance with subregulation (3) to waive a charge for a financial year, the Secretary must decide:</w:t>
      </w:r>
    </w:p>
    <w:p w14:paraId="2C19515E" w14:textId="77777777" w:rsidR="002039B6" w:rsidRPr="005E3B43" w:rsidRDefault="002039B6" w:rsidP="00763BCF">
      <w:pPr>
        <w:pStyle w:val="paragraph"/>
      </w:pPr>
      <w:r w:rsidRPr="005E3B43">
        <w:tab/>
        <w:t>(a)</w:t>
      </w:r>
      <w:r w:rsidRPr="005E3B43">
        <w:tab/>
        <w:t>to waive the charge for the financial year; or</w:t>
      </w:r>
    </w:p>
    <w:p w14:paraId="6253435C" w14:textId="77777777" w:rsidR="002039B6" w:rsidRPr="005E3B43" w:rsidRDefault="002039B6" w:rsidP="00763BCF">
      <w:pPr>
        <w:pStyle w:val="paragraph"/>
      </w:pPr>
      <w:r w:rsidRPr="005E3B43">
        <w:tab/>
        <w:t>(b)</w:t>
      </w:r>
      <w:r w:rsidRPr="005E3B43">
        <w:tab/>
        <w:t>to refuse to waive the charge for the financial year.</w:t>
      </w:r>
    </w:p>
    <w:p w14:paraId="2F4C13D0" w14:textId="77777777" w:rsidR="002039B6" w:rsidRPr="005E3B43" w:rsidRDefault="002039B6" w:rsidP="00763BCF">
      <w:pPr>
        <w:pStyle w:val="subsection"/>
      </w:pPr>
      <w:r w:rsidRPr="005E3B43">
        <w:lastRenderedPageBreak/>
        <w:tab/>
        <w:t>(5)</w:t>
      </w:r>
      <w:r w:rsidRPr="005E3B43">
        <w:tab/>
        <w:t>In considering the application, the Secretary:</w:t>
      </w:r>
    </w:p>
    <w:p w14:paraId="14A0E1EA" w14:textId="77777777" w:rsidR="002039B6" w:rsidRPr="005E3B43" w:rsidRDefault="002039B6" w:rsidP="00763BCF">
      <w:pPr>
        <w:pStyle w:val="paragraph"/>
      </w:pPr>
      <w:r w:rsidRPr="005E3B43">
        <w:tab/>
        <w:t>(a)</w:t>
      </w:r>
      <w:r w:rsidRPr="005E3B43">
        <w:tab/>
        <w:t xml:space="preserve">must take into account the information referred to in </w:t>
      </w:r>
      <w:r w:rsidR="004E6D00" w:rsidRPr="005E3B43">
        <w:t>paragraph (</w:t>
      </w:r>
      <w:r w:rsidRPr="005E3B43">
        <w:t>3)(b); and</w:t>
      </w:r>
    </w:p>
    <w:p w14:paraId="7B078F31" w14:textId="77777777" w:rsidR="002039B6" w:rsidRPr="005E3B43" w:rsidRDefault="002039B6" w:rsidP="00763BCF">
      <w:pPr>
        <w:pStyle w:val="paragraph"/>
      </w:pPr>
      <w:r w:rsidRPr="005E3B43">
        <w:tab/>
        <w:t>(b)</w:t>
      </w:r>
      <w:r w:rsidRPr="005E3B43">
        <w:tab/>
        <w:t>must not take into account any other information provided by, or on behalf of, the applicant after the making of the application, other than information provided in response to a request from the Secretary.</w:t>
      </w:r>
    </w:p>
    <w:p w14:paraId="6C0D4C0D" w14:textId="77777777" w:rsidR="002039B6" w:rsidRPr="005E3B43" w:rsidRDefault="002039B6" w:rsidP="00763BCF">
      <w:pPr>
        <w:pStyle w:val="subsection"/>
      </w:pPr>
      <w:r w:rsidRPr="005E3B43">
        <w:tab/>
        <w:t>(6)</w:t>
      </w:r>
      <w:r w:rsidRPr="005E3B43">
        <w:tab/>
      </w:r>
      <w:r w:rsidR="004E6D00" w:rsidRPr="005E3B43">
        <w:t>Paragraph (</w:t>
      </w:r>
      <w:r w:rsidRPr="005E3B43">
        <w:t>5)(a) does not otherwise limit the information the Secretary may take into account in considering the application.</w:t>
      </w:r>
    </w:p>
    <w:p w14:paraId="552B754C" w14:textId="77777777" w:rsidR="002039B6" w:rsidRPr="005E3B43" w:rsidRDefault="002039B6" w:rsidP="00763BCF">
      <w:pPr>
        <w:pStyle w:val="subsection"/>
      </w:pPr>
      <w:r w:rsidRPr="005E3B43">
        <w:tab/>
        <w:t>(7)</w:t>
      </w:r>
      <w:r w:rsidRPr="005E3B43">
        <w:tab/>
        <w:t>The Secretary may decide to waive the charge for a financial year only if the Secretary is satisfied that:</w:t>
      </w:r>
    </w:p>
    <w:p w14:paraId="7F3FD812" w14:textId="77777777" w:rsidR="002039B6" w:rsidRPr="005E3B43" w:rsidRDefault="002039B6" w:rsidP="00763BCF">
      <w:pPr>
        <w:pStyle w:val="paragraph"/>
      </w:pPr>
      <w:r w:rsidRPr="005E3B43">
        <w:tab/>
        <w:t>(a)</w:t>
      </w:r>
      <w:r w:rsidRPr="005E3B43">
        <w:tab/>
        <w:t>the goods to which the charge relates are registered or included in the Register at the time the Secretary is considering the application; and</w:t>
      </w:r>
    </w:p>
    <w:p w14:paraId="4F512738" w14:textId="77777777" w:rsidR="002039B6" w:rsidRPr="005E3B43" w:rsidRDefault="002039B6" w:rsidP="00763BCF">
      <w:pPr>
        <w:pStyle w:val="paragraph"/>
      </w:pPr>
      <w:r w:rsidRPr="005E3B43">
        <w:tab/>
        <w:t>(b)</w:t>
      </w:r>
      <w:r w:rsidRPr="005E3B43">
        <w:tab/>
        <w:t>it is in the interest of public health for the entry in relation to the goods to remain on the Register; and</w:t>
      </w:r>
    </w:p>
    <w:p w14:paraId="775A72C5" w14:textId="77777777" w:rsidR="002039B6" w:rsidRPr="005E3B43" w:rsidRDefault="002039B6" w:rsidP="00763BCF">
      <w:pPr>
        <w:pStyle w:val="paragraph"/>
      </w:pPr>
      <w:r w:rsidRPr="005E3B43">
        <w:tab/>
        <w:t>(c)</w:t>
      </w:r>
      <w:r w:rsidRPr="005E3B43">
        <w:tab/>
        <w:t>it would not be financially viable for the entry in relation to the goods to remain on the Register if the person in relation to whom the goods are entered in the Register were required to pay the charge for that financial year.</w:t>
      </w:r>
    </w:p>
    <w:p w14:paraId="63F1F131" w14:textId="77777777" w:rsidR="002039B6" w:rsidRPr="005E3B43" w:rsidRDefault="002039B6" w:rsidP="00763BCF">
      <w:pPr>
        <w:pStyle w:val="subsection"/>
      </w:pPr>
      <w:r w:rsidRPr="005E3B43">
        <w:tab/>
        <w:t>(8)</w:t>
      </w:r>
      <w:r w:rsidRPr="005E3B43">
        <w:tab/>
        <w:t>For the purpose of considering whether it is in the interest of public health for the entry in relation to the goods to which the charge relates to remain on the Register, the Secretary must take into account the following matters:</w:t>
      </w:r>
    </w:p>
    <w:p w14:paraId="53BEC7EE" w14:textId="77777777" w:rsidR="002039B6" w:rsidRPr="005E3B43" w:rsidRDefault="002039B6" w:rsidP="00763BCF">
      <w:pPr>
        <w:pStyle w:val="paragraph"/>
      </w:pPr>
      <w:r w:rsidRPr="005E3B43">
        <w:tab/>
        <w:t>(a)</w:t>
      </w:r>
      <w:r w:rsidRPr="005E3B43">
        <w:tab/>
        <w:t>the population who use the goods;</w:t>
      </w:r>
    </w:p>
    <w:p w14:paraId="5908DB36" w14:textId="77777777" w:rsidR="002039B6" w:rsidRPr="005E3B43" w:rsidRDefault="002039B6" w:rsidP="00763BCF">
      <w:pPr>
        <w:pStyle w:val="paragraph"/>
      </w:pPr>
      <w:r w:rsidRPr="005E3B43">
        <w:tab/>
        <w:t>(b)</w:t>
      </w:r>
      <w:r w:rsidRPr="005E3B43">
        <w:tab/>
        <w:t>the clinical needs of the population who use the goods and the reasonable availability of alternatives to the goods for that population;</w:t>
      </w:r>
    </w:p>
    <w:p w14:paraId="43CE9A15" w14:textId="77777777" w:rsidR="002039B6" w:rsidRPr="005E3B43" w:rsidRDefault="002039B6" w:rsidP="00763BCF">
      <w:pPr>
        <w:pStyle w:val="paragraph"/>
      </w:pPr>
      <w:r w:rsidRPr="005E3B43">
        <w:tab/>
        <w:t>(c)</w:t>
      </w:r>
      <w:r w:rsidRPr="005E3B43">
        <w:tab/>
        <w:t>any health risks to the population who use the goods that may be associated with:</w:t>
      </w:r>
    </w:p>
    <w:p w14:paraId="67F9EDF2" w14:textId="77777777" w:rsidR="002039B6" w:rsidRPr="005E3B43" w:rsidRDefault="002039B6" w:rsidP="00763BCF">
      <w:pPr>
        <w:pStyle w:val="paragraphsub"/>
      </w:pPr>
      <w:r w:rsidRPr="005E3B43">
        <w:tab/>
        <w:t>(i)</w:t>
      </w:r>
      <w:r w:rsidRPr="005E3B43">
        <w:tab/>
        <w:t>obtaining the goods through alternative means; or</w:t>
      </w:r>
    </w:p>
    <w:p w14:paraId="7A2A4057" w14:textId="77777777" w:rsidR="002039B6" w:rsidRPr="005E3B43" w:rsidRDefault="002039B6" w:rsidP="00763BCF">
      <w:pPr>
        <w:pStyle w:val="paragraphsub"/>
      </w:pPr>
      <w:r w:rsidRPr="005E3B43">
        <w:tab/>
        <w:t>(ii)</w:t>
      </w:r>
      <w:r w:rsidRPr="005E3B43">
        <w:tab/>
        <w:t>the use of alternative goods;</w:t>
      </w:r>
    </w:p>
    <w:p w14:paraId="41F34B3B" w14:textId="77777777" w:rsidR="002039B6" w:rsidRPr="005E3B43" w:rsidRDefault="002039B6" w:rsidP="00763BCF">
      <w:pPr>
        <w:pStyle w:val="paragraph"/>
      </w:pPr>
      <w:r w:rsidRPr="005E3B43">
        <w:tab/>
        <w:t>(d)</w:t>
      </w:r>
      <w:r w:rsidRPr="005E3B43">
        <w:tab/>
        <w:t>the likelihood of the goods being available through alternative means to the population who use the goods if the person in relation to whom the goods are entered in the Register were to request the Secretary to cancel the entry.</w:t>
      </w:r>
    </w:p>
    <w:p w14:paraId="2D99F991" w14:textId="77777777" w:rsidR="002039B6" w:rsidRPr="005E3B43" w:rsidRDefault="002039B6" w:rsidP="00763BCF">
      <w:pPr>
        <w:pStyle w:val="subsection"/>
      </w:pPr>
      <w:r w:rsidRPr="005E3B43">
        <w:tab/>
        <w:t>(9)</w:t>
      </w:r>
      <w:r w:rsidRPr="005E3B43">
        <w:tab/>
        <w:t>The Secretary may take into account any other matter the Secretary considers relevant for the purpose of considering the matter referred to in subregulation (8).</w:t>
      </w:r>
    </w:p>
    <w:p w14:paraId="0707EF12" w14:textId="77777777" w:rsidR="002039B6" w:rsidRPr="005E3B43" w:rsidRDefault="002039B6" w:rsidP="00763BCF">
      <w:pPr>
        <w:pStyle w:val="SubsectionHead"/>
      </w:pPr>
      <w:r w:rsidRPr="005E3B43">
        <w:t>Notice of decision</w:t>
      </w:r>
    </w:p>
    <w:p w14:paraId="566B2C47" w14:textId="77777777" w:rsidR="002039B6" w:rsidRPr="005E3B43" w:rsidRDefault="002039B6" w:rsidP="00763BCF">
      <w:pPr>
        <w:pStyle w:val="subsection"/>
      </w:pPr>
      <w:r w:rsidRPr="005E3B43">
        <w:tab/>
        <w:t>(10)</w:t>
      </w:r>
      <w:r w:rsidRPr="005E3B43">
        <w:tab/>
        <w:t>As soon as practicable after making a decision under subregulation (4), the Secretary must give written notice of the decision to the applicant.</w:t>
      </w:r>
    </w:p>
    <w:p w14:paraId="688E761C" w14:textId="77777777" w:rsidR="002039B6" w:rsidRPr="005E3B43" w:rsidRDefault="002039B6" w:rsidP="00763BCF">
      <w:pPr>
        <w:pStyle w:val="subsection"/>
      </w:pPr>
      <w:r w:rsidRPr="005E3B43">
        <w:tab/>
        <w:t>(11)</w:t>
      </w:r>
      <w:r w:rsidRPr="005E3B43">
        <w:tab/>
        <w:t>If the decision is to refuse to waive the charge for the financial year, the notice under subregulation (10) must:</w:t>
      </w:r>
    </w:p>
    <w:p w14:paraId="3C55F39A" w14:textId="77777777" w:rsidR="002039B6" w:rsidRPr="005E3B43" w:rsidRDefault="002039B6" w:rsidP="00763BCF">
      <w:pPr>
        <w:pStyle w:val="paragraph"/>
      </w:pPr>
      <w:r w:rsidRPr="005E3B43">
        <w:tab/>
        <w:t>(a)</w:t>
      </w:r>
      <w:r w:rsidRPr="005E3B43">
        <w:tab/>
        <w:t>set out the reasons for the decision; and</w:t>
      </w:r>
    </w:p>
    <w:p w14:paraId="486F3635" w14:textId="77777777" w:rsidR="002039B6" w:rsidRPr="005E3B43" w:rsidRDefault="002039B6" w:rsidP="00763BCF">
      <w:pPr>
        <w:pStyle w:val="paragraph"/>
      </w:pPr>
      <w:r w:rsidRPr="005E3B43">
        <w:tab/>
        <w:t>(b)</w:t>
      </w:r>
      <w:r w:rsidRPr="005E3B43">
        <w:tab/>
        <w:t>specify the date on which the charge for the financial year becomes payable.</w:t>
      </w:r>
    </w:p>
    <w:p w14:paraId="6D7F723B" w14:textId="77777777" w:rsidR="002039B6" w:rsidRPr="005E3B43" w:rsidRDefault="002039B6" w:rsidP="00763BCF">
      <w:pPr>
        <w:pStyle w:val="SubsectionHead"/>
      </w:pPr>
      <w:r w:rsidRPr="005E3B43">
        <w:lastRenderedPageBreak/>
        <w:t>Period during which decision has effect</w:t>
      </w:r>
    </w:p>
    <w:p w14:paraId="4D4E3F9D" w14:textId="77777777" w:rsidR="002039B6" w:rsidRPr="005E3B43" w:rsidRDefault="002039B6" w:rsidP="00763BCF">
      <w:pPr>
        <w:pStyle w:val="subsection"/>
      </w:pPr>
      <w:r w:rsidRPr="005E3B43">
        <w:tab/>
        <w:t>(12)</w:t>
      </w:r>
      <w:r w:rsidRPr="005E3B43">
        <w:tab/>
        <w:t>If the Secretary decides to waive the charge for the financial year, the decision has effect unless, before the end of the financial year, the person in relation to whom the goods concerned are entered in the Register requests the Secretary to cancel the entry in relation to the goods.</w:t>
      </w:r>
    </w:p>
    <w:p w14:paraId="4DEB3F61" w14:textId="77777777" w:rsidR="002039B6" w:rsidRPr="005E3B43" w:rsidRDefault="002039B6" w:rsidP="00763BCF">
      <w:pPr>
        <w:pStyle w:val="subsection"/>
      </w:pPr>
      <w:r w:rsidRPr="005E3B43">
        <w:tab/>
        <w:t>(13)</w:t>
      </w:r>
      <w:r w:rsidRPr="005E3B43">
        <w:tab/>
        <w:t>If a decision by the Secretary to waive a charge for a financial year in respect of therapeutic goods ceases to have effect because the entry in relation to the goods in the Register is cancelled at the request of the person in relation to whom the goods were entered in the Register, the Secretary must give the person a written notice that specifies the date on which the charge for the financial year becomes payable.</w:t>
      </w:r>
    </w:p>
    <w:p w14:paraId="54EB41CE" w14:textId="77777777" w:rsidR="00326265" w:rsidRPr="005E3B43" w:rsidRDefault="00326265" w:rsidP="00763BCF">
      <w:pPr>
        <w:pStyle w:val="ActHead4"/>
      </w:pPr>
      <w:bookmarkStart w:id="276" w:name="_Toc187135870"/>
      <w:r w:rsidRPr="005E3B43">
        <w:rPr>
          <w:rStyle w:val="CharSubdNo"/>
        </w:rPr>
        <w:t>Subdivision</w:t>
      </w:r>
      <w:r w:rsidR="004E6D00" w:rsidRPr="005E3B43">
        <w:rPr>
          <w:rStyle w:val="CharSubdNo"/>
        </w:rPr>
        <w:t> </w:t>
      </w:r>
      <w:r w:rsidRPr="005E3B43">
        <w:rPr>
          <w:rStyle w:val="CharSubdNo"/>
        </w:rPr>
        <w:t>3</w:t>
      </w:r>
      <w:r w:rsidR="00E20BA4" w:rsidRPr="005E3B43">
        <w:t>—</w:t>
      </w:r>
      <w:r w:rsidRPr="005E3B43">
        <w:rPr>
          <w:rStyle w:val="CharSubdText"/>
        </w:rPr>
        <w:t>Charges for licensing</w:t>
      </w:r>
      <w:bookmarkEnd w:id="276"/>
    </w:p>
    <w:p w14:paraId="6048664F" w14:textId="77777777" w:rsidR="00B528C4" w:rsidRPr="005E3B43" w:rsidRDefault="00B528C4" w:rsidP="00763BCF">
      <w:pPr>
        <w:pStyle w:val="ActHead5"/>
      </w:pPr>
      <w:bookmarkStart w:id="277" w:name="_Toc187135871"/>
      <w:r w:rsidRPr="005E3B43">
        <w:rPr>
          <w:rStyle w:val="CharSectno"/>
        </w:rPr>
        <w:t>43AAJ</w:t>
      </w:r>
      <w:r w:rsidR="00E20BA4" w:rsidRPr="005E3B43">
        <w:t xml:space="preserve">  </w:t>
      </w:r>
      <w:r w:rsidRPr="005E3B43">
        <w:t>Licensing charge</w:t>
      </w:r>
      <w:r w:rsidR="00E20BA4" w:rsidRPr="005E3B43">
        <w:t>—</w:t>
      </w:r>
      <w:r w:rsidRPr="005E3B43">
        <w:t>reduction in certain circumstances</w:t>
      </w:r>
      <w:bookmarkEnd w:id="277"/>
    </w:p>
    <w:p w14:paraId="5489C2CF" w14:textId="77777777" w:rsidR="00326265" w:rsidRPr="005E3B43" w:rsidRDefault="00326265" w:rsidP="00763BCF">
      <w:pPr>
        <w:pStyle w:val="subsection"/>
      </w:pPr>
      <w:r w:rsidRPr="005E3B43">
        <w:tab/>
        <w:t>(1)</w:t>
      </w:r>
      <w:r w:rsidRPr="005E3B43">
        <w:tab/>
        <w:t>This regulation applies to a person if:</w:t>
      </w:r>
    </w:p>
    <w:p w14:paraId="44035E6F" w14:textId="4DF8BFDD" w:rsidR="00326265" w:rsidRPr="005E3B43" w:rsidRDefault="00326265" w:rsidP="00763BCF">
      <w:pPr>
        <w:pStyle w:val="paragraph"/>
      </w:pPr>
      <w:r w:rsidRPr="005E3B43">
        <w:tab/>
        <w:t>(a)</w:t>
      </w:r>
      <w:r w:rsidRPr="005E3B43">
        <w:tab/>
        <w:t xml:space="preserve">the person is required to hold a licence under </w:t>
      </w:r>
      <w:r w:rsidR="00BB758E" w:rsidRPr="005E3B43">
        <w:t>Part 3</w:t>
      </w:r>
      <w:r w:rsidR="007C3215">
        <w:noBreakHyphen/>
      </w:r>
      <w:r w:rsidRPr="005E3B43">
        <w:t>3 of the Act; and</w:t>
      </w:r>
    </w:p>
    <w:p w14:paraId="504A9CFE" w14:textId="77777777" w:rsidR="00326265" w:rsidRPr="005E3B43" w:rsidRDefault="00326265" w:rsidP="00763BCF">
      <w:pPr>
        <w:pStyle w:val="paragraph"/>
      </w:pPr>
      <w:r w:rsidRPr="005E3B43">
        <w:tab/>
        <w:t>(b)</w:t>
      </w:r>
      <w:r w:rsidRPr="005E3B43">
        <w:tab/>
        <w:t xml:space="preserve">the person’s turnover of therapeutic goods is not more than </w:t>
      </w:r>
      <w:r w:rsidR="00BF1991" w:rsidRPr="005E3B43">
        <w:t>$118,064</w:t>
      </w:r>
      <w:r w:rsidRPr="005E3B43">
        <w:t xml:space="preserve"> in a financial year.</w:t>
      </w:r>
    </w:p>
    <w:p w14:paraId="59759FDA" w14:textId="5133C100" w:rsidR="00326265" w:rsidRPr="005E3B43" w:rsidRDefault="00326265" w:rsidP="00763BCF">
      <w:pPr>
        <w:pStyle w:val="subsection"/>
      </w:pPr>
      <w:r w:rsidRPr="005E3B43">
        <w:tab/>
        <w:t>(2)</w:t>
      </w:r>
      <w:r w:rsidRPr="005E3B43">
        <w:tab/>
        <w:t xml:space="preserve">The annual charge payable by the person for a licence in force at any time during the financial year, other than a licence for the manufacture of human blood and blood components, is 50% of the amount otherwise payable under </w:t>
      </w:r>
      <w:r w:rsidR="00F410DB" w:rsidRPr="005E3B43">
        <w:t>subsection</w:t>
      </w:r>
      <w:r w:rsidR="004E6D00" w:rsidRPr="005E3B43">
        <w:t> </w:t>
      </w:r>
      <w:r w:rsidR="00F410DB" w:rsidRPr="005E3B43">
        <w:t xml:space="preserve">7(5) of the </w:t>
      </w:r>
      <w:r w:rsidR="00F410DB" w:rsidRPr="005E3B43">
        <w:rPr>
          <w:i/>
        </w:rPr>
        <w:t xml:space="preserve">Therapeutic Goods (Charges) </w:t>
      </w:r>
      <w:r w:rsidR="007C3215">
        <w:rPr>
          <w:i/>
        </w:rPr>
        <w:t>Regulations 2</w:t>
      </w:r>
      <w:r w:rsidR="00F410DB" w:rsidRPr="005E3B43">
        <w:rPr>
          <w:i/>
        </w:rPr>
        <w:t>018</w:t>
      </w:r>
      <w:r w:rsidRPr="005E3B43">
        <w:t xml:space="preserve"> for the licence.</w:t>
      </w:r>
    </w:p>
    <w:p w14:paraId="10825766" w14:textId="49F05B28" w:rsidR="00326265" w:rsidRPr="005E3B43" w:rsidRDefault="007C3215" w:rsidP="00763BCF">
      <w:pPr>
        <w:pStyle w:val="ActHead3"/>
        <w:pageBreakBefore/>
      </w:pPr>
      <w:bookmarkStart w:id="278" w:name="_Toc187135872"/>
      <w:r>
        <w:rPr>
          <w:rStyle w:val="CharDivNo"/>
        </w:rPr>
        <w:lastRenderedPageBreak/>
        <w:t>Division 2</w:t>
      </w:r>
      <w:r w:rsidR="00E20BA4" w:rsidRPr="005E3B43">
        <w:t>—</w:t>
      </w:r>
      <w:r w:rsidR="00326265" w:rsidRPr="005E3B43">
        <w:rPr>
          <w:rStyle w:val="CharDivText"/>
        </w:rPr>
        <w:t>Fees and costs</w:t>
      </w:r>
      <w:bookmarkEnd w:id="278"/>
    </w:p>
    <w:p w14:paraId="735F986D" w14:textId="77777777" w:rsidR="00207B1C" w:rsidRPr="005E3B43" w:rsidRDefault="00207B1C" w:rsidP="00763BCF">
      <w:pPr>
        <w:pStyle w:val="ActHead5"/>
      </w:pPr>
      <w:bookmarkStart w:id="279" w:name="_Toc187135873"/>
      <w:r w:rsidRPr="005E3B43">
        <w:rPr>
          <w:rStyle w:val="CharSectno"/>
        </w:rPr>
        <w:t>43</w:t>
      </w:r>
      <w:r w:rsidR="00E20BA4" w:rsidRPr="005E3B43">
        <w:t xml:space="preserve">  </w:t>
      </w:r>
      <w:r w:rsidRPr="005E3B43">
        <w:t>Fees</w:t>
      </w:r>
      <w:bookmarkEnd w:id="279"/>
    </w:p>
    <w:p w14:paraId="35678C87" w14:textId="77777777" w:rsidR="004F31CE" w:rsidRPr="005E3B43" w:rsidRDefault="004F31CE" w:rsidP="00763BCF">
      <w:pPr>
        <w:pStyle w:val="subsection"/>
      </w:pPr>
      <w:r w:rsidRPr="005E3B43">
        <w:tab/>
        <w:t>(1)</w:t>
      </w:r>
      <w:r w:rsidRPr="005E3B43">
        <w:tab/>
        <w:t>Subject to the other provisions of this Part:</w:t>
      </w:r>
    </w:p>
    <w:p w14:paraId="6086E57E" w14:textId="77777777" w:rsidR="004F31CE" w:rsidRPr="005E3B43" w:rsidRDefault="004F31CE" w:rsidP="00763BCF">
      <w:pPr>
        <w:pStyle w:val="paragraph"/>
      </w:pPr>
      <w:r w:rsidRPr="005E3B43">
        <w:tab/>
        <w:t>(a)</w:t>
      </w:r>
      <w:r w:rsidRPr="005E3B43">
        <w:tab/>
        <w:t xml:space="preserve">the fee mentioned in column 3 of an item in </w:t>
      </w:r>
      <w:r w:rsidR="006B5D8E" w:rsidRPr="005E3B43">
        <w:t>Part 2</w:t>
      </w:r>
      <w:r w:rsidR="003A7BF7" w:rsidRPr="005E3B43">
        <w:t xml:space="preserve"> or 3</w:t>
      </w:r>
      <w:r w:rsidRPr="005E3B43">
        <w:t xml:space="preserve"> of Schedule</w:t>
      </w:r>
      <w:r w:rsidR="004E6D00" w:rsidRPr="005E3B43">
        <w:t> </w:t>
      </w:r>
      <w:r w:rsidRPr="005E3B43">
        <w:t>9 is prescribed for the matter that, for that fee, is mentioned in column 2 of the item; and</w:t>
      </w:r>
    </w:p>
    <w:p w14:paraId="321EF36F" w14:textId="77777777" w:rsidR="00FE0691" w:rsidRPr="005E3B43" w:rsidRDefault="00FE0691" w:rsidP="00763BCF">
      <w:pPr>
        <w:pStyle w:val="paragraph"/>
      </w:pPr>
      <w:r w:rsidRPr="005E3B43">
        <w:tab/>
        <w:t>(aa)</w:t>
      </w:r>
      <w:r w:rsidRPr="005E3B43">
        <w:tab/>
        <w:t>the fee mentioned in column 2 of an item in Part</w:t>
      </w:r>
      <w:r w:rsidR="004E6D00" w:rsidRPr="005E3B43">
        <w:t> </w:t>
      </w:r>
      <w:r w:rsidRPr="005E3B43">
        <w:t>4 of Schedule</w:t>
      </w:r>
      <w:r w:rsidR="004E6D00" w:rsidRPr="005E3B43">
        <w:t> </w:t>
      </w:r>
      <w:r w:rsidRPr="005E3B43">
        <w:t>9 is prescribed for the matter that, for that fee, is mentioned in column 1 of the item; and</w:t>
      </w:r>
    </w:p>
    <w:p w14:paraId="686DA8F0" w14:textId="77777777" w:rsidR="004F31CE" w:rsidRPr="005E3B43" w:rsidRDefault="004F31CE" w:rsidP="00763BCF">
      <w:pPr>
        <w:pStyle w:val="paragraph"/>
      </w:pPr>
      <w:r w:rsidRPr="005E3B43">
        <w:tab/>
        <w:t>(b)</w:t>
      </w:r>
      <w:r w:rsidRPr="005E3B43">
        <w:tab/>
        <w:t xml:space="preserve">the fee mentioned in column 3 of an item in </w:t>
      </w:r>
      <w:r w:rsidR="006B5D8E" w:rsidRPr="005E3B43">
        <w:t>Part 2</w:t>
      </w:r>
      <w:r w:rsidRPr="005E3B43">
        <w:t xml:space="preserve"> of Schedule</w:t>
      </w:r>
      <w:r w:rsidR="004E6D00" w:rsidRPr="005E3B43">
        <w:t> </w:t>
      </w:r>
      <w:r w:rsidRPr="005E3B43">
        <w:t>9A is prescribed for the matter that, for that fee, is mentioned in column 2 of the item.</w:t>
      </w:r>
    </w:p>
    <w:p w14:paraId="51F6E131" w14:textId="77777777" w:rsidR="00207B1C" w:rsidRPr="005E3B43" w:rsidRDefault="00207B1C" w:rsidP="00763BCF">
      <w:pPr>
        <w:pStyle w:val="subsection"/>
      </w:pPr>
      <w:r w:rsidRPr="005E3B43">
        <w:tab/>
        <w:t>(2)</w:t>
      </w:r>
      <w:r w:rsidRPr="005E3B43">
        <w:tab/>
        <w:t>If, but for this subregulation, more than one fee referred to in item</w:t>
      </w:r>
      <w:r w:rsidR="004E6D00" w:rsidRPr="005E3B43">
        <w:t> </w:t>
      </w:r>
      <w:r w:rsidRPr="005E3B43">
        <w:t xml:space="preserve">9 </w:t>
      </w:r>
      <w:r w:rsidR="003A7BF7" w:rsidRPr="005E3B43">
        <w:t xml:space="preserve">in </w:t>
      </w:r>
      <w:r w:rsidR="006B5D8E" w:rsidRPr="005E3B43">
        <w:t>Part 2</w:t>
      </w:r>
      <w:r w:rsidR="003A7BF7" w:rsidRPr="005E3B43">
        <w:t xml:space="preserve"> </w:t>
      </w:r>
      <w:r w:rsidRPr="005E3B43">
        <w:t>of Schedule</w:t>
      </w:r>
      <w:r w:rsidR="004E6D00" w:rsidRPr="005E3B43">
        <w:t> </w:t>
      </w:r>
      <w:r w:rsidRPr="005E3B43">
        <w:t>9 would otherwise apply in relation to:</w:t>
      </w:r>
    </w:p>
    <w:p w14:paraId="072A051F" w14:textId="77777777" w:rsidR="00207B1C" w:rsidRPr="005E3B43" w:rsidRDefault="00207B1C" w:rsidP="00763BCF">
      <w:pPr>
        <w:pStyle w:val="paragraph"/>
      </w:pPr>
      <w:r w:rsidRPr="005E3B43">
        <w:tab/>
        <w:t>(a)</w:t>
      </w:r>
      <w:r w:rsidRPr="005E3B43">
        <w:tab/>
        <w:t>an application to carry out steps in the manufacture of therapeutic goods at particular premises; or</w:t>
      </w:r>
    </w:p>
    <w:p w14:paraId="72133473" w14:textId="77777777" w:rsidR="00207B1C" w:rsidRPr="005E3B43" w:rsidRDefault="00207B1C" w:rsidP="00763BCF">
      <w:pPr>
        <w:pStyle w:val="paragraph"/>
      </w:pPr>
      <w:r w:rsidRPr="005E3B43">
        <w:tab/>
        <w:t>(b)</w:t>
      </w:r>
      <w:r w:rsidRPr="005E3B43">
        <w:tab/>
        <w:t>the inspection of licensed manufacturing premises for the purposes of section</w:t>
      </w:r>
      <w:r w:rsidR="004E6D00" w:rsidRPr="005E3B43">
        <w:t> </w:t>
      </w:r>
      <w:r w:rsidRPr="005E3B43">
        <w:t>40 of the Act;</w:t>
      </w:r>
    </w:p>
    <w:p w14:paraId="65D016D6" w14:textId="77777777" w:rsidR="00207B1C" w:rsidRPr="005E3B43" w:rsidRDefault="00207B1C" w:rsidP="00763BCF">
      <w:pPr>
        <w:pStyle w:val="subsection2"/>
      </w:pPr>
      <w:r w:rsidRPr="005E3B43">
        <w:t>the fee that is the greatest applicable fee is the only fee that applies in respect of that application or inspection.</w:t>
      </w:r>
    </w:p>
    <w:p w14:paraId="7B0901B4" w14:textId="77777777" w:rsidR="00207B1C" w:rsidRPr="005E3B43" w:rsidRDefault="00207B1C" w:rsidP="00763BCF">
      <w:pPr>
        <w:pStyle w:val="ActHead5"/>
      </w:pPr>
      <w:bookmarkStart w:id="280" w:name="_Toc187135874"/>
      <w:r w:rsidRPr="005E3B43">
        <w:rPr>
          <w:rStyle w:val="CharSectno"/>
        </w:rPr>
        <w:t>43A</w:t>
      </w:r>
      <w:r w:rsidR="00E20BA4" w:rsidRPr="005E3B43">
        <w:t xml:space="preserve">  </w:t>
      </w:r>
      <w:r w:rsidRPr="005E3B43">
        <w:t>When is no application fee payable?</w:t>
      </w:r>
      <w:bookmarkEnd w:id="280"/>
    </w:p>
    <w:p w14:paraId="23936129" w14:textId="77777777" w:rsidR="00AE5E55" w:rsidRPr="005E3B43" w:rsidRDefault="00AE5E55" w:rsidP="00763BCF">
      <w:pPr>
        <w:pStyle w:val="SubsectionHead"/>
      </w:pPr>
      <w:r w:rsidRPr="005E3B43">
        <w:t>Certain applications to transfer entries of kinds of medical devices</w:t>
      </w:r>
    </w:p>
    <w:p w14:paraId="680324A7" w14:textId="77777777" w:rsidR="00207B1C" w:rsidRPr="005E3B43" w:rsidRDefault="00207B1C" w:rsidP="00763BCF">
      <w:pPr>
        <w:pStyle w:val="subsection"/>
      </w:pPr>
      <w:r w:rsidRPr="005E3B43">
        <w:tab/>
        <w:t>(2)</w:t>
      </w:r>
      <w:r w:rsidRPr="005E3B43">
        <w:tab/>
        <w:t xml:space="preserve">The applicable fee under </w:t>
      </w:r>
      <w:r w:rsidR="006B5D8E" w:rsidRPr="005E3B43">
        <w:t>item 2</w:t>
      </w:r>
      <w:r w:rsidRPr="005E3B43">
        <w:t xml:space="preserve"> or 3 </w:t>
      </w:r>
      <w:r w:rsidR="003A7BF7" w:rsidRPr="005E3B43">
        <w:t xml:space="preserve">in </w:t>
      </w:r>
      <w:r w:rsidR="006B5D8E" w:rsidRPr="005E3B43">
        <w:t>Part 2</w:t>
      </w:r>
      <w:r w:rsidR="003A7BF7" w:rsidRPr="005E3B43">
        <w:t xml:space="preserve"> </w:t>
      </w:r>
      <w:r w:rsidRPr="005E3B43">
        <w:t>of Schedule</w:t>
      </w:r>
      <w:r w:rsidR="004E6D00" w:rsidRPr="005E3B43">
        <w:t> </w:t>
      </w:r>
      <w:r w:rsidRPr="005E3B43">
        <w:t>9 for an application to transfer an entry of a kind of medical device from the part of the Register for medical devices to the part of the Register for registered goods, or the part of the Register for listed goods, is not payable if the device ceases to be a medical device because of a declaration in force under subsection</w:t>
      </w:r>
      <w:r w:rsidR="004E6D00" w:rsidRPr="005E3B43">
        <w:t> </w:t>
      </w:r>
      <w:r w:rsidRPr="005E3B43">
        <w:t>41BD(3) of the Act.</w:t>
      </w:r>
    </w:p>
    <w:p w14:paraId="5BA214CD" w14:textId="77777777" w:rsidR="00AE5E55" w:rsidRPr="005E3B43" w:rsidRDefault="00AE5E55" w:rsidP="00763BCF">
      <w:pPr>
        <w:pStyle w:val="SubsectionHead"/>
      </w:pPr>
      <w:r w:rsidRPr="005E3B43">
        <w:t>Certain applications for the listing of medicines</w:t>
      </w:r>
    </w:p>
    <w:p w14:paraId="7404D928" w14:textId="77777777" w:rsidR="00D83304" w:rsidRPr="005E3B43" w:rsidRDefault="00D83304" w:rsidP="00763BCF">
      <w:pPr>
        <w:pStyle w:val="subsection"/>
      </w:pPr>
      <w:r w:rsidRPr="005E3B43">
        <w:tab/>
        <w:t>(4)</w:t>
      </w:r>
      <w:r w:rsidRPr="005E3B43">
        <w:tab/>
        <w:t xml:space="preserve">The fee under </w:t>
      </w:r>
      <w:r w:rsidR="004E6D00" w:rsidRPr="005E3B43">
        <w:t>paragraph (</w:t>
      </w:r>
      <w:r w:rsidRPr="005E3B43">
        <w:t xml:space="preserve">b) of </w:t>
      </w:r>
      <w:r w:rsidR="006B5D8E" w:rsidRPr="005E3B43">
        <w:t>item 3</w:t>
      </w:r>
      <w:r w:rsidRPr="005E3B43">
        <w:t xml:space="preserve"> of the table in </w:t>
      </w:r>
      <w:r w:rsidR="006B5D8E" w:rsidRPr="005E3B43">
        <w:t>Part 2</w:t>
      </w:r>
      <w:r w:rsidRPr="005E3B43">
        <w:t xml:space="preserve"> of Schedule</w:t>
      </w:r>
      <w:r w:rsidR="004E6D00" w:rsidRPr="005E3B43">
        <w:t> </w:t>
      </w:r>
      <w:r w:rsidRPr="005E3B43">
        <w:t>9 for an application for the listing of medicine is not payable if:</w:t>
      </w:r>
    </w:p>
    <w:p w14:paraId="790BC7D1" w14:textId="77777777" w:rsidR="00D83304" w:rsidRPr="005E3B43" w:rsidRDefault="00D83304" w:rsidP="00763BCF">
      <w:pPr>
        <w:pStyle w:val="paragraph"/>
      </w:pPr>
      <w:r w:rsidRPr="005E3B43">
        <w:tab/>
        <w:t>(a)</w:t>
      </w:r>
      <w:r w:rsidRPr="005E3B43">
        <w:tab/>
        <w:t xml:space="preserve">the application is for the listing of medicine (the </w:t>
      </w:r>
      <w:r w:rsidRPr="005E3B43">
        <w:rPr>
          <w:b/>
          <w:i/>
        </w:rPr>
        <w:t>relisted medicine</w:t>
      </w:r>
      <w:r w:rsidRPr="005E3B43">
        <w:t xml:space="preserve">) under </w:t>
      </w:r>
      <w:r w:rsidR="00FB7FAA" w:rsidRPr="005E3B43">
        <w:t>section 2</w:t>
      </w:r>
      <w:r w:rsidRPr="005E3B43">
        <w:t>6A of the Act; and</w:t>
      </w:r>
    </w:p>
    <w:p w14:paraId="53FD9988" w14:textId="77777777" w:rsidR="00D83304" w:rsidRPr="005E3B43" w:rsidRDefault="00D83304" w:rsidP="00763BCF">
      <w:pPr>
        <w:pStyle w:val="paragraph"/>
      </w:pPr>
      <w:r w:rsidRPr="005E3B43">
        <w:tab/>
        <w:t>(b)</w:t>
      </w:r>
      <w:r w:rsidRPr="005E3B43">
        <w:tab/>
        <w:t xml:space="preserve">the sponsor of the application holds a listing for medicine (the </w:t>
      </w:r>
      <w:r w:rsidRPr="005E3B43">
        <w:rPr>
          <w:b/>
          <w:i/>
        </w:rPr>
        <w:t>existing medicine</w:t>
      </w:r>
      <w:r w:rsidRPr="005E3B43">
        <w:t>) that is the same as the relisted medicine, disregarding differences in relation to indications; and</w:t>
      </w:r>
    </w:p>
    <w:p w14:paraId="42F7D2F1" w14:textId="77777777" w:rsidR="00D83304" w:rsidRPr="005E3B43" w:rsidRDefault="00D83304" w:rsidP="00763BCF">
      <w:pPr>
        <w:pStyle w:val="paragraph"/>
      </w:pPr>
      <w:r w:rsidRPr="005E3B43">
        <w:tab/>
        <w:t>(c)</w:t>
      </w:r>
      <w:r w:rsidRPr="005E3B43">
        <w:tab/>
        <w:t>the relisted medicine, if listed, would form part of the same gazetted therapeutic goods group as the existing medicine; and</w:t>
      </w:r>
    </w:p>
    <w:p w14:paraId="38644DE7" w14:textId="77777777" w:rsidR="00D83304" w:rsidRPr="005E3B43" w:rsidRDefault="00D83304" w:rsidP="00763BCF">
      <w:pPr>
        <w:pStyle w:val="paragraph"/>
      </w:pPr>
      <w:r w:rsidRPr="005E3B43">
        <w:tab/>
        <w:t>(d)</w:t>
      </w:r>
      <w:r w:rsidRPr="005E3B43">
        <w:tab/>
        <w:t xml:space="preserve">the application is made </w:t>
      </w:r>
      <w:r w:rsidR="00D01140" w:rsidRPr="005E3B43">
        <w:t xml:space="preserve">before the end of </w:t>
      </w:r>
      <w:r w:rsidR="003C0723" w:rsidRPr="005E3B43">
        <w:t>5 March</w:t>
      </w:r>
      <w:r w:rsidR="00D01140" w:rsidRPr="005E3B43">
        <w:t xml:space="preserve"> 2021</w:t>
      </w:r>
      <w:r w:rsidRPr="005E3B43">
        <w:t>.</w:t>
      </w:r>
    </w:p>
    <w:p w14:paraId="7B0D7566" w14:textId="77777777" w:rsidR="00B528C4" w:rsidRPr="005E3B43" w:rsidRDefault="00B528C4" w:rsidP="00763BCF">
      <w:pPr>
        <w:pStyle w:val="ActHead5"/>
      </w:pPr>
      <w:bookmarkStart w:id="281" w:name="_Toc187135875"/>
      <w:r w:rsidRPr="005E3B43">
        <w:rPr>
          <w:rStyle w:val="CharSectno"/>
        </w:rPr>
        <w:lastRenderedPageBreak/>
        <w:t>43AA</w:t>
      </w:r>
      <w:r w:rsidR="00E20BA4" w:rsidRPr="005E3B43">
        <w:t xml:space="preserve">  </w:t>
      </w:r>
      <w:r w:rsidRPr="005E3B43">
        <w:t>Fee for evaluation</w:t>
      </w:r>
      <w:r w:rsidR="00E20BA4" w:rsidRPr="005E3B43">
        <w:t>—</w:t>
      </w:r>
      <w:r w:rsidRPr="005E3B43">
        <w:t>refund in certain circumstances</w:t>
      </w:r>
      <w:bookmarkEnd w:id="281"/>
    </w:p>
    <w:p w14:paraId="4E5DCC21" w14:textId="77777777" w:rsidR="00B528C4" w:rsidRPr="005E3B43" w:rsidRDefault="00B528C4" w:rsidP="00763BCF">
      <w:pPr>
        <w:pStyle w:val="subsection"/>
      </w:pPr>
      <w:r w:rsidRPr="005E3B43">
        <w:tab/>
      </w:r>
      <w:r w:rsidRPr="005E3B43">
        <w:tab/>
        <w:t>If:</w:t>
      </w:r>
    </w:p>
    <w:p w14:paraId="7F6CF469" w14:textId="77777777" w:rsidR="00B528C4" w:rsidRPr="005E3B43" w:rsidRDefault="00B528C4" w:rsidP="00763BCF">
      <w:pPr>
        <w:pStyle w:val="paragraph"/>
      </w:pPr>
      <w:r w:rsidRPr="005E3B43">
        <w:tab/>
        <w:t>(a)</w:t>
      </w:r>
      <w:r w:rsidRPr="005E3B43">
        <w:tab/>
        <w:t xml:space="preserve">an applicant has paid the whole of the evaluation fee payable under </w:t>
      </w:r>
      <w:r w:rsidR="006B5D8E" w:rsidRPr="005E3B43">
        <w:t>Part 2</w:t>
      </w:r>
      <w:r w:rsidR="003A7BF7" w:rsidRPr="005E3B43">
        <w:t xml:space="preserve"> of </w:t>
      </w:r>
      <w:r w:rsidRPr="005E3B43">
        <w:t>Schedule</w:t>
      </w:r>
      <w:r w:rsidR="004E6D00" w:rsidRPr="005E3B43">
        <w:t> </w:t>
      </w:r>
      <w:r w:rsidRPr="005E3B43">
        <w:t>9 for an evaluation of an application under subsection</w:t>
      </w:r>
      <w:r w:rsidR="004E6D00" w:rsidRPr="005E3B43">
        <w:t> </w:t>
      </w:r>
      <w:r w:rsidRPr="005E3B43">
        <w:t>9D(3) of the Act to which regulation</w:t>
      </w:r>
      <w:r w:rsidR="004E6D00" w:rsidRPr="005E3B43">
        <w:t> </w:t>
      </w:r>
      <w:r w:rsidRPr="005E3B43">
        <w:t>16D applies; and</w:t>
      </w:r>
    </w:p>
    <w:p w14:paraId="11E96BF7" w14:textId="77777777" w:rsidR="00B528C4" w:rsidRPr="005E3B43" w:rsidRDefault="00B528C4" w:rsidP="00763BCF">
      <w:pPr>
        <w:pStyle w:val="paragraph"/>
      </w:pPr>
      <w:r w:rsidRPr="005E3B43">
        <w:tab/>
        <w:t>(b)</w:t>
      </w:r>
      <w:r w:rsidRPr="005E3B43">
        <w:tab/>
        <w:t>the Secretary has notified the applicant of the decision; and</w:t>
      </w:r>
    </w:p>
    <w:p w14:paraId="42DF941C" w14:textId="77777777" w:rsidR="00B528C4" w:rsidRPr="005E3B43" w:rsidRDefault="00B528C4" w:rsidP="00763BCF">
      <w:pPr>
        <w:pStyle w:val="paragraph"/>
      </w:pPr>
      <w:r w:rsidRPr="005E3B43">
        <w:tab/>
        <w:t>(c)</w:t>
      </w:r>
      <w:r w:rsidRPr="005E3B43">
        <w:tab/>
        <w:t>the notification did not occur within the period specified for the application in subregulation</w:t>
      </w:r>
      <w:r w:rsidR="004E6D00" w:rsidRPr="005E3B43">
        <w:t> </w:t>
      </w:r>
      <w:r w:rsidRPr="005E3B43">
        <w:t>16D(3);</w:t>
      </w:r>
    </w:p>
    <w:p w14:paraId="1641C48D" w14:textId="77777777" w:rsidR="00B528C4" w:rsidRPr="005E3B43" w:rsidRDefault="00B528C4" w:rsidP="00763BCF">
      <w:pPr>
        <w:pStyle w:val="subsection2"/>
      </w:pPr>
      <w:r w:rsidRPr="005E3B43">
        <w:t>then 25% of the evaluation fee must be refunded to the applicant.</w:t>
      </w:r>
    </w:p>
    <w:p w14:paraId="741E088C" w14:textId="77777777" w:rsidR="00207B1C" w:rsidRPr="005E3B43" w:rsidRDefault="00207B1C" w:rsidP="00763BCF">
      <w:pPr>
        <w:pStyle w:val="ActHead5"/>
      </w:pPr>
      <w:bookmarkStart w:id="282" w:name="_Toc187135876"/>
      <w:r w:rsidRPr="005E3B43">
        <w:rPr>
          <w:rStyle w:val="CharSectno"/>
        </w:rPr>
        <w:t>43AB</w:t>
      </w:r>
      <w:r w:rsidR="00E20BA4" w:rsidRPr="005E3B43">
        <w:t xml:space="preserve">  </w:t>
      </w:r>
      <w:r w:rsidRPr="005E3B43">
        <w:t>Circumstances in which inspection fee covered by annual charge</w:t>
      </w:r>
      <w:bookmarkEnd w:id="282"/>
    </w:p>
    <w:p w14:paraId="3F3ACCF5" w14:textId="77777777" w:rsidR="00207B1C" w:rsidRPr="005E3B43" w:rsidRDefault="00207B1C" w:rsidP="00763BCF">
      <w:pPr>
        <w:pStyle w:val="subsection"/>
      </w:pPr>
      <w:r w:rsidRPr="005E3B43">
        <w:tab/>
        <w:t>(1)</w:t>
      </w:r>
      <w:r w:rsidRPr="005E3B43">
        <w:tab/>
        <w:t>A fee is not payable in accordance with item</w:t>
      </w:r>
      <w:r w:rsidR="004E6D00" w:rsidRPr="005E3B43">
        <w:t> </w:t>
      </w:r>
      <w:r w:rsidRPr="005E3B43">
        <w:t xml:space="preserve">9AB </w:t>
      </w:r>
      <w:r w:rsidR="003A7BF7" w:rsidRPr="005E3B43">
        <w:t xml:space="preserve">in </w:t>
      </w:r>
      <w:r w:rsidR="006B5D8E" w:rsidRPr="005E3B43">
        <w:t>Part 2</w:t>
      </w:r>
      <w:r w:rsidR="003A7BF7" w:rsidRPr="005E3B43">
        <w:t xml:space="preserve"> </w:t>
      </w:r>
      <w:r w:rsidRPr="005E3B43">
        <w:t>of Schedule</w:t>
      </w:r>
      <w:r w:rsidR="004E6D00" w:rsidRPr="005E3B43">
        <w:t> </w:t>
      </w:r>
      <w:r w:rsidRPr="005E3B43">
        <w:t>9 for an inspection covered by the annual charge for a licence to manufacture the therapeutic goods mentioned in that item.</w:t>
      </w:r>
    </w:p>
    <w:p w14:paraId="4DD5B4A3" w14:textId="77777777" w:rsidR="00207B1C" w:rsidRPr="005E3B43" w:rsidRDefault="00207B1C" w:rsidP="00763BCF">
      <w:pPr>
        <w:pStyle w:val="subsection"/>
      </w:pPr>
      <w:r w:rsidRPr="005E3B43">
        <w:tab/>
        <w:t>(2)</w:t>
      </w:r>
      <w:r w:rsidRPr="005E3B43">
        <w:tab/>
        <w:t>An inspection is covered by the annual charge for a licence to manufacture the therapeutic goods if no more than 2 prior inspections have been carried out at the metropolitan site, identified in the licence, within the period of 3 years immediately preceding the relevant inspection.</w:t>
      </w:r>
    </w:p>
    <w:p w14:paraId="1A7F9EB1" w14:textId="77777777" w:rsidR="00207B1C" w:rsidRPr="005E3B43" w:rsidRDefault="00207B1C" w:rsidP="00763BCF">
      <w:pPr>
        <w:pStyle w:val="subsection"/>
      </w:pPr>
      <w:r w:rsidRPr="005E3B43">
        <w:tab/>
        <w:t>(3)</w:t>
      </w:r>
      <w:r w:rsidRPr="005E3B43">
        <w:tab/>
        <w:t>In this regulation:</w:t>
      </w:r>
    </w:p>
    <w:p w14:paraId="2CF7BF19" w14:textId="77777777" w:rsidR="00207B1C" w:rsidRPr="005E3B43" w:rsidRDefault="00207B1C" w:rsidP="00763BCF">
      <w:pPr>
        <w:pStyle w:val="Definition"/>
        <w:spacing w:before="80" w:line="240" w:lineRule="exact"/>
        <w:jc w:val="both"/>
      </w:pPr>
      <w:r w:rsidRPr="005E3B43">
        <w:rPr>
          <w:b/>
          <w:i/>
        </w:rPr>
        <w:t xml:space="preserve">inspection </w:t>
      </w:r>
      <w:r w:rsidRPr="005E3B43">
        <w:t>means an inspection in relation to a metropolitan site.</w:t>
      </w:r>
    </w:p>
    <w:p w14:paraId="376AF0E8" w14:textId="77777777" w:rsidR="003A7BF7" w:rsidRPr="005E3B43" w:rsidRDefault="003A7BF7" w:rsidP="00763BCF">
      <w:pPr>
        <w:pStyle w:val="ActHead5"/>
      </w:pPr>
      <w:bookmarkStart w:id="283" w:name="_Toc187135877"/>
      <w:r w:rsidRPr="005E3B43">
        <w:rPr>
          <w:rStyle w:val="CharSectno"/>
        </w:rPr>
        <w:t>43AC</w:t>
      </w:r>
      <w:r w:rsidRPr="005E3B43">
        <w:t xml:space="preserve">  Refund of fees where no evaluation undertaken—registered OTC medicines</w:t>
      </w:r>
      <w:bookmarkEnd w:id="283"/>
    </w:p>
    <w:p w14:paraId="1CA8D16B" w14:textId="77777777" w:rsidR="003A7BF7" w:rsidRPr="005E3B43" w:rsidRDefault="003A7BF7" w:rsidP="00763BCF">
      <w:pPr>
        <w:pStyle w:val="subsection"/>
      </w:pPr>
      <w:r w:rsidRPr="005E3B43">
        <w:tab/>
        <w:t>(1)</w:t>
      </w:r>
      <w:r w:rsidRPr="005E3B43">
        <w:tab/>
        <w:t>This regulation applies if:</w:t>
      </w:r>
    </w:p>
    <w:p w14:paraId="1376C73F" w14:textId="77777777" w:rsidR="003A7BF7" w:rsidRPr="005E3B43" w:rsidRDefault="003A7BF7" w:rsidP="00763BCF">
      <w:pPr>
        <w:pStyle w:val="paragraph"/>
      </w:pPr>
      <w:r w:rsidRPr="005E3B43">
        <w:tab/>
        <w:t>(a)</w:t>
      </w:r>
      <w:r w:rsidRPr="005E3B43">
        <w:tab/>
        <w:t>a person makes an application of a kind mentioned in item</w:t>
      </w:r>
      <w:r w:rsidR="004E6D00" w:rsidRPr="005E3B43">
        <w:t> </w:t>
      </w:r>
      <w:r w:rsidRPr="005E3B43">
        <w:t xml:space="preserve">6 of the table in </w:t>
      </w:r>
      <w:r w:rsidR="00BB758E" w:rsidRPr="005E3B43">
        <w:t>Part 3</w:t>
      </w:r>
      <w:r w:rsidRPr="005E3B43">
        <w:t xml:space="preserve"> of Schedule</w:t>
      </w:r>
      <w:r w:rsidR="004E6D00" w:rsidRPr="005E3B43">
        <w:t> </w:t>
      </w:r>
      <w:r w:rsidRPr="005E3B43">
        <w:t>9; and</w:t>
      </w:r>
    </w:p>
    <w:p w14:paraId="4EC67967" w14:textId="77777777" w:rsidR="003A7BF7" w:rsidRPr="005E3B43" w:rsidRDefault="003A7BF7" w:rsidP="00763BCF">
      <w:pPr>
        <w:pStyle w:val="paragraph"/>
      </w:pPr>
      <w:r w:rsidRPr="005E3B43">
        <w:tab/>
        <w:t>(b)</w:t>
      </w:r>
      <w:r w:rsidRPr="005E3B43">
        <w:tab/>
        <w:t>the person has paid the application fee required under that item in respect of the application; and</w:t>
      </w:r>
    </w:p>
    <w:p w14:paraId="2F2C4321" w14:textId="77777777" w:rsidR="003A7BF7" w:rsidRPr="005E3B43" w:rsidRDefault="003A7BF7" w:rsidP="00763BCF">
      <w:pPr>
        <w:pStyle w:val="paragraph"/>
      </w:pPr>
      <w:r w:rsidRPr="005E3B43">
        <w:tab/>
        <w:t>(c)</w:t>
      </w:r>
      <w:r w:rsidRPr="005E3B43">
        <w:tab/>
        <w:t>an evaluation of documentation in respect of the application is not undertaken.</w:t>
      </w:r>
    </w:p>
    <w:p w14:paraId="5018133E" w14:textId="77777777" w:rsidR="003A7BF7" w:rsidRPr="005E3B43" w:rsidRDefault="003A7BF7" w:rsidP="00763BCF">
      <w:pPr>
        <w:pStyle w:val="subsection"/>
      </w:pPr>
      <w:r w:rsidRPr="005E3B43">
        <w:tab/>
        <w:t>(2)</w:t>
      </w:r>
      <w:r w:rsidRPr="005E3B43">
        <w:tab/>
        <w:t>The Secretary must refund to the person the following amount:</w:t>
      </w:r>
    </w:p>
    <w:p w14:paraId="46A70B96" w14:textId="77777777" w:rsidR="003A7BF7" w:rsidRPr="005E3B43" w:rsidRDefault="003A7BF7" w:rsidP="00763BCF">
      <w:pPr>
        <w:pStyle w:val="paragraph"/>
      </w:pPr>
      <w:r w:rsidRPr="005E3B43">
        <w:tab/>
        <w:t>(a)</w:t>
      </w:r>
      <w:r w:rsidRPr="005E3B43">
        <w:tab/>
        <w:t>for a C2 (section</w:t>
      </w:r>
      <w:r w:rsidR="004E6D00" w:rsidRPr="005E3B43">
        <w:t> </w:t>
      </w:r>
      <w:r w:rsidRPr="005E3B43">
        <w:t>9D) application—</w:t>
      </w:r>
      <w:r w:rsidR="003673D2" w:rsidRPr="005E3B43">
        <w:t>$4,746</w:t>
      </w:r>
      <w:r w:rsidRPr="005E3B43">
        <w:t>;</w:t>
      </w:r>
    </w:p>
    <w:p w14:paraId="11746012" w14:textId="77777777" w:rsidR="003A7BF7" w:rsidRPr="005E3B43" w:rsidRDefault="003A7BF7" w:rsidP="00763BCF">
      <w:pPr>
        <w:pStyle w:val="paragraph"/>
      </w:pPr>
      <w:r w:rsidRPr="005E3B43">
        <w:tab/>
        <w:t>(b)</w:t>
      </w:r>
      <w:r w:rsidRPr="005E3B43">
        <w:tab/>
        <w:t>for a C3 (section</w:t>
      </w:r>
      <w:r w:rsidR="004E6D00" w:rsidRPr="005E3B43">
        <w:t> </w:t>
      </w:r>
      <w:r w:rsidRPr="005E3B43">
        <w:t>9D) application—</w:t>
      </w:r>
      <w:r w:rsidR="003673D2" w:rsidRPr="005E3B43">
        <w:t>$7,967</w:t>
      </w:r>
      <w:r w:rsidRPr="005E3B43">
        <w:t>;</w:t>
      </w:r>
    </w:p>
    <w:p w14:paraId="38965F91" w14:textId="77777777" w:rsidR="003A7BF7" w:rsidRPr="005E3B43" w:rsidRDefault="003A7BF7" w:rsidP="00763BCF">
      <w:pPr>
        <w:pStyle w:val="paragraph"/>
      </w:pPr>
      <w:r w:rsidRPr="005E3B43">
        <w:tab/>
        <w:t>(c)</w:t>
      </w:r>
      <w:r w:rsidRPr="005E3B43">
        <w:tab/>
        <w:t>for a C4 (section</w:t>
      </w:r>
      <w:r w:rsidR="004E6D00" w:rsidRPr="005E3B43">
        <w:t> </w:t>
      </w:r>
      <w:r w:rsidRPr="005E3B43">
        <w:t>9D) application—</w:t>
      </w:r>
      <w:r w:rsidR="003673D2" w:rsidRPr="005E3B43">
        <w:t>$10,397</w:t>
      </w:r>
      <w:r w:rsidRPr="005E3B43">
        <w:t>.</w:t>
      </w:r>
    </w:p>
    <w:p w14:paraId="7BDD0D06" w14:textId="77777777" w:rsidR="00D83304" w:rsidRPr="005E3B43" w:rsidRDefault="00D83304" w:rsidP="00763BCF">
      <w:pPr>
        <w:pStyle w:val="ActHead5"/>
      </w:pPr>
      <w:bookmarkStart w:id="284" w:name="_Toc187135878"/>
      <w:r w:rsidRPr="005E3B43">
        <w:rPr>
          <w:rStyle w:val="CharSectno"/>
        </w:rPr>
        <w:t>43ACA</w:t>
      </w:r>
      <w:r w:rsidRPr="005E3B43">
        <w:t xml:space="preserve">  Refund of fees where no evaluation undertaken—</w:t>
      </w:r>
      <w:r w:rsidR="004E2EA8" w:rsidRPr="005E3B43">
        <w:t>certain registered and listed</w:t>
      </w:r>
      <w:r w:rsidRPr="005E3B43">
        <w:t xml:space="preserve"> medicines</w:t>
      </w:r>
      <w:bookmarkEnd w:id="284"/>
    </w:p>
    <w:p w14:paraId="6A4986BA" w14:textId="77777777" w:rsidR="00D83304" w:rsidRPr="005E3B43" w:rsidRDefault="00D83304" w:rsidP="00763BCF">
      <w:pPr>
        <w:pStyle w:val="subsection"/>
      </w:pPr>
      <w:r w:rsidRPr="005E3B43">
        <w:tab/>
        <w:t>(1)</w:t>
      </w:r>
      <w:r w:rsidRPr="005E3B43">
        <w:tab/>
        <w:t>This regulation applies if:</w:t>
      </w:r>
    </w:p>
    <w:p w14:paraId="21C28EF9" w14:textId="263805F2" w:rsidR="00D83304" w:rsidRPr="005E3B43" w:rsidRDefault="00D83304" w:rsidP="00763BCF">
      <w:pPr>
        <w:pStyle w:val="paragraph"/>
      </w:pPr>
      <w:r w:rsidRPr="005E3B43">
        <w:tab/>
        <w:t>(a)</w:t>
      </w:r>
      <w:r w:rsidRPr="005E3B43">
        <w:tab/>
        <w:t xml:space="preserve">a person makes </w:t>
      </w:r>
      <w:r w:rsidR="004E2EA8" w:rsidRPr="005E3B43">
        <w:t xml:space="preserve">a request of a kind mentioned in </w:t>
      </w:r>
      <w:r w:rsidR="007C3215">
        <w:t>item 1</w:t>
      </w:r>
      <w:r w:rsidR="004E2EA8" w:rsidRPr="005E3B43">
        <w:t>A, 1B,</w:t>
      </w:r>
      <w:r w:rsidR="00EC3300" w:rsidRPr="005E3B43">
        <w:t> </w:t>
      </w:r>
      <w:r w:rsidRPr="005E3B43">
        <w:t>2, 3 or 4 of the table in Part</w:t>
      </w:r>
      <w:r w:rsidR="004E6D00" w:rsidRPr="005E3B43">
        <w:t> </w:t>
      </w:r>
      <w:r w:rsidRPr="005E3B43">
        <w:t>4 of Schedule</w:t>
      </w:r>
      <w:r w:rsidR="004E6D00" w:rsidRPr="005E3B43">
        <w:t> </w:t>
      </w:r>
      <w:r w:rsidRPr="005E3B43">
        <w:t>9; and</w:t>
      </w:r>
    </w:p>
    <w:p w14:paraId="3FF3B488" w14:textId="77777777" w:rsidR="00D83304" w:rsidRPr="005E3B43" w:rsidRDefault="00D83304" w:rsidP="00763BCF">
      <w:pPr>
        <w:pStyle w:val="paragraph"/>
      </w:pPr>
      <w:r w:rsidRPr="005E3B43">
        <w:lastRenderedPageBreak/>
        <w:tab/>
        <w:t>(b)</w:t>
      </w:r>
      <w:r w:rsidRPr="005E3B43">
        <w:tab/>
        <w:t xml:space="preserve">the person has paid the application fee required under the item in respect </w:t>
      </w:r>
      <w:r w:rsidR="004E2EA8" w:rsidRPr="005E3B43">
        <w:t>of the request</w:t>
      </w:r>
      <w:r w:rsidRPr="005E3B43">
        <w:t>; and</w:t>
      </w:r>
    </w:p>
    <w:p w14:paraId="0361A997" w14:textId="77777777" w:rsidR="00D83304" w:rsidRPr="005E3B43" w:rsidRDefault="00D83304" w:rsidP="00763BCF">
      <w:pPr>
        <w:pStyle w:val="paragraph"/>
      </w:pPr>
      <w:r w:rsidRPr="005E3B43">
        <w:tab/>
        <w:t>(c)</w:t>
      </w:r>
      <w:r w:rsidRPr="005E3B43">
        <w:tab/>
        <w:t xml:space="preserve">an evaluation of documentation in respect </w:t>
      </w:r>
      <w:r w:rsidR="004E2EA8" w:rsidRPr="005E3B43">
        <w:t>of the request</w:t>
      </w:r>
      <w:r w:rsidRPr="005E3B43">
        <w:t xml:space="preserve"> is not undertaken.</w:t>
      </w:r>
    </w:p>
    <w:p w14:paraId="54B3B3B6" w14:textId="77777777" w:rsidR="00D83304" w:rsidRPr="005E3B43" w:rsidRDefault="00D83304" w:rsidP="00763BCF">
      <w:pPr>
        <w:pStyle w:val="subsection"/>
      </w:pPr>
      <w:r w:rsidRPr="005E3B43">
        <w:tab/>
        <w:t>(2)</w:t>
      </w:r>
      <w:r w:rsidRPr="005E3B43">
        <w:tab/>
        <w:t>The Secretary must refund to the person the following amount:</w:t>
      </w:r>
    </w:p>
    <w:p w14:paraId="0D022D41" w14:textId="77777777" w:rsidR="004E2EA8" w:rsidRPr="005E3B43" w:rsidRDefault="004E2EA8" w:rsidP="00763BCF">
      <w:pPr>
        <w:pStyle w:val="paragraph"/>
      </w:pPr>
      <w:r w:rsidRPr="005E3B43">
        <w:tab/>
        <w:t>(aa)</w:t>
      </w:r>
      <w:r w:rsidRPr="005E3B43">
        <w:tab/>
        <w:t>for an L(A)C1 (section</w:t>
      </w:r>
      <w:r w:rsidR="004E6D00" w:rsidRPr="005E3B43">
        <w:t> </w:t>
      </w:r>
      <w:r w:rsidRPr="005E3B43">
        <w:t>9D) request—</w:t>
      </w:r>
      <w:r w:rsidR="006D33B7" w:rsidRPr="005E3B43">
        <w:t>$1,244</w:t>
      </w:r>
      <w:r w:rsidRPr="005E3B43">
        <w:t>;</w:t>
      </w:r>
    </w:p>
    <w:p w14:paraId="278ECBD0" w14:textId="77777777" w:rsidR="004E2EA8" w:rsidRPr="005E3B43" w:rsidRDefault="004E2EA8" w:rsidP="00763BCF">
      <w:pPr>
        <w:pStyle w:val="paragraph"/>
      </w:pPr>
      <w:r w:rsidRPr="005E3B43">
        <w:tab/>
        <w:t>(ab)</w:t>
      </w:r>
      <w:r w:rsidRPr="005E3B43">
        <w:tab/>
        <w:t>for an L(A)C2 (section</w:t>
      </w:r>
      <w:r w:rsidR="004E6D00" w:rsidRPr="005E3B43">
        <w:t> </w:t>
      </w:r>
      <w:r w:rsidRPr="005E3B43">
        <w:t>9D) request—</w:t>
      </w:r>
      <w:r w:rsidR="00DD7129" w:rsidRPr="005E3B43">
        <w:t>$9,041</w:t>
      </w:r>
      <w:r w:rsidRPr="005E3B43">
        <w:t>;</w:t>
      </w:r>
    </w:p>
    <w:p w14:paraId="2C2DC30E" w14:textId="77777777" w:rsidR="00D83304" w:rsidRPr="005E3B43" w:rsidRDefault="00D83304" w:rsidP="00763BCF">
      <w:pPr>
        <w:pStyle w:val="paragraph"/>
      </w:pPr>
      <w:r w:rsidRPr="005E3B43">
        <w:tab/>
        <w:t>(a)</w:t>
      </w:r>
      <w:r w:rsidRPr="005E3B43">
        <w:tab/>
        <w:t>for an RCMC2 (section</w:t>
      </w:r>
      <w:r w:rsidR="004E6D00" w:rsidRPr="005E3B43">
        <w:t> </w:t>
      </w:r>
      <w:r w:rsidRPr="005E3B43">
        <w:t>9D) request—</w:t>
      </w:r>
      <w:r w:rsidR="00EC7EF8" w:rsidRPr="005E3B43">
        <w:t>$4,791</w:t>
      </w:r>
      <w:r w:rsidRPr="005E3B43">
        <w:t>;</w:t>
      </w:r>
    </w:p>
    <w:p w14:paraId="72A0B76A" w14:textId="77777777" w:rsidR="00D83304" w:rsidRPr="005E3B43" w:rsidRDefault="00D83304" w:rsidP="00763BCF">
      <w:pPr>
        <w:pStyle w:val="paragraph"/>
      </w:pPr>
      <w:r w:rsidRPr="005E3B43">
        <w:tab/>
        <w:t>(b)</w:t>
      </w:r>
      <w:r w:rsidRPr="005E3B43">
        <w:tab/>
        <w:t>for an RCMC3 (section</w:t>
      </w:r>
      <w:r w:rsidR="004E6D00" w:rsidRPr="005E3B43">
        <w:t> </w:t>
      </w:r>
      <w:r w:rsidRPr="005E3B43">
        <w:t>9D) request—</w:t>
      </w:r>
      <w:r w:rsidR="00EC7EF8" w:rsidRPr="005E3B43">
        <w:t>$7,504</w:t>
      </w:r>
      <w:r w:rsidRPr="005E3B43">
        <w:t>;</w:t>
      </w:r>
    </w:p>
    <w:p w14:paraId="1AA95AB7" w14:textId="77777777" w:rsidR="00D83304" w:rsidRPr="005E3B43" w:rsidRDefault="00D83304" w:rsidP="00763BCF">
      <w:pPr>
        <w:pStyle w:val="paragraph"/>
      </w:pPr>
      <w:r w:rsidRPr="005E3B43">
        <w:tab/>
        <w:t>(c)</w:t>
      </w:r>
      <w:r w:rsidRPr="005E3B43">
        <w:tab/>
        <w:t>for an RCMC4 (section</w:t>
      </w:r>
      <w:r w:rsidR="004E6D00" w:rsidRPr="005E3B43">
        <w:t> </w:t>
      </w:r>
      <w:r w:rsidRPr="005E3B43">
        <w:t>9D) request—</w:t>
      </w:r>
      <w:r w:rsidR="00FF5049" w:rsidRPr="005E3B43">
        <w:t>$11,086</w:t>
      </w:r>
      <w:r w:rsidRPr="005E3B43">
        <w:t>.</w:t>
      </w:r>
    </w:p>
    <w:p w14:paraId="6E09E609" w14:textId="77777777" w:rsidR="00102755" w:rsidRPr="005E3B43" w:rsidRDefault="00102755" w:rsidP="00763BCF">
      <w:pPr>
        <w:pStyle w:val="ActHead5"/>
      </w:pPr>
      <w:bookmarkStart w:id="285" w:name="_Toc187135879"/>
      <w:r w:rsidRPr="005E3B43">
        <w:rPr>
          <w:rStyle w:val="CharSectno"/>
        </w:rPr>
        <w:t>43AD</w:t>
      </w:r>
      <w:r w:rsidRPr="005E3B43">
        <w:t xml:space="preserve">  Fee for therapeutic goods (priority applicant) determination application—refund in certain circumstances</w:t>
      </w:r>
      <w:bookmarkEnd w:id="285"/>
    </w:p>
    <w:p w14:paraId="0CCAD305" w14:textId="77777777" w:rsidR="00102755" w:rsidRPr="005E3B43" w:rsidRDefault="00102755" w:rsidP="00763BCF">
      <w:pPr>
        <w:pStyle w:val="subsection"/>
      </w:pPr>
      <w:r w:rsidRPr="005E3B43">
        <w:tab/>
        <w:t>(1)</w:t>
      </w:r>
      <w:r w:rsidRPr="005E3B43">
        <w:tab/>
        <w:t>This regulation applies if:</w:t>
      </w:r>
    </w:p>
    <w:p w14:paraId="5C0E2215" w14:textId="77777777" w:rsidR="00102755" w:rsidRPr="005E3B43" w:rsidRDefault="00102755" w:rsidP="00763BCF">
      <w:pPr>
        <w:pStyle w:val="paragraph"/>
      </w:pPr>
      <w:r w:rsidRPr="005E3B43">
        <w:tab/>
        <w:t>(a)</w:t>
      </w:r>
      <w:r w:rsidRPr="005E3B43">
        <w:tab/>
        <w:t>a person applies to the Secretary under regulation</w:t>
      </w:r>
      <w:r w:rsidR="004E6D00" w:rsidRPr="005E3B43">
        <w:t> </w:t>
      </w:r>
      <w:r w:rsidRPr="005E3B43">
        <w:t>16H to designate a medicine as an orphan drug; and</w:t>
      </w:r>
    </w:p>
    <w:p w14:paraId="253E7378" w14:textId="77777777" w:rsidR="00102755" w:rsidRPr="005E3B43" w:rsidRDefault="00102755" w:rsidP="00763BCF">
      <w:pPr>
        <w:pStyle w:val="paragraph"/>
      </w:pPr>
      <w:r w:rsidRPr="005E3B43">
        <w:tab/>
        <w:t>(b)</w:t>
      </w:r>
      <w:r w:rsidRPr="005E3B43">
        <w:tab/>
        <w:t>at the same time as, or after, applying for the designation, the person applies to the Secretary under subregulation</w:t>
      </w:r>
      <w:r w:rsidR="004E6D00" w:rsidRPr="005E3B43">
        <w:t> </w:t>
      </w:r>
      <w:r w:rsidRPr="005E3B43">
        <w:t>16Q(1) for a therapeutic goods (priority applicant) determination in relation to the medicine; and</w:t>
      </w:r>
    </w:p>
    <w:p w14:paraId="67E09563" w14:textId="5DC8A19F" w:rsidR="00102755" w:rsidRPr="005E3B43" w:rsidRDefault="00102755" w:rsidP="00763BCF">
      <w:pPr>
        <w:pStyle w:val="paragraph"/>
      </w:pPr>
      <w:r w:rsidRPr="005E3B43">
        <w:tab/>
        <w:t>(c)</w:t>
      </w:r>
      <w:r w:rsidRPr="005E3B43">
        <w:tab/>
        <w:t xml:space="preserve">the person pays the fee prescribed in </w:t>
      </w:r>
      <w:r w:rsidR="007C3215">
        <w:t>item 1</w:t>
      </w:r>
      <w:r w:rsidRPr="005E3B43">
        <w:t xml:space="preserve">B of </w:t>
      </w:r>
      <w:r w:rsidR="006B5D8E" w:rsidRPr="005E3B43">
        <w:t>Part 2</w:t>
      </w:r>
      <w:r w:rsidRPr="005E3B43">
        <w:t xml:space="preserve"> of Schedule</w:t>
      </w:r>
      <w:r w:rsidR="004E6D00" w:rsidRPr="005E3B43">
        <w:t> </w:t>
      </w:r>
      <w:r w:rsidRPr="005E3B43">
        <w:t>9 for applying for the determination; and</w:t>
      </w:r>
    </w:p>
    <w:p w14:paraId="2DCFEC27" w14:textId="77777777" w:rsidR="00102755" w:rsidRPr="005E3B43" w:rsidRDefault="00102755" w:rsidP="00763BCF">
      <w:pPr>
        <w:pStyle w:val="paragraph"/>
      </w:pPr>
      <w:r w:rsidRPr="005E3B43">
        <w:tab/>
        <w:t>(d)</w:t>
      </w:r>
      <w:r w:rsidRPr="005E3B43">
        <w:tab/>
        <w:t>after the person pays the fee, the Secretary designates the medicine as an orphan drug under regulation</w:t>
      </w:r>
      <w:r w:rsidR="004E6D00" w:rsidRPr="005E3B43">
        <w:t> </w:t>
      </w:r>
      <w:r w:rsidRPr="005E3B43">
        <w:t>16J.</w:t>
      </w:r>
    </w:p>
    <w:p w14:paraId="1CA3714E" w14:textId="77777777" w:rsidR="00102755" w:rsidRPr="005E3B43" w:rsidRDefault="00102755" w:rsidP="00763BCF">
      <w:pPr>
        <w:pStyle w:val="subsection"/>
      </w:pPr>
      <w:r w:rsidRPr="005E3B43">
        <w:tab/>
        <w:t>(2)</w:t>
      </w:r>
      <w:r w:rsidRPr="005E3B43">
        <w:tab/>
        <w:t>The Secretary must refund the fee to the person (whether or not the Secretary makes the determination).</w:t>
      </w:r>
    </w:p>
    <w:p w14:paraId="453E8EB5" w14:textId="77777777" w:rsidR="00823287" w:rsidRPr="005E3B43" w:rsidRDefault="00823287" w:rsidP="00763BCF">
      <w:pPr>
        <w:pStyle w:val="ActHead5"/>
      </w:pPr>
      <w:bookmarkStart w:id="286" w:name="_Toc187135880"/>
      <w:r w:rsidRPr="005E3B43">
        <w:rPr>
          <w:rStyle w:val="CharSectno"/>
        </w:rPr>
        <w:t>43AE</w:t>
      </w:r>
      <w:r w:rsidRPr="005E3B43">
        <w:t xml:space="preserve">  Fee for application for provisional determination relating to medicine—refund in certain circumstances</w:t>
      </w:r>
      <w:bookmarkEnd w:id="286"/>
    </w:p>
    <w:p w14:paraId="0BF599A3" w14:textId="77777777" w:rsidR="00823287" w:rsidRPr="005E3B43" w:rsidRDefault="00823287" w:rsidP="00763BCF">
      <w:pPr>
        <w:pStyle w:val="subsection"/>
      </w:pPr>
      <w:r w:rsidRPr="005E3B43">
        <w:tab/>
        <w:t>(1)</w:t>
      </w:r>
      <w:r w:rsidRPr="005E3B43">
        <w:tab/>
        <w:t>This regulation applies if:</w:t>
      </w:r>
    </w:p>
    <w:p w14:paraId="6813BA8F" w14:textId="77777777" w:rsidR="00823287" w:rsidRPr="005E3B43" w:rsidRDefault="00823287" w:rsidP="00763BCF">
      <w:pPr>
        <w:pStyle w:val="paragraph"/>
      </w:pPr>
      <w:r w:rsidRPr="005E3B43">
        <w:tab/>
        <w:t>(a)</w:t>
      </w:r>
      <w:r w:rsidRPr="005E3B43">
        <w:tab/>
        <w:t>a person applies to the Secretary under regulation</w:t>
      </w:r>
      <w:r w:rsidR="004E6D00" w:rsidRPr="005E3B43">
        <w:t> </w:t>
      </w:r>
      <w:r w:rsidRPr="005E3B43">
        <w:t>16H to designate a medicine as an orphan drug; and</w:t>
      </w:r>
    </w:p>
    <w:p w14:paraId="57E8F091" w14:textId="77777777" w:rsidR="00823287" w:rsidRPr="005E3B43" w:rsidRDefault="00823287" w:rsidP="00763BCF">
      <w:pPr>
        <w:pStyle w:val="paragraph"/>
      </w:pPr>
      <w:r w:rsidRPr="005E3B43">
        <w:tab/>
        <w:t>(b)</w:t>
      </w:r>
      <w:r w:rsidRPr="005E3B43">
        <w:tab/>
        <w:t>at the same time as, or after, applying for the designation, the person applies to the Secretary under sub</w:t>
      </w:r>
      <w:r w:rsidR="00FB7FAA" w:rsidRPr="005E3B43">
        <w:t>section 2</w:t>
      </w:r>
      <w:r w:rsidRPr="005E3B43">
        <w:t>2C(1) of the Act for a provisional determination in relation to the medicine; and</w:t>
      </w:r>
    </w:p>
    <w:p w14:paraId="1E61C4BE" w14:textId="4C4E27AC" w:rsidR="00823287" w:rsidRPr="005E3B43" w:rsidRDefault="00823287" w:rsidP="00763BCF">
      <w:pPr>
        <w:pStyle w:val="paragraph"/>
      </w:pPr>
      <w:r w:rsidRPr="005E3B43">
        <w:tab/>
        <w:t>(c)</w:t>
      </w:r>
      <w:r w:rsidRPr="005E3B43">
        <w:tab/>
        <w:t xml:space="preserve">the person pays the fee prescribed in </w:t>
      </w:r>
      <w:r w:rsidR="007C3215">
        <w:t>item 1</w:t>
      </w:r>
      <w:r w:rsidRPr="005E3B43">
        <w:t>AA of the table in clause</w:t>
      </w:r>
      <w:r w:rsidR="004E6D00" w:rsidRPr="005E3B43">
        <w:t> </w:t>
      </w:r>
      <w:r w:rsidRPr="005E3B43">
        <w:t>3 of Schedule</w:t>
      </w:r>
      <w:r w:rsidR="004E6D00" w:rsidRPr="005E3B43">
        <w:t> </w:t>
      </w:r>
      <w:r w:rsidRPr="005E3B43">
        <w:t>9 for applying for the determination; and</w:t>
      </w:r>
    </w:p>
    <w:p w14:paraId="27C56D3D" w14:textId="77777777" w:rsidR="00823287" w:rsidRPr="005E3B43" w:rsidRDefault="00823287" w:rsidP="00763BCF">
      <w:pPr>
        <w:pStyle w:val="paragraph"/>
      </w:pPr>
      <w:r w:rsidRPr="005E3B43">
        <w:tab/>
        <w:t>(d)</w:t>
      </w:r>
      <w:r w:rsidRPr="005E3B43">
        <w:tab/>
        <w:t>after the person pays the fee, the Secretary designates the medicine as an orphan drug under regulation</w:t>
      </w:r>
      <w:r w:rsidR="004E6D00" w:rsidRPr="005E3B43">
        <w:t> </w:t>
      </w:r>
      <w:r w:rsidRPr="005E3B43">
        <w:t>16J.</w:t>
      </w:r>
    </w:p>
    <w:p w14:paraId="5BFC8A2F" w14:textId="77777777" w:rsidR="00823287" w:rsidRPr="005E3B43" w:rsidRDefault="00823287" w:rsidP="00763BCF">
      <w:pPr>
        <w:pStyle w:val="subsection"/>
      </w:pPr>
      <w:r w:rsidRPr="005E3B43">
        <w:tab/>
        <w:t>(2)</w:t>
      </w:r>
      <w:r w:rsidRPr="005E3B43">
        <w:tab/>
        <w:t>The Secretary must refund the fee to the person (whether or not the Secretary makes the determination).</w:t>
      </w:r>
    </w:p>
    <w:p w14:paraId="024E22CA" w14:textId="77777777" w:rsidR="00252897" w:rsidRPr="005E3B43" w:rsidRDefault="00252897" w:rsidP="00763BCF">
      <w:pPr>
        <w:pStyle w:val="ActHead5"/>
      </w:pPr>
      <w:bookmarkStart w:id="287" w:name="_Toc187135881"/>
      <w:r w:rsidRPr="005E3B43">
        <w:rPr>
          <w:rStyle w:val="CharSectno"/>
        </w:rPr>
        <w:lastRenderedPageBreak/>
        <w:t>43AF</w:t>
      </w:r>
      <w:r w:rsidRPr="005E3B43">
        <w:t xml:space="preserve">  Fee for request for variation of </w:t>
      </w:r>
      <w:r w:rsidR="004E2EA8" w:rsidRPr="005E3B43">
        <w:t>certain registered and listed</w:t>
      </w:r>
      <w:r w:rsidRPr="005E3B43">
        <w:t xml:space="preserve"> medicines—refund in certain circumstances</w:t>
      </w:r>
      <w:bookmarkEnd w:id="287"/>
    </w:p>
    <w:p w14:paraId="0A996093" w14:textId="77777777" w:rsidR="00252897" w:rsidRPr="005E3B43" w:rsidRDefault="00252897" w:rsidP="00763BCF">
      <w:pPr>
        <w:pStyle w:val="subsection"/>
      </w:pPr>
      <w:r w:rsidRPr="005E3B43">
        <w:tab/>
      </w:r>
      <w:r w:rsidRPr="005E3B43">
        <w:tab/>
        <w:t>If:</w:t>
      </w:r>
    </w:p>
    <w:p w14:paraId="391A9BEE" w14:textId="77777777" w:rsidR="00252897" w:rsidRPr="005E3B43" w:rsidRDefault="00252897" w:rsidP="00763BCF">
      <w:pPr>
        <w:pStyle w:val="paragraph"/>
      </w:pPr>
      <w:r w:rsidRPr="005E3B43">
        <w:tab/>
        <w:t>(a)</w:t>
      </w:r>
      <w:r w:rsidRPr="005E3B43">
        <w:tab/>
        <w:t xml:space="preserve">a person (the </w:t>
      </w:r>
      <w:r w:rsidRPr="005E3B43">
        <w:rPr>
          <w:b/>
          <w:i/>
        </w:rPr>
        <w:t>applicant</w:t>
      </w:r>
      <w:r w:rsidRPr="005E3B43">
        <w:t>) makes a request under section</w:t>
      </w:r>
      <w:r w:rsidR="004E6D00" w:rsidRPr="005E3B43">
        <w:t> </w:t>
      </w:r>
      <w:r w:rsidRPr="005E3B43">
        <w:t>9D of the Act; and</w:t>
      </w:r>
    </w:p>
    <w:p w14:paraId="4CDCD098" w14:textId="77777777" w:rsidR="00252897" w:rsidRPr="005E3B43" w:rsidRDefault="00252897" w:rsidP="00763BCF">
      <w:pPr>
        <w:pStyle w:val="paragraph"/>
      </w:pPr>
      <w:r w:rsidRPr="005E3B43">
        <w:tab/>
        <w:t>(b)</w:t>
      </w:r>
      <w:r w:rsidRPr="005E3B43">
        <w:tab/>
        <w:t>the request is:</w:t>
      </w:r>
    </w:p>
    <w:p w14:paraId="4E3B2B4A" w14:textId="77777777" w:rsidR="004E2EA8" w:rsidRPr="005E3B43" w:rsidRDefault="004E2EA8" w:rsidP="00763BCF">
      <w:pPr>
        <w:pStyle w:val="paragraphsub"/>
      </w:pPr>
      <w:r w:rsidRPr="005E3B43">
        <w:tab/>
        <w:t>(ia)</w:t>
      </w:r>
      <w:r w:rsidRPr="005E3B43">
        <w:tab/>
        <w:t>an L(A)C1 (section</w:t>
      </w:r>
      <w:r w:rsidR="004E6D00" w:rsidRPr="005E3B43">
        <w:t> </w:t>
      </w:r>
      <w:r w:rsidRPr="005E3B43">
        <w:t>9D) request; or</w:t>
      </w:r>
    </w:p>
    <w:p w14:paraId="4EF88814" w14:textId="77777777" w:rsidR="004E2EA8" w:rsidRPr="005E3B43" w:rsidRDefault="004E2EA8" w:rsidP="00763BCF">
      <w:pPr>
        <w:pStyle w:val="paragraphsub"/>
      </w:pPr>
      <w:r w:rsidRPr="005E3B43">
        <w:tab/>
        <w:t>(ib)</w:t>
      </w:r>
      <w:r w:rsidRPr="005E3B43">
        <w:tab/>
        <w:t>an L(A)C2 (section</w:t>
      </w:r>
      <w:r w:rsidR="004E6D00" w:rsidRPr="005E3B43">
        <w:t> </w:t>
      </w:r>
      <w:r w:rsidRPr="005E3B43">
        <w:t>9D) request; or</w:t>
      </w:r>
    </w:p>
    <w:p w14:paraId="2F894B12" w14:textId="77777777" w:rsidR="00252897" w:rsidRPr="005E3B43" w:rsidRDefault="00252897" w:rsidP="00763BCF">
      <w:pPr>
        <w:pStyle w:val="paragraphsub"/>
      </w:pPr>
      <w:r w:rsidRPr="005E3B43">
        <w:tab/>
        <w:t>(i)</w:t>
      </w:r>
      <w:r w:rsidRPr="005E3B43">
        <w:tab/>
        <w:t>an RCMC2 (section</w:t>
      </w:r>
      <w:r w:rsidR="004E6D00" w:rsidRPr="005E3B43">
        <w:t> </w:t>
      </w:r>
      <w:r w:rsidRPr="005E3B43">
        <w:t>9D) request; or</w:t>
      </w:r>
    </w:p>
    <w:p w14:paraId="4111C948" w14:textId="77777777" w:rsidR="00252897" w:rsidRPr="005E3B43" w:rsidRDefault="00252897" w:rsidP="00763BCF">
      <w:pPr>
        <w:pStyle w:val="paragraphsub"/>
      </w:pPr>
      <w:r w:rsidRPr="005E3B43">
        <w:tab/>
        <w:t>(ii)</w:t>
      </w:r>
      <w:r w:rsidRPr="005E3B43">
        <w:tab/>
        <w:t>an RCMC3 (section</w:t>
      </w:r>
      <w:r w:rsidR="004E6D00" w:rsidRPr="005E3B43">
        <w:t> </w:t>
      </w:r>
      <w:r w:rsidRPr="005E3B43">
        <w:t>9D) request; or</w:t>
      </w:r>
    </w:p>
    <w:p w14:paraId="62639D88" w14:textId="77777777" w:rsidR="00252897" w:rsidRPr="005E3B43" w:rsidRDefault="00252897" w:rsidP="00763BCF">
      <w:pPr>
        <w:pStyle w:val="paragraphsub"/>
      </w:pPr>
      <w:r w:rsidRPr="005E3B43">
        <w:tab/>
        <w:t>(iii)</w:t>
      </w:r>
      <w:r w:rsidRPr="005E3B43">
        <w:tab/>
        <w:t>an RCMC4 (section</w:t>
      </w:r>
      <w:r w:rsidR="004E6D00" w:rsidRPr="005E3B43">
        <w:t> </w:t>
      </w:r>
      <w:r w:rsidRPr="005E3B43">
        <w:t>9D) request; and</w:t>
      </w:r>
    </w:p>
    <w:p w14:paraId="229F4419" w14:textId="77777777" w:rsidR="00252897" w:rsidRPr="005E3B43" w:rsidRDefault="00252897" w:rsidP="00763BCF">
      <w:pPr>
        <w:pStyle w:val="paragraph"/>
      </w:pPr>
      <w:r w:rsidRPr="005E3B43">
        <w:tab/>
        <w:t>(c)</w:t>
      </w:r>
      <w:r w:rsidRPr="005E3B43">
        <w:tab/>
        <w:t>the Secretary makes a decision on the request but not within the period specified for the request in regulation</w:t>
      </w:r>
      <w:r w:rsidR="004E6D00" w:rsidRPr="005E3B43">
        <w:t> </w:t>
      </w:r>
      <w:r w:rsidRPr="005E3B43">
        <w:t>16GG;</w:t>
      </w:r>
    </w:p>
    <w:p w14:paraId="530436D1" w14:textId="77777777" w:rsidR="00252897" w:rsidRPr="005E3B43" w:rsidRDefault="00252897" w:rsidP="00763BCF">
      <w:pPr>
        <w:pStyle w:val="subsection2"/>
      </w:pPr>
      <w:r w:rsidRPr="005E3B43">
        <w:t>then 25% of the application fee must be refunded to the applicant.</w:t>
      </w:r>
    </w:p>
    <w:p w14:paraId="63B7D18E" w14:textId="77777777" w:rsidR="00207B1C" w:rsidRPr="005E3B43" w:rsidRDefault="00207B1C" w:rsidP="00763BCF">
      <w:pPr>
        <w:pStyle w:val="ActHead5"/>
      </w:pPr>
      <w:bookmarkStart w:id="288" w:name="_Toc187135882"/>
      <w:r w:rsidRPr="005E3B43">
        <w:rPr>
          <w:rStyle w:val="CharSectno"/>
        </w:rPr>
        <w:t>44</w:t>
      </w:r>
      <w:r w:rsidR="00E20BA4" w:rsidRPr="005E3B43">
        <w:t xml:space="preserve">  </w:t>
      </w:r>
      <w:r w:rsidRPr="005E3B43">
        <w:t>Testing of samples</w:t>
      </w:r>
      <w:r w:rsidR="00E20BA4" w:rsidRPr="005E3B43">
        <w:t>—</w:t>
      </w:r>
      <w:r w:rsidRPr="005E3B43">
        <w:t>recovery of costs</w:t>
      </w:r>
      <w:bookmarkEnd w:id="288"/>
    </w:p>
    <w:p w14:paraId="1DEF286D" w14:textId="77777777" w:rsidR="00207B1C" w:rsidRPr="005E3B43" w:rsidRDefault="00207B1C" w:rsidP="00763BCF">
      <w:pPr>
        <w:pStyle w:val="subsection"/>
      </w:pPr>
      <w:r w:rsidRPr="005E3B43">
        <w:tab/>
      </w:r>
      <w:r w:rsidRPr="005E3B43">
        <w:tab/>
        <w:t>If a person asks the Department to analyse a sample of goods, the costs incurred by the Department in carrying out that analysis are recoverable from that person as a debt due to the Commonwealth.</w:t>
      </w:r>
    </w:p>
    <w:p w14:paraId="7AEEB064" w14:textId="77777777" w:rsidR="00207B1C" w:rsidRPr="005E3B43" w:rsidRDefault="00207B1C" w:rsidP="00763BCF">
      <w:pPr>
        <w:pStyle w:val="ActHead5"/>
      </w:pPr>
      <w:bookmarkStart w:id="289" w:name="_Toc187135883"/>
      <w:r w:rsidRPr="005E3B43">
        <w:rPr>
          <w:rStyle w:val="CharSectno"/>
        </w:rPr>
        <w:t>45</w:t>
      </w:r>
      <w:r w:rsidR="00E20BA4" w:rsidRPr="005E3B43">
        <w:t xml:space="preserve">  </w:t>
      </w:r>
      <w:r w:rsidRPr="005E3B43">
        <w:t>Waiver or reduction of fees</w:t>
      </w:r>
      <w:bookmarkEnd w:id="289"/>
    </w:p>
    <w:p w14:paraId="31F1E184" w14:textId="77777777" w:rsidR="00AE5E55" w:rsidRPr="005E3B43" w:rsidRDefault="00AE5E55" w:rsidP="00763BCF">
      <w:pPr>
        <w:pStyle w:val="SubsectionHead"/>
      </w:pPr>
      <w:r w:rsidRPr="005E3B43">
        <w:t>Reduction of evaluation fee for certain goods—supply in the interest of public health that would otherwise not be commercially viable</w:t>
      </w:r>
    </w:p>
    <w:p w14:paraId="27656217" w14:textId="77777777" w:rsidR="00207B1C" w:rsidRPr="005E3B43" w:rsidRDefault="00207B1C" w:rsidP="00763BCF">
      <w:pPr>
        <w:pStyle w:val="subsection"/>
      </w:pPr>
      <w:r w:rsidRPr="005E3B43">
        <w:tab/>
        <w:t>(1)</w:t>
      </w:r>
      <w:r w:rsidRPr="005E3B43">
        <w:tab/>
        <w:t>The Secretary may reduce by 70% the amount of the evaluation fee specified in Schedule</w:t>
      </w:r>
      <w:r w:rsidR="004E6D00" w:rsidRPr="005E3B43">
        <w:t> </w:t>
      </w:r>
      <w:r w:rsidRPr="005E3B43">
        <w:t>9 that is payable in relation to the supply of therapeutic goods (other than goods of a kind mentioned in Part</w:t>
      </w:r>
      <w:r w:rsidR="004E6D00" w:rsidRPr="005E3B43">
        <w:t> </w:t>
      </w:r>
      <w:r w:rsidRPr="005E3B43">
        <w:t xml:space="preserve">1 of </w:t>
      </w:r>
      <w:r w:rsidR="008D1B4F" w:rsidRPr="005E3B43">
        <w:t>Schedule 1</w:t>
      </w:r>
      <w:r w:rsidRPr="005E3B43">
        <w:t>0) if the supply of those goods:</w:t>
      </w:r>
    </w:p>
    <w:p w14:paraId="7770DDB9" w14:textId="77777777" w:rsidR="00207B1C" w:rsidRPr="005E3B43" w:rsidRDefault="00207B1C" w:rsidP="00763BCF">
      <w:pPr>
        <w:pStyle w:val="paragraph"/>
      </w:pPr>
      <w:r w:rsidRPr="005E3B43">
        <w:tab/>
        <w:t>(a)</w:t>
      </w:r>
      <w:r w:rsidRPr="005E3B43">
        <w:tab/>
        <w:t>is in the interest of public health; and</w:t>
      </w:r>
    </w:p>
    <w:p w14:paraId="3FF70C73" w14:textId="77777777" w:rsidR="00207B1C" w:rsidRPr="005E3B43" w:rsidRDefault="00207B1C" w:rsidP="00763BCF">
      <w:pPr>
        <w:pStyle w:val="paragraph"/>
      </w:pPr>
      <w:r w:rsidRPr="005E3B43">
        <w:tab/>
        <w:t>(b)</w:t>
      </w:r>
      <w:r w:rsidRPr="005E3B43">
        <w:tab/>
        <w:t>would not be commercially viable for the sponsor of the goods if the full amount of the fee were paid.</w:t>
      </w:r>
    </w:p>
    <w:p w14:paraId="03A57691" w14:textId="77777777" w:rsidR="00AE5E55" w:rsidRPr="005E3B43" w:rsidRDefault="00AE5E55" w:rsidP="00763BCF">
      <w:pPr>
        <w:pStyle w:val="SubsectionHead"/>
      </w:pPr>
      <w:r w:rsidRPr="005E3B43">
        <w:t>Waiver or reduction of evaluation fee for certain goods—goods with same active ingredient and common information</w:t>
      </w:r>
    </w:p>
    <w:p w14:paraId="7DC24388" w14:textId="77777777" w:rsidR="00207B1C" w:rsidRPr="005E3B43" w:rsidRDefault="00207B1C" w:rsidP="00763BCF">
      <w:pPr>
        <w:pStyle w:val="subsection"/>
      </w:pPr>
      <w:r w:rsidRPr="005E3B43">
        <w:tab/>
        <w:t>(2)</w:t>
      </w:r>
      <w:r w:rsidRPr="005E3B43">
        <w:tab/>
        <w:t xml:space="preserve">The Secretary may waive, or reduce, an evaluation fee prescribed in </w:t>
      </w:r>
      <w:r w:rsidR="003C672F" w:rsidRPr="005E3B43">
        <w:t>Schedules</w:t>
      </w:r>
      <w:r w:rsidR="004E6D00" w:rsidRPr="005E3B43">
        <w:t> </w:t>
      </w:r>
      <w:r w:rsidR="003C672F" w:rsidRPr="005E3B43">
        <w:t xml:space="preserve">9 and 9A </w:t>
      </w:r>
      <w:r w:rsidRPr="005E3B43">
        <w:t>in relation to an application (other than an application relating to goods of a kind mentioned in Part</w:t>
      </w:r>
      <w:r w:rsidR="004E6D00" w:rsidRPr="005E3B43">
        <w:t> </w:t>
      </w:r>
      <w:r w:rsidRPr="005E3B43">
        <w:t xml:space="preserve">1 of </w:t>
      </w:r>
      <w:r w:rsidR="008D1B4F" w:rsidRPr="005E3B43">
        <w:t>Schedule 1</w:t>
      </w:r>
      <w:r w:rsidRPr="005E3B43">
        <w:t>0) if the applicant makes another application, or other applications, in relation to therapeutic goods at the same time and the following circumstances apply:</w:t>
      </w:r>
    </w:p>
    <w:p w14:paraId="20A5B4B7" w14:textId="77777777" w:rsidR="00E926BF" w:rsidRPr="005E3B43" w:rsidRDefault="00E926BF" w:rsidP="00763BCF">
      <w:pPr>
        <w:pStyle w:val="paragraph"/>
      </w:pPr>
      <w:r w:rsidRPr="005E3B43">
        <w:tab/>
        <w:t>(a)</w:t>
      </w:r>
      <w:r w:rsidRPr="005E3B43">
        <w:tab/>
        <w:t>the goods to which each application relates contain the same active ingredient;</w:t>
      </w:r>
    </w:p>
    <w:p w14:paraId="10129126" w14:textId="77777777" w:rsidR="00207B1C" w:rsidRPr="005E3B43" w:rsidRDefault="00207B1C" w:rsidP="00763BCF">
      <w:pPr>
        <w:pStyle w:val="paragraph"/>
      </w:pPr>
      <w:r w:rsidRPr="005E3B43">
        <w:tab/>
        <w:t>(b)</w:t>
      </w:r>
      <w:r w:rsidRPr="005E3B43">
        <w:tab/>
        <w:t>the information given in support of each application has sufficient commonality, in respect of the goods, that a simultaneous evaluation of the goods may conveniently be made.</w:t>
      </w:r>
    </w:p>
    <w:p w14:paraId="335708EA" w14:textId="77777777" w:rsidR="00AE5E55" w:rsidRPr="005E3B43" w:rsidRDefault="00AE5E55" w:rsidP="00763BCF">
      <w:pPr>
        <w:pStyle w:val="SubsectionHead"/>
      </w:pPr>
      <w:r w:rsidRPr="005E3B43">
        <w:lastRenderedPageBreak/>
        <w:t>Waiver or reduction of application and evaluation fees for certain medicines—additional applications for goods with same active ingredient and common information</w:t>
      </w:r>
    </w:p>
    <w:p w14:paraId="2CFDD5FF" w14:textId="77777777" w:rsidR="00091EF3" w:rsidRPr="005E3B43" w:rsidRDefault="00091EF3" w:rsidP="00763BCF">
      <w:pPr>
        <w:pStyle w:val="subsection"/>
      </w:pPr>
      <w:r w:rsidRPr="005E3B43">
        <w:tab/>
        <w:t>(3A)</w:t>
      </w:r>
      <w:r w:rsidRPr="005E3B43">
        <w:tab/>
        <w:t>The Secretary may waive or reduce the application and evaluation fees specified in Schedule</w:t>
      </w:r>
      <w:r w:rsidR="004E6D00" w:rsidRPr="005E3B43">
        <w:t> </w:t>
      </w:r>
      <w:r w:rsidRPr="005E3B43">
        <w:t>9 that are payable in relation to an application if:</w:t>
      </w:r>
    </w:p>
    <w:p w14:paraId="21075B13" w14:textId="77777777" w:rsidR="00091EF3" w:rsidRPr="005E3B43" w:rsidRDefault="00091EF3" w:rsidP="00763BCF">
      <w:pPr>
        <w:pStyle w:val="paragraph"/>
      </w:pPr>
      <w:r w:rsidRPr="005E3B43">
        <w:tab/>
        <w:t>(a)</w:t>
      </w:r>
      <w:r w:rsidRPr="005E3B43">
        <w:tab/>
        <w:t>the application is of a kind mentioned in subregulation (3B); and</w:t>
      </w:r>
    </w:p>
    <w:p w14:paraId="323DADA9" w14:textId="77777777" w:rsidR="00091EF3" w:rsidRPr="005E3B43" w:rsidRDefault="00091EF3" w:rsidP="00763BCF">
      <w:pPr>
        <w:pStyle w:val="paragraph"/>
      </w:pPr>
      <w:r w:rsidRPr="005E3B43">
        <w:tab/>
        <w:t>(b)</w:t>
      </w:r>
      <w:r w:rsidRPr="005E3B43">
        <w:tab/>
        <w:t>the applicant makes one or more additional applications of the same kind; and</w:t>
      </w:r>
    </w:p>
    <w:p w14:paraId="033C0A5C" w14:textId="77777777" w:rsidR="00091EF3" w:rsidRPr="005E3B43" w:rsidRDefault="00091EF3" w:rsidP="00763BCF">
      <w:pPr>
        <w:pStyle w:val="paragraph"/>
      </w:pPr>
      <w:r w:rsidRPr="005E3B43">
        <w:tab/>
        <w:t>(c)</w:t>
      </w:r>
      <w:r w:rsidRPr="005E3B43">
        <w:tab/>
        <w:t>each application relates to goods that contain the same therapeutically active ingredient; and</w:t>
      </w:r>
    </w:p>
    <w:p w14:paraId="3166165B" w14:textId="77777777" w:rsidR="00091EF3" w:rsidRPr="005E3B43" w:rsidRDefault="00091EF3" w:rsidP="00763BCF">
      <w:pPr>
        <w:pStyle w:val="paragraph"/>
      </w:pPr>
      <w:r w:rsidRPr="005E3B43">
        <w:tab/>
        <w:t>(d)</w:t>
      </w:r>
      <w:r w:rsidRPr="005E3B43">
        <w:tab/>
        <w:t>the information in support of each application is sufficiently common in respect of the goods to enable a simultaneous assessment of the goods to be made.</w:t>
      </w:r>
    </w:p>
    <w:p w14:paraId="34747DF9" w14:textId="77777777" w:rsidR="00091EF3" w:rsidRPr="005E3B43" w:rsidRDefault="00091EF3" w:rsidP="00763BCF">
      <w:pPr>
        <w:pStyle w:val="subsection"/>
      </w:pPr>
      <w:r w:rsidRPr="005E3B43">
        <w:tab/>
        <w:t>(3B)</w:t>
      </w:r>
      <w:r w:rsidRPr="005E3B43">
        <w:tab/>
        <w:t>The applications are as follows:</w:t>
      </w:r>
    </w:p>
    <w:p w14:paraId="74118CED" w14:textId="77777777" w:rsidR="00091EF3" w:rsidRPr="005E3B43" w:rsidRDefault="00091EF3" w:rsidP="00763BCF">
      <w:pPr>
        <w:pStyle w:val="paragraph"/>
      </w:pPr>
      <w:r w:rsidRPr="005E3B43">
        <w:tab/>
        <w:t>(a)</w:t>
      </w:r>
      <w:r w:rsidRPr="005E3B43">
        <w:tab/>
        <w:t>an L(A)1 application;</w:t>
      </w:r>
    </w:p>
    <w:p w14:paraId="60584746" w14:textId="77777777" w:rsidR="00091EF3" w:rsidRPr="005E3B43" w:rsidRDefault="00091EF3" w:rsidP="00763BCF">
      <w:pPr>
        <w:pStyle w:val="paragraph"/>
      </w:pPr>
      <w:r w:rsidRPr="005E3B43">
        <w:tab/>
        <w:t>(b)</w:t>
      </w:r>
      <w:r w:rsidRPr="005E3B43">
        <w:tab/>
        <w:t>an L(A)2 application;</w:t>
      </w:r>
    </w:p>
    <w:p w14:paraId="35B326EA" w14:textId="77777777" w:rsidR="00091EF3" w:rsidRPr="005E3B43" w:rsidRDefault="00091EF3" w:rsidP="00763BCF">
      <w:pPr>
        <w:pStyle w:val="paragraph"/>
      </w:pPr>
      <w:r w:rsidRPr="005E3B43">
        <w:tab/>
        <w:t>(c)</w:t>
      </w:r>
      <w:r w:rsidRPr="005E3B43">
        <w:tab/>
        <w:t>an L(A)3 application;</w:t>
      </w:r>
    </w:p>
    <w:p w14:paraId="34E8BAB9" w14:textId="77777777" w:rsidR="00091EF3" w:rsidRPr="005E3B43" w:rsidRDefault="00091EF3" w:rsidP="00763BCF">
      <w:pPr>
        <w:pStyle w:val="paragraph"/>
      </w:pPr>
      <w:r w:rsidRPr="005E3B43">
        <w:tab/>
        <w:t>(d)</w:t>
      </w:r>
      <w:r w:rsidRPr="005E3B43">
        <w:tab/>
        <w:t>an RCM1 application;</w:t>
      </w:r>
    </w:p>
    <w:p w14:paraId="5F500B45" w14:textId="77777777" w:rsidR="00091EF3" w:rsidRPr="005E3B43" w:rsidRDefault="00091EF3" w:rsidP="00763BCF">
      <w:pPr>
        <w:pStyle w:val="paragraph"/>
      </w:pPr>
      <w:r w:rsidRPr="005E3B43">
        <w:tab/>
        <w:t>(e)</w:t>
      </w:r>
      <w:r w:rsidRPr="005E3B43">
        <w:tab/>
        <w:t>an RCM2 application;</w:t>
      </w:r>
    </w:p>
    <w:p w14:paraId="1CCD3B86" w14:textId="77777777" w:rsidR="00091EF3" w:rsidRPr="005E3B43" w:rsidRDefault="00091EF3" w:rsidP="00763BCF">
      <w:pPr>
        <w:pStyle w:val="paragraph"/>
      </w:pPr>
      <w:r w:rsidRPr="005E3B43">
        <w:tab/>
        <w:t>(f)</w:t>
      </w:r>
      <w:r w:rsidRPr="005E3B43">
        <w:tab/>
        <w:t>an RCM3 application;</w:t>
      </w:r>
    </w:p>
    <w:p w14:paraId="087134E9" w14:textId="77777777" w:rsidR="00091EF3" w:rsidRPr="005E3B43" w:rsidRDefault="00091EF3" w:rsidP="00763BCF">
      <w:pPr>
        <w:pStyle w:val="paragraph"/>
      </w:pPr>
      <w:r w:rsidRPr="005E3B43">
        <w:tab/>
        <w:t>(g)</w:t>
      </w:r>
      <w:r w:rsidRPr="005E3B43">
        <w:tab/>
        <w:t>an RCM4 application;</w:t>
      </w:r>
    </w:p>
    <w:p w14:paraId="7A078F14" w14:textId="77777777" w:rsidR="00091EF3" w:rsidRPr="005E3B43" w:rsidRDefault="00091EF3" w:rsidP="00763BCF">
      <w:pPr>
        <w:pStyle w:val="paragraph"/>
      </w:pPr>
      <w:r w:rsidRPr="005E3B43">
        <w:tab/>
        <w:t>(h)</w:t>
      </w:r>
      <w:r w:rsidRPr="005E3B43">
        <w:tab/>
        <w:t>an RCM5 application.</w:t>
      </w:r>
    </w:p>
    <w:p w14:paraId="0F08FA90" w14:textId="77777777" w:rsidR="00AE5E55" w:rsidRPr="005E3B43" w:rsidRDefault="00AE5E55" w:rsidP="00763BCF">
      <w:pPr>
        <w:pStyle w:val="SubsectionHead"/>
      </w:pPr>
      <w:r w:rsidRPr="005E3B43">
        <w:t>Waiver or reduction of evaluation fees for certain goods—abridged evaluation procedure</w:t>
      </w:r>
    </w:p>
    <w:p w14:paraId="6681295F" w14:textId="77777777" w:rsidR="00207B1C" w:rsidRPr="005E3B43" w:rsidRDefault="00207B1C" w:rsidP="00763BCF">
      <w:pPr>
        <w:pStyle w:val="subsection"/>
      </w:pPr>
      <w:r w:rsidRPr="005E3B43">
        <w:tab/>
        <w:t>(4)</w:t>
      </w:r>
      <w:r w:rsidRPr="005E3B43">
        <w:tab/>
        <w:t xml:space="preserve">The Secretary may waive, or reduce, an evaluation fee prescribed in </w:t>
      </w:r>
      <w:r w:rsidR="003C672F" w:rsidRPr="005E3B43">
        <w:t>Schedules</w:t>
      </w:r>
      <w:r w:rsidR="004E6D00" w:rsidRPr="005E3B43">
        <w:t> </w:t>
      </w:r>
      <w:r w:rsidR="003C672F" w:rsidRPr="005E3B43">
        <w:t xml:space="preserve">9 and 9A </w:t>
      </w:r>
      <w:r w:rsidRPr="005E3B43">
        <w:t>in relation to an application (other than an application relating to goods of a kind mentioned in Part</w:t>
      </w:r>
      <w:r w:rsidR="004E6D00" w:rsidRPr="005E3B43">
        <w:t> </w:t>
      </w:r>
      <w:r w:rsidRPr="005E3B43">
        <w:t xml:space="preserve">1 of </w:t>
      </w:r>
      <w:r w:rsidR="008D1B4F" w:rsidRPr="005E3B43">
        <w:t>Schedule 1</w:t>
      </w:r>
      <w:r w:rsidRPr="005E3B43">
        <w:t>0):</w:t>
      </w:r>
    </w:p>
    <w:p w14:paraId="041D1129" w14:textId="77777777" w:rsidR="00207B1C" w:rsidRPr="005E3B43" w:rsidRDefault="00207B1C" w:rsidP="00763BCF">
      <w:pPr>
        <w:pStyle w:val="paragraph"/>
      </w:pPr>
      <w:r w:rsidRPr="005E3B43">
        <w:tab/>
        <w:t>(a)</w:t>
      </w:r>
      <w:r w:rsidRPr="005E3B43">
        <w:tab/>
        <w:t>to register goods; or</w:t>
      </w:r>
    </w:p>
    <w:p w14:paraId="6A27F7BB" w14:textId="77777777" w:rsidR="003D5954" w:rsidRPr="005E3B43" w:rsidRDefault="003D5954" w:rsidP="00763BCF">
      <w:pPr>
        <w:pStyle w:val="paragraph"/>
      </w:pPr>
      <w:r w:rsidRPr="005E3B43">
        <w:tab/>
        <w:t>(aa)</w:t>
      </w:r>
      <w:r w:rsidRPr="005E3B43">
        <w:tab/>
        <w:t xml:space="preserve">to list goods under </w:t>
      </w:r>
      <w:r w:rsidR="00FB7FAA" w:rsidRPr="005E3B43">
        <w:t>section 2</w:t>
      </w:r>
      <w:r w:rsidRPr="005E3B43">
        <w:t>6AE of the Act; or</w:t>
      </w:r>
    </w:p>
    <w:p w14:paraId="1A57B6B9" w14:textId="77777777" w:rsidR="00207B1C" w:rsidRPr="005E3B43" w:rsidRDefault="00207B1C" w:rsidP="00763BCF">
      <w:pPr>
        <w:pStyle w:val="paragraph"/>
      </w:pPr>
      <w:r w:rsidRPr="005E3B43">
        <w:tab/>
        <w:t>(b)</w:t>
      </w:r>
      <w:r w:rsidRPr="005E3B43">
        <w:tab/>
        <w:t>in relation to registered goods that are a medicine</w:t>
      </w:r>
      <w:r w:rsidR="00E20BA4" w:rsidRPr="005E3B43">
        <w:t>—</w:t>
      </w:r>
      <w:r w:rsidRPr="005E3B43">
        <w:t xml:space="preserve">to vary the information entered in the </w:t>
      </w:r>
      <w:r w:rsidR="00914C3E" w:rsidRPr="005E3B43">
        <w:t>Register; or</w:t>
      </w:r>
    </w:p>
    <w:p w14:paraId="32099F5D" w14:textId="77777777" w:rsidR="00914C3E" w:rsidRPr="005E3B43" w:rsidRDefault="00914C3E" w:rsidP="00763BCF">
      <w:pPr>
        <w:pStyle w:val="paragraph"/>
      </w:pPr>
      <w:r w:rsidRPr="005E3B43">
        <w:tab/>
        <w:t>(c)</w:t>
      </w:r>
      <w:r w:rsidRPr="005E3B43">
        <w:tab/>
        <w:t>to include goods in the part of the Register for biologicals; or</w:t>
      </w:r>
    </w:p>
    <w:p w14:paraId="3633898E" w14:textId="2EF0A940" w:rsidR="00914C3E" w:rsidRPr="005E3B43" w:rsidRDefault="00914C3E" w:rsidP="00763BCF">
      <w:pPr>
        <w:pStyle w:val="paragraph"/>
      </w:pPr>
      <w:r w:rsidRPr="005E3B43">
        <w:tab/>
        <w:t>(d)</w:t>
      </w:r>
      <w:r w:rsidRPr="005E3B43">
        <w:tab/>
        <w:t xml:space="preserve">for a biological included in the Register under </w:t>
      </w:r>
      <w:r w:rsidR="00BB758E" w:rsidRPr="005E3B43">
        <w:t>Part 3</w:t>
      </w:r>
      <w:r w:rsidR="007C3215">
        <w:noBreakHyphen/>
      </w:r>
      <w:r w:rsidRPr="005E3B43">
        <w:t>2A of the Act</w:t>
      </w:r>
      <w:r w:rsidR="00E20BA4" w:rsidRPr="005E3B43">
        <w:t>—</w:t>
      </w:r>
      <w:r w:rsidRPr="005E3B43">
        <w:t>to vary the information included in the Register;</w:t>
      </w:r>
    </w:p>
    <w:p w14:paraId="7230CD19" w14:textId="77777777" w:rsidR="00207B1C" w:rsidRPr="005E3B43" w:rsidRDefault="00207B1C" w:rsidP="00763BCF">
      <w:pPr>
        <w:pStyle w:val="subsection2"/>
      </w:pPr>
      <w:r w:rsidRPr="005E3B43">
        <w:t>if the Secretary has information relating to the goods that enables the evaluation procedure to be abridged.</w:t>
      </w:r>
    </w:p>
    <w:p w14:paraId="553920FB" w14:textId="77777777" w:rsidR="00AE5E55" w:rsidRPr="005E3B43" w:rsidRDefault="00AE5E55" w:rsidP="00763BCF">
      <w:pPr>
        <w:pStyle w:val="SubsectionHead"/>
      </w:pPr>
      <w:r w:rsidRPr="005E3B43">
        <w:t>Waiver or reduction of evaluation fees for supply of certain medicines in public health emergency—abridged evaluation procedure</w:t>
      </w:r>
    </w:p>
    <w:p w14:paraId="0BB3226A" w14:textId="77777777" w:rsidR="00207B1C" w:rsidRPr="005E3B43" w:rsidRDefault="00207B1C" w:rsidP="00763BCF">
      <w:pPr>
        <w:pStyle w:val="subsection"/>
      </w:pPr>
      <w:r w:rsidRPr="005E3B43">
        <w:tab/>
        <w:t>(4AA)</w:t>
      </w:r>
      <w:r w:rsidRPr="005E3B43">
        <w:tab/>
        <w:t>The Secretary may waive, or reduce, an evaluation fee prescribed in Schedule</w:t>
      </w:r>
      <w:r w:rsidR="004E6D00" w:rsidRPr="005E3B43">
        <w:t> </w:t>
      </w:r>
      <w:r w:rsidRPr="005E3B43">
        <w:t>9 in relation to a submission for goods of a kind mentioned in Part</w:t>
      </w:r>
      <w:r w:rsidR="004E6D00" w:rsidRPr="005E3B43">
        <w:t> </w:t>
      </w:r>
      <w:r w:rsidRPr="005E3B43">
        <w:t xml:space="preserve">1 of </w:t>
      </w:r>
      <w:r w:rsidR="008D1B4F" w:rsidRPr="005E3B43">
        <w:t>Schedule 1</w:t>
      </w:r>
      <w:r w:rsidRPr="005E3B43">
        <w:t>0 if, in the Secretary’s opinion:</w:t>
      </w:r>
    </w:p>
    <w:p w14:paraId="723BFF31" w14:textId="77777777" w:rsidR="00207B1C" w:rsidRPr="005E3B43" w:rsidRDefault="00207B1C" w:rsidP="00763BCF">
      <w:pPr>
        <w:pStyle w:val="paragraph"/>
      </w:pPr>
      <w:r w:rsidRPr="005E3B43">
        <w:lastRenderedPageBreak/>
        <w:tab/>
        <w:t>(a)</w:t>
      </w:r>
      <w:r w:rsidRPr="005E3B43">
        <w:tab/>
        <w:t>supply of the goods in Australia is necessary because of a public health emergency; and</w:t>
      </w:r>
    </w:p>
    <w:p w14:paraId="02B9EDF8" w14:textId="77777777" w:rsidR="00207B1C" w:rsidRPr="005E3B43" w:rsidRDefault="00207B1C" w:rsidP="00763BCF">
      <w:pPr>
        <w:pStyle w:val="paragraph"/>
      </w:pPr>
      <w:r w:rsidRPr="005E3B43">
        <w:tab/>
        <w:t>(b)</w:t>
      </w:r>
      <w:r w:rsidRPr="005E3B43">
        <w:tab/>
        <w:t>the waiver or reduction is necessary to enable the goods to be supplied in Australia; and</w:t>
      </w:r>
    </w:p>
    <w:p w14:paraId="31EAFD9D" w14:textId="77777777" w:rsidR="00207B1C" w:rsidRPr="005E3B43" w:rsidRDefault="00207B1C" w:rsidP="00763BCF">
      <w:pPr>
        <w:pStyle w:val="paragraph"/>
      </w:pPr>
      <w:r w:rsidRPr="005E3B43">
        <w:tab/>
        <w:t>(c)</w:t>
      </w:r>
      <w:r w:rsidRPr="005E3B43">
        <w:tab/>
        <w:t>the Secretary has information relating to the goods that allows the evaluation procedure to be abridged.</w:t>
      </w:r>
    </w:p>
    <w:p w14:paraId="1F10448F" w14:textId="77777777" w:rsidR="00B94815" w:rsidRPr="005E3B43" w:rsidRDefault="00B94815" w:rsidP="00B94815">
      <w:pPr>
        <w:pStyle w:val="SubsectionHead"/>
      </w:pPr>
      <w:r w:rsidRPr="005E3B43">
        <w:t>Waiver of application and evaluation fees—Medicines Repurposing Program</w:t>
      </w:r>
    </w:p>
    <w:p w14:paraId="4E22E83B" w14:textId="77777777" w:rsidR="00B94815" w:rsidRPr="005E3B43" w:rsidRDefault="00B94815" w:rsidP="00B94815">
      <w:pPr>
        <w:pStyle w:val="subsection"/>
      </w:pPr>
      <w:r w:rsidRPr="005E3B43">
        <w:tab/>
        <w:t>(4AB)</w:t>
      </w:r>
      <w:r w:rsidRPr="005E3B43">
        <w:tab/>
        <w:t>The Secretary may waive an application fee or evaluation fee prescribed in Schedule 9 to these Regulations in relation to an application under section 23 of the Act if:</w:t>
      </w:r>
    </w:p>
    <w:p w14:paraId="2C3407CF" w14:textId="77777777" w:rsidR="00B94815" w:rsidRPr="005E3B43" w:rsidRDefault="00B94815" w:rsidP="00B94815">
      <w:pPr>
        <w:pStyle w:val="paragraph"/>
      </w:pPr>
      <w:r w:rsidRPr="005E3B43">
        <w:tab/>
        <w:t>(a)</w:t>
      </w:r>
      <w:r w:rsidRPr="005E3B43">
        <w:tab/>
        <w:t>the application is for an extension of indications of a registered medicine; and</w:t>
      </w:r>
    </w:p>
    <w:p w14:paraId="631C6B03" w14:textId="77777777" w:rsidR="00B94815" w:rsidRPr="005E3B43" w:rsidRDefault="00B94815" w:rsidP="00B94815">
      <w:pPr>
        <w:pStyle w:val="paragraph"/>
      </w:pPr>
      <w:r w:rsidRPr="005E3B43">
        <w:tab/>
        <w:t>(b)</w:t>
      </w:r>
      <w:r w:rsidRPr="005E3B43">
        <w:tab/>
        <w:t>the Secretary is satisfied that the medicine is suitable for repurposing under the program known as the Medicines Repurposing Program.</w:t>
      </w:r>
    </w:p>
    <w:p w14:paraId="5442319F" w14:textId="77777777" w:rsidR="00B94815" w:rsidRPr="005E3B43" w:rsidRDefault="00B94815" w:rsidP="00B94815">
      <w:pPr>
        <w:pStyle w:val="subsection"/>
      </w:pPr>
      <w:r w:rsidRPr="005E3B43">
        <w:tab/>
        <w:t>(4AC)</w:t>
      </w:r>
      <w:r w:rsidRPr="005E3B43">
        <w:tab/>
        <w:t>The Secretary may waive a fee under subregulation (4AB) on the Secretary’s own initiative or on application.</w:t>
      </w:r>
    </w:p>
    <w:p w14:paraId="0A76914F" w14:textId="77777777" w:rsidR="00E926BF" w:rsidRPr="005E3B43" w:rsidRDefault="00E926BF" w:rsidP="00763BCF">
      <w:pPr>
        <w:pStyle w:val="SubsectionHead"/>
      </w:pPr>
      <w:r w:rsidRPr="005E3B43">
        <w:t>Reduction of application and evaluation fees for certain medicines—abridged preliminary assessment and evaluation procedure</w:t>
      </w:r>
    </w:p>
    <w:p w14:paraId="01B1306F" w14:textId="77777777" w:rsidR="00E926BF" w:rsidRPr="005E3B43" w:rsidRDefault="00E926BF" w:rsidP="00763BCF">
      <w:pPr>
        <w:pStyle w:val="subsection"/>
      </w:pPr>
      <w:r w:rsidRPr="005E3B43">
        <w:tab/>
        <w:t>(5)</w:t>
      </w:r>
      <w:r w:rsidRPr="005E3B43">
        <w:tab/>
        <w:t xml:space="preserve">Subregulation (6) applies in relation to an application made under </w:t>
      </w:r>
      <w:r w:rsidR="00FB7FAA" w:rsidRPr="005E3B43">
        <w:t>section 2</w:t>
      </w:r>
      <w:r w:rsidRPr="005E3B43">
        <w:t>3 of the Act for the registration of a medicine if:</w:t>
      </w:r>
    </w:p>
    <w:p w14:paraId="059BD6AA" w14:textId="77777777" w:rsidR="00E926BF" w:rsidRPr="005E3B43" w:rsidRDefault="00E926BF" w:rsidP="00763BCF">
      <w:pPr>
        <w:pStyle w:val="paragraph"/>
      </w:pPr>
      <w:r w:rsidRPr="005E3B43">
        <w:tab/>
        <w:t>(a)</w:t>
      </w:r>
      <w:r w:rsidRPr="005E3B43">
        <w:tab/>
        <w:t>the medicine is a product of a kind specified in Part</w:t>
      </w:r>
      <w:r w:rsidR="004E6D00" w:rsidRPr="005E3B43">
        <w:t> </w:t>
      </w:r>
      <w:r w:rsidRPr="005E3B43">
        <w:t xml:space="preserve">1 of </w:t>
      </w:r>
      <w:r w:rsidR="008D1B4F" w:rsidRPr="005E3B43">
        <w:t>Schedule 1</w:t>
      </w:r>
      <w:r w:rsidRPr="005E3B43">
        <w:t>0; and</w:t>
      </w:r>
    </w:p>
    <w:p w14:paraId="4686DE0C" w14:textId="77777777" w:rsidR="00E926BF" w:rsidRPr="005E3B43" w:rsidRDefault="00E926BF" w:rsidP="00763BCF">
      <w:pPr>
        <w:pStyle w:val="paragraph"/>
      </w:pPr>
      <w:r w:rsidRPr="005E3B43">
        <w:tab/>
        <w:t>(b)</w:t>
      </w:r>
      <w:r w:rsidRPr="005E3B43">
        <w:tab/>
        <w:t>apart from the directions for use or the dosage model, the medicine is the same as another medicine that is included in the Register; and</w:t>
      </w:r>
    </w:p>
    <w:p w14:paraId="3F015C39" w14:textId="77777777" w:rsidR="00E926BF" w:rsidRPr="005E3B43" w:rsidRDefault="00E926BF" w:rsidP="00763BCF">
      <w:pPr>
        <w:pStyle w:val="paragraph"/>
      </w:pPr>
      <w:r w:rsidRPr="005E3B43">
        <w:tab/>
        <w:t>(c)</w:t>
      </w:r>
      <w:r w:rsidRPr="005E3B43">
        <w:tab/>
        <w:t>the Secretary is satisfied that:</w:t>
      </w:r>
    </w:p>
    <w:p w14:paraId="323BDA83" w14:textId="77777777" w:rsidR="00E926BF" w:rsidRPr="005E3B43" w:rsidRDefault="00E926BF" w:rsidP="00763BCF">
      <w:pPr>
        <w:pStyle w:val="paragraphsub"/>
      </w:pPr>
      <w:r w:rsidRPr="005E3B43">
        <w:tab/>
        <w:t>(i)</w:t>
      </w:r>
      <w:r w:rsidRPr="005E3B43">
        <w:tab/>
        <w:t>the differences in the directions for use or the dosage model are necessary to ensure the safe use of the medicine; and</w:t>
      </w:r>
    </w:p>
    <w:p w14:paraId="3D3AAB55" w14:textId="6501EA2C" w:rsidR="00E926BF" w:rsidRPr="005E3B43" w:rsidRDefault="00E926BF" w:rsidP="00763BCF">
      <w:pPr>
        <w:pStyle w:val="paragraphsub"/>
      </w:pPr>
      <w:r w:rsidRPr="005E3B43">
        <w:tab/>
        <w:t>(ii)</w:t>
      </w:r>
      <w:r w:rsidRPr="005E3B43">
        <w:tab/>
        <w:t>neither non</w:t>
      </w:r>
      <w:r w:rsidR="007C3215">
        <w:noBreakHyphen/>
      </w:r>
      <w:r w:rsidRPr="005E3B43">
        <w:t>clinical nor quality data needs to be evaluated in the evaluation of the medicine for registration; and</w:t>
      </w:r>
    </w:p>
    <w:p w14:paraId="0ECBAA42" w14:textId="77777777" w:rsidR="00E926BF" w:rsidRPr="005E3B43" w:rsidRDefault="00E926BF" w:rsidP="00763BCF">
      <w:pPr>
        <w:pStyle w:val="paragraph"/>
      </w:pPr>
      <w:r w:rsidRPr="005E3B43">
        <w:tab/>
        <w:t>(d)</w:t>
      </w:r>
      <w:r w:rsidRPr="005E3B43">
        <w:tab/>
        <w:t>the Secretary has information relating to the medicine that enables the preliminary assessment of the application and the evaluation of the medicine for registration to be abridged.</w:t>
      </w:r>
    </w:p>
    <w:p w14:paraId="364F594E" w14:textId="77777777" w:rsidR="00E926BF" w:rsidRPr="005E3B43" w:rsidRDefault="00E926BF" w:rsidP="00763BCF">
      <w:pPr>
        <w:pStyle w:val="subsection"/>
      </w:pPr>
      <w:r w:rsidRPr="005E3B43">
        <w:tab/>
        <w:t>(6)</w:t>
      </w:r>
      <w:r w:rsidRPr="005E3B43">
        <w:tab/>
        <w:t>The Secretary may:</w:t>
      </w:r>
    </w:p>
    <w:p w14:paraId="1D21C913" w14:textId="77777777" w:rsidR="00E926BF" w:rsidRPr="005E3B43" w:rsidRDefault="00E926BF" w:rsidP="00763BCF">
      <w:pPr>
        <w:pStyle w:val="paragraph"/>
      </w:pPr>
      <w:r w:rsidRPr="005E3B43">
        <w:tab/>
        <w:t>(a)</w:t>
      </w:r>
      <w:r w:rsidRPr="005E3B43">
        <w:tab/>
        <w:t>reduce the application fees specified in Schedule</w:t>
      </w:r>
      <w:r w:rsidR="004E6D00" w:rsidRPr="005E3B43">
        <w:t> </w:t>
      </w:r>
      <w:r w:rsidRPr="005E3B43">
        <w:t xml:space="preserve">9 that are payable in relation to the application to </w:t>
      </w:r>
      <w:r w:rsidR="001B50CF" w:rsidRPr="005E3B43">
        <w:t>$1,299</w:t>
      </w:r>
      <w:r w:rsidRPr="005E3B43">
        <w:t>; and</w:t>
      </w:r>
    </w:p>
    <w:p w14:paraId="342B992C" w14:textId="77777777" w:rsidR="00E926BF" w:rsidRPr="005E3B43" w:rsidRDefault="00E926BF" w:rsidP="00763BCF">
      <w:pPr>
        <w:pStyle w:val="paragraph"/>
      </w:pPr>
      <w:r w:rsidRPr="005E3B43">
        <w:tab/>
        <w:t>(b)</w:t>
      </w:r>
      <w:r w:rsidRPr="005E3B43">
        <w:tab/>
        <w:t>reduce the evaluation fees specified in Schedule</w:t>
      </w:r>
      <w:r w:rsidR="004E6D00" w:rsidRPr="005E3B43">
        <w:t> </w:t>
      </w:r>
      <w:r w:rsidRPr="005E3B43">
        <w:t xml:space="preserve">9 that are payable in relation to the application to </w:t>
      </w:r>
      <w:r w:rsidR="001B50CF" w:rsidRPr="005E3B43">
        <w:t>$5,187</w:t>
      </w:r>
      <w:r w:rsidRPr="005E3B43">
        <w:t>.</w:t>
      </w:r>
    </w:p>
    <w:p w14:paraId="079FFA77" w14:textId="77777777" w:rsidR="00977060" w:rsidRPr="005E3B43" w:rsidRDefault="00977060" w:rsidP="00763BCF">
      <w:pPr>
        <w:pStyle w:val="SubsectionHead"/>
      </w:pPr>
      <w:r w:rsidRPr="005E3B43">
        <w:t>Fee waivers for prescription opioids</w:t>
      </w:r>
    </w:p>
    <w:p w14:paraId="1F5853AA" w14:textId="77777777" w:rsidR="00977060" w:rsidRPr="005E3B43" w:rsidRDefault="00977060" w:rsidP="00763BCF">
      <w:pPr>
        <w:pStyle w:val="subsection"/>
      </w:pPr>
      <w:r w:rsidRPr="005E3B43">
        <w:tab/>
        <w:t>(7)</w:t>
      </w:r>
      <w:r w:rsidRPr="005E3B43">
        <w:tab/>
        <w:t>The Secretary must waive a fee prescribed in Schedule</w:t>
      </w:r>
      <w:r w:rsidR="004E6D00" w:rsidRPr="005E3B43">
        <w:t> </w:t>
      </w:r>
      <w:r w:rsidRPr="005E3B43">
        <w:t xml:space="preserve">9 in relation to a request (an </w:t>
      </w:r>
      <w:r w:rsidRPr="005E3B43">
        <w:rPr>
          <w:b/>
          <w:i/>
        </w:rPr>
        <w:t>opioid reform request</w:t>
      </w:r>
      <w:r w:rsidRPr="005E3B43">
        <w:t>) that satisfies all of the following:</w:t>
      </w:r>
    </w:p>
    <w:p w14:paraId="1A8E6F96" w14:textId="77777777" w:rsidR="00977060" w:rsidRPr="005E3B43" w:rsidRDefault="00977060" w:rsidP="00763BCF">
      <w:pPr>
        <w:pStyle w:val="paragraph"/>
      </w:pPr>
      <w:r w:rsidRPr="005E3B43">
        <w:tab/>
        <w:t>(a)</w:t>
      </w:r>
      <w:r w:rsidRPr="005E3B43">
        <w:tab/>
        <w:t>it is made in relation to prescription opioids that are registered goods;</w:t>
      </w:r>
    </w:p>
    <w:p w14:paraId="655B8443" w14:textId="77777777" w:rsidR="00977060" w:rsidRPr="005E3B43" w:rsidRDefault="00977060" w:rsidP="00763BCF">
      <w:pPr>
        <w:pStyle w:val="paragraph"/>
      </w:pPr>
      <w:r w:rsidRPr="005E3B43">
        <w:lastRenderedPageBreak/>
        <w:tab/>
        <w:t>(b)</w:t>
      </w:r>
      <w:r w:rsidRPr="005E3B43">
        <w:tab/>
        <w:t xml:space="preserve">it is made in the period beginning on the commencement of this subregulation and ending at the end of </w:t>
      </w:r>
      <w:r w:rsidR="00EA332B" w:rsidRPr="005E3B43">
        <w:t>31 December 2021</w:t>
      </w:r>
      <w:r w:rsidRPr="005E3B43">
        <w:t>;</w:t>
      </w:r>
    </w:p>
    <w:p w14:paraId="02EDF614" w14:textId="77777777" w:rsidR="00977060" w:rsidRPr="005E3B43" w:rsidRDefault="00977060" w:rsidP="00763BCF">
      <w:pPr>
        <w:pStyle w:val="paragraph"/>
      </w:pPr>
      <w:r w:rsidRPr="005E3B43">
        <w:tab/>
        <w:t>(c)</w:t>
      </w:r>
      <w:r w:rsidRPr="005E3B43">
        <w:tab/>
        <w:t>it is made under subsection</w:t>
      </w:r>
      <w:r w:rsidR="004E6D00" w:rsidRPr="005E3B43">
        <w:t> </w:t>
      </w:r>
      <w:r w:rsidRPr="005E3B43">
        <w:t>9D(2) or (3) of the Act;</w:t>
      </w:r>
    </w:p>
    <w:p w14:paraId="7E061AC7" w14:textId="77777777" w:rsidR="00977060" w:rsidRPr="005E3B43" w:rsidRDefault="00977060" w:rsidP="00763BCF">
      <w:pPr>
        <w:pStyle w:val="paragraph"/>
      </w:pPr>
      <w:r w:rsidRPr="005E3B43">
        <w:tab/>
        <w:t>(d)</w:t>
      </w:r>
      <w:r w:rsidRPr="005E3B43">
        <w:tab/>
        <w:t>it is made solely for an opioid reform purpose (see subregulation (8)) or solely for an opioid reform purpose and an associated variation of product information purpose (see subregulation (9)).</w:t>
      </w:r>
    </w:p>
    <w:p w14:paraId="4B3E495E" w14:textId="77777777" w:rsidR="00977060" w:rsidRPr="005E3B43" w:rsidRDefault="00977060" w:rsidP="00763BCF">
      <w:pPr>
        <w:pStyle w:val="subsection"/>
      </w:pPr>
      <w:r w:rsidRPr="005E3B43">
        <w:tab/>
        <w:t>(8)</w:t>
      </w:r>
      <w:r w:rsidRPr="005E3B43">
        <w:tab/>
        <w:t>For the purposes of subregulation (7), an opioid reform request is made for an opioid reform purpose if it is made:</w:t>
      </w:r>
    </w:p>
    <w:p w14:paraId="2F917C7B" w14:textId="77777777" w:rsidR="00977060" w:rsidRPr="005E3B43" w:rsidRDefault="00977060" w:rsidP="00763BCF">
      <w:pPr>
        <w:pStyle w:val="paragraph"/>
      </w:pPr>
      <w:r w:rsidRPr="005E3B43">
        <w:tab/>
        <w:t>(a)</w:t>
      </w:r>
      <w:r w:rsidRPr="005E3B43">
        <w:tab/>
        <w:t>under subsection</w:t>
      </w:r>
      <w:r w:rsidR="004E6D00" w:rsidRPr="005E3B43">
        <w:t> </w:t>
      </w:r>
      <w:r w:rsidRPr="005E3B43">
        <w:t>9D(2) of the Act, to do either or both of the following:</w:t>
      </w:r>
    </w:p>
    <w:p w14:paraId="7B6152A5" w14:textId="77777777" w:rsidR="00977060" w:rsidRPr="005E3B43" w:rsidRDefault="00977060" w:rsidP="00763BCF">
      <w:pPr>
        <w:pStyle w:val="paragraphsub"/>
      </w:pPr>
      <w:r w:rsidRPr="005E3B43">
        <w:tab/>
        <w:t>(i)</w:t>
      </w:r>
      <w:r w:rsidRPr="005E3B43">
        <w:tab/>
        <w:t>add a warning, or precaution, in relation to the goods that does not include any comparison of the goods with any other therapeutic goods by reference to quality, safety or efficacy;</w:t>
      </w:r>
    </w:p>
    <w:p w14:paraId="5FAC8D95" w14:textId="77777777" w:rsidR="00977060" w:rsidRPr="005E3B43" w:rsidRDefault="00977060" w:rsidP="00763BCF">
      <w:pPr>
        <w:pStyle w:val="paragraphsub"/>
      </w:pPr>
      <w:r w:rsidRPr="005E3B43">
        <w:tab/>
        <w:t>(ii)</w:t>
      </w:r>
      <w:r w:rsidRPr="005E3B43">
        <w:tab/>
        <w:t>reduce the class of persons for whom the goods are suitable; or</w:t>
      </w:r>
    </w:p>
    <w:p w14:paraId="79C080E4" w14:textId="77777777" w:rsidR="00977060" w:rsidRPr="005E3B43" w:rsidRDefault="00977060" w:rsidP="00763BCF">
      <w:pPr>
        <w:pStyle w:val="paragraph"/>
      </w:pPr>
      <w:r w:rsidRPr="005E3B43">
        <w:tab/>
        <w:t>(b)</w:t>
      </w:r>
      <w:r w:rsidRPr="005E3B43">
        <w:tab/>
        <w:t>under subsection</w:t>
      </w:r>
      <w:r w:rsidR="004E6D00" w:rsidRPr="005E3B43">
        <w:t> </w:t>
      </w:r>
      <w:r w:rsidRPr="005E3B43">
        <w:t>9D(3) of the Act, to introduce a smaller pack size in relation to the goods.</w:t>
      </w:r>
    </w:p>
    <w:p w14:paraId="691D9D04" w14:textId="77777777" w:rsidR="00977060" w:rsidRPr="005E3B43" w:rsidRDefault="00977060" w:rsidP="00763BCF">
      <w:pPr>
        <w:pStyle w:val="subsection"/>
      </w:pPr>
      <w:r w:rsidRPr="005E3B43">
        <w:tab/>
        <w:t>(9)</w:t>
      </w:r>
      <w:r w:rsidRPr="005E3B43">
        <w:tab/>
        <w:t>For the purposes of subregulation (7), an opioid reform request is made for an associated variation of product information purpose if:</w:t>
      </w:r>
    </w:p>
    <w:p w14:paraId="301D9BC3" w14:textId="77777777" w:rsidR="00977060" w:rsidRPr="005E3B43" w:rsidRDefault="00977060" w:rsidP="00763BCF">
      <w:pPr>
        <w:pStyle w:val="paragraph"/>
      </w:pPr>
      <w:r w:rsidRPr="005E3B43">
        <w:tab/>
        <w:t>(a)</w:t>
      </w:r>
      <w:r w:rsidRPr="005E3B43">
        <w:tab/>
        <w:t>the opioid reform request is made under subsection</w:t>
      </w:r>
      <w:r w:rsidR="004E6D00" w:rsidRPr="005E3B43">
        <w:t> </w:t>
      </w:r>
      <w:r w:rsidRPr="005E3B43">
        <w:t>9D(3) of the Act; and</w:t>
      </w:r>
    </w:p>
    <w:p w14:paraId="7AED6499" w14:textId="77777777" w:rsidR="00977060" w:rsidRPr="005E3B43" w:rsidRDefault="00977060" w:rsidP="00763BCF">
      <w:pPr>
        <w:pStyle w:val="paragraph"/>
      </w:pPr>
      <w:r w:rsidRPr="005E3B43">
        <w:tab/>
        <w:t>(b)</w:t>
      </w:r>
      <w:r w:rsidRPr="005E3B43">
        <w:tab/>
        <w:t>paragraphs 9D(3)(b) to (c) of the Act are satisfied in relation to the request; and</w:t>
      </w:r>
    </w:p>
    <w:p w14:paraId="00393CD8" w14:textId="77777777" w:rsidR="00977060" w:rsidRPr="005E3B43" w:rsidRDefault="00977060" w:rsidP="00763BCF">
      <w:pPr>
        <w:pStyle w:val="paragraph"/>
      </w:pPr>
      <w:r w:rsidRPr="005E3B43">
        <w:tab/>
        <w:t>(c)</w:t>
      </w:r>
      <w:r w:rsidRPr="005E3B43">
        <w:tab/>
        <w:t>the request is made for the purpose of varying product information in relation to the prescription opioids so that the product information is in the form approved under section</w:t>
      </w:r>
      <w:r w:rsidR="004E6D00" w:rsidRPr="005E3B43">
        <w:t> </w:t>
      </w:r>
      <w:r w:rsidRPr="005E3B43">
        <w:t>7D of the Act in relation to the prescription opioids.</w:t>
      </w:r>
    </w:p>
    <w:p w14:paraId="2EDFD64E" w14:textId="77777777" w:rsidR="00E926BF" w:rsidRPr="005E3B43" w:rsidRDefault="00E926BF" w:rsidP="00763BCF">
      <w:pPr>
        <w:pStyle w:val="SubsectionHead"/>
      </w:pPr>
      <w:r w:rsidRPr="005E3B43">
        <w:t>Waiver of application and registration fees for designated orphan drugs</w:t>
      </w:r>
    </w:p>
    <w:p w14:paraId="5C2D2BC7" w14:textId="77777777" w:rsidR="00207B1C" w:rsidRPr="005E3B43" w:rsidRDefault="00207B1C" w:rsidP="00763BCF">
      <w:pPr>
        <w:pStyle w:val="subsection"/>
      </w:pPr>
      <w:r w:rsidRPr="005E3B43">
        <w:tab/>
        <w:t>(12)</w:t>
      </w:r>
      <w:r w:rsidRPr="005E3B43">
        <w:tab/>
        <w:t>The Secretary must waive the following fees:</w:t>
      </w:r>
    </w:p>
    <w:p w14:paraId="4BF5576B" w14:textId="77777777" w:rsidR="00823287" w:rsidRPr="005E3B43" w:rsidRDefault="00823287" w:rsidP="00763BCF">
      <w:pPr>
        <w:pStyle w:val="paragraph"/>
      </w:pPr>
      <w:r w:rsidRPr="005E3B43">
        <w:tab/>
        <w:t>(a)</w:t>
      </w:r>
      <w:r w:rsidRPr="005E3B43">
        <w:tab/>
        <w:t>a fee that would have been payable, but for this subregulation, as part of an application under sub</w:t>
      </w:r>
      <w:r w:rsidR="00FB7FAA" w:rsidRPr="005E3B43">
        <w:t>section 2</w:t>
      </w:r>
      <w:r w:rsidRPr="005E3B43">
        <w:t>2C(1) of the Act relating to a medicine that is a designated orphan drug;</w:t>
      </w:r>
    </w:p>
    <w:p w14:paraId="1E2793D1" w14:textId="77777777" w:rsidR="00823287" w:rsidRPr="005E3B43" w:rsidRDefault="00823287" w:rsidP="00763BCF">
      <w:pPr>
        <w:pStyle w:val="paragraph"/>
      </w:pPr>
      <w:r w:rsidRPr="005E3B43">
        <w:tab/>
        <w:t>(b)</w:t>
      </w:r>
      <w:r w:rsidRPr="005E3B43">
        <w:tab/>
        <w:t>a fee that would have been payable, but for this subregulation, as part of an application under sub</w:t>
      </w:r>
      <w:r w:rsidR="00FB7FAA" w:rsidRPr="005E3B43">
        <w:t>section 2</w:t>
      </w:r>
      <w:r w:rsidRPr="005E3B43">
        <w:t>2E(3) of the Act relating to a medicine that is a designated orphan drug;</w:t>
      </w:r>
    </w:p>
    <w:p w14:paraId="6F5E7AA3" w14:textId="77777777" w:rsidR="00207B1C" w:rsidRPr="005E3B43" w:rsidRDefault="00207B1C" w:rsidP="00763BCF">
      <w:pPr>
        <w:pStyle w:val="paragraph"/>
      </w:pPr>
      <w:r w:rsidRPr="005E3B43">
        <w:tab/>
        <w:t>(c)</w:t>
      </w:r>
      <w:r w:rsidRPr="005E3B43">
        <w:tab/>
        <w:t>a fee that would have been payable, but for this subregulation, as part of the registration of a designated orphan drug</w:t>
      </w:r>
      <w:r w:rsidR="00102755" w:rsidRPr="005E3B43">
        <w:t>;</w:t>
      </w:r>
    </w:p>
    <w:p w14:paraId="1693A485" w14:textId="77777777" w:rsidR="00102755" w:rsidRPr="005E3B43" w:rsidRDefault="00102755" w:rsidP="00763BCF">
      <w:pPr>
        <w:pStyle w:val="paragraph"/>
      </w:pPr>
      <w:r w:rsidRPr="005E3B43">
        <w:tab/>
        <w:t>(d)</w:t>
      </w:r>
      <w:r w:rsidRPr="005E3B43">
        <w:tab/>
        <w:t>a fee that would have been payable, but for this subregulation, for applying for a therapeutic goods (priority applicant) determination in relation to a medicine that is a designated orphan drug.</w:t>
      </w:r>
    </w:p>
    <w:p w14:paraId="391B4BF9" w14:textId="77777777" w:rsidR="003B615A" w:rsidRPr="005E3B43" w:rsidRDefault="003B615A" w:rsidP="00763BCF">
      <w:pPr>
        <w:pStyle w:val="SubsectionHead"/>
      </w:pPr>
      <w:r w:rsidRPr="005E3B43">
        <w:t>Fee waiver for requests to vary product information for medicine</w:t>
      </w:r>
    </w:p>
    <w:p w14:paraId="673E5823" w14:textId="77777777" w:rsidR="003B615A" w:rsidRPr="005E3B43" w:rsidRDefault="003B615A" w:rsidP="00763BCF">
      <w:pPr>
        <w:pStyle w:val="subsection"/>
      </w:pPr>
      <w:r w:rsidRPr="005E3B43">
        <w:tab/>
        <w:t>(13)</w:t>
      </w:r>
      <w:r w:rsidRPr="005E3B43">
        <w:tab/>
        <w:t>The Secretary must waive a fee prescribed in Schedule</w:t>
      </w:r>
      <w:r w:rsidR="004E6D00" w:rsidRPr="005E3B43">
        <w:t> </w:t>
      </w:r>
      <w:r w:rsidRPr="005E3B43">
        <w:t>9 in relation to a request that a person makes under subsection</w:t>
      </w:r>
      <w:r w:rsidR="004E6D00" w:rsidRPr="005E3B43">
        <w:t> </w:t>
      </w:r>
      <w:r w:rsidRPr="005E3B43">
        <w:t>9D(3) of the Act if:</w:t>
      </w:r>
    </w:p>
    <w:p w14:paraId="5DC817E5" w14:textId="77777777" w:rsidR="003B615A" w:rsidRPr="005E3B43" w:rsidRDefault="003B615A" w:rsidP="00763BCF">
      <w:pPr>
        <w:pStyle w:val="paragraph"/>
      </w:pPr>
      <w:r w:rsidRPr="005E3B43">
        <w:tab/>
        <w:t>(a)</w:t>
      </w:r>
      <w:r w:rsidRPr="005E3B43">
        <w:tab/>
        <w:t>the request is in relation to therapeutic goods that are registered; and</w:t>
      </w:r>
    </w:p>
    <w:p w14:paraId="60499C95" w14:textId="77777777" w:rsidR="003B615A" w:rsidRPr="005E3B43" w:rsidRDefault="003B615A" w:rsidP="00763BCF">
      <w:pPr>
        <w:pStyle w:val="paragraph"/>
      </w:pPr>
      <w:r w:rsidRPr="005E3B43">
        <w:tab/>
        <w:t>(b)</w:t>
      </w:r>
      <w:r w:rsidRPr="005E3B43">
        <w:tab/>
        <w:t>the therapeutic goods are medicine; and</w:t>
      </w:r>
    </w:p>
    <w:p w14:paraId="0308EBA8" w14:textId="77777777" w:rsidR="003B615A" w:rsidRPr="005E3B43" w:rsidRDefault="003B615A" w:rsidP="00763BCF">
      <w:pPr>
        <w:pStyle w:val="paragraph"/>
      </w:pPr>
      <w:r w:rsidRPr="005E3B43">
        <w:lastRenderedPageBreak/>
        <w:tab/>
        <w:t>(c)</w:t>
      </w:r>
      <w:r w:rsidRPr="005E3B43">
        <w:tab/>
        <w:t>paragraphs 9D(3)(b) to (c) of the Act are satisfied in relation to the request; and</w:t>
      </w:r>
    </w:p>
    <w:p w14:paraId="08453240" w14:textId="77777777" w:rsidR="003B615A" w:rsidRPr="005E3B43" w:rsidRDefault="003B615A" w:rsidP="00763BCF">
      <w:pPr>
        <w:pStyle w:val="paragraph"/>
      </w:pPr>
      <w:r w:rsidRPr="005E3B43">
        <w:tab/>
        <w:t>(d)</w:t>
      </w:r>
      <w:r w:rsidRPr="005E3B43">
        <w:tab/>
        <w:t>the request is made solely for the purpose of varying product information in relation to the medicine so that the product information is in the form approved under section</w:t>
      </w:r>
      <w:r w:rsidR="004E6D00" w:rsidRPr="005E3B43">
        <w:t> </w:t>
      </w:r>
      <w:r w:rsidRPr="005E3B43">
        <w:t>7D of the Act in relation to the medicine; and</w:t>
      </w:r>
    </w:p>
    <w:p w14:paraId="61A566CA" w14:textId="77777777" w:rsidR="003B615A" w:rsidRPr="005E3B43" w:rsidRDefault="003B615A" w:rsidP="00763BCF">
      <w:pPr>
        <w:pStyle w:val="paragraph"/>
      </w:pPr>
      <w:r w:rsidRPr="005E3B43">
        <w:tab/>
        <w:t>(e)</w:t>
      </w:r>
      <w:r w:rsidRPr="005E3B43">
        <w:tab/>
        <w:t xml:space="preserve">the request is made in the period beginning on </w:t>
      </w:r>
      <w:r w:rsidR="006B5D8E" w:rsidRPr="005E3B43">
        <w:t>1 January</w:t>
      </w:r>
      <w:r w:rsidRPr="005E3B43">
        <w:t xml:space="preserve"> 2020 and ending at the end of 31</w:t>
      </w:r>
      <w:r w:rsidR="004E6D00" w:rsidRPr="005E3B43">
        <w:t> </w:t>
      </w:r>
      <w:r w:rsidRPr="005E3B43">
        <w:t>December 2020.</w:t>
      </w:r>
    </w:p>
    <w:p w14:paraId="2165444B" w14:textId="77777777" w:rsidR="00207B1C" w:rsidRPr="005E3B43" w:rsidRDefault="00207B1C" w:rsidP="00763BCF">
      <w:pPr>
        <w:pStyle w:val="ActHead5"/>
      </w:pPr>
      <w:bookmarkStart w:id="290" w:name="_Toc187135884"/>
      <w:r w:rsidRPr="005E3B43">
        <w:rPr>
          <w:rStyle w:val="CharSectno"/>
        </w:rPr>
        <w:t>45AA</w:t>
      </w:r>
      <w:r w:rsidR="00E20BA4" w:rsidRPr="005E3B43">
        <w:t xml:space="preserve">  </w:t>
      </w:r>
      <w:r w:rsidRPr="005E3B43">
        <w:t>Payment of fees in instalments</w:t>
      </w:r>
      <w:bookmarkEnd w:id="290"/>
    </w:p>
    <w:p w14:paraId="44F9B189" w14:textId="77777777" w:rsidR="00207B1C" w:rsidRPr="005E3B43" w:rsidRDefault="00207B1C" w:rsidP="00763BCF">
      <w:pPr>
        <w:pStyle w:val="subsection"/>
      </w:pPr>
      <w:r w:rsidRPr="005E3B43">
        <w:tab/>
        <w:t>(1)</w:t>
      </w:r>
      <w:r w:rsidRPr="005E3B43">
        <w:tab/>
        <w:t>Subject to subregulation</w:t>
      </w:r>
      <w:r w:rsidR="002B4943" w:rsidRPr="005E3B43">
        <w:t> </w:t>
      </w:r>
      <w:r w:rsidRPr="005E3B43">
        <w:t xml:space="preserve">(7), the Secretary may allow the amount of a fee payable under </w:t>
      </w:r>
      <w:r w:rsidR="006B5D8E" w:rsidRPr="005E3B43">
        <w:t>item 4</w:t>
      </w:r>
      <w:r w:rsidR="00914C3E" w:rsidRPr="005E3B43">
        <w:t>, 5, 6, 10 or 11 in Schedule</w:t>
      </w:r>
      <w:r w:rsidR="004E6D00" w:rsidRPr="005E3B43">
        <w:t> </w:t>
      </w:r>
      <w:r w:rsidR="00914C3E" w:rsidRPr="005E3B43">
        <w:t xml:space="preserve">9A </w:t>
      </w:r>
      <w:r w:rsidRPr="005E3B43">
        <w:t>to be paid in instalments, if:</w:t>
      </w:r>
    </w:p>
    <w:p w14:paraId="3A1CA8C4" w14:textId="77777777" w:rsidR="00207B1C" w:rsidRPr="005E3B43" w:rsidRDefault="00207B1C" w:rsidP="00763BCF">
      <w:pPr>
        <w:pStyle w:val="paragraph"/>
      </w:pPr>
      <w:r w:rsidRPr="005E3B43">
        <w:tab/>
        <w:t>(a)</w:t>
      </w:r>
      <w:r w:rsidRPr="005E3B43">
        <w:tab/>
        <w:t>the applicant has applied in writing to pay the amount in instalments; and</w:t>
      </w:r>
    </w:p>
    <w:p w14:paraId="7883326E" w14:textId="77777777" w:rsidR="00207B1C" w:rsidRPr="005E3B43" w:rsidRDefault="00207B1C" w:rsidP="00763BCF">
      <w:pPr>
        <w:pStyle w:val="paragraph"/>
      </w:pPr>
      <w:r w:rsidRPr="005E3B43">
        <w:tab/>
        <w:t>(b)</w:t>
      </w:r>
      <w:r w:rsidRPr="005E3B43">
        <w:tab/>
        <w:t>the amount payable exceeds $10,000; and</w:t>
      </w:r>
    </w:p>
    <w:p w14:paraId="5C328DE3" w14:textId="77777777" w:rsidR="00207B1C" w:rsidRPr="005E3B43" w:rsidRDefault="00207B1C" w:rsidP="00763BCF">
      <w:pPr>
        <w:pStyle w:val="paragraph"/>
      </w:pPr>
      <w:r w:rsidRPr="005E3B43">
        <w:tab/>
        <w:t>(c)</w:t>
      </w:r>
      <w:r w:rsidRPr="005E3B43">
        <w:tab/>
        <w:t>the Secretary is reasonably satisfied that the applicant will experience financial hardship if that amount is paid before the commencement of the evaluation to which the fee relates; and</w:t>
      </w:r>
    </w:p>
    <w:p w14:paraId="1A7A14E9" w14:textId="77777777" w:rsidR="00207B1C" w:rsidRPr="005E3B43" w:rsidRDefault="00207B1C" w:rsidP="00763BCF">
      <w:pPr>
        <w:pStyle w:val="paragraph"/>
      </w:pPr>
      <w:r w:rsidRPr="005E3B43">
        <w:tab/>
        <w:t>(d)</w:t>
      </w:r>
      <w:r w:rsidRPr="005E3B43">
        <w:tab/>
        <w:t>any information or material to which subregulation</w:t>
      </w:r>
      <w:r w:rsidR="002B4943" w:rsidRPr="005E3B43">
        <w:t> </w:t>
      </w:r>
      <w:r w:rsidRPr="005E3B43">
        <w:t>(3) applies has been provided to the Secretary.</w:t>
      </w:r>
    </w:p>
    <w:p w14:paraId="5880E125" w14:textId="77777777" w:rsidR="00207B1C" w:rsidRPr="005E3B43" w:rsidRDefault="00207B1C" w:rsidP="00763BCF">
      <w:pPr>
        <w:pStyle w:val="subsection"/>
      </w:pPr>
      <w:r w:rsidRPr="005E3B43">
        <w:tab/>
        <w:t>(2)</w:t>
      </w:r>
      <w:r w:rsidRPr="005E3B43">
        <w:tab/>
        <w:t>An application under subregulation</w:t>
      </w:r>
      <w:r w:rsidR="002B4943" w:rsidRPr="005E3B43">
        <w:t> </w:t>
      </w:r>
      <w:r w:rsidRPr="005E3B43">
        <w:t>(1) must:</w:t>
      </w:r>
    </w:p>
    <w:p w14:paraId="634A329D" w14:textId="77777777" w:rsidR="00207B1C" w:rsidRPr="005E3B43" w:rsidRDefault="00207B1C" w:rsidP="00763BCF">
      <w:pPr>
        <w:pStyle w:val="paragraph"/>
      </w:pPr>
      <w:r w:rsidRPr="005E3B43">
        <w:tab/>
        <w:t>(a)</w:t>
      </w:r>
      <w:r w:rsidRPr="005E3B43">
        <w:tab/>
        <w:t>state the reasons why payment of the full amount of the fee before the evaluation commences will cause financial hardship to the applicant; and</w:t>
      </w:r>
    </w:p>
    <w:p w14:paraId="308499A3" w14:textId="77777777" w:rsidR="00207B1C" w:rsidRPr="005E3B43" w:rsidRDefault="00207B1C" w:rsidP="00763BCF">
      <w:pPr>
        <w:pStyle w:val="paragraph"/>
      </w:pPr>
      <w:r w:rsidRPr="005E3B43">
        <w:tab/>
        <w:t>(b)</w:t>
      </w:r>
      <w:r w:rsidRPr="005E3B43">
        <w:tab/>
        <w:t>have with it documents or other material in support of the statement.</w:t>
      </w:r>
    </w:p>
    <w:p w14:paraId="6A06CB91" w14:textId="77777777" w:rsidR="00207B1C" w:rsidRPr="005E3B43" w:rsidRDefault="00207B1C" w:rsidP="00763BCF">
      <w:pPr>
        <w:pStyle w:val="subsection"/>
      </w:pPr>
      <w:r w:rsidRPr="005E3B43">
        <w:tab/>
        <w:t>(3)</w:t>
      </w:r>
      <w:r w:rsidRPr="005E3B43">
        <w:tab/>
        <w:t>If the Secretary reasonably requires information or material in addition to the documents or material referred to in paragraph</w:t>
      </w:r>
      <w:r w:rsidR="004E6D00" w:rsidRPr="005E3B43">
        <w:t> </w:t>
      </w:r>
      <w:r w:rsidRPr="005E3B43">
        <w:t>2(b), the Secretary may require the applicant to provide the information or material to the Secretary.</w:t>
      </w:r>
    </w:p>
    <w:p w14:paraId="21BC7336" w14:textId="77777777" w:rsidR="00207B1C" w:rsidRPr="005E3B43" w:rsidRDefault="00207B1C" w:rsidP="00763BCF">
      <w:pPr>
        <w:pStyle w:val="subsection"/>
      </w:pPr>
      <w:r w:rsidRPr="005E3B43">
        <w:tab/>
        <w:t>(4)</w:t>
      </w:r>
      <w:r w:rsidRPr="005E3B43">
        <w:tab/>
        <w:t>If the Secretary approves an application under subregulation (1):</w:t>
      </w:r>
    </w:p>
    <w:p w14:paraId="559CA9EB" w14:textId="77777777" w:rsidR="00207B1C" w:rsidRPr="005E3B43" w:rsidRDefault="00207B1C" w:rsidP="00763BCF">
      <w:pPr>
        <w:pStyle w:val="paragraph"/>
      </w:pPr>
      <w:r w:rsidRPr="005E3B43">
        <w:tab/>
        <w:t>(a)</w:t>
      </w:r>
      <w:r w:rsidRPr="005E3B43">
        <w:tab/>
        <w:t>50% of the fee is due for payment before the commencement of the evaluation of the application; and</w:t>
      </w:r>
    </w:p>
    <w:p w14:paraId="762F8B43" w14:textId="77777777" w:rsidR="00207B1C" w:rsidRPr="005E3B43" w:rsidRDefault="00207B1C" w:rsidP="00763BCF">
      <w:pPr>
        <w:pStyle w:val="paragraph"/>
      </w:pPr>
      <w:r w:rsidRPr="005E3B43">
        <w:tab/>
        <w:t>(b)</w:t>
      </w:r>
      <w:r w:rsidRPr="005E3B43">
        <w:tab/>
        <w:t xml:space="preserve">25% of the fee is due for payment at the end of 1 month after the day on which the amount referred to in </w:t>
      </w:r>
      <w:r w:rsidR="004E6D00" w:rsidRPr="005E3B43">
        <w:t>paragraph (</w:t>
      </w:r>
      <w:r w:rsidRPr="005E3B43">
        <w:t>a) is due for payment; and</w:t>
      </w:r>
    </w:p>
    <w:p w14:paraId="18FE82F4" w14:textId="77777777" w:rsidR="00207B1C" w:rsidRPr="005E3B43" w:rsidRDefault="00207B1C" w:rsidP="00763BCF">
      <w:pPr>
        <w:pStyle w:val="paragraph"/>
      </w:pPr>
      <w:r w:rsidRPr="005E3B43">
        <w:tab/>
        <w:t>(c)</w:t>
      </w:r>
      <w:r w:rsidRPr="005E3B43">
        <w:tab/>
        <w:t>the remaining 25% is due for payment:</w:t>
      </w:r>
    </w:p>
    <w:p w14:paraId="76F2769F" w14:textId="77777777" w:rsidR="00207B1C" w:rsidRPr="005E3B43" w:rsidRDefault="00207B1C" w:rsidP="00763BCF">
      <w:pPr>
        <w:pStyle w:val="paragraphsub"/>
      </w:pPr>
      <w:r w:rsidRPr="005E3B43">
        <w:tab/>
        <w:t>(i)</w:t>
      </w:r>
      <w:r w:rsidRPr="005E3B43">
        <w:tab/>
        <w:t>if the application for evaluation is withdrawn</w:t>
      </w:r>
      <w:r w:rsidR="00E20BA4" w:rsidRPr="005E3B43">
        <w:t>—</w:t>
      </w:r>
      <w:r w:rsidRPr="005E3B43">
        <w:t>at the time of withdrawal; or</w:t>
      </w:r>
    </w:p>
    <w:p w14:paraId="4EBDA381" w14:textId="77777777" w:rsidR="00207B1C" w:rsidRPr="005E3B43" w:rsidRDefault="00207B1C" w:rsidP="00763BCF">
      <w:pPr>
        <w:pStyle w:val="paragraphsub"/>
      </w:pPr>
      <w:r w:rsidRPr="005E3B43">
        <w:tab/>
        <w:t>(ii)</w:t>
      </w:r>
      <w:r w:rsidRPr="005E3B43">
        <w:tab/>
        <w:t xml:space="preserve">if the Secretary </w:t>
      </w:r>
      <w:r w:rsidR="0042156D" w:rsidRPr="005E3B43">
        <w:t>refuses the application to include the biological in the Register</w:t>
      </w:r>
      <w:r w:rsidR="00E20BA4" w:rsidRPr="005E3B43">
        <w:t>—</w:t>
      </w:r>
      <w:r w:rsidRPr="005E3B43">
        <w:t xml:space="preserve">when the applicant is notified under </w:t>
      </w:r>
      <w:r w:rsidR="0042156D" w:rsidRPr="005E3B43">
        <w:t>section</w:t>
      </w:r>
      <w:r w:rsidR="004E6D00" w:rsidRPr="005E3B43">
        <w:t> </w:t>
      </w:r>
      <w:r w:rsidR="0042156D" w:rsidRPr="005E3B43">
        <w:t>32DG</w:t>
      </w:r>
      <w:r w:rsidRPr="005E3B43">
        <w:t xml:space="preserve"> of the Act; or</w:t>
      </w:r>
    </w:p>
    <w:p w14:paraId="5C365B83" w14:textId="77777777" w:rsidR="00207B1C" w:rsidRPr="005E3B43" w:rsidRDefault="00207B1C" w:rsidP="00763BCF">
      <w:pPr>
        <w:pStyle w:val="paragraphsub"/>
      </w:pPr>
      <w:r w:rsidRPr="005E3B43">
        <w:tab/>
        <w:t>(iii)</w:t>
      </w:r>
      <w:r w:rsidRPr="005E3B43">
        <w:tab/>
        <w:t>if the evaluation is completed</w:t>
      </w:r>
      <w:r w:rsidR="00E20BA4" w:rsidRPr="005E3B43">
        <w:t>—</w:t>
      </w:r>
      <w:r w:rsidRPr="005E3B43">
        <w:t xml:space="preserve">before </w:t>
      </w:r>
      <w:r w:rsidR="00F86EBE" w:rsidRPr="005E3B43">
        <w:t>the biological is included in the Register</w:t>
      </w:r>
      <w:r w:rsidRPr="005E3B43">
        <w:t>.</w:t>
      </w:r>
    </w:p>
    <w:p w14:paraId="2C618DA7" w14:textId="77777777" w:rsidR="00207B1C" w:rsidRPr="005E3B43" w:rsidRDefault="00207B1C" w:rsidP="00763BCF">
      <w:pPr>
        <w:pStyle w:val="subsection"/>
      </w:pPr>
      <w:r w:rsidRPr="005E3B43">
        <w:tab/>
        <w:t>(5)</w:t>
      </w:r>
      <w:r w:rsidRPr="005E3B43">
        <w:tab/>
        <w:t>If:</w:t>
      </w:r>
    </w:p>
    <w:p w14:paraId="35840A13" w14:textId="77777777" w:rsidR="00207B1C" w:rsidRPr="005E3B43" w:rsidRDefault="00207B1C" w:rsidP="00763BCF">
      <w:pPr>
        <w:pStyle w:val="paragraph"/>
      </w:pPr>
      <w:r w:rsidRPr="005E3B43">
        <w:tab/>
        <w:t>(a)</w:t>
      </w:r>
      <w:r w:rsidRPr="005E3B43">
        <w:tab/>
        <w:t>the Secretary approves an application under subregulation</w:t>
      </w:r>
      <w:r w:rsidR="002B4943" w:rsidRPr="005E3B43">
        <w:t> </w:t>
      </w:r>
      <w:r w:rsidRPr="005E3B43">
        <w:t>(1); and</w:t>
      </w:r>
    </w:p>
    <w:p w14:paraId="25833C8B" w14:textId="77777777" w:rsidR="00207B1C" w:rsidRPr="005E3B43" w:rsidRDefault="00207B1C" w:rsidP="00763BCF">
      <w:pPr>
        <w:pStyle w:val="paragraph"/>
      </w:pPr>
      <w:r w:rsidRPr="005E3B43">
        <w:tab/>
        <w:t>(b)</w:t>
      </w:r>
      <w:r w:rsidRPr="005E3B43">
        <w:tab/>
        <w:t>any amount of the fee payable by the applicant is not paid when it becomes due for payment;</w:t>
      </w:r>
    </w:p>
    <w:p w14:paraId="36B65878" w14:textId="77777777" w:rsidR="00207B1C" w:rsidRPr="005E3B43" w:rsidRDefault="00207B1C" w:rsidP="00763BCF">
      <w:pPr>
        <w:pStyle w:val="subsection2"/>
      </w:pPr>
      <w:r w:rsidRPr="005E3B43">
        <w:lastRenderedPageBreak/>
        <w:t>the balance of the fee becomes due for payment.</w:t>
      </w:r>
    </w:p>
    <w:p w14:paraId="0C6CC15F" w14:textId="77777777" w:rsidR="00207B1C" w:rsidRPr="005E3B43" w:rsidRDefault="00207B1C" w:rsidP="00763BCF">
      <w:pPr>
        <w:pStyle w:val="subsection"/>
      </w:pPr>
      <w:r w:rsidRPr="005E3B43">
        <w:tab/>
        <w:t>(6)</w:t>
      </w:r>
      <w:r w:rsidRPr="005E3B43">
        <w:tab/>
        <w:t>If the Secretary receives an application under subregulation</w:t>
      </w:r>
      <w:r w:rsidR="002B4943" w:rsidRPr="005E3B43">
        <w:t> </w:t>
      </w:r>
      <w:r w:rsidRPr="005E3B43">
        <w:t>(1), he or she must:</w:t>
      </w:r>
    </w:p>
    <w:p w14:paraId="434321D1" w14:textId="77777777" w:rsidR="00207B1C" w:rsidRPr="005E3B43" w:rsidRDefault="00207B1C" w:rsidP="00763BCF">
      <w:pPr>
        <w:pStyle w:val="paragraph"/>
      </w:pPr>
      <w:r w:rsidRPr="005E3B43">
        <w:tab/>
        <w:t>(a)</w:t>
      </w:r>
      <w:r w:rsidRPr="005E3B43">
        <w:tab/>
        <w:t>give notice in writing to the applicant within 30 days of receiving the application whether the application has been approved; and</w:t>
      </w:r>
    </w:p>
    <w:p w14:paraId="017533A2" w14:textId="77777777" w:rsidR="00207B1C" w:rsidRPr="005E3B43" w:rsidRDefault="00207B1C" w:rsidP="00763BCF">
      <w:pPr>
        <w:pStyle w:val="paragraph"/>
      </w:pPr>
      <w:r w:rsidRPr="005E3B43">
        <w:tab/>
        <w:t>(b)</w:t>
      </w:r>
      <w:r w:rsidRPr="005E3B43">
        <w:tab/>
        <w:t>if the application is approved</w:t>
      </w:r>
      <w:r w:rsidR="00E20BA4" w:rsidRPr="005E3B43">
        <w:t>—</w:t>
      </w:r>
      <w:r w:rsidRPr="005E3B43">
        <w:t>include with the notice information about the amounts of the instalments and when the instalments are due for payment.</w:t>
      </w:r>
    </w:p>
    <w:p w14:paraId="084A8620" w14:textId="77777777" w:rsidR="00207B1C" w:rsidRPr="005E3B43" w:rsidRDefault="00207B1C" w:rsidP="00763BCF">
      <w:pPr>
        <w:pStyle w:val="subsection"/>
      </w:pPr>
      <w:r w:rsidRPr="005E3B43">
        <w:tab/>
        <w:t>(7)</w:t>
      </w:r>
      <w:r w:rsidRPr="005E3B43">
        <w:tab/>
        <w:t>This regulation does not apply while another evaluation fee, or an assessment fee payable under section</w:t>
      </w:r>
      <w:r w:rsidR="004E6D00" w:rsidRPr="005E3B43">
        <w:t> </w:t>
      </w:r>
      <w:r w:rsidRPr="005E3B43">
        <w:t>41LA of the Act (or part of either of those kinds of fee), that is due for payment by the applicant is unpaid.</w:t>
      </w:r>
    </w:p>
    <w:p w14:paraId="2E083CEA" w14:textId="77777777" w:rsidR="00207B1C" w:rsidRPr="005E3B43" w:rsidRDefault="00207B1C" w:rsidP="00763BCF">
      <w:pPr>
        <w:pStyle w:val="ActHead2"/>
        <w:pageBreakBefore/>
      </w:pPr>
      <w:bookmarkStart w:id="291" w:name="_Toc187135885"/>
      <w:r w:rsidRPr="005E3B43">
        <w:rPr>
          <w:rStyle w:val="CharPartNo"/>
        </w:rPr>
        <w:lastRenderedPageBreak/>
        <w:t>Part</w:t>
      </w:r>
      <w:r w:rsidR="004E6D00" w:rsidRPr="005E3B43">
        <w:rPr>
          <w:rStyle w:val="CharPartNo"/>
        </w:rPr>
        <w:t> </w:t>
      </w:r>
      <w:r w:rsidRPr="005E3B43">
        <w:rPr>
          <w:rStyle w:val="CharPartNo"/>
        </w:rPr>
        <w:t>8</w:t>
      </w:r>
      <w:r w:rsidR="00E20BA4" w:rsidRPr="005E3B43">
        <w:t>—</w:t>
      </w:r>
      <w:r w:rsidRPr="005E3B43">
        <w:rPr>
          <w:rStyle w:val="CharPartText"/>
        </w:rPr>
        <w:t>Miscellaneous</w:t>
      </w:r>
      <w:bookmarkEnd w:id="291"/>
    </w:p>
    <w:p w14:paraId="0D15A056" w14:textId="77777777" w:rsidR="00207B1C" w:rsidRPr="005E3B43" w:rsidRDefault="00E20BA4" w:rsidP="00763BCF">
      <w:pPr>
        <w:pStyle w:val="Header"/>
      </w:pPr>
      <w:r w:rsidRPr="005E3B43">
        <w:rPr>
          <w:rStyle w:val="CharDivNo"/>
        </w:rPr>
        <w:t xml:space="preserve"> </w:t>
      </w:r>
      <w:r w:rsidRPr="005E3B43">
        <w:rPr>
          <w:rStyle w:val="CharDivText"/>
        </w:rPr>
        <w:t xml:space="preserve"> </w:t>
      </w:r>
    </w:p>
    <w:p w14:paraId="11B4AB5F" w14:textId="77777777" w:rsidR="00B94815" w:rsidRPr="005E3B43" w:rsidRDefault="00B94815" w:rsidP="00B94815">
      <w:pPr>
        <w:pStyle w:val="ActHead5"/>
      </w:pPr>
      <w:bookmarkStart w:id="292" w:name="_Toc187135886"/>
      <w:r w:rsidRPr="005E3B43">
        <w:rPr>
          <w:rStyle w:val="CharSectno"/>
        </w:rPr>
        <w:t>46AA</w:t>
      </w:r>
      <w:r w:rsidRPr="005E3B43">
        <w:t xml:space="preserve">  Identity cards for authorised officers</w:t>
      </w:r>
      <w:bookmarkEnd w:id="292"/>
    </w:p>
    <w:p w14:paraId="5B1F061B" w14:textId="77777777" w:rsidR="00B94815" w:rsidRPr="005E3B43" w:rsidRDefault="00B94815" w:rsidP="00B94815">
      <w:pPr>
        <w:pStyle w:val="subsection"/>
      </w:pPr>
      <w:r w:rsidRPr="005E3B43">
        <w:tab/>
        <w:t>(1)</w:t>
      </w:r>
      <w:r w:rsidRPr="005E3B43">
        <w:tab/>
        <w:t>The Secretary is to ensure that each authorised officer is issued with an identity card that incorporates a recent photograph of the person.</w:t>
      </w:r>
    </w:p>
    <w:p w14:paraId="503A30E8" w14:textId="77777777" w:rsidR="00B94815" w:rsidRPr="005E3B43" w:rsidRDefault="00B94815" w:rsidP="00B94815">
      <w:pPr>
        <w:pStyle w:val="subsection"/>
      </w:pPr>
      <w:r w:rsidRPr="005E3B43">
        <w:tab/>
        <w:t>(2)</w:t>
      </w:r>
      <w:r w:rsidRPr="005E3B43">
        <w:tab/>
        <w:t>When a person ceases to be an authorised officer, the person must, as soon as practicable after so ceasing, return the person’s identity card to the Secretary.</w:t>
      </w:r>
    </w:p>
    <w:p w14:paraId="6373166F" w14:textId="77777777" w:rsidR="00B94815" w:rsidRPr="005E3B43" w:rsidRDefault="00B94815" w:rsidP="00B94815">
      <w:pPr>
        <w:pStyle w:val="Penalty"/>
      </w:pPr>
      <w:r w:rsidRPr="005E3B43">
        <w:t>Penalty:</w:t>
      </w:r>
      <w:r w:rsidRPr="005E3B43">
        <w:tab/>
        <w:t>1 penalty unit.</w:t>
      </w:r>
    </w:p>
    <w:p w14:paraId="51309E94" w14:textId="77777777" w:rsidR="00B94815" w:rsidRPr="005E3B43" w:rsidRDefault="00B94815" w:rsidP="00B94815">
      <w:pPr>
        <w:pStyle w:val="subsection"/>
      </w:pPr>
      <w:r w:rsidRPr="005E3B43">
        <w:tab/>
        <w:t>(3)</w:t>
      </w:r>
      <w:r w:rsidRPr="005E3B43">
        <w:tab/>
        <w:t>An offence under subregulation (2) is an offence of strict liability.</w:t>
      </w:r>
    </w:p>
    <w:p w14:paraId="51407014" w14:textId="77777777" w:rsidR="008E26CA" w:rsidRPr="005E3B43" w:rsidRDefault="008E26CA" w:rsidP="00763BCF">
      <w:pPr>
        <w:pStyle w:val="ActHead5"/>
      </w:pPr>
      <w:bookmarkStart w:id="293" w:name="_Toc187135887"/>
      <w:r w:rsidRPr="005E3B43">
        <w:rPr>
          <w:rStyle w:val="CharSectno"/>
        </w:rPr>
        <w:t>46A</w:t>
      </w:r>
      <w:r w:rsidR="00E20BA4" w:rsidRPr="005E3B43">
        <w:t xml:space="preserve">  </w:t>
      </w:r>
      <w:r w:rsidRPr="005E3B43">
        <w:t>Delegation under the Act</w:t>
      </w:r>
      <w:bookmarkEnd w:id="293"/>
    </w:p>
    <w:p w14:paraId="301880B7" w14:textId="77777777" w:rsidR="00D41A73" w:rsidRPr="005E3B43" w:rsidRDefault="00D41A73" w:rsidP="00763BCF">
      <w:pPr>
        <w:pStyle w:val="subsection"/>
      </w:pPr>
      <w:r w:rsidRPr="005E3B43">
        <w:tab/>
        <w:t>(1)</w:t>
      </w:r>
      <w:r w:rsidRPr="005E3B43">
        <w:tab/>
        <w:t>For paragraph</w:t>
      </w:r>
      <w:r w:rsidR="004E6D00" w:rsidRPr="005E3B43">
        <w:t> </w:t>
      </w:r>
      <w:r w:rsidRPr="005E3B43">
        <w:t>57(1)(c) of the Act, the secondment of a person employed by a national therapeutic goods regulatory authority of another country to a position in the Department is declared to be an appointment the occupant or holder of which may be a delegate under section</w:t>
      </w:r>
      <w:r w:rsidR="004E6D00" w:rsidRPr="005E3B43">
        <w:t> </w:t>
      </w:r>
      <w:r w:rsidRPr="005E3B43">
        <w:t>57 of the Act.</w:t>
      </w:r>
    </w:p>
    <w:p w14:paraId="370EB0F7" w14:textId="77777777" w:rsidR="00E86107" w:rsidRPr="005E3B43" w:rsidRDefault="00E86107" w:rsidP="00763BCF">
      <w:pPr>
        <w:pStyle w:val="subsection"/>
      </w:pPr>
      <w:r w:rsidRPr="005E3B43">
        <w:tab/>
        <w:t>(2)</w:t>
      </w:r>
      <w:r w:rsidRPr="005E3B43">
        <w:tab/>
        <w:t>For the purposes of subsection 57(8) of the Act, the following positions are prescribed:</w:t>
      </w:r>
    </w:p>
    <w:p w14:paraId="49A7CE52" w14:textId="77777777" w:rsidR="00E86107" w:rsidRPr="005E3B43" w:rsidRDefault="00E86107" w:rsidP="00763BCF">
      <w:pPr>
        <w:pStyle w:val="paragraph"/>
      </w:pPr>
      <w:r w:rsidRPr="005E3B43">
        <w:tab/>
        <w:t>(a)</w:t>
      </w:r>
      <w:r w:rsidRPr="005E3B43">
        <w:tab/>
        <w:t>an SES Band 1, 2 or 3 position;</w:t>
      </w:r>
    </w:p>
    <w:p w14:paraId="45A2EA6B" w14:textId="77777777" w:rsidR="00E86107" w:rsidRPr="005E3B43" w:rsidRDefault="00E86107" w:rsidP="00763BCF">
      <w:pPr>
        <w:pStyle w:val="paragraph"/>
      </w:pPr>
      <w:r w:rsidRPr="005E3B43">
        <w:tab/>
        <w:t>(b)</w:t>
      </w:r>
      <w:r w:rsidRPr="005E3B43">
        <w:tab/>
        <w:t>each position classified as a Medical Officer Class 3, 4, 5 or 6;</w:t>
      </w:r>
    </w:p>
    <w:p w14:paraId="1607E16B" w14:textId="77777777" w:rsidR="00E86107" w:rsidRPr="005E3B43" w:rsidRDefault="00E86107" w:rsidP="00763BCF">
      <w:pPr>
        <w:pStyle w:val="paragraph"/>
      </w:pPr>
      <w:r w:rsidRPr="005E3B43">
        <w:tab/>
        <w:t>(c)</w:t>
      </w:r>
      <w:r w:rsidRPr="005E3B43">
        <w:tab/>
        <w:t>an Executive Level 1 or 2 position.</w:t>
      </w:r>
    </w:p>
    <w:p w14:paraId="475F717B" w14:textId="77777777" w:rsidR="008C5D9A" w:rsidRPr="005E3B43" w:rsidRDefault="008C5D9A" w:rsidP="008C5D9A">
      <w:pPr>
        <w:pStyle w:val="ActHead5"/>
      </w:pPr>
      <w:bookmarkStart w:id="294" w:name="_Toc187135888"/>
      <w:r w:rsidRPr="005E3B43">
        <w:rPr>
          <w:rStyle w:val="CharSectno"/>
        </w:rPr>
        <w:t>46B</w:t>
      </w:r>
      <w:r w:rsidRPr="005E3B43">
        <w:t xml:space="preserve">  Protected persons</w:t>
      </w:r>
      <w:bookmarkEnd w:id="294"/>
    </w:p>
    <w:p w14:paraId="33914A96" w14:textId="77777777" w:rsidR="008C5D9A" w:rsidRPr="005E3B43" w:rsidRDefault="008C5D9A" w:rsidP="008C5D9A">
      <w:pPr>
        <w:pStyle w:val="subsection"/>
      </w:pPr>
      <w:r w:rsidRPr="005E3B43">
        <w:tab/>
      </w:r>
      <w:r w:rsidRPr="005E3B43">
        <w:tab/>
        <w:t xml:space="preserve">For the purposes of paragraph (b) of the definition of </w:t>
      </w:r>
      <w:r w:rsidRPr="005E3B43">
        <w:rPr>
          <w:b/>
          <w:i/>
        </w:rPr>
        <w:t>protected person</w:t>
      </w:r>
      <w:r w:rsidRPr="005E3B43">
        <w:t xml:space="preserve"> in subsection 62(3) of the Act, a person to whom powers or functions are delegated under subsection 57(1A) of the Act is prescribed.</w:t>
      </w:r>
    </w:p>
    <w:p w14:paraId="67E71A3B" w14:textId="77777777" w:rsidR="00207B1C" w:rsidRPr="005E3B43" w:rsidRDefault="00207B1C" w:rsidP="00763BCF">
      <w:pPr>
        <w:pStyle w:val="ActHead5"/>
      </w:pPr>
      <w:bookmarkStart w:id="295" w:name="_Toc187135889"/>
      <w:r w:rsidRPr="005E3B43">
        <w:rPr>
          <w:rStyle w:val="CharSectno"/>
        </w:rPr>
        <w:t>46</w:t>
      </w:r>
      <w:r w:rsidR="00E20BA4" w:rsidRPr="005E3B43">
        <w:t xml:space="preserve">  </w:t>
      </w:r>
      <w:r w:rsidRPr="005E3B43">
        <w:t>Release of information</w:t>
      </w:r>
      <w:bookmarkEnd w:id="295"/>
    </w:p>
    <w:p w14:paraId="27E63D0D" w14:textId="77777777" w:rsidR="00207B1C" w:rsidRPr="005E3B43" w:rsidRDefault="00207B1C" w:rsidP="00763BCF">
      <w:pPr>
        <w:pStyle w:val="subsection"/>
      </w:pPr>
      <w:r w:rsidRPr="005E3B43">
        <w:tab/>
        <w:t>(1)</w:t>
      </w:r>
      <w:r w:rsidRPr="005E3B43">
        <w:tab/>
        <w:t xml:space="preserve">In this regulation, </w:t>
      </w:r>
      <w:r w:rsidRPr="005E3B43">
        <w:rPr>
          <w:b/>
          <w:i/>
        </w:rPr>
        <w:t>therapeutic goods information</w:t>
      </w:r>
      <w:r w:rsidRPr="005E3B43">
        <w:t xml:space="preserve"> has the same meaning as in section</w:t>
      </w:r>
      <w:r w:rsidR="004E6D00" w:rsidRPr="005E3B43">
        <w:t> </w:t>
      </w:r>
      <w:r w:rsidRPr="005E3B43">
        <w:t>61 of the Act.</w:t>
      </w:r>
    </w:p>
    <w:p w14:paraId="46C0D99D" w14:textId="77777777" w:rsidR="00207B1C" w:rsidRPr="005E3B43" w:rsidRDefault="00207B1C" w:rsidP="00763BCF">
      <w:pPr>
        <w:pStyle w:val="subsection"/>
      </w:pPr>
      <w:r w:rsidRPr="005E3B43">
        <w:tab/>
        <w:t>(2)</w:t>
      </w:r>
      <w:r w:rsidRPr="005E3B43">
        <w:tab/>
        <w:t>For the purposes of subsection</w:t>
      </w:r>
      <w:r w:rsidR="004E6D00" w:rsidRPr="005E3B43">
        <w:t> </w:t>
      </w:r>
      <w:r w:rsidRPr="005E3B43">
        <w:t>61(6) of the Act, the Secretary may release to a person, on application by the person, therapeutic goods information in respect of an entry in the Register, being therapeutic goods information of the following kinds:</w:t>
      </w:r>
    </w:p>
    <w:p w14:paraId="6F693738" w14:textId="77777777" w:rsidR="00207B1C" w:rsidRPr="005E3B43" w:rsidRDefault="00207B1C" w:rsidP="00763BCF">
      <w:pPr>
        <w:pStyle w:val="paragraph"/>
      </w:pPr>
      <w:r w:rsidRPr="005E3B43">
        <w:tab/>
        <w:t>(a)</w:t>
      </w:r>
      <w:r w:rsidRPr="005E3B43">
        <w:tab/>
        <w:t>whether the goods are included in the Register and, if so:</w:t>
      </w:r>
    </w:p>
    <w:p w14:paraId="327861B8" w14:textId="77777777" w:rsidR="00207B1C" w:rsidRPr="005E3B43" w:rsidRDefault="00207B1C" w:rsidP="00763BCF">
      <w:pPr>
        <w:pStyle w:val="paragraphsub"/>
      </w:pPr>
      <w:r w:rsidRPr="005E3B43">
        <w:tab/>
        <w:t>(i)</w:t>
      </w:r>
      <w:r w:rsidRPr="005E3B43">
        <w:tab/>
        <w:t xml:space="preserve">the registration number, </w:t>
      </w:r>
      <w:r w:rsidR="00914C3E" w:rsidRPr="005E3B43">
        <w:t>listing number, biological number</w:t>
      </w:r>
      <w:r w:rsidRPr="005E3B43">
        <w:t xml:space="preserve"> or device number of the goods; and</w:t>
      </w:r>
    </w:p>
    <w:p w14:paraId="4F49ABC8" w14:textId="77777777" w:rsidR="00207B1C" w:rsidRPr="005E3B43" w:rsidRDefault="00207B1C" w:rsidP="00763BCF">
      <w:pPr>
        <w:pStyle w:val="paragraphsub"/>
      </w:pPr>
      <w:r w:rsidRPr="005E3B43">
        <w:tab/>
        <w:t>(ii)</w:t>
      </w:r>
      <w:r w:rsidRPr="005E3B43">
        <w:tab/>
        <w:t>the date when the goods were registered, listed or included in the Register; and</w:t>
      </w:r>
    </w:p>
    <w:p w14:paraId="584FECA0" w14:textId="77777777" w:rsidR="00207B1C" w:rsidRPr="005E3B43" w:rsidRDefault="00207B1C" w:rsidP="00763BCF">
      <w:pPr>
        <w:pStyle w:val="paragraphsub"/>
      </w:pPr>
      <w:r w:rsidRPr="005E3B43">
        <w:lastRenderedPageBreak/>
        <w:tab/>
        <w:t>(iii)</w:t>
      </w:r>
      <w:r w:rsidRPr="005E3B43">
        <w:tab/>
        <w:t>the class in which the goods are included in the Register;</w:t>
      </w:r>
    </w:p>
    <w:p w14:paraId="0D358F38" w14:textId="77777777" w:rsidR="00207B1C" w:rsidRPr="005E3B43" w:rsidRDefault="00207B1C" w:rsidP="00763BCF">
      <w:pPr>
        <w:pStyle w:val="paragraph"/>
      </w:pPr>
      <w:r w:rsidRPr="005E3B43">
        <w:tab/>
        <w:t>(b)</w:t>
      </w:r>
      <w:r w:rsidRPr="005E3B43">
        <w:tab/>
        <w:t>the name of the goods and the name and address of the sponsor of the goods;</w:t>
      </w:r>
    </w:p>
    <w:p w14:paraId="5AC409B2" w14:textId="77777777" w:rsidR="00207B1C" w:rsidRPr="005E3B43" w:rsidRDefault="00207B1C" w:rsidP="00763BCF">
      <w:pPr>
        <w:pStyle w:val="paragraph"/>
      </w:pPr>
      <w:r w:rsidRPr="005E3B43">
        <w:tab/>
        <w:t>(c)</w:t>
      </w:r>
      <w:r w:rsidRPr="005E3B43">
        <w:tab/>
        <w:t>if any ingredient in, or component of, the goods is derived from an animal, the type of the animal;</w:t>
      </w:r>
    </w:p>
    <w:p w14:paraId="2DB4CDE7" w14:textId="77777777" w:rsidR="00207B1C" w:rsidRPr="005E3B43" w:rsidRDefault="00207B1C" w:rsidP="00763BCF">
      <w:pPr>
        <w:pStyle w:val="paragraph"/>
      </w:pPr>
      <w:r w:rsidRPr="005E3B43">
        <w:tab/>
        <w:t>(d)</w:t>
      </w:r>
      <w:r w:rsidRPr="005E3B43">
        <w:tab/>
        <w:t>if the goods are supplied in a sterile state, the type of sterilisation used;</w:t>
      </w:r>
    </w:p>
    <w:p w14:paraId="0C4BE166" w14:textId="77777777" w:rsidR="00207B1C" w:rsidRPr="005E3B43" w:rsidRDefault="00207B1C" w:rsidP="00763BCF">
      <w:pPr>
        <w:pStyle w:val="paragraph"/>
      </w:pPr>
      <w:r w:rsidRPr="005E3B43">
        <w:tab/>
        <w:t>(e)</w:t>
      </w:r>
      <w:r w:rsidRPr="005E3B43">
        <w:tab/>
        <w:t xml:space="preserve">if the goods are </w:t>
      </w:r>
      <w:r w:rsidR="00914C3E" w:rsidRPr="005E3B43">
        <w:t xml:space="preserve">medicines or biologicals, </w:t>
      </w:r>
      <w:r w:rsidRPr="005E3B43">
        <w:t xml:space="preserve">medical devices that contain </w:t>
      </w:r>
      <w:r w:rsidR="00914C3E" w:rsidRPr="005E3B43">
        <w:t xml:space="preserve">medicines or biologicals, </w:t>
      </w:r>
      <w:r w:rsidRPr="005E3B43">
        <w:t>or medical devices that incorporate, or are intended to incorporate, as an integral part, a medicine</w:t>
      </w:r>
      <w:r w:rsidR="00914C3E" w:rsidRPr="005E3B43">
        <w:t xml:space="preserve"> or biological</w:t>
      </w:r>
      <w:r w:rsidRPr="005E3B43">
        <w:t xml:space="preserve"> that is intended to act on a patient in a way that is ancillary to the device:</w:t>
      </w:r>
    </w:p>
    <w:p w14:paraId="5612CEA9" w14:textId="77777777" w:rsidR="00207B1C" w:rsidRPr="005E3B43" w:rsidRDefault="00207B1C" w:rsidP="00763BCF">
      <w:pPr>
        <w:pStyle w:val="paragraphsub"/>
      </w:pPr>
      <w:r w:rsidRPr="005E3B43">
        <w:tab/>
        <w:t>(i)</w:t>
      </w:r>
      <w:r w:rsidRPr="005E3B43">
        <w:tab/>
        <w:t>the quantity of goods to be in the primary pack; and</w:t>
      </w:r>
    </w:p>
    <w:p w14:paraId="2A8F039C" w14:textId="77777777" w:rsidR="00207B1C" w:rsidRPr="005E3B43" w:rsidRDefault="00207B1C" w:rsidP="00763BCF">
      <w:pPr>
        <w:pStyle w:val="paragraphsub"/>
      </w:pPr>
      <w:r w:rsidRPr="005E3B43">
        <w:tab/>
        <w:t>(ii)</w:t>
      </w:r>
      <w:r w:rsidRPr="005E3B43">
        <w:tab/>
        <w:t>the entry relating to the goods in the Poisons Standard; and</w:t>
      </w:r>
    </w:p>
    <w:p w14:paraId="4B8A45D2" w14:textId="77777777" w:rsidR="00207B1C" w:rsidRPr="005E3B43" w:rsidRDefault="00207B1C" w:rsidP="00763BCF">
      <w:pPr>
        <w:pStyle w:val="paragraphsub"/>
      </w:pPr>
      <w:r w:rsidRPr="005E3B43">
        <w:tab/>
        <w:t>(iii)</w:t>
      </w:r>
      <w:r w:rsidRPr="005E3B43">
        <w:tab/>
        <w:t>the indications for the goods; and</w:t>
      </w:r>
    </w:p>
    <w:p w14:paraId="12A57471" w14:textId="77777777" w:rsidR="00207B1C" w:rsidRPr="005E3B43" w:rsidRDefault="00207B1C" w:rsidP="00763BCF">
      <w:pPr>
        <w:pStyle w:val="paragraphsub"/>
      </w:pPr>
      <w:r w:rsidRPr="005E3B43">
        <w:tab/>
        <w:t>(iv)</w:t>
      </w:r>
      <w:r w:rsidRPr="005E3B43">
        <w:tab/>
        <w:t>the dosage form of the goods and their physical appearance; and</w:t>
      </w:r>
    </w:p>
    <w:p w14:paraId="7070BCC9" w14:textId="77777777" w:rsidR="00207B1C" w:rsidRPr="005E3B43" w:rsidRDefault="00207B1C" w:rsidP="00763BCF">
      <w:pPr>
        <w:pStyle w:val="paragraphsub"/>
      </w:pPr>
      <w:r w:rsidRPr="005E3B43">
        <w:tab/>
        <w:t>(v)</w:t>
      </w:r>
      <w:r w:rsidRPr="005E3B43">
        <w:tab/>
        <w:t>the names and quantities of therapeutically active substances in the goods; and</w:t>
      </w:r>
    </w:p>
    <w:p w14:paraId="30074B87" w14:textId="77777777" w:rsidR="00207B1C" w:rsidRPr="005E3B43" w:rsidRDefault="00207B1C" w:rsidP="00763BCF">
      <w:pPr>
        <w:pStyle w:val="paragraphsub"/>
      </w:pPr>
      <w:r w:rsidRPr="005E3B43">
        <w:tab/>
        <w:t>(vi)</w:t>
      </w:r>
      <w:r w:rsidRPr="005E3B43">
        <w:tab/>
        <w:t>the presence or absence of any specific excipient in the goods; and</w:t>
      </w:r>
    </w:p>
    <w:p w14:paraId="22E95216" w14:textId="77777777" w:rsidR="00207B1C" w:rsidRPr="005E3B43" w:rsidRDefault="00207B1C" w:rsidP="00763BCF">
      <w:pPr>
        <w:pStyle w:val="paragraphsub"/>
      </w:pPr>
      <w:r w:rsidRPr="005E3B43">
        <w:tab/>
        <w:t>(vii)</w:t>
      </w:r>
      <w:r w:rsidRPr="005E3B43">
        <w:tab/>
        <w:t>the routes of administration of the goods; and</w:t>
      </w:r>
    </w:p>
    <w:p w14:paraId="6BFED9E0" w14:textId="77777777" w:rsidR="00207B1C" w:rsidRPr="005E3B43" w:rsidRDefault="00207B1C" w:rsidP="00763BCF">
      <w:pPr>
        <w:pStyle w:val="paragraphsub"/>
      </w:pPr>
      <w:r w:rsidRPr="005E3B43">
        <w:tab/>
        <w:t>(viii)</w:t>
      </w:r>
      <w:r w:rsidRPr="005E3B43">
        <w:tab/>
        <w:t>the type of container in which the goods are to be packed; and</w:t>
      </w:r>
    </w:p>
    <w:p w14:paraId="2AF955F2" w14:textId="77777777" w:rsidR="00207B1C" w:rsidRPr="005E3B43" w:rsidRDefault="00207B1C" w:rsidP="00763BCF">
      <w:pPr>
        <w:pStyle w:val="paragraph"/>
      </w:pPr>
      <w:r w:rsidRPr="005E3B43">
        <w:tab/>
        <w:t>(f)</w:t>
      </w:r>
      <w:r w:rsidRPr="005E3B43">
        <w:tab/>
        <w:t>if the goods are a kind of medical device:</w:t>
      </w:r>
    </w:p>
    <w:p w14:paraId="3A62EA39" w14:textId="77777777" w:rsidR="00207B1C" w:rsidRPr="005E3B43" w:rsidRDefault="00207B1C" w:rsidP="00763BCF">
      <w:pPr>
        <w:pStyle w:val="paragraphsub"/>
      </w:pPr>
      <w:r w:rsidRPr="005E3B43">
        <w:tab/>
        <w:t>(i)</w:t>
      </w:r>
      <w:r w:rsidRPr="005E3B43">
        <w:tab/>
        <w:t>the intended purpose of the device; and</w:t>
      </w:r>
    </w:p>
    <w:p w14:paraId="7FC06738" w14:textId="77777777" w:rsidR="00207B1C" w:rsidRPr="005E3B43" w:rsidRDefault="00207B1C" w:rsidP="00763BCF">
      <w:pPr>
        <w:pStyle w:val="paragraphsub"/>
      </w:pPr>
      <w:r w:rsidRPr="005E3B43">
        <w:tab/>
        <w:t>(ii)</w:t>
      </w:r>
      <w:r w:rsidRPr="005E3B43">
        <w:tab/>
        <w:t>the device nomenclature system code specified for the device under subsection</w:t>
      </w:r>
      <w:r w:rsidR="004E6D00" w:rsidRPr="005E3B43">
        <w:t> </w:t>
      </w:r>
      <w:r w:rsidRPr="005E3B43">
        <w:t>41BE(3) of the Act; and</w:t>
      </w:r>
    </w:p>
    <w:p w14:paraId="1344B95F" w14:textId="77777777" w:rsidR="00207B1C" w:rsidRPr="005E3B43" w:rsidRDefault="00207B1C" w:rsidP="00763BCF">
      <w:pPr>
        <w:pStyle w:val="paragraphsub"/>
      </w:pPr>
      <w:r w:rsidRPr="005E3B43">
        <w:tab/>
        <w:t>(iii)</w:t>
      </w:r>
      <w:r w:rsidRPr="005E3B43">
        <w:tab/>
        <w:t>the medical device classification applying to the device;</w:t>
      </w:r>
    </w:p>
    <w:p w14:paraId="4E8825E3" w14:textId="77777777" w:rsidR="00207B1C" w:rsidRPr="005E3B43" w:rsidRDefault="00207B1C" w:rsidP="00763BCF">
      <w:pPr>
        <w:pStyle w:val="paragraph"/>
      </w:pPr>
      <w:r w:rsidRPr="005E3B43">
        <w:tab/>
        <w:t>(g)</w:t>
      </w:r>
      <w:r w:rsidRPr="005E3B43">
        <w:tab/>
        <w:t xml:space="preserve">whether the goods are a designated orphan </w:t>
      </w:r>
      <w:r w:rsidR="00914C3E" w:rsidRPr="005E3B43">
        <w:t>drug;</w:t>
      </w:r>
    </w:p>
    <w:p w14:paraId="58224E07" w14:textId="77777777" w:rsidR="00914C3E" w:rsidRPr="005E3B43" w:rsidRDefault="00914C3E" w:rsidP="00763BCF">
      <w:pPr>
        <w:pStyle w:val="paragraph"/>
      </w:pPr>
      <w:r w:rsidRPr="005E3B43">
        <w:tab/>
        <w:t>(h)</w:t>
      </w:r>
      <w:r w:rsidRPr="005E3B43">
        <w:tab/>
        <w:t>if the goods are a biological</w:t>
      </w:r>
      <w:r w:rsidR="00E20BA4" w:rsidRPr="005E3B43">
        <w:t>—</w:t>
      </w:r>
      <w:r w:rsidRPr="005E3B43">
        <w:t>which class.</w:t>
      </w:r>
    </w:p>
    <w:p w14:paraId="37185735" w14:textId="77777777" w:rsidR="00207B1C" w:rsidRPr="005E3B43" w:rsidRDefault="00207B1C" w:rsidP="00763BCF">
      <w:pPr>
        <w:pStyle w:val="subsection"/>
      </w:pPr>
      <w:r w:rsidRPr="005E3B43">
        <w:tab/>
        <w:t>(4)</w:t>
      </w:r>
      <w:r w:rsidRPr="005E3B43">
        <w:tab/>
        <w:t>For the purposes of subsection</w:t>
      </w:r>
      <w:r w:rsidR="004E6D00" w:rsidRPr="005E3B43">
        <w:t> </w:t>
      </w:r>
      <w:r w:rsidRPr="005E3B43">
        <w:t>61(6) of the Act, the Secretary may release therapeutic goods information of a kind that a court, tribunal, authority, or other body or person may require to be given or produced under a law of the Commonwealth, or of a State or Territory.</w:t>
      </w:r>
    </w:p>
    <w:p w14:paraId="3BD65EFA" w14:textId="77777777" w:rsidR="00207B1C" w:rsidRPr="005E3B43" w:rsidRDefault="00207B1C" w:rsidP="00763BCF">
      <w:pPr>
        <w:pStyle w:val="ActHead5"/>
      </w:pPr>
      <w:bookmarkStart w:id="296" w:name="_Toc187135890"/>
      <w:r w:rsidRPr="005E3B43">
        <w:rPr>
          <w:rStyle w:val="CharSectno"/>
        </w:rPr>
        <w:t>47</w:t>
      </w:r>
      <w:r w:rsidR="00E20BA4" w:rsidRPr="005E3B43">
        <w:t xml:space="preserve">  </w:t>
      </w:r>
      <w:r w:rsidRPr="005E3B43">
        <w:t>Delegation</w:t>
      </w:r>
      <w:r w:rsidR="00E20BA4" w:rsidRPr="005E3B43">
        <w:t>—</w:t>
      </w:r>
      <w:r w:rsidRPr="005E3B43">
        <w:t>powers and functions under these Regulations</w:t>
      </w:r>
      <w:bookmarkEnd w:id="296"/>
    </w:p>
    <w:p w14:paraId="2A0664AE" w14:textId="77777777" w:rsidR="00207B1C" w:rsidRPr="005E3B43" w:rsidRDefault="00207B1C" w:rsidP="00763BCF">
      <w:pPr>
        <w:pStyle w:val="subsection"/>
      </w:pPr>
      <w:r w:rsidRPr="005E3B43">
        <w:tab/>
        <w:t>(1)</w:t>
      </w:r>
      <w:r w:rsidRPr="005E3B43">
        <w:tab/>
        <w:t xml:space="preserve">The Secretary may delegate a power or function of the Secretary under these Regulations </w:t>
      </w:r>
      <w:r w:rsidR="00D41A73" w:rsidRPr="005E3B43">
        <w:t>to an officer of the Department</w:t>
      </w:r>
      <w:r w:rsidRPr="005E3B43">
        <w:t>.</w:t>
      </w:r>
    </w:p>
    <w:p w14:paraId="5251221B" w14:textId="77777777" w:rsidR="00207B1C" w:rsidRPr="005E3B43" w:rsidRDefault="00207B1C" w:rsidP="00763BCF">
      <w:pPr>
        <w:pStyle w:val="subsection"/>
      </w:pPr>
      <w:r w:rsidRPr="005E3B43">
        <w:tab/>
        <w:t>(2)</w:t>
      </w:r>
      <w:r w:rsidRPr="005E3B43">
        <w:tab/>
        <w:t>The delegation must be by instrument signed by the Secretary.</w:t>
      </w:r>
    </w:p>
    <w:p w14:paraId="0D9636CF" w14:textId="77777777" w:rsidR="00CE239D" w:rsidRPr="005E3B43" w:rsidRDefault="00CE239D" w:rsidP="00763BCF">
      <w:pPr>
        <w:pStyle w:val="ActHead5"/>
      </w:pPr>
      <w:bookmarkStart w:id="297" w:name="_Toc187135891"/>
      <w:r w:rsidRPr="005E3B43">
        <w:rPr>
          <w:rStyle w:val="CharSectno"/>
        </w:rPr>
        <w:t>47A</w:t>
      </w:r>
      <w:r w:rsidR="00E20BA4" w:rsidRPr="005E3B43">
        <w:t xml:space="preserve">  </w:t>
      </w:r>
      <w:r w:rsidRPr="005E3B43">
        <w:t>Delegation</w:t>
      </w:r>
      <w:r w:rsidR="00E20BA4" w:rsidRPr="005E3B43">
        <w:t>—</w:t>
      </w:r>
      <w:r w:rsidRPr="005E3B43">
        <w:t>powers under paragraphs 19(1)(a), 32CK(1)(d) and 41HB(1)(d) of the Act</w:t>
      </w:r>
      <w:bookmarkEnd w:id="297"/>
    </w:p>
    <w:p w14:paraId="56C1643C" w14:textId="77777777" w:rsidR="00CE239D" w:rsidRPr="005E3B43" w:rsidRDefault="00CE239D" w:rsidP="00763BCF">
      <w:pPr>
        <w:pStyle w:val="subsection"/>
      </w:pPr>
      <w:r w:rsidRPr="005E3B43">
        <w:tab/>
        <w:t>(1)</w:t>
      </w:r>
      <w:r w:rsidRPr="005E3B43">
        <w:tab/>
        <w:t>In this regulation:</w:t>
      </w:r>
    </w:p>
    <w:p w14:paraId="542F451C" w14:textId="77777777" w:rsidR="00CE239D" w:rsidRPr="005E3B43" w:rsidRDefault="00CE239D" w:rsidP="00763BCF">
      <w:pPr>
        <w:pStyle w:val="Definition"/>
      </w:pPr>
      <w:r w:rsidRPr="005E3B43">
        <w:rPr>
          <w:b/>
          <w:i/>
        </w:rPr>
        <w:t xml:space="preserve">delegation </w:t>
      </w:r>
      <w:r w:rsidRPr="005E3B43">
        <w:t>means a delegation, under subsection</w:t>
      </w:r>
      <w:r w:rsidR="004E6D00" w:rsidRPr="005E3B43">
        <w:t> </w:t>
      </w:r>
      <w:r w:rsidRPr="005E3B43">
        <w:t>57(3) of the Act, of powers of the Secretary under any of the following provisions of the Act:</w:t>
      </w:r>
    </w:p>
    <w:p w14:paraId="347B31EB" w14:textId="77777777" w:rsidR="00CE239D" w:rsidRPr="005E3B43" w:rsidRDefault="00CE239D" w:rsidP="00763BCF">
      <w:pPr>
        <w:pStyle w:val="paragraph"/>
      </w:pPr>
      <w:r w:rsidRPr="005E3B43">
        <w:tab/>
        <w:t>(a)</w:t>
      </w:r>
      <w:r w:rsidRPr="005E3B43">
        <w:tab/>
        <w:t>paragraph</w:t>
      </w:r>
      <w:r w:rsidR="004E6D00" w:rsidRPr="005E3B43">
        <w:t> </w:t>
      </w:r>
      <w:r w:rsidRPr="005E3B43">
        <w:t>19(1)(a), relating to specified therapeutic goods;</w:t>
      </w:r>
    </w:p>
    <w:p w14:paraId="7536C9AD" w14:textId="77777777" w:rsidR="00CE239D" w:rsidRPr="005E3B43" w:rsidRDefault="00CE239D" w:rsidP="00763BCF">
      <w:pPr>
        <w:pStyle w:val="paragraph"/>
      </w:pPr>
      <w:r w:rsidRPr="005E3B43">
        <w:lastRenderedPageBreak/>
        <w:tab/>
        <w:t>(b)</w:t>
      </w:r>
      <w:r w:rsidRPr="005E3B43">
        <w:tab/>
      </w:r>
      <w:r w:rsidR="00842CCD" w:rsidRPr="005E3B43">
        <w:t>paragraph 3</w:t>
      </w:r>
      <w:r w:rsidRPr="005E3B43">
        <w:t>2CK(1)(d), relating to specified biologicals;</w:t>
      </w:r>
    </w:p>
    <w:p w14:paraId="51E3F2B9" w14:textId="77777777" w:rsidR="00CE239D" w:rsidRPr="005E3B43" w:rsidRDefault="00CE239D" w:rsidP="00763BCF">
      <w:pPr>
        <w:pStyle w:val="paragraph"/>
      </w:pPr>
      <w:r w:rsidRPr="005E3B43">
        <w:tab/>
        <w:t>(c)</w:t>
      </w:r>
      <w:r w:rsidRPr="005E3B43">
        <w:tab/>
        <w:t>paragraph</w:t>
      </w:r>
      <w:r w:rsidR="004E6D00" w:rsidRPr="005E3B43">
        <w:t> </w:t>
      </w:r>
      <w:r w:rsidRPr="005E3B43">
        <w:t>41HB(1)(d), relating to a specified medical device or a kind of medical device.</w:t>
      </w:r>
    </w:p>
    <w:p w14:paraId="30E38D3B" w14:textId="77777777" w:rsidR="00207B1C" w:rsidRPr="005E3B43" w:rsidRDefault="00207B1C" w:rsidP="00763BCF">
      <w:pPr>
        <w:pStyle w:val="subsection"/>
      </w:pPr>
      <w:r w:rsidRPr="005E3B43">
        <w:tab/>
        <w:t>(2)</w:t>
      </w:r>
      <w:r w:rsidRPr="005E3B43">
        <w:tab/>
        <w:t>A delegation may only be to a person who:</w:t>
      </w:r>
    </w:p>
    <w:p w14:paraId="24ADEB19" w14:textId="77777777" w:rsidR="00207B1C" w:rsidRPr="005E3B43" w:rsidRDefault="00207B1C" w:rsidP="00763BCF">
      <w:pPr>
        <w:pStyle w:val="paragraph"/>
      </w:pPr>
      <w:r w:rsidRPr="005E3B43">
        <w:tab/>
        <w:t>(a)</w:t>
      </w:r>
      <w:r w:rsidRPr="005E3B43">
        <w:tab/>
        <w:t>is a medical practitioner employed by an institution that has an ethics committee; and</w:t>
      </w:r>
    </w:p>
    <w:p w14:paraId="3F20EFAE" w14:textId="77777777" w:rsidR="00207B1C" w:rsidRPr="005E3B43" w:rsidRDefault="00207B1C" w:rsidP="00763BCF">
      <w:pPr>
        <w:pStyle w:val="paragraph"/>
      </w:pPr>
      <w:r w:rsidRPr="005E3B43">
        <w:tab/>
        <w:t>(b)</w:t>
      </w:r>
      <w:r w:rsidRPr="005E3B43">
        <w:tab/>
        <w:t>subject to subregulation</w:t>
      </w:r>
      <w:r w:rsidR="002B4943" w:rsidRPr="005E3B43">
        <w:t> </w:t>
      </w:r>
      <w:r w:rsidRPr="005E3B43">
        <w:t>(3), is proposed by the medical superintendent or, if there is no medical superintendent, the person occupying a position comparable to that of medical superintendent, of the institution, as a person to be a delegate under subsection</w:t>
      </w:r>
      <w:r w:rsidR="004E6D00" w:rsidRPr="005E3B43">
        <w:t> </w:t>
      </w:r>
      <w:r w:rsidRPr="005E3B43">
        <w:t>57(3) of the Act.</w:t>
      </w:r>
    </w:p>
    <w:p w14:paraId="6D97B8A1" w14:textId="77777777" w:rsidR="00207B1C" w:rsidRPr="005E3B43" w:rsidRDefault="00207B1C" w:rsidP="00763BCF">
      <w:pPr>
        <w:pStyle w:val="subsection"/>
      </w:pPr>
      <w:r w:rsidRPr="005E3B43">
        <w:tab/>
        <w:t>(3)</w:t>
      </w:r>
      <w:r w:rsidRPr="005E3B43">
        <w:tab/>
        <w:t>If:</w:t>
      </w:r>
    </w:p>
    <w:p w14:paraId="7092F132" w14:textId="77777777" w:rsidR="00207B1C" w:rsidRPr="005E3B43" w:rsidRDefault="00207B1C" w:rsidP="00763BCF">
      <w:pPr>
        <w:pStyle w:val="paragraph"/>
      </w:pPr>
      <w:r w:rsidRPr="005E3B43">
        <w:tab/>
        <w:t>(a)</w:t>
      </w:r>
      <w:r w:rsidRPr="005E3B43">
        <w:tab/>
        <w:t xml:space="preserve">a person proposes another person under </w:t>
      </w:r>
      <w:r w:rsidR="004E6D00" w:rsidRPr="005E3B43">
        <w:t>paragraph (</w:t>
      </w:r>
      <w:r w:rsidRPr="005E3B43">
        <w:t>2)(b) as a person to be a delegate; and</w:t>
      </w:r>
    </w:p>
    <w:p w14:paraId="503BFCFB" w14:textId="77777777" w:rsidR="00207B1C" w:rsidRPr="005E3B43" w:rsidRDefault="00207B1C" w:rsidP="00763BCF">
      <w:pPr>
        <w:pStyle w:val="paragraph"/>
      </w:pPr>
      <w:r w:rsidRPr="005E3B43">
        <w:tab/>
        <w:t>(b)</w:t>
      </w:r>
      <w:r w:rsidRPr="005E3B43">
        <w:tab/>
        <w:t>that other person becomes a delegate;</w:t>
      </w:r>
    </w:p>
    <w:p w14:paraId="2864FFBA" w14:textId="269DA547" w:rsidR="00207B1C" w:rsidRPr="005E3B43" w:rsidRDefault="00207B1C" w:rsidP="00763BCF">
      <w:pPr>
        <w:pStyle w:val="subsection2"/>
      </w:pPr>
      <w:r w:rsidRPr="005E3B43">
        <w:t>the first</w:t>
      </w:r>
      <w:r w:rsidR="007C3215">
        <w:noBreakHyphen/>
      </w:r>
      <w:r w:rsidRPr="005E3B43">
        <w:t>mentioned person must supervise each approval that the delegate grants under the delegation.</w:t>
      </w:r>
    </w:p>
    <w:p w14:paraId="45B3548B" w14:textId="77777777" w:rsidR="00207B1C" w:rsidRPr="005E3B43" w:rsidRDefault="00207B1C" w:rsidP="00763BCF">
      <w:pPr>
        <w:pStyle w:val="subsection"/>
      </w:pPr>
      <w:r w:rsidRPr="005E3B43">
        <w:tab/>
        <w:t>(4)</w:t>
      </w:r>
      <w:r w:rsidRPr="005E3B43">
        <w:tab/>
        <w:t xml:space="preserve">A delegation must describe the person or class of persons to be treated with the therapeutic </w:t>
      </w:r>
      <w:r w:rsidR="00CE239D" w:rsidRPr="005E3B43">
        <w:t>goods, biologicals or devices</w:t>
      </w:r>
      <w:r w:rsidRPr="005E3B43">
        <w:t xml:space="preserve"> to which the delegation relates.</w:t>
      </w:r>
    </w:p>
    <w:p w14:paraId="0BBF2766" w14:textId="77777777" w:rsidR="00207B1C" w:rsidRPr="005E3B43" w:rsidRDefault="00207B1C" w:rsidP="00763BCF">
      <w:pPr>
        <w:pStyle w:val="subsection"/>
      </w:pPr>
      <w:r w:rsidRPr="005E3B43">
        <w:tab/>
        <w:t>(5)</w:t>
      </w:r>
      <w:r w:rsidRPr="005E3B43">
        <w:tab/>
        <w:t>A delegation may be made for the purpose of allowing the delegate to grant an approval in relation to:</w:t>
      </w:r>
    </w:p>
    <w:p w14:paraId="3F5731CC" w14:textId="77777777" w:rsidR="00207B1C" w:rsidRPr="005E3B43" w:rsidRDefault="00207B1C" w:rsidP="00763BCF">
      <w:pPr>
        <w:pStyle w:val="paragraph"/>
      </w:pPr>
      <w:r w:rsidRPr="005E3B43">
        <w:tab/>
        <w:t>(a)</w:t>
      </w:r>
      <w:r w:rsidRPr="005E3B43">
        <w:tab/>
        <w:t>a particular item of therapeutic goods; or</w:t>
      </w:r>
    </w:p>
    <w:p w14:paraId="0F1E2C5D" w14:textId="77777777" w:rsidR="00207B1C" w:rsidRPr="005E3B43" w:rsidRDefault="00207B1C" w:rsidP="00763BCF">
      <w:pPr>
        <w:pStyle w:val="paragraph"/>
      </w:pPr>
      <w:r w:rsidRPr="005E3B43">
        <w:tab/>
        <w:t>(b)</w:t>
      </w:r>
      <w:r w:rsidRPr="005E3B43">
        <w:tab/>
        <w:t>a particular class of therapeutic goods;</w:t>
      </w:r>
      <w:r w:rsidR="00CE239D" w:rsidRPr="005E3B43">
        <w:t xml:space="preserve"> or</w:t>
      </w:r>
    </w:p>
    <w:p w14:paraId="1398A9AE" w14:textId="77777777" w:rsidR="00CE239D" w:rsidRPr="005E3B43" w:rsidRDefault="00CE239D" w:rsidP="00763BCF">
      <w:pPr>
        <w:pStyle w:val="paragraph"/>
      </w:pPr>
      <w:r w:rsidRPr="005E3B43">
        <w:tab/>
        <w:t>(c)</w:t>
      </w:r>
      <w:r w:rsidRPr="005E3B43">
        <w:tab/>
        <w:t>a particular biological; or</w:t>
      </w:r>
    </w:p>
    <w:p w14:paraId="62B22D09" w14:textId="77777777" w:rsidR="00CE239D" w:rsidRPr="005E3B43" w:rsidRDefault="00CE239D" w:rsidP="00763BCF">
      <w:pPr>
        <w:pStyle w:val="paragraph"/>
      </w:pPr>
      <w:r w:rsidRPr="005E3B43">
        <w:tab/>
        <w:t>(d)</w:t>
      </w:r>
      <w:r w:rsidRPr="005E3B43">
        <w:tab/>
        <w:t>a particular class of biologicals; or</w:t>
      </w:r>
    </w:p>
    <w:p w14:paraId="68768E48" w14:textId="77777777" w:rsidR="00CE239D" w:rsidRPr="005E3B43" w:rsidRDefault="00CE239D" w:rsidP="00763BCF">
      <w:pPr>
        <w:pStyle w:val="paragraph"/>
      </w:pPr>
      <w:r w:rsidRPr="005E3B43">
        <w:tab/>
        <w:t>(e)</w:t>
      </w:r>
      <w:r w:rsidRPr="005E3B43">
        <w:tab/>
        <w:t>a particular medical device; or</w:t>
      </w:r>
    </w:p>
    <w:p w14:paraId="273D3C18" w14:textId="77777777" w:rsidR="00CE239D" w:rsidRPr="005E3B43" w:rsidRDefault="00CE239D" w:rsidP="00763BCF">
      <w:pPr>
        <w:pStyle w:val="paragraph"/>
      </w:pPr>
      <w:r w:rsidRPr="005E3B43">
        <w:tab/>
        <w:t>(f)</w:t>
      </w:r>
      <w:r w:rsidRPr="005E3B43">
        <w:tab/>
        <w:t>a particular kind of medical device;</w:t>
      </w:r>
    </w:p>
    <w:p w14:paraId="733739AF" w14:textId="77777777" w:rsidR="003B53DA" w:rsidRPr="005E3B43" w:rsidRDefault="003B53DA" w:rsidP="00763BCF">
      <w:pPr>
        <w:pStyle w:val="subsection2"/>
      </w:pPr>
      <w:r w:rsidRPr="005E3B43">
        <w:t>for treating a specific illness or condition.</w:t>
      </w:r>
    </w:p>
    <w:p w14:paraId="28ACEE07" w14:textId="77777777" w:rsidR="00207B1C" w:rsidRPr="005E3B43" w:rsidRDefault="00207B1C" w:rsidP="00763BCF">
      <w:pPr>
        <w:pStyle w:val="subsection"/>
      </w:pPr>
      <w:r w:rsidRPr="005E3B43">
        <w:tab/>
        <w:t>(6)</w:t>
      </w:r>
      <w:r w:rsidRPr="005E3B43">
        <w:tab/>
        <w:t>A delegate may grant an approval under a delegation only if:</w:t>
      </w:r>
    </w:p>
    <w:p w14:paraId="0D345B56" w14:textId="77777777" w:rsidR="00CE239D" w:rsidRPr="005E3B43" w:rsidRDefault="00CE239D" w:rsidP="00763BCF">
      <w:pPr>
        <w:pStyle w:val="paragraph"/>
      </w:pPr>
      <w:r w:rsidRPr="005E3B43">
        <w:tab/>
        <w:t>(a)</w:t>
      </w:r>
      <w:r w:rsidRPr="005E3B43">
        <w:tab/>
        <w:t>a medical practitioner, other than the delegate, has stated in writing that the person to be treated with the biological, a kind of medical device or other therapeutic goods to which the approval relates has an illness or condition that requires treatment with the biological, medical device or other therapeutic goods; and</w:t>
      </w:r>
    </w:p>
    <w:p w14:paraId="2CA0AF16" w14:textId="77777777" w:rsidR="00CE239D" w:rsidRPr="005E3B43" w:rsidRDefault="00CE239D" w:rsidP="00763BCF">
      <w:pPr>
        <w:pStyle w:val="paragraph"/>
      </w:pPr>
      <w:r w:rsidRPr="005E3B43">
        <w:tab/>
        <w:t>(b)</w:t>
      </w:r>
      <w:r w:rsidRPr="005E3B43">
        <w:tab/>
        <w:t>an ethics committee has agreed to the granting of approval under paragraph</w:t>
      </w:r>
      <w:r w:rsidR="004E6D00" w:rsidRPr="005E3B43">
        <w:t> </w:t>
      </w:r>
      <w:r w:rsidRPr="005E3B43">
        <w:t>19(1)(a), 32CK(1)(d) or 41HB(1)(d) of the Act for the use, in the circumstances in which the delegate grants the approval, of the biological, kind of medical device or other therapeutic goods to which the delegation relates.</w:t>
      </w:r>
    </w:p>
    <w:p w14:paraId="2B69A55A" w14:textId="77777777" w:rsidR="00CE239D" w:rsidRPr="005E3B43" w:rsidRDefault="00CE239D" w:rsidP="00763BCF">
      <w:pPr>
        <w:pStyle w:val="ActHead5"/>
      </w:pPr>
      <w:bookmarkStart w:id="298" w:name="_Toc187135892"/>
      <w:r w:rsidRPr="005E3B43">
        <w:rPr>
          <w:rStyle w:val="CharSectno"/>
        </w:rPr>
        <w:t>47B</w:t>
      </w:r>
      <w:r w:rsidR="00E20BA4" w:rsidRPr="005E3B43">
        <w:t xml:space="preserve">  </w:t>
      </w:r>
      <w:r w:rsidRPr="005E3B43">
        <w:t>Provision of information concerning medicines, biologicals and medical devices</w:t>
      </w:r>
      <w:bookmarkEnd w:id="298"/>
    </w:p>
    <w:p w14:paraId="0EF936AE" w14:textId="77777777" w:rsidR="00207B1C" w:rsidRPr="005E3B43" w:rsidRDefault="00207B1C" w:rsidP="00763BCF">
      <w:pPr>
        <w:pStyle w:val="subsection"/>
      </w:pPr>
      <w:r w:rsidRPr="005E3B43">
        <w:tab/>
        <w:t>(1)</w:t>
      </w:r>
      <w:r w:rsidRPr="005E3B43">
        <w:tab/>
        <w:t>The following persons must provide a report to the Secretary every 6 months:</w:t>
      </w:r>
    </w:p>
    <w:p w14:paraId="09B3618B" w14:textId="77777777" w:rsidR="00207B1C" w:rsidRPr="005E3B43" w:rsidRDefault="00207B1C" w:rsidP="00763BCF">
      <w:pPr>
        <w:pStyle w:val="paragraph"/>
      </w:pPr>
      <w:r w:rsidRPr="005E3B43">
        <w:lastRenderedPageBreak/>
        <w:tab/>
        <w:t>(a)</w:t>
      </w:r>
      <w:r w:rsidRPr="005E3B43">
        <w:tab/>
        <w:t>a delegate under subsection</w:t>
      </w:r>
      <w:r w:rsidR="004E6D00" w:rsidRPr="005E3B43">
        <w:t> </w:t>
      </w:r>
      <w:r w:rsidRPr="005E3B43">
        <w:t>57(3) of the Act;</w:t>
      </w:r>
    </w:p>
    <w:p w14:paraId="41B1CB0B" w14:textId="1DD1C38E" w:rsidR="00CE239D" w:rsidRPr="005E3B43" w:rsidRDefault="00CE239D" w:rsidP="00763BCF">
      <w:pPr>
        <w:pStyle w:val="paragraph"/>
      </w:pPr>
      <w:r w:rsidRPr="005E3B43">
        <w:tab/>
        <w:t>(b)</w:t>
      </w:r>
      <w:r w:rsidRPr="005E3B43">
        <w:tab/>
        <w:t>a person authorised under sub</w:t>
      </w:r>
      <w:r w:rsidR="007C3215">
        <w:t>section 1</w:t>
      </w:r>
      <w:r w:rsidRPr="005E3B43">
        <w:t>9(5), 32CM(1) or 41HC(1) of the Act to supply a medicine, biological or medical device;</w:t>
      </w:r>
    </w:p>
    <w:p w14:paraId="5CC72BA7" w14:textId="77777777" w:rsidR="00254B44" w:rsidRPr="005E3B43" w:rsidRDefault="00254B44" w:rsidP="00763BCF">
      <w:pPr>
        <w:pStyle w:val="paragraph"/>
      </w:pPr>
      <w:r w:rsidRPr="005E3B43">
        <w:tab/>
        <w:t>(c)</w:t>
      </w:r>
      <w:r w:rsidRPr="005E3B43">
        <w:tab/>
      </w:r>
      <w:r w:rsidR="00102755" w:rsidRPr="005E3B43">
        <w:t>a sponsor of therapeutic goods in relation to which</w:t>
      </w:r>
      <w:r w:rsidRPr="005E3B43">
        <w:t xml:space="preserve"> any of the following applies:</w:t>
      </w:r>
    </w:p>
    <w:p w14:paraId="5FE28A85" w14:textId="496E9227" w:rsidR="00254B44" w:rsidRPr="005E3B43" w:rsidRDefault="00254B44" w:rsidP="00763BCF">
      <w:pPr>
        <w:pStyle w:val="paragraphsub"/>
      </w:pPr>
      <w:r w:rsidRPr="005E3B43">
        <w:tab/>
        <w:t>(i)</w:t>
      </w:r>
      <w:r w:rsidRPr="005E3B43">
        <w:tab/>
        <w:t xml:space="preserve">an exemption under </w:t>
      </w:r>
      <w:r w:rsidR="007C3215">
        <w:t>section 1</w:t>
      </w:r>
      <w:r w:rsidRPr="005E3B43">
        <w:t>8, 32CA or 41HA of the Act;</w:t>
      </w:r>
    </w:p>
    <w:p w14:paraId="10E8FCE4" w14:textId="6CFB801F" w:rsidR="00254B44" w:rsidRPr="005E3B43" w:rsidRDefault="00254B44" w:rsidP="00763BCF">
      <w:pPr>
        <w:pStyle w:val="paragraphsub"/>
      </w:pPr>
      <w:r w:rsidRPr="005E3B43">
        <w:tab/>
        <w:t>(ii)</w:t>
      </w:r>
      <w:r w:rsidRPr="005E3B43">
        <w:tab/>
        <w:t xml:space="preserve">an approval under </w:t>
      </w:r>
      <w:r w:rsidR="007C3215">
        <w:t>section 1</w:t>
      </w:r>
      <w:r w:rsidRPr="005E3B43">
        <w:t>9, 32CK or 41HB of the Act;</w:t>
      </w:r>
    </w:p>
    <w:p w14:paraId="553A71DF" w14:textId="4E30D5A6" w:rsidR="00254B44" w:rsidRPr="005E3B43" w:rsidRDefault="00254B44" w:rsidP="00763BCF">
      <w:pPr>
        <w:pStyle w:val="paragraphsub"/>
      </w:pPr>
      <w:r w:rsidRPr="005E3B43">
        <w:tab/>
        <w:t>(iii)</w:t>
      </w:r>
      <w:r w:rsidRPr="005E3B43">
        <w:tab/>
        <w:t xml:space="preserve">an authority under </w:t>
      </w:r>
      <w:r w:rsidR="007C3215">
        <w:t>section 1</w:t>
      </w:r>
      <w:r w:rsidRPr="005E3B43">
        <w:t>9, 32CM or 41HC of the Act.</w:t>
      </w:r>
    </w:p>
    <w:p w14:paraId="3E2F56F2" w14:textId="77777777" w:rsidR="00207B1C" w:rsidRPr="005E3B43" w:rsidRDefault="00207B1C" w:rsidP="00763BCF">
      <w:pPr>
        <w:pStyle w:val="subsection"/>
      </w:pPr>
      <w:r w:rsidRPr="005E3B43">
        <w:tab/>
        <w:t>(2)</w:t>
      </w:r>
      <w:r w:rsidRPr="005E3B43">
        <w:tab/>
        <w:t>The report must be in a form approved by the Secretary.</w:t>
      </w:r>
    </w:p>
    <w:p w14:paraId="39276113" w14:textId="77777777" w:rsidR="00207B1C" w:rsidRPr="005E3B43" w:rsidRDefault="00207B1C" w:rsidP="00763BCF">
      <w:pPr>
        <w:pStyle w:val="subsection"/>
      </w:pPr>
      <w:r w:rsidRPr="005E3B43">
        <w:tab/>
        <w:t>(3)</w:t>
      </w:r>
      <w:r w:rsidRPr="005E3B43">
        <w:tab/>
        <w:t xml:space="preserve">A report by a person mentioned in </w:t>
      </w:r>
      <w:r w:rsidR="004E6D00" w:rsidRPr="005E3B43">
        <w:t>paragraph (</w:t>
      </w:r>
      <w:r w:rsidRPr="005E3B43">
        <w:t>1)(a) must:</w:t>
      </w:r>
    </w:p>
    <w:p w14:paraId="36C3E39B" w14:textId="77777777" w:rsidR="00207B1C" w:rsidRPr="005E3B43" w:rsidRDefault="00207B1C" w:rsidP="00763BCF">
      <w:pPr>
        <w:pStyle w:val="paragraph"/>
      </w:pPr>
      <w:r w:rsidRPr="005E3B43">
        <w:tab/>
        <w:t>(a)</w:t>
      </w:r>
      <w:r w:rsidRPr="005E3B43">
        <w:tab/>
        <w:t xml:space="preserve">list each </w:t>
      </w:r>
      <w:r w:rsidR="00CE239D" w:rsidRPr="005E3B43">
        <w:t>biological, kind of medical device and other item of therapeutic goods</w:t>
      </w:r>
      <w:r w:rsidRPr="005E3B43">
        <w:t xml:space="preserve"> approved by the person during the period to which the report relates; and</w:t>
      </w:r>
    </w:p>
    <w:p w14:paraId="13FF72A6" w14:textId="77777777" w:rsidR="00207B1C" w:rsidRPr="005E3B43" w:rsidRDefault="00207B1C" w:rsidP="00763BCF">
      <w:pPr>
        <w:pStyle w:val="paragraph"/>
      </w:pPr>
      <w:r w:rsidRPr="005E3B43">
        <w:tab/>
        <w:t>(b)</w:t>
      </w:r>
      <w:r w:rsidRPr="005E3B43">
        <w:tab/>
        <w:t>state the number of new approvals, and the number of repeat approvals, of</w:t>
      </w:r>
      <w:r w:rsidR="00CE239D" w:rsidRPr="005E3B43">
        <w:t xml:space="preserve"> medicines, biologicals</w:t>
      </w:r>
      <w:r w:rsidRPr="005E3B43">
        <w:t xml:space="preserve"> and medical devices that the person gave during that period.</w:t>
      </w:r>
    </w:p>
    <w:p w14:paraId="49DE0CC4" w14:textId="77777777" w:rsidR="00207B1C" w:rsidRPr="005E3B43" w:rsidRDefault="00207B1C" w:rsidP="00763BCF">
      <w:pPr>
        <w:pStyle w:val="subsection"/>
      </w:pPr>
      <w:r w:rsidRPr="005E3B43">
        <w:tab/>
        <w:t>(4)</w:t>
      </w:r>
      <w:r w:rsidRPr="005E3B43">
        <w:tab/>
        <w:t xml:space="preserve">A report by a person mentioned in </w:t>
      </w:r>
      <w:r w:rsidR="004E6D00" w:rsidRPr="005E3B43">
        <w:t>paragraph (</w:t>
      </w:r>
      <w:r w:rsidRPr="005E3B43">
        <w:t xml:space="preserve">1)(b) must list each </w:t>
      </w:r>
      <w:r w:rsidR="00CE239D" w:rsidRPr="005E3B43">
        <w:t xml:space="preserve">biological, kind of medical device and other item of therapeutic goods </w:t>
      </w:r>
      <w:r w:rsidRPr="005E3B43">
        <w:t>supplied by the person during the period to which the report relates.</w:t>
      </w:r>
    </w:p>
    <w:p w14:paraId="669C9976" w14:textId="77777777" w:rsidR="00207B1C" w:rsidRPr="005E3B43" w:rsidRDefault="00207B1C" w:rsidP="00763BCF">
      <w:pPr>
        <w:pStyle w:val="subsection"/>
      </w:pPr>
      <w:r w:rsidRPr="005E3B43">
        <w:tab/>
        <w:t>(5)</w:t>
      </w:r>
      <w:r w:rsidRPr="005E3B43">
        <w:tab/>
        <w:t>A report by a sponsor of therapeutic goods must:</w:t>
      </w:r>
    </w:p>
    <w:p w14:paraId="20B8310A" w14:textId="77777777" w:rsidR="00207B1C" w:rsidRPr="005E3B43" w:rsidRDefault="00207B1C" w:rsidP="00763BCF">
      <w:pPr>
        <w:pStyle w:val="paragraph"/>
      </w:pPr>
      <w:r w:rsidRPr="005E3B43">
        <w:tab/>
        <w:t>(a)</w:t>
      </w:r>
      <w:r w:rsidRPr="005E3B43">
        <w:tab/>
        <w:t>list each kind of therapeutic goods supplied by the sponsor during the period to which the report relates; and</w:t>
      </w:r>
    </w:p>
    <w:p w14:paraId="553E190F" w14:textId="77777777" w:rsidR="00207B1C" w:rsidRPr="005E3B43" w:rsidRDefault="00207B1C" w:rsidP="00763BCF">
      <w:pPr>
        <w:pStyle w:val="paragraph"/>
      </w:pPr>
      <w:r w:rsidRPr="005E3B43">
        <w:tab/>
        <w:t>(b)</w:t>
      </w:r>
      <w:r w:rsidRPr="005E3B43">
        <w:tab/>
        <w:t xml:space="preserve">state the number of times therapeutic goods have been supplied to </w:t>
      </w:r>
      <w:r w:rsidR="00102755" w:rsidRPr="005E3B43">
        <w:t>health</w:t>
      </w:r>
      <w:r w:rsidRPr="005E3B43">
        <w:t xml:space="preserve"> practitioners, and the quantity supplied:</w:t>
      </w:r>
    </w:p>
    <w:p w14:paraId="4A5438C7" w14:textId="6F56FC76" w:rsidR="00CE239D" w:rsidRPr="005E3B43" w:rsidRDefault="00CE239D" w:rsidP="00763BCF">
      <w:pPr>
        <w:pStyle w:val="paragraphsub"/>
      </w:pPr>
      <w:r w:rsidRPr="005E3B43">
        <w:tab/>
        <w:t>(i)</w:t>
      </w:r>
      <w:r w:rsidRPr="005E3B43">
        <w:tab/>
        <w:t xml:space="preserve">to which </w:t>
      </w:r>
      <w:r w:rsidR="007C3215">
        <w:t>section 1</w:t>
      </w:r>
      <w:r w:rsidRPr="005E3B43">
        <w:t xml:space="preserve">8, </w:t>
      </w:r>
      <w:r w:rsidR="00842CCD" w:rsidRPr="005E3B43">
        <w:t>subsection 3</w:t>
      </w:r>
      <w:r w:rsidRPr="005E3B43">
        <w:t>2CA(2) or section</w:t>
      </w:r>
      <w:r w:rsidR="004E6D00" w:rsidRPr="005E3B43">
        <w:t> </w:t>
      </w:r>
      <w:r w:rsidRPr="005E3B43">
        <w:t>41HA of the Act applies; and</w:t>
      </w:r>
    </w:p>
    <w:p w14:paraId="1C130C74" w14:textId="77777777" w:rsidR="00CE239D" w:rsidRPr="005E3B43" w:rsidRDefault="00CE239D" w:rsidP="00763BCF">
      <w:pPr>
        <w:pStyle w:val="paragraphsub"/>
      </w:pPr>
      <w:r w:rsidRPr="005E3B43">
        <w:tab/>
        <w:t>(ii)</w:t>
      </w:r>
      <w:r w:rsidRPr="005E3B43">
        <w:tab/>
        <w:t>to which paragraph</w:t>
      </w:r>
      <w:r w:rsidR="004E6D00" w:rsidRPr="005E3B43">
        <w:t> </w:t>
      </w:r>
      <w:r w:rsidRPr="005E3B43">
        <w:t>19(1)(a), 32CK(1)(d) or</w:t>
      </w:r>
      <w:r w:rsidR="0005442E" w:rsidRPr="005E3B43">
        <w:t xml:space="preserve"> </w:t>
      </w:r>
      <w:r w:rsidRPr="005E3B43">
        <w:t>41HB(1)(d) of the Act applies; and</w:t>
      </w:r>
    </w:p>
    <w:p w14:paraId="21D16FAC" w14:textId="77777777" w:rsidR="00CE239D" w:rsidRPr="005E3B43" w:rsidRDefault="00CE239D" w:rsidP="00763BCF">
      <w:pPr>
        <w:pStyle w:val="paragraphsub"/>
      </w:pPr>
      <w:r w:rsidRPr="005E3B43">
        <w:tab/>
        <w:t>(iii)</w:t>
      </w:r>
      <w:r w:rsidRPr="005E3B43">
        <w:tab/>
        <w:t>to which paragraph</w:t>
      </w:r>
      <w:r w:rsidR="004E6D00" w:rsidRPr="005E3B43">
        <w:t> </w:t>
      </w:r>
      <w:r w:rsidRPr="005E3B43">
        <w:t>19(1)(b), 32CK(1)(e) or</w:t>
      </w:r>
      <w:r w:rsidR="0005442E" w:rsidRPr="005E3B43">
        <w:t xml:space="preserve"> </w:t>
      </w:r>
      <w:r w:rsidRPr="005E3B43">
        <w:t>41HB(1)(e) of the Act applies; and</w:t>
      </w:r>
    </w:p>
    <w:p w14:paraId="7AB5CF6E" w14:textId="2A789402" w:rsidR="00CE239D" w:rsidRPr="005E3B43" w:rsidRDefault="00CE239D" w:rsidP="00763BCF">
      <w:pPr>
        <w:pStyle w:val="paragraphsub"/>
      </w:pPr>
      <w:r w:rsidRPr="005E3B43">
        <w:tab/>
        <w:t>(iv)</w:t>
      </w:r>
      <w:r w:rsidRPr="005E3B43">
        <w:tab/>
        <w:t>to which sub</w:t>
      </w:r>
      <w:r w:rsidR="007C3215">
        <w:t>section 1</w:t>
      </w:r>
      <w:r w:rsidRPr="005E3B43">
        <w:t>9(5), 32CM(1) or 41HC(1) of</w:t>
      </w:r>
      <w:r w:rsidR="0005442E" w:rsidRPr="005E3B43">
        <w:t xml:space="preserve"> </w:t>
      </w:r>
      <w:r w:rsidRPr="005E3B43">
        <w:t>the Act applies</w:t>
      </w:r>
      <w:r w:rsidR="00102755" w:rsidRPr="005E3B43">
        <w:t>; and</w:t>
      </w:r>
    </w:p>
    <w:p w14:paraId="2BE3A6C6" w14:textId="2BDC9597" w:rsidR="00102755" w:rsidRPr="005E3B43" w:rsidRDefault="00102755" w:rsidP="00763BCF">
      <w:pPr>
        <w:pStyle w:val="paragraphsub"/>
      </w:pPr>
      <w:r w:rsidRPr="005E3B43">
        <w:tab/>
        <w:t>(v)</w:t>
      </w:r>
      <w:r w:rsidRPr="005E3B43">
        <w:tab/>
        <w:t>to which rules made under sub</w:t>
      </w:r>
      <w:r w:rsidR="007C3215">
        <w:t>section 1</w:t>
      </w:r>
      <w:r w:rsidRPr="005E3B43">
        <w:t>9(7A), 32CM(7A) or 41HC(6) of the Act apply.</w:t>
      </w:r>
    </w:p>
    <w:p w14:paraId="5781BE7D" w14:textId="77777777" w:rsidR="00612E21" w:rsidRPr="005E3B43" w:rsidRDefault="00612E21" w:rsidP="00612E21">
      <w:pPr>
        <w:pStyle w:val="ActHead5"/>
      </w:pPr>
      <w:bookmarkStart w:id="299" w:name="_Toc187135893"/>
      <w:r w:rsidRPr="005E3B43">
        <w:rPr>
          <w:rStyle w:val="CharSectno"/>
        </w:rPr>
        <w:t>47C</w:t>
      </w:r>
      <w:r w:rsidRPr="005E3B43">
        <w:t xml:space="preserve">  Enforceable directions</w:t>
      </w:r>
      <w:bookmarkEnd w:id="299"/>
    </w:p>
    <w:p w14:paraId="2775A2F8" w14:textId="77777777" w:rsidR="00612E21" w:rsidRPr="005E3B43" w:rsidRDefault="00612E21" w:rsidP="00612E21">
      <w:pPr>
        <w:pStyle w:val="subsection"/>
      </w:pPr>
      <w:r w:rsidRPr="005E3B43">
        <w:tab/>
      </w:r>
      <w:r w:rsidRPr="005E3B43">
        <w:tab/>
        <w:t>For the purposes of paragraph 42YT(2)(e) of the Act, the following things are prescribed:</w:t>
      </w:r>
    </w:p>
    <w:p w14:paraId="66F9CA99" w14:textId="77777777" w:rsidR="00612E21" w:rsidRPr="005E3B43" w:rsidRDefault="00612E21" w:rsidP="00612E21">
      <w:pPr>
        <w:pStyle w:val="paragraph"/>
      </w:pPr>
      <w:r w:rsidRPr="005E3B43">
        <w:tab/>
        <w:t>(a)</w:t>
      </w:r>
      <w:r w:rsidRPr="005E3B43">
        <w:tab/>
        <w:t>quarantine the goods;</w:t>
      </w:r>
    </w:p>
    <w:p w14:paraId="17DE4CDD" w14:textId="77777777" w:rsidR="00612E21" w:rsidRPr="005E3B43" w:rsidRDefault="00612E21" w:rsidP="00612E21">
      <w:pPr>
        <w:pStyle w:val="paragraph"/>
      </w:pPr>
      <w:r w:rsidRPr="005E3B43">
        <w:tab/>
        <w:t>(b)</w:t>
      </w:r>
      <w:r w:rsidRPr="005E3B43">
        <w:tab/>
        <w:t>store the goods in a secure manner;</w:t>
      </w:r>
    </w:p>
    <w:p w14:paraId="463788BC" w14:textId="77777777" w:rsidR="00612E21" w:rsidRPr="005E3B43" w:rsidRDefault="00612E21" w:rsidP="00612E21">
      <w:pPr>
        <w:pStyle w:val="paragraph"/>
      </w:pPr>
      <w:r w:rsidRPr="005E3B43">
        <w:tab/>
        <w:t>(c)</w:t>
      </w:r>
      <w:r w:rsidRPr="005E3B43">
        <w:tab/>
        <w:t>not supply the goods.</w:t>
      </w:r>
    </w:p>
    <w:p w14:paraId="5B8574F4" w14:textId="77777777" w:rsidR="00207B1C" w:rsidRPr="005E3B43" w:rsidRDefault="00207B1C" w:rsidP="00763BCF">
      <w:pPr>
        <w:pStyle w:val="ActHead5"/>
      </w:pPr>
      <w:bookmarkStart w:id="300" w:name="_Toc187135894"/>
      <w:r w:rsidRPr="005E3B43">
        <w:rPr>
          <w:rStyle w:val="CharSectno"/>
        </w:rPr>
        <w:lastRenderedPageBreak/>
        <w:t>48</w:t>
      </w:r>
      <w:r w:rsidR="00E20BA4" w:rsidRPr="005E3B43">
        <w:t xml:space="preserve">  </w:t>
      </w:r>
      <w:r w:rsidRPr="005E3B43">
        <w:t>Review of decisions</w:t>
      </w:r>
      <w:bookmarkEnd w:id="300"/>
    </w:p>
    <w:p w14:paraId="29E49A9F" w14:textId="77777777" w:rsidR="00CD7E18" w:rsidRPr="005E3B43" w:rsidRDefault="00CD7E18" w:rsidP="00763BCF">
      <w:pPr>
        <w:pStyle w:val="SubsectionHead"/>
      </w:pPr>
      <w:r w:rsidRPr="005E3B43">
        <w:t>Definitions</w:t>
      </w:r>
    </w:p>
    <w:p w14:paraId="420C8168" w14:textId="77777777" w:rsidR="00207B1C" w:rsidRPr="005E3B43" w:rsidRDefault="00207B1C" w:rsidP="00763BCF">
      <w:pPr>
        <w:pStyle w:val="subsection"/>
      </w:pPr>
      <w:r w:rsidRPr="005E3B43">
        <w:tab/>
        <w:t>(1)</w:t>
      </w:r>
      <w:r w:rsidRPr="005E3B43">
        <w:tab/>
        <w:t>In this regulation:</w:t>
      </w:r>
    </w:p>
    <w:p w14:paraId="74CD3CBC" w14:textId="77777777" w:rsidR="00207B1C" w:rsidRPr="005E3B43" w:rsidRDefault="00207B1C" w:rsidP="00763BCF">
      <w:pPr>
        <w:pStyle w:val="Definition"/>
      </w:pPr>
      <w:r w:rsidRPr="005E3B43">
        <w:rPr>
          <w:b/>
          <w:i/>
        </w:rPr>
        <w:t xml:space="preserve">decision </w:t>
      </w:r>
      <w:r w:rsidRPr="005E3B43">
        <w:t xml:space="preserve">has the same meaning as in the </w:t>
      </w:r>
      <w:r w:rsidR="000F4B9B" w:rsidRPr="002746DE">
        <w:rPr>
          <w:i/>
        </w:rPr>
        <w:t>Administrative Review Tribunal Act 2024</w:t>
      </w:r>
      <w:r w:rsidRPr="005E3B43">
        <w:t>.</w:t>
      </w:r>
    </w:p>
    <w:p w14:paraId="009FDCDB" w14:textId="77777777" w:rsidR="00CD7E18" w:rsidRPr="005E3B43" w:rsidRDefault="00CD7E18" w:rsidP="00763BCF">
      <w:pPr>
        <w:pStyle w:val="Definition"/>
      </w:pPr>
      <w:r w:rsidRPr="005E3B43">
        <w:rPr>
          <w:b/>
          <w:i/>
        </w:rPr>
        <w:t>eligible person</w:t>
      </w:r>
      <w:r w:rsidRPr="005E3B43">
        <w:t>, in relation to an initial decision specified in column 1 of an item of the following table, means a person specified in column 2 of the item.</w:t>
      </w:r>
    </w:p>
    <w:p w14:paraId="0FE8680C" w14:textId="77777777" w:rsidR="00CD7E18" w:rsidRPr="005E3B43" w:rsidRDefault="00CD7E18" w:rsidP="00763BCF">
      <w:pPr>
        <w:pStyle w:val="Tabletext"/>
      </w:pPr>
    </w:p>
    <w:tbl>
      <w:tblPr>
        <w:tblW w:w="7088" w:type="dxa"/>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255"/>
        <w:gridCol w:w="3119"/>
      </w:tblGrid>
      <w:tr w:rsidR="00CD7E18" w:rsidRPr="005E3B43" w14:paraId="407E5A90" w14:textId="77777777" w:rsidTr="00F02CC0">
        <w:trPr>
          <w:tblHeader/>
        </w:trPr>
        <w:tc>
          <w:tcPr>
            <w:tcW w:w="7088" w:type="dxa"/>
            <w:gridSpan w:val="3"/>
            <w:tcBorders>
              <w:top w:val="single" w:sz="12" w:space="0" w:color="auto"/>
              <w:bottom w:val="single" w:sz="6" w:space="0" w:color="auto"/>
            </w:tcBorders>
            <w:shd w:val="clear" w:color="auto" w:fill="auto"/>
          </w:tcPr>
          <w:p w14:paraId="61EC4776" w14:textId="77777777" w:rsidR="00CD7E18" w:rsidRPr="005E3B43" w:rsidRDefault="00CD7E18" w:rsidP="00763BCF">
            <w:pPr>
              <w:pStyle w:val="TableHeading"/>
            </w:pPr>
            <w:r w:rsidRPr="005E3B43">
              <w:t>Eligible persons in relation to initial decisions</w:t>
            </w:r>
          </w:p>
        </w:tc>
      </w:tr>
      <w:tr w:rsidR="00CD7E18" w:rsidRPr="005E3B43" w14:paraId="77531481" w14:textId="77777777" w:rsidTr="00F02CC0">
        <w:trPr>
          <w:tblHeader/>
        </w:trPr>
        <w:tc>
          <w:tcPr>
            <w:tcW w:w="714" w:type="dxa"/>
            <w:tcBorders>
              <w:top w:val="single" w:sz="6" w:space="0" w:color="auto"/>
              <w:bottom w:val="single" w:sz="12" w:space="0" w:color="auto"/>
            </w:tcBorders>
            <w:shd w:val="clear" w:color="auto" w:fill="auto"/>
          </w:tcPr>
          <w:p w14:paraId="4A651CA1" w14:textId="77777777" w:rsidR="00CD7E18" w:rsidRPr="005E3B43" w:rsidRDefault="00CD7E18" w:rsidP="00763BCF">
            <w:pPr>
              <w:pStyle w:val="TableHeading"/>
            </w:pPr>
            <w:r w:rsidRPr="005E3B43">
              <w:t>Item</w:t>
            </w:r>
          </w:p>
        </w:tc>
        <w:tc>
          <w:tcPr>
            <w:tcW w:w="3255" w:type="dxa"/>
            <w:tcBorders>
              <w:top w:val="single" w:sz="6" w:space="0" w:color="auto"/>
              <w:bottom w:val="single" w:sz="12" w:space="0" w:color="auto"/>
            </w:tcBorders>
            <w:shd w:val="clear" w:color="auto" w:fill="auto"/>
          </w:tcPr>
          <w:p w14:paraId="24082FEC" w14:textId="77777777" w:rsidR="00CD7E18" w:rsidRPr="005E3B43" w:rsidRDefault="00CD7E18" w:rsidP="00763BCF">
            <w:pPr>
              <w:pStyle w:val="TableHeading"/>
            </w:pPr>
            <w:r w:rsidRPr="005E3B43">
              <w:t>Column 1</w:t>
            </w:r>
          </w:p>
          <w:p w14:paraId="692325A2" w14:textId="77777777" w:rsidR="00CD7E18" w:rsidRPr="005E3B43" w:rsidRDefault="00CD7E18" w:rsidP="00763BCF">
            <w:pPr>
              <w:pStyle w:val="TableHeading"/>
            </w:pPr>
            <w:r w:rsidRPr="005E3B43">
              <w:t>Initial decision</w:t>
            </w:r>
          </w:p>
        </w:tc>
        <w:tc>
          <w:tcPr>
            <w:tcW w:w="3119" w:type="dxa"/>
            <w:tcBorders>
              <w:top w:val="single" w:sz="6" w:space="0" w:color="auto"/>
              <w:bottom w:val="single" w:sz="12" w:space="0" w:color="auto"/>
            </w:tcBorders>
            <w:shd w:val="clear" w:color="auto" w:fill="auto"/>
          </w:tcPr>
          <w:p w14:paraId="04679AD6" w14:textId="77777777" w:rsidR="00CD7E18" w:rsidRPr="005E3B43" w:rsidRDefault="00CD7E18" w:rsidP="00763BCF">
            <w:pPr>
              <w:pStyle w:val="TableHeading"/>
            </w:pPr>
            <w:r w:rsidRPr="005E3B43">
              <w:t>Column 2</w:t>
            </w:r>
          </w:p>
          <w:p w14:paraId="15ABB533" w14:textId="77777777" w:rsidR="00CD7E18" w:rsidRPr="005E3B43" w:rsidRDefault="00CD7E18" w:rsidP="00763BCF">
            <w:pPr>
              <w:pStyle w:val="TableHeading"/>
            </w:pPr>
            <w:r w:rsidRPr="005E3B43">
              <w:t>Eligible person</w:t>
            </w:r>
          </w:p>
        </w:tc>
      </w:tr>
      <w:tr w:rsidR="00CD7E18" w:rsidRPr="005E3B43" w14:paraId="01B57929" w14:textId="77777777" w:rsidTr="00F02CC0">
        <w:tc>
          <w:tcPr>
            <w:tcW w:w="714" w:type="dxa"/>
            <w:tcBorders>
              <w:top w:val="single" w:sz="12" w:space="0" w:color="auto"/>
            </w:tcBorders>
            <w:shd w:val="clear" w:color="auto" w:fill="auto"/>
          </w:tcPr>
          <w:p w14:paraId="494694CB" w14:textId="77777777" w:rsidR="00CD7E18" w:rsidRPr="005E3B43" w:rsidRDefault="00CD7E18" w:rsidP="00763BCF">
            <w:pPr>
              <w:pStyle w:val="Tabletext"/>
            </w:pPr>
            <w:r w:rsidRPr="005E3B43">
              <w:t>1</w:t>
            </w:r>
          </w:p>
        </w:tc>
        <w:tc>
          <w:tcPr>
            <w:tcW w:w="3255" w:type="dxa"/>
            <w:tcBorders>
              <w:top w:val="single" w:sz="12" w:space="0" w:color="auto"/>
            </w:tcBorders>
            <w:shd w:val="clear" w:color="auto" w:fill="auto"/>
          </w:tcPr>
          <w:p w14:paraId="33C71A5F" w14:textId="77777777" w:rsidR="00CD7E18" w:rsidRPr="005E3B43" w:rsidRDefault="00CD7E18" w:rsidP="00763BCF">
            <w:pPr>
              <w:pStyle w:val="Tabletext"/>
            </w:pPr>
            <w:r w:rsidRPr="005E3B43">
              <w:t>initial decision not covered by another item of this table</w:t>
            </w:r>
          </w:p>
        </w:tc>
        <w:tc>
          <w:tcPr>
            <w:tcW w:w="3119" w:type="dxa"/>
            <w:tcBorders>
              <w:top w:val="single" w:sz="12" w:space="0" w:color="auto"/>
            </w:tcBorders>
            <w:shd w:val="clear" w:color="auto" w:fill="auto"/>
          </w:tcPr>
          <w:p w14:paraId="784B7431" w14:textId="77777777" w:rsidR="00CD7E18" w:rsidRPr="005E3B43" w:rsidRDefault="00CD7E18" w:rsidP="00763BCF">
            <w:pPr>
              <w:pStyle w:val="Tabletext"/>
            </w:pPr>
            <w:r w:rsidRPr="005E3B43">
              <w:t>a person whose interests are affected by the initial decision</w:t>
            </w:r>
          </w:p>
        </w:tc>
      </w:tr>
      <w:tr w:rsidR="00CD7E18" w:rsidRPr="005E3B43" w14:paraId="2DE1C2FE" w14:textId="77777777" w:rsidTr="00F02CC0">
        <w:tc>
          <w:tcPr>
            <w:tcW w:w="714" w:type="dxa"/>
            <w:shd w:val="clear" w:color="auto" w:fill="auto"/>
          </w:tcPr>
          <w:p w14:paraId="29F5C907" w14:textId="77777777" w:rsidR="00CD7E18" w:rsidRPr="005E3B43" w:rsidRDefault="00CD7E18" w:rsidP="00763BCF">
            <w:pPr>
              <w:pStyle w:val="Tabletext"/>
            </w:pPr>
            <w:r w:rsidRPr="005E3B43">
              <w:t>2</w:t>
            </w:r>
          </w:p>
        </w:tc>
        <w:tc>
          <w:tcPr>
            <w:tcW w:w="3255" w:type="dxa"/>
            <w:shd w:val="clear" w:color="auto" w:fill="auto"/>
          </w:tcPr>
          <w:p w14:paraId="552DCEB0" w14:textId="77777777" w:rsidR="00CD7E18" w:rsidRPr="005E3B43" w:rsidRDefault="00CD7E18" w:rsidP="00763BCF">
            <w:pPr>
              <w:pStyle w:val="Tabletext"/>
            </w:pPr>
            <w:r w:rsidRPr="005E3B43">
              <w:t>decision to refuse to make a therapeutic goods (priority applicant) determination</w:t>
            </w:r>
            <w:r w:rsidR="007F5E99" w:rsidRPr="005E3B43">
              <w:t xml:space="preserve"> or biologicals (priority applicant) determination</w:t>
            </w:r>
          </w:p>
        </w:tc>
        <w:tc>
          <w:tcPr>
            <w:tcW w:w="3119" w:type="dxa"/>
            <w:shd w:val="clear" w:color="auto" w:fill="auto"/>
          </w:tcPr>
          <w:p w14:paraId="595F08CF" w14:textId="77777777" w:rsidR="00CD7E18" w:rsidRPr="005E3B43" w:rsidRDefault="00CD7E18" w:rsidP="00763BCF">
            <w:pPr>
              <w:pStyle w:val="Tabletext"/>
            </w:pPr>
            <w:r w:rsidRPr="005E3B43">
              <w:t>the person who applied for the determination</w:t>
            </w:r>
          </w:p>
        </w:tc>
      </w:tr>
      <w:tr w:rsidR="00CD7E18" w:rsidRPr="005E3B43" w14:paraId="5D0F6616" w14:textId="77777777" w:rsidTr="00F02CC0">
        <w:tc>
          <w:tcPr>
            <w:tcW w:w="714" w:type="dxa"/>
            <w:shd w:val="clear" w:color="auto" w:fill="auto"/>
          </w:tcPr>
          <w:p w14:paraId="4902634A" w14:textId="77777777" w:rsidR="00CD7E18" w:rsidRPr="005E3B43" w:rsidRDefault="00CD7E18" w:rsidP="00C1322D">
            <w:pPr>
              <w:pStyle w:val="Tabletext"/>
              <w:keepNext/>
              <w:keepLines/>
            </w:pPr>
            <w:r w:rsidRPr="005E3B43">
              <w:t>3</w:t>
            </w:r>
          </w:p>
        </w:tc>
        <w:tc>
          <w:tcPr>
            <w:tcW w:w="3255" w:type="dxa"/>
            <w:shd w:val="clear" w:color="auto" w:fill="auto"/>
          </w:tcPr>
          <w:p w14:paraId="7BA7DFA0" w14:textId="77777777" w:rsidR="00CD7E18" w:rsidRPr="005E3B43" w:rsidRDefault="00CD7E18" w:rsidP="00C1322D">
            <w:pPr>
              <w:pStyle w:val="Tabletext"/>
              <w:keepNext/>
              <w:keepLines/>
            </w:pPr>
            <w:r w:rsidRPr="005E3B43">
              <w:t>decision to revoke a therapeutic goods (priority applicant) determination</w:t>
            </w:r>
            <w:r w:rsidR="007F5E99" w:rsidRPr="005E3B43">
              <w:t xml:space="preserve"> or biologicals (priority applicant) determination</w:t>
            </w:r>
          </w:p>
        </w:tc>
        <w:tc>
          <w:tcPr>
            <w:tcW w:w="3119" w:type="dxa"/>
            <w:shd w:val="clear" w:color="auto" w:fill="auto"/>
          </w:tcPr>
          <w:p w14:paraId="723B03D8" w14:textId="77777777" w:rsidR="00CD7E18" w:rsidRPr="005E3B43" w:rsidRDefault="00CD7E18" w:rsidP="00C1322D">
            <w:pPr>
              <w:pStyle w:val="Tabletext"/>
              <w:keepNext/>
              <w:keepLines/>
            </w:pPr>
            <w:r w:rsidRPr="005E3B43">
              <w:t>the priority applicant specified in the determination</w:t>
            </w:r>
          </w:p>
        </w:tc>
      </w:tr>
      <w:tr w:rsidR="00025923" w:rsidRPr="005E3B43" w14:paraId="1E68E793" w14:textId="77777777" w:rsidTr="00F02CC0">
        <w:tc>
          <w:tcPr>
            <w:tcW w:w="714" w:type="dxa"/>
            <w:tcBorders>
              <w:bottom w:val="single" w:sz="2" w:space="0" w:color="auto"/>
            </w:tcBorders>
            <w:shd w:val="clear" w:color="auto" w:fill="auto"/>
          </w:tcPr>
          <w:p w14:paraId="32CC3422" w14:textId="77777777" w:rsidR="00025923" w:rsidRPr="005E3B43" w:rsidRDefault="00025923" w:rsidP="00763BCF">
            <w:pPr>
              <w:pStyle w:val="Tabletext"/>
            </w:pPr>
            <w:r w:rsidRPr="005E3B43">
              <w:t>4</w:t>
            </w:r>
          </w:p>
        </w:tc>
        <w:tc>
          <w:tcPr>
            <w:tcW w:w="3255" w:type="dxa"/>
            <w:tcBorders>
              <w:bottom w:val="single" w:sz="2" w:space="0" w:color="auto"/>
            </w:tcBorders>
            <w:shd w:val="clear" w:color="auto" w:fill="auto"/>
          </w:tcPr>
          <w:p w14:paraId="5EF8C388" w14:textId="77777777" w:rsidR="00025923" w:rsidRPr="005E3B43" w:rsidRDefault="00025923" w:rsidP="00763BCF">
            <w:pPr>
              <w:pStyle w:val="Tabletext"/>
            </w:pPr>
            <w:r w:rsidRPr="005E3B43">
              <w:t>decision under regulation 10JE or 10JF to refuse to approve an application for approval</w:t>
            </w:r>
          </w:p>
        </w:tc>
        <w:tc>
          <w:tcPr>
            <w:tcW w:w="3119" w:type="dxa"/>
            <w:tcBorders>
              <w:bottom w:val="single" w:sz="2" w:space="0" w:color="auto"/>
            </w:tcBorders>
            <w:shd w:val="clear" w:color="auto" w:fill="auto"/>
          </w:tcPr>
          <w:p w14:paraId="087227AE" w14:textId="77777777" w:rsidR="00025923" w:rsidRPr="005E3B43" w:rsidRDefault="00025923" w:rsidP="00763BCF">
            <w:pPr>
              <w:pStyle w:val="Tabletext"/>
            </w:pPr>
            <w:r w:rsidRPr="005E3B43">
              <w:t>the person who applied for the approval</w:t>
            </w:r>
          </w:p>
        </w:tc>
      </w:tr>
      <w:tr w:rsidR="00CD7E18" w:rsidRPr="005E3B43" w14:paraId="3C6DDC92" w14:textId="77777777" w:rsidTr="00835351">
        <w:tc>
          <w:tcPr>
            <w:tcW w:w="714" w:type="dxa"/>
            <w:tcBorders>
              <w:top w:val="single" w:sz="2" w:space="0" w:color="auto"/>
              <w:bottom w:val="single" w:sz="2" w:space="0" w:color="auto"/>
            </w:tcBorders>
            <w:shd w:val="clear" w:color="auto" w:fill="auto"/>
          </w:tcPr>
          <w:p w14:paraId="3988B012" w14:textId="77777777" w:rsidR="00CD7E18" w:rsidRPr="005E3B43" w:rsidRDefault="00CD7E18" w:rsidP="00763BCF">
            <w:pPr>
              <w:pStyle w:val="Tabletext"/>
            </w:pPr>
            <w:r w:rsidRPr="005E3B43">
              <w:t>5</w:t>
            </w:r>
          </w:p>
        </w:tc>
        <w:tc>
          <w:tcPr>
            <w:tcW w:w="3255" w:type="dxa"/>
            <w:tcBorders>
              <w:top w:val="single" w:sz="2" w:space="0" w:color="auto"/>
              <w:bottom w:val="single" w:sz="2" w:space="0" w:color="auto"/>
            </w:tcBorders>
            <w:shd w:val="clear" w:color="auto" w:fill="auto"/>
          </w:tcPr>
          <w:p w14:paraId="4BD768D2" w14:textId="77777777" w:rsidR="00CD7E18" w:rsidRPr="005E3B43" w:rsidRDefault="00CD7E18" w:rsidP="00763BCF">
            <w:pPr>
              <w:pStyle w:val="Tabletext"/>
            </w:pPr>
            <w:r w:rsidRPr="005E3B43">
              <w:t>decision under regulation 10JE or 10JF to revoke or vary an approval of a specified person to import or export mercury</w:t>
            </w:r>
          </w:p>
        </w:tc>
        <w:tc>
          <w:tcPr>
            <w:tcW w:w="3119" w:type="dxa"/>
            <w:tcBorders>
              <w:top w:val="single" w:sz="2" w:space="0" w:color="auto"/>
              <w:bottom w:val="single" w:sz="2" w:space="0" w:color="auto"/>
            </w:tcBorders>
            <w:shd w:val="clear" w:color="auto" w:fill="auto"/>
          </w:tcPr>
          <w:p w14:paraId="21DD28AB" w14:textId="77777777" w:rsidR="00CD7E18" w:rsidRPr="005E3B43" w:rsidRDefault="00CD7E18" w:rsidP="00763BCF">
            <w:pPr>
              <w:pStyle w:val="Tabletext"/>
            </w:pPr>
            <w:r w:rsidRPr="005E3B43">
              <w:t>the person specified in the approval</w:t>
            </w:r>
          </w:p>
        </w:tc>
      </w:tr>
      <w:tr w:rsidR="0040296B" w:rsidRPr="005E3B43" w14:paraId="172A1568" w14:textId="77777777" w:rsidTr="00835351">
        <w:tc>
          <w:tcPr>
            <w:tcW w:w="714" w:type="dxa"/>
            <w:tcBorders>
              <w:top w:val="single" w:sz="2" w:space="0" w:color="auto"/>
              <w:bottom w:val="single" w:sz="2" w:space="0" w:color="auto"/>
            </w:tcBorders>
            <w:shd w:val="clear" w:color="auto" w:fill="auto"/>
          </w:tcPr>
          <w:p w14:paraId="5DB3AC92" w14:textId="77777777" w:rsidR="0040296B" w:rsidRPr="005E3B43" w:rsidRDefault="0040296B" w:rsidP="0040296B">
            <w:pPr>
              <w:pStyle w:val="Tabletext"/>
            </w:pPr>
            <w:r w:rsidRPr="005E3B43">
              <w:t>5A</w:t>
            </w:r>
          </w:p>
        </w:tc>
        <w:tc>
          <w:tcPr>
            <w:tcW w:w="3255" w:type="dxa"/>
            <w:tcBorders>
              <w:top w:val="single" w:sz="2" w:space="0" w:color="auto"/>
              <w:bottom w:val="single" w:sz="2" w:space="0" w:color="auto"/>
            </w:tcBorders>
            <w:shd w:val="clear" w:color="auto" w:fill="auto"/>
          </w:tcPr>
          <w:p w14:paraId="50F04D95" w14:textId="77777777" w:rsidR="0040296B" w:rsidRPr="005E3B43" w:rsidRDefault="0040296B" w:rsidP="0040296B">
            <w:pPr>
              <w:pStyle w:val="Tabletext"/>
            </w:pPr>
            <w:r w:rsidRPr="005E3B43">
              <w:t>decision to refuse to waive a fee under subregulation 45(4AB) following an application referred to in subregulation 45(4AC)</w:t>
            </w:r>
          </w:p>
        </w:tc>
        <w:tc>
          <w:tcPr>
            <w:tcW w:w="3119" w:type="dxa"/>
            <w:tcBorders>
              <w:top w:val="single" w:sz="2" w:space="0" w:color="auto"/>
              <w:bottom w:val="single" w:sz="2" w:space="0" w:color="auto"/>
            </w:tcBorders>
            <w:shd w:val="clear" w:color="auto" w:fill="auto"/>
          </w:tcPr>
          <w:p w14:paraId="2DDD203A" w14:textId="77777777" w:rsidR="0040296B" w:rsidRPr="005E3B43" w:rsidRDefault="0040296B" w:rsidP="0040296B">
            <w:pPr>
              <w:pStyle w:val="Tabletext"/>
            </w:pPr>
            <w:r w:rsidRPr="005E3B43">
              <w:t>the person who made the application referred to in subregulation 45(4AC)</w:t>
            </w:r>
          </w:p>
        </w:tc>
      </w:tr>
      <w:tr w:rsidR="00A92B47" w:rsidRPr="005E3B43" w14:paraId="3C53A305" w14:textId="77777777" w:rsidTr="00F02CC0">
        <w:tc>
          <w:tcPr>
            <w:tcW w:w="714" w:type="dxa"/>
            <w:tcBorders>
              <w:top w:val="single" w:sz="2" w:space="0" w:color="auto"/>
              <w:bottom w:val="single" w:sz="12" w:space="0" w:color="auto"/>
            </w:tcBorders>
            <w:shd w:val="clear" w:color="auto" w:fill="auto"/>
          </w:tcPr>
          <w:p w14:paraId="4484036F" w14:textId="77777777" w:rsidR="00A92B47" w:rsidRPr="005E3B43" w:rsidRDefault="00A92B47" w:rsidP="00763BCF">
            <w:pPr>
              <w:pStyle w:val="Tabletext"/>
            </w:pPr>
            <w:r w:rsidRPr="005E3B43">
              <w:t>6</w:t>
            </w:r>
          </w:p>
        </w:tc>
        <w:tc>
          <w:tcPr>
            <w:tcW w:w="3255" w:type="dxa"/>
            <w:tcBorders>
              <w:top w:val="single" w:sz="2" w:space="0" w:color="auto"/>
              <w:bottom w:val="single" w:sz="12" w:space="0" w:color="auto"/>
            </w:tcBorders>
            <w:shd w:val="clear" w:color="auto" w:fill="auto"/>
          </w:tcPr>
          <w:p w14:paraId="17848C33" w14:textId="77777777" w:rsidR="00A92B47" w:rsidRPr="005E3B43" w:rsidRDefault="00A92B47" w:rsidP="00763BCF">
            <w:pPr>
              <w:pStyle w:val="Tabletext"/>
            </w:pPr>
            <w:r w:rsidRPr="005E3B43">
              <w:t>decision covered by subregulation (1AB)</w:t>
            </w:r>
          </w:p>
        </w:tc>
        <w:tc>
          <w:tcPr>
            <w:tcW w:w="3119" w:type="dxa"/>
            <w:tcBorders>
              <w:top w:val="single" w:sz="2" w:space="0" w:color="auto"/>
              <w:bottom w:val="single" w:sz="12" w:space="0" w:color="auto"/>
            </w:tcBorders>
            <w:shd w:val="clear" w:color="auto" w:fill="auto"/>
          </w:tcPr>
          <w:p w14:paraId="53032FF5" w14:textId="77777777" w:rsidR="00A92B47" w:rsidRPr="005E3B43" w:rsidRDefault="00A92B47" w:rsidP="00763BCF">
            <w:pPr>
              <w:pStyle w:val="Tabletext"/>
            </w:pPr>
            <w:r w:rsidRPr="005E3B43">
              <w:t>the sponsor concerned</w:t>
            </w:r>
          </w:p>
        </w:tc>
      </w:tr>
    </w:tbl>
    <w:p w14:paraId="6FA1C890" w14:textId="77777777" w:rsidR="00207B1C" w:rsidRPr="005E3B43" w:rsidRDefault="00207B1C" w:rsidP="00763BCF">
      <w:pPr>
        <w:pStyle w:val="Definition"/>
      </w:pPr>
      <w:r w:rsidRPr="005E3B43">
        <w:rPr>
          <w:b/>
          <w:i/>
        </w:rPr>
        <w:t xml:space="preserve">initial decision </w:t>
      </w:r>
      <w:r w:rsidRPr="005E3B43">
        <w:t>means a decision of the Secretary under any of the following provisions:</w:t>
      </w:r>
    </w:p>
    <w:p w14:paraId="2C981CAC" w14:textId="77777777" w:rsidR="00207B1C" w:rsidRPr="005E3B43" w:rsidRDefault="00207B1C" w:rsidP="00763BCF">
      <w:pPr>
        <w:pStyle w:val="paragraph"/>
      </w:pPr>
      <w:r w:rsidRPr="005E3B43">
        <w:tab/>
        <w:t>(ca)</w:t>
      </w:r>
      <w:r w:rsidRPr="005E3B43">
        <w:tab/>
        <w:t>subregulation</w:t>
      </w:r>
      <w:r w:rsidR="004E6D00" w:rsidRPr="005E3B43">
        <w:t> </w:t>
      </w:r>
      <w:r w:rsidRPr="005E3B43">
        <w:t>10C(3), (5) or (6);</w:t>
      </w:r>
    </w:p>
    <w:p w14:paraId="6290BCBD" w14:textId="77777777" w:rsidR="00D05FF5" w:rsidRPr="005E3B43" w:rsidRDefault="00D05FF5" w:rsidP="00763BCF">
      <w:pPr>
        <w:pStyle w:val="paragraph"/>
      </w:pPr>
      <w:r w:rsidRPr="005E3B43">
        <w:tab/>
        <w:t>(e)</w:t>
      </w:r>
      <w:r w:rsidRPr="005E3B43">
        <w:tab/>
        <w:t>subparagraph</w:t>
      </w:r>
      <w:r w:rsidR="004E6D00" w:rsidRPr="005E3B43">
        <w:t> </w:t>
      </w:r>
      <w:r w:rsidRPr="005E3B43">
        <w:t>16J(1)(b)(ii);</w:t>
      </w:r>
    </w:p>
    <w:p w14:paraId="65A578B9" w14:textId="77777777" w:rsidR="00D05FF5" w:rsidRPr="005E3B43" w:rsidRDefault="00D05FF5" w:rsidP="00763BCF">
      <w:pPr>
        <w:pStyle w:val="paragraph"/>
      </w:pPr>
      <w:r w:rsidRPr="005E3B43">
        <w:tab/>
        <w:t>(ea)</w:t>
      </w:r>
      <w:r w:rsidRPr="005E3B43">
        <w:tab/>
        <w:t>paragraph</w:t>
      </w:r>
      <w:r w:rsidR="004E6D00" w:rsidRPr="005E3B43">
        <w:t> </w:t>
      </w:r>
      <w:r w:rsidRPr="005E3B43">
        <w:t>16L(3)(b);</w:t>
      </w:r>
    </w:p>
    <w:p w14:paraId="181537C9" w14:textId="77777777" w:rsidR="00D05FF5" w:rsidRPr="005E3B43" w:rsidRDefault="00D05FF5" w:rsidP="00763BCF">
      <w:pPr>
        <w:pStyle w:val="paragraph"/>
      </w:pPr>
      <w:r w:rsidRPr="005E3B43">
        <w:tab/>
        <w:t>(eb)</w:t>
      </w:r>
      <w:r w:rsidRPr="005E3B43">
        <w:tab/>
        <w:t>paragraph</w:t>
      </w:r>
      <w:r w:rsidR="004E6D00" w:rsidRPr="005E3B43">
        <w:t> </w:t>
      </w:r>
      <w:r w:rsidRPr="005E3B43">
        <w:t>16M(1)(b);</w:t>
      </w:r>
    </w:p>
    <w:p w14:paraId="0109E70D" w14:textId="77777777" w:rsidR="00F37A61" w:rsidRPr="005E3B43" w:rsidRDefault="00D05FF5" w:rsidP="00763BCF">
      <w:pPr>
        <w:pStyle w:val="paragraph"/>
      </w:pPr>
      <w:r w:rsidRPr="005E3B43">
        <w:tab/>
      </w:r>
      <w:r w:rsidR="00F37A61" w:rsidRPr="005E3B43">
        <w:t>(ec)</w:t>
      </w:r>
      <w:r w:rsidR="00F37A61" w:rsidRPr="005E3B43">
        <w:tab/>
        <w:t>subparagraph</w:t>
      </w:r>
      <w:r w:rsidR="004E6D00" w:rsidRPr="005E3B43">
        <w:t> </w:t>
      </w:r>
      <w:r w:rsidR="00F37A61" w:rsidRPr="005E3B43">
        <w:t>16R(1)(b)(ii);</w:t>
      </w:r>
    </w:p>
    <w:p w14:paraId="73F186B5" w14:textId="77777777" w:rsidR="00F37A61" w:rsidRPr="005E3B43" w:rsidRDefault="00F37A61" w:rsidP="00763BCF">
      <w:pPr>
        <w:pStyle w:val="paragraph"/>
      </w:pPr>
      <w:r w:rsidRPr="005E3B43">
        <w:tab/>
        <w:t>(ed)</w:t>
      </w:r>
      <w:r w:rsidRPr="005E3B43">
        <w:tab/>
        <w:t>subregulation</w:t>
      </w:r>
      <w:r w:rsidR="004E6D00" w:rsidRPr="005E3B43">
        <w:t> </w:t>
      </w:r>
      <w:r w:rsidRPr="005E3B43">
        <w:t>16T(1);</w:t>
      </w:r>
    </w:p>
    <w:p w14:paraId="13C9B54F" w14:textId="77777777" w:rsidR="007F5E99" w:rsidRPr="005E3B43" w:rsidRDefault="007F5E99" w:rsidP="00763BCF">
      <w:pPr>
        <w:pStyle w:val="paragraph"/>
      </w:pPr>
      <w:r w:rsidRPr="005E3B43">
        <w:lastRenderedPageBreak/>
        <w:tab/>
        <w:t>(ee)</w:t>
      </w:r>
      <w:r w:rsidRPr="005E3B43">
        <w:tab/>
        <w:t>subparagraph 16W(1)(b)(ii);</w:t>
      </w:r>
    </w:p>
    <w:p w14:paraId="3C3D57C3" w14:textId="77777777" w:rsidR="007F5E99" w:rsidRPr="005E3B43" w:rsidRDefault="007F5E99" w:rsidP="00763BCF">
      <w:pPr>
        <w:pStyle w:val="paragraph"/>
      </w:pPr>
      <w:r w:rsidRPr="005E3B43">
        <w:tab/>
        <w:t>(ef)</w:t>
      </w:r>
      <w:r w:rsidRPr="005E3B43">
        <w:tab/>
        <w:t>subregulation 16Y(1);</w:t>
      </w:r>
    </w:p>
    <w:p w14:paraId="185CB94C" w14:textId="77777777" w:rsidR="00207B1C" w:rsidRPr="005E3B43" w:rsidRDefault="00207B1C" w:rsidP="00763BCF">
      <w:pPr>
        <w:pStyle w:val="paragraph"/>
      </w:pPr>
      <w:r w:rsidRPr="005E3B43">
        <w:tab/>
        <w:t>(f)</w:t>
      </w:r>
      <w:r w:rsidRPr="005E3B43">
        <w:tab/>
        <w:t>subregulation</w:t>
      </w:r>
      <w:r w:rsidR="004E6D00" w:rsidRPr="005E3B43">
        <w:t> </w:t>
      </w:r>
      <w:r w:rsidRPr="005E3B43">
        <w:t>22(8);</w:t>
      </w:r>
    </w:p>
    <w:p w14:paraId="383D49D7" w14:textId="77777777" w:rsidR="002039B6" w:rsidRPr="005E3B43" w:rsidRDefault="002039B6" w:rsidP="00763BCF">
      <w:pPr>
        <w:pStyle w:val="paragraph"/>
      </w:pPr>
      <w:r w:rsidRPr="005E3B43">
        <w:tab/>
        <w:t>(fa)</w:t>
      </w:r>
      <w:r w:rsidRPr="005E3B43">
        <w:tab/>
        <w:t>paragraph</w:t>
      </w:r>
      <w:r w:rsidR="004E6D00" w:rsidRPr="005E3B43">
        <w:t> </w:t>
      </w:r>
      <w:r w:rsidRPr="005E3B43">
        <w:t>43AAH(4)(b);</w:t>
      </w:r>
    </w:p>
    <w:p w14:paraId="22467D8C" w14:textId="77777777" w:rsidR="00207B1C" w:rsidRPr="005E3B43" w:rsidRDefault="00207B1C" w:rsidP="00763BCF">
      <w:pPr>
        <w:pStyle w:val="paragraph"/>
      </w:pPr>
      <w:r w:rsidRPr="005E3B43">
        <w:tab/>
        <w:t>(g)</w:t>
      </w:r>
      <w:r w:rsidRPr="005E3B43">
        <w:tab/>
        <w:t>regulation</w:t>
      </w:r>
      <w:r w:rsidR="004E6D00" w:rsidRPr="005E3B43">
        <w:t> </w:t>
      </w:r>
      <w:r w:rsidRPr="005E3B43">
        <w:t>45</w:t>
      </w:r>
      <w:r w:rsidR="00C43806" w:rsidRPr="005E3B43">
        <w:t xml:space="preserve"> (other than a decision to waive a fee under subregulation 45(4AB))</w:t>
      </w:r>
      <w:r w:rsidRPr="005E3B43">
        <w:t>;</w:t>
      </w:r>
    </w:p>
    <w:p w14:paraId="054B1F6E" w14:textId="77777777" w:rsidR="00207B1C" w:rsidRPr="005E3B43" w:rsidRDefault="00207B1C" w:rsidP="00763BCF">
      <w:pPr>
        <w:pStyle w:val="paragraph"/>
      </w:pPr>
      <w:r w:rsidRPr="005E3B43">
        <w:tab/>
        <w:t>(h)</w:t>
      </w:r>
      <w:r w:rsidRPr="005E3B43">
        <w:tab/>
        <w:t>regulation</w:t>
      </w:r>
      <w:r w:rsidR="004E6D00" w:rsidRPr="005E3B43">
        <w:t> </w:t>
      </w:r>
      <w:r w:rsidRPr="005E3B43">
        <w:t>45AA.</w:t>
      </w:r>
    </w:p>
    <w:p w14:paraId="2E0181F3" w14:textId="77777777" w:rsidR="00CD7E18" w:rsidRPr="005E3B43" w:rsidRDefault="00CD7E18" w:rsidP="00763BCF">
      <w:pPr>
        <w:pStyle w:val="notetext"/>
      </w:pPr>
      <w:r w:rsidRPr="005E3B43">
        <w:t>Note:</w:t>
      </w:r>
      <w:r w:rsidRPr="005E3B43">
        <w:tab/>
        <w:t xml:space="preserve">See also </w:t>
      </w:r>
      <w:r w:rsidR="00792292" w:rsidRPr="005E3B43">
        <w:t>subregulations (1AA) and (1AB)</w:t>
      </w:r>
      <w:r w:rsidRPr="005E3B43">
        <w:t xml:space="preserve"> of this regulation.</w:t>
      </w:r>
    </w:p>
    <w:p w14:paraId="0AE30998" w14:textId="77777777" w:rsidR="00207B1C" w:rsidRPr="005E3B43" w:rsidRDefault="00207B1C" w:rsidP="00763BCF">
      <w:pPr>
        <w:pStyle w:val="Definition"/>
      </w:pPr>
      <w:r w:rsidRPr="005E3B43">
        <w:rPr>
          <w:b/>
          <w:i/>
        </w:rPr>
        <w:t xml:space="preserve">reviewable decision </w:t>
      </w:r>
      <w:r w:rsidRPr="005E3B43">
        <w:t>means a decision of the Minister under subregulation</w:t>
      </w:r>
      <w:r w:rsidR="002B4943" w:rsidRPr="005E3B43">
        <w:t> </w:t>
      </w:r>
      <w:r w:rsidRPr="005E3B43">
        <w:t>(3).</w:t>
      </w:r>
    </w:p>
    <w:p w14:paraId="42F3B62E" w14:textId="77777777" w:rsidR="00CD7E18" w:rsidRPr="005E3B43" w:rsidRDefault="00CD7E18" w:rsidP="00763BCF">
      <w:pPr>
        <w:pStyle w:val="subsection"/>
      </w:pPr>
      <w:r w:rsidRPr="005E3B43">
        <w:tab/>
        <w:t>(1AA)</w:t>
      </w:r>
      <w:r w:rsidRPr="005E3B43">
        <w:tab/>
        <w:t xml:space="preserve">Each of the following decisions of the Secretary under regulation 10JE or 10JF (about importing or exporting mercury) is an </w:t>
      </w:r>
      <w:r w:rsidRPr="005E3B43">
        <w:rPr>
          <w:b/>
          <w:i/>
        </w:rPr>
        <w:t>initial decision</w:t>
      </w:r>
      <w:r w:rsidRPr="005E3B43">
        <w:t>:</w:t>
      </w:r>
    </w:p>
    <w:p w14:paraId="1AA0D1C3" w14:textId="77777777" w:rsidR="00CD7E18" w:rsidRPr="005E3B43" w:rsidRDefault="00CD7E18" w:rsidP="00763BCF">
      <w:pPr>
        <w:pStyle w:val="paragraph"/>
      </w:pPr>
      <w:r w:rsidRPr="005E3B43">
        <w:tab/>
        <w:t>(a)</w:t>
      </w:r>
      <w:r w:rsidRPr="005E3B43">
        <w:tab/>
        <w:t>a decision to refuse to approve an application for approval;</w:t>
      </w:r>
    </w:p>
    <w:p w14:paraId="269BF185" w14:textId="77777777" w:rsidR="00CD7E18" w:rsidRPr="005E3B43" w:rsidRDefault="00CD7E18" w:rsidP="00763BCF">
      <w:pPr>
        <w:pStyle w:val="paragraph"/>
      </w:pPr>
      <w:r w:rsidRPr="005E3B43">
        <w:tab/>
        <w:t>(b)</w:t>
      </w:r>
      <w:r w:rsidRPr="005E3B43">
        <w:tab/>
        <w:t>a decision to revoke or vary an approval.</w:t>
      </w:r>
    </w:p>
    <w:p w14:paraId="478D4053" w14:textId="77777777" w:rsidR="00E86107" w:rsidRPr="005E3B43" w:rsidRDefault="00E86107" w:rsidP="00763BCF">
      <w:pPr>
        <w:pStyle w:val="subsection"/>
      </w:pPr>
      <w:r w:rsidRPr="005E3B43">
        <w:tab/>
        <w:t>(1AB)</w:t>
      </w:r>
      <w:r w:rsidRPr="005E3B43">
        <w:tab/>
        <w:t xml:space="preserve">Each of the following decisions of the Secretary is an </w:t>
      </w:r>
      <w:r w:rsidRPr="005E3B43">
        <w:rPr>
          <w:b/>
          <w:i/>
        </w:rPr>
        <w:t>initial decision</w:t>
      </w:r>
      <w:r w:rsidRPr="005E3B43">
        <w:t>:</w:t>
      </w:r>
    </w:p>
    <w:p w14:paraId="10E99529" w14:textId="77777777" w:rsidR="00E86107" w:rsidRPr="005E3B43" w:rsidRDefault="00E86107" w:rsidP="00763BCF">
      <w:pPr>
        <w:pStyle w:val="paragraph"/>
      </w:pPr>
      <w:r w:rsidRPr="005E3B43">
        <w:tab/>
        <w:t>(a)</w:t>
      </w:r>
      <w:r w:rsidRPr="005E3B43">
        <w:tab/>
        <w:t xml:space="preserve">a decision to refuse to agree to a notification covered by paragraph (a) of column 3 of </w:t>
      </w:r>
      <w:r w:rsidR="006B5D8E" w:rsidRPr="005E3B43">
        <w:t>item 3</w:t>
      </w:r>
      <w:r w:rsidRPr="005E3B43">
        <w:t xml:space="preserve"> of the table in Schedule 5A being given before the end of a period nominated by the sponsor concerned;</w:t>
      </w:r>
    </w:p>
    <w:p w14:paraId="6C0BF3AC" w14:textId="77777777" w:rsidR="00E86107" w:rsidRPr="005E3B43" w:rsidRDefault="00E86107" w:rsidP="00763BCF">
      <w:pPr>
        <w:pStyle w:val="paragraph"/>
      </w:pPr>
      <w:r w:rsidRPr="005E3B43">
        <w:tab/>
        <w:t>(b)</w:t>
      </w:r>
      <w:r w:rsidRPr="005E3B43">
        <w:tab/>
        <w:t xml:space="preserve">a decision to refuse to agree to a notification covered by paragraph (ha) of column 3 of </w:t>
      </w:r>
      <w:r w:rsidR="006B5D8E" w:rsidRPr="005E3B43">
        <w:t>item 3</w:t>
      </w:r>
      <w:r w:rsidRPr="005E3B43">
        <w:t xml:space="preserve"> of the table in Schedule 5A being given before the end of a period nominated by the sponsor concerned</w:t>
      </w:r>
      <w:r w:rsidR="00BE0AB7" w:rsidRPr="005E3B43">
        <w:t>;</w:t>
      </w:r>
    </w:p>
    <w:p w14:paraId="21900D04" w14:textId="6BA9A28F" w:rsidR="00F539F4" w:rsidRPr="005E3B43" w:rsidRDefault="00F539F4" w:rsidP="00F539F4">
      <w:pPr>
        <w:pStyle w:val="paragraph"/>
      </w:pPr>
      <w:r w:rsidRPr="005E3B43">
        <w:tab/>
        <w:t>(c)</w:t>
      </w:r>
      <w:r w:rsidRPr="005E3B43">
        <w:tab/>
        <w:t xml:space="preserve">a decision to make goods the subject of a determination as referred to in </w:t>
      </w:r>
      <w:r w:rsidR="00BA172E" w:rsidRPr="00E95706">
        <w:t>paragraph (g) of column 2</w:t>
      </w:r>
      <w:r w:rsidRPr="005E3B43">
        <w:t xml:space="preserve"> of </w:t>
      </w:r>
      <w:r w:rsidR="007C3215">
        <w:t>item 1</w:t>
      </w:r>
      <w:r w:rsidRPr="005E3B43">
        <w:t>5 of the table in Schedule 5A.</w:t>
      </w:r>
    </w:p>
    <w:p w14:paraId="2E500BED" w14:textId="77777777" w:rsidR="00CD7E18" w:rsidRPr="005E3B43" w:rsidRDefault="00CD7E18" w:rsidP="00763BCF">
      <w:pPr>
        <w:pStyle w:val="SubsectionHead"/>
      </w:pPr>
      <w:r w:rsidRPr="005E3B43">
        <w:t>Delegation</w:t>
      </w:r>
    </w:p>
    <w:p w14:paraId="4FE642C9" w14:textId="77777777" w:rsidR="00207B1C" w:rsidRPr="005E3B43" w:rsidRDefault="00207B1C" w:rsidP="00763BCF">
      <w:pPr>
        <w:pStyle w:val="subsection"/>
      </w:pPr>
      <w:r w:rsidRPr="005E3B43">
        <w:tab/>
        <w:t>(1A)</w:t>
      </w:r>
      <w:r w:rsidRPr="005E3B43">
        <w:tab/>
        <w:t xml:space="preserve">The Minister may, by signed instrument, delegate a power or function of the Minister under this regulation </w:t>
      </w:r>
      <w:r w:rsidR="00D41A73" w:rsidRPr="005E3B43">
        <w:t>to an officer of the Department</w:t>
      </w:r>
      <w:r w:rsidRPr="005E3B43">
        <w:t>.</w:t>
      </w:r>
    </w:p>
    <w:p w14:paraId="4F9D01FE" w14:textId="77777777" w:rsidR="00CD7E18" w:rsidRPr="005E3B43" w:rsidRDefault="00CD7E18" w:rsidP="00763BCF">
      <w:pPr>
        <w:pStyle w:val="SubsectionHead"/>
      </w:pPr>
      <w:r w:rsidRPr="005E3B43">
        <w:t>Requests for reconsideration of initial decisions</w:t>
      </w:r>
    </w:p>
    <w:p w14:paraId="55625978" w14:textId="77777777" w:rsidR="00207B1C" w:rsidRPr="005E3B43" w:rsidRDefault="00207B1C" w:rsidP="00763BCF">
      <w:pPr>
        <w:pStyle w:val="subsection"/>
      </w:pPr>
      <w:r w:rsidRPr="005E3B43">
        <w:tab/>
        <w:t>(2)</w:t>
      </w:r>
      <w:r w:rsidRPr="005E3B43">
        <w:tab/>
      </w:r>
      <w:r w:rsidR="00CD7E18" w:rsidRPr="005E3B43">
        <w:t>An eligible person in relation to</w:t>
      </w:r>
      <w:r w:rsidRPr="005E3B43">
        <w:t xml:space="preserve"> an initial decision may request the Minister to reconsider the decision by notice in writing given to the Minister within 90 days after the decision first comes to the person’s notice.</w:t>
      </w:r>
    </w:p>
    <w:p w14:paraId="390F3586" w14:textId="77777777" w:rsidR="00202CF8" w:rsidRPr="005E3B43" w:rsidRDefault="00202CF8" w:rsidP="00763BCF">
      <w:pPr>
        <w:pStyle w:val="subsection"/>
      </w:pPr>
      <w:r w:rsidRPr="005E3B43">
        <w:tab/>
        <w:t>(2A)</w:t>
      </w:r>
      <w:r w:rsidRPr="005E3B43">
        <w:tab/>
        <w:t>A request under subregulation (2) may be accompanied by information in support of the request.</w:t>
      </w:r>
    </w:p>
    <w:p w14:paraId="178522DC" w14:textId="77777777" w:rsidR="00CD7E18" w:rsidRPr="005E3B43" w:rsidRDefault="00CD7E18" w:rsidP="00763BCF">
      <w:pPr>
        <w:pStyle w:val="SubsectionHead"/>
      </w:pPr>
      <w:r w:rsidRPr="005E3B43">
        <w:t>Reconsideration of initial decisions</w:t>
      </w:r>
    </w:p>
    <w:p w14:paraId="699708D8" w14:textId="77777777" w:rsidR="00207B1C" w:rsidRPr="005E3B43" w:rsidRDefault="00207B1C" w:rsidP="00763BCF">
      <w:pPr>
        <w:pStyle w:val="subsection"/>
      </w:pPr>
      <w:r w:rsidRPr="005E3B43">
        <w:tab/>
        <w:t>(3)</w:t>
      </w:r>
      <w:r w:rsidRPr="005E3B43">
        <w:tab/>
        <w:t>The Minister must reconsider the initial decision as soon as practicable after receiving a request under subregulation</w:t>
      </w:r>
      <w:r w:rsidR="002B4943" w:rsidRPr="005E3B43">
        <w:t> </w:t>
      </w:r>
      <w:r w:rsidRPr="005E3B43">
        <w:t>(2), and may:</w:t>
      </w:r>
    </w:p>
    <w:p w14:paraId="623B25C7" w14:textId="77777777" w:rsidR="00207B1C" w:rsidRPr="005E3B43" w:rsidRDefault="00207B1C" w:rsidP="00763BCF">
      <w:pPr>
        <w:pStyle w:val="paragraph"/>
      </w:pPr>
      <w:r w:rsidRPr="005E3B43">
        <w:tab/>
        <w:t>(a)</w:t>
      </w:r>
      <w:r w:rsidRPr="005E3B43">
        <w:tab/>
        <w:t>confirm the initial decision; or</w:t>
      </w:r>
    </w:p>
    <w:p w14:paraId="12251EEF" w14:textId="77777777" w:rsidR="00207B1C" w:rsidRPr="005E3B43" w:rsidRDefault="00207B1C" w:rsidP="00763BCF">
      <w:pPr>
        <w:pStyle w:val="paragraph"/>
      </w:pPr>
      <w:r w:rsidRPr="005E3B43">
        <w:tab/>
        <w:t>(b)</w:t>
      </w:r>
      <w:r w:rsidRPr="005E3B43">
        <w:tab/>
        <w:t>revoke the initial decision, or revoke that decision and make a decision in substitution for the initial decision.</w:t>
      </w:r>
    </w:p>
    <w:p w14:paraId="35206FEC" w14:textId="77777777" w:rsidR="00202CF8" w:rsidRPr="005E3B43" w:rsidRDefault="00202CF8" w:rsidP="00763BCF">
      <w:pPr>
        <w:pStyle w:val="subsection"/>
      </w:pPr>
      <w:r w:rsidRPr="005E3B43">
        <w:tab/>
        <w:t>(3A)</w:t>
      </w:r>
      <w:r w:rsidRPr="005E3B43">
        <w:tab/>
        <w:t>In reconsidering the initial decision:</w:t>
      </w:r>
    </w:p>
    <w:p w14:paraId="387273F2" w14:textId="77777777" w:rsidR="00202CF8" w:rsidRPr="005E3B43" w:rsidRDefault="00202CF8" w:rsidP="00763BCF">
      <w:pPr>
        <w:pStyle w:val="paragraph"/>
      </w:pPr>
      <w:r w:rsidRPr="005E3B43">
        <w:lastRenderedPageBreak/>
        <w:tab/>
        <w:t>(a)</w:t>
      </w:r>
      <w:r w:rsidRPr="005E3B43">
        <w:tab/>
        <w:t>the Minister must take into account any information referred to in subregulation (2A); and</w:t>
      </w:r>
    </w:p>
    <w:p w14:paraId="19D6E222" w14:textId="77777777" w:rsidR="00202CF8" w:rsidRPr="005E3B43" w:rsidRDefault="00202CF8" w:rsidP="00763BCF">
      <w:pPr>
        <w:pStyle w:val="paragraph"/>
      </w:pPr>
      <w:r w:rsidRPr="005E3B43">
        <w:tab/>
        <w:t>(b)</w:t>
      </w:r>
      <w:r w:rsidRPr="005E3B43">
        <w:tab/>
        <w:t>the Minister must not take into account any other information provided by, or on behalf of, the person after the making of the request, other than information provided in response to a request from the Minister.</w:t>
      </w:r>
    </w:p>
    <w:p w14:paraId="63ADF64F" w14:textId="77777777" w:rsidR="006D6543" w:rsidRPr="005E3B43" w:rsidRDefault="006D6543" w:rsidP="00763BCF">
      <w:pPr>
        <w:pStyle w:val="subsection"/>
      </w:pPr>
      <w:r w:rsidRPr="005E3B43">
        <w:tab/>
        <w:t>(3B)</w:t>
      </w:r>
      <w:r w:rsidRPr="005E3B43">
        <w:tab/>
      </w:r>
      <w:r w:rsidR="004E6D00" w:rsidRPr="005E3B43">
        <w:t>Paragraph (</w:t>
      </w:r>
      <w:r w:rsidRPr="005E3B43">
        <w:t>3A)(a) does not otherwise limit the information the Minister may take into account in reconsidering the initial decision.</w:t>
      </w:r>
    </w:p>
    <w:p w14:paraId="23CF2B3D" w14:textId="77777777" w:rsidR="006D6543" w:rsidRPr="005E3B43" w:rsidRDefault="006D6543" w:rsidP="00763BCF">
      <w:pPr>
        <w:pStyle w:val="subsection"/>
      </w:pPr>
      <w:r w:rsidRPr="005E3B43">
        <w:tab/>
        <w:t>(3C)</w:t>
      </w:r>
      <w:r w:rsidRPr="005E3B43">
        <w:tab/>
        <w:t xml:space="preserve">If, under </w:t>
      </w:r>
      <w:r w:rsidR="004E6D00" w:rsidRPr="005E3B43">
        <w:t>paragraph (</w:t>
      </w:r>
      <w:r w:rsidRPr="005E3B43">
        <w:t>3)(b), the Minister revokes an initial decision and makes a decision in substitution for the initial decision, then the substituted decision:</w:t>
      </w:r>
    </w:p>
    <w:p w14:paraId="5DBA8445" w14:textId="77777777" w:rsidR="006D6543" w:rsidRPr="005E3B43" w:rsidRDefault="006D6543" w:rsidP="00763BCF">
      <w:pPr>
        <w:pStyle w:val="paragraph"/>
      </w:pPr>
      <w:r w:rsidRPr="005E3B43">
        <w:tab/>
        <w:t>(a)</w:t>
      </w:r>
      <w:r w:rsidRPr="005E3B43">
        <w:tab/>
        <w:t>is taken to be a decision of the Secretary (except for the purpose of any review of the substituted decision); and</w:t>
      </w:r>
    </w:p>
    <w:p w14:paraId="57714559" w14:textId="77777777" w:rsidR="006D6543" w:rsidRPr="005E3B43" w:rsidRDefault="006D6543" w:rsidP="00763BCF">
      <w:pPr>
        <w:pStyle w:val="paragraph"/>
      </w:pPr>
      <w:r w:rsidRPr="005E3B43">
        <w:tab/>
        <w:t>(b)</w:t>
      </w:r>
      <w:r w:rsidRPr="005E3B43">
        <w:tab/>
        <w:t>has effect, or is taken to have had effect, on and from the date determined by the Minister.</w:t>
      </w:r>
    </w:p>
    <w:p w14:paraId="2F7E51F5" w14:textId="77777777" w:rsidR="00207B1C" w:rsidRPr="005E3B43" w:rsidRDefault="00207B1C" w:rsidP="00763BCF">
      <w:pPr>
        <w:pStyle w:val="subsection"/>
      </w:pPr>
      <w:r w:rsidRPr="005E3B43">
        <w:tab/>
        <w:t>(4)</w:t>
      </w:r>
      <w:r w:rsidRPr="005E3B43">
        <w:tab/>
        <w:t>If a person who has made a request under subregulation</w:t>
      </w:r>
      <w:r w:rsidR="002B4943" w:rsidRPr="005E3B43">
        <w:t> </w:t>
      </w:r>
      <w:r w:rsidRPr="005E3B43">
        <w:t>(2) does not receive notice of the decision of the Minister on reconsideration within 60 days of the making of the request, the Minister is to be taken to have confirmed the original decision.</w:t>
      </w:r>
    </w:p>
    <w:p w14:paraId="1C1AE9B1" w14:textId="77777777" w:rsidR="00207B1C" w:rsidRPr="005E3B43" w:rsidRDefault="00207B1C" w:rsidP="00763BCF">
      <w:pPr>
        <w:pStyle w:val="subsection"/>
      </w:pPr>
      <w:r w:rsidRPr="005E3B43">
        <w:tab/>
        <w:t>(5)</w:t>
      </w:r>
      <w:r w:rsidRPr="005E3B43">
        <w:tab/>
        <w:t xml:space="preserve">After reconsideration of an initial decision, the Minister must give the applicant a notice in writing stating the result of the reconsideration and that the applicant may, </w:t>
      </w:r>
      <w:r w:rsidR="000F4B9B" w:rsidRPr="002746DE">
        <w:t xml:space="preserve">except where subsection 269(7) of the </w:t>
      </w:r>
      <w:r w:rsidR="000F4B9B" w:rsidRPr="002746DE">
        <w:rPr>
          <w:i/>
        </w:rPr>
        <w:t>Administrative Review Tribunal Act 2024</w:t>
      </w:r>
      <w:r w:rsidR="000F4B9B" w:rsidRPr="002746DE">
        <w:t xml:space="preserve"> applies</w:t>
      </w:r>
      <w:r w:rsidRPr="005E3B43">
        <w:t xml:space="preserve">, apply for a statement setting out the reasons for the decision on reconsideration and may, subject to that Act, make an application to the </w:t>
      </w:r>
      <w:r w:rsidR="00780843" w:rsidRPr="002746DE">
        <w:t>Administrative Review Tribunal</w:t>
      </w:r>
      <w:r w:rsidRPr="005E3B43">
        <w:t xml:space="preserve"> for review of that decision.</w:t>
      </w:r>
    </w:p>
    <w:p w14:paraId="4F83DBEE" w14:textId="77777777" w:rsidR="00CD7E18" w:rsidRPr="005E3B43" w:rsidRDefault="00CD7E18" w:rsidP="00763BCF">
      <w:pPr>
        <w:pStyle w:val="SubsectionHead"/>
      </w:pPr>
      <w:r w:rsidRPr="005E3B43">
        <w:t>Notices about right to seek reconsideration of initial decisions</w:t>
      </w:r>
    </w:p>
    <w:p w14:paraId="10990EE2" w14:textId="77777777" w:rsidR="00207B1C" w:rsidRPr="005E3B43" w:rsidRDefault="00207B1C" w:rsidP="00763BCF">
      <w:pPr>
        <w:pStyle w:val="subsection"/>
      </w:pPr>
      <w:r w:rsidRPr="005E3B43">
        <w:tab/>
        <w:t>(6)</w:t>
      </w:r>
      <w:r w:rsidRPr="005E3B43">
        <w:tab/>
        <w:t xml:space="preserve">If written notice of the making of an initial decision is given to a person </w:t>
      </w:r>
      <w:r w:rsidR="00CD7E18" w:rsidRPr="005E3B43">
        <w:t>who is an eligible person in relation to</w:t>
      </w:r>
      <w:r w:rsidRPr="005E3B43">
        <w:t xml:space="preserve"> the decision, the notice is to include a statement to the effect that </w:t>
      </w:r>
      <w:r w:rsidR="00CD7E18" w:rsidRPr="005E3B43">
        <w:t>the person</w:t>
      </w:r>
      <w:r w:rsidRPr="005E3B43">
        <w:t xml:space="preserve"> may:</w:t>
      </w:r>
    </w:p>
    <w:p w14:paraId="5ADCAA46" w14:textId="77777777" w:rsidR="00207B1C" w:rsidRPr="005E3B43" w:rsidRDefault="00207B1C" w:rsidP="00763BCF">
      <w:pPr>
        <w:pStyle w:val="paragraph"/>
      </w:pPr>
      <w:r w:rsidRPr="005E3B43">
        <w:tab/>
        <w:t>(a)</w:t>
      </w:r>
      <w:r w:rsidRPr="005E3B43">
        <w:tab/>
        <w:t>seek a reconsideration of the decision under this regulation; and</w:t>
      </w:r>
    </w:p>
    <w:p w14:paraId="5E7D25C8" w14:textId="77777777" w:rsidR="00207B1C" w:rsidRPr="005E3B43" w:rsidRDefault="00207B1C" w:rsidP="00763BCF">
      <w:pPr>
        <w:pStyle w:val="paragraph"/>
      </w:pPr>
      <w:r w:rsidRPr="005E3B43">
        <w:tab/>
        <w:t>(b)</w:t>
      </w:r>
      <w:r w:rsidRPr="005E3B43">
        <w:tab/>
        <w:t xml:space="preserve">subject to the </w:t>
      </w:r>
      <w:r w:rsidR="00A1262D" w:rsidRPr="00D24700">
        <w:rPr>
          <w:i/>
        </w:rPr>
        <w:t>A</w:t>
      </w:r>
      <w:r w:rsidR="00780843" w:rsidRPr="002746DE">
        <w:rPr>
          <w:i/>
        </w:rPr>
        <w:t>dministrative Review Tribunal Act 2024</w:t>
      </w:r>
      <w:r w:rsidRPr="005E3B43">
        <w:t xml:space="preserve">, if the person is dissatisfied with the decision upon reconsideration, make an application to the </w:t>
      </w:r>
      <w:r w:rsidR="00780843" w:rsidRPr="002746DE">
        <w:t>Administrative Review Tribunal</w:t>
      </w:r>
      <w:r w:rsidRPr="005E3B43">
        <w:t xml:space="preserve"> for review of that decision.</w:t>
      </w:r>
    </w:p>
    <w:p w14:paraId="021F4825" w14:textId="77777777" w:rsidR="00CD7E18" w:rsidRPr="005E3B43" w:rsidRDefault="00CD7E18" w:rsidP="00763BCF">
      <w:pPr>
        <w:pStyle w:val="SubsectionHead"/>
      </w:pPr>
      <w:r w:rsidRPr="005E3B43">
        <w:t>Failure to comply with subregulations (5) and (6) does not affect decisions</w:t>
      </w:r>
    </w:p>
    <w:p w14:paraId="051F68CB" w14:textId="77777777" w:rsidR="00207B1C" w:rsidRPr="005E3B43" w:rsidRDefault="00207B1C" w:rsidP="00763BCF">
      <w:pPr>
        <w:pStyle w:val="subsection"/>
      </w:pPr>
      <w:r w:rsidRPr="005E3B43">
        <w:tab/>
        <w:t>(7)</w:t>
      </w:r>
      <w:r w:rsidRPr="005E3B43">
        <w:tab/>
        <w:t>Any failure to comply with the requirements of subregulation</w:t>
      </w:r>
      <w:r w:rsidR="002B4943" w:rsidRPr="005E3B43">
        <w:t> </w:t>
      </w:r>
      <w:r w:rsidRPr="005E3B43">
        <w:t>(5) or (6) in relation to a decision does not affect the validity of the decision.</w:t>
      </w:r>
    </w:p>
    <w:p w14:paraId="2103F3D0" w14:textId="77777777" w:rsidR="00CD7E18" w:rsidRPr="005E3B43" w:rsidRDefault="00CD7E18" w:rsidP="00763BCF">
      <w:pPr>
        <w:pStyle w:val="SubsectionHead"/>
      </w:pPr>
      <w:r w:rsidRPr="005E3B43">
        <w:t>Applications for review of reviewable decisions</w:t>
      </w:r>
    </w:p>
    <w:p w14:paraId="2FAD48A6" w14:textId="77777777" w:rsidR="00207B1C" w:rsidRPr="005E3B43" w:rsidRDefault="00207B1C" w:rsidP="00763BCF">
      <w:pPr>
        <w:pStyle w:val="subsection"/>
      </w:pPr>
      <w:r w:rsidRPr="005E3B43">
        <w:tab/>
        <w:t>(8)</w:t>
      </w:r>
      <w:r w:rsidRPr="005E3B43">
        <w:tab/>
        <w:t xml:space="preserve">An application may be made to the </w:t>
      </w:r>
      <w:r w:rsidR="00780843" w:rsidRPr="002746DE">
        <w:t>Administrative Review Tribunal</w:t>
      </w:r>
      <w:r w:rsidRPr="005E3B43">
        <w:t xml:space="preserve"> for r</w:t>
      </w:r>
      <w:r w:rsidR="00C537FF" w:rsidRPr="005E3B43">
        <w:t>eview of a reviewable decision.</w:t>
      </w:r>
    </w:p>
    <w:p w14:paraId="25C8C795" w14:textId="77777777" w:rsidR="00F079C4" w:rsidRPr="005E3B43" w:rsidRDefault="00F079C4" w:rsidP="00763BCF">
      <w:pPr>
        <w:pStyle w:val="ActHead2"/>
        <w:pageBreakBefore/>
      </w:pPr>
      <w:bookmarkStart w:id="301" w:name="_Toc187135895"/>
      <w:r w:rsidRPr="005E3B43">
        <w:rPr>
          <w:rStyle w:val="CharPartNo"/>
        </w:rPr>
        <w:lastRenderedPageBreak/>
        <w:t>Part</w:t>
      </w:r>
      <w:r w:rsidR="004E6D00" w:rsidRPr="005E3B43">
        <w:rPr>
          <w:rStyle w:val="CharPartNo"/>
        </w:rPr>
        <w:t> </w:t>
      </w:r>
      <w:r w:rsidRPr="005E3B43">
        <w:rPr>
          <w:rStyle w:val="CharPartNo"/>
        </w:rPr>
        <w:t>9</w:t>
      </w:r>
      <w:r w:rsidR="00E20BA4" w:rsidRPr="005E3B43">
        <w:t>—</w:t>
      </w:r>
      <w:r w:rsidRPr="005E3B43">
        <w:rPr>
          <w:rStyle w:val="CharPartText"/>
        </w:rPr>
        <w:t>Transitional</w:t>
      </w:r>
      <w:bookmarkEnd w:id="301"/>
    </w:p>
    <w:p w14:paraId="229D74F6" w14:textId="4DD42047" w:rsidR="008E09AF" w:rsidRPr="005E3B43" w:rsidRDefault="003C0723" w:rsidP="00763BCF">
      <w:pPr>
        <w:pStyle w:val="ActHead3"/>
      </w:pPr>
      <w:bookmarkStart w:id="302" w:name="_Toc187135896"/>
      <w:r w:rsidRPr="005E3B43">
        <w:rPr>
          <w:rStyle w:val="CharDivNo"/>
        </w:rPr>
        <w:t>Division 1</w:t>
      </w:r>
      <w:r w:rsidR="008E09AF" w:rsidRPr="005E3B43">
        <w:t>—</w:t>
      </w:r>
      <w:r w:rsidR="008E09AF" w:rsidRPr="005E3B43">
        <w:rPr>
          <w:rStyle w:val="CharDivText"/>
        </w:rPr>
        <w:t xml:space="preserve">Transitional provisions relating to the Therapeutic Goods Amendment </w:t>
      </w:r>
      <w:r w:rsidR="007C3215">
        <w:rPr>
          <w:rStyle w:val="CharDivText"/>
        </w:rPr>
        <w:t>Regulations 2</w:t>
      </w:r>
      <w:r w:rsidR="008E09AF" w:rsidRPr="005E3B43">
        <w:rPr>
          <w:rStyle w:val="CharDivText"/>
        </w:rPr>
        <w:t>010 (No.</w:t>
      </w:r>
      <w:r w:rsidR="004E6D00" w:rsidRPr="005E3B43">
        <w:rPr>
          <w:rStyle w:val="CharDivText"/>
        </w:rPr>
        <w:t> </w:t>
      </w:r>
      <w:r w:rsidR="008E09AF" w:rsidRPr="005E3B43">
        <w:rPr>
          <w:rStyle w:val="CharDivText"/>
        </w:rPr>
        <w:t>1)</w:t>
      </w:r>
      <w:bookmarkEnd w:id="302"/>
    </w:p>
    <w:p w14:paraId="0D9CCAB0" w14:textId="77777777" w:rsidR="008E09AF" w:rsidRPr="005E3B43" w:rsidRDefault="008E09AF" w:rsidP="00763BCF">
      <w:pPr>
        <w:pStyle w:val="ActHead5"/>
      </w:pPr>
      <w:bookmarkStart w:id="303" w:name="_Toc187135897"/>
      <w:r w:rsidRPr="005E3B43">
        <w:rPr>
          <w:rStyle w:val="CharSectno"/>
        </w:rPr>
        <w:t>48A</w:t>
      </w:r>
      <w:r w:rsidRPr="005E3B43">
        <w:t xml:space="preserve">  Definitions</w:t>
      </w:r>
      <w:bookmarkEnd w:id="303"/>
    </w:p>
    <w:p w14:paraId="53187E71" w14:textId="77777777" w:rsidR="008E09AF" w:rsidRPr="005E3B43" w:rsidRDefault="008E09AF" w:rsidP="00763BCF">
      <w:pPr>
        <w:pStyle w:val="subsection"/>
      </w:pPr>
      <w:r w:rsidRPr="005E3B43">
        <w:tab/>
      </w:r>
      <w:r w:rsidRPr="005E3B43">
        <w:tab/>
        <w:t>In this Division:</w:t>
      </w:r>
    </w:p>
    <w:p w14:paraId="6DB79598" w14:textId="3AA8F395" w:rsidR="008E09AF" w:rsidRPr="005E3B43" w:rsidRDefault="008E09AF" w:rsidP="00763BCF">
      <w:pPr>
        <w:pStyle w:val="Definition"/>
      </w:pPr>
      <w:r w:rsidRPr="005E3B43">
        <w:rPr>
          <w:b/>
          <w:i/>
        </w:rPr>
        <w:t>2010 Amendment Regulations</w:t>
      </w:r>
      <w:r w:rsidRPr="005E3B43">
        <w:t xml:space="preserve"> means the </w:t>
      </w:r>
      <w:r w:rsidRPr="005E3B43">
        <w:rPr>
          <w:i/>
        </w:rPr>
        <w:t xml:space="preserve">Therapeutic Goods Amendment </w:t>
      </w:r>
      <w:r w:rsidR="007C3215">
        <w:rPr>
          <w:i/>
        </w:rPr>
        <w:t>Regulations 2</w:t>
      </w:r>
      <w:r w:rsidRPr="005E3B43">
        <w:rPr>
          <w:i/>
        </w:rPr>
        <w:t>010 (No.</w:t>
      </w:r>
      <w:r w:rsidR="004E6D00" w:rsidRPr="005E3B43">
        <w:rPr>
          <w:i/>
        </w:rPr>
        <w:t> </w:t>
      </w:r>
      <w:r w:rsidRPr="005E3B43">
        <w:rPr>
          <w:i/>
        </w:rPr>
        <w:t>1)</w:t>
      </w:r>
      <w:r w:rsidRPr="005E3B43">
        <w:t>.</w:t>
      </w:r>
    </w:p>
    <w:p w14:paraId="36F2D6F7" w14:textId="4772D73B" w:rsidR="008E09AF" w:rsidRPr="005E3B43" w:rsidRDefault="008E09AF" w:rsidP="00763BCF">
      <w:pPr>
        <w:pStyle w:val="Definition"/>
      </w:pPr>
      <w:r w:rsidRPr="005E3B43">
        <w:rPr>
          <w:b/>
          <w:i/>
        </w:rPr>
        <w:t>finally determined</w:t>
      </w:r>
      <w:r w:rsidRPr="005E3B43">
        <w:t xml:space="preserve"> has the same meaning as in </w:t>
      </w:r>
      <w:r w:rsidR="003C0723" w:rsidRPr="005E3B43">
        <w:t>Division 1</w:t>
      </w:r>
      <w:r w:rsidRPr="005E3B43">
        <w:t>1.1 of Part</w:t>
      </w:r>
      <w:r w:rsidR="004E6D00" w:rsidRPr="005E3B43">
        <w:t> </w:t>
      </w:r>
      <w:r w:rsidRPr="005E3B43">
        <w:t xml:space="preserve">11 of the </w:t>
      </w:r>
      <w:r w:rsidRPr="005E3B43">
        <w:rPr>
          <w:i/>
        </w:rPr>
        <w:t xml:space="preserve">Therapeutic Goods (Medical Devices) </w:t>
      </w:r>
      <w:r w:rsidR="007C3215">
        <w:rPr>
          <w:i/>
        </w:rPr>
        <w:t>Regulations 2</w:t>
      </w:r>
      <w:r w:rsidRPr="005E3B43">
        <w:rPr>
          <w:i/>
        </w:rPr>
        <w:t>002</w:t>
      </w:r>
      <w:r w:rsidRPr="005E3B43">
        <w:t>.</w:t>
      </w:r>
    </w:p>
    <w:p w14:paraId="1D2D8731" w14:textId="748EF1D3" w:rsidR="008E09AF" w:rsidRPr="005E3B43" w:rsidRDefault="008E09AF" w:rsidP="00763BCF">
      <w:pPr>
        <w:pStyle w:val="Definition"/>
      </w:pPr>
      <w:r w:rsidRPr="005E3B43">
        <w:rPr>
          <w:b/>
          <w:i/>
        </w:rPr>
        <w:t>transitional device</w:t>
      </w:r>
      <w:r w:rsidRPr="005E3B43">
        <w:t xml:space="preserve"> has the same meaning as in </w:t>
      </w:r>
      <w:r w:rsidR="003C0723" w:rsidRPr="005E3B43">
        <w:t>Division 1</w:t>
      </w:r>
      <w:r w:rsidRPr="005E3B43">
        <w:t>1.1 of Part</w:t>
      </w:r>
      <w:r w:rsidR="004E6D00" w:rsidRPr="005E3B43">
        <w:t> </w:t>
      </w:r>
      <w:r w:rsidRPr="005E3B43">
        <w:t xml:space="preserve">11 of the </w:t>
      </w:r>
      <w:r w:rsidRPr="005E3B43">
        <w:rPr>
          <w:i/>
        </w:rPr>
        <w:t xml:space="preserve">Therapeutic Goods (Medical Devices) </w:t>
      </w:r>
      <w:r w:rsidR="007C3215">
        <w:rPr>
          <w:i/>
        </w:rPr>
        <w:t>Regulations 2</w:t>
      </w:r>
      <w:r w:rsidRPr="005E3B43">
        <w:rPr>
          <w:i/>
        </w:rPr>
        <w:t>002</w:t>
      </w:r>
      <w:r w:rsidRPr="005E3B43">
        <w:t>.</w:t>
      </w:r>
    </w:p>
    <w:p w14:paraId="76A824E2" w14:textId="728C9E7F" w:rsidR="008E09AF" w:rsidRPr="005E3B43" w:rsidRDefault="008E09AF" w:rsidP="00763BCF">
      <w:pPr>
        <w:pStyle w:val="Definition"/>
      </w:pPr>
      <w:r w:rsidRPr="005E3B43">
        <w:rPr>
          <w:b/>
          <w:i/>
        </w:rPr>
        <w:t>transition day</w:t>
      </w:r>
      <w:r w:rsidRPr="005E3B43">
        <w:t xml:space="preserve">, for a transitional device, has the same meaning as in </w:t>
      </w:r>
      <w:r w:rsidR="003C0723" w:rsidRPr="005E3B43">
        <w:t>Division 1</w:t>
      </w:r>
      <w:r w:rsidRPr="005E3B43">
        <w:t>1.1 of Part</w:t>
      </w:r>
      <w:r w:rsidR="004E6D00" w:rsidRPr="005E3B43">
        <w:t> </w:t>
      </w:r>
      <w:r w:rsidRPr="005E3B43">
        <w:t xml:space="preserve">11 of the </w:t>
      </w:r>
      <w:r w:rsidRPr="005E3B43">
        <w:rPr>
          <w:i/>
        </w:rPr>
        <w:t xml:space="preserve">Therapeutic Goods (Medical Devices) </w:t>
      </w:r>
      <w:r w:rsidR="007C3215">
        <w:rPr>
          <w:i/>
        </w:rPr>
        <w:t>Regulations 2</w:t>
      </w:r>
      <w:r w:rsidRPr="005E3B43">
        <w:rPr>
          <w:i/>
        </w:rPr>
        <w:t>002</w:t>
      </w:r>
      <w:r w:rsidRPr="005E3B43">
        <w:t>.</w:t>
      </w:r>
    </w:p>
    <w:p w14:paraId="2B9BFA3F" w14:textId="77777777" w:rsidR="008E09AF" w:rsidRPr="005E3B43" w:rsidRDefault="008E09AF" w:rsidP="00763BCF">
      <w:pPr>
        <w:pStyle w:val="ActHead5"/>
      </w:pPr>
      <w:bookmarkStart w:id="304" w:name="_Toc187135898"/>
      <w:r w:rsidRPr="005E3B43">
        <w:rPr>
          <w:rStyle w:val="CharSectno"/>
        </w:rPr>
        <w:t>48B</w:t>
      </w:r>
      <w:r w:rsidRPr="005E3B43">
        <w:t xml:space="preserve">  Application of 2010 Amendment Regulations</w:t>
      </w:r>
      <w:bookmarkEnd w:id="304"/>
    </w:p>
    <w:p w14:paraId="19DC1E60" w14:textId="77777777" w:rsidR="008E09AF" w:rsidRPr="005E3B43" w:rsidRDefault="008E09AF" w:rsidP="00763BCF">
      <w:pPr>
        <w:pStyle w:val="subsection"/>
      </w:pPr>
      <w:r w:rsidRPr="005E3B43">
        <w:tab/>
        <w:t>(1)</w:t>
      </w:r>
      <w:r w:rsidRPr="005E3B43">
        <w:tab/>
        <w:t xml:space="preserve">The amendments made by </w:t>
      </w:r>
      <w:r w:rsidR="008D1B4F" w:rsidRPr="005E3B43">
        <w:t>Schedule 1</w:t>
      </w:r>
      <w:r w:rsidRPr="005E3B43">
        <w:t xml:space="preserve"> to the 2010 Amendment Regulations apply in relation to a transitional device on and after the transition day for the device.</w:t>
      </w:r>
    </w:p>
    <w:p w14:paraId="2C861A66" w14:textId="77777777" w:rsidR="008E09AF" w:rsidRPr="005E3B43" w:rsidRDefault="008E09AF" w:rsidP="00763BCF">
      <w:pPr>
        <w:pStyle w:val="subsection"/>
      </w:pPr>
      <w:r w:rsidRPr="005E3B43">
        <w:tab/>
        <w:t>(2)</w:t>
      </w:r>
      <w:r w:rsidRPr="005E3B43">
        <w:tab/>
        <w:t>However, to avoid doubt, if:</w:t>
      </w:r>
    </w:p>
    <w:p w14:paraId="2FAF8682" w14:textId="77777777" w:rsidR="008E09AF" w:rsidRPr="005E3B43" w:rsidRDefault="008E09AF" w:rsidP="00763BCF">
      <w:pPr>
        <w:pStyle w:val="paragraph"/>
      </w:pPr>
      <w:r w:rsidRPr="005E3B43">
        <w:tab/>
        <w:t>(a)</w:t>
      </w:r>
      <w:r w:rsidRPr="005E3B43">
        <w:tab/>
        <w:t>a transitional device was included in the Register under Chapter</w:t>
      </w:r>
      <w:r w:rsidR="004E6D00" w:rsidRPr="005E3B43">
        <w:t> </w:t>
      </w:r>
      <w:r w:rsidRPr="005E3B43">
        <w:t xml:space="preserve">4 of the Act before </w:t>
      </w:r>
      <w:r w:rsidR="006B5D8E" w:rsidRPr="005E3B43">
        <w:t>1 July</w:t>
      </w:r>
      <w:r w:rsidRPr="005E3B43">
        <w:t xml:space="preserve"> 2014; or</w:t>
      </w:r>
    </w:p>
    <w:p w14:paraId="7BC7FFB1" w14:textId="77777777" w:rsidR="008E09AF" w:rsidRPr="005E3B43" w:rsidRDefault="008E09AF" w:rsidP="00763BCF">
      <w:pPr>
        <w:pStyle w:val="paragraph"/>
      </w:pPr>
      <w:r w:rsidRPr="005E3B43">
        <w:tab/>
        <w:t>(b)</w:t>
      </w:r>
      <w:r w:rsidRPr="005E3B43">
        <w:tab/>
        <w:t>an effective application for including a transitional device in the Register under Chapter</w:t>
      </w:r>
      <w:r w:rsidR="004E6D00" w:rsidRPr="005E3B43">
        <w:t> </w:t>
      </w:r>
      <w:r w:rsidRPr="005E3B43">
        <w:t xml:space="preserve">4 of the Act was made before </w:t>
      </w:r>
      <w:r w:rsidR="006B5D8E" w:rsidRPr="005E3B43">
        <w:t>1 July</w:t>
      </w:r>
      <w:r w:rsidRPr="005E3B43">
        <w:t xml:space="preserve"> 2014 and the application was finally determined before that date;</w:t>
      </w:r>
    </w:p>
    <w:p w14:paraId="42A91AAB" w14:textId="77777777" w:rsidR="008E09AF" w:rsidRPr="005E3B43" w:rsidRDefault="008E09AF" w:rsidP="00763BCF">
      <w:pPr>
        <w:pStyle w:val="subsection2"/>
      </w:pPr>
      <w:r w:rsidRPr="005E3B43">
        <w:t xml:space="preserve">the amendments made by </w:t>
      </w:r>
      <w:r w:rsidR="008D1B4F" w:rsidRPr="005E3B43">
        <w:t>Schedule 1</w:t>
      </w:r>
      <w:r w:rsidRPr="005E3B43">
        <w:t xml:space="preserve"> to the 2010 Amendment Regulations apply in relation to the device on and after </w:t>
      </w:r>
      <w:r w:rsidR="006B5D8E" w:rsidRPr="005E3B43">
        <w:t>1 July</w:t>
      </w:r>
      <w:r w:rsidRPr="005E3B43">
        <w:t xml:space="preserve"> 2014.</w:t>
      </w:r>
    </w:p>
    <w:p w14:paraId="6C70E537" w14:textId="267E37A4" w:rsidR="008E09AF" w:rsidRPr="005E3B43" w:rsidRDefault="007C3215" w:rsidP="00763BCF">
      <w:pPr>
        <w:pStyle w:val="ActHead3"/>
        <w:pageBreakBefore/>
      </w:pPr>
      <w:bookmarkStart w:id="305" w:name="_Toc187135899"/>
      <w:r>
        <w:rPr>
          <w:rStyle w:val="CharDivNo"/>
        </w:rPr>
        <w:lastRenderedPageBreak/>
        <w:t>Division 2</w:t>
      </w:r>
      <w:r w:rsidR="008E09AF" w:rsidRPr="005E3B43">
        <w:t>—</w:t>
      </w:r>
      <w:r w:rsidR="008E09AF" w:rsidRPr="005E3B43">
        <w:rPr>
          <w:rStyle w:val="CharDivText"/>
        </w:rPr>
        <w:t>Transitional provisions relating to the Therapeutic Goods Amendment Regulation</w:t>
      </w:r>
      <w:r w:rsidR="004E6D00" w:rsidRPr="005E3B43">
        <w:rPr>
          <w:rStyle w:val="CharDivText"/>
        </w:rPr>
        <w:t> </w:t>
      </w:r>
      <w:r w:rsidR="008E09AF" w:rsidRPr="005E3B43">
        <w:rPr>
          <w:rStyle w:val="CharDivText"/>
        </w:rPr>
        <w:t>2012 (No.</w:t>
      </w:r>
      <w:r w:rsidR="004E6D00" w:rsidRPr="005E3B43">
        <w:rPr>
          <w:rStyle w:val="CharDivText"/>
        </w:rPr>
        <w:t> </w:t>
      </w:r>
      <w:r w:rsidR="008E09AF" w:rsidRPr="005E3B43">
        <w:rPr>
          <w:rStyle w:val="CharDivText"/>
        </w:rPr>
        <w:t>3)</w:t>
      </w:r>
      <w:bookmarkEnd w:id="305"/>
    </w:p>
    <w:p w14:paraId="421659AE" w14:textId="77777777" w:rsidR="00F079C4" w:rsidRPr="005E3B43" w:rsidRDefault="00F079C4" w:rsidP="00763BCF">
      <w:pPr>
        <w:pStyle w:val="ActHead5"/>
      </w:pPr>
      <w:bookmarkStart w:id="306" w:name="_Toc187135900"/>
      <w:r w:rsidRPr="005E3B43">
        <w:rPr>
          <w:rStyle w:val="CharSectno"/>
        </w:rPr>
        <w:t>49</w:t>
      </w:r>
      <w:r w:rsidR="00E20BA4" w:rsidRPr="005E3B43">
        <w:t xml:space="preserve">  </w:t>
      </w:r>
      <w:r w:rsidRPr="005E3B43">
        <w:t>Transitional</w:t>
      </w:r>
      <w:bookmarkEnd w:id="306"/>
    </w:p>
    <w:p w14:paraId="6E7B34DC" w14:textId="77777777" w:rsidR="00F079C4" w:rsidRPr="005E3B43" w:rsidRDefault="00F079C4" w:rsidP="00763BCF">
      <w:pPr>
        <w:pStyle w:val="subsection"/>
      </w:pPr>
      <w:r w:rsidRPr="005E3B43">
        <w:tab/>
      </w:r>
      <w:r w:rsidRPr="005E3B43">
        <w:tab/>
        <w:t xml:space="preserve">Despite the amendments made by the </w:t>
      </w:r>
      <w:r w:rsidRPr="005E3B43">
        <w:rPr>
          <w:i/>
        </w:rPr>
        <w:t>Therapeutic Goods Amendment Regulation</w:t>
      </w:r>
      <w:r w:rsidR="004E6D00" w:rsidRPr="005E3B43">
        <w:rPr>
          <w:i/>
        </w:rPr>
        <w:t> </w:t>
      </w:r>
      <w:r w:rsidRPr="005E3B43">
        <w:rPr>
          <w:i/>
        </w:rPr>
        <w:t xml:space="preserve">2012 </w:t>
      </w:r>
      <w:r w:rsidR="008E09AF" w:rsidRPr="005E3B43">
        <w:rPr>
          <w:i/>
        </w:rPr>
        <w:t>(No.</w:t>
      </w:r>
      <w:r w:rsidR="004E6D00" w:rsidRPr="005E3B43">
        <w:rPr>
          <w:i/>
        </w:rPr>
        <w:t> </w:t>
      </w:r>
      <w:r w:rsidR="008E09AF" w:rsidRPr="005E3B43">
        <w:rPr>
          <w:i/>
        </w:rPr>
        <w:t>3)</w:t>
      </w:r>
      <w:r w:rsidRPr="005E3B43">
        <w:t>:</w:t>
      </w:r>
    </w:p>
    <w:p w14:paraId="07A7D529" w14:textId="16444824" w:rsidR="00F079C4" w:rsidRPr="005E3B43" w:rsidRDefault="00F079C4" w:rsidP="00763BCF">
      <w:pPr>
        <w:pStyle w:val="paragraph"/>
      </w:pPr>
      <w:r w:rsidRPr="005E3B43">
        <w:tab/>
        <w:t>(b)</w:t>
      </w:r>
      <w:r w:rsidRPr="005E3B43">
        <w:tab/>
      </w:r>
      <w:r w:rsidR="004E6D00" w:rsidRPr="005E3B43">
        <w:t>paragraph (</w:t>
      </w:r>
      <w:r w:rsidRPr="005E3B43">
        <w:t>g) of item</w:t>
      </w:r>
      <w:r w:rsidR="004E6D00" w:rsidRPr="005E3B43">
        <w:t> </w:t>
      </w:r>
      <w:r w:rsidRPr="005E3B43">
        <w:t>8 of Schedule</w:t>
      </w:r>
      <w:r w:rsidR="004E6D00" w:rsidRPr="005E3B43">
        <w:t> </w:t>
      </w:r>
      <w:r w:rsidRPr="005E3B43">
        <w:t>5, as in force on 9 November 2012, continues to apply</w:t>
      </w:r>
      <w:r w:rsidR="00F539F4" w:rsidRPr="005E3B43">
        <w:t xml:space="preserve"> until the end of 31 December 2026</w:t>
      </w:r>
      <w:r w:rsidRPr="005E3B43">
        <w:t xml:space="preserve"> in relation to goods exempt from the operation of Parts</w:t>
      </w:r>
      <w:r w:rsidR="004E6D00" w:rsidRPr="005E3B43">
        <w:t> </w:t>
      </w:r>
      <w:r w:rsidRPr="005E3B43">
        <w:t>3</w:t>
      </w:r>
      <w:r w:rsidR="007C3215">
        <w:noBreakHyphen/>
      </w:r>
      <w:r w:rsidRPr="005E3B43">
        <w:t>2 and 3</w:t>
      </w:r>
      <w:r w:rsidR="007C3215">
        <w:noBreakHyphen/>
      </w:r>
      <w:r w:rsidRPr="005E3B43">
        <w:t xml:space="preserve">2A of the Act on </w:t>
      </w:r>
      <w:r w:rsidR="00F539F4" w:rsidRPr="005E3B43">
        <w:t>9 November 2012</w:t>
      </w:r>
      <w:r w:rsidRPr="005E3B43">
        <w:t>; and</w:t>
      </w:r>
    </w:p>
    <w:p w14:paraId="4CA93579" w14:textId="34D85BBF" w:rsidR="00F079C4" w:rsidRPr="005E3B43" w:rsidRDefault="00F079C4" w:rsidP="00763BCF">
      <w:pPr>
        <w:pStyle w:val="paragraph"/>
      </w:pPr>
      <w:r w:rsidRPr="005E3B43">
        <w:tab/>
        <w:t>(c)</w:t>
      </w:r>
      <w:r w:rsidRPr="005E3B43">
        <w:tab/>
      </w:r>
      <w:r w:rsidR="004E6D00" w:rsidRPr="005E3B43">
        <w:t>paragraph (</w:t>
      </w:r>
      <w:r w:rsidRPr="005E3B43">
        <w:t xml:space="preserve">b) of </w:t>
      </w:r>
      <w:r w:rsidR="007C3215">
        <w:t>item 1</w:t>
      </w:r>
      <w:r w:rsidRPr="005E3B43">
        <w:t>4 of Schedule</w:t>
      </w:r>
      <w:r w:rsidR="004E6D00" w:rsidRPr="005E3B43">
        <w:t> </w:t>
      </w:r>
      <w:r w:rsidRPr="005E3B43">
        <w:t>7, as in force on 9 November 2012, continues to apply</w:t>
      </w:r>
      <w:r w:rsidR="00F539F4" w:rsidRPr="005E3B43">
        <w:t xml:space="preserve"> until the end of 31 December 2026</w:t>
      </w:r>
      <w:r w:rsidRPr="005E3B43">
        <w:t xml:space="preserve"> in relation to therapeutic goods exempt from the operation of </w:t>
      </w:r>
      <w:r w:rsidR="00BB758E" w:rsidRPr="005E3B43">
        <w:t>Part 3</w:t>
      </w:r>
      <w:r w:rsidR="007C3215">
        <w:noBreakHyphen/>
      </w:r>
      <w:r w:rsidRPr="005E3B43">
        <w:t xml:space="preserve">3 of the Act on </w:t>
      </w:r>
      <w:r w:rsidR="00F539F4" w:rsidRPr="005E3B43">
        <w:t>9 November 2012</w:t>
      </w:r>
      <w:r w:rsidRPr="005E3B43">
        <w:t>.</w:t>
      </w:r>
    </w:p>
    <w:p w14:paraId="127549E9" w14:textId="77777777" w:rsidR="00630739" w:rsidRPr="005E3B43" w:rsidRDefault="00BE7FAC" w:rsidP="00763BCF">
      <w:pPr>
        <w:pStyle w:val="ActHead3"/>
        <w:pageBreakBefore/>
      </w:pPr>
      <w:bookmarkStart w:id="307" w:name="_Toc187135901"/>
      <w:r w:rsidRPr="005E3B43">
        <w:rPr>
          <w:rStyle w:val="CharDivNo"/>
        </w:rPr>
        <w:lastRenderedPageBreak/>
        <w:t>Division 3</w:t>
      </w:r>
      <w:r w:rsidR="00630739" w:rsidRPr="005E3B43">
        <w:t>—</w:t>
      </w:r>
      <w:r w:rsidR="00630739" w:rsidRPr="005E3B43">
        <w:rPr>
          <w:rStyle w:val="CharDivText"/>
        </w:rPr>
        <w:t>Transitional provisions relating to the Therapeutic Goods Amendment (Registered Over the Counter Medicines) Regulation</w:t>
      </w:r>
      <w:r w:rsidR="004E6D00" w:rsidRPr="005E3B43">
        <w:rPr>
          <w:rStyle w:val="CharDivText"/>
        </w:rPr>
        <w:t> </w:t>
      </w:r>
      <w:r w:rsidR="00630739" w:rsidRPr="005E3B43">
        <w:rPr>
          <w:rStyle w:val="CharDivText"/>
        </w:rPr>
        <w:t>2015</w:t>
      </w:r>
      <w:bookmarkEnd w:id="307"/>
    </w:p>
    <w:p w14:paraId="38A13926" w14:textId="77777777" w:rsidR="00630739" w:rsidRPr="005E3B43" w:rsidRDefault="00630739" w:rsidP="00763BCF">
      <w:pPr>
        <w:pStyle w:val="ActHead5"/>
      </w:pPr>
      <w:bookmarkStart w:id="308" w:name="_Toc187135902"/>
      <w:r w:rsidRPr="005E3B43">
        <w:rPr>
          <w:rStyle w:val="CharSectno"/>
        </w:rPr>
        <w:t>50</w:t>
      </w:r>
      <w:r w:rsidRPr="005E3B43">
        <w:t xml:space="preserve">  Application</w:t>
      </w:r>
      <w:bookmarkEnd w:id="308"/>
    </w:p>
    <w:p w14:paraId="1C1A47EA" w14:textId="77777777" w:rsidR="00630739" w:rsidRPr="005E3B43" w:rsidRDefault="00630739" w:rsidP="00763BCF">
      <w:pPr>
        <w:pStyle w:val="subsection"/>
      </w:pPr>
      <w:r w:rsidRPr="005E3B43">
        <w:tab/>
      </w:r>
      <w:r w:rsidRPr="005E3B43">
        <w:tab/>
        <w:t xml:space="preserve">The amendments made by the </w:t>
      </w:r>
      <w:r w:rsidRPr="005E3B43">
        <w:rPr>
          <w:i/>
        </w:rPr>
        <w:t>Therapeutic Goods Amendment (Registered Over the Counter Medicines) Regulation</w:t>
      </w:r>
      <w:r w:rsidR="004E6D00" w:rsidRPr="005E3B43">
        <w:rPr>
          <w:i/>
        </w:rPr>
        <w:t> </w:t>
      </w:r>
      <w:r w:rsidRPr="005E3B43">
        <w:rPr>
          <w:i/>
        </w:rPr>
        <w:t>2015</w:t>
      </w:r>
      <w:r w:rsidRPr="005E3B43">
        <w:t xml:space="preserve"> apply in relation to applications and requests made on or after </w:t>
      </w:r>
      <w:r w:rsidR="006B5D8E" w:rsidRPr="005E3B43">
        <w:t>1 January</w:t>
      </w:r>
      <w:r w:rsidRPr="005E3B43">
        <w:t xml:space="preserve"> 2016.</w:t>
      </w:r>
    </w:p>
    <w:p w14:paraId="37459F12" w14:textId="77777777" w:rsidR="00254B44" w:rsidRPr="005E3B43" w:rsidRDefault="00BE7FAC" w:rsidP="00763BCF">
      <w:pPr>
        <w:pStyle w:val="ActHead3"/>
        <w:pageBreakBefore/>
      </w:pPr>
      <w:bookmarkStart w:id="309" w:name="_Toc187135903"/>
      <w:r w:rsidRPr="005E3B43">
        <w:rPr>
          <w:rStyle w:val="CharDivNo"/>
        </w:rPr>
        <w:lastRenderedPageBreak/>
        <w:t>Division 4</w:t>
      </w:r>
      <w:r w:rsidR="00254B44" w:rsidRPr="005E3B43">
        <w:t>—</w:t>
      </w:r>
      <w:r w:rsidR="00254B44" w:rsidRPr="005E3B43">
        <w:rPr>
          <w:rStyle w:val="CharDivText"/>
        </w:rPr>
        <w:t>Transitional provisions relating to the Therapeutic Goods Legislation Amendment (Charges Exemptions and Other Measures) Regulation</w:t>
      </w:r>
      <w:r w:rsidR="004E6D00" w:rsidRPr="005E3B43">
        <w:rPr>
          <w:rStyle w:val="CharDivText"/>
        </w:rPr>
        <w:t> </w:t>
      </w:r>
      <w:r w:rsidR="00254B44" w:rsidRPr="005E3B43">
        <w:rPr>
          <w:rStyle w:val="CharDivText"/>
        </w:rPr>
        <w:t>2016</w:t>
      </w:r>
      <w:bookmarkEnd w:id="309"/>
    </w:p>
    <w:p w14:paraId="04F43ED3" w14:textId="77777777" w:rsidR="00254B44" w:rsidRPr="005E3B43" w:rsidRDefault="00254B44" w:rsidP="00763BCF">
      <w:pPr>
        <w:pStyle w:val="ActHead5"/>
      </w:pPr>
      <w:bookmarkStart w:id="310" w:name="_Toc187135904"/>
      <w:r w:rsidRPr="005E3B43">
        <w:rPr>
          <w:rStyle w:val="CharSectno"/>
        </w:rPr>
        <w:t>51</w:t>
      </w:r>
      <w:r w:rsidRPr="005E3B43">
        <w:t xml:space="preserve">  Application</w:t>
      </w:r>
      <w:bookmarkEnd w:id="310"/>
    </w:p>
    <w:p w14:paraId="291ACA7E" w14:textId="77777777" w:rsidR="00254B44" w:rsidRPr="005E3B43" w:rsidRDefault="00254B44" w:rsidP="00763BCF">
      <w:pPr>
        <w:pStyle w:val="subsection"/>
      </w:pPr>
      <w:r w:rsidRPr="005E3B43">
        <w:tab/>
        <w:t>(1)</w:t>
      </w:r>
      <w:r w:rsidRPr="005E3B43">
        <w:tab/>
        <w:t>The amendments made by Part</w:t>
      </w:r>
      <w:r w:rsidR="004E6D00" w:rsidRPr="005E3B43">
        <w:t> </w:t>
      </w:r>
      <w:r w:rsidRPr="005E3B43">
        <w:t>1 of Schedule</w:t>
      </w:r>
      <w:r w:rsidR="004E6D00" w:rsidRPr="005E3B43">
        <w:t> </w:t>
      </w:r>
      <w:r w:rsidRPr="005E3B43">
        <w:t xml:space="preserve">4 to the </w:t>
      </w:r>
      <w:r w:rsidRPr="005E3B43">
        <w:rPr>
          <w:i/>
        </w:rPr>
        <w:t>Therapeutic Goods Legislation Amendment (Charges Exemptions and Other Measures) Regulation</w:t>
      </w:r>
      <w:r w:rsidR="004E6D00" w:rsidRPr="005E3B43">
        <w:rPr>
          <w:i/>
        </w:rPr>
        <w:t> </w:t>
      </w:r>
      <w:r w:rsidRPr="005E3B43">
        <w:rPr>
          <w:i/>
        </w:rPr>
        <w:t>2016</w:t>
      </w:r>
      <w:r w:rsidRPr="005E3B43">
        <w:t xml:space="preserve"> apply in relation to an event or change of name that occurs on or after the day that </w:t>
      </w:r>
      <w:r w:rsidR="009D7AE0" w:rsidRPr="005E3B43">
        <w:t>Part c</w:t>
      </w:r>
      <w:r w:rsidRPr="005E3B43">
        <w:t>ommences.</w:t>
      </w:r>
    </w:p>
    <w:p w14:paraId="03D71334" w14:textId="45B422E7" w:rsidR="00254B44" w:rsidRPr="005E3B43" w:rsidRDefault="00254B44" w:rsidP="00763BCF">
      <w:pPr>
        <w:pStyle w:val="subsection"/>
      </w:pPr>
      <w:r w:rsidRPr="005E3B43">
        <w:tab/>
        <w:t>(2)</w:t>
      </w:r>
      <w:r w:rsidRPr="005E3B43">
        <w:tab/>
        <w:t xml:space="preserve">The amendments made by </w:t>
      </w:r>
      <w:r w:rsidR="007C3215">
        <w:t>items 2</w:t>
      </w:r>
      <w:r w:rsidRPr="005E3B43">
        <w:t xml:space="preserve">4, 25 and 26 of </w:t>
      </w:r>
      <w:r w:rsidR="00BB758E" w:rsidRPr="005E3B43">
        <w:t>Part 3</w:t>
      </w:r>
      <w:r w:rsidRPr="005E3B43">
        <w:t xml:space="preserve"> of Schedule</w:t>
      </w:r>
      <w:r w:rsidR="004E6D00" w:rsidRPr="005E3B43">
        <w:t> </w:t>
      </w:r>
      <w:r w:rsidRPr="005E3B43">
        <w:t xml:space="preserve">4 to the </w:t>
      </w:r>
      <w:r w:rsidRPr="005E3B43">
        <w:rPr>
          <w:i/>
        </w:rPr>
        <w:t>Therapeutic Goods Legislation Amendment (Charges Exemptions and Other Measures) Regulation</w:t>
      </w:r>
      <w:r w:rsidR="004E6D00" w:rsidRPr="005E3B43">
        <w:rPr>
          <w:i/>
        </w:rPr>
        <w:t> </w:t>
      </w:r>
      <w:r w:rsidRPr="005E3B43">
        <w:rPr>
          <w:i/>
        </w:rPr>
        <w:t>2016</w:t>
      </w:r>
      <w:r w:rsidRPr="005E3B43">
        <w:t xml:space="preserve"> apply in relation to requests made on or after the day that </w:t>
      </w:r>
      <w:r w:rsidR="009D7AE0" w:rsidRPr="005E3B43">
        <w:t>Part c</w:t>
      </w:r>
      <w:r w:rsidRPr="005E3B43">
        <w:t>ommences.</w:t>
      </w:r>
    </w:p>
    <w:p w14:paraId="6D0853AE" w14:textId="579C4C90" w:rsidR="00D05FF5" w:rsidRPr="005E3B43" w:rsidRDefault="00BE7FAC" w:rsidP="00763BCF">
      <w:pPr>
        <w:pStyle w:val="ActHead3"/>
        <w:pageBreakBefore/>
      </w:pPr>
      <w:bookmarkStart w:id="311" w:name="_Toc187135905"/>
      <w:r w:rsidRPr="005E3B43">
        <w:rPr>
          <w:rStyle w:val="CharDivNo"/>
        </w:rPr>
        <w:lastRenderedPageBreak/>
        <w:t>Division 5</w:t>
      </w:r>
      <w:r w:rsidR="00D05FF5" w:rsidRPr="005E3B43">
        <w:t>—</w:t>
      </w:r>
      <w:r w:rsidR="00D05FF5" w:rsidRPr="005E3B43">
        <w:rPr>
          <w:rStyle w:val="CharDivText"/>
        </w:rPr>
        <w:t>Transitional provisions relating to the Therapeutic Goods Legislation Amendment (2017 Measures No.</w:t>
      </w:r>
      <w:r w:rsidR="004E6D00" w:rsidRPr="005E3B43">
        <w:rPr>
          <w:rStyle w:val="CharDivText"/>
        </w:rPr>
        <w:t> </w:t>
      </w:r>
      <w:r w:rsidR="00D05FF5" w:rsidRPr="005E3B43">
        <w:rPr>
          <w:rStyle w:val="CharDivText"/>
        </w:rPr>
        <w:t xml:space="preserve">1) </w:t>
      </w:r>
      <w:r w:rsidR="007C3215">
        <w:rPr>
          <w:rStyle w:val="CharDivText"/>
        </w:rPr>
        <w:t>Regulations 2</w:t>
      </w:r>
      <w:r w:rsidR="00D05FF5" w:rsidRPr="005E3B43">
        <w:rPr>
          <w:rStyle w:val="CharDivText"/>
        </w:rPr>
        <w:t>017</w:t>
      </w:r>
      <w:bookmarkEnd w:id="311"/>
    </w:p>
    <w:p w14:paraId="737F3757" w14:textId="77777777" w:rsidR="00D05FF5" w:rsidRPr="005E3B43" w:rsidRDefault="00D05FF5" w:rsidP="00763BCF">
      <w:pPr>
        <w:pStyle w:val="ActHead5"/>
      </w:pPr>
      <w:bookmarkStart w:id="312" w:name="_Toc187135906"/>
      <w:r w:rsidRPr="005E3B43">
        <w:rPr>
          <w:rStyle w:val="CharSectno"/>
        </w:rPr>
        <w:t>52</w:t>
      </w:r>
      <w:r w:rsidRPr="005E3B43">
        <w:t xml:space="preserve">  Definitions</w:t>
      </w:r>
      <w:bookmarkEnd w:id="312"/>
    </w:p>
    <w:p w14:paraId="727AEBA1" w14:textId="77777777" w:rsidR="00D05FF5" w:rsidRPr="005E3B43" w:rsidRDefault="00D05FF5" w:rsidP="00763BCF">
      <w:pPr>
        <w:pStyle w:val="subsection"/>
      </w:pPr>
      <w:r w:rsidRPr="005E3B43">
        <w:tab/>
      </w:r>
      <w:r w:rsidRPr="005E3B43">
        <w:tab/>
        <w:t>In this Division:</w:t>
      </w:r>
    </w:p>
    <w:p w14:paraId="70AE7666" w14:textId="50778CC4" w:rsidR="00D05FF5" w:rsidRPr="005E3B43" w:rsidRDefault="00D05FF5" w:rsidP="00763BCF">
      <w:pPr>
        <w:pStyle w:val="Definition"/>
      </w:pPr>
      <w:r w:rsidRPr="005E3B43">
        <w:rPr>
          <w:b/>
          <w:i/>
        </w:rPr>
        <w:t>2017 Amendment Regulations</w:t>
      </w:r>
      <w:r w:rsidRPr="005E3B43">
        <w:t xml:space="preserve"> means the </w:t>
      </w:r>
      <w:r w:rsidRPr="005E3B43">
        <w:rPr>
          <w:i/>
        </w:rPr>
        <w:t>Therapeutic Goods Legislation Amendment (2017 Measures No.</w:t>
      </w:r>
      <w:r w:rsidR="004E6D00" w:rsidRPr="005E3B43">
        <w:rPr>
          <w:i/>
        </w:rPr>
        <w:t> </w:t>
      </w:r>
      <w:r w:rsidRPr="005E3B43">
        <w:rPr>
          <w:i/>
        </w:rPr>
        <w:t xml:space="preserve">1) </w:t>
      </w:r>
      <w:r w:rsidR="007C3215">
        <w:rPr>
          <w:i/>
        </w:rPr>
        <w:t>Regulations 2</w:t>
      </w:r>
      <w:r w:rsidRPr="005E3B43">
        <w:rPr>
          <w:i/>
        </w:rPr>
        <w:t>017</w:t>
      </w:r>
      <w:r w:rsidRPr="005E3B43">
        <w:t>.</w:t>
      </w:r>
    </w:p>
    <w:p w14:paraId="70010B15" w14:textId="77777777" w:rsidR="00D05FF5" w:rsidRPr="005E3B43" w:rsidRDefault="00D05FF5" w:rsidP="00763BCF">
      <w:pPr>
        <w:pStyle w:val="Definition"/>
      </w:pPr>
      <w:r w:rsidRPr="005E3B43">
        <w:rPr>
          <w:b/>
          <w:i/>
        </w:rPr>
        <w:t xml:space="preserve">commencement day </w:t>
      </w:r>
      <w:r w:rsidRPr="005E3B43">
        <w:t>means the day on which Part</w:t>
      </w:r>
      <w:r w:rsidR="004E6D00" w:rsidRPr="005E3B43">
        <w:t> </w:t>
      </w:r>
      <w:r w:rsidRPr="005E3B43">
        <w:t xml:space="preserve">1 of </w:t>
      </w:r>
      <w:r w:rsidR="008D1B4F" w:rsidRPr="005E3B43">
        <w:t>Schedule 1</w:t>
      </w:r>
      <w:r w:rsidRPr="005E3B43">
        <w:t xml:space="preserve"> to the 2017 Amendment Regulations commences.</w:t>
      </w:r>
    </w:p>
    <w:p w14:paraId="73131159" w14:textId="77777777" w:rsidR="00D05FF5" w:rsidRPr="005E3B43" w:rsidRDefault="00D05FF5" w:rsidP="00763BCF">
      <w:pPr>
        <w:pStyle w:val="ActHead5"/>
      </w:pPr>
      <w:bookmarkStart w:id="313" w:name="_Toc187135907"/>
      <w:r w:rsidRPr="005E3B43">
        <w:rPr>
          <w:rStyle w:val="CharSectno"/>
        </w:rPr>
        <w:t>53</w:t>
      </w:r>
      <w:r w:rsidRPr="005E3B43">
        <w:t xml:space="preserve">  Transitional—continuing application of evaluation fees for variations of permissible ingredients determinations</w:t>
      </w:r>
      <w:bookmarkEnd w:id="313"/>
    </w:p>
    <w:p w14:paraId="3D8D72C0" w14:textId="77777777" w:rsidR="00D05FF5" w:rsidRPr="005E3B43" w:rsidRDefault="00D05FF5" w:rsidP="00763BCF">
      <w:pPr>
        <w:pStyle w:val="subsection"/>
      </w:pPr>
      <w:r w:rsidRPr="005E3B43">
        <w:tab/>
        <w:t>(1)</w:t>
      </w:r>
      <w:r w:rsidRPr="005E3B43">
        <w:tab/>
        <w:t>This regulation applies if, before the commencement of Schedule</w:t>
      </w:r>
      <w:r w:rsidR="004E6D00" w:rsidRPr="005E3B43">
        <w:t> </w:t>
      </w:r>
      <w:r w:rsidRPr="005E3B43">
        <w:t xml:space="preserve">5 to the </w:t>
      </w:r>
      <w:r w:rsidRPr="005E3B43">
        <w:rPr>
          <w:i/>
        </w:rPr>
        <w:t>Therapeutic Goods Amendment (2016 Measures No.</w:t>
      </w:r>
      <w:r w:rsidR="004E6D00" w:rsidRPr="005E3B43">
        <w:rPr>
          <w:i/>
        </w:rPr>
        <w:t> </w:t>
      </w:r>
      <w:r w:rsidRPr="005E3B43">
        <w:rPr>
          <w:i/>
        </w:rPr>
        <w:t>1) Act 2017</w:t>
      </w:r>
      <w:r w:rsidRPr="005E3B43">
        <w:t>:</w:t>
      </w:r>
    </w:p>
    <w:p w14:paraId="76780D7B" w14:textId="77777777" w:rsidR="00D05FF5" w:rsidRPr="005E3B43" w:rsidRDefault="00D05FF5" w:rsidP="00763BCF">
      <w:pPr>
        <w:pStyle w:val="paragraph"/>
      </w:pPr>
      <w:r w:rsidRPr="005E3B43">
        <w:tab/>
        <w:t>(a)</w:t>
      </w:r>
      <w:r w:rsidRPr="005E3B43">
        <w:tab/>
        <w:t>an application had been made under sub</w:t>
      </w:r>
      <w:r w:rsidR="00FB7FAA" w:rsidRPr="005E3B43">
        <w:t>section 2</w:t>
      </w:r>
      <w:r w:rsidRPr="005E3B43">
        <w:t>6BD(1) of the Act (as in force immediately before that commencement) for a variation of a determination under sub</w:t>
      </w:r>
      <w:r w:rsidR="00FB7FAA" w:rsidRPr="005E3B43">
        <w:t>section 2</w:t>
      </w:r>
      <w:r w:rsidRPr="005E3B43">
        <w:t>6BB(1) of the Act; and</w:t>
      </w:r>
    </w:p>
    <w:p w14:paraId="76AA30CD" w14:textId="77777777" w:rsidR="00D05FF5" w:rsidRPr="005E3B43" w:rsidRDefault="00D05FF5" w:rsidP="00763BCF">
      <w:pPr>
        <w:pStyle w:val="paragraph"/>
      </w:pPr>
      <w:r w:rsidRPr="005E3B43">
        <w:tab/>
        <w:t>(b)</w:t>
      </w:r>
      <w:r w:rsidRPr="005E3B43">
        <w:tab/>
        <w:t>no decision had been made in relation to the application; and</w:t>
      </w:r>
    </w:p>
    <w:p w14:paraId="7A1F11E5" w14:textId="77777777" w:rsidR="00D05FF5" w:rsidRPr="005E3B43" w:rsidRDefault="00D05FF5" w:rsidP="00763BCF">
      <w:pPr>
        <w:pStyle w:val="paragraph"/>
      </w:pPr>
      <w:r w:rsidRPr="005E3B43">
        <w:tab/>
        <w:t>(c)</w:t>
      </w:r>
      <w:r w:rsidRPr="005E3B43">
        <w:tab/>
        <w:t xml:space="preserve">the evaluation fee prescribed by </w:t>
      </w:r>
      <w:r w:rsidR="00BE7FAC" w:rsidRPr="005E3B43">
        <w:t>item 7</w:t>
      </w:r>
      <w:r w:rsidRPr="005E3B43">
        <w:t>C or 7D, as the case may be, of the table in clause</w:t>
      </w:r>
      <w:r w:rsidR="004E6D00" w:rsidRPr="005E3B43">
        <w:t> </w:t>
      </w:r>
      <w:r w:rsidRPr="005E3B43">
        <w:t>3 of Schedule</w:t>
      </w:r>
      <w:r w:rsidR="004E6D00" w:rsidRPr="005E3B43">
        <w:t> </w:t>
      </w:r>
      <w:r w:rsidRPr="005E3B43">
        <w:t>9 (as in force immediately before that commencement) in relation to the application had not been paid.</w:t>
      </w:r>
    </w:p>
    <w:p w14:paraId="14FE6DEA" w14:textId="77777777" w:rsidR="00D05FF5" w:rsidRPr="005E3B43" w:rsidRDefault="00D05FF5" w:rsidP="00763BCF">
      <w:pPr>
        <w:pStyle w:val="subsection"/>
      </w:pPr>
      <w:r w:rsidRPr="005E3B43">
        <w:tab/>
        <w:t>(2)</w:t>
      </w:r>
      <w:r w:rsidRPr="005E3B43">
        <w:tab/>
        <w:t>Despite the amendments made by Schedule</w:t>
      </w:r>
      <w:r w:rsidR="004E6D00" w:rsidRPr="005E3B43">
        <w:t> </w:t>
      </w:r>
      <w:r w:rsidRPr="005E3B43">
        <w:t xml:space="preserve">3 to the 2017 Amendment Regulations, the evaluation fee prescribed by </w:t>
      </w:r>
      <w:r w:rsidR="00BE7FAC" w:rsidRPr="005E3B43">
        <w:t>item 7</w:t>
      </w:r>
      <w:r w:rsidRPr="005E3B43">
        <w:t>C or 7D, as the case may be, of the table in clause</w:t>
      </w:r>
      <w:r w:rsidR="004E6D00" w:rsidRPr="005E3B43">
        <w:t> </w:t>
      </w:r>
      <w:r w:rsidRPr="005E3B43">
        <w:t>3 of Schedule</w:t>
      </w:r>
      <w:r w:rsidR="004E6D00" w:rsidRPr="005E3B43">
        <w:t> </w:t>
      </w:r>
      <w:r w:rsidRPr="005E3B43">
        <w:t>9 (as in force immediately before the commencement of Schedule</w:t>
      </w:r>
      <w:r w:rsidR="004E6D00" w:rsidRPr="005E3B43">
        <w:t> </w:t>
      </w:r>
      <w:r w:rsidRPr="005E3B43">
        <w:t xml:space="preserve">5 to the </w:t>
      </w:r>
      <w:r w:rsidRPr="005E3B43">
        <w:rPr>
          <w:i/>
        </w:rPr>
        <w:t>Therapeutic Goods Amendment (2016 Measures No.</w:t>
      </w:r>
      <w:r w:rsidR="004E6D00" w:rsidRPr="005E3B43">
        <w:rPr>
          <w:i/>
        </w:rPr>
        <w:t> </w:t>
      </w:r>
      <w:r w:rsidRPr="005E3B43">
        <w:rPr>
          <w:i/>
        </w:rPr>
        <w:t>1) Act 2017</w:t>
      </w:r>
      <w:r w:rsidRPr="005E3B43">
        <w:t>) continues to apply in relation to the application.</w:t>
      </w:r>
    </w:p>
    <w:p w14:paraId="7FCB56E3" w14:textId="77777777" w:rsidR="00D05FF5" w:rsidRPr="005E3B43" w:rsidRDefault="00D05FF5" w:rsidP="00763BCF">
      <w:pPr>
        <w:pStyle w:val="ActHead5"/>
      </w:pPr>
      <w:bookmarkStart w:id="314" w:name="_Toc187135908"/>
      <w:r w:rsidRPr="005E3B43">
        <w:rPr>
          <w:rStyle w:val="CharSectno"/>
        </w:rPr>
        <w:t>54</w:t>
      </w:r>
      <w:r w:rsidRPr="005E3B43">
        <w:t xml:space="preserve">  Transitional—existing orphan drug designations</w:t>
      </w:r>
      <w:bookmarkEnd w:id="314"/>
    </w:p>
    <w:p w14:paraId="36D13B1A" w14:textId="77777777" w:rsidR="00D05FF5" w:rsidRPr="005E3B43" w:rsidRDefault="00D05FF5" w:rsidP="00763BCF">
      <w:pPr>
        <w:pStyle w:val="subsection"/>
      </w:pPr>
      <w:r w:rsidRPr="005E3B43">
        <w:tab/>
        <w:t>(1)</w:t>
      </w:r>
      <w:r w:rsidRPr="005E3B43">
        <w:tab/>
        <w:t>This regulation applies if a designation by the Secretary under regulation</w:t>
      </w:r>
      <w:r w:rsidR="004E6D00" w:rsidRPr="005E3B43">
        <w:t> </w:t>
      </w:r>
      <w:r w:rsidRPr="005E3B43">
        <w:t>16J (as in force immediately before the commencement day) of a medicine, vaccine or in vivo diagnostic agent as an orphan drug was in force immediately before the commencement day.</w:t>
      </w:r>
    </w:p>
    <w:p w14:paraId="13D51902" w14:textId="77777777" w:rsidR="00D05FF5" w:rsidRPr="005E3B43" w:rsidRDefault="00D05FF5" w:rsidP="00763BCF">
      <w:pPr>
        <w:pStyle w:val="subsection"/>
      </w:pPr>
      <w:r w:rsidRPr="005E3B43">
        <w:tab/>
        <w:t>(2)</w:t>
      </w:r>
      <w:r w:rsidRPr="005E3B43">
        <w:tab/>
        <w:t>The designation continues in force for 12 months beginning on the commencement day.</w:t>
      </w:r>
    </w:p>
    <w:p w14:paraId="712D1CEB" w14:textId="77777777" w:rsidR="00D05FF5" w:rsidRPr="005E3B43" w:rsidRDefault="00D05FF5" w:rsidP="00763BCF">
      <w:pPr>
        <w:pStyle w:val="ActHead5"/>
      </w:pPr>
      <w:bookmarkStart w:id="315" w:name="_Toc187135909"/>
      <w:r w:rsidRPr="005E3B43">
        <w:rPr>
          <w:rStyle w:val="CharSectno"/>
        </w:rPr>
        <w:t>55</w:t>
      </w:r>
      <w:r w:rsidRPr="005E3B43">
        <w:t xml:space="preserve">  Transitional—pending orphan drug designation applications</w:t>
      </w:r>
      <w:bookmarkEnd w:id="315"/>
    </w:p>
    <w:p w14:paraId="6ABB503D" w14:textId="77777777" w:rsidR="00D05FF5" w:rsidRPr="005E3B43" w:rsidRDefault="00D05FF5" w:rsidP="00763BCF">
      <w:pPr>
        <w:pStyle w:val="subsection"/>
      </w:pPr>
      <w:r w:rsidRPr="005E3B43">
        <w:tab/>
        <w:t>(1)</w:t>
      </w:r>
      <w:r w:rsidRPr="005E3B43">
        <w:tab/>
        <w:t>This regulation applies if, before the commencement day:</w:t>
      </w:r>
    </w:p>
    <w:p w14:paraId="2F023184" w14:textId="77777777" w:rsidR="00D05FF5" w:rsidRPr="005E3B43" w:rsidRDefault="00D05FF5" w:rsidP="00763BCF">
      <w:pPr>
        <w:pStyle w:val="paragraph"/>
      </w:pPr>
      <w:r w:rsidRPr="005E3B43">
        <w:lastRenderedPageBreak/>
        <w:tab/>
        <w:t>(a)</w:t>
      </w:r>
      <w:r w:rsidRPr="005E3B43">
        <w:tab/>
        <w:t>a person had applied to the Secretary under regulation</w:t>
      </w:r>
      <w:r w:rsidR="004E6D00" w:rsidRPr="005E3B43">
        <w:t> </w:t>
      </w:r>
      <w:r w:rsidRPr="005E3B43">
        <w:t>16I (as in force before the commencement day) to designate a medicine, vaccine or in vivo diagnostic agent as an orphan drug; and</w:t>
      </w:r>
    </w:p>
    <w:p w14:paraId="02326A60" w14:textId="77777777" w:rsidR="00D05FF5" w:rsidRPr="005E3B43" w:rsidRDefault="00D05FF5" w:rsidP="00763BCF">
      <w:pPr>
        <w:pStyle w:val="paragraph"/>
      </w:pPr>
      <w:r w:rsidRPr="005E3B43">
        <w:tab/>
        <w:t>(b)</w:t>
      </w:r>
      <w:r w:rsidRPr="005E3B43">
        <w:tab/>
        <w:t>the application had not been finally determined.</w:t>
      </w:r>
    </w:p>
    <w:p w14:paraId="63279B0C" w14:textId="77777777" w:rsidR="00D05FF5" w:rsidRPr="005E3B43" w:rsidRDefault="00D05FF5" w:rsidP="00763BCF">
      <w:pPr>
        <w:pStyle w:val="subsection"/>
      </w:pPr>
      <w:r w:rsidRPr="005E3B43">
        <w:tab/>
        <w:t>(2)</w:t>
      </w:r>
      <w:r w:rsidRPr="005E3B43">
        <w:tab/>
        <w:t>Despite the amendments made by Schedule</w:t>
      </w:r>
      <w:r w:rsidR="004E6D00" w:rsidRPr="005E3B43">
        <w:t> </w:t>
      </w:r>
      <w:r w:rsidRPr="005E3B43">
        <w:t xml:space="preserve">7 to the 2017 Amendment Regulations, </w:t>
      </w:r>
      <w:r w:rsidR="00BB758E" w:rsidRPr="005E3B43">
        <w:t>Part 3</w:t>
      </w:r>
      <w:r w:rsidRPr="005E3B43">
        <w:t>B (as in force immediately before the commencement day) and regulation</w:t>
      </w:r>
      <w:r w:rsidR="004E6D00" w:rsidRPr="005E3B43">
        <w:t> </w:t>
      </w:r>
      <w:r w:rsidRPr="005E3B43">
        <w:t>48 (as in force immediately before the commencement day) continue to apply in relation to the application.</w:t>
      </w:r>
    </w:p>
    <w:p w14:paraId="017401B8" w14:textId="77777777" w:rsidR="00D05FF5" w:rsidRPr="005E3B43" w:rsidRDefault="00D05FF5" w:rsidP="00763BCF">
      <w:pPr>
        <w:pStyle w:val="subsection"/>
      </w:pPr>
      <w:r w:rsidRPr="005E3B43">
        <w:tab/>
        <w:t>(3)</w:t>
      </w:r>
      <w:r w:rsidRPr="005E3B43">
        <w:tab/>
        <w:t>If the medicine, vaccine or in vivo diagnostic agent is designated as an orphan drug under regulation</w:t>
      </w:r>
      <w:r w:rsidR="004E6D00" w:rsidRPr="005E3B43">
        <w:t> </w:t>
      </w:r>
      <w:r w:rsidRPr="005E3B43">
        <w:t>16J (as in force immediately before the commencement day):</w:t>
      </w:r>
    </w:p>
    <w:p w14:paraId="5A72989A" w14:textId="77777777" w:rsidR="00D05FF5" w:rsidRPr="005E3B43" w:rsidRDefault="00D05FF5" w:rsidP="00763BCF">
      <w:pPr>
        <w:pStyle w:val="paragraph"/>
      </w:pPr>
      <w:r w:rsidRPr="005E3B43">
        <w:tab/>
        <w:t>(a)</w:t>
      </w:r>
      <w:r w:rsidRPr="005E3B43">
        <w:tab/>
        <w:t>the designation:</w:t>
      </w:r>
    </w:p>
    <w:p w14:paraId="795544F4" w14:textId="77777777" w:rsidR="00D05FF5" w:rsidRPr="005E3B43" w:rsidRDefault="00D05FF5" w:rsidP="00763BCF">
      <w:pPr>
        <w:pStyle w:val="paragraphsub"/>
      </w:pPr>
      <w:r w:rsidRPr="005E3B43">
        <w:tab/>
        <w:t>(i)</w:t>
      </w:r>
      <w:r w:rsidRPr="005E3B43">
        <w:tab/>
        <w:t>comes into force when it is made; and</w:t>
      </w:r>
    </w:p>
    <w:p w14:paraId="5743375B" w14:textId="77777777" w:rsidR="00D05FF5" w:rsidRPr="005E3B43" w:rsidRDefault="00D05FF5" w:rsidP="00763BCF">
      <w:pPr>
        <w:pStyle w:val="paragraphsub"/>
      </w:pPr>
      <w:r w:rsidRPr="005E3B43">
        <w:tab/>
        <w:t>(ii)</w:t>
      </w:r>
      <w:r w:rsidRPr="005E3B43">
        <w:tab/>
        <w:t>remains in force for 12 months; and</w:t>
      </w:r>
    </w:p>
    <w:p w14:paraId="48AF7B7E" w14:textId="77777777" w:rsidR="00D05FF5" w:rsidRPr="005E3B43" w:rsidRDefault="00D05FF5" w:rsidP="00763BCF">
      <w:pPr>
        <w:pStyle w:val="paragraph"/>
      </w:pPr>
      <w:r w:rsidRPr="005E3B43">
        <w:tab/>
        <w:t>(b)</w:t>
      </w:r>
      <w:r w:rsidRPr="005E3B43">
        <w:tab/>
        <w:t>while the designation is in force, regulation</w:t>
      </w:r>
      <w:r w:rsidR="004E6D00" w:rsidRPr="005E3B43">
        <w:t> </w:t>
      </w:r>
      <w:r w:rsidRPr="005E3B43">
        <w:t>43AD applies in relation to the medicine, vaccine or in vivo diagnostic agent as if it had been designated as an orphan drug under regulation</w:t>
      </w:r>
      <w:r w:rsidR="004E6D00" w:rsidRPr="005E3B43">
        <w:t> </w:t>
      </w:r>
      <w:r w:rsidRPr="005E3B43">
        <w:t>16J.</w:t>
      </w:r>
    </w:p>
    <w:p w14:paraId="0F217E06" w14:textId="77777777" w:rsidR="00D05FF5" w:rsidRPr="005E3B43" w:rsidRDefault="00D05FF5" w:rsidP="00763BCF">
      <w:pPr>
        <w:pStyle w:val="ActHead5"/>
      </w:pPr>
      <w:bookmarkStart w:id="316" w:name="_Toc187135910"/>
      <w:r w:rsidRPr="005E3B43">
        <w:rPr>
          <w:rStyle w:val="CharSectno"/>
        </w:rPr>
        <w:t>56</w:t>
      </w:r>
      <w:r w:rsidRPr="005E3B43">
        <w:t xml:space="preserve">  Transitional—fee waivers in relation to certain designations</w:t>
      </w:r>
      <w:bookmarkEnd w:id="316"/>
    </w:p>
    <w:p w14:paraId="12EC5937" w14:textId="77777777" w:rsidR="00D05FF5" w:rsidRPr="005E3B43" w:rsidRDefault="00D05FF5" w:rsidP="00763BCF">
      <w:pPr>
        <w:pStyle w:val="subsection"/>
      </w:pPr>
      <w:r w:rsidRPr="005E3B43">
        <w:tab/>
        <w:t>(1)</w:t>
      </w:r>
      <w:r w:rsidRPr="005E3B43">
        <w:tab/>
        <w:t>This regulation applies in relation to a designation of a medicine, vaccine or in vivo diagnostic agent as an orphan drug if the designation is in force under regulation</w:t>
      </w:r>
      <w:r w:rsidR="004E6D00" w:rsidRPr="005E3B43">
        <w:t> </w:t>
      </w:r>
      <w:r w:rsidRPr="005E3B43">
        <w:t>54 or 55.</w:t>
      </w:r>
    </w:p>
    <w:p w14:paraId="10274CD4" w14:textId="77777777" w:rsidR="00D05FF5" w:rsidRPr="005E3B43" w:rsidRDefault="00D05FF5" w:rsidP="00763BCF">
      <w:pPr>
        <w:pStyle w:val="subsection"/>
      </w:pPr>
      <w:r w:rsidRPr="005E3B43">
        <w:tab/>
        <w:t>(2)</w:t>
      </w:r>
      <w:r w:rsidRPr="005E3B43">
        <w:tab/>
        <w:t>The medicine, vaccine or in vivo diagnostic agent is taken to be a designated orphan drug for the purposes of the following provisions:</w:t>
      </w:r>
    </w:p>
    <w:p w14:paraId="4EBB1D2F" w14:textId="77777777" w:rsidR="00D05FF5" w:rsidRPr="005E3B43" w:rsidRDefault="00D05FF5" w:rsidP="00763BCF">
      <w:pPr>
        <w:pStyle w:val="paragraph"/>
      </w:pPr>
      <w:r w:rsidRPr="005E3B43">
        <w:tab/>
        <w:t>(a)</w:t>
      </w:r>
      <w:r w:rsidRPr="005E3B43">
        <w:tab/>
        <w:t>paragraphs 45(12)(c) and (d);</w:t>
      </w:r>
    </w:p>
    <w:p w14:paraId="7B5B6871" w14:textId="77777777" w:rsidR="00D05FF5" w:rsidRPr="005E3B43" w:rsidRDefault="00D05FF5" w:rsidP="00763BCF">
      <w:pPr>
        <w:pStyle w:val="paragraph"/>
      </w:pPr>
      <w:r w:rsidRPr="005E3B43">
        <w:tab/>
        <w:t>(b)</w:t>
      </w:r>
      <w:r w:rsidRPr="005E3B43">
        <w:tab/>
        <w:t>paragraph</w:t>
      </w:r>
      <w:r w:rsidR="004E6D00" w:rsidRPr="005E3B43">
        <w:t> </w:t>
      </w:r>
      <w:r w:rsidRPr="005E3B43">
        <w:t>46(2)(g);</w:t>
      </w:r>
    </w:p>
    <w:p w14:paraId="7CC2A51E" w14:textId="0B74CD6C" w:rsidR="00D05FF5" w:rsidRPr="005E3B43" w:rsidRDefault="00D05FF5" w:rsidP="00763BCF">
      <w:pPr>
        <w:pStyle w:val="paragraph"/>
      </w:pPr>
      <w:r w:rsidRPr="005E3B43">
        <w:tab/>
        <w:t>(c)</w:t>
      </w:r>
      <w:r w:rsidRPr="005E3B43">
        <w:tab/>
      </w:r>
      <w:r w:rsidR="007C3215">
        <w:t>items 1</w:t>
      </w:r>
      <w:r w:rsidRPr="005E3B43">
        <w:t xml:space="preserve"> to 2B in Part</w:t>
      </w:r>
      <w:r w:rsidR="004E6D00" w:rsidRPr="005E3B43">
        <w:t> </w:t>
      </w:r>
      <w:r w:rsidRPr="005E3B43">
        <w:t>1 of Schedule</w:t>
      </w:r>
      <w:r w:rsidR="004E6D00" w:rsidRPr="005E3B43">
        <w:t> </w:t>
      </w:r>
      <w:r w:rsidRPr="005E3B43">
        <w:t>3;</w:t>
      </w:r>
    </w:p>
    <w:p w14:paraId="524569A8" w14:textId="77777777" w:rsidR="00D05FF5" w:rsidRPr="005E3B43" w:rsidRDefault="00D05FF5" w:rsidP="00763BCF">
      <w:pPr>
        <w:pStyle w:val="paragraph"/>
      </w:pPr>
      <w:r w:rsidRPr="005E3B43">
        <w:tab/>
        <w:t>(d)</w:t>
      </w:r>
      <w:r w:rsidRPr="005E3B43">
        <w:tab/>
      </w:r>
      <w:r w:rsidR="00BB758E" w:rsidRPr="005E3B43">
        <w:t>Part 3</w:t>
      </w:r>
      <w:r w:rsidRPr="005E3B43">
        <w:t xml:space="preserve"> of Schedule</w:t>
      </w:r>
      <w:r w:rsidR="004E6D00" w:rsidRPr="005E3B43">
        <w:t> </w:t>
      </w:r>
      <w:r w:rsidRPr="005E3B43">
        <w:t>3.</w:t>
      </w:r>
    </w:p>
    <w:p w14:paraId="4BF33250" w14:textId="253054D9" w:rsidR="00BD3E81" w:rsidRPr="005E3B43" w:rsidRDefault="00BD3E81" w:rsidP="00763BCF">
      <w:pPr>
        <w:pStyle w:val="ActHead3"/>
        <w:pageBreakBefore/>
      </w:pPr>
      <w:bookmarkStart w:id="317" w:name="_Toc187135911"/>
      <w:r w:rsidRPr="005E3B43">
        <w:rPr>
          <w:rStyle w:val="CharDivNo"/>
        </w:rPr>
        <w:lastRenderedPageBreak/>
        <w:t>Division</w:t>
      </w:r>
      <w:r w:rsidR="004E6D00" w:rsidRPr="005E3B43">
        <w:rPr>
          <w:rStyle w:val="CharDivNo"/>
        </w:rPr>
        <w:t> </w:t>
      </w:r>
      <w:r w:rsidRPr="005E3B43">
        <w:rPr>
          <w:rStyle w:val="CharDivNo"/>
        </w:rPr>
        <w:t>6</w:t>
      </w:r>
      <w:r w:rsidRPr="005E3B43">
        <w:t>—</w:t>
      </w:r>
      <w:r w:rsidRPr="005E3B43">
        <w:rPr>
          <w:rStyle w:val="CharDivText"/>
        </w:rPr>
        <w:t>Transitional provisions relating to the Therapeutic Goods Legislation Amendment (2017 Measures No.</w:t>
      </w:r>
      <w:r w:rsidR="004E6D00" w:rsidRPr="005E3B43">
        <w:rPr>
          <w:rStyle w:val="CharDivText"/>
        </w:rPr>
        <w:t> </w:t>
      </w:r>
      <w:r w:rsidRPr="005E3B43">
        <w:rPr>
          <w:rStyle w:val="CharDivText"/>
        </w:rPr>
        <w:t xml:space="preserve">2) </w:t>
      </w:r>
      <w:r w:rsidR="007C3215">
        <w:rPr>
          <w:rStyle w:val="CharDivText"/>
        </w:rPr>
        <w:t>Regulations 2</w:t>
      </w:r>
      <w:r w:rsidRPr="005E3B43">
        <w:rPr>
          <w:rStyle w:val="CharDivText"/>
        </w:rPr>
        <w:t>017</w:t>
      </w:r>
      <w:bookmarkEnd w:id="317"/>
    </w:p>
    <w:p w14:paraId="4BDE1090" w14:textId="77777777" w:rsidR="00BD3E81" w:rsidRPr="005E3B43" w:rsidRDefault="00BD3E81" w:rsidP="00763BCF">
      <w:pPr>
        <w:pStyle w:val="ActHead5"/>
      </w:pPr>
      <w:bookmarkStart w:id="318" w:name="_Toc187135912"/>
      <w:r w:rsidRPr="005E3B43">
        <w:rPr>
          <w:rStyle w:val="CharSectno"/>
        </w:rPr>
        <w:t>57</w:t>
      </w:r>
      <w:r w:rsidRPr="005E3B43">
        <w:t xml:space="preserve">  Definitions</w:t>
      </w:r>
      <w:bookmarkEnd w:id="318"/>
    </w:p>
    <w:p w14:paraId="212E3490" w14:textId="77777777" w:rsidR="00BD3E81" w:rsidRPr="005E3B43" w:rsidRDefault="00BD3E81" w:rsidP="00763BCF">
      <w:pPr>
        <w:pStyle w:val="subsection"/>
      </w:pPr>
      <w:r w:rsidRPr="005E3B43">
        <w:tab/>
      </w:r>
      <w:r w:rsidRPr="005E3B43">
        <w:tab/>
        <w:t>In this Division:</w:t>
      </w:r>
    </w:p>
    <w:p w14:paraId="04A34066" w14:textId="41C66802" w:rsidR="00BD3E81" w:rsidRPr="005E3B43" w:rsidRDefault="00BD3E81" w:rsidP="00763BCF">
      <w:pPr>
        <w:pStyle w:val="Definition"/>
      </w:pPr>
      <w:r w:rsidRPr="005E3B43">
        <w:rPr>
          <w:b/>
          <w:i/>
        </w:rPr>
        <w:t xml:space="preserve">Amendment Regulations </w:t>
      </w:r>
      <w:r w:rsidRPr="005E3B43">
        <w:t>means the</w:t>
      </w:r>
      <w:r w:rsidRPr="005E3B43">
        <w:rPr>
          <w:i/>
        </w:rPr>
        <w:t xml:space="preserve"> Therapeutic Goods Legislation Amendment (2017 Measures No.</w:t>
      </w:r>
      <w:r w:rsidR="004E6D00" w:rsidRPr="005E3B43">
        <w:rPr>
          <w:i/>
        </w:rPr>
        <w:t> </w:t>
      </w:r>
      <w:r w:rsidRPr="005E3B43">
        <w:rPr>
          <w:i/>
        </w:rPr>
        <w:t xml:space="preserve">2) </w:t>
      </w:r>
      <w:r w:rsidR="007C3215">
        <w:rPr>
          <w:i/>
        </w:rPr>
        <w:t>Regulations 2</w:t>
      </w:r>
      <w:r w:rsidRPr="005E3B43">
        <w:rPr>
          <w:i/>
        </w:rPr>
        <w:t>017</w:t>
      </w:r>
      <w:r w:rsidRPr="005E3B43">
        <w:t>.</w:t>
      </w:r>
    </w:p>
    <w:p w14:paraId="05EA327E" w14:textId="77777777" w:rsidR="00BD3E81" w:rsidRPr="005E3B43" w:rsidRDefault="00BD3E81" w:rsidP="00763BCF">
      <w:pPr>
        <w:pStyle w:val="Definition"/>
      </w:pPr>
      <w:r w:rsidRPr="005E3B43">
        <w:rPr>
          <w:b/>
          <w:i/>
        </w:rPr>
        <w:t>commencement day</w:t>
      </w:r>
      <w:r w:rsidRPr="005E3B43">
        <w:t xml:space="preserve"> means the day on which </w:t>
      </w:r>
      <w:r w:rsidR="00BB758E" w:rsidRPr="005E3B43">
        <w:t>Part 3</w:t>
      </w:r>
      <w:r w:rsidRPr="005E3B43">
        <w:t xml:space="preserve"> of Schedule</w:t>
      </w:r>
      <w:r w:rsidR="004E6D00" w:rsidRPr="005E3B43">
        <w:t> </w:t>
      </w:r>
      <w:r w:rsidRPr="005E3B43">
        <w:t>4 to the Amendment Regulations commences.</w:t>
      </w:r>
    </w:p>
    <w:p w14:paraId="049FD069" w14:textId="77777777" w:rsidR="00BD3E81" w:rsidRPr="005E3B43" w:rsidRDefault="00BD3E81" w:rsidP="00763BCF">
      <w:pPr>
        <w:pStyle w:val="ActHead5"/>
      </w:pPr>
      <w:bookmarkStart w:id="319" w:name="_Toc187135913"/>
      <w:r w:rsidRPr="005E3B43">
        <w:rPr>
          <w:rStyle w:val="CharSectno"/>
        </w:rPr>
        <w:t>58</w:t>
      </w:r>
      <w:r w:rsidRPr="005E3B43">
        <w:t xml:space="preserve">  Application—statements in relation to unapproved medicines and biologicals</w:t>
      </w:r>
      <w:bookmarkEnd w:id="319"/>
    </w:p>
    <w:p w14:paraId="020B0E4F" w14:textId="77777777" w:rsidR="00BD3E81" w:rsidRPr="005E3B43" w:rsidRDefault="00BD3E81" w:rsidP="00763BCF">
      <w:pPr>
        <w:pStyle w:val="subsection"/>
      </w:pPr>
      <w:r w:rsidRPr="005E3B43">
        <w:tab/>
      </w:r>
      <w:r w:rsidRPr="005E3B43">
        <w:tab/>
        <w:t>The amendments of regulation</w:t>
      </w:r>
      <w:r w:rsidR="004E6D00" w:rsidRPr="005E3B43">
        <w:t> </w:t>
      </w:r>
      <w:r w:rsidRPr="005E3B43">
        <w:t xml:space="preserve">12A of these Regulations made by </w:t>
      </w:r>
      <w:r w:rsidR="00BB758E" w:rsidRPr="005E3B43">
        <w:t>Part 3</w:t>
      </w:r>
      <w:r w:rsidRPr="005E3B43">
        <w:t xml:space="preserve"> of Schedule</w:t>
      </w:r>
      <w:r w:rsidR="004E6D00" w:rsidRPr="005E3B43">
        <w:t> </w:t>
      </w:r>
      <w:r w:rsidRPr="005E3B43">
        <w:t>4 to the Amendment Regulations apply in relation to a medicine or a biological given to a person on or after the commencement day.</w:t>
      </w:r>
    </w:p>
    <w:p w14:paraId="7D30AF15" w14:textId="77777777" w:rsidR="00BD3E81" w:rsidRPr="005E3B43" w:rsidRDefault="00BD3E81" w:rsidP="00763BCF">
      <w:pPr>
        <w:pStyle w:val="ActHead5"/>
      </w:pPr>
      <w:bookmarkStart w:id="320" w:name="_Toc187135914"/>
      <w:r w:rsidRPr="005E3B43">
        <w:rPr>
          <w:rStyle w:val="CharSectno"/>
        </w:rPr>
        <w:t>59</w:t>
      </w:r>
      <w:r w:rsidRPr="005E3B43">
        <w:t xml:space="preserve">  Transitional—approval of form for statements</w:t>
      </w:r>
      <w:bookmarkEnd w:id="320"/>
    </w:p>
    <w:p w14:paraId="4FB9B649" w14:textId="77777777" w:rsidR="00BD3E81" w:rsidRPr="005E3B43" w:rsidRDefault="00BD3E81" w:rsidP="00763BCF">
      <w:pPr>
        <w:pStyle w:val="subsection"/>
      </w:pPr>
      <w:r w:rsidRPr="005E3B43">
        <w:tab/>
        <w:t>(1)</w:t>
      </w:r>
      <w:r w:rsidRPr="005E3B43">
        <w:tab/>
        <w:t>This regulation applies to the approval of a form if:</w:t>
      </w:r>
    </w:p>
    <w:p w14:paraId="2292F074" w14:textId="77777777" w:rsidR="00BD3E81" w:rsidRPr="005E3B43" w:rsidRDefault="00BD3E81" w:rsidP="00763BCF">
      <w:pPr>
        <w:pStyle w:val="paragraph"/>
      </w:pPr>
      <w:r w:rsidRPr="005E3B43">
        <w:tab/>
        <w:t>(a)</w:t>
      </w:r>
      <w:r w:rsidRPr="005E3B43">
        <w:tab/>
        <w:t>the approval was made for the purposes of subparagraph</w:t>
      </w:r>
      <w:r w:rsidR="004E6D00" w:rsidRPr="005E3B43">
        <w:t> </w:t>
      </w:r>
      <w:r w:rsidRPr="005E3B43">
        <w:t>12A(2)(a)(iii) of these Regulations; and</w:t>
      </w:r>
    </w:p>
    <w:p w14:paraId="7A1F5520" w14:textId="77777777" w:rsidR="00BD3E81" w:rsidRPr="005E3B43" w:rsidRDefault="00BD3E81" w:rsidP="00763BCF">
      <w:pPr>
        <w:pStyle w:val="paragraph"/>
      </w:pPr>
      <w:r w:rsidRPr="005E3B43">
        <w:tab/>
        <w:t>(b)</w:t>
      </w:r>
      <w:r w:rsidRPr="005E3B43">
        <w:tab/>
        <w:t>the approval was in force immediately before the commencement day.</w:t>
      </w:r>
    </w:p>
    <w:p w14:paraId="1F11954D" w14:textId="77777777" w:rsidR="00010594" w:rsidRPr="005E3B43" w:rsidRDefault="00BD3E81" w:rsidP="00763BCF">
      <w:pPr>
        <w:pStyle w:val="subsection"/>
      </w:pPr>
      <w:r w:rsidRPr="005E3B43">
        <w:tab/>
        <w:t>(2)</w:t>
      </w:r>
      <w:r w:rsidRPr="005E3B43">
        <w:tab/>
        <w:t>The approval has effect, on and after the commencement day, as if it had been made for the purposes of subparagraph</w:t>
      </w:r>
      <w:r w:rsidR="004E6D00" w:rsidRPr="005E3B43">
        <w:t> </w:t>
      </w:r>
      <w:r w:rsidRPr="005E3B43">
        <w:t>12A(2)(a)(iii) of these Regulations as amended by the Amendment Regulations.</w:t>
      </w:r>
    </w:p>
    <w:p w14:paraId="00997B60" w14:textId="1A1462BD" w:rsidR="00010594" w:rsidRPr="005E3B43" w:rsidRDefault="00010594" w:rsidP="00763BCF">
      <w:pPr>
        <w:pStyle w:val="ActHead3"/>
        <w:pageBreakBefore/>
      </w:pPr>
      <w:bookmarkStart w:id="321" w:name="_Toc187135915"/>
      <w:r w:rsidRPr="005E3B43">
        <w:rPr>
          <w:rStyle w:val="CharDivNo"/>
        </w:rPr>
        <w:lastRenderedPageBreak/>
        <w:t>Division</w:t>
      </w:r>
      <w:r w:rsidR="004E6D00" w:rsidRPr="005E3B43">
        <w:rPr>
          <w:rStyle w:val="CharDivNo"/>
        </w:rPr>
        <w:t> </w:t>
      </w:r>
      <w:r w:rsidRPr="005E3B43">
        <w:rPr>
          <w:rStyle w:val="CharDivNo"/>
        </w:rPr>
        <w:t>7</w:t>
      </w:r>
      <w:r w:rsidRPr="005E3B43">
        <w:t>—</w:t>
      </w:r>
      <w:r w:rsidRPr="005E3B43">
        <w:rPr>
          <w:rStyle w:val="CharDivText"/>
        </w:rPr>
        <w:t>Application and saving provisions relating to the Therapeutic Goods Legislation Amendment (2018 Measures No.</w:t>
      </w:r>
      <w:r w:rsidR="004E6D00" w:rsidRPr="005E3B43">
        <w:rPr>
          <w:rStyle w:val="CharDivText"/>
        </w:rPr>
        <w:t> </w:t>
      </w:r>
      <w:r w:rsidRPr="005E3B43">
        <w:rPr>
          <w:rStyle w:val="CharDivText"/>
        </w:rPr>
        <w:t xml:space="preserve">1) </w:t>
      </w:r>
      <w:r w:rsidR="007C3215">
        <w:rPr>
          <w:rStyle w:val="CharDivText"/>
        </w:rPr>
        <w:t>Regulations 2</w:t>
      </w:r>
      <w:r w:rsidRPr="005E3B43">
        <w:rPr>
          <w:rStyle w:val="CharDivText"/>
        </w:rPr>
        <w:t>018</w:t>
      </w:r>
      <w:bookmarkEnd w:id="321"/>
    </w:p>
    <w:p w14:paraId="1B1EC188" w14:textId="77777777" w:rsidR="00010594" w:rsidRPr="005E3B43" w:rsidRDefault="00010594" w:rsidP="00763BCF">
      <w:pPr>
        <w:pStyle w:val="ActHead5"/>
      </w:pPr>
      <w:bookmarkStart w:id="322" w:name="_Toc187135916"/>
      <w:r w:rsidRPr="005E3B43">
        <w:rPr>
          <w:rStyle w:val="CharSectno"/>
        </w:rPr>
        <w:t>60</w:t>
      </w:r>
      <w:r w:rsidRPr="005E3B43">
        <w:t xml:space="preserve">  Application provisions</w:t>
      </w:r>
      <w:bookmarkEnd w:id="322"/>
    </w:p>
    <w:p w14:paraId="05F345F8" w14:textId="7729BA82" w:rsidR="00010594" w:rsidRPr="005E3B43" w:rsidRDefault="00010594" w:rsidP="00763BCF">
      <w:pPr>
        <w:pStyle w:val="subsection"/>
      </w:pPr>
      <w:r w:rsidRPr="005E3B43">
        <w:tab/>
        <w:t>(1)</w:t>
      </w:r>
      <w:r w:rsidRPr="005E3B43">
        <w:tab/>
        <w:t>The amendment of regulation</w:t>
      </w:r>
      <w:r w:rsidR="004E6D00" w:rsidRPr="005E3B43">
        <w:t> </w:t>
      </w:r>
      <w:r w:rsidRPr="005E3B43">
        <w:t xml:space="preserve">9B made by </w:t>
      </w:r>
      <w:r w:rsidR="008D1B4F" w:rsidRPr="005E3B43">
        <w:t>Schedule 1</w:t>
      </w:r>
      <w:r w:rsidRPr="005E3B43">
        <w:t xml:space="preserve"> to the </w:t>
      </w:r>
      <w:r w:rsidRPr="005E3B43">
        <w:rPr>
          <w:i/>
        </w:rPr>
        <w:t>Therapeutic Goods Legislation Amendment (2018 Measures No.</w:t>
      </w:r>
      <w:r w:rsidR="004E6D00" w:rsidRPr="005E3B43">
        <w:rPr>
          <w:i/>
        </w:rPr>
        <w:t> </w:t>
      </w:r>
      <w:r w:rsidRPr="005E3B43">
        <w:rPr>
          <w:i/>
        </w:rPr>
        <w:t xml:space="preserve">1) </w:t>
      </w:r>
      <w:r w:rsidR="007C3215">
        <w:rPr>
          <w:i/>
        </w:rPr>
        <w:t>Regulations 2</w:t>
      </w:r>
      <w:r w:rsidRPr="005E3B43">
        <w:rPr>
          <w:i/>
        </w:rPr>
        <w:t>018</w:t>
      </w:r>
      <w:r w:rsidRPr="005E3B43">
        <w:t xml:space="preserve"> applies in relation to the supply of goods on or after the commencement of this regulation.</w:t>
      </w:r>
    </w:p>
    <w:p w14:paraId="60CFE59D" w14:textId="6D469B03" w:rsidR="00010594" w:rsidRPr="005E3B43" w:rsidRDefault="00010594" w:rsidP="00763BCF">
      <w:pPr>
        <w:pStyle w:val="subsection"/>
      </w:pPr>
      <w:r w:rsidRPr="005E3B43">
        <w:tab/>
        <w:t>(2)</w:t>
      </w:r>
      <w:r w:rsidRPr="005E3B43">
        <w:tab/>
        <w:t>The amendments of regulation</w:t>
      </w:r>
      <w:r w:rsidR="004E6D00" w:rsidRPr="005E3B43">
        <w:t> </w:t>
      </w:r>
      <w:r w:rsidRPr="005E3B43">
        <w:t xml:space="preserve">16J made by </w:t>
      </w:r>
      <w:r w:rsidR="008D1B4F" w:rsidRPr="005E3B43">
        <w:t>Schedule 1</w:t>
      </w:r>
      <w:r w:rsidRPr="005E3B43">
        <w:t xml:space="preserve"> to the </w:t>
      </w:r>
      <w:r w:rsidRPr="005E3B43">
        <w:rPr>
          <w:i/>
        </w:rPr>
        <w:t>Therapeutic Goods Legislation Amendment (2018 Measures No.</w:t>
      </w:r>
      <w:r w:rsidR="004E6D00" w:rsidRPr="005E3B43">
        <w:rPr>
          <w:i/>
        </w:rPr>
        <w:t> </w:t>
      </w:r>
      <w:r w:rsidRPr="005E3B43">
        <w:rPr>
          <w:i/>
        </w:rPr>
        <w:t xml:space="preserve">1) </w:t>
      </w:r>
      <w:r w:rsidR="007C3215">
        <w:rPr>
          <w:i/>
        </w:rPr>
        <w:t>Regulations 2</w:t>
      </w:r>
      <w:r w:rsidRPr="005E3B43">
        <w:rPr>
          <w:i/>
        </w:rPr>
        <w:t>018</w:t>
      </w:r>
      <w:r w:rsidRPr="005E3B43">
        <w:t xml:space="preserve"> apply in relation to applications made under subregulation</w:t>
      </w:r>
      <w:r w:rsidR="004E6D00" w:rsidRPr="005E3B43">
        <w:t> </w:t>
      </w:r>
      <w:r w:rsidRPr="005E3B43">
        <w:t>16H(1) on or after the commencement of this regulation.</w:t>
      </w:r>
    </w:p>
    <w:p w14:paraId="22A8A82B" w14:textId="7D7BC521" w:rsidR="00010594" w:rsidRPr="005E3B43" w:rsidRDefault="00010594" w:rsidP="00763BCF">
      <w:pPr>
        <w:pStyle w:val="subsection"/>
      </w:pPr>
      <w:r w:rsidRPr="005E3B43">
        <w:tab/>
        <w:t>(3)</w:t>
      </w:r>
      <w:r w:rsidRPr="005E3B43">
        <w:tab/>
        <w:t>The amendment of regulation</w:t>
      </w:r>
      <w:r w:rsidR="004E6D00" w:rsidRPr="005E3B43">
        <w:t> </w:t>
      </w:r>
      <w:r w:rsidRPr="005E3B43">
        <w:t xml:space="preserve">16R made by </w:t>
      </w:r>
      <w:r w:rsidR="008D1B4F" w:rsidRPr="005E3B43">
        <w:t>Schedule 1</w:t>
      </w:r>
      <w:r w:rsidRPr="005E3B43">
        <w:t xml:space="preserve"> to the </w:t>
      </w:r>
      <w:r w:rsidRPr="005E3B43">
        <w:rPr>
          <w:i/>
        </w:rPr>
        <w:t>Therapeutic Goods Legislation Amendment (2018 Measures No.</w:t>
      </w:r>
      <w:r w:rsidR="004E6D00" w:rsidRPr="005E3B43">
        <w:rPr>
          <w:i/>
        </w:rPr>
        <w:t> </w:t>
      </w:r>
      <w:r w:rsidRPr="005E3B43">
        <w:rPr>
          <w:i/>
        </w:rPr>
        <w:t xml:space="preserve">1) </w:t>
      </w:r>
      <w:r w:rsidR="007C3215">
        <w:rPr>
          <w:i/>
        </w:rPr>
        <w:t>Regulations 2</w:t>
      </w:r>
      <w:r w:rsidRPr="005E3B43">
        <w:rPr>
          <w:i/>
        </w:rPr>
        <w:t>018</w:t>
      </w:r>
      <w:r w:rsidRPr="005E3B43">
        <w:t xml:space="preserve"> applies in relation to applications made under subregulation</w:t>
      </w:r>
      <w:r w:rsidR="004E6D00" w:rsidRPr="005E3B43">
        <w:t> </w:t>
      </w:r>
      <w:r w:rsidRPr="005E3B43">
        <w:t>16Q(1) on or after the commencement of this regulation.</w:t>
      </w:r>
    </w:p>
    <w:p w14:paraId="3B48399C" w14:textId="7A3276FE" w:rsidR="00BD3E81" w:rsidRPr="005E3B43" w:rsidRDefault="00010594" w:rsidP="00763BCF">
      <w:pPr>
        <w:pStyle w:val="subsection"/>
      </w:pPr>
      <w:r w:rsidRPr="005E3B43">
        <w:tab/>
        <w:t>(4)</w:t>
      </w:r>
      <w:r w:rsidRPr="005E3B43">
        <w:tab/>
        <w:t>Regulation</w:t>
      </w:r>
      <w:r w:rsidR="004E6D00" w:rsidRPr="005E3B43">
        <w:t> </w:t>
      </w:r>
      <w:r w:rsidRPr="005E3B43">
        <w:t xml:space="preserve">43AE, as inserted by </w:t>
      </w:r>
      <w:r w:rsidR="008D1B4F" w:rsidRPr="005E3B43">
        <w:t>Schedule 1</w:t>
      </w:r>
      <w:r w:rsidRPr="005E3B43">
        <w:t xml:space="preserve"> to the </w:t>
      </w:r>
      <w:r w:rsidRPr="005E3B43">
        <w:rPr>
          <w:i/>
        </w:rPr>
        <w:t>Therapeutic Goods Legislation Amendment (2018 Measures No.</w:t>
      </w:r>
      <w:r w:rsidR="004E6D00" w:rsidRPr="005E3B43">
        <w:rPr>
          <w:i/>
        </w:rPr>
        <w:t> </w:t>
      </w:r>
      <w:r w:rsidRPr="005E3B43">
        <w:rPr>
          <w:i/>
        </w:rPr>
        <w:t xml:space="preserve">1) </w:t>
      </w:r>
      <w:r w:rsidR="007C3215">
        <w:rPr>
          <w:i/>
        </w:rPr>
        <w:t>Regulations 2</w:t>
      </w:r>
      <w:r w:rsidRPr="005E3B43">
        <w:rPr>
          <w:i/>
        </w:rPr>
        <w:t>018</w:t>
      </w:r>
      <w:r w:rsidRPr="005E3B43">
        <w:t>, applies in relation to applications made under regulation</w:t>
      </w:r>
      <w:r w:rsidR="004E6D00" w:rsidRPr="005E3B43">
        <w:t> </w:t>
      </w:r>
      <w:r w:rsidRPr="005E3B43">
        <w:t>16H on or after the commencement of this regulation.</w:t>
      </w:r>
    </w:p>
    <w:p w14:paraId="5CD6F428" w14:textId="77777777" w:rsidR="001A6CB4" w:rsidRPr="005E3B43" w:rsidRDefault="001A6CB4" w:rsidP="00763BCF">
      <w:pPr>
        <w:pStyle w:val="ActHead5"/>
      </w:pPr>
      <w:bookmarkStart w:id="323" w:name="_Toc187135917"/>
      <w:r w:rsidRPr="005E3B43">
        <w:rPr>
          <w:rStyle w:val="CharSectno"/>
        </w:rPr>
        <w:t>61</w:t>
      </w:r>
      <w:r w:rsidRPr="005E3B43">
        <w:t xml:space="preserve">  Operation of Schedule</w:t>
      </w:r>
      <w:r w:rsidR="004E6D00" w:rsidRPr="005E3B43">
        <w:t> </w:t>
      </w:r>
      <w:r w:rsidRPr="005E3B43">
        <w:t>2—complementary medicines</w:t>
      </w:r>
      <w:bookmarkEnd w:id="323"/>
    </w:p>
    <w:p w14:paraId="3D617E3E" w14:textId="4D69B469" w:rsidR="001A6CB4" w:rsidRPr="005E3B43" w:rsidRDefault="001A6CB4" w:rsidP="00763BCF">
      <w:pPr>
        <w:pStyle w:val="subsection"/>
      </w:pPr>
      <w:r w:rsidRPr="005E3B43">
        <w:tab/>
        <w:t>(1)</w:t>
      </w:r>
      <w:r w:rsidRPr="005E3B43">
        <w:tab/>
        <w:t xml:space="preserve">The amendments made by </w:t>
      </w:r>
      <w:r w:rsidR="003774CD" w:rsidRPr="005E3B43">
        <w:t>items 7</w:t>
      </w:r>
      <w:r w:rsidRPr="005E3B43">
        <w:t>, 14, 15, 16 and 33 of Schedule</w:t>
      </w:r>
      <w:r w:rsidR="004E6D00" w:rsidRPr="005E3B43">
        <w:t> </w:t>
      </w:r>
      <w:r w:rsidRPr="005E3B43">
        <w:t xml:space="preserve">2 to the </w:t>
      </w:r>
      <w:r w:rsidRPr="005E3B43">
        <w:rPr>
          <w:i/>
        </w:rPr>
        <w:t>Therapeutic Goods Legislation Amendment (2018 Measures No.</w:t>
      </w:r>
      <w:r w:rsidR="004E6D00" w:rsidRPr="005E3B43">
        <w:rPr>
          <w:i/>
        </w:rPr>
        <w:t> </w:t>
      </w:r>
      <w:r w:rsidRPr="005E3B43">
        <w:rPr>
          <w:i/>
        </w:rPr>
        <w:t xml:space="preserve">1) </w:t>
      </w:r>
      <w:r w:rsidR="007C3215">
        <w:rPr>
          <w:i/>
        </w:rPr>
        <w:t>Regulations 2</w:t>
      </w:r>
      <w:r w:rsidRPr="005E3B43">
        <w:rPr>
          <w:i/>
        </w:rPr>
        <w:t>018</w:t>
      </w:r>
      <w:r w:rsidRPr="005E3B43">
        <w:t xml:space="preserve"> apply in relation to requests or applications made on or after the commencement of this regulation.</w:t>
      </w:r>
    </w:p>
    <w:p w14:paraId="6034F6F3" w14:textId="1AFA03E7" w:rsidR="001A6CB4" w:rsidRPr="005E3B43" w:rsidRDefault="001A6CB4" w:rsidP="00763BCF">
      <w:pPr>
        <w:pStyle w:val="subsection"/>
      </w:pPr>
      <w:r w:rsidRPr="005E3B43">
        <w:tab/>
        <w:t>(2)</w:t>
      </w:r>
      <w:r w:rsidRPr="005E3B43">
        <w:tab/>
        <w:t xml:space="preserve">The amendments made by </w:t>
      </w:r>
      <w:r w:rsidR="007C3215">
        <w:t>items 2</w:t>
      </w:r>
      <w:r w:rsidRPr="005E3B43">
        <w:t>6 to 32 of Schedule</w:t>
      </w:r>
      <w:r w:rsidR="004E6D00" w:rsidRPr="005E3B43">
        <w:t> </w:t>
      </w:r>
      <w:r w:rsidRPr="005E3B43">
        <w:t xml:space="preserve">2 to the </w:t>
      </w:r>
      <w:r w:rsidRPr="005E3B43">
        <w:rPr>
          <w:i/>
        </w:rPr>
        <w:t>Therapeutic Goods Legislation Amendment (2018 Measures No.</w:t>
      </w:r>
      <w:r w:rsidR="004E6D00" w:rsidRPr="005E3B43">
        <w:rPr>
          <w:i/>
        </w:rPr>
        <w:t> </w:t>
      </w:r>
      <w:r w:rsidRPr="005E3B43">
        <w:rPr>
          <w:i/>
        </w:rPr>
        <w:t xml:space="preserve">1) </w:t>
      </w:r>
      <w:r w:rsidR="007C3215">
        <w:rPr>
          <w:i/>
        </w:rPr>
        <w:t>Regulations 2</w:t>
      </w:r>
      <w:r w:rsidRPr="005E3B43">
        <w:rPr>
          <w:i/>
        </w:rPr>
        <w:t>018</w:t>
      </w:r>
      <w:r w:rsidRPr="005E3B43">
        <w:t xml:space="preserve"> do not apply in relation to requests or applications made before the commencement of this regulation.</w:t>
      </w:r>
    </w:p>
    <w:p w14:paraId="6AF2ADBA" w14:textId="77777777" w:rsidR="006C439B" w:rsidRPr="005E3B43" w:rsidRDefault="006C439B" w:rsidP="00763BCF">
      <w:pPr>
        <w:pStyle w:val="ActHead5"/>
      </w:pPr>
      <w:bookmarkStart w:id="324" w:name="_Toc187135918"/>
      <w:r w:rsidRPr="005E3B43">
        <w:rPr>
          <w:rStyle w:val="CharSectno"/>
        </w:rPr>
        <w:t>62</w:t>
      </w:r>
      <w:r w:rsidRPr="005E3B43">
        <w:t xml:space="preserve">  Saving provision</w:t>
      </w:r>
      <w:bookmarkEnd w:id="324"/>
    </w:p>
    <w:p w14:paraId="7AFFB686" w14:textId="30DA72B9" w:rsidR="006C439B" w:rsidRPr="005E3B43" w:rsidRDefault="006C439B" w:rsidP="00763BCF">
      <w:pPr>
        <w:pStyle w:val="subsection"/>
      </w:pPr>
      <w:r w:rsidRPr="005E3B43">
        <w:tab/>
      </w:r>
      <w:r w:rsidRPr="005E3B43">
        <w:tab/>
      </w:r>
      <w:r w:rsidR="00BE7FAC" w:rsidRPr="005E3B43">
        <w:t>Division 5</w:t>
      </w:r>
      <w:r w:rsidRPr="005E3B43">
        <w:t xml:space="preserve"> of </w:t>
      </w:r>
      <w:r w:rsidR="006B5D8E" w:rsidRPr="005E3B43">
        <w:t>Part 2</w:t>
      </w:r>
      <w:r w:rsidRPr="005E3B43">
        <w:t xml:space="preserve"> and regulation</w:t>
      </w:r>
      <w:r w:rsidR="004E6D00" w:rsidRPr="005E3B43">
        <w:t> </w:t>
      </w:r>
      <w:r w:rsidRPr="005E3B43">
        <w:t>48, as in force immediately before the commencement of Part</w:t>
      </w:r>
      <w:r w:rsidR="004E6D00" w:rsidRPr="005E3B43">
        <w:t> </w:t>
      </w:r>
      <w:r w:rsidRPr="005E3B43">
        <w:t>1 of Schedule</w:t>
      </w:r>
      <w:r w:rsidR="004E6D00" w:rsidRPr="005E3B43">
        <w:t> </w:t>
      </w:r>
      <w:r w:rsidRPr="005E3B43">
        <w:t xml:space="preserve">4 to the </w:t>
      </w:r>
      <w:r w:rsidRPr="005E3B43">
        <w:rPr>
          <w:i/>
        </w:rPr>
        <w:t>Therapeutic Goods Legislation Amendment (2018 Measures No.</w:t>
      </w:r>
      <w:r w:rsidR="004E6D00" w:rsidRPr="005E3B43">
        <w:rPr>
          <w:i/>
        </w:rPr>
        <w:t> </w:t>
      </w:r>
      <w:r w:rsidRPr="005E3B43">
        <w:rPr>
          <w:i/>
        </w:rPr>
        <w:t xml:space="preserve">1) </w:t>
      </w:r>
      <w:r w:rsidR="007C3215">
        <w:rPr>
          <w:i/>
        </w:rPr>
        <w:t>Regulations 2</w:t>
      </w:r>
      <w:r w:rsidRPr="005E3B43">
        <w:rPr>
          <w:i/>
        </w:rPr>
        <w:t>018</w:t>
      </w:r>
      <w:r w:rsidRPr="005E3B43">
        <w:t>, continue to apply on and after that commencement in relation to an order given under subregulation</w:t>
      </w:r>
      <w:r w:rsidR="004E6D00" w:rsidRPr="005E3B43">
        <w:t> </w:t>
      </w:r>
      <w:r w:rsidRPr="005E3B43">
        <w:t>9(1) before that commencement.</w:t>
      </w:r>
    </w:p>
    <w:p w14:paraId="3F0A198E" w14:textId="29A57C93" w:rsidR="00B00472" w:rsidRPr="005E3B43" w:rsidRDefault="00B00472" w:rsidP="00763BCF">
      <w:pPr>
        <w:pStyle w:val="ActHead3"/>
        <w:pageBreakBefore/>
      </w:pPr>
      <w:bookmarkStart w:id="325" w:name="_Toc187135919"/>
      <w:r w:rsidRPr="005E3B43">
        <w:rPr>
          <w:rStyle w:val="CharDivNo"/>
        </w:rPr>
        <w:lastRenderedPageBreak/>
        <w:t>Division</w:t>
      </w:r>
      <w:r w:rsidR="004E6D00" w:rsidRPr="005E3B43">
        <w:rPr>
          <w:rStyle w:val="CharDivNo"/>
        </w:rPr>
        <w:t> </w:t>
      </w:r>
      <w:r w:rsidRPr="005E3B43">
        <w:rPr>
          <w:rStyle w:val="CharDivNo"/>
        </w:rPr>
        <w:t>8</w:t>
      </w:r>
      <w:r w:rsidRPr="005E3B43">
        <w:t>—</w:t>
      </w:r>
      <w:r w:rsidRPr="005E3B43">
        <w:rPr>
          <w:rStyle w:val="CharDivText"/>
        </w:rPr>
        <w:t xml:space="preserve">Transitional provisions relating to the Therapeutic Goods Legislation Amendment (Exempt Devices and Goods) </w:t>
      </w:r>
      <w:r w:rsidR="007C3215">
        <w:rPr>
          <w:rStyle w:val="CharDivText"/>
        </w:rPr>
        <w:t>Regulations 2</w:t>
      </w:r>
      <w:r w:rsidRPr="005E3B43">
        <w:rPr>
          <w:rStyle w:val="CharDivText"/>
        </w:rPr>
        <w:t>018</w:t>
      </w:r>
      <w:bookmarkEnd w:id="325"/>
    </w:p>
    <w:p w14:paraId="01834591" w14:textId="77777777" w:rsidR="00B00472" w:rsidRPr="005E3B43" w:rsidRDefault="00B00472" w:rsidP="00763BCF">
      <w:pPr>
        <w:pStyle w:val="ActHead5"/>
      </w:pPr>
      <w:bookmarkStart w:id="326" w:name="_Toc187135920"/>
      <w:r w:rsidRPr="005E3B43">
        <w:rPr>
          <w:rStyle w:val="CharSectno"/>
        </w:rPr>
        <w:t>63</w:t>
      </w:r>
      <w:r w:rsidRPr="005E3B43">
        <w:t xml:space="preserve">  Application of amendments</w:t>
      </w:r>
      <w:bookmarkEnd w:id="326"/>
    </w:p>
    <w:p w14:paraId="24106B26" w14:textId="53DCFD39" w:rsidR="00B00472" w:rsidRPr="005E3B43" w:rsidRDefault="00B00472" w:rsidP="00763BCF">
      <w:pPr>
        <w:pStyle w:val="subsection"/>
      </w:pPr>
      <w:r w:rsidRPr="005E3B43">
        <w:tab/>
      </w:r>
      <w:r w:rsidRPr="005E3B43">
        <w:tab/>
        <w:t xml:space="preserve">The amendments of these Regulations made by the </w:t>
      </w:r>
      <w:r w:rsidRPr="005E3B43">
        <w:rPr>
          <w:i/>
        </w:rPr>
        <w:t xml:space="preserve">Therapeutic Goods Legislation Amendment (Exempt Devices and Goods) </w:t>
      </w:r>
      <w:r w:rsidR="007C3215">
        <w:rPr>
          <w:i/>
        </w:rPr>
        <w:t>Regulations 2</w:t>
      </w:r>
      <w:r w:rsidRPr="005E3B43">
        <w:rPr>
          <w:i/>
        </w:rPr>
        <w:t>018</w:t>
      </w:r>
      <w:r w:rsidRPr="005E3B43">
        <w:t xml:space="preserve"> apply to a therapeutic good imported into Australia:</w:t>
      </w:r>
    </w:p>
    <w:p w14:paraId="24EB4F5F" w14:textId="77777777" w:rsidR="00B00472" w:rsidRPr="005E3B43" w:rsidRDefault="00B00472" w:rsidP="00763BCF">
      <w:pPr>
        <w:pStyle w:val="paragraph"/>
      </w:pPr>
      <w:r w:rsidRPr="005E3B43">
        <w:tab/>
        <w:t>(a)</w:t>
      </w:r>
      <w:r w:rsidRPr="005E3B43">
        <w:tab/>
        <w:t>on or after the commencement of this regulation; or</w:t>
      </w:r>
    </w:p>
    <w:p w14:paraId="7250C830" w14:textId="77777777" w:rsidR="00B00472" w:rsidRPr="005E3B43" w:rsidRDefault="00B00472" w:rsidP="00763BCF">
      <w:pPr>
        <w:pStyle w:val="paragraph"/>
      </w:pPr>
      <w:r w:rsidRPr="005E3B43">
        <w:tab/>
        <w:t>(b)</w:t>
      </w:r>
      <w:r w:rsidRPr="005E3B43">
        <w:tab/>
        <w:t>during the 12 months ending immediately before that commencement, if the goods were held under the direct control of the sponsor immediately before that commencement.</w:t>
      </w:r>
    </w:p>
    <w:p w14:paraId="201CC560" w14:textId="651B56B7" w:rsidR="00372E06" w:rsidRPr="005E3B43" w:rsidRDefault="00372E06" w:rsidP="00763BCF">
      <w:pPr>
        <w:pStyle w:val="ActHead3"/>
        <w:pageBreakBefore/>
      </w:pPr>
      <w:bookmarkStart w:id="327" w:name="_Toc187135921"/>
      <w:r w:rsidRPr="005E3B43">
        <w:rPr>
          <w:rStyle w:val="CharDivNo"/>
        </w:rPr>
        <w:lastRenderedPageBreak/>
        <w:t>Division</w:t>
      </w:r>
      <w:r w:rsidR="004E6D00" w:rsidRPr="005E3B43">
        <w:rPr>
          <w:rStyle w:val="CharDivNo"/>
        </w:rPr>
        <w:t> </w:t>
      </w:r>
      <w:r w:rsidRPr="005E3B43">
        <w:rPr>
          <w:rStyle w:val="CharDivNo"/>
        </w:rPr>
        <w:t>9</w:t>
      </w:r>
      <w:r w:rsidRPr="005E3B43">
        <w:t>—</w:t>
      </w:r>
      <w:r w:rsidRPr="005E3B43">
        <w:rPr>
          <w:rStyle w:val="CharDivText"/>
        </w:rPr>
        <w:t>Transitional provisions relating to the Therapeutic Goods Legislation Amendment (2018 Measures No.</w:t>
      </w:r>
      <w:r w:rsidR="004E6D00" w:rsidRPr="005E3B43">
        <w:rPr>
          <w:rStyle w:val="CharDivText"/>
        </w:rPr>
        <w:t> </w:t>
      </w:r>
      <w:r w:rsidRPr="005E3B43">
        <w:rPr>
          <w:rStyle w:val="CharDivText"/>
        </w:rPr>
        <w:t xml:space="preserve">2) </w:t>
      </w:r>
      <w:r w:rsidR="007C3215">
        <w:rPr>
          <w:rStyle w:val="CharDivText"/>
        </w:rPr>
        <w:t>Regulations 2</w:t>
      </w:r>
      <w:r w:rsidRPr="005E3B43">
        <w:rPr>
          <w:rStyle w:val="CharDivText"/>
        </w:rPr>
        <w:t>018</w:t>
      </w:r>
      <w:bookmarkEnd w:id="327"/>
    </w:p>
    <w:p w14:paraId="0ACCAD59" w14:textId="77777777" w:rsidR="00372E06" w:rsidRPr="005E3B43" w:rsidRDefault="00372E06" w:rsidP="00763BCF">
      <w:pPr>
        <w:pStyle w:val="ActHead5"/>
      </w:pPr>
      <w:bookmarkStart w:id="328" w:name="_Toc187135922"/>
      <w:r w:rsidRPr="005E3B43">
        <w:rPr>
          <w:rStyle w:val="CharSectno"/>
        </w:rPr>
        <w:t>64</w:t>
      </w:r>
      <w:r w:rsidRPr="005E3B43">
        <w:t xml:space="preserve">  Definitions</w:t>
      </w:r>
      <w:bookmarkEnd w:id="328"/>
    </w:p>
    <w:p w14:paraId="6922EF05" w14:textId="77777777" w:rsidR="00372E06" w:rsidRPr="005E3B43" w:rsidRDefault="00372E06" w:rsidP="00763BCF">
      <w:pPr>
        <w:pStyle w:val="subsection"/>
      </w:pPr>
      <w:r w:rsidRPr="005E3B43">
        <w:tab/>
      </w:r>
      <w:r w:rsidRPr="005E3B43">
        <w:tab/>
        <w:t>In this Division:</w:t>
      </w:r>
    </w:p>
    <w:p w14:paraId="7C387BCA" w14:textId="2B56440E" w:rsidR="00372E06" w:rsidRPr="005E3B43" w:rsidRDefault="00372E06" w:rsidP="00763BCF">
      <w:pPr>
        <w:pStyle w:val="Definition"/>
      </w:pPr>
      <w:r w:rsidRPr="005E3B43">
        <w:rPr>
          <w:b/>
          <w:i/>
        </w:rPr>
        <w:t>Amendment Regulations</w:t>
      </w:r>
      <w:r w:rsidRPr="005E3B43">
        <w:t xml:space="preserve"> means the </w:t>
      </w:r>
      <w:r w:rsidRPr="005E3B43">
        <w:rPr>
          <w:i/>
        </w:rPr>
        <w:t>Therapeutic Goods Legislation Amendment (2018 Measures No.</w:t>
      </w:r>
      <w:r w:rsidR="004E6D00" w:rsidRPr="005E3B43">
        <w:rPr>
          <w:i/>
        </w:rPr>
        <w:t> </w:t>
      </w:r>
      <w:r w:rsidRPr="005E3B43">
        <w:rPr>
          <w:i/>
        </w:rPr>
        <w:t xml:space="preserve">2) </w:t>
      </w:r>
      <w:r w:rsidR="007C3215">
        <w:rPr>
          <w:i/>
        </w:rPr>
        <w:t>Regulations 2</w:t>
      </w:r>
      <w:r w:rsidRPr="005E3B43">
        <w:rPr>
          <w:i/>
        </w:rPr>
        <w:t>018</w:t>
      </w:r>
      <w:r w:rsidRPr="005E3B43">
        <w:t>.</w:t>
      </w:r>
    </w:p>
    <w:p w14:paraId="1DF1E095" w14:textId="18E17623" w:rsidR="00372E06" w:rsidRPr="005E3B43" w:rsidRDefault="00372E06" w:rsidP="00763BCF">
      <w:pPr>
        <w:pStyle w:val="Definition"/>
      </w:pPr>
      <w:r w:rsidRPr="005E3B43">
        <w:rPr>
          <w:b/>
          <w:i/>
        </w:rPr>
        <w:t>finally determined</w:t>
      </w:r>
      <w:r w:rsidRPr="005E3B43">
        <w:t xml:space="preserve"> has the same meaning as in </w:t>
      </w:r>
      <w:r w:rsidR="003C0723" w:rsidRPr="005E3B43">
        <w:t>Division 1</w:t>
      </w:r>
      <w:r w:rsidRPr="005E3B43">
        <w:t xml:space="preserve">1.1 of the </w:t>
      </w:r>
      <w:r w:rsidRPr="005E3B43">
        <w:rPr>
          <w:i/>
        </w:rPr>
        <w:t xml:space="preserve">Therapeutic Goods (Medical Devices) </w:t>
      </w:r>
      <w:r w:rsidR="007C3215">
        <w:rPr>
          <w:i/>
        </w:rPr>
        <w:t>Regulations 2</w:t>
      </w:r>
      <w:r w:rsidRPr="005E3B43">
        <w:rPr>
          <w:i/>
        </w:rPr>
        <w:t>002</w:t>
      </w:r>
      <w:r w:rsidRPr="005E3B43">
        <w:t>.</w:t>
      </w:r>
    </w:p>
    <w:p w14:paraId="634172B1" w14:textId="77777777" w:rsidR="00372E06" w:rsidRPr="005E3B43" w:rsidRDefault="00372E06" w:rsidP="00763BCF">
      <w:pPr>
        <w:pStyle w:val="Definition"/>
      </w:pPr>
      <w:r w:rsidRPr="005E3B43">
        <w:rPr>
          <w:b/>
          <w:i/>
        </w:rPr>
        <w:t>transitional goods</w:t>
      </w:r>
      <w:r w:rsidRPr="005E3B43">
        <w:t xml:space="preserve"> means goods:</w:t>
      </w:r>
    </w:p>
    <w:p w14:paraId="60D9E3D7" w14:textId="77777777" w:rsidR="00372E06" w:rsidRPr="005E3B43" w:rsidRDefault="00372E06" w:rsidP="00763BCF">
      <w:pPr>
        <w:pStyle w:val="paragraph"/>
      </w:pPr>
      <w:r w:rsidRPr="005E3B43">
        <w:tab/>
        <w:t>(a)</w:t>
      </w:r>
      <w:r w:rsidRPr="005E3B43">
        <w:tab/>
        <w:t>to which paragraph</w:t>
      </w:r>
      <w:r w:rsidR="004E6D00" w:rsidRPr="005E3B43">
        <w:t> </w:t>
      </w:r>
      <w:r w:rsidRPr="005E3B43">
        <w:t>4(q) of the Therapeutic Goods (Excluded Goods) Order No.</w:t>
      </w:r>
      <w:r w:rsidR="004E6D00" w:rsidRPr="005E3B43">
        <w:t> </w:t>
      </w:r>
      <w:r w:rsidRPr="005E3B43">
        <w:t>1 of 2011 applied on 30</w:t>
      </w:r>
      <w:r w:rsidR="004E6D00" w:rsidRPr="005E3B43">
        <w:t> </w:t>
      </w:r>
      <w:r w:rsidRPr="005E3B43">
        <w:t>June 2018; and</w:t>
      </w:r>
    </w:p>
    <w:p w14:paraId="22068C65" w14:textId="77777777" w:rsidR="00372E06" w:rsidRPr="005E3B43" w:rsidRDefault="00372E06" w:rsidP="00763BCF">
      <w:pPr>
        <w:pStyle w:val="paragraph"/>
      </w:pPr>
      <w:r w:rsidRPr="005E3B43">
        <w:tab/>
        <w:t>(b)</w:t>
      </w:r>
      <w:r w:rsidRPr="005E3B43">
        <w:tab/>
        <w:t>of a kind supplied in Australia on or before 30</w:t>
      </w:r>
      <w:r w:rsidR="004E6D00" w:rsidRPr="005E3B43">
        <w:t> </w:t>
      </w:r>
      <w:r w:rsidRPr="005E3B43">
        <w:t>June 2018; and</w:t>
      </w:r>
    </w:p>
    <w:p w14:paraId="7044B7A2" w14:textId="3B56B6D8" w:rsidR="00372E06" w:rsidRPr="005E3B43" w:rsidRDefault="00372E06" w:rsidP="00763BCF">
      <w:pPr>
        <w:pStyle w:val="paragraph"/>
      </w:pPr>
      <w:r w:rsidRPr="005E3B43">
        <w:tab/>
        <w:t>(c)</w:t>
      </w:r>
      <w:r w:rsidRPr="005E3B43">
        <w:tab/>
        <w:t xml:space="preserve">to which column 2 of </w:t>
      </w:r>
      <w:r w:rsidR="007C3215">
        <w:t>item 1</w:t>
      </w:r>
      <w:r w:rsidR="0042156D" w:rsidRPr="005E3B43">
        <w:t>3</w:t>
      </w:r>
      <w:r w:rsidRPr="005E3B43">
        <w:t xml:space="preserve"> of Schedule</w:t>
      </w:r>
      <w:r w:rsidR="004E6D00" w:rsidRPr="005E3B43">
        <w:t> </w:t>
      </w:r>
      <w:r w:rsidRPr="005E3B43">
        <w:t>5A to these Regulations, as inserted by the Amendment Regulations, does not apply.</w:t>
      </w:r>
    </w:p>
    <w:p w14:paraId="1745C3DB" w14:textId="659AFA89" w:rsidR="00372E06" w:rsidRPr="005E3B43" w:rsidRDefault="00372E06" w:rsidP="00763BCF">
      <w:pPr>
        <w:pStyle w:val="ActHead5"/>
      </w:pPr>
      <w:bookmarkStart w:id="329" w:name="_Toc187135923"/>
      <w:r w:rsidRPr="005E3B43">
        <w:rPr>
          <w:rStyle w:val="CharSectno"/>
        </w:rPr>
        <w:t>65</w:t>
      </w:r>
      <w:r w:rsidRPr="005E3B43">
        <w:t xml:space="preserve">  Transitional provisions—exemptions from Parts</w:t>
      </w:r>
      <w:r w:rsidR="004E6D00" w:rsidRPr="005E3B43">
        <w:t> </w:t>
      </w:r>
      <w:r w:rsidRPr="005E3B43">
        <w:t>3</w:t>
      </w:r>
      <w:r w:rsidR="007C3215">
        <w:noBreakHyphen/>
      </w:r>
      <w:r w:rsidRPr="005E3B43">
        <w:t>2 and 3</w:t>
      </w:r>
      <w:r w:rsidR="007C3215">
        <w:noBreakHyphen/>
      </w:r>
      <w:r w:rsidRPr="005E3B43">
        <w:t>2A of the Act</w:t>
      </w:r>
      <w:bookmarkEnd w:id="329"/>
    </w:p>
    <w:p w14:paraId="6A7761BA" w14:textId="77777777" w:rsidR="00372E06" w:rsidRPr="005E3B43" w:rsidRDefault="00372E06" w:rsidP="00763BCF">
      <w:pPr>
        <w:pStyle w:val="SubsectionHead"/>
      </w:pPr>
      <w:r w:rsidRPr="005E3B43">
        <w:t>Exemptions</w:t>
      </w:r>
    </w:p>
    <w:p w14:paraId="00ED0D1E" w14:textId="77777777" w:rsidR="00372E06" w:rsidRPr="005E3B43" w:rsidRDefault="00372E06" w:rsidP="00763BCF">
      <w:pPr>
        <w:pStyle w:val="subsection"/>
      </w:pPr>
      <w:r w:rsidRPr="005E3B43">
        <w:tab/>
        <w:t>(1)</w:t>
      </w:r>
      <w:r w:rsidRPr="005E3B43">
        <w:tab/>
        <w:t>For the purposes of subsections</w:t>
      </w:r>
      <w:r w:rsidR="004E6D00" w:rsidRPr="005E3B43">
        <w:t> </w:t>
      </w:r>
      <w:r w:rsidRPr="005E3B43">
        <w:t>18(1) and 32CA(2) of the Act, transitional goods are exempt from the operation of the following provisions of the Act:</w:t>
      </w:r>
    </w:p>
    <w:p w14:paraId="211CE4A2" w14:textId="1C2BA934" w:rsidR="00372E06" w:rsidRPr="005E3B43" w:rsidRDefault="00372E06" w:rsidP="00763BCF">
      <w:pPr>
        <w:pStyle w:val="paragraph"/>
      </w:pPr>
      <w:r w:rsidRPr="005E3B43">
        <w:tab/>
        <w:t>(a)</w:t>
      </w:r>
      <w:r w:rsidRPr="005E3B43">
        <w:tab/>
      </w:r>
      <w:r w:rsidR="00BB758E" w:rsidRPr="005E3B43">
        <w:t>Part 3</w:t>
      </w:r>
      <w:r w:rsidR="007C3215">
        <w:noBreakHyphen/>
      </w:r>
      <w:r w:rsidRPr="005E3B43">
        <w:t>2 (except sections</w:t>
      </w:r>
      <w:r w:rsidR="004E6D00" w:rsidRPr="005E3B43">
        <w:t> </w:t>
      </w:r>
      <w:r w:rsidRPr="005E3B43">
        <w:t>30EA, 31A and 31C to 31F);</w:t>
      </w:r>
    </w:p>
    <w:p w14:paraId="6C7BDF2F" w14:textId="6D8C9BF9" w:rsidR="00372E06" w:rsidRPr="005E3B43" w:rsidRDefault="00372E06" w:rsidP="00763BCF">
      <w:pPr>
        <w:pStyle w:val="paragraph"/>
      </w:pPr>
      <w:r w:rsidRPr="005E3B43">
        <w:tab/>
        <w:t>(b)</w:t>
      </w:r>
      <w:r w:rsidRPr="005E3B43">
        <w:tab/>
      </w:r>
      <w:r w:rsidR="00BE7FAC" w:rsidRPr="005E3B43">
        <w:t>Division 4</w:t>
      </w:r>
      <w:r w:rsidRPr="005E3B43">
        <w:t xml:space="preserve"> of </w:t>
      </w:r>
      <w:r w:rsidR="00BB758E" w:rsidRPr="005E3B43">
        <w:t>Part 3</w:t>
      </w:r>
      <w:r w:rsidR="007C3215">
        <w:noBreakHyphen/>
      </w:r>
      <w:r w:rsidRPr="005E3B43">
        <w:t>2A.</w:t>
      </w:r>
    </w:p>
    <w:p w14:paraId="672E0C97" w14:textId="77777777" w:rsidR="00372E06" w:rsidRPr="005E3B43" w:rsidRDefault="00372E06" w:rsidP="00763BCF">
      <w:pPr>
        <w:pStyle w:val="subsection"/>
      </w:pPr>
      <w:r w:rsidRPr="005E3B43">
        <w:tab/>
        <w:t>(2)</w:t>
      </w:r>
      <w:r w:rsidRPr="005E3B43">
        <w:tab/>
        <w:t>The exemptions mentioned in subregulation (1) are subject to compliance with the condition that, if the sponsor of the goods knows that particular information relating to an event or occurrence indicates that use of the goods as intended by the sponsor may have an unintended harmful effect, the sponsor must give the information to the Secretary within the period specified by regulation</w:t>
      </w:r>
      <w:r w:rsidR="004E6D00" w:rsidRPr="005E3B43">
        <w:t> </w:t>
      </w:r>
      <w:r w:rsidRPr="005E3B43">
        <w:t>16AB.</w:t>
      </w:r>
    </w:p>
    <w:p w14:paraId="6CA5DE7C" w14:textId="77777777" w:rsidR="00372E06" w:rsidRPr="005E3B43" w:rsidRDefault="00372E06" w:rsidP="00763BCF">
      <w:pPr>
        <w:pStyle w:val="SubsectionHead"/>
      </w:pPr>
      <w:r w:rsidRPr="005E3B43">
        <w:t>When exemptions cease</w:t>
      </w:r>
    </w:p>
    <w:p w14:paraId="32552EE3" w14:textId="77777777" w:rsidR="00372E06" w:rsidRPr="005E3B43" w:rsidRDefault="00372E06" w:rsidP="00763BCF">
      <w:pPr>
        <w:pStyle w:val="subsection"/>
      </w:pPr>
      <w:r w:rsidRPr="005E3B43">
        <w:tab/>
        <w:t>(3)</w:t>
      </w:r>
      <w:r w:rsidRPr="005E3B43">
        <w:tab/>
        <w:t xml:space="preserve">Subregulation (1) ceases to have effect on </w:t>
      </w:r>
      <w:r w:rsidR="006B5D8E" w:rsidRPr="005E3B43">
        <w:t>1 July</w:t>
      </w:r>
      <w:r w:rsidRPr="005E3B43">
        <w:t xml:space="preserve"> 2019, subject to subregulations (4) and (5).</w:t>
      </w:r>
    </w:p>
    <w:p w14:paraId="08F48D6A" w14:textId="77777777" w:rsidR="00372E06" w:rsidRPr="005E3B43" w:rsidRDefault="00372E06" w:rsidP="00763BCF">
      <w:pPr>
        <w:pStyle w:val="subsection"/>
      </w:pPr>
      <w:r w:rsidRPr="005E3B43">
        <w:tab/>
        <w:t>(4)</w:t>
      </w:r>
      <w:r w:rsidRPr="005E3B43">
        <w:tab/>
        <w:t>If:</w:t>
      </w:r>
    </w:p>
    <w:p w14:paraId="28E1D1E8" w14:textId="77777777" w:rsidR="00372E06" w:rsidRPr="005E3B43" w:rsidRDefault="00F913B8" w:rsidP="00763BCF">
      <w:pPr>
        <w:pStyle w:val="paragraph"/>
      </w:pPr>
      <w:r w:rsidRPr="005E3B43">
        <w:tab/>
        <w:t>(a</w:t>
      </w:r>
      <w:r w:rsidR="00372E06" w:rsidRPr="005E3B43">
        <w:t>)</w:t>
      </w:r>
      <w:r w:rsidR="00372E06" w:rsidRPr="005E3B43">
        <w:tab/>
        <w:t>a sponsor of transitional goods applies, on or before 30</w:t>
      </w:r>
      <w:r w:rsidR="004E6D00" w:rsidRPr="005E3B43">
        <w:t> </w:t>
      </w:r>
      <w:r w:rsidR="00372E06" w:rsidRPr="005E3B43">
        <w:t>June 2019, for registration, listing, or inclusion of the goods in the Register; and</w:t>
      </w:r>
    </w:p>
    <w:p w14:paraId="7A3E862C" w14:textId="77777777" w:rsidR="00372E06" w:rsidRPr="005E3B43" w:rsidRDefault="00372E06" w:rsidP="00763BCF">
      <w:pPr>
        <w:pStyle w:val="paragraph"/>
      </w:pPr>
      <w:r w:rsidRPr="005E3B43">
        <w:tab/>
        <w:t>(</w:t>
      </w:r>
      <w:r w:rsidR="00F913B8" w:rsidRPr="005E3B43">
        <w:t>b</w:t>
      </w:r>
      <w:r w:rsidRPr="005E3B43">
        <w:t>)</w:t>
      </w:r>
      <w:r w:rsidRPr="005E3B43">
        <w:tab/>
        <w:t>the application passes preliminary assessment on or before 30</w:t>
      </w:r>
      <w:r w:rsidR="004E6D00" w:rsidRPr="005E3B43">
        <w:t> </w:t>
      </w:r>
      <w:r w:rsidRPr="005E3B43">
        <w:t>June 2019;</w:t>
      </w:r>
    </w:p>
    <w:p w14:paraId="4BAE3E78" w14:textId="77777777" w:rsidR="00372E06" w:rsidRPr="005E3B43" w:rsidRDefault="00372E06" w:rsidP="00763BCF">
      <w:pPr>
        <w:pStyle w:val="subsection2"/>
      </w:pPr>
      <w:r w:rsidRPr="005E3B43">
        <w:t xml:space="preserve">subregulation (1) ceases to have effect in relation to the goods when the application is finally determined, lapses or is withdrawn, if that happens on or after </w:t>
      </w:r>
      <w:r w:rsidR="006B5D8E" w:rsidRPr="005E3B43">
        <w:t>1 July</w:t>
      </w:r>
      <w:r w:rsidRPr="005E3B43">
        <w:t xml:space="preserve"> 2019.</w:t>
      </w:r>
    </w:p>
    <w:p w14:paraId="769F5E6D" w14:textId="77777777" w:rsidR="00372E06" w:rsidRPr="005E3B43" w:rsidRDefault="00372E06" w:rsidP="00763BCF">
      <w:pPr>
        <w:pStyle w:val="subsection"/>
      </w:pPr>
      <w:r w:rsidRPr="005E3B43">
        <w:lastRenderedPageBreak/>
        <w:tab/>
        <w:t>(5)</w:t>
      </w:r>
      <w:r w:rsidRPr="005E3B43">
        <w:tab/>
        <w:t>If a sponsor of transitional goods applies, on or before 30</w:t>
      </w:r>
      <w:r w:rsidR="004E6D00" w:rsidRPr="005E3B43">
        <w:t> </w:t>
      </w:r>
      <w:r w:rsidRPr="005E3B43">
        <w:t>June 2019, for an approval under section</w:t>
      </w:r>
      <w:r w:rsidR="004E6D00" w:rsidRPr="005E3B43">
        <w:t> </w:t>
      </w:r>
      <w:r w:rsidRPr="005E3B43">
        <w:t xml:space="preserve">32CK in relation to the goods, subregulation (1) ceases to have effect in relation to the goods when the application is finally determined or is withdrawn, if that happens on or after </w:t>
      </w:r>
      <w:r w:rsidR="006B5D8E" w:rsidRPr="005E3B43">
        <w:t>1 July</w:t>
      </w:r>
      <w:r w:rsidRPr="005E3B43">
        <w:t xml:space="preserve"> 2019.</w:t>
      </w:r>
    </w:p>
    <w:p w14:paraId="5AF67DD2" w14:textId="77777777" w:rsidR="00372E06" w:rsidRPr="005E3B43" w:rsidRDefault="00372E06" w:rsidP="00763BCF">
      <w:pPr>
        <w:pStyle w:val="SubsectionHead"/>
      </w:pPr>
      <w:r w:rsidRPr="005E3B43">
        <w:t>Advertising offence and civil penalty</w:t>
      </w:r>
    </w:p>
    <w:p w14:paraId="3D45D5CE" w14:textId="77777777" w:rsidR="00372E06" w:rsidRPr="005E3B43" w:rsidRDefault="00372E06" w:rsidP="00763BCF">
      <w:pPr>
        <w:pStyle w:val="subsection"/>
      </w:pPr>
      <w:r w:rsidRPr="005E3B43">
        <w:tab/>
        <w:t>(6)</w:t>
      </w:r>
      <w:r w:rsidRPr="005E3B43">
        <w:tab/>
        <w:t xml:space="preserve">While subregulation (1) has effect in relation to transitional goods, </w:t>
      </w:r>
      <w:r w:rsidR="001877BA" w:rsidRPr="005E3B43">
        <w:t>paragraph 7</w:t>
      </w:r>
      <w:r w:rsidRPr="005E3B43">
        <w:t>(e) applies to the goods in the same way as that paragraph applies to goods mentioned in column 2 of an item in Schedule</w:t>
      </w:r>
      <w:r w:rsidR="004E6D00" w:rsidRPr="005E3B43">
        <w:t> </w:t>
      </w:r>
      <w:r w:rsidRPr="005E3B43">
        <w:t>5A.</w:t>
      </w:r>
    </w:p>
    <w:p w14:paraId="3B28049F" w14:textId="68FA00F8" w:rsidR="00372E06" w:rsidRPr="005E3B43" w:rsidRDefault="00372E06" w:rsidP="00763BCF">
      <w:pPr>
        <w:pStyle w:val="ActHead5"/>
      </w:pPr>
      <w:bookmarkStart w:id="330" w:name="_Toc187135924"/>
      <w:r w:rsidRPr="005E3B43">
        <w:rPr>
          <w:rStyle w:val="CharSectno"/>
        </w:rPr>
        <w:t>66</w:t>
      </w:r>
      <w:r w:rsidRPr="005E3B43">
        <w:t xml:space="preserve">  Transitional provisions—exemptions from </w:t>
      </w:r>
      <w:r w:rsidR="00BB758E" w:rsidRPr="005E3B43">
        <w:t>Part 3</w:t>
      </w:r>
      <w:r w:rsidR="007C3215">
        <w:noBreakHyphen/>
      </w:r>
      <w:r w:rsidRPr="005E3B43">
        <w:t>3 of the Act</w:t>
      </w:r>
      <w:bookmarkEnd w:id="330"/>
    </w:p>
    <w:p w14:paraId="094617DD" w14:textId="1BFD7C57" w:rsidR="00372E06" w:rsidRPr="005E3B43" w:rsidRDefault="00372E06" w:rsidP="00763BCF">
      <w:pPr>
        <w:pStyle w:val="subsection"/>
      </w:pPr>
      <w:r w:rsidRPr="005E3B43">
        <w:tab/>
        <w:t>(1)</w:t>
      </w:r>
      <w:r w:rsidRPr="005E3B43">
        <w:tab/>
        <w:t xml:space="preserve">For the purposes of </w:t>
      </w:r>
      <w:r w:rsidR="00842CCD" w:rsidRPr="005E3B43">
        <w:t>subsection 3</w:t>
      </w:r>
      <w:r w:rsidRPr="005E3B43">
        <w:t xml:space="preserve">4(1) of the Act, transitional goods are exempt from the operation of </w:t>
      </w:r>
      <w:r w:rsidR="00BB758E" w:rsidRPr="005E3B43">
        <w:t>Part 3</w:t>
      </w:r>
      <w:r w:rsidR="007C3215">
        <w:noBreakHyphen/>
      </w:r>
      <w:r w:rsidRPr="005E3B43">
        <w:t>3 of the Act.</w:t>
      </w:r>
    </w:p>
    <w:p w14:paraId="610E336E" w14:textId="77777777" w:rsidR="00372E06" w:rsidRPr="005E3B43" w:rsidRDefault="00372E06" w:rsidP="00763BCF">
      <w:pPr>
        <w:pStyle w:val="subsection"/>
      </w:pPr>
      <w:r w:rsidRPr="005E3B43">
        <w:tab/>
        <w:t>(2)</w:t>
      </w:r>
      <w:r w:rsidRPr="005E3B43">
        <w:tab/>
        <w:t xml:space="preserve">Subregulation (1) ceases to have effect on </w:t>
      </w:r>
      <w:r w:rsidR="006B5D8E" w:rsidRPr="005E3B43">
        <w:t>1 July</w:t>
      </w:r>
      <w:r w:rsidRPr="005E3B43">
        <w:t xml:space="preserve"> 2019, subject to subregulation (3).</w:t>
      </w:r>
    </w:p>
    <w:p w14:paraId="78D7DB00" w14:textId="77777777" w:rsidR="00372E06" w:rsidRPr="005E3B43" w:rsidRDefault="00372E06" w:rsidP="00763BCF">
      <w:pPr>
        <w:pStyle w:val="subsection"/>
      </w:pPr>
      <w:r w:rsidRPr="005E3B43">
        <w:tab/>
        <w:t>(3)</w:t>
      </w:r>
      <w:r w:rsidRPr="005E3B43">
        <w:tab/>
        <w:t>If, on or before 30</w:t>
      </w:r>
      <w:r w:rsidR="004E6D00" w:rsidRPr="005E3B43">
        <w:t> </w:t>
      </w:r>
      <w:r w:rsidRPr="005E3B43">
        <w:t xml:space="preserve">June 2019, each person who carries out a step in the manufacture of transitional goods applies for a licence authorising the person to carry out the step on premises referred to in the application, subregulation (1) ceases to have effect in relation to the transitional goods produced by those persons carrying out the steps on those premises when the last of those applications is finally determined or is withdrawn, if that happens on or after </w:t>
      </w:r>
      <w:r w:rsidR="006B5D8E" w:rsidRPr="005E3B43">
        <w:t>1 July</w:t>
      </w:r>
      <w:r w:rsidRPr="005E3B43">
        <w:t xml:space="preserve"> 2019.</w:t>
      </w:r>
    </w:p>
    <w:p w14:paraId="0BF97940" w14:textId="230D2970" w:rsidR="00F86EBE" w:rsidRPr="005E3B43" w:rsidRDefault="003C0723" w:rsidP="00763BCF">
      <w:pPr>
        <w:pStyle w:val="ActHead3"/>
        <w:pageBreakBefore/>
      </w:pPr>
      <w:bookmarkStart w:id="331" w:name="_Toc187135925"/>
      <w:r w:rsidRPr="005E3B43">
        <w:rPr>
          <w:rStyle w:val="CharDivNo"/>
        </w:rPr>
        <w:lastRenderedPageBreak/>
        <w:t>Division 1</w:t>
      </w:r>
      <w:r w:rsidR="00F86EBE" w:rsidRPr="005E3B43">
        <w:rPr>
          <w:rStyle w:val="CharDivNo"/>
        </w:rPr>
        <w:t>0</w:t>
      </w:r>
      <w:r w:rsidR="00F86EBE" w:rsidRPr="005E3B43">
        <w:t>—</w:t>
      </w:r>
      <w:r w:rsidR="00F86EBE" w:rsidRPr="005E3B43">
        <w:rPr>
          <w:rStyle w:val="CharDivText"/>
        </w:rPr>
        <w:t>Application provisions relating to the Therapeutic Goods Legislation Amendment (2018 Measures No.</w:t>
      </w:r>
      <w:r w:rsidR="004E6D00" w:rsidRPr="005E3B43">
        <w:rPr>
          <w:rStyle w:val="CharDivText"/>
        </w:rPr>
        <w:t> </w:t>
      </w:r>
      <w:r w:rsidR="00F86EBE" w:rsidRPr="005E3B43">
        <w:rPr>
          <w:rStyle w:val="CharDivText"/>
        </w:rPr>
        <w:t xml:space="preserve">3) </w:t>
      </w:r>
      <w:r w:rsidR="007C3215">
        <w:rPr>
          <w:rStyle w:val="CharDivText"/>
        </w:rPr>
        <w:t>Regulations 2</w:t>
      </w:r>
      <w:r w:rsidR="00F86EBE" w:rsidRPr="005E3B43">
        <w:rPr>
          <w:rStyle w:val="CharDivText"/>
        </w:rPr>
        <w:t>018</w:t>
      </w:r>
      <w:bookmarkEnd w:id="331"/>
    </w:p>
    <w:p w14:paraId="7CAD559A" w14:textId="77777777" w:rsidR="00F86EBE" w:rsidRPr="005E3B43" w:rsidRDefault="00F86EBE" w:rsidP="00763BCF">
      <w:pPr>
        <w:pStyle w:val="ActHead5"/>
      </w:pPr>
      <w:bookmarkStart w:id="332" w:name="_Toc187135926"/>
      <w:r w:rsidRPr="005E3B43">
        <w:rPr>
          <w:rStyle w:val="CharSectno"/>
        </w:rPr>
        <w:t>67</w:t>
      </w:r>
      <w:r w:rsidRPr="005E3B43">
        <w:t xml:space="preserve">  Application</w:t>
      </w:r>
      <w:bookmarkEnd w:id="332"/>
    </w:p>
    <w:p w14:paraId="20B9EE7B" w14:textId="509EE2A1" w:rsidR="00F86EBE" w:rsidRPr="005E3B43" w:rsidRDefault="00F86EBE" w:rsidP="00763BCF">
      <w:pPr>
        <w:pStyle w:val="subsection"/>
      </w:pPr>
      <w:r w:rsidRPr="005E3B43">
        <w:tab/>
      </w:r>
      <w:r w:rsidRPr="005E3B43">
        <w:tab/>
        <w:t>The amendments of Schedules</w:t>
      </w:r>
      <w:r w:rsidR="004E6D00" w:rsidRPr="005E3B43">
        <w:t> </w:t>
      </w:r>
      <w:r w:rsidRPr="005E3B43">
        <w:t xml:space="preserve">3, 4 and 5 made by </w:t>
      </w:r>
      <w:r w:rsidR="003C0723" w:rsidRPr="005E3B43">
        <w:t>Division 1</w:t>
      </w:r>
      <w:r w:rsidRPr="005E3B43">
        <w:t xml:space="preserve"> of </w:t>
      </w:r>
      <w:r w:rsidR="006B5D8E" w:rsidRPr="005E3B43">
        <w:t>Part 2</w:t>
      </w:r>
      <w:r w:rsidRPr="005E3B43">
        <w:t xml:space="preserve"> of </w:t>
      </w:r>
      <w:r w:rsidR="008D1B4F" w:rsidRPr="005E3B43">
        <w:t>Schedule 1</w:t>
      </w:r>
      <w:r w:rsidRPr="005E3B43">
        <w:t xml:space="preserve"> to the </w:t>
      </w:r>
      <w:r w:rsidRPr="005E3B43">
        <w:rPr>
          <w:i/>
        </w:rPr>
        <w:t>Therapeutic Goods Legislation Amendment (2018 Measures No.</w:t>
      </w:r>
      <w:r w:rsidR="004E6D00" w:rsidRPr="005E3B43">
        <w:rPr>
          <w:i/>
        </w:rPr>
        <w:t> </w:t>
      </w:r>
      <w:r w:rsidRPr="005E3B43">
        <w:rPr>
          <w:i/>
        </w:rPr>
        <w:t xml:space="preserve">3) </w:t>
      </w:r>
      <w:r w:rsidR="007C3215">
        <w:rPr>
          <w:i/>
        </w:rPr>
        <w:t>Regulations 2</w:t>
      </w:r>
      <w:r w:rsidRPr="005E3B43">
        <w:rPr>
          <w:i/>
        </w:rPr>
        <w:t>018</w:t>
      </w:r>
      <w:r w:rsidRPr="005E3B43">
        <w:t xml:space="preserve"> apply to disinfectants after the commencement of that Division, whether or not the disinfectants were registered goods or listed goods immediately before that commencement.</w:t>
      </w:r>
    </w:p>
    <w:p w14:paraId="17FEB024" w14:textId="77777777" w:rsidR="00F86EBE" w:rsidRPr="005E3B43" w:rsidRDefault="00F86EBE" w:rsidP="00763BCF">
      <w:pPr>
        <w:pStyle w:val="notetext"/>
      </w:pPr>
      <w:r w:rsidRPr="005E3B43">
        <w:t>Note:</w:t>
      </w:r>
      <w:r w:rsidRPr="005E3B43">
        <w:tab/>
        <w:t>If disinfectants were registered goods immediately before that commencement, subregulation</w:t>
      </w:r>
      <w:r w:rsidR="004E6D00" w:rsidRPr="005E3B43">
        <w:t> </w:t>
      </w:r>
      <w:r w:rsidRPr="005E3B43">
        <w:t>10B(2) lets the persons in whose names the goods were entered in the Register immediately before that commencement apply to the Secretary:</w:t>
      </w:r>
    </w:p>
    <w:p w14:paraId="20B8052F" w14:textId="77777777" w:rsidR="00F86EBE" w:rsidRPr="005E3B43" w:rsidRDefault="00F86EBE" w:rsidP="00763BCF">
      <w:pPr>
        <w:pStyle w:val="notepara"/>
      </w:pPr>
      <w:r w:rsidRPr="005E3B43">
        <w:t>(a)</w:t>
      </w:r>
      <w:r w:rsidRPr="005E3B43">
        <w:tab/>
        <w:t>to transfer the entry for the goods to the part of the Register for listed goods; or</w:t>
      </w:r>
    </w:p>
    <w:p w14:paraId="4EABA714" w14:textId="77777777" w:rsidR="00F86EBE" w:rsidRPr="005E3B43" w:rsidRDefault="00F86EBE" w:rsidP="00763BCF">
      <w:pPr>
        <w:pStyle w:val="notepara"/>
      </w:pPr>
      <w:r w:rsidRPr="005E3B43">
        <w:t>(b)</w:t>
      </w:r>
      <w:r w:rsidRPr="005E3B43">
        <w:tab/>
        <w:t>to retain the entry in the part of the Register for registered goods.</w:t>
      </w:r>
    </w:p>
    <w:p w14:paraId="2A357D4A" w14:textId="3014CB6C" w:rsidR="009E5A52" w:rsidRPr="005E3B43" w:rsidRDefault="003C0723" w:rsidP="00763BCF">
      <w:pPr>
        <w:pStyle w:val="ActHead3"/>
        <w:pageBreakBefore/>
        <w:rPr>
          <w:i/>
        </w:rPr>
      </w:pPr>
      <w:bookmarkStart w:id="333" w:name="_Toc187135927"/>
      <w:r w:rsidRPr="005E3B43">
        <w:rPr>
          <w:rStyle w:val="CharDivNo"/>
        </w:rPr>
        <w:lastRenderedPageBreak/>
        <w:t>Division 1</w:t>
      </w:r>
      <w:r w:rsidR="009E5A52" w:rsidRPr="005E3B43">
        <w:rPr>
          <w:rStyle w:val="CharDivNo"/>
        </w:rPr>
        <w:t>1</w:t>
      </w:r>
      <w:r w:rsidR="009E5A52" w:rsidRPr="005E3B43">
        <w:t>—</w:t>
      </w:r>
      <w:r w:rsidR="009E5A52" w:rsidRPr="005E3B43">
        <w:rPr>
          <w:rStyle w:val="CharDivText"/>
        </w:rPr>
        <w:t xml:space="preserve">Application and transitional provisions relating to the Therapeutic Goods Amendment (Fees for Relisted Medicine) </w:t>
      </w:r>
      <w:r w:rsidR="007C3215">
        <w:rPr>
          <w:rStyle w:val="CharDivText"/>
        </w:rPr>
        <w:t>Regulations 2</w:t>
      </w:r>
      <w:r w:rsidR="009E5A52" w:rsidRPr="005E3B43">
        <w:rPr>
          <w:rStyle w:val="CharDivText"/>
        </w:rPr>
        <w:t>019</w:t>
      </w:r>
      <w:bookmarkEnd w:id="333"/>
    </w:p>
    <w:p w14:paraId="61143D3F" w14:textId="77777777" w:rsidR="009E5A52" w:rsidRPr="005E3B43" w:rsidRDefault="009E5A52" w:rsidP="00763BCF">
      <w:pPr>
        <w:pStyle w:val="ActHead5"/>
      </w:pPr>
      <w:bookmarkStart w:id="334" w:name="_Toc187135928"/>
      <w:r w:rsidRPr="005E3B43">
        <w:rPr>
          <w:rStyle w:val="CharSectno"/>
        </w:rPr>
        <w:t>68</w:t>
      </w:r>
      <w:r w:rsidRPr="005E3B43">
        <w:t xml:space="preserve">  Application and transitional provisions</w:t>
      </w:r>
      <w:bookmarkEnd w:id="334"/>
    </w:p>
    <w:p w14:paraId="607E9105" w14:textId="0E92E28A" w:rsidR="009E5A52" w:rsidRPr="005E3B43" w:rsidRDefault="009E5A52" w:rsidP="00763BCF">
      <w:pPr>
        <w:pStyle w:val="subsection"/>
      </w:pPr>
      <w:r w:rsidRPr="005E3B43">
        <w:tab/>
        <w:t>(1)</w:t>
      </w:r>
      <w:r w:rsidRPr="005E3B43">
        <w:tab/>
        <w:t>The amendment of regulation</w:t>
      </w:r>
      <w:r w:rsidR="004E6D00" w:rsidRPr="005E3B43">
        <w:t> </w:t>
      </w:r>
      <w:r w:rsidRPr="005E3B43">
        <w:t xml:space="preserve">43A made by the </w:t>
      </w:r>
      <w:r w:rsidRPr="005E3B43">
        <w:rPr>
          <w:i/>
          <w:noProof/>
        </w:rPr>
        <w:t xml:space="preserve">Therapeutic Goods Amendment (Fees for Relisted Medicine) </w:t>
      </w:r>
      <w:r w:rsidR="007C3215">
        <w:rPr>
          <w:i/>
          <w:noProof/>
        </w:rPr>
        <w:t>Regulations 2</w:t>
      </w:r>
      <w:r w:rsidRPr="005E3B43">
        <w:rPr>
          <w:i/>
          <w:noProof/>
        </w:rPr>
        <w:t>019</w:t>
      </w:r>
      <w:r w:rsidRPr="005E3B43">
        <w:t xml:space="preserve"> applies in relation to applications made on or after 6</w:t>
      </w:r>
      <w:r w:rsidR="004E6D00" w:rsidRPr="005E3B43">
        <w:t> </w:t>
      </w:r>
      <w:r w:rsidRPr="005E3B43">
        <w:t>September 2019.</w:t>
      </w:r>
    </w:p>
    <w:p w14:paraId="728E65AC" w14:textId="6C535045" w:rsidR="009E5A52" w:rsidRPr="005E3B43" w:rsidRDefault="009E5A52" w:rsidP="00763BCF">
      <w:pPr>
        <w:pStyle w:val="subsection"/>
      </w:pPr>
      <w:r w:rsidRPr="005E3B43">
        <w:tab/>
        <w:t>(2)</w:t>
      </w:r>
      <w:r w:rsidRPr="005E3B43">
        <w:tab/>
        <w:t>If, on or after 6</w:t>
      </w:r>
      <w:r w:rsidR="004E6D00" w:rsidRPr="005E3B43">
        <w:t> </w:t>
      </w:r>
      <w:r w:rsidRPr="005E3B43">
        <w:t xml:space="preserve">September 2019 and before the commencement of the </w:t>
      </w:r>
      <w:r w:rsidRPr="005E3B43">
        <w:rPr>
          <w:i/>
          <w:noProof/>
        </w:rPr>
        <w:t xml:space="preserve">Therapeutic Goods Amendment (Fees for Relisted Medicine) </w:t>
      </w:r>
      <w:r w:rsidR="007C3215">
        <w:rPr>
          <w:i/>
          <w:noProof/>
        </w:rPr>
        <w:t>Regulations 2</w:t>
      </w:r>
      <w:r w:rsidRPr="005E3B43">
        <w:rPr>
          <w:i/>
          <w:noProof/>
        </w:rPr>
        <w:t>019</w:t>
      </w:r>
      <w:r w:rsidRPr="005E3B43">
        <w:t>, a person:</w:t>
      </w:r>
    </w:p>
    <w:p w14:paraId="5BDF7729" w14:textId="77777777" w:rsidR="009E5A52" w:rsidRPr="005E3B43" w:rsidRDefault="009E5A52" w:rsidP="00763BCF">
      <w:pPr>
        <w:pStyle w:val="paragraph"/>
      </w:pPr>
      <w:r w:rsidRPr="005E3B43">
        <w:tab/>
        <w:t>(a)</w:t>
      </w:r>
      <w:r w:rsidRPr="005E3B43">
        <w:tab/>
        <w:t>made an application for the listing of medicine in circumstances where paragraphs 43A(4)(a) to (c) were satisfied; and</w:t>
      </w:r>
    </w:p>
    <w:p w14:paraId="26EB4D84" w14:textId="77777777" w:rsidR="009E5A52" w:rsidRPr="005E3B43" w:rsidRDefault="009E5A52" w:rsidP="00763BCF">
      <w:pPr>
        <w:pStyle w:val="paragraph"/>
      </w:pPr>
      <w:r w:rsidRPr="005E3B43">
        <w:tab/>
        <w:t>(b)</w:t>
      </w:r>
      <w:r w:rsidRPr="005E3B43">
        <w:tab/>
        <w:t xml:space="preserve">paid the fee under </w:t>
      </w:r>
      <w:r w:rsidR="004E6D00" w:rsidRPr="005E3B43">
        <w:t>paragraph (</w:t>
      </w:r>
      <w:r w:rsidRPr="005E3B43">
        <w:t xml:space="preserve">b) of </w:t>
      </w:r>
      <w:r w:rsidR="006B5D8E" w:rsidRPr="005E3B43">
        <w:t>item 3</w:t>
      </w:r>
      <w:r w:rsidRPr="005E3B43">
        <w:t xml:space="preserve"> of the table in </w:t>
      </w:r>
      <w:r w:rsidR="006B5D8E" w:rsidRPr="005E3B43">
        <w:t>Part 2</w:t>
      </w:r>
      <w:r w:rsidRPr="005E3B43">
        <w:t xml:space="preserve"> of Schedule</w:t>
      </w:r>
      <w:r w:rsidR="004E6D00" w:rsidRPr="005E3B43">
        <w:t> </w:t>
      </w:r>
      <w:r w:rsidRPr="005E3B43">
        <w:t>9 in relation to the application;</w:t>
      </w:r>
    </w:p>
    <w:p w14:paraId="2C0990D4" w14:textId="77777777" w:rsidR="009E5A52" w:rsidRPr="005E3B43" w:rsidRDefault="009E5A52" w:rsidP="00763BCF">
      <w:pPr>
        <w:pStyle w:val="subsection2"/>
      </w:pPr>
      <w:r w:rsidRPr="005E3B43">
        <w:t>the Secretary must, on behalf of the Commonwealth, refund to the person an amount equal to the fee paid.</w:t>
      </w:r>
    </w:p>
    <w:p w14:paraId="0605E09F" w14:textId="27DBE07D" w:rsidR="00977060" w:rsidRPr="005E3B43" w:rsidRDefault="003C0723" w:rsidP="00763BCF">
      <w:pPr>
        <w:pStyle w:val="ActHead3"/>
        <w:pageBreakBefore/>
      </w:pPr>
      <w:bookmarkStart w:id="335" w:name="_Toc187135929"/>
      <w:r w:rsidRPr="005E3B43">
        <w:rPr>
          <w:rStyle w:val="CharDivNo"/>
        </w:rPr>
        <w:lastRenderedPageBreak/>
        <w:t>Division 1</w:t>
      </w:r>
      <w:r w:rsidR="00977060" w:rsidRPr="005E3B43">
        <w:rPr>
          <w:rStyle w:val="CharDivNo"/>
        </w:rPr>
        <w:t>2</w:t>
      </w:r>
      <w:r w:rsidR="00977060" w:rsidRPr="005E3B43">
        <w:t>—</w:t>
      </w:r>
      <w:r w:rsidR="00977060" w:rsidRPr="005E3B43">
        <w:rPr>
          <w:rStyle w:val="CharDivText"/>
        </w:rPr>
        <w:t>Application and transitional provisions relating to the Therapeutic Goods Legislation Amendment (2019 Measures No.</w:t>
      </w:r>
      <w:r w:rsidR="004E6D00" w:rsidRPr="005E3B43">
        <w:rPr>
          <w:rStyle w:val="CharDivText"/>
        </w:rPr>
        <w:t> </w:t>
      </w:r>
      <w:r w:rsidR="00977060" w:rsidRPr="005E3B43">
        <w:rPr>
          <w:rStyle w:val="CharDivText"/>
        </w:rPr>
        <w:t xml:space="preserve">1) </w:t>
      </w:r>
      <w:r w:rsidR="007C3215">
        <w:rPr>
          <w:rStyle w:val="CharDivText"/>
        </w:rPr>
        <w:t>Regulations 2</w:t>
      </w:r>
      <w:r w:rsidR="00977060" w:rsidRPr="005E3B43">
        <w:rPr>
          <w:rStyle w:val="CharDivText"/>
        </w:rPr>
        <w:t>019</w:t>
      </w:r>
      <w:bookmarkEnd w:id="335"/>
    </w:p>
    <w:p w14:paraId="2A86F1CE" w14:textId="77777777" w:rsidR="00977060" w:rsidRPr="005E3B43" w:rsidRDefault="00977060" w:rsidP="00763BCF">
      <w:pPr>
        <w:pStyle w:val="ActHead4"/>
      </w:pPr>
      <w:bookmarkStart w:id="336" w:name="_Toc187135930"/>
      <w:r w:rsidRPr="005E3B43">
        <w:rPr>
          <w:rStyle w:val="CharSubdNo"/>
        </w:rPr>
        <w:t>Subdivision A</w:t>
      </w:r>
      <w:r w:rsidRPr="005E3B43">
        <w:t>—</w:t>
      </w:r>
      <w:r w:rsidRPr="005E3B43">
        <w:rPr>
          <w:rStyle w:val="CharSubdText"/>
        </w:rPr>
        <w:t>Definitions</w:t>
      </w:r>
      <w:bookmarkEnd w:id="336"/>
    </w:p>
    <w:p w14:paraId="15F72E9A" w14:textId="77777777" w:rsidR="00977060" w:rsidRPr="005E3B43" w:rsidRDefault="00977060" w:rsidP="00763BCF">
      <w:pPr>
        <w:pStyle w:val="ActHead5"/>
      </w:pPr>
      <w:bookmarkStart w:id="337" w:name="_Toc187135931"/>
      <w:r w:rsidRPr="005E3B43">
        <w:rPr>
          <w:rStyle w:val="CharSectno"/>
        </w:rPr>
        <w:t>69</w:t>
      </w:r>
      <w:r w:rsidRPr="005E3B43">
        <w:t xml:space="preserve">  Definitions</w:t>
      </w:r>
      <w:bookmarkEnd w:id="337"/>
    </w:p>
    <w:p w14:paraId="46C3775A" w14:textId="77777777" w:rsidR="00977060" w:rsidRPr="005E3B43" w:rsidRDefault="00977060" w:rsidP="00763BCF">
      <w:pPr>
        <w:pStyle w:val="subsection"/>
      </w:pPr>
      <w:r w:rsidRPr="005E3B43">
        <w:tab/>
      </w:r>
      <w:r w:rsidRPr="005E3B43">
        <w:tab/>
        <w:t>In this Division:</w:t>
      </w:r>
    </w:p>
    <w:p w14:paraId="53C69461" w14:textId="71455EA0" w:rsidR="00977060" w:rsidRPr="005E3B43" w:rsidRDefault="00977060" w:rsidP="00763BCF">
      <w:pPr>
        <w:pStyle w:val="Definition"/>
      </w:pPr>
      <w:r w:rsidRPr="005E3B43">
        <w:rPr>
          <w:b/>
          <w:i/>
        </w:rPr>
        <w:t>amending regulations</w:t>
      </w:r>
      <w:r w:rsidRPr="005E3B43">
        <w:t xml:space="preserve"> means the </w:t>
      </w:r>
      <w:r w:rsidRPr="005E3B43">
        <w:rPr>
          <w:i/>
        </w:rPr>
        <w:t>Therapeutic Goods Legislation Amendment (2019 Measures No.</w:t>
      </w:r>
      <w:r w:rsidR="004E6D00" w:rsidRPr="005E3B43">
        <w:rPr>
          <w:i/>
        </w:rPr>
        <w:t> </w:t>
      </w:r>
      <w:r w:rsidRPr="005E3B43">
        <w:rPr>
          <w:i/>
        </w:rPr>
        <w:t xml:space="preserve">1) </w:t>
      </w:r>
      <w:r w:rsidR="007C3215">
        <w:rPr>
          <w:i/>
        </w:rPr>
        <w:t>Regulations 2</w:t>
      </w:r>
      <w:r w:rsidRPr="005E3B43">
        <w:rPr>
          <w:i/>
        </w:rPr>
        <w:t>019</w:t>
      </w:r>
      <w:r w:rsidRPr="005E3B43">
        <w:t>.</w:t>
      </w:r>
    </w:p>
    <w:p w14:paraId="04374188" w14:textId="77777777" w:rsidR="00977060" w:rsidRPr="005E3B43" w:rsidRDefault="00977060" w:rsidP="00763BCF">
      <w:pPr>
        <w:pStyle w:val="Definition"/>
      </w:pPr>
      <w:r w:rsidRPr="005E3B43">
        <w:rPr>
          <w:b/>
          <w:i/>
        </w:rPr>
        <w:t>finally determined</w:t>
      </w:r>
      <w:r w:rsidRPr="005E3B43">
        <w:t>: an application is finally determined at the first time both the following conditions are met:</w:t>
      </w:r>
    </w:p>
    <w:p w14:paraId="56D9AE49" w14:textId="77777777" w:rsidR="00977060" w:rsidRPr="005E3B43" w:rsidRDefault="00977060" w:rsidP="00763BCF">
      <w:pPr>
        <w:pStyle w:val="paragraph"/>
      </w:pPr>
      <w:r w:rsidRPr="005E3B43">
        <w:tab/>
        <w:t>(a)</w:t>
      </w:r>
      <w:r w:rsidRPr="005E3B43">
        <w:tab/>
        <w:t>a decision has been made whether or not to grant the application;</w:t>
      </w:r>
    </w:p>
    <w:p w14:paraId="780002FA" w14:textId="77777777" w:rsidR="00977060" w:rsidRPr="005E3B43" w:rsidRDefault="00977060" w:rsidP="00763BCF">
      <w:pPr>
        <w:pStyle w:val="paragraph"/>
      </w:pPr>
      <w:r w:rsidRPr="005E3B43">
        <w:tab/>
        <w:t>(b)</w:t>
      </w:r>
      <w:r w:rsidRPr="005E3B43">
        <w:tab/>
        <w:t>there is no longer any possibility of a change in the outcome of the decision.</w:t>
      </w:r>
    </w:p>
    <w:p w14:paraId="337F3692" w14:textId="77777777" w:rsidR="00977060" w:rsidRPr="005E3B43" w:rsidRDefault="00977060" w:rsidP="00763BCF">
      <w:pPr>
        <w:pStyle w:val="ActHead4"/>
      </w:pPr>
      <w:bookmarkStart w:id="338" w:name="_Toc187135932"/>
      <w:r w:rsidRPr="005E3B43">
        <w:rPr>
          <w:rStyle w:val="CharSubdNo"/>
        </w:rPr>
        <w:t>Subdivision B</w:t>
      </w:r>
      <w:r w:rsidRPr="005E3B43">
        <w:t>—</w:t>
      </w:r>
      <w:r w:rsidRPr="005E3B43">
        <w:rPr>
          <w:rStyle w:val="CharSubdText"/>
        </w:rPr>
        <w:t>Faecal microbiota transplant products</w:t>
      </w:r>
      <w:bookmarkEnd w:id="338"/>
    </w:p>
    <w:p w14:paraId="325D3B5C" w14:textId="6A74007E" w:rsidR="00977060" w:rsidRPr="005E3B43" w:rsidRDefault="00977060" w:rsidP="00763BCF">
      <w:pPr>
        <w:pStyle w:val="ActHead5"/>
      </w:pPr>
      <w:bookmarkStart w:id="339" w:name="_Toc187135933"/>
      <w:r w:rsidRPr="005E3B43">
        <w:rPr>
          <w:rStyle w:val="CharSectno"/>
        </w:rPr>
        <w:t>70</w:t>
      </w:r>
      <w:r w:rsidRPr="005E3B43">
        <w:t xml:space="preserve">  Faecal microbiota transplant products—</w:t>
      </w:r>
      <w:r w:rsidR="00BE7FAC" w:rsidRPr="005E3B43">
        <w:t>Division 4</w:t>
      </w:r>
      <w:r w:rsidRPr="005E3B43">
        <w:t xml:space="preserve"> of </w:t>
      </w:r>
      <w:r w:rsidR="00BB758E" w:rsidRPr="005E3B43">
        <w:t>Part 3</w:t>
      </w:r>
      <w:r w:rsidR="007C3215">
        <w:noBreakHyphen/>
      </w:r>
      <w:r w:rsidRPr="005E3B43">
        <w:t>2A of the Act</w:t>
      </w:r>
      <w:bookmarkEnd w:id="339"/>
    </w:p>
    <w:p w14:paraId="3DBAF45D" w14:textId="77777777" w:rsidR="00977060" w:rsidRPr="005E3B43" w:rsidRDefault="00977060" w:rsidP="00763BCF">
      <w:pPr>
        <w:pStyle w:val="SubsectionHead"/>
      </w:pPr>
      <w:r w:rsidRPr="005E3B43">
        <w:t>Exemption</w:t>
      </w:r>
    </w:p>
    <w:p w14:paraId="483D799D" w14:textId="1067B1CD" w:rsidR="00977060" w:rsidRPr="005E3B43" w:rsidRDefault="00977060" w:rsidP="00763BCF">
      <w:pPr>
        <w:pStyle w:val="subsection"/>
      </w:pPr>
      <w:r w:rsidRPr="005E3B43">
        <w:tab/>
        <w:t>(1)</w:t>
      </w:r>
      <w:r w:rsidRPr="005E3B43">
        <w:tab/>
        <w:t xml:space="preserve">For the purposes of </w:t>
      </w:r>
      <w:r w:rsidR="00842CCD" w:rsidRPr="005E3B43">
        <w:t>subsection 3</w:t>
      </w:r>
      <w:r w:rsidRPr="005E3B43">
        <w:t xml:space="preserve">2CA(2) of the Act, faecal microbiota transplant products are exempt from the operation of </w:t>
      </w:r>
      <w:r w:rsidR="00BE7FAC" w:rsidRPr="005E3B43">
        <w:t>Division 4</w:t>
      </w:r>
      <w:r w:rsidRPr="005E3B43">
        <w:t xml:space="preserve"> of </w:t>
      </w:r>
      <w:r w:rsidR="00BB758E" w:rsidRPr="005E3B43">
        <w:t>Part 3</w:t>
      </w:r>
      <w:r w:rsidR="007C3215">
        <w:noBreakHyphen/>
      </w:r>
      <w:r w:rsidRPr="005E3B43">
        <w:t>2A of the Act.</w:t>
      </w:r>
    </w:p>
    <w:p w14:paraId="796F501A" w14:textId="77777777" w:rsidR="00977060" w:rsidRPr="005E3B43" w:rsidRDefault="00977060" w:rsidP="00763BCF">
      <w:pPr>
        <w:pStyle w:val="subsection"/>
      </w:pPr>
      <w:r w:rsidRPr="005E3B43">
        <w:tab/>
        <w:t>(2)</w:t>
      </w:r>
      <w:r w:rsidRPr="005E3B43">
        <w:tab/>
        <w:t>The exemption mentioned in subregulation (1) is subject to compliance with the condition that, if the sponsor of the faecal microbiota transplant products knows that particular information relating to an event or occurrence indicates that use of the products as intended by the sponsor may have an unintended harmful effect, the sponsor must give the information to the Secretary within the period specified by regulation</w:t>
      </w:r>
      <w:r w:rsidR="004E6D00" w:rsidRPr="005E3B43">
        <w:t> </w:t>
      </w:r>
      <w:r w:rsidRPr="005E3B43">
        <w:t>16AB.</w:t>
      </w:r>
    </w:p>
    <w:p w14:paraId="3E60EE01" w14:textId="77777777" w:rsidR="00977060" w:rsidRPr="005E3B43" w:rsidRDefault="00977060" w:rsidP="00763BCF">
      <w:pPr>
        <w:pStyle w:val="SubsectionHead"/>
      </w:pPr>
      <w:r w:rsidRPr="005E3B43">
        <w:t>When exemption ceases</w:t>
      </w:r>
    </w:p>
    <w:p w14:paraId="2797803F" w14:textId="77777777" w:rsidR="00977060" w:rsidRPr="005E3B43" w:rsidRDefault="00977060" w:rsidP="00763BCF">
      <w:pPr>
        <w:pStyle w:val="subsection"/>
      </w:pPr>
      <w:r w:rsidRPr="005E3B43">
        <w:tab/>
        <w:t>(3)</w:t>
      </w:r>
      <w:r w:rsidRPr="005E3B43">
        <w:tab/>
        <w:t xml:space="preserve">Subregulation (1) ceases to have effect on </w:t>
      </w:r>
      <w:r w:rsidR="006B5D8E" w:rsidRPr="005E3B43">
        <w:t>1 July</w:t>
      </w:r>
      <w:r w:rsidR="004F6606" w:rsidRPr="005E3B43">
        <w:t xml:space="preserve"> 2021</w:t>
      </w:r>
      <w:r w:rsidRPr="005E3B43">
        <w:t>, subject to subregulations (4) and (5).</w:t>
      </w:r>
    </w:p>
    <w:p w14:paraId="7A1FA93B" w14:textId="77777777" w:rsidR="00977060" w:rsidRPr="005E3B43" w:rsidRDefault="00977060" w:rsidP="00763BCF">
      <w:pPr>
        <w:pStyle w:val="subsection"/>
      </w:pPr>
      <w:r w:rsidRPr="005E3B43">
        <w:tab/>
        <w:t>(4)</w:t>
      </w:r>
      <w:r w:rsidRPr="005E3B43">
        <w:tab/>
        <w:t xml:space="preserve">If a sponsor of faecal microbiota transplant products applies, on or before </w:t>
      </w:r>
      <w:r w:rsidR="004F6606" w:rsidRPr="005E3B43">
        <w:t>30 June 2021</w:t>
      </w:r>
      <w:r w:rsidRPr="005E3B43">
        <w:t xml:space="preserve">, for inclusion of the products in the Register, subregulation (1) ceases to have effect in relation to the products when the application is finally determined, lapses or is withdrawn, if that happens on or after </w:t>
      </w:r>
      <w:r w:rsidR="006B5D8E" w:rsidRPr="005E3B43">
        <w:t>1 July</w:t>
      </w:r>
      <w:r w:rsidR="004F6606" w:rsidRPr="005E3B43">
        <w:t xml:space="preserve"> 2021</w:t>
      </w:r>
      <w:r w:rsidRPr="005E3B43">
        <w:t>.</w:t>
      </w:r>
    </w:p>
    <w:p w14:paraId="2BAC2D0D" w14:textId="77777777" w:rsidR="00977060" w:rsidRPr="005E3B43" w:rsidRDefault="00977060" w:rsidP="00763BCF">
      <w:pPr>
        <w:pStyle w:val="subsection"/>
      </w:pPr>
      <w:r w:rsidRPr="005E3B43">
        <w:tab/>
        <w:t>(5)</w:t>
      </w:r>
      <w:r w:rsidRPr="005E3B43">
        <w:tab/>
        <w:t xml:space="preserve">If a sponsor of faecal microbiota transplant products applies, on or before </w:t>
      </w:r>
      <w:r w:rsidR="004F6606" w:rsidRPr="005E3B43">
        <w:t>30 June 2021</w:t>
      </w:r>
      <w:r w:rsidRPr="005E3B43">
        <w:t>, for an approval under section</w:t>
      </w:r>
      <w:r w:rsidR="004E6D00" w:rsidRPr="005E3B43">
        <w:t> </w:t>
      </w:r>
      <w:r w:rsidRPr="005E3B43">
        <w:t xml:space="preserve">32CK of the Act in relation to the products, subregulation (1) ceases to have effect in relation to the products when </w:t>
      </w:r>
      <w:r w:rsidRPr="005E3B43">
        <w:lastRenderedPageBreak/>
        <w:t xml:space="preserve">the application is finally determined or is withdrawn, if that happens on or after </w:t>
      </w:r>
      <w:r w:rsidR="006B5D8E" w:rsidRPr="005E3B43">
        <w:t>1 July</w:t>
      </w:r>
      <w:r w:rsidR="004F6606" w:rsidRPr="005E3B43">
        <w:t xml:space="preserve"> 2021</w:t>
      </w:r>
      <w:r w:rsidRPr="005E3B43">
        <w:t>.</w:t>
      </w:r>
    </w:p>
    <w:p w14:paraId="074925DD" w14:textId="6C45F90C" w:rsidR="00977060" w:rsidRPr="005E3B43" w:rsidRDefault="00977060" w:rsidP="00763BCF">
      <w:pPr>
        <w:pStyle w:val="ActHead5"/>
      </w:pPr>
      <w:bookmarkStart w:id="340" w:name="_Toc187135934"/>
      <w:r w:rsidRPr="005E3B43">
        <w:rPr>
          <w:rStyle w:val="CharSectno"/>
        </w:rPr>
        <w:t>71</w:t>
      </w:r>
      <w:r w:rsidRPr="005E3B43">
        <w:t xml:space="preserve">  Faecal microbiota transplant products—</w:t>
      </w:r>
      <w:r w:rsidR="00BB758E" w:rsidRPr="005E3B43">
        <w:t>Part 3</w:t>
      </w:r>
      <w:r w:rsidR="007C3215">
        <w:noBreakHyphen/>
      </w:r>
      <w:r w:rsidRPr="005E3B43">
        <w:t>3 of the Act</w:t>
      </w:r>
      <w:bookmarkEnd w:id="340"/>
    </w:p>
    <w:p w14:paraId="1C3E5678" w14:textId="77777777" w:rsidR="00977060" w:rsidRPr="005E3B43" w:rsidRDefault="00977060" w:rsidP="00763BCF">
      <w:pPr>
        <w:pStyle w:val="subsection"/>
      </w:pPr>
      <w:r w:rsidRPr="005E3B43">
        <w:tab/>
        <w:t>(1)</w:t>
      </w:r>
      <w:r w:rsidRPr="005E3B43">
        <w:tab/>
        <w:t xml:space="preserve">For the purposes of this regulation, a biological is a </w:t>
      </w:r>
      <w:r w:rsidRPr="005E3B43">
        <w:rPr>
          <w:b/>
          <w:i/>
        </w:rPr>
        <w:t>transitional biological</w:t>
      </w:r>
      <w:r w:rsidRPr="005E3B43">
        <w:t xml:space="preserve"> if it is:</w:t>
      </w:r>
    </w:p>
    <w:p w14:paraId="1E880280" w14:textId="77777777" w:rsidR="00977060" w:rsidRPr="005E3B43" w:rsidRDefault="00977060" w:rsidP="00763BCF">
      <w:pPr>
        <w:pStyle w:val="paragraph"/>
      </w:pPr>
      <w:r w:rsidRPr="005E3B43">
        <w:tab/>
        <w:t>(a)</w:t>
      </w:r>
      <w:r w:rsidRPr="005E3B43">
        <w:tab/>
        <w:t>a faecal microbiota transplant product; and</w:t>
      </w:r>
    </w:p>
    <w:p w14:paraId="62D4B839" w14:textId="77777777" w:rsidR="00977060" w:rsidRPr="005E3B43" w:rsidRDefault="00977060" w:rsidP="00763BCF">
      <w:pPr>
        <w:pStyle w:val="paragraph"/>
      </w:pPr>
      <w:r w:rsidRPr="005E3B43">
        <w:tab/>
        <w:t>(b)</w:t>
      </w:r>
      <w:r w:rsidRPr="005E3B43">
        <w:tab/>
        <w:t>a biological other than a Class 1 biological.</w:t>
      </w:r>
    </w:p>
    <w:p w14:paraId="15AC46BD" w14:textId="77777777" w:rsidR="00977060" w:rsidRPr="005E3B43" w:rsidRDefault="00977060" w:rsidP="00763BCF">
      <w:pPr>
        <w:pStyle w:val="SubsectionHead"/>
      </w:pPr>
      <w:r w:rsidRPr="005E3B43">
        <w:t>Exemption</w:t>
      </w:r>
    </w:p>
    <w:p w14:paraId="0D2286F2" w14:textId="4B083387" w:rsidR="00977060" w:rsidRPr="005E3B43" w:rsidRDefault="00977060" w:rsidP="00763BCF">
      <w:pPr>
        <w:pStyle w:val="subsection"/>
      </w:pPr>
      <w:r w:rsidRPr="005E3B43">
        <w:tab/>
        <w:t>(2)</w:t>
      </w:r>
      <w:r w:rsidRPr="005E3B43">
        <w:tab/>
        <w:t xml:space="preserve">For the purposes of </w:t>
      </w:r>
      <w:r w:rsidR="00842CCD" w:rsidRPr="005E3B43">
        <w:t>subsection 3</w:t>
      </w:r>
      <w:r w:rsidRPr="005E3B43">
        <w:t xml:space="preserve">4(1) of the Act, transitional biologicals are exempt from the operation of </w:t>
      </w:r>
      <w:r w:rsidR="00BB758E" w:rsidRPr="005E3B43">
        <w:t>Part 3</w:t>
      </w:r>
      <w:r w:rsidR="007C3215">
        <w:noBreakHyphen/>
      </w:r>
      <w:r w:rsidRPr="005E3B43">
        <w:t>3 of the Act.</w:t>
      </w:r>
    </w:p>
    <w:p w14:paraId="009FB3EE" w14:textId="77777777" w:rsidR="00977060" w:rsidRPr="005E3B43" w:rsidRDefault="00977060" w:rsidP="00763BCF">
      <w:pPr>
        <w:pStyle w:val="SubsectionHead"/>
      </w:pPr>
      <w:r w:rsidRPr="005E3B43">
        <w:t>When exemption ceases</w:t>
      </w:r>
    </w:p>
    <w:p w14:paraId="09C665EA" w14:textId="77777777" w:rsidR="00977060" w:rsidRPr="005E3B43" w:rsidRDefault="00977060" w:rsidP="00763BCF">
      <w:pPr>
        <w:pStyle w:val="subsection"/>
      </w:pPr>
      <w:r w:rsidRPr="005E3B43">
        <w:tab/>
        <w:t>(3)</w:t>
      </w:r>
      <w:r w:rsidRPr="005E3B43">
        <w:tab/>
        <w:t xml:space="preserve">Subregulation (2) ceases to have effect on </w:t>
      </w:r>
      <w:r w:rsidR="006B5D8E" w:rsidRPr="005E3B43">
        <w:t>1 July</w:t>
      </w:r>
      <w:r w:rsidR="004F6606" w:rsidRPr="005E3B43">
        <w:t xml:space="preserve"> 2021</w:t>
      </w:r>
      <w:r w:rsidRPr="005E3B43">
        <w:t>, subject to subregulation (4).</w:t>
      </w:r>
    </w:p>
    <w:p w14:paraId="1B407B2F" w14:textId="77777777" w:rsidR="00977060" w:rsidRPr="005E3B43" w:rsidRDefault="00977060" w:rsidP="00763BCF">
      <w:pPr>
        <w:pStyle w:val="subsection"/>
      </w:pPr>
      <w:r w:rsidRPr="005E3B43">
        <w:tab/>
        <w:t>(4)</w:t>
      </w:r>
      <w:r w:rsidRPr="005E3B43">
        <w:tab/>
        <w:t xml:space="preserve">If, on or before </w:t>
      </w:r>
      <w:r w:rsidR="004F6606" w:rsidRPr="005E3B43">
        <w:t>30 June 2021</w:t>
      </w:r>
      <w:r w:rsidRPr="005E3B43">
        <w:t xml:space="preserve">, each person who carries out a step in the manufacture of transitional biologicals applies for a licence authorising the person to carry out the step on premises referred to in the application, subregulation (2) ceases to have effect in relation to the transitional biologicals produced by those persons carrying out the steps on those premises when the last of those applications is finally determined or is withdrawn, if that happens on or after </w:t>
      </w:r>
      <w:r w:rsidR="006B5D8E" w:rsidRPr="005E3B43">
        <w:t>1 July</w:t>
      </w:r>
      <w:r w:rsidR="004F6606" w:rsidRPr="005E3B43">
        <w:t xml:space="preserve"> 2021</w:t>
      </w:r>
      <w:r w:rsidRPr="005E3B43">
        <w:t>.</w:t>
      </w:r>
    </w:p>
    <w:p w14:paraId="13C26965" w14:textId="77777777" w:rsidR="00977060" w:rsidRPr="005E3B43" w:rsidRDefault="00977060" w:rsidP="00763BCF">
      <w:pPr>
        <w:pStyle w:val="ActHead4"/>
      </w:pPr>
      <w:bookmarkStart w:id="341" w:name="_Toc187135935"/>
      <w:r w:rsidRPr="005E3B43">
        <w:rPr>
          <w:rStyle w:val="CharSubdNo"/>
        </w:rPr>
        <w:t>Subdivision C</w:t>
      </w:r>
      <w:r w:rsidRPr="005E3B43">
        <w:t>—</w:t>
      </w:r>
      <w:r w:rsidRPr="005E3B43">
        <w:rPr>
          <w:rStyle w:val="CharSubdText"/>
        </w:rPr>
        <w:t>Consumer medicine information documents</w:t>
      </w:r>
      <w:bookmarkEnd w:id="341"/>
    </w:p>
    <w:p w14:paraId="24520313" w14:textId="77777777" w:rsidR="00977060" w:rsidRPr="005E3B43" w:rsidRDefault="00977060" w:rsidP="00763BCF">
      <w:pPr>
        <w:pStyle w:val="ActHead5"/>
      </w:pPr>
      <w:bookmarkStart w:id="342" w:name="_Toc187135936"/>
      <w:r w:rsidRPr="005E3B43">
        <w:rPr>
          <w:rStyle w:val="CharSectno"/>
        </w:rPr>
        <w:t>72</w:t>
      </w:r>
      <w:r w:rsidRPr="005E3B43">
        <w:t xml:space="preserve">  Consumer medicine information documents</w:t>
      </w:r>
      <w:bookmarkEnd w:id="342"/>
    </w:p>
    <w:p w14:paraId="794CB4A5" w14:textId="77777777" w:rsidR="00977060" w:rsidRPr="005E3B43" w:rsidRDefault="00977060" w:rsidP="00763BCF">
      <w:pPr>
        <w:pStyle w:val="subsection"/>
      </w:pPr>
      <w:r w:rsidRPr="005E3B43">
        <w:tab/>
        <w:t>(1)</w:t>
      </w:r>
      <w:r w:rsidRPr="005E3B43">
        <w:tab/>
        <w:t>Subject to this regulation, the amendments of regulations</w:t>
      </w:r>
      <w:r w:rsidR="004E6D00" w:rsidRPr="005E3B43">
        <w:t> </w:t>
      </w:r>
      <w:r w:rsidRPr="005E3B43">
        <w:t>9A and 9B and Schedules</w:t>
      </w:r>
      <w:r w:rsidR="004E6D00" w:rsidRPr="005E3B43">
        <w:t> </w:t>
      </w:r>
      <w:r w:rsidRPr="005E3B43">
        <w:t>12 and 13 made by Schedule</w:t>
      </w:r>
      <w:r w:rsidR="004E6D00" w:rsidRPr="005E3B43">
        <w:t> </w:t>
      </w:r>
      <w:r w:rsidRPr="005E3B43">
        <w:t xml:space="preserve">6 to the amending regulations apply in relation to medicines supplied on and after </w:t>
      </w:r>
      <w:r w:rsidR="006B5D8E" w:rsidRPr="005E3B43">
        <w:t>1 January</w:t>
      </w:r>
      <w:r w:rsidRPr="005E3B43">
        <w:t xml:space="preserve"> 2021.</w:t>
      </w:r>
    </w:p>
    <w:p w14:paraId="0EBB241B" w14:textId="77777777" w:rsidR="004F7F14" w:rsidRPr="005E3B43" w:rsidRDefault="004F7F14" w:rsidP="00763BCF">
      <w:pPr>
        <w:pStyle w:val="SubsectionHead"/>
      </w:pPr>
      <w:r w:rsidRPr="005E3B43">
        <w:t>Transitional medicines</w:t>
      </w:r>
    </w:p>
    <w:p w14:paraId="3C64C8F2" w14:textId="77777777" w:rsidR="004F7F14" w:rsidRPr="005E3B43" w:rsidRDefault="004F7F14" w:rsidP="00763BCF">
      <w:pPr>
        <w:pStyle w:val="subsection"/>
      </w:pPr>
      <w:r w:rsidRPr="005E3B43">
        <w:tab/>
        <w:t>(2)</w:t>
      </w:r>
      <w:r w:rsidRPr="005E3B43">
        <w:tab/>
        <w:t xml:space="preserve">Subject to subregulation (3), the amendments of regulations 9A and 9B and Schedules 12 and 13 made by Schedule 6 to the amending regulations do not apply in relation to supplies of a medicine of a kind (a </w:t>
      </w:r>
      <w:r w:rsidRPr="005E3B43">
        <w:rPr>
          <w:b/>
          <w:i/>
        </w:rPr>
        <w:t>transitional medicine</w:t>
      </w:r>
      <w:r w:rsidRPr="005E3B43">
        <w:t xml:space="preserve">) that immediately before </w:t>
      </w:r>
      <w:r w:rsidR="006B5D8E" w:rsidRPr="005E3B43">
        <w:t>1 January</w:t>
      </w:r>
      <w:r w:rsidRPr="005E3B43">
        <w:t xml:space="preserve"> 2021 was a registered good.</w:t>
      </w:r>
    </w:p>
    <w:p w14:paraId="017DBB0B" w14:textId="77777777" w:rsidR="00977060" w:rsidRPr="005E3B43" w:rsidRDefault="00977060" w:rsidP="00763BCF">
      <w:pPr>
        <w:pStyle w:val="subsection"/>
      </w:pPr>
      <w:r w:rsidRPr="005E3B43">
        <w:tab/>
        <w:t>(3)</w:t>
      </w:r>
      <w:r w:rsidRPr="005E3B43">
        <w:tab/>
        <w:t>The amendments of regulations</w:t>
      </w:r>
      <w:r w:rsidR="004E6D00" w:rsidRPr="005E3B43">
        <w:t> </w:t>
      </w:r>
      <w:r w:rsidRPr="005E3B43">
        <w:t>9A and 9B and Schedules</w:t>
      </w:r>
      <w:r w:rsidR="004E6D00" w:rsidRPr="005E3B43">
        <w:t> </w:t>
      </w:r>
      <w:r w:rsidRPr="005E3B43">
        <w:t>12 and 13 made by Schedule</w:t>
      </w:r>
      <w:r w:rsidR="004E6D00" w:rsidRPr="005E3B43">
        <w:t> </w:t>
      </w:r>
      <w:r w:rsidRPr="005E3B43">
        <w:t xml:space="preserve">6 to the amending regulations apply in relation to supplies of transitional medicines on and after </w:t>
      </w:r>
      <w:r w:rsidR="006B5D8E" w:rsidRPr="005E3B43">
        <w:t>1 January</w:t>
      </w:r>
      <w:r w:rsidRPr="005E3B43">
        <w:t xml:space="preserve"> 2026.</w:t>
      </w:r>
    </w:p>
    <w:p w14:paraId="4F7D4147" w14:textId="77777777" w:rsidR="004F7F14" w:rsidRPr="005E3B43" w:rsidRDefault="004F7F14" w:rsidP="00763BCF">
      <w:pPr>
        <w:pStyle w:val="notetext"/>
      </w:pPr>
      <w:r w:rsidRPr="005E3B43">
        <w:t>Note:</w:t>
      </w:r>
      <w:r w:rsidRPr="005E3B43">
        <w:tab/>
        <w:t>Subregulations 9A(1) and (1A) cover supplies of therapeutic goods that are included in the Register.</w:t>
      </w:r>
    </w:p>
    <w:p w14:paraId="133E280C" w14:textId="77777777" w:rsidR="00977060" w:rsidRPr="005E3B43" w:rsidRDefault="00977060" w:rsidP="00763BCF">
      <w:pPr>
        <w:pStyle w:val="SubsectionHead"/>
      </w:pPr>
      <w:r w:rsidRPr="005E3B43">
        <w:lastRenderedPageBreak/>
        <w:t>Medicines where applications not finally determined</w:t>
      </w:r>
    </w:p>
    <w:p w14:paraId="52931ED6" w14:textId="77777777" w:rsidR="00977060" w:rsidRPr="005E3B43" w:rsidRDefault="00977060" w:rsidP="00763BCF">
      <w:pPr>
        <w:pStyle w:val="subsection"/>
      </w:pPr>
      <w:r w:rsidRPr="005E3B43">
        <w:tab/>
        <w:t>(4)</w:t>
      </w:r>
      <w:r w:rsidRPr="005E3B43">
        <w:tab/>
        <w:t>Subject to subregulation (5), the amendments of regulations</w:t>
      </w:r>
      <w:r w:rsidR="004E6D00" w:rsidRPr="005E3B43">
        <w:t> </w:t>
      </w:r>
      <w:r w:rsidRPr="005E3B43">
        <w:t>9A and 9B and Schedules</w:t>
      </w:r>
      <w:r w:rsidR="004E6D00" w:rsidRPr="005E3B43">
        <w:t> </w:t>
      </w:r>
      <w:r w:rsidRPr="005E3B43">
        <w:t>12 and 13 made by Schedule</w:t>
      </w:r>
      <w:r w:rsidR="004E6D00" w:rsidRPr="005E3B43">
        <w:t> </w:t>
      </w:r>
      <w:r w:rsidRPr="005E3B43">
        <w:t xml:space="preserve">6 to the amending regulations do not apply in relation to supplies of a medicine of a kind (a </w:t>
      </w:r>
      <w:r w:rsidRPr="005E3B43">
        <w:rPr>
          <w:b/>
          <w:i/>
        </w:rPr>
        <w:t>transitional application medicine</w:t>
      </w:r>
      <w:r w:rsidRPr="005E3B43">
        <w:t>) while either of the following applies to the transitional application medicine:</w:t>
      </w:r>
    </w:p>
    <w:p w14:paraId="7112E6B5" w14:textId="77777777" w:rsidR="00977060" w:rsidRPr="005E3B43" w:rsidRDefault="00977060" w:rsidP="00763BCF">
      <w:pPr>
        <w:pStyle w:val="paragraph"/>
      </w:pPr>
      <w:r w:rsidRPr="005E3B43">
        <w:tab/>
        <w:t>(a)</w:t>
      </w:r>
      <w:r w:rsidRPr="005E3B43">
        <w:tab/>
        <w:t xml:space="preserve">it is the subject of an application for registration that was made before </w:t>
      </w:r>
      <w:r w:rsidR="006B5D8E" w:rsidRPr="005E3B43">
        <w:t>1 January</w:t>
      </w:r>
      <w:r w:rsidRPr="005E3B43">
        <w:t xml:space="preserve"> 2021 and that immediately before that date was not finally determined;</w:t>
      </w:r>
    </w:p>
    <w:p w14:paraId="7D29AE54" w14:textId="77777777" w:rsidR="00977060" w:rsidRPr="005E3B43" w:rsidRDefault="00977060" w:rsidP="00763BCF">
      <w:pPr>
        <w:pStyle w:val="paragraph"/>
      </w:pPr>
      <w:r w:rsidRPr="005E3B43">
        <w:tab/>
        <w:t>(b)</w:t>
      </w:r>
      <w:r w:rsidRPr="005E3B43">
        <w:tab/>
        <w:t>it is included in the Register as a result of such an application.</w:t>
      </w:r>
    </w:p>
    <w:p w14:paraId="4311C107" w14:textId="77777777" w:rsidR="004F7F14" w:rsidRPr="005E3B43" w:rsidRDefault="004F7F14" w:rsidP="00763BCF">
      <w:pPr>
        <w:pStyle w:val="subsection"/>
      </w:pPr>
      <w:r w:rsidRPr="005E3B43">
        <w:tab/>
        <w:t>(5)</w:t>
      </w:r>
      <w:r w:rsidRPr="005E3B43">
        <w:tab/>
      </w:r>
      <w:bookmarkStart w:id="343" w:name="_Hlk82096983"/>
      <w:r w:rsidRPr="005E3B43">
        <w:t xml:space="preserve">The amendments of regulations 9A and 9B and Schedules 12 and 13 made by Schedule 6 to the amending regulations apply in relation to supplies of transitional application medicines on and after </w:t>
      </w:r>
      <w:r w:rsidR="006B5D8E" w:rsidRPr="005E3B43">
        <w:t>1 January</w:t>
      </w:r>
      <w:r w:rsidRPr="005E3B43">
        <w:t xml:space="preserve"> 2026.</w:t>
      </w:r>
      <w:bookmarkEnd w:id="343"/>
    </w:p>
    <w:p w14:paraId="1B2714C5" w14:textId="77777777" w:rsidR="004F7F14" w:rsidRPr="005E3B43" w:rsidRDefault="004F7F14" w:rsidP="00763BCF">
      <w:pPr>
        <w:pStyle w:val="notetext"/>
      </w:pPr>
      <w:r w:rsidRPr="005E3B43">
        <w:t>Note:</w:t>
      </w:r>
      <w:r w:rsidRPr="005E3B43">
        <w:tab/>
        <w:t>Subregulations 9A(1) and (1A) cover supplies of therapeutic goods that are included in the Register.</w:t>
      </w:r>
    </w:p>
    <w:p w14:paraId="45547A45" w14:textId="77777777" w:rsidR="00977060" w:rsidRPr="005E3B43" w:rsidRDefault="00977060" w:rsidP="00763BCF">
      <w:pPr>
        <w:pStyle w:val="ActHead4"/>
      </w:pPr>
      <w:bookmarkStart w:id="344" w:name="_Toc187135937"/>
      <w:r w:rsidRPr="005E3B43">
        <w:rPr>
          <w:rStyle w:val="CharSubdNo"/>
        </w:rPr>
        <w:t>Subdivision D</w:t>
      </w:r>
      <w:r w:rsidRPr="005E3B43">
        <w:t>—</w:t>
      </w:r>
      <w:r w:rsidRPr="005E3B43">
        <w:rPr>
          <w:rStyle w:val="CharSubdText"/>
        </w:rPr>
        <w:t>Handling and testing of samples</w:t>
      </w:r>
      <w:bookmarkEnd w:id="344"/>
    </w:p>
    <w:p w14:paraId="54E38574" w14:textId="77777777" w:rsidR="00977060" w:rsidRPr="005E3B43" w:rsidRDefault="00977060" w:rsidP="00763BCF">
      <w:pPr>
        <w:pStyle w:val="ActHead5"/>
      </w:pPr>
      <w:bookmarkStart w:id="345" w:name="_Toc187135938"/>
      <w:r w:rsidRPr="005E3B43">
        <w:rPr>
          <w:rStyle w:val="CharSectno"/>
        </w:rPr>
        <w:t>73</w:t>
      </w:r>
      <w:r w:rsidRPr="005E3B43">
        <w:t xml:space="preserve">  Handling and testing of samples</w:t>
      </w:r>
      <w:bookmarkEnd w:id="345"/>
    </w:p>
    <w:p w14:paraId="37838B8F" w14:textId="77777777" w:rsidR="00977060" w:rsidRPr="005E3B43" w:rsidRDefault="00977060" w:rsidP="00763BCF">
      <w:pPr>
        <w:pStyle w:val="subsection"/>
      </w:pPr>
      <w:r w:rsidRPr="005E3B43">
        <w:tab/>
      </w:r>
      <w:r w:rsidRPr="005E3B43">
        <w:tab/>
        <w:t>The repeal and substitution of subregulation</w:t>
      </w:r>
      <w:r w:rsidR="004E6D00" w:rsidRPr="005E3B43">
        <w:t> </w:t>
      </w:r>
      <w:r w:rsidRPr="005E3B43">
        <w:t>23(2) made by Schedule</w:t>
      </w:r>
      <w:r w:rsidR="004E6D00" w:rsidRPr="005E3B43">
        <w:t> </w:t>
      </w:r>
      <w:r w:rsidRPr="005E3B43">
        <w:t>7 to the amending regulations, the amendment of paragraph</w:t>
      </w:r>
      <w:r w:rsidR="004E6D00" w:rsidRPr="005E3B43">
        <w:t> </w:t>
      </w:r>
      <w:r w:rsidRPr="005E3B43">
        <w:t xml:space="preserve">25(3)(c) made by that Schedule, </w:t>
      </w:r>
      <w:r w:rsidR="00B30D24" w:rsidRPr="005E3B43">
        <w:t>subregulations 2</w:t>
      </w:r>
      <w:r w:rsidRPr="005E3B43">
        <w:t>5(4) and (5) as added by that Schedule and the amendments of paragraph</w:t>
      </w:r>
      <w:r w:rsidR="004E6D00" w:rsidRPr="005E3B43">
        <w:t> </w:t>
      </w:r>
      <w:r w:rsidRPr="005E3B43">
        <w:t>27(2)(a) and of regulations</w:t>
      </w:r>
      <w:r w:rsidR="004E6D00" w:rsidRPr="005E3B43">
        <w:t> </w:t>
      </w:r>
      <w:r w:rsidRPr="005E3B43">
        <w:t xml:space="preserve">28, 29 and 30 made by that Schedule apply in relation to samples taken or delivered on or after </w:t>
      </w:r>
      <w:r w:rsidR="006B5D8E" w:rsidRPr="005E3B43">
        <w:t>1 January</w:t>
      </w:r>
      <w:r w:rsidRPr="005E3B43">
        <w:t xml:space="preserve"> 2020.</w:t>
      </w:r>
    </w:p>
    <w:p w14:paraId="4C8DAD50" w14:textId="77777777" w:rsidR="00977060" w:rsidRPr="005E3B43" w:rsidRDefault="00977060" w:rsidP="00763BCF">
      <w:pPr>
        <w:pStyle w:val="ActHead4"/>
      </w:pPr>
      <w:bookmarkStart w:id="346" w:name="_Toc187135939"/>
      <w:r w:rsidRPr="005E3B43">
        <w:rPr>
          <w:rStyle w:val="CharSubdNo"/>
        </w:rPr>
        <w:t>Subdivision E</w:t>
      </w:r>
      <w:r w:rsidRPr="005E3B43">
        <w:t>—</w:t>
      </w:r>
      <w:r w:rsidRPr="005E3B43">
        <w:rPr>
          <w:rStyle w:val="CharSubdText"/>
        </w:rPr>
        <w:t>Fee waivers and refunds for certain requests relating to prescription opioids</w:t>
      </w:r>
      <w:bookmarkEnd w:id="346"/>
    </w:p>
    <w:p w14:paraId="723EB106" w14:textId="77777777" w:rsidR="00977060" w:rsidRPr="005E3B43" w:rsidRDefault="00977060" w:rsidP="00763BCF">
      <w:pPr>
        <w:pStyle w:val="ActHead5"/>
      </w:pPr>
      <w:bookmarkStart w:id="347" w:name="_Toc187135940"/>
      <w:r w:rsidRPr="005E3B43">
        <w:rPr>
          <w:rStyle w:val="CharSectno"/>
        </w:rPr>
        <w:t>74</w:t>
      </w:r>
      <w:r w:rsidRPr="005E3B43">
        <w:t xml:space="preserve">  Fee waivers and refunds for certain requests relating to prescription opioids</w:t>
      </w:r>
      <w:bookmarkEnd w:id="347"/>
    </w:p>
    <w:p w14:paraId="6A1A20A6" w14:textId="77777777" w:rsidR="00977060" w:rsidRPr="005E3B43" w:rsidRDefault="00977060" w:rsidP="00763BCF">
      <w:pPr>
        <w:pStyle w:val="subsection"/>
      </w:pPr>
      <w:r w:rsidRPr="005E3B43">
        <w:tab/>
        <w:t>(1)</w:t>
      </w:r>
      <w:r w:rsidRPr="005E3B43">
        <w:tab/>
        <w:t xml:space="preserve">The insertion of </w:t>
      </w:r>
      <w:r w:rsidR="00B30D24" w:rsidRPr="005E3B43">
        <w:t>subregulations 4</w:t>
      </w:r>
      <w:r w:rsidRPr="005E3B43">
        <w:t>5(7) to (9) by Schedule</w:t>
      </w:r>
      <w:r w:rsidR="004E6D00" w:rsidRPr="005E3B43">
        <w:t> </w:t>
      </w:r>
      <w:r w:rsidRPr="005E3B43">
        <w:t>8 to the amending regulations applies in relation to requests made on or after the commencement of those subregulations.</w:t>
      </w:r>
    </w:p>
    <w:p w14:paraId="076368AF" w14:textId="77777777" w:rsidR="00977060" w:rsidRPr="005E3B43" w:rsidRDefault="00977060" w:rsidP="00763BCF">
      <w:pPr>
        <w:pStyle w:val="subsection"/>
      </w:pPr>
      <w:r w:rsidRPr="005E3B43">
        <w:tab/>
        <w:t>(2)</w:t>
      </w:r>
      <w:r w:rsidRPr="005E3B43">
        <w:tab/>
        <w:t>If, on or after 31</w:t>
      </w:r>
      <w:r w:rsidR="004E6D00" w:rsidRPr="005E3B43">
        <w:t> </w:t>
      </w:r>
      <w:r w:rsidRPr="005E3B43">
        <w:t xml:space="preserve">August 2019 and before the commencement of </w:t>
      </w:r>
      <w:r w:rsidR="00B30D24" w:rsidRPr="005E3B43">
        <w:t>subregulations 4</w:t>
      </w:r>
      <w:r w:rsidRPr="005E3B43">
        <w:t>5(7) to (9):</w:t>
      </w:r>
    </w:p>
    <w:p w14:paraId="0BB3B607" w14:textId="77777777" w:rsidR="00977060" w:rsidRPr="005E3B43" w:rsidRDefault="00977060" w:rsidP="00763BCF">
      <w:pPr>
        <w:pStyle w:val="paragraph"/>
      </w:pPr>
      <w:r w:rsidRPr="005E3B43">
        <w:tab/>
        <w:t>(a)</w:t>
      </w:r>
      <w:r w:rsidRPr="005E3B43">
        <w:tab/>
        <w:t xml:space="preserve">a person made a request (an </w:t>
      </w:r>
      <w:r w:rsidRPr="005E3B43">
        <w:rPr>
          <w:b/>
          <w:i/>
        </w:rPr>
        <w:t>opioid reform request</w:t>
      </w:r>
      <w:r w:rsidRPr="005E3B43">
        <w:t>) that:</w:t>
      </w:r>
    </w:p>
    <w:p w14:paraId="085AE3B8" w14:textId="77777777" w:rsidR="00977060" w:rsidRPr="005E3B43" w:rsidRDefault="00977060" w:rsidP="00763BCF">
      <w:pPr>
        <w:pStyle w:val="paragraphsub"/>
      </w:pPr>
      <w:r w:rsidRPr="005E3B43">
        <w:tab/>
        <w:t>(i)</w:t>
      </w:r>
      <w:r w:rsidRPr="005E3B43">
        <w:tab/>
        <w:t>was made in relation to prescription opioids that were registered goods; and</w:t>
      </w:r>
    </w:p>
    <w:p w14:paraId="21DEADA9" w14:textId="77777777" w:rsidR="00977060" w:rsidRPr="005E3B43" w:rsidRDefault="00977060" w:rsidP="00763BCF">
      <w:pPr>
        <w:pStyle w:val="paragraphsub"/>
      </w:pPr>
      <w:r w:rsidRPr="005E3B43">
        <w:tab/>
        <w:t>(ii)</w:t>
      </w:r>
      <w:r w:rsidRPr="005E3B43">
        <w:tab/>
        <w:t>was made under subsection</w:t>
      </w:r>
      <w:r w:rsidR="004E6D00" w:rsidRPr="005E3B43">
        <w:t> </w:t>
      </w:r>
      <w:r w:rsidRPr="005E3B43">
        <w:t>9D(2) or (3) of the Act; and</w:t>
      </w:r>
    </w:p>
    <w:p w14:paraId="76B8FF7D" w14:textId="77777777" w:rsidR="00977060" w:rsidRPr="005E3B43" w:rsidRDefault="00977060" w:rsidP="00763BCF">
      <w:pPr>
        <w:pStyle w:val="paragraphsub"/>
      </w:pPr>
      <w:r w:rsidRPr="005E3B43">
        <w:tab/>
        <w:t>(iii)</w:t>
      </w:r>
      <w:r w:rsidRPr="005E3B43">
        <w:tab/>
        <w:t>was made solely for an opioid reform purpose (see subregulation (3)) or solely for an opioid reform purpose and an associated variation of product information purpose (see subregulation (4)); and</w:t>
      </w:r>
    </w:p>
    <w:p w14:paraId="322E491C" w14:textId="77777777" w:rsidR="00977060" w:rsidRPr="005E3B43" w:rsidRDefault="00977060" w:rsidP="00763BCF">
      <w:pPr>
        <w:pStyle w:val="paragraph"/>
      </w:pPr>
      <w:r w:rsidRPr="005E3B43">
        <w:lastRenderedPageBreak/>
        <w:tab/>
        <w:t>(b)</w:t>
      </w:r>
      <w:r w:rsidRPr="005E3B43">
        <w:tab/>
        <w:t>the person paid the fee prescribed in Schedule</w:t>
      </w:r>
      <w:r w:rsidR="004E6D00" w:rsidRPr="005E3B43">
        <w:t> </w:t>
      </w:r>
      <w:r w:rsidRPr="005E3B43">
        <w:t>9 to these Regulations in relation to the request;</w:t>
      </w:r>
    </w:p>
    <w:p w14:paraId="34B783D3" w14:textId="77777777" w:rsidR="00977060" w:rsidRPr="005E3B43" w:rsidRDefault="00977060" w:rsidP="00763BCF">
      <w:pPr>
        <w:pStyle w:val="subsection2"/>
      </w:pPr>
      <w:r w:rsidRPr="005E3B43">
        <w:t>the Secretary must, on behalf of the Commonwealth, refund to the person an amount equal to the fee paid.</w:t>
      </w:r>
    </w:p>
    <w:p w14:paraId="7F490885" w14:textId="77777777" w:rsidR="00977060" w:rsidRPr="005E3B43" w:rsidRDefault="00977060" w:rsidP="00763BCF">
      <w:pPr>
        <w:pStyle w:val="subsection"/>
      </w:pPr>
      <w:r w:rsidRPr="005E3B43">
        <w:tab/>
        <w:t>(3)</w:t>
      </w:r>
      <w:r w:rsidRPr="005E3B43">
        <w:tab/>
        <w:t>For the purposes of subregulation (2), an opioid reform request was made for an opioid reform purpose if it was made:</w:t>
      </w:r>
    </w:p>
    <w:p w14:paraId="2FD8D279" w14:textId="77777777" w:rsidR="00977060" w:rsidRPr="005E3B43" w:rsidRDefault="00977060" w:rsidP="00763BCF">
      <w:pPr>
        <w:pStyle w:val="paragraph"/>
      </w:pPr>
      <w:r w:rsidRPr="005E3B43">
        <w:tab/>
        <w:t>(a)</w:t>
      </w:r>
      <w:r w:rsidRPr="005E3B43">
        <w:tab/>
        <w:t>under subsection</w:t>
      </w:r>
      <w:r w:rsidR="004E6D00" w:rsidRPr="005E3B43">
        <w:t> </w:t>
      </w:r>
      <w:r w:rsidRPr="005E3B43">
        <w:t>9D(2) of the Act, to do either or both of the following:</w:t>
      </w:r>
    </w:p>
    <w:p w14:paraId="2C0F450C" w14:textId="77777777" w:rsidR="00977060" w:rsidRPr="005E3B43" w:rsidRDefault="00977060" w:rsidP="00763BCF">
      <w:pPr>
        <w:pStyle w:val="paragraphsub"/>
      </w:pPr>
      <w:r w:rsidRPr="005E3B43">
        <w:tab/>
        <w:t>(i)</w:t>
      </w:r>
      <w:r w:rsidRPr="005E3B43">
        <w:tab/>
        <w:t>add a warning, or precaution, in relation to the goods that did not include any comparison of the goods with any other therapeutic goods by reference to quality, safety or efficacy;</w:t>
      </w:r>
    </w:p>
    <w:p w14:paraId="60D8B613" w14:textId="77777777" w:rsidR="00977060" w:rsidRPr="005E3B43" w:rsidRDefault="00977060" w:rsidP="00763BCF">
      <w:pPr>
        <w:pStyle w:val="paragraphsub"/>
      </w:pPr>
      <w:r w:rsidRPr="005E3B43">
        <w:tab/>
        <w:t>(ii)</w:t>
      </w:r>
      <w:r w:rsidRPr="005E3B43">
        <w:tab/>
        <w:t>reduce the class of persons for whom the goods were suitable; or</w:t>
      </w:r>
    </w:p>
    <w:p w14:paraId="74CDD323" w14:textId="77777777" w:rsidR="00977060" w:rsidRPr="005E3B43" w:rsidRDefault="00977060" w:rsidP="00763BCF">
      <w:pPr>
        <w:pStyle w:val="paragraph"/>
      </w:pPr>
      <w:r w:rsidRPr="005E3B43">
        <w:tab/>
        <w:t>(b)</w:t>
      </w:r>
      <w:r w:rsidRPr="005E3B43">
        <w:tab/>
        <w:t>under subsection</w:t>
      </w:r>
      <w:r w:rsidR="004E6D00" w:rsidRPr="005E3B43">
        <w:t> </w:t>
      </w:r>
      <w:r w:rsidRPr="005E3B43">
        <w:t>9D(3) of the Act, to introduce a smaller pack size in relation to the goods.</w:t>
      </w:r>
    </w:p>
    <w:p w14:paraId="1729D68F" w14:textId="77777777" w:rsidR="00977060" w:rsidRPr="005E3B43" w:rsidRDefault="00977060" w:rsidP="00763BCF">
      <w:pPr>
        <w:pStyle w:val="subsection"/>
      </w:pPr>
      <w:r w:rsidRPr="005E3B43">
        <w:tab/>
        <w:t>(4)</w:t>
      </w:r>
      <w:r w:rsidRPr="005E3B43">
        <w:tab/>
        <w:t>For the purposes of subregulation (2), an opioid reform request was made for an associated variation of product information purpose if:</w:t>
      </w:r>
    </w:p>
    <w:p w14:paraId="3B18F4B5" w14:textId="77777777" w:rsidR="00977060" w:rsidRPr="005E3B43" w:rsidRDefault="00977060" w:rsidP="00763BCF">
      <w:pPr>
        <w:pStyle w:val="paragraph"/>
      </w:pPr>
      <w:r w:rsidRPr="005E3B43">
        <w:tab/>
        <w:t>(a)</w:t>
      </w:r>
      <w:r w:rsidRPr="005E3B43">
        <w:tab/>
        <w:t>the opioid reform request was made under subsection</w:t>
      </w:r>
      <w:r w:rsidR="004E6D00" w:rsidRPr="005E3B43">
        <w:t> </w:t>
      </w:r>
      <w:r w:rsidRPr="005E3B43">
        <w:t>9D(3) of the Act; and</w:t>
      </w:r>
    </w:p>
    <w:p w14:paraId="4770858A" w14:textId="77777777" w:rsidR="00977060" w:rsidRPr="005E3B43" w:rsidRDefault="00977060" w:rsidP="00763BCF">
      <w:pPr>
        <w:pStyle w:val="paragraph"/>
      </w:pPr>
      <w:r w:rsidRPr="005E3B43">
        <w:tab/>
        <w:t>(b)</w:t>
      </w:r>
      <w:r w:rsidRPr="005E3B43">
        <w:tab/>
        <w:t>paragraphs 9D(3)(b) to (c) of the Act were satisfied in relation to the request; and</w:t>
      </w:r>
    </w:p>
    <w:p w14:paraId="42BFEB68" w14:textId="77777777" w:rsidR="00977060" w:rsidRPr="005E3B43" w:rsidRDefault="00977060" w:rsidP="00763BCF">
      <w:pPr>
        <w:pStyle w:val="paragraph"/>
      </w:pPr>
      <w:r w:rsidRPr="005E3B43">
        <w:tab/>
        <w:t>(c)</w:t>
      </w:r>
      <w:r w:rsidRPr="005E3B43">
        <w:tab/>
        <w:t>the request was made for the purpose of varying product information in relation to the prescription opioids so that the product information would be in the form approved under section</w:t>
      </w:r>
      <w:r w:rsidR="004E6D00" w:rsidRPr="005E3B43">
        <w:t> </w:t>
      </w:r>
      <w:r w:rsidRPr="005E3B43">
        <w:t>7D of the Act in relation to the prescription opioids.</w:t>
      </w:r>
    </w:p>
    <w:p w14:paraId="57B6BA50" w14:textId="77777777" w:rsidR="00977060" w:rsidRPr="005E3B43" w:rsidRDefault="00977060" w:rsidP="00763BCF">
      <w:pPr>
        <w:pStyle w:val="ActHead4"/>
      </w:pPr>
      <w:bookmarkStart w:id="348" w:name="_Toc187135941"/>
      <w:r w:rsidRPr="005E3B43">
        <w:rPr>
          <w:rStyle w:val="CharSubdNo"/>
        </w:rPr>
        <w:t>Subdivision F</w:t>
      </w:r>
      <w:r w:rsidRPr="005E3B43">
        <w:t>—</w:t>
      </w:r>
      <w:r w:rsidRPr="005E3B43">
        <w:rPr>
          <w:rStyle w:val="CharSubdText"/>
        </w:rPr>
        <w:t>Clinical trials</w:t>
      </w:r>
      <w:bookmarkEnd w:id="348"/>
    </w:p>
    <w:p w14:paraId="18167E7C" w14:textId="77777777" w:rsidR="00977060" w:rsidRPr="005E3B43" w:rsidRDefault="00977060" w:rsidP="00763BCF">
      <w:pPr>
        <w:pStyle w:val="ActHead5"/>
      </w:pPr>
      <w:bookmarkStart w:id="349" w:name="_Toc187135942"/>
      <w:r w:rsidRPr="005E3B43">
        <w:rPr>
          <w:rStyle w:val="CharSectno"/>
        </w:rPr>
        <w:t>75</w:t>
      </w:r>
      <w:r w:rsidRPr="005E3B43">
        <w:t xml:space="preserve">  Clinical trials</w:t>
      </w:r>
      <w:bookmarkEnd w:id="349"/>
    </w:p>
    <w:p w14:paraId="31FF1258" w14:textId="77777777" w:rsidR="00977060" w:rsidRPr="005E3B43" w:rsidRDefault="00977060" w:rsidP="00763BCF">
      <w:pPr>
        <w:pStyle w:val="subsection"/>
      </w:pPr>
      <w:r w:rsidRPr="005E3B43">
        <w:tab/>
        <w:t>(1)</w:t>
      </w:r>
      <w:r w:rsidRPr="005E3B43">
        <w:tab/>
        <w:t xml:space="preserve">These Regulations have effect as if a written assurance given before </w:t>
      </w:r>
      <w:r w:rsidR="006B5D8E" w:rsidRPr="005E3B43">
        <w:t>1 January</w:t>
      </w:r>
      <w:r w:rsidRPr="005E3B43">
        <w:t xml:space="preserve"> 2020 under paragraph</w:t>
      </w:r>
      <w:r w:rsidR="004E6D00" w:rsidRPr="005E3B43">
        <w:t> </w:t>
      </w:r>
      <w:r w:rsidRPr="005E3B43">
        <w:t xml:space="preserve">12AB(2)(a) that clinical trials would be conducted in accordance with the Practice Guidelines were, on and after </w:t>
      </w:r>
      <w:r w:rsidR="006B5D8E" w:rsidRPr="005E3B43">
        <w:t>1 January</w:t>
      </w:r>
      <w:r w:rsidRPr="005E3B43">
        <w:t xml:space="preserve"> 2020, a written assurance that clinical trials would be conducted in accordance with the Practice Guideline.</w:t>
      </w:r>
    </w:p>
    <w:p w14:paraId="216F95C2" w14:textId="77777777" w:rsidR="00977060" w:rsidRPr="005E3B43" w:rsidRDefault="00977060" w:rsidP="00763BCF">
      <w:pPr>
        <w:pStyle w:val="subsection"/>
      </w:pPr>
      <w:r w:rsidRPr="005E3B43">
        <w:tab/>
        <w:t>(2)</w:t>
      </w:r>
      <w:r w:rsidRPr="005E3B43">
        <w:tab/>
        <w:t>The amendment of subregulation</w:t>
      </w:r>
      <w:r w:rsidR="004E6D00" w:rsidRPr="005E3B43">
        <w:t> </w:t>
      </w:r>
      <w:r w:rsidRPr="005E3B43">
        <w:t xml:space="preserve">12AC(1) made by </w:t>
      </w:r>
      <w:r w:rsidR="006B5D8E" w:rsidRPr="005E3B43">
        <w:t>Part 2</w:t>
      </w:r>
      <w:r w:rsidRPr="005E3B43">
        <w:t xml:space="preserve"> of Schedule</w:t>
      </w:r>
      <w:r w:rsidR="004E6D00" w:rsidRPr="005E3B43">
        <w:t> </w:t>
      </w:r>
      <w:r w:rsidRPr="005E3B43">
        <w:t xml:space="preserve">9 to the amending regulations applies in relation to things done on or after </w:t>
      </w:r>
      <w:r w:rsidR="006B5D8E" w:rsidRPr="005E3B43">
        <w:t>1 January</w:t>
      </w:r>
      <w:r w:rsidRPr="005E3B43">
        <w:t xml:space="preserve"> 2020 in relation to a clinical trial that began before, on or after </w:t>
      </w:r>
      <w:r w:rsidR="006B5D8E" w:rsidRPr="005E3B43">
        <w:t>1 January</w:t>
      </w:r>
      <w:r w:rsidRPr="005E3B43">
        <w:t xml:space="preserve"> 2020.</w:t>
      </w:r>
    </w:p>
    <w:p w14:paraId="50D0FA82" w14:textId="77777777" w:rsidR="00977060" w:rsidRPr="005E3B43" w:rsidRDefault="00977060" w:rsidP="00763BCF">
      <w:pPr>
        <w:pStyle w:val="subsection"/>
      </w:pPr>
      <w:r w:rsidRPr="005E3B43">
        <w:tab/>
        <w:t>(3)</w:t>
      </w:r>
      <w:r w:rsidRPr="005E3B43">
        <w:tab/>
        <w:t>The amendment of paragraph</w:t>
      </w:r>
      <w:r w:rsidR="004E6D00" w:rsidRPr="005E3B43">
        <w:t> </w:t>
      </w:r>
      <w:r w:rsidRPr="005E3B43">
        <w:t xml:space="preserve">12AD(a) made by </w:t>
      </w:r>
      <w:r w:rsidR="006B5D8E" w:rsidRPr="005E3B43">
        <w:t>Part 2</w:t>
      </w:r>
      <w:r w:rsidRPr="005E3B43">
        <w:t xml:space="preserve"> of Schedule</w:t>
      </w:r>
      <w:r w:rsidR="004E6D00" w:rsidRPr="005E3B43">
        <w:t> </w:t>
      </w:r>
      <w:r w:rsidRPr="005E3B43">
        <w:t xml:space="preserve">9 to the amending regulations applies in relation to uses on or after </w:t>
      </w:r>
      <w:r w:rsidR="006B5D8E" w:rsidRPr="005E3B43">
        <w:t>1 January</w:t>
      </w:r>
      <w:r w:rsidRPr="005E3B43">
        <w:t xml:space="preserve"> 2020 in relation to a clinical trial that began before, on or after </w:t>
      </w:r>
      <w:r w:rsidR="006B5D8E" w:rsidRPr="005E3B43">
        <w:t>1 January</w:t>
      </w:r>
      <w:r w:rsidRPr="005E3B43">
        <w:t xml:space="preserve"> 2020.</w:t>
      </w:r>
    </w:p>
    <w:p w14:paraId="7C272E8E" w14:textId="77777777" w:rsidR="00977060" w:rsidRPr="005E3B43" w:rsidRDefault="00977060" w:rsidP="00763BCF">
      <w:pPr>
        <w:pStyle w:val="subsection"/>
      </w:pPr>
      <w:r w:rsidRPr="005E3B43">
        <w:tab/>
        <w:t>(4)</w:t>
      </w:r>
      <w:r w:rsidRPr="005E3B43">
        <w:tab/>
        <w:t>The amendment of Schedule</w:t>
      </w:r>
      <w:r w:rsidR="004E6D00" w:rsidRPr="005E3B43">
        <w:t> </w:t>
      </w:r>
      <w:r w:rsidRPr="005E3B43">
        <w:t xml:space="preserve">5A made by </w:t>
      </w:r>
      <w:r w:rsidR="006B5D8E" w:rsidRPr="005E3B43">
        <w:t>Part 2</w:t>
      </w:r>
      <w:r w:rsidRPr="005E3B43">
        <w:t xml:space="preserve"> of Schedule</w:t>
      </w:r>
      <w:r w:rsidR="004E6D00" w:rsidRPr="005E3B43">
        <w:t> </w:t>
      </w:r>
      <w:r w:rsidRPr="005E3B43">
        <w:t>9 to the amending regulations applies in relation to:</w:t>
      </w:r>
    </w:p>
    <w:p w14:paraId="0631FBEB" w14:textId="77777777" w:rsidR="00977060" w:rsidRPr="005E3B43" w:rsidRDefault="00977060" w:rsidP="00763BCF">
      <w:pPr>
        <w:pStyle w:val="paragraph"/>
      </w:pPr>
      <w:r w:rsidRPr="005E3B43">
        <w:tab/>
        <w:t>(a)</w:t>
      </w:r>
      <w:r w:rsidRPr="005E3B43">
        <w:tab/>
        <w:t xml:space="preserve">requests made on or after </w:t>
      </w:r>
      <w:r w:rsidR="006B5D8E" w:rsidRPr="005E3B43">
        <w:t>1 January</w:t>
      </w:r>
      <w:r w:rsidRPr="005E3B43">
        <w:t xml:space="preserve"> 2020 to give information acquired before, on or after </w:t>
      </w:r>
      <w:r w:rsidR="006B5D8E" w:rsidRPr="005E3B43">
        <w:t>1 January</w:t>
      </w:r>
      <w:r w:rsidRPr="005E3B43">
        <w:t xml:space="preserve"> 2020; and</w:t>
      </w:r>
    </w:p>
    <w:p w14:paraId="469A2370" w14:textId="77777777" w:rsidR="00977060" w:rsidRPr="005E3B43" w:rsidRDefault="00977060" w:rsidP="00763BCF">
      <w:pPr>
        <w:pStyle w:val="paragraph"/>
      </w:pPr>
      <w:r w:rsidRPr="005E3B43">
        <w:tab/>
        <w:t>(b)</w:t>
      </w:r>
      <w:r w:rsidRPr="005E3B43">
        <w:tab/>
        <w:t>things mentioned in regulation</w:t>
      </w:r>
      <w:r w:rsidR="004E6D00" w:rsidRPr="005E3B43">
        <w:t> </w:t>
      </w:r>
      <w:r w:rsidRPr="005E3B43">
        <w:t xml:space="preserve">12AC done on or after </w:t>
      </w:r>
      <w:r w:rsidR="006B5D8E" w:rsidRPr="005E3B43">
        <w:t>1 January</w:t>
      </w:r>
      <w:r w:rsidRPr="005E3B43">
        <w:t xml:space="preserve"> 2020;</w:t>
      </w:r>
    </w:p>
    <w:p w14:paraId="224E5AF4" w14:textId="77777777" w:rsidR="00977060" w:rsidRPr="005E3B43" w:rsidRDefault="00977060" w:rsidP="00763BCF">
      <w:pPr>
        <w:pStyle w:val="subsection2"/>
      </w:pPr>
      <w:r w:rsidRPr="005E3B43">
        <w:t xml:space="preserve">in relation to a clinical trial that began before, on or after </w:t>
      </w:r>
      <w:r w:rsidR="006B5D8E" w:rsidRPr="005E3B43">
        <w:t>1 January</w:t>
      </w:r>
      <w:r w:rsidRPr="005E3B43">
        <w:t xml:space="preserve"> 2020.</w:t>
      </w:r>
    </w:p>
    <w:p w14:paraId="3303FF42" w14:textId="39ACA8DA" w:rsidR="00ED01DA" w:rsidRPr="005E3B43" w:rsidRDefault="003C0723" w:rsidP="00763BCF">
      <w:pPr>
        <w:pStyle w:val="ActHead3"/>
        <w:pageBreakBefore/>
      </w:pPr>
      <w:bookmarkStart w:id="350" w:name="_Toc187135943"/>
      <w:r w:rsidRPr="005E3B43">
        <w:rPr>
          <w:rStyle w:val="CharDivNo"/>
        </w:rPr>
        <w:lastRenderedPageBreak/>
        <w:t>Division 1</w:t>
      </w:r>
      <w:r w:rsidR="00ED01DA" w:rsidRPr="005E3B43">
        <w:rPr>
          <w:rStyle w:val="CharDivNo"/>
        </w:rPr>
        <w:t>3</w:t>
      </w:r>
      <w:r w:rsidR="00ED01DA" w:rsidRPr="005E3B43">
        <w:t>—</w:t>
      </w:r>
      <w:r w:rsidR="00ED01DA" w:rsidRPr="005E3B43">
        <w:rPr>
          <w:rStyle w:val="CharDivText"/>
        </w:rPr>
        <w:t xml:space="preserve">Application and saving provisions relating to the Therapeutic Goods Legislation Amendment (2020 Measures No. 1) </w:t>
      </w:r>
      <w:r w:rsidR="007C3215">
        <w:rPr>
          <w:rStyle w:val="CharDivText"/>
        </w:rPr>
        <w:t>Regulations 2</w:t>
      </w:r>
      <w:r w:rsidR="00ED01DA" w:rsidRPr="005E3B43">
        <w:rPr>
          <w:rStyle w:val="CharDivText"/>
        </w:rPr>
        <w:t>020</w:t>
      </w:r>
      <w:bookmarkEnd w:id="350"/>
    </w:p>
    <w:p w14:paraId="3B645ECB" w14:textId="77777777" w:rsidR="00ED01DA" w:rsidRPr="005E3B43" w:rsidRDefault="00ED01DA" w:rsidP="00763BCF">
      <w:pPr>
        <w:pStyle w:val="ActHead5"/>
      </w:pPr>
      <w:bookmarkStart w:id="351" w:name="_Toc187135944"/>
      <w:r w:rsidRPr="005E3B43">
        <w:rPr>
          <w:rStyle w:val="CharSectno"/>
        </w:rPr>
        <w:t>76</w:t>
      </w:r>
      <w:r w:rsidRPr="005E3B43">
        <w:t xml:space="preserve">  Approving supply of therapeutic goods under authorised prescriber scheme</w:t>
      </w:r>
      <w:bookmarkEnd w:id="351"/>
    </w:p>
    <w:p w14:paraId="14956718" w14:textId="24CF47D5" w:rsidR="00ED01DA" w:rsidRPr="005E3B43" w:rsidRDefault="00ED01DA" w:rsidP="00763BCF">
      <w:pPr>
        <w:pStyle w:val="subsection"/>
      </w:pPr>
      <w:r w:rsidRPr="005E3B43">
        <w:tab/>
      </w:r>
      <w:r w:rsidRPr="005E3B43">
        <w:tab/>
        <w:t xml:space="preserve">Subregulation 12B(1B), as inserted by Schedule 4 to the </w:t>
      </w:r>
      <w:r w:rsidRPr="005E3B43">
        <w:rPr>
          <w:i/>
        </w:rPr>
        <w:t xml:space="preserve">Therapeutic Goods Legislation Amendment (2020 Measures No. 1) </w:t>
      </w:r>
      <w:r w:rsidR="007C3215">
        <w:rPr>
          <w:i/>
        </w:rPr>
        <w:t>Regulations 2</w:t>
      </w:r>
      <w:r w:rsidRPr="005E3B43">
        <w:rPr>
          <w:i/>
        </w:rPr>
        <w:t>020</w:t>
      </w:r>
      <w:r w:rsidRPr="005E3B43">
        <w:t>, applies in relation to an authority given under sub</w:t>
      </w:r>
      <w:r w:rsidR="007C3215">
        <w:t>section 1</w:t>
      </w:r>
      <w:r w:rsidRPr="005E3B43">
        <w:t>9(5) of the Act on or after the commencement of that Schedule.</w:t>
      </w:r>
    </w:p>
    <w:p w14:paraId="42A0B2EC" w14:textId="77777777" w:rsidR="00ED01DA" w:rsidRPr="005E3B43" w:rsidRDefault="00ED01DA" w:rsidP="00763BCF">
      <w:pPr>
        <w:pStyle w:val="ActHead5"/>
      </w:pPr>
      <w:bookmarkStart w:id="352" w:name="_Toc187135945"/>
      <w:r w:rsidRPr="005E3B43">
        <w:rPr>
          <w:rStyle w:val="CharSectno"/>
        </w:rPr>
        <w:t>77</w:t>
      </w:r>
      <w:r w:rsidRPr="005E3B43">
        <w:t xml:space="preserve">  Preliminary assessment of applications for variation of permissible ingredients determination</w:t>
      </w:r>
      <w:bookmarkEnd w:id="352"/>
    </w:p>
    <w:p w14:paraId="29FCF236" w14:textId="041476FE" w:rsidR="00ED01DA" w:rsidRPr="005E3B43" w:rsidRDefault="00ED01DA" w:rsidP="00763BCF">
      <w:pPr>
        <w:pStyle w:val="subsection"/>
      </w:pPr>
      <w:r w:rsidRPr="005E3B43">
        <w:tab/>
        <w:t>(1)</w:t>
      </w:r>
      <w:r w:rsidRPr="005E3B43">
        <w:tab/>
        <w:t xml:space="preserve">The amendments of regulation 16GI and of </w:t>
      </w:r>
      <w:r w:rsidR="007C3215">
        <w:t>items 2</w:t>
      </w:r>
      <w:r w:rsidRPr="005E3B43">
        <w:t xml:space="preserve">8, 30, 32 and 34 of the table in clause 5 of Schedule 9 made by Schedule 6 to the </w:t>
      </w:r>
      <w:r w:rsidRPr="005E3B43">
        <w:rPr>
          <w:i/>
        </w:rPr>
        <w:t xml:space="preserve">Therapeutic Goods Legislation Amendment (2020 Measures No. 1) </w:t>
      </w:r>
      <w:r w:rsidR="007C3215">
        <w:rPr>
          <w:i/>
        </w:rPr>
        <w:t>Regulations 2</w:t>
      </w:r>
      <w:r w:rsidRPr="005E3B43">
        <w:rPr>
          <w:i/>
        </w:rPr>
        <w:t>020</w:t>
      </w:r>
      <w:r w:rsidRPr="005E3B43">
        <w:t xml:space="preserve"> apply in relation to an application made under sub</w:t>
      </w:r>
      <w:r w:rsidR="00FB7FAA" w:rsidRPr="005E3B43">
        <w:t>section 2</w:t>
      </w:r>
      <w:r w:rsidRPr="005E3B43">
        <w:t>6BD(1) of the Act on or after the commencement of those amendments.</w:t>
      </w:r>
    </w:p>
    <w:p w14:paraId="67E4B95D" w14:textId="5E67B82C" w:rsidR="00ED01DA" w:rsidRPr="005E3B43" w:rsidRDefault="00ED01DA" w:rsidP="00763BCF">
      <w:pPr>
        <w:pStyle w:val="subsection"/>
      </w:pPr>
      <w:r w:rsidRPr="005E3B43">
        <w:tab/>
        <w:t>(2)</w:t>
      </w:r>
      <w:r w:rsidRPr="005E3B43">
        <w:tab/>
        <w:t xml:space="preserve">Regulation 16GI and </w:t>
      </w:r>
      <w:r w:rsidR="007C3215">
        <w:t>items 2</w:t>
      </w:r>
      <w:r w:rsidRPr="005E3B43">
        <w:t xml:space="preserve">8, 30, 32 and 34 of the table in clause 5 of Schedule 9, as in force immediately before the commencement of Schedule 6 to the </w:t>
      </w:r>
      <w:r w:rsidRPr="005E3B43">
        <w:rPr>
          <w:i/>
        </w:rPr>
        <w:t xml:space="preserve">Therapeutic Goods Legislation Amendment (2020 Measures No. 1) </w:t>
      </w:r>
      <w:r w:rsidR="007C3215">
        <w:rPr>
          <w:i/>
        </w:rPr>
        <w:t>Regulations 2</w:t>
      </w:r>
      <w:r w:rsidRPr="005E3B43">
        <w:rPr>
          <w:i/>
        </w:rPr>
        <w:t>020</w:t>
      </w:r>
      <w:r w:rsidRPr="005E3B43">
        <w:t>, continue to apply on and after that commencement in relation to an application made under sub</w:t>
      </w:r>
      <w:r w:rsidR="00FB7FAA" w:rsidRPr="005E3B43">
        <w:t>section 2</w:t>
      </w:r>
      <w:r w:rsidRPr="005E3B43">
        <w:t>6BE(1) of the Act before that commencement.</w:t>
      </w:r>
    </w:p>
    <w:p w14:paraId="4CA80405" w14:textId="354D9B0C" w:rsidR="00FF6420" w:rsidRPr="005E3B43" w:rsidRDefault="00FF6420" w:rsidP="00763BCF">
      <w:pPr>
        <w:pStyle w:val="ActHead3"/>
        <w:pageBreakBefore/>
      </w:pPr>
      <w:bookmarkStart w:id="353" w:name="_Toc187135946"/>
      <w:r w:rsidRPr="005E3B43">
        <w:rPr>
          <w:rStyle w:val="CharDivNo"/>
        </w:rPr>
        <w:lastRenderedPageBreak/>
        <w:t>Division 15</w:t>
      </w:r>
      <w:r w:rsidRPr="005E3B43">
        <w:t>—</w:t>
      </w:r>
      <w:r w:rsidRPr="005E3B43">
        <w:rPr>
          <w:rStyle w:val="CharDivText"/>
        </w:rPr>
        <w:t xml:space="preserve">Application provisions relating to the Minamata Convention on Mercury (Consequential Amendments) </w:t>
      </w:r>
      <w:r w:rsidR="007C3215">
        <w:rPr>
          <w:rStyle w:val="CharDivText"/>
        </w:rPr>
        <w:t>Regulations 2</w:t>
      </w:r>
      <w:r w:rsidRPr="005E3B43">
        <w:rPr>
          <w:rStyle w:val="CharDivText"/>
        </w:rPr>
        <w:t>021</w:t>
      </w:r>
      <w:bookmarkEnd w:id="353"/>
    </w:p>
    <w:p w14:paraId="64AF087C" w14:textId="339E3087" w:rsidR="00FF6420" w:rsidRPr="005E3B43" w:rsidRDefault="00FF6420" w:rsidP="00763BCF">
      <w:pPr>
        <w:pStyle w:val="ActHead5"/>
      </w:pPr>
      <w:bookmarkStart w:id="354" w:name="_Toc187135947"/>
      <w:r w:rsidRPr="005E3B43">
        <w:rPr>
          <w:rStyle w:val="CharSectno"/>
        </w:rPr>
        <w:t>79</w:t>
      </w:r>
      <w:r w:rsidRPr="005E3B43">
        <w:t xml:space="preserve">  Application of amendments made by the </w:t>
      </w:r>
      <w:r w:rsidRPr="005E3B43">
        <w:rPr>
          <w:i/>
        </w:rPr>
        <w:t xml:space="preserve">Minamata Convention on Mercury (Consequential Amendments) </w:t>
      </w:r>
      <w:r w:rsidR="007C3215">
        <w:rPr>
          <w:i/>
        </w:rPr>
        <w:t>Regulations 2</w:t>
      </w:r>
      <w:r w:rsidRPr="005E3B43">
        <w:rPr>
          <w:i/>
        </w:rPr>
        <w:t>021</w:t>
      </w:r>
      <w:bookmarkEnd w:id="354"/>
    </w:p>
    <w:p w14:paraId="29E560A1" w14:textId="2F733866" w:rsidR="00FF6420" w:rsidRPr="005E3B43" w:rsidRDefault="00FF6420" w:rsidP="00763BCF">
      <w:pPr>
        <w:pStyle w:val="subsection"/>
      </w:pPr>
      <w:r w:rsidRPr="005E3B43">
        <w:tab/>
      </w:r>
      <w:r w:rsidRPr="005E3B43">
        <w:tab/>
        <w:t xml:space="preserve">The amendments of these Regulations made by the </w:t>
      </w:r>
      <w:r w:rsidRPr="005E3B43">
        <w:rPr>
          <w:i/>
        </w:rPr>
        <w:t xml:space="preserve">Minamata Convention on Mercury (Consequential Amendments) </w:t>
      </w:r>
      <w:r w:rsidR="007C3215">
        <w:rPr>
          <w:i/>
        </w:rPr>
        <w:t>Regulations 2</w:t>
      </w:r>
      <w:r w:rsidRPr="005E3B43">
        <w:rPr>
          <w:i/>
        </w:rPr>
        <w:t>021</w:t>
      </w:r>
      <w:r w:rsidRPr="005E3B43">
        <w:t xml:space="preserve"> apply in relation to the importation into, export from, or manufacture in, Australia of therapeutic goods on or after the commencement of that instrument.</w:t>
      </w:r>
    </w:p>
    <w:p w14:paraId="5FB8C353" w14:textId="3AF4D85B" w:rsidR="00C410E6" w:rsidRPr="005E3B43" w:rsidRDefault="003C0723" w:rsidP="00763BCF">
      <w:pPr>
        <w:pStyle w:val="ActHead3"/>
        <w:pageBreakBefore/>
      </w:pPr>
      <w:bookmarkStart w:id="355" w:name="_Toc187135948"/>
      <w:r w:rsidRPr="005E3B43">
        <w:rPr>
          <w:rStyle w:val="CharDivNo"/>
        </w:rPr>
        <w:lastRenderedPageBreak/>
        <w:t>Division 1</w:t>
      </w:r>
      <w:r w:rsidR="00C410E6" w:rsidRPr="005E3B43">
        <w:rPr>
          <w:rStyle w:val="CharDivNo"/>
        </w:rPr>
        <w:t>6</w:t>
      </w:r>
      <w:r w:rsidR="00C410E6" w:rsidRPr="005E3B43">
        <w:t>—</w:t>
      </w:r>
      <w:r w:rsidR="00C410E6" w:rsidRPr="005E3B43">
        <w:rPr>
          <w:rStyle w:val="CharDivText"/>
          <w:rFonts w:eastAsiaTheme="minorHAnsi"/>
        </w:rPr>
        <w:t xml:space="preserve">Application provisions relating to the Therapeutic Goods Legislation Amendment (2021 Measures No. 3) </w:t>
      </w:r>
      <w:r w:rsidR="007C3215">
        <w:rPr>
          <w:rStyle w:val="CharDivText"/>
          <w:rFonts w:eastAsiaTheme="minorHAnsi"/>
        </w:rPr>
        <w:t>Regulations 2</w:t>
      </w:r>
      <w:r w:rsidR="00C410E6" w:rsidRPr="005E3B43">
        <w:rPr>
          <w:rStyle w:val="CharDivText"/>
          <w:rFonts w:eastAsiaTheme="minorHAnsi"/>
        </w:rPr>
        <w:t>021</w:t>
      </w:r>
      <w:bookmarkEnd w:id="355"/>
    </w:p>
    <w:p w14:paraId="4E2A21E4" w14:textId="77777777" w:rsidR="00C410E6" w:rsidRPr="005E3B43" w:rsidRDefault="00C410E6" w:rsidP="00763BCF">
      <w:pPr>
        <w:pStyle w:val="ActHead5"/>
      </w:pPr>
      <w:bookmarkStart w:id="356" w:name="_Toc187135949"/>
      <w:r w:rsidRPr="005E3B43">
        <w:rPr>
          <w:rStyle w:val="CharSectno"/>
        </w:rPr>
        <w:t>81</w:t>
      </w:r>
      <w:r w:rsidRPr="005E3B43">
        <w:t xml:space="preserve">  Access to medicines in emergency situations</w:t>
      </w:r>
      <w:bookmarkEnd w:id="356"/>
    </w:p>
    <w:p w14:paraId="41630065" w14:textId="45F8F32C" w:rsidR="00C410E6" w:rsidRPr="005E3B43" w:rsidRDefault="00C410E6" w:rsidP="00763BCF">
      <w:pPr>
        <w:pStyle w:val="subsection"/>
      </w:pPr>
      <w:r w:rsidRPr="005E3B43">
        <w:tab/>
      </w:r>
      <w:r w:rsidRPr="005E3B43">
        <w:tab/>
        <w:t xml:space="preserve">Item 1B of the table in Schedule 5A, as inserted by Part 9 of </w:t>
      </w:r>
      <w:r w:rsidR="008D1B4F" w:rsidRPr="005E3B43">
        <w:t>Schedule 1</w:t>
      </w:r>
      <w:r w:rsidRPr="005E3B43">
        <w:t xml:space="preserve"> to the </w:t>
      </w:r>
      <w:r w:rsidRPr="005E3B43">
        <w:rPr>
          <w:i/>
        </w:rPr>
        <w:t xml:space="preserve">Therapeutic Goods Legislation Amendment (2021 Measures No. 3) </w:t>
      </w:r>
      <w:r w:rsidR="007C3215">
        <w:rPr>
          <w:i/>
        </w:rPr>
        <w:t>Regulations 2</w:t>
      </w:r>
      <w:r w:rsidRPr="005E3B43">
        <w:rPr>
          <w:i/>
        </w:rPr>
        <w:t>021</w:t>
      </w:r>
      <w:r w:rsidRPr="005E3B43">
        <w:t>, applies in relation to therapeutic goods imported into Australia on or after the commencement of that Part.</w:t>
      </w:r>
    </w:p>
    <w:p w14:paraId="0E12F0FF" w14:textId="77777777" w:rsidR="00C410E6" w:rsidRPr="005E3B43" w:rsidRDefault="00C410E6" w:rsidP="00763BCF">
      <w:pPr>
        <w:pStyle w:val="ActHead5"/>
      </w:pPr>
      <w:bookmarkStart w:id="357" w:name="_Toc187135950"/>
      <w:r w:rsidRPr="005E3B43">
        <w:rPr>
          <w:rStyle w:val="CharSectno"/>
        </w:rPr>
        <w:t>82</w:t>
      </w:r>
      <w:r w:rsidRPr="005E3B43">
        <w:t xml:space="preserve">  Consumer medicine information documents</w:t>
      </w:r>
      <w:bookmarkEnd w:id="357"/>
    </w:p>
    <w:p w14:paraId="07B412FF" w14:textId="5F756A94" w:rsidR="00C410E6" w:rsidRPr="005E3B43" w:rsidRDefault="00C410E6" w:rsidP="00763BCF">
      <w:pPr>
        <w:pStyle w:val="subsection"/>
      </w:pPr>
      <w:r w:rsidRPr="005E3B43">
        <w:tab/>
      </w:r>
      <w:r w:rsidRPr="005E3B43">
        <w:tab/>
        <w:t xml:space="preserve">The amendments of regulation 9A (except the amendment of paragraph 9A(1A)(b)) made by Part 10 of </w:t>
      </w:r>
      <w:r w:rsidR="008D1B4F" w:rsidRPr="005E3B43">
        <w:t>Schedule 1</w:t>
      </w:r>
      <w:r w:rsidRPr="005E3B43">
        <w:t xml:space="preserve"> to the </w:t>
      </w:r>
      <w:r w:rsidRPr="005E3B43">
        <w:rPr>
          <w:i/>
        </w:rPr>
        <w:t xml:space="preserve">Therapeutic Goods Legislation Amendment (2021 Measures No. 3) </w:t>
      </w:r>
      <w:r w:rsidR="007C3215">
        <w:rPr>
          <w:i/>
        </w:rPr>
        <w:t>Regulations 2</w:t>
      </w:r>
      <w:r w:rsidRPr="005E3B43">
        <w:rPr>
          <w:i/>
        </w:rPr>
        <w:t>021</w:t>
      </w:r>
      <w:r w:rsidRPr="005E3B43">
        <w:t xml:space="preserve"> apply in relation to supplies of therapeutic goods on or after the commencement of that Part (whether the goods were included in the Register before, on or after that commencement).</w:t>
      </w:r>
    </w:p>
    <w:p w14:paraId="2249887F" w14:textId="77777777" w:rsidR="00C410E6" w:rsidRPr="005E3B43" w:rsidRDefault="00C410E6" w:rsidP="00763BCF">
      <w:pPr>
        <w:pStyle w:val="ActHead5"/>
      </w:pPr>
      <w:bookmarkStart w:id="358" w:name="_Toc187135951"/>
      <w:r w:rsidRPr="005E3B43">
        <w:rPr>
          <w:rStyle w:val="CharSectno"/>
        </w:rPr>
        <w:t>83</w:t>
      </w:r>
      <w:r w:rsidRPr="005E3B43">
        <w:t xml:space="preserve">  Approving supply of therapeutic goods under authorised prescriber scheme</w:t>
      </w:r>
      <w:bookmarkEnd w:id="358"/>
    </w:p>
    <w:p w14:paraId="7A062B07" w14:textId="63F7BE5B" w:rsidR="00C410E6" w:rsidRPr="005E3B43" w:rsidRDefault="00C410E6" w:rsidP="00763BCF">
      <w:pPr>
        <w:pStyle w:val="subsection"/>
      </w:pPr>
      <w:r w:rsidRPr="005E3B43">
        <w:tab/>
      </w:r>
      <w:r w:rsidRPr="005E3B43">
        <w:tab/>
        <w:t xml:space="preserve">The amendments of regulation 12B made by Part 11 of </w:t>
      </w:r>
      <w:r w:rsidR="008D1B4F" w:rsidRPr="005E3B43">
        <w:t>Schedule 1</w:t>
      </w:r>
      <w:r w:rsidRPr="005E3B43">
        <w:t xml:space="preserve"> to the </w:t>
      </w:r>
      <w:r w:rsidRPr="005E3B43">
        <w:rPr>
          <w:i/>
        </w:rPr>
        <w:t xml:space="preserve">Therapeutic Goods Legislation Amendment (2021 Measures No. 3) </w:t>
      </w:r>
      <w:r w:rsidR="007C3215">
        <w:rPr>
          <w:i/>
        </w:rPr>
        <w:t>Regulations 2</w:t>
      </w:r>
      <w:r w:rsidRPr="005E3B43">
        <w:rPr>
          <w:i/>
        </w:rPr>
        <w:t>021</w:t>
      </w:r>
      <w:r w:rsidRPr="005E3B43">
        <w:t xml:space="preserve"> apply in relation to an authority given under sub</w:t>
      </w:r>
      <w:r w:rsidR="007C3215">
        <w:t>section 1</w:t>
      </w:r>
      <w:r w:rsidRPr="005E3B43">
        <w:t>9(5) of the Act on or after the commencement of that Part.</w:t>
      </w:r>
    </w:p>
    <w:p w14:paraId="59ADA2E7" w14:textId="0BFD20D4" w:rsidR="00F46E83" w:rsidRPr="005E3B43" w:rsidRDefault="003C0723" w:rsidP="00763BCF">
      <w:pPr>
        <w:pStyle w:val="ActHead3"/>
        <w:pageBreakBefore/>
      </w:pPr>
      <w:bookmarkStart w:id="359" w:name="_Toc187135952"/>
      <w:r w:rsidRPr="005E3B43">
        <w:rPr>
          <w:rStyle w:val="CharDivNo"/>
        </w:rPr>
        <w:lastRenderedPageBreak/>
        <w:t>Division 1</w:t>
      </w:r>
      <w:r w:rsidR="00F46E83" w:rsidRPr="005E3B43">
        <w:rPr>
          <w:rStyle w:val="CharDivNo"/>
        </w:rPr>
        <w:t>7</w:t>
      </w:r>
      <w:r w:rsidR="00F46E83" w:rsidRPr="005E3B43">
        <w:t>—</w:t>
      </w:r>
      <w:r w:rsidR="00F46E83" w:rsidRPr="005E3B43">
        <w:rPr>
          <w:rStyle w:val="CharDivText"/>
        </w:rPr>
        <w:t xml:space="preserve">Application provisions relating to the Therapeutic Goods Legislation Amendment (2021 Measures No. 4) </w:t>
      </w:r>
      <w:r w:rsidR="007C3215">
        <w:rPr>
          <w:rStyle w:val="CharDivText"/>
        </w:rPr>
        <w:t>Regulations 2</w:t>
      </w:r>
      <w:r w:rsidR="00F46E83" w:rsidRPr="005E3B43">
        <w:rPr>
          <w:rStyle w:val="CharDivText"/>
        </w:rPr>
        <w:t>021</w:t>
      </w:r>
      <w:bookmarkEnd w:id="359"/>
    </w:p>
    <w:p w14:paraId="754F5F64" w14:textId="77777777" w:rsidR="00F46E83" w:rsidRPr="005E3B43" w:rsidRDefault="00F46E83" w:rsidP="00763BCF">
      <w:pPr>
        <w:pStyle w:val="ActHead5"/>
      </w:pPr>
      <w:bookmarkStart w:id="360" w:name="_Toc187135953"/>
      <w:r w:rsidRPr="005E3B43">
        <w:rPr>
          <w:rStyle w:val="CharSectno"/>
        </w:rPr>
        <w:t>84</w:t>
      </w:r>
      <w:r w:rsidRPr="005E3B43">
        <w:t xml:space="preserve">  Amendments made by </w:t>
      </w:r>
      <w:r w:rsidR="003C0723" w:rsidRPr="005E3B43">
        <w:t>Division 1</w:t>
      </w:r>
      <w:r w:rsidRPr="005E3B43">
        <w:t xml:space="preserve"> of </w:t>
      </w:r>
      <w:r w:rsidR="006B5D8E" w:rsidRPr="005E3B43">
        <w:t>Part 2</w:t>
      </w:r>
      <w:r w:rsidRPr="005E3B43">
        <w:t xml:space="preserve"> of </w:t>
      </w:r>
      <w:r w:rsidR="008D1B4F" w:rsidRPr="005E3B43">
        <w:t>Schedule 1</w:t>
      </w:r>
      <w:bookmarkEnd w:id="360"/>
    </w:p>
    <w:p w14:paraId="010B799E" w14:textId="7C0F91D1" w:rsidR="00F46E83" w:rsidRPr="005E3B43" w:rsidRDefault="00F46E83" w:rsidP="00763BCF">
      <w:pPr>
        <w:pStyle w:val="subsection"/>
      </w:pPr>
      <w:r w:rsidRPr="005E3B43">
        <w:tab/>
        <w:t>(1)</w:t>
      </w:r>
      <w:r w:rsidRPr="005E3B43">
        <w:tab/>
        <w:t xml:space="preserve">The amendment of </w:t>
      </w:r>
      <w:r w:rsidR="001877BA" w:rsidRPr="005E3B43">
        <w:t>paragraph 7</w:t>
      </w:r>
      <w:r w:rsidRPr="005E3B43">
        <w:t xml:space="preserve">(g) made by </w:t>
      </w:r>
      <w:r w:rsidR="003C0723" w:rsidRPr="005E3B43">
        <w:t>Division 1</w:t>
      </w:r>
      <w:r w:rsidRPr="005E3B43">
        <w:t xml:space="preserve"> of </w:t>
      </w:r>
      <w:r w:rsidR="006B5D8E" w:rsidRPr="005E3B43">
        <w:t>Part 2</w:t>
      </w:r>
      <w:r w:rsidRPr="005E3B43">
        <w:t xml:space="preserve"> of </w:t>
      </w:r>
      <w:r w:rsidR="008D1B4F" w:rsidRPr="005E3B43">
        <w:t>Schedule 1</w:t>
      </w:r>
      <w:r w:rsidRPr="005E3B43">
        <w:t xml:space="preserve"> to the </w:t>
      </w:r>
      <w:r w:rsidRPr="005E3B43">
        <w:rPr>
          <w:i/>
        </w:rPr>
        <w:t xml:space="preserve">Therapeutic Goods Legislation Amendment (2021 Measures No. 4) </w:t>
      </w:r>
      <w:r w:rsidR="007C3215">
        <w:rPr>
          <w:i/>
        </w:rPr>
        <w:t>Regulations 2</w:t>
      </w:r>
      <w:r w:rsidRPr="005E3B43">
        <w:rPr>
          <w:i/>
        </w:rPr>
        <w:t>021</w:t>
      </w:r>
      <w:r w:rsidRPr="005E3B43">
        <w:t xml:space="preserve"> applies in relation to an advertisement that is made on or after the commencement of that amendment.</w:t>
      </w:r>
    </w:p>
    <w:p w14:paraId="3045404C" w14:textId="141B3F77" w:rsidR="00F46E83" w:rsidRPr="005E3B43" w:rsidRDefault="00F46E83" w:rsidP="00763BCF">
      <w:pPr>
        <w:pStyle w:val="subsection"/>
      </w:pPr>
      <w:r w:rsidRPr="005E3B43">
        <w:tab/>
        <w:t>(2)</w:t>
      </w:r>
      <w:r w:rsidRPr="005E3B43">
        <w:tab/>
        <w:t xml:space="preserve">The amendment of </w:t>
      </w:r>
      <w:r w:rsidR="007C3215">
        <w:t>item 1</w:t>
      </w:r>
      <w:r w:rsidRPr="005E3B43">
        <w:t xml:space="preserve">B of the table in Schedule 5A made by </w:t>
      </w:r>
      <w:r w:rsidR="003C0723" w:rsidRPr="005E3B43">
        <w:t>Division 1</w:t>
      </w:r>
      <w:r w:rsidRPr="005E3B43">
        <w:t xml:space="preserve"> of </w:t>
      </w:r>
      <w:r w:rsidR="006B5D8E" w:rsidRPr="005E3B43">
        <w:t>Part 2</w:t>
      </w:r>
      <w:r w:rsidRPr="005E3B43">
        <w:t xml:space="preserve"> of </w:t>
      </w:r>
      <w:r w:rsidR="008D1B4F" w:rsidRPr="005E3B43">
        <w:t>Schedule 1</w:t>
      </w:r>
      <w:r w:rsidRPr="005E3B43">
        <w:t xml:space="preserve"> to the </w:t>
      </w:r>
      <w:r w:rsidRPr="005E3B43">
        <w:rPr>
          <w:i/>
        </w:rPr>
        <w:t xml:space="preserve">Therapeutic Goods Legislation Amendment (2021 Measures No. 4) </w:t>
      </w:r>
      <w:r w:rsidR="007C3215">
        <w:rPr>
          <w:i/>
        </w:rPr>
        <w:t>Regulations 2</w:t>
      </w:r>
      <w:r w:rsidRPr="005E3B43">
        <w:rPr>
          <w:i/>
        </w:rPr>
        <w:t>021</w:t>
      </w:r>
      <w:r w:rsidRPr="005E3B43">
        <w:t xml:space="preserve"> applies in relation to therapeutic goods imported into Australia on or after the commencement of that amendment.</w:t>
      </w:r>
    </w:p>
    <w:p w14:paraId="6BC0694B" w14:textId="272B9343" w:rsidR="00CA3152" w:rsidRPr="005E3B43" w:rsidRDefault="00CA3152" w:rsidP="00763BCF">
      <w:pPr>
        <w:pStyle w:val="ActHead5"/>
      </w:pPr>
      <w:bookmarkStart w:id="361" w:name="_Toc187135954"/>
      <w:r w:rsidRPr="005E3B43">
        <w:rPr>
          <w:rStyle w:val="CharSectno"/>
        </w:rPr>
        <w:t>85</w:t>
      </w:r>
      <w:r w:rsidRPr="005E3B43">
        <w:t xml:space="preserve">  Amendments made by </w:t>
      </w:r>
      <w:r w:rsidR="007C3215">
        <w:t>Division 2</w:t>
      </w:r>
      <w:r w:rsidRPr="005E3B43">
        <w:t xml:space="preserve"> of </w:t>
      </w:r>
      <w:r w:rsidR="006B5D8E" w:rsidRPr="005E3B43">
        <w:t>Part 2</w:t>
      </w:r>
      <w:r w:rsidRPr="005E3B43">
        <w:t xml:space="preserve"> of </w:t>
      </w:r>
      <w:r w:rsidR="008D1B4F" w:rsidRPr="005E3B43">
        <w:t>Schedule 1</w:t>
      </w:r>
      <w:bookmarkEnd w:id="361"/>
    </w:p>
    <w:p w14:paraId="4F9444BD" w14:textId="3154FCAB" w:rsidR="00CA3152" w:rsidRPr="005E3B43" w:rsidRDefault="00CA3152" w:rsidP="00763BCF">
      <w:pPr>
        <w:pStyle w:val="subsection"/>
      </w:pPr>
      <w:r w:rsidRPr="005E3B43">
        <w:tab/>
        <w:t>(1)</w:t>
      </w:r>
      <w:r w:rsidRPr="005E3B43">
        <w:tab/>
        <w:t xml:space="preserve">The amendments of regulation 6B and of Part 1 of Schedule 2 made by </w:t>
      </w:r>
      <w:r w:rsidR="007C3215">
        <w:t>Division 2</w:t>
      </w:r>
      <w:r w:rsidRPr="005E3B43">
        <w:t xml:space="preserve"> of </w:t>
      </w:r>
      <w:r w:rsidR="006B5D8E" w:rsidRPr="005E3B43">
        <w:t>Part 2</w:t>
      </w:r>
      <w:r w:rsidRPr="005E3B43">
        <w:t xml:space="preserve"> of </w:t>
      </w:r>
      <w:r w:rsidR="008D1B4F" w:rsidRPr="005E3B43">
        <w:t>Schedule 1</w:t>
      </w:r>
      <w:r w:rsidRPr="005E3B43">
        <w:t xml:space="preserve"> to the </w:t>
      </w:r>
      <w:r w:rsidRPr="005E3B43">
        <w:rPr>
          <w:i/>
        </w:rPr>
        <w:t xml:space="preserve">Therapeutic Goods Legislation Amendment (2021 Measures No. 4) </w:t>
      </w:r>
      <w:r w:rsidR="007C3215">
        <w:rPr>
          <w:i/>
        </w:rPr>
        <w:t>Regulations 2</w:t>
      </w:r>
      <w:r w:rsidRPr="005E3B43">
        <w:rPr>
          <w:i/>
        </w:rPr>
        <w:t>021</w:t>
      </w:r>
      <w:r w:rsidRPr="005E3B43">
        <w:t xml:space="preserve"> apply in relation to an advertisement that is made on or after the commencement of those amendments.</w:t>
      </w:r>
    </w:p>
    <w:p w14:paraId="061DEAD8" w14:textId="28BA04A4" w:rsidR="00CA3152" w:rsidRPr="005E3B43" w:rsidRDefault="00CA3152" w:rsidP="00763BCF">
      <w:pPr>
        <w:pStyle w:val="subsection"/>
      </w:pPr>
      <w:r w:rsidRPr="005E3B43">
        <w:tab/>
        <w:t>(2)</w:t>
      </w:r>
      <w:r w:rsidRPr="005E3B43">
        <w:tab/>
        <w:t xml:space="preserve">The amendments of regulation 8 made by </w:t>
      </w:r>
      <w:r w:rsidR="007C3215">
        <w:t>Division 2</w:t>
      </w:r>
      <w:r w:rsidRPr="005E3B43">
        <w:t xml:space="preserve"> of </w:t>
      </w:r>
      <w:r w:rsidR="006B5D8E" w:rsidRPr="005E3B43">
        <w:t>Part 2</w:t>
      </w:r>
      <w:r w:rsidRPr="005E3B43">
        <w:t xml:space="preserve"> of </w:t>
      </w:r>
      <w:r w:rsidR="008D1B4F" w:rsidRPr="005E3B43">
        <w:t>Schedule 1</w:t>
      </w:r>
      <w:r w:rsidRPr="005E3B43">
        <w:t xml:space="preserve"> to the </w:t>
      </w:r>
      <w:r w:rsidRPr="005E3B43">
        <w:rPr>
          <w:i/>
        </w:rPr>
        <w:t xml:space="preserve">Therapeutic Goods Legislation Amendment (2021 Measures No. 4) </w:t>
      </w:r>
      <w:r w:rsidR="007C3215">
        <w:rPr>
          <w:i/>
        </w:rPr>
        <w:t>Regulations 2</w:t>
      </w:r>
      <w:r w:rsidRPr="005E3B43">
        <w:rPr>
          <w:i/>
        </w:rPr>
        <w:t>021</w:t>
      </w:r>
      <w:r w:rsidRPr="005E3B43">
        <w:t xml:space="preserve"> apply in relation to the dissemination of generic information on or after the commencement of those amendments.</w:t>
      </w:r>
    </w:p>
    <w:p w14:paraId="44C70E53" w14:textId="2775897A" w:rsidR="00AA3F1E" w:rsidRPr="005E3B43" w:rsidRDefault="00AA3F1E" w:rsidP="00763BCF">
      <w:pPr>
        <w:pStyle w:val="ActHead3"/>
        <w:pageBreakBefore/>
      </w:pPr>
      <w:bookmarkStart w:id="362" w:name="_Toc187135955"/>
      <w:r w:rsidRPr="005E3B43">
        <w:rPr>
          <w:rStyle w:val="CharDivNo"/>
        </w:rPr>
        <w:lastRenderedPageBreak/>
        <w:t>Division 18</w:t>
      </w:r>
      <w:r w:rsidRPr="005E3B43">
        <w:t>—</w:t>
      </w:r>
      <w:r w:rsidRPr="005E3B43">
        <w:rPr>
          <w:rStyle w:val="CharDivText"/>
        </w:rPr>
        <w:t xml:space="preserve">Application provisions relating to Schedule 1 to the Therapeutic Goods Legislation Amendment (2022 Measures No. 1) </w:t>
      </w:r>
      <w:r w:rsidR="007C3215">
        <w:rPr>
          <w:rStyle w:val="CharDivText"/>
        </w:rPr>
        <w:t>Regulations 2</w:t>
      </w:r>
      <w:r w:rsidRPr="005E3B43">
        <w:rPr>
          <w:rStyle w:val="CharDivText"/>
        </w:rPr>
        <w:t>022</w:t>
      </w:r>
      <w:bookmarkEnd w:id="362"/>
    </w:p>
    <w:p w14:paraId="237D664A" w14:textId="62702836" w:rsidR="00AA3F1E" w:rsidRPr="005E3B43" w:rsidRDefault="00AA3F1E" w:rsidP="00763BCF">
      <w:pPr>
        <w:pStyle w:val="ActHead5"/>
      </w:pPr>
      <w:bookmarkStart w:id="363" w:name="_Toc187135956"/>
      <w:r w:rsidRPr="005E3B43">
        <w:rPr>
          <w:rStyle w:val="CharSectno"/>
        </w:rPr>
        <w:t>86</w:t>
      </w:r>
      <w:r w:rsidRPr="005E3B43">
        <w:t xml:space="preserve">  Extemporaneously</w:t>
      </w:r>
      <w:r w:rsidR="007C3215">
        <w:noBreakHyphen/>
      </w:r>
      <w:r w:rsidRPr="005E3B43">
        <w:t>compounded medicinal cannabis products</w:t>
      </w:r>
      <w:bookmarkEnd w:id="363"/>
    </w:p>
    <w:p w14:paraId="1CC9DA16" w14:textId="746CFB2C" w:rsidR="00AA3F1E" w:rsidRPr="005E3B43" w:rsidRDefault="00AA3F1E" w:rsidP="00763BCF">
      <w:pPr>
        <w:pStyle w:val="subsection"/>
      </w:pPr>
      <w:r w:rsidRPr="005E3B43">
        <w:tab/>
      </w:r>
      <w:r w:rsidRPr="005E3B43">
        <w:tab/>
        <w:t xml:space="preserve">The amendment of Schedule 5 to these Regulations made by Schedule 1 to the </w:t>
      </w:r>
      <w:r w:rsidRPr="005E3B43">
        <w:rPr>
          <w:i/>
        </w:rPr>
        <w:t xml:space="preserve">Therapeutic Goods Legislation Amendment (2022 Measures No. 1) </w:t>
      </w:r>
      <w:r w:rsidR="007C3215">
        <w:rPr>
          <w:i/>
        </w:rPr>
        <w:t>Regulations 2</w:t>
      </w:r>
      <w:r w:rsidRPr="005E3B43">
        <w:rPr>
          <w:i/>
        </w:rPr>
        <w:t>022</w:t>
      </w:r>
      <w:r w:rsidRPr="005E3B43">
        <w:t xml:space="preserve"> does not apply in relation to a medicinal cannabis product that is extemporaneously compounded before 28 April 2022.</w:t>
      </w:r>
    </w:p>
    <w:p w14:paraId="06C0301F" w14:textId="7EC780FD" w:rsidR="00CD7E18" w:rsidRPr="005E3B43" w:rsidRDefault="00CD7E18" w:rsidP="00763BCF">
      <w:pPr>
        <w:pStyle w:val="ActHead3"/>
        <w:pageBreakBefore/>
      </w:pPr>
      <w:bookmarkStart w:id="364" w:name="_Toc187135957"/>
      <w:r w:rsidRPr="005E3B43">
        <w:rPr>
          <w:rStyle w:val="CharDivNo"/>
        </w:rPr>
        <w:lastRenderedPageBreak/>
        <w:t>Division 19</w:t>
      </w:r>
      <w:r w:rsidRPr="005E3B43">
        <w:t>—</w:t>
      </w:r>
      <w:r w:rsidRPr="005E3B43">
        <w:rPr>
          <w:rStyle w:val="CharDivText"/>
        </w:rPr>
        <w:t xml:space="preserve">Application provisions relating to Schedule 2 to the Therapeutic Goods Legislation Amendment (2022 Measures No. 1) </w:t>
      </w:r>
      <w:r w:rsidR="007C3215">
        <w:rPr>
          <w:rStyle w:val="CharDivText"/>
        </w:rPr>
        <w:t>Regulations 2</w:t>
      </w:r>
      <w:r w:rsidRPr="005E3B43">
        <w:rPr>
          <w:rStyle w:val="CharDivText"/>
        </w:rPr>
        <w:t>022</w:t>
      </w:r>
      <w:bookmarkEnd w:id="364"/>
    </w:p>
    <w:p w14:paraId="1602DC99" w14:textId="77777777" w:rsidR="00CD7E18" w:rsidRPr="005E3B43" w:rsidRDefault="00CD7E18" w:rsidP="00763BCF">
      <w:pPr>
        <w:pStyle w:val="ActHead5"/>
      </w:pPr>
      <w:bookmarkStart w:id="365" w:name="_Toc187135958"/>
      <w:r w:rsidRPr="005E3B43">
        <w:rPr>
          <w:rStyle w:val="CharSectno"/>
        </w:rPr>
        <w:t>87</w:t>
      </w:r>
      <w:r w:rsidRPr="005E3B43">
        <w:t xml:space="preserve">  Reconsideration of decisions</w:t>
      </w:r>
      <w:bookmarkEnd w:id="365"/>
    </w:p>
    <w:p w14:paraId="06D58A11" w14:textId="3927FAA8" w:rsidR="00CD7E18" w:rsidRPr="005E3B43" w:rsidRDefault="00CD7E18" w:rsidP="00763BCF">
      <w:pPr>
        <w:pStyle w:val="subsection"/>
      </w:pPr>
      <w:r w:rsidRPr="005E3B43">
        <w:tab/>
      </w:r>
      <w:r w:rsidRPr="005E3B43">
        <w:tab/>
        <w:t xml:space="preserve">The amendments of regulation 48 of these Regulations made by Schedule 2 to the </w:t>
      </w:r>
      <w:r w:rsidRPr="005E3B43">
        <w:rPr>
          <w:i/>
        </w:rPr>
        <w:t xml:space="preserve">Therapeutic Goods Legislation Amendment (2022 Measures No. 1) </w:t>
      </w:r>
      <w:r w:rsidR="007C3215">
        <w:rPr>
          <w:i/>
        </w:rPr>
        <w:t>Regulations 2</w:t>
      </w:r>
      <w:r w:rsidRPr="005E3B43">
        <w:rPr>
          <w:i/>
        </w:rPr>
        <w:t>022</w:t>
      </w:r>
      <w:r w:rsidRPr="005E3B43">
        <w:t xml:space="preserve"> apply in relation to initial decisions made on or after the commencement of this regulation.</w:t>
      </w:r>
    </w:p>
    <w:p w14:paraId="491E4F4B" w14:textId="4D60E005" w:rsidR="00FB3A18" w:rsidRPr="005E3B43" w:rsidRDefault="007C3215" w:rsidP="00763BCF">
      <w:pPr>
        <w:pStyle w:val="ActHead3"/>
        <w:pageBreakBefore/>
      </w:pPr>
      <w:bookmarkStart w:id="366" w:name="_Toc187135959"/>
      <w:r>
        <w:rPr>
          <w:rStyle w:val="CharDivNo"/>
        </w:rPr>
        <w:lastRenderedPageBreak/>
        <w:t>Division 2</w:t>
      </w:r>
      <w:r w:rsidR="00FB3A18" w:rsidRPr="005E3B43">
        <w:rPr>
          <w:rStyle w:val="CharDivNo"/>
        </w:rPr>
        <w:t>0</w:t>
      </w:r>
      <w:r w:rsidR="00FB3A18" w:rsidRPr="005E3B43">
        <w:t>—</w:t>
      </w:r>
      <w:r w:rsidR="00FB3A18" w:rsidRPr="005E3B43">
        <w:rPr>
          <w:rStyle w:val="CharDivText"/>
        </w:rPr>
        <w:t xml:space="preserve">Application provisions relating to the Therapeutic Goods Legislation Amendment (2022 Measures No. 3) </w:t>
      </w:r>
      <w:r>
        <w:rPr>
          <w:rStyle w:val="CharDivText"/>
        </w:rPr>
        <w:t>Regulations 2</w:t>
      </w:r>
      <w:r w:rsidR="00FB3A18" w:rsidRPr="005E3B43">
        <w:rPr>
          <w:rStyle w:val="CharDivText"/>
        </w:rPr>
        <w:t>022</w:t>
      </w:r>
      <w:bookmarkEnd w:id="366"/>
    </w:p>
    <w:p w14:paraId="2AD4D507" w14:textId="77777777" w:rsidR="00FB3A18" w:rsidRPr="005E3B43" w:rsidRDefault="00FB3A18" w:rsidP="00763BCF">
      <w:pPr>
        <w:pStyle w:val="ActHead5"/>
      </w:pPr>
      <w:bookmarkStart w:id="367" w:name="_Toc187135960"/>
      <w:bookmarkStart w:id="368" w:name="_Hlk119315721"/>
      <w:r w:rsidRPr="005E3B43">
        <w:rPr>
          <w:rStyle w:val="CharSectno"/>
        </w:rPr>
        <w:t>88</w:t>
      </w:r>
      <w:r w:rsidRPr="005E3B43">
        <w:t xml:space="preserve">  Exempt goods</w:t>
      </w:r>
      <w:bookmarkEnd w:id="367"/>
    </w:p>
    <w:p w14:paraId="41FD2CC8" w14:textId="6459DBCE" w:rsidR="00FB3A18" w:rsidRPr="005E3B43" w:rsidRDefault="00FB3A18" w:rsidP="00763BCF">
      <w:pPr>
        <w:pStyle w:val="subsection"/>
      </w:pPr>
      <w:r w:rsidRPr="005E3B43">
        <w:tab/>
      </w:r>
      <w:r w:rsidRPr="005E3B43">
        <w:tab/>
        <w:t xml:space="preserve">The amendment of </w:t>
      </w:r>
      <w:r w:rsidR="007C3215">
        <w:t>item 1</w:t>
      </w:r>
      <w:r w:rsidRPr="005E3B43">
        <w:t xml:space="preserve"> of the table in Schedule 5 made by Schedule 2 to the </w:t>
      </w:r>
      <w:r w:rsidRPr="005E3B43">
        <w:rPr>
          <w:i/>
        </w:rPr>
        <w:t xml:space="preserve">Therapeutic Goods Legislation Amendment (2022 Measures No. 3) </w:t>
      </w:r>
      <w:r w:rsidR="007C3215">
        <w:rPr>
          <w:i/>
        </w:rPr>
        <w:t>Regulations 2</w:t>
      </w:r>
      <w:r w:rsidRPr="005E3B43">
        <w:rPr>
          <w:i/>
        </w:rPr>
        <w:t>022 </w:t>
      </w:r>
      <w:r w:rsidRPr="005E3B43">
        <w:t>applies in relation to therapeutic goods that are imported on or after the commencement of this regulation.</w:t>
      </w:r>
    </w:p>
    <w:p w14:paraId="28ABDA30" w14:textId="77777777" w:rsidR="00FB3A18" w:rsidRPr="005E3B43" w:rsidRDefault="00FB3A18" w:rsidP="00763BCF">
      <w:pPr>
        <w:pStyle w:val="ActHead5"/>
        <w:rPr>
          <w:bCs/>
          <w:color w:val="000000"/>
          <w:szCs w:val="24"/>
        </w:rPr>
      </w:pPr>
      <w:bookmarkStart w:id="369" w:name="_Toc187135961"/>
      <w:r w:rsidRPr="005E3B43">
        <w:rPr>
          <w:rStyle w:val="CharSectno"/>
        </w:rPr>
        <w:t>89</w:t>
      </w:r>
      <w:r w:rsidRPr="005E3B43">
        <w:rPr>
          <w:bCs/>
          <w:color w:val="000000"/>
          <w:szCs w:val="24"/>
        </w:rPr>
        <w:t xml:space="preserve">  </w:t>
      </w:r>
      <w:r w:rsidRPr="005E3B43">
        <w:t>Fee for requests to vary entries in Register</w:t>
      </w:r>
      <w:bookmarkEnd w:id="369"/>
    </w:p>
    <w:p w14:paraId="63DE1BA2" w14:textId="11A18C3A" w:rsidR="00FB3A18" w:rsidRPr="005E3B43" w:rsidRDefault="00FB3A18" w:rsidP="00763BCF">
      <w:pPr>
        <w:pStyle w:val="subsection"/>
      </w:pPr>
      <w:r w:rsidRPr="005E3B43">
        <w:tab/>
        <w:t>(1)</w:t>
      </w:r>
      <w:r w:rsidRPr="005E3B43">
        <w:tab/>
        <w:t xml:space="preserve">The amendment of </w:t>
      </w:r>
      <w:r w:rsidR="006B5D8E" w:rsidRPr="005E3B43">
        <w:t>item 2</w:t>
      </w:r>
      <w:r w:rsidRPr="005E3B43">
        <w:t>A of the table in clause 3 of Schedule 9 made by Schedule 2 to the </w:t>
      </w:r>
      <w:r w:rsidRPr="005E3B43">
        <w:rPr>
          <w:i/>
        </w:rPr>
        <w:t xml:space="preserve">Therapeutic Goods Legislation Amendment (2022 Measures No. 3) </w:t>
      </w:r>
      <w:r w:rsidR="007C3215">
        <w:rPr>
          <w:i/>
        </w:rPr>
        <w:t>Regulations 2</w:t>
      </w:r>
      <w:r w:rsidRPr="005E3B43">
        <w:rPr>
          <w:i/>
        </w:rPr>
        <w:t>022 </w:t>
      </w:r>
      <w:r w:rsidRPr="005E3B43">
        <w:t>applies in relation to a request that is made on or after the commencement of this regulation.</w:t>
      </w:r>
    </w:p>
    <w:bookmarkEnd w:id="368"/>
    <w:p w14:paraId="5AD6F888" w14:textId="77777777" w:rsidR="00FB3A18" w:rsidRPr="005E3B43" w:rsidRDefault="00FB3A18" w:rsidP="00763BCF">
      <w:pPr>
        <w:pStyle w:val="subsection"/>
      </w:pPr>
      <w:r w:rsidRPr="005E3B43">
        <w:tab/>
      </w:r>
      <w:bookmarkStart w:id="370" w:name="_Hlk119315308"/>
      <w:r w:rsidRPr="005E3B43">
        <w:t>(2)</w:t>
      </w:r>
      <w:r w:rsidRPr="005E3B43">
        <w:tab/>
        <w:t>If:</w:t>
      </w:r>
    </w:p>
    <w:p w14:paraId="04095BB7" w14:textId="77777777" w:rsidR="00FB3A18" w:rsidRPr="005E3B43" w:rsidRDefault="00FB3A18" w:rsidP="00763BCF">
      <w:pPr>
        <w:pStyle w:val="paragraph"/>
      </w:pPr>
      <w:r w:rsidRPr="005E3B43">
        <w:tab/>
        <w:t>(a)</w:t>
      </w:r>
      <w:r w:rsidRPr="005E3B43">
        <w:tab/>
        <w:t xml:space="preserve">on or after </w:t>
      </w:r>
      <w:r w:rsidR="006B5D8E" w:rsidRPr="005E3B43">
        <w:t>1 January</w:t>
      </w:r>
      <w:r w:rsidRPr="005E3B43">
        <w:t xml:space="preserve"> 2022 and before the commencement of this regulation, a person made a request of a kind covered by paragraph (c) of </w:t>
      </w:r>
      <w:r w:rsidR="006B5D8E" w:rsidRPr="005E3B43">
        <w:t>item 2</w:t>
      </w:r>
      <w:r w:rsidRPr="005E3B43">
        <w:t>A of the table in clause 3 of Schedule 9 (as that item was in force before that commencement); and</w:t>
      </w:r>
    </w:p>
    <w:p w14:paraId="76103AF1" w14:textId="77777777" w:rsidR="00FB3A18" w:rsidRPr="005E3B43" w:rsidRDefault="00FB3A18" w:rsidP="00763BCF">
      <w:pPr>
        <w:pStyle w:val="paragraph"/>
      </w:pPr>
      <w:r w:rsidRPr="005E3B43">
        <w:tab/>
        <w:t>(b)</w:t>
      </w:r>
      <w:r w:rsidRPr="005E3B43">
        <w:tab/>
        <w:t xml:space="preserve">on or after </w:t>
      </w:r>
      <w:r w:rsidR="006B5D8E" w:rsidRPr="005E3B43">
        <w:t>1 January</w:t>
      </w:r>
      <w:r w:rsidRPr="005E3B43">
        <w:t xml:space="preserve"> 2022 and before the commencement of this regulation, the person paid the fee applicable in relation to the request under paragraph (c) of that item (as that item was in force before that commencement); and</w:t>
      </w:r>
    </w:p>
    <w:p w14:paraId="67B229FB" w14:textId="77777777" w:rsidR="00FB3A18" w:rsidRPr="005E3B43" w:rsidRDefault="00FB3A18" w:rsidP="00763BCF">
      <w:pPr>
        <w:pStyle w:val="paragraph"/>
      </w:pPr>
      <w:r w:rsidRPr="005E3B43">
        <w:tab/>
        <w:t>(c)</w:t>
      </w:r>
      <w:r w:rsidRPr="005E3B43">
        <w:tab/>
      </w:r>
      <w:r w:rsidRPr="005E3B43">
        <w:rPr>
          <w:lang w:eastAsia="en-US"/>
        </w:rPr>
        <w:t>had the request been made on the day on which this regulation commences</w:t>
      </w:r>
      <w:r w:rsidRPr="005E3B43">
        <w:t>, the request would have been covered by paragraph (d) of that item as in force on that commencement;</w:t>
      </w:r>
    </w:p>
    <w:p w14:paraId="39017AE5" w14:textId="77777777" w:rsidR="00FB3A18" w:rsidRPr="005E3B43" w:rsidRDefault="00FB3A18" w:rsidP="00763BCF">
      <w:pPr>
        <w:pStyle w:val="subsection2"/>
      </w:pPr>
      <w:r w:rsidRPr="005E3B43">
        <w:t>the Secretary must, on behalf of the Commonwealth, refund to the person the difference between the fee paid and the fee that would have been applicable in relation to the request under paragraph (d) of that item if the request had been made on the day on which this regulation commences.</w:t>
      </w:r>
      <w:bookmarkEnd w:id="370"/>
    </w:p>
    <w:p w14:paraId="08D46E93" w14:textId="1A5A899C" w:rsidR="002907C8" w:rsidRPr="005E3B43" w:rsidRDefault="007C3215" w:rsidP="00D17BF2">
      <w:pPr>
        <w:pStyle w:val="ActHead3"/>
        <w:pageBreakBefore/>
      </w:pPr>
      <w:bookmarkStart w:id="371" w:name="_Toc187135962"/>
      <w:r>
        <w:rPr>
          <w:rStyle w:val="CharDivNo"/>
        </w:rPr>
        <w:lastRenderedPageBreak/>
        <w:t>Division 2</w:t>
      </w:r>
      <w:r w:rsidR="002907C8" w:rsidRPr="005E3B43">
        <w:rPr>
          <w:rStyle w:val="CharDivNo"/>
        </w:rPr>
        <w:t>1</w:t>
      </w:r>
      <w:r w:rsidR="002907C8" w:rsidRPr="005E3B43">
        <w:t>—</w:t>
      </w:r>
      <w:r w:rsidR="002907C8" w:rsidRPr="005E3B43">
        <w:rPr>
          <w:rStyle w:val="CharDivText"/>
        </w:rPr>
        <w:t xml:space="preserve">Application provisions relating to the Therapeutic Goods Legislation Amendment (2023 Measures No. 1) </w:t>
      </w:r>
      <w:r>
        <w:rPr>
          <w:rStyle w:val="CharDivText"/>
        </w:rPr>
        <w:t>Regulations 2</w:t>
      </w:r>
      <w:r w:rsidR="002907C8" w:rsidRPr="005E3B43">
        <w:rPr>
          <w:rStyle w:val="CharDivText"/>
        </w:rPr>
        <w:t>023</w:t>
      </w:r>
      <w:bookmarkEnd w:id="371"/>
    </w:p>
    <w:p w14:paraId="58A2A689" w14:textId="77777777" w:rsidR="002907C8" w:rsidRPr="005E3B43" w:rsidRDefault="002907C8" w:rsidP="00763BCF">
      <w:pPr>
        <w:pStyle w:val="ActHead5"/>
      </w:pPr>
      <w:bookmarkStart w:id="372" w:name="_Toc187135963"/>
      <w:r w:rsidRPr="005E3B43">
        <w:rPr>
          <w:rStyle w:val="CharSectno"/>
        </w:rPr>
        <w:t>90</w:t>
      </w:r>
      <w:r w:rsidRPr="005E3B43">
        <w:t xml:space="preserve">  Clinical trials</w:t>
      </w:r>
      <w:bookmarkEnd w:id="372"/>
    </w:p>
    <w:p w14:paraId="72DBCB41" w14:textId="6682219B" w:rsidR="002907C8" w:rsidRPr="005E3B43" w:rsidRDefault="002907C8" w:rsidP="00D17BF2">
      <w:pPr>
        <w:pStyle w:val="subsection"/>
      </w:pPr>
      <w:r w:rsidRPr="005E3B43">
        <w:tab/>
      </w:r>
      <w:r w:rsidRPr="005E3B43">
        <w:tab/>
        <w:t xml:space="preserve">The amendments of </w:t>
      </w:r>
      <w:r w:rsidR="006B5D8E" w:rsidRPr="005E3B43">
        <w:t>item 3</w:t>
      </w:r>
      <w:r w:rsidRPr="005E3B43">
        <w:t xml:space="preserve"> of the table in Schedule 5A made by </w:t>
      </w:r>
      <w:r w:rsidR="006B5D8E" w:rsidRPr="005E3B43">
        <w:t>Part 2</w:t>
      </w:r>
      <w:r w:rsidRPr="005E3B43">
        <w:t xml:space="preserve"> of Schedule 1 to the </w:t>
      </w:r>
      <w:r w:rsidRPr="005E3B43">
        <w:rPr>
          <w:i/>
        </w:rPr>
        <w:t xml:space="preserve">Therapeutic Goods Legislation Amendment (2023 Measures No. 1) </w:t>
      </w:r>
      <w:r w:rsidR="007C3215">
        <w:rPr>
          <w:i/>
        </w:rPr>
        <w:t>Regulations 2</w:t>
      </w:r>
      <w:r w:rsidRPr="005E3B43">
        <w:rPr>
          <w:i/>
        </w:rPr>
        <w:t>023</w:t>
      </w:r>
      <w:r w:rsidRPr="005E3B43">
        <w:t> apply in relation to the use of therapeutic goods on or after the commencement of those amendments, whether the clinical trial began before, on or after that commencement.</w:t>
      </w:r>
    </w:p>
    <w:p w14:paraId="7511759F" w14:textId="1623E9ED" w:rsidR="005E08D7" w:rsidRPr="005E3B43" w:rsidRDefault="007C3215" w:rsidP="00732816">
      <w:pPr>
        <w:pStyle w:val="ActHead3"/>
        <w:pageBreakBefore/>
      </w:pPr>
      <w:bookmarkStart w:id="373" w:name="_Toc187135964"/>
      <w:r>
        <w:rPr>
          <w:rStyle w:val="CharDivNo"/>
        </w:rPr>
        <w:lastRenderedPageBreak/>
        <w:t>Division 2</w:t>
      </w:r>
      <w:r w:rsidR="005E08D7" w:rsidRPr="005E3B43">
        <w:rPr>
          <w:rStyle w:val="CharDivNo"/>
        </w:rPr>
        <w:t>2</w:t>
      </w:r>
      <w:r w:rsidR="005E08D7" w:rsidRPr="005E3B43">
        <w:t>—</w:t>
      </w:r>
      <w:r w:rsidR="005E08D7" w:rsidRPr="005E3B43">
        <w:rPr>
          <w:rStyle w:val="CharDivText"/>
        </w:rPr>
        <w:t xml:space="preserve">Transitional provisions relating to the Therapeutic Goods Legislation Amendment (2023 Measures No. 2) </w:t>
      </w:r>
      <w:r>
        <w:rPr>
          <w:rStyle w:val="CharDivText"/>
        </w:rPr>
        <w:t>Regulations 2</w:t>
      </w:r>
      <w:r w:rsidR="005E08D7" w:rsidRPr="005E3B43">
        <w:rPr>
          <w:rStyle w:val="CharDivText"/>
        </w:rPr>
        <w:t>023</w:t>
      </w:r>
      <w:bookmarkEnd w:id="373"/>
    </w:p>
    <w:p w14:paraId="39DA3C17" w14:textId="77777777" w:rsidR="005E08D7" w:rsidRPr="005E3B43" w:rsidRDefault="005E08D7" w:rsidP="005E08D7">
      <w:pPr>
        <w:pStyle w:val="ActHead5"/>
      </w:pPr>
      <w:bookmarkStart w:id="374" w:name="_Toc187135965"/>
      <w:r w:rsidRPr="005E3B43">
        <w:rPr>
          <w:rStyle w:val="CharSectno"/>
        </w:rPr>
        <w:t>91</w:t>
      </w:r>
      <w:r w:rsidRPr="005E3B43">
        <w:t xml:space="preserve">  Clinical trials</w:t>
      </w:r>
      <w:bookmarkEnd w:id="374"/>
    </w:p>
    <w:p w14:paraId="0440046B" w14:textId="4D7DA9C7" w:rsidR="00CA3152" w:rsidRPr="005E3B43" w:rsidRDefault="005E08D7" w:rsidP="00732816">
      <w:pPr>
        <w:pStyle w:val="subsection"/>
      </w:pPr>
      <w:r w:rsidRPr="005E3B43">
        <w:tab/>
      </w:r>
      <w:r w:rsidRPr="005E3B43">
        <w:tab/>
        <w:t xml:space="preserve">The amendments of subregulation 12AC(1) of these Regulations made by </w:t>
      </w:r>
      <w:r w:rsidR="006B5D8E" w:rsidRPr="005E3B43">
        <w:t>Part 2</w:t>
      </w:r>
      <w:r w:rsidRPr="005E3B43">
        <w:t xml:space="preserve"> of Schedule 1 to the </w:t>
      </w:r>
      <w:r w:rsidRPr="005E3B43">
        <w:rPr>
          <w:i/>
        </w:rPr>
        <w:t xml:space="preserve">Therapeutic Goods Legislation Amendment (2023 Measures No. 2) </w:t>
      </w:r>
      <w:r w:rsidR="007C3215">
        <w:rPr>
          <w:i/>
        </w:rPr>
        <w:t>Regulations 2</w:t>
      </w:r>
      <w:r w:rsidRPr="005E3B43">
        <w:rPr>
          <w:i/>
        </w:rPr>
        <w:t>023</w:t>
      </w:r>
      <w:r w:rsidRPr="005E3B43">
        <w:t xml:space="preserve"> apply in relation to things done on or after the commencement of those amendments in relation to a clinical trial that began before, on or after that commencement.</w:t>
      </w:r>
    </w:p>
    <w:p w14:paraId="26F629FB" w14:textId="77777777" w:rsidR="00F539F4" w:rsidRPr="005E3B43" w:rsidRDefault="00F539F4" w:rsidP="00F539F4">
      <w:pPr>
        <w:pStyle w:val="ActHead5"/>
      </w:pPr>
      <w:bookmarkStart w:id="375" w:name="_Toc187135966"/>
      <w:r w:rsidRPr="005E3B43">
        <w:rPr>
          <w:rStyle w:val="CharSectno"/>
        </w:rPr>
        <w:t>92</w:t>
      </w:r>
      <w:r w:rsidRPr="005E3B43">
        <w:t xml:space="preserve">  Removal of exemptions for sunscreen preparations</w:t>
      </w:r>
      <w:bookmarkEnd w:id="375"/>
    </w:p>
    <w:p w14:paraId="4CB542FF" w14:textId="06F00FD7" w:rsidR="00F539F4" w:rsidRPr="005E3B43" w:rsidRDefault="00F539F4" w:rsidP="00F539F4">
      <w:pPr>
        <w:pStyle w:val="subsection"/>
      </w:pPr>
      <w:r w:rsidRPr="005E3B43">
        <w:tab/>
      </w:r>
      <w:r w:rsidRPr="005E3B43">
        <w:tab/>
        <w:t xml:space="preserve">Despite the amendments of Schedules 5 and 7 to these Regulations made by Part 5 of Schedule 1 to the </w:t>
      </w:r>
      <w:r w:rsidRPr="005E3B43">
        <w:rPr>
          <w:i/>
        </w:rPr>
        <w:t xml:space="preserve">Therapeutic Goods Legislation Amendment (2023 Measures No. 2) </w:t>
      </w:r>
      <w:r w:rsidR="007C3215">
        <w:rPr>
          <w:i/>
        </w:rPr>
        <w:t>Regulations 2</w:t>
      </w:r>
      <w:r w:rsidRPr="005E3B43">
        <w:rPr>
          <w:i/>
        </w:rPr>
        <w:t>023</w:t>
      </w:r>
      <w:r w:rsidRPr="005E3B43">
        <w:t>:</w:t>
      </w:r>
    </w:p>
    <w:p w14:paraId="60D80F0B" w14:textId="047E8193" w:rsidR="00F539F4" w:rsidRPr="005E3B43" w:rsidRDefault="00F539F4" w:rsidP="00F539F4">
      <w:pPr>
        <w:pStyle w:val="paragraph"/>
      </w:pPr>
      <w:r w:rsidRPr="005E3B43">
        <w:tab/>
        <w:t>(a)</w:t>
      </w:r>
      <w:r w:rsidRPr="005E3B43">
        <w:tab/>
        <w:t>paragraph (g) of item 8 of Schedule 5 to these Regulations, as in force immediately before the commencement of those amendments, continues to apply until the end of 31 December 2026 in relation to therapeutic goods exempt from the operation of Parts 3</w:t>
      </w:r>
      <w:r w:rsidR="007C3215">
        <w:noBreakHyphen/>
      </w:r>
      <w:r w:rsidRPr="005E3B43">
        <w:t>2 and 3</w:t>
      </w:r>
      <w:r w:rsidR="007C3215">
        <w:noBreakHyphen/>
      </w:r>
      <w:r w:rsidRPr="005E3B43">
        <w:t>2A of the Act immediately before that commencement; and</w:t>
      </w:r>
    </w:p>
    <w:p w14:paraId="5BC6141A" w14:textId="2FB74C74" w:rsidR="00F539F4" w:rsidRPr="005E3B43" w:rsidRDefault="00F539F4" w:rsidP="00F539F4">
      <w:pPr>
        <w:pStyle w:val="paragraph"/>
      </w:pPr>
      <w:r w:rsidRPr="005E3B43">
        <w:tab/>
        <w:t>(b)</w:t>
      </w:r>
      <w:r w:rsidRPr="005E3B43">
        <w:tab/>
      </w:r>
      <w:r w:rsidR="007C3215">
        <w:t>item 1</w:t>
      </w:r>
      <w:r w:rsidRPr="005E3B43">
        <w:t>4 of Schedule 7 to these Regulations, as in force immediately before the commencement of those amendments, continues to apply until the end of 31 December 2026 in relation to therapeutic goods exempt from the operation of Part 3</w:t>
      </w:r>
      <w:r w:rsidR="007C3215">
        <w:noBreakHyphen/>
      </w:r>
      <w:r w:rsidRPr="005E3B43">
        <w:t>3 of the Act immediately before that commencement.</w:t>
      </w:r>
    </w:p>
    <w:p w14:paraId="58FE13FE" w14:textId="1518A605" w:rsidR="004008ED" w:rsidRPr="005E3B43" w:rsidRDefault="007C3215" w:rsidP="004008ED">
      <w:pPr>
        <w:pStyle w:val="ActHead3"/>
        <w:pageBreakBefore/>
      </w:pPr>
      <w:bookmarkStart w:id="376" w:name="_Toc187135967"/>
      <w:r>
        <w:rPr>
          <w:rStyle w:val="CharDivNo"/>
        </w:rPr>
        <w:lastRenderedPageBreak/>
        <w:t>Division 2</w:t>
      </w:r>
      <w:r w:rsidR="004008ED" w:rsidRPr="005E3B43">
        <w:rPr>
          <w:rStyle w:val="CharDivNo"/>
        </w:rPr>
        <w:t>3</w:t>
      </w:r>
      <w:r w:rsidR="004008ED" w:rsidRPr="005E3B43">
        <w:t>—</w:t>
      </w:r>
      <w:r w:rsidR="004008ED" w:rsidRPr="005E3B43">
        <w:rPr>
          <w:rStyle w:val="CharDivText"/>
        </w:rPr>
        <w:t xml:space="preserve">Transitional provisions relating to the Therapeutic Goods Legislation Amendment (Vaping) </w:t>
      </w:r>
      <w:r>
        <w:rPr>
          <w:rStyle w:val="CharDivText"/>
        </w:rPr>
        <w:t>Regulations 2</w:t>
      </w:r>
      <w:r w:rsidR="004008ED" w:rsidRPr="005E3B43">
        <w:rPr>
          <w:rStyle w:val="CharDivText"/>
        </w:rPr>
        <w:t>023</w:t>
      </w:r>
      <w:bookmarkEnd w:id="376"/>
    </w:p>
    <w:p w14:paraId="2651DC5B" w14:textId="77777777" w:rsidR="004008ED" w:rsidRPr="005E3B43" w:rsidRDefault="004008ED" w:rsidP="004008ED">
      <w:pPr>
        <w:pStyle w:val="ActHead5"/>
      </w:pPr>
      <w:bookmarkStart w:id="377" w:name="_Toc187135968"/>
      <w:r w:rsidRPr="005E3B43">
        <w:rPr>
          <w:rStyle w:val="CharSectno"/>
        </w:rPr>
        <w:t>93</w:t>
      </w:r>
      <w:r w:rsidRPr="005E3B43">
        <w:t xml:space="preserve">  Definitions</w:t>
      </w:r>
      <w:bookmarkEnd w:id="377"/>
    </w:p>
    <w:p w14:paraId="2D7F43CF" w14:textId="77777777" w:rsidR="004008ED" w:rsidRPr="005E3B43" w:rsidRDefault="004008ED" w:rsidP="004008ED">
      <w:pPr>
        <w:pStyle w:val="subsection"/>
      </w:pPr>
      <w:r w:rsidRPr="005E3B43">
        <w:tab/>
      </w:r>
      <w:r w:rsidRPr="005E3B43">
        <w:tab/>
        <w:t>In this Division:</w:t>
      </w:r>
    </w:p>
    <w:p w14:paraId="0659313F" w14:textId="35873688" w:rsidR="004008ED" w:rsidRPr="005E3B43" w:rsidRDefault="004008ED" w:rsidP="004008ED">
      <w:pPr>
        <w:pStyle w:val="Definition"/>
      </w:pPr>
      <w:r w:rsidRPr="005E3B43">
        <w:rPr>
          <w:b/>
          <w:i/>
        </w:rPr>
        <w:t>amending regulations</w:t>
      </w:r>
      <w:r w:rsidRPr="005E3B43">
        <w:t xml:space="preserve"> means the </w:t>
      </w:r>
      <w:r w:rsidRPr="005E3B43">
        <w:rPr>
          <w:i/>
        </w:rPr>
        <w:t xml:space="preserve">Therapeutic Goods Legislation Amendment (Vaping) </w:t>
      </w:r>
      <w:r w:rsidR="007C3215">
        <w:rPr>
          <w:i/>
        </w:rPr>
        <w:t>Regulations 2</w:t>
      </w:r>
      <w:r w:rsidRPr="005E3B43">
        <w:rPr>
          <w:i/>
        </w:rPr>
        <w:t>023</w:t>
      </w:r>
      <w:r w:rsidRPr="005E3B43">
        <w:t>.</w:t>
      </w:r>
    </w:p>
    <w:p w14:paraId="26C2F795" w14:textId="77777777" w:rsidR="004008ED" w:rsidRPr="005E3B43" w:rsidRDefault="004008ED" w:rsidP="004008ED">
      <w:pPr>
        <w:pStyle w:val="ActHead5"/>
      </w:pPr>
      <w:bookmarkStart w:id="378" w:name="_Toc187135969"/>
      <w:r w:rsidRPr="005E3B43">
        <w:rPr>
          <w:rStyle w:val="CharSectno"/>
        </w:rPr>
        <w:t>94</w:t>
      </w:r>
      <w:r w:rsidRPr="005E3B43">
        <w:t xml:space="preserve">  Approving supply of therapeutic goods under authorised prescriber scheme</w:t>
      </w:r>
      <w:bookmarkEnd w:id="378"/>
    </w:p>
    <w:p w14:paraId="20A0E3BA" w14:textId="2E7EDC6C" w:rsidR="004008ED" w:rsidRPr="005E3B43" w:rsidRDefault="004008ED" w:rsidP="004008ED">
      <w:pPr>
        <w:pStyle w:val="subsection"/>
      </w:pPr>
      <w:r w:rsidRPr="005E3B43">
        <w:tab/>
      </w:r>
      <w:r w:rsidRPr="005E3B43">
        <w:tab/>
        <w:t>The amendment of subregulation 12B(1B) of these Regulations made by Schedule 1 to the amending regulations applies in relation to an authority given under sub</w:t>
      </w:r>
      <w:r w:rsidR="007C3215">
        <w:t>section 1</w:t>
      </w:r>
      <w:r w:rsidRPr="005E3B43">
        <w:t xml:space="preserve">9(5) of the Act on or after </w:t>
      </w:r>
      <w:r w:rsidR="006B5D8E" w:rsidRPr="005E3B43">
        <w:t>1 January</w:t>
      </w:r>
      <w:r w:rsidRPr="005E3B43">
        <w:t xml:space="preserve"> 2024.</w:t>
      </w:r>
    </w:p>
    <w:p w14:paraId="574D0CD1" w14:textId="77777777" w:rsidR="004008ED" w:rsidRPr="005E3B43" w:rsidRDefault="004008ED" w:rsidP="004008ED">
      <w:pPr>
        <w:pStyle w:val="ActHead5"/>
      </w:pPr>
      <w:bookmarkStart w:id="379" w:name="_Toc187135970"/>
      <w:r w:rsidRPr="005E3B43">
        <w:rPr>
          <w:rStyle w:val="CharSectno"/>
        </w:rPr>
        <w:t>95</w:t>
      </w:r>
      <w:r w:rsidRPr="005E3B43">
        <w:t xml:space="preserve">  Goods to be included in parts of the Register</w:t>
      </w:r>
      <w:bookmarkEnd w:id="379"/>
    </w:p>
    <w:p w14:paraId="41F19B3F" w14:textId="77777777" w:rsidR="004008ED" w:rsidRPr="005E3B43" w:rsidRDefault="004008ED" w:rsidP="004008ED">
      <w:pPr>
        <w:pStyle w:val="subsection"/>
      </w:pPr>
      <w:r w:rsidRPr="005E3B43">
        <w:tab/>
      </w:r>
      <w:r w:rsidRPr="005E3B43">
        <w:tab/>
        <w:t xml:space="preserve">The amendments of Schedules 3 and 4 to these Regulations made by Schedule 1 to the amending regulations apply to therapeutic vaping substances, therapeutic vaping substance accessories and therapeutic vaping kits from </w:t>
      </w:r>
      <w:r w:rsidR="006B5D8E" w:rsidRPr="005E3B43">
        <w:t>1 January</w:t>
      </w:r>
      <w:r w:rsidRPr="005E3B43">
        <w:t xml:space="preserve"> 2024.</w:t>
      </w:r>
    </w:p>
    <w:p w14:paraId="6CDD9A3F" w14:textId="77777777" w:rsidR="004008ED" w:rsidRPr="005E3B43" w:rsidRDefault="004008ED" w:rsidP="004008ED">
      <w:pPr>
        <w:pStyle w:val="ActHead5"/>
      </w:pPr>
      <w:bookmarkStart w:id="380" w:name="_Toc187135971"/>
      <w:r w:rsidRPr="005E3B43">
        <w:rPr>
          <w:rStyle w:val="CharSectno"/>
        </w:rPr>
        <w:t>96</w:t>
      </w:r>
      <w:r w:rsidRPr="005E3B43">
        <w:t xml:space="preserve">  Exempt goods</w:t>
      </w:r>
      <w:bookmarkEnd w:id="380"/>
    </w:p>
    <w:p w14:paraId="0C736557" w14:textId="3DC700FA" w:rsidR="004008ED" w:rsidRPr="005E3B43" w:rsidRDefault="004008ED" w:rsidP="004008ED">
      <w:pPr>
        <w:pStyle w:val="subsection"/>
      </w:pPr>
      <w:r w:rsidRPr="005E3B43">
        <w:tab/>
        <w:t>(1)</w:t>
      </w:r>
      <w:r w:rsidRPr="005E3B43">
        <w:tab/>
        <w:t xml:space="preserve">Paragraph (b) of </w:t>
      </w:r>
      <w:r w:rsidR="007C3215">
        <w:t>item 1</w:t>
      </w:r>
      <w:r w:rsidRPr="005E3B43">
        <w:t xml:space="preserve"> of the table in Schedule 5 to these Regulations, and </w:t>
      </w:r>
      <w:r w:rsidR="007C3215">
        <w:t>item 1</w:t>
      </w:r>
      <w:r w:rsidRPr="005E3B43">
        <w:t>A of the table in Schedule 5 to these Regulations, as inserted by Schedule 1 to the amending regulations, apply in relation to:</w:t>
      </w:r>
    </w:p>
    <w:p w14:paraId="42037739" w14:textId="77777777" w:rsidR="004008ED" w:rsidRPr="005E3B43" w:rsidRDefault="004008ED" w:rsidP="004008ED">
      <w:pPr>
        <w:pStyle w:val="paragraph"/>
      </w:pPr>
      <w:r w:rsidRPr="005E3B43">
        <w:tab/>
        <w:t>(a)</w:t>
      </w:r>
      <w:r w:rsidRPr="005E3B43">
        <w:tab/>
        <w:t xml:space="preserve">disposable therapeutic vapes imported on or after </w:t>
      </w:r>
      <w:r w:rsidR="006B5D8E" w:rsidRPr="005E3B43">
        <w:t>1 January</w:t>
      </w:r>
      <w:r w:rsidRPr="005E3B43">
        <w:t xml:space="preserve"> 2024; and</w:t>
      </w:r>
    </w:p>
    <w:p w14:paraId="1A019D87" w14:textId="77777777" w:rsidR="004008ED" w:rsidRPr="005E3B43" w:rsidRDefault="004008ED" w:rsidP="004008ED">
      <w:pPr>
        <w:pStyle w:val="paragraph"/>
      </w:pPr>
      <w:r w:rsidRPr="005E3B43">
        <w:tab/>
        <w:t>(b)</w:t>
      </w:r>
      <w:r w:rsidRPr="005E3B43">
        <w:tab/>
        <w:t xml:space="preserve">any other therapeutic goods imported on or after </w:t>
      </w:r>
      <w:r w:rsidR="003774CD" w:rsidRPr="005E3B43">
        <w:t>1 March</w:t>
      </w:r>
      <w:r w:rsidRPr="005E3B43">
        <w:t xml:space="preserve"> 2024.</w:t>
      </w:r>
    </w:p>
    <w:p w14:paraId="4B04F306" w14:textId="77777777" w:rsidR="004008ED" w:rsidRPr="005E3B43" w:rsidRDefault="004008ED" w:rsidP="004008ED">
      <w:pPr>
        <w:pStyle w:val="subsection"/>
      </w:pPr>
      <w:r w:rsidRPr="005E3B43">
        <w:tab/>
        <w:t>(2)</w:t>
      </w:r>
      <w:r w:rsidRPr="005E3B43">
        <w:tab/>
        <w:t xml:space="preserve">The repeal of items 5 and 5A of the table in Schedule 5 to these Regulations, and of the definition of </w:t>
      </w:r>
      <w:r w:rsidRPr="005E3B43">
        <w:rPr>
          <w:b/>
          <w:i/>
        </w:rPr>
        <w:t>nicotine vaping product</w:t>
      </w:r>
      <w:r w:rsidRPr="005E3B43">
        <w:t xml:space="preserve"> in regulation 2 of these Regulations, by Schedule 1 to the amending regulations applies in relation to:</w:t>
      </w:r>
    </w:p>
    <w:p w14:paraId="17EC02C0" w14:textId="77777777" w:rsidR="004008ED" w:rsidRPr="005E3B43" w:rsidRDefault="004008ED" w:rsidP="004008ED">
      <w:pPr>
        <w:pStyle w:val="paragraph"/>
      </w:pPr>
      <w:r w:rsidRPr="005E3B43">
        <w:tab/>
        <w:t>(a)</w:t>
      </w:r>
      <w:r w:rsidRPr="005E3B43">
        <w:tab/>
        <w:t xml:space="preserve">disposable therapeutic vapes imported or manufactured on or after </w:t>
      </w:r>
      <w:r w:rsidR="006B5D8E" w:rsidRPr="005E3B43">
        <w:t>1 January</w:t>
      </w:r>
      <w:r w:rsidRPr="005E3B43">
        <w:t xml:space="preserve"> 2024; and</w:t>
      </w:r>
    </w:p>
    <w:p w14:paraId="543243DC" w14:textId="77777777" w:rsidR="004008ED" w:rsidRPr="005E3B43" w:rsidRDefault="004008ED" w:rsidP="004008ED">
      <w:pPr>
        <w:pStyle w:val="paragraph"/>
      </w:pPr>
      <w:r w:rsidRPr="005E3B43">
        <w:tab/>
        <w:t>(b)</w:t>
      </w:r>
      <w:r w:rsidRPr="005E3B43">
        <w:tab/>
        <w:t xml:space="preserve">any other therapeutic goods imported or manufactured on or after </w:t>
      </w:r>
      <w:r w:rsidR="003774CD" w:rsidRPr="005E3B43">
        <w:t>1 March</w:t>
      </w:r>
      <w:r w:rsidRPr="005E3B43">
        <w:t xml:space="preserve"> 2024.</w:t>
      </w:r>
    </w:p>
    <w:p w14:paraId="27622D09" w14:textId="77777777" w:rsidR="004008ED" w:rsidRPr="005E3B43" w:rsidRDefault="004008ED" w:rsidP="004008ED">
      <w:pPr>
        <w:pStyle w:val="subsection"/>
      </w:pPr>
      <w:r w:rsidRPr="005E3B43">
        <w:tab/>
        <w:t>(3)</w:t>
      </w:r>
      <w:r w:rsidRPr="005E3B43">
        <w:tab/>
        <w:t xml:space="preserve">The amendment of item 9 of the table in Schedule 5 to these Regulations made by Schedule 1 to the amending regulations applies in relation to starting materials imported on or after </w:t>
      </w:r>
      <w:r w:rsidR="003774CD" w:rsidRPr="005E3B43">
        <w:t>1 March</w:t>
      </w:r>
      <w:r w:rsidRPr="005E3B43">
        <w:t xml:space="preserve"> 2024.</w:t>
      </w:r>
    </w:p>
    <w:p w14:paraId="7C666B23" w14:textId="616F5650" w:rsidR="004008ED" w:rsidRPr="005E3B43" w:rsidRDefault="004008ED" w:rsidP="004008ED">
      <w:pPr>
        <w:pStyle w:val="subsection"/>
      </w:pPr>
      <w:r w:rsidRPr="005E3B43">
        <w:tab/>
        <w:t>(4)</w:t>
      </w:r>
      <w:r w:rsidRPr="005E3B43">
        <w:tab/>
        <w:t xml:space="preserve">The amendment of </w:t>
      </w:r>
      <w:r w:rsidR="007C3215">
        <w:t>item 1</w:t>
      </w:r>
      <w:r w:rsidRPr="005E3B43">
        <w:t xml:space="preserve"> of the table in Schedule 5A to these Regulations made by Schedule 1 to the amending regulations applies in relation to therapeutic goods imported on or after </w:t>
      </w:r>
      <w:r w:rsidR="003774CD" w:rsidRPr="005E3B43">
        <w:t>1 March</w:t>
      </w:r>
      <w:r w:rsidRPr="005E3B43">
        <w:t xml:space="preserve"> 2024.</w:t>
      </w:r>
    </w:p>
    <w:p w14:paraId="002918C0" w14:textId="77777777" w:rsidR="004008ED" w:rsidRPr="005E3B43" w:rsidRDefault="004008ED" w:rsidP="004008ED">
      <w:pPr>
        <w:pStyle w:val="subsection"/>
      </w:pPr>
      <w:r w:rsidRPr="005E3B43">
        <w:tab/>
        <w:t>(5)</w:t>
      </w:r>
      <w:r w:rsidRPr="005E3B43">
        <w:tab/>
        <w:t xml:space="preserve">Item 15 of the table in Schedule 5A to these Regulations, as inserted by Schedule 1 to the amending regulations, applies in relation to therapeutic goods imported or manufactured </w:t>
      </w:r>
      <w:r w:rsidR="00F801DD" w:rsidRPr="005E3B43">
        <w:t>before, on or after</w:t>
      </w:r>
      <w:r w:rsidRPr="005E3B43">
        <w:t xml:space="preserve"> </w:t>
      </w:r>
      <w:r w:rsidR="003774CD" w:rsidRPr="005E3B43">
        <w:t>1 March</w:t>
      </w:r>
      <w:r w:rsidRPr="005E3B43">
        <w:t xml:space="preserve"> 2024.</w:t>
      </w:r>
    </w:p>
    <w:p w14:paraId="43A73B1E" w14:textId="77777777" w:rsidR="004008ED" w:rsidRPr="005E3B43" w:rsidRDefault="004008ED" w:rsidP="004008ED">
      <w:pPr>
        <w:pStyle w:val="subsection"/>
      </w:pPr>
      <w:r w:rsidRPr="005E3B43">
        <w:lastRenderedPageBreak/>
        <w:tab/>
        <w:t>(6)</w:t>
      </w:r>
      <w:r w:rsidRPr="005E3B43">
        <w:tab/>
        <w:t xml:space="preserve">Item 16 of the table in Schedule 5A to these Regulations, as inserted by Schedule 1 to the amending regulations, applies in relation to therapeutic goods imported on or after </w:t>
      </w:r>
      <w:r w:rsidR="003774CD" w:rsidRPr="005E3B43">
        <w:t>1 March</w:t>
      </w:r>
      <w:r w:rsidRPr="005E3B43">
        <w:t xml:space="preserve"> 2024.</w:t>
      </w:r>
    </w:p>
    <w:p w14:paraId="0193BEAD" w14:textId="16245F7F" w:rsidR="004008ED" w:rsidRPr="005E3B43" w:rsidRDefault="004008ED" w:rsidP="004008ED">
      <w:pPr>
        <w:pStyle w:val="ActHead5"/>
      </w:pPr>
      <w:bookmarkStart w:id="381" w:name="_Toc187135972"/>
      <w:r w:rsidRPr="005E3B43">
        <w:rPr>
          <w:rStyle w:val="CharSectno"/>
        </w:rPr>
        <w:t>97</w:t>
      </w:r>
      <w:r w:rsidRPr="005E3B43">
        <w:t xml:space="preserve">  Transitional vaping manufacturers—exemption from Part 3</w:t>
      </w:r>
      <w:r w:rsidR="007C3215">
        <w:noBreakHyphen/>
      </w:r>
      <w:r w:rsidRPr="005E3B43">
        <w:t>3 of the Act</w:t>
      </w:r>
      <w:bookmarkEnd w:id="381"/>
    </w:p>
    <w:p w14:paraId="1C06AD5F" w14:textId="77777777" w:rsidR="004008ED" w:rsidRPr="005E3B43" w:rsidRDefault="004008ED" w:rsidP="004008ED">
      <w:pPr>
        <w:pStyle w:val="subsection"/>
      </w:pPr>
      <w:r w:rsidRPr="005E3B43">
        <w:tab/>
        <w:t>(1)</w:t>
      </w:r>
      <w:r w:rsidRPr="005E3B43">
        <w:tab/>
        <w:t xml:space="preserve">For the purposes of this regulation, a person is a </w:t>
      </w:r>
      <w:r w:rsidRPr="005E3B43">
        <w:rPr>
          <w:b/>
          <w:i/>
        </w:rPr>
        <w:t>transitional vaping manufacturer</w:t>
      </w:r>
      <w:r w:rsidRPr="005E3B43">
        <w:t xml:space="preserve"> if:</w:t>
      </w:r>
    </w:p>
    <w:p w14:paraId="4735C3AB" w14:textId="77777777" w:rsidR="004008ED" w:rsidRPr="005E3B43" w:rsidRDefault="004008ED" w:rsidP="004008ED">
      <w:pPr>
        <w:pStyle w:val="paragraph"/>
      </w:pPr>
      <w:r w:rsidRPr="005E3B43">
        <w:tab/>
        <w:t>(a)</w:t>
      </w:r>
      <w:r w:rsidRPr="005E3B43">
        <w:tab/>
        <w:t xml:space="preserve">the person carries out, on or after </w:t>
      </w:r>
      <w:r w:rsidR="006B5D8E" w:rsidRPr="005E3B43">
        <w:t>1 January</w:t>
      </w:r>
      <w:r w:rsidRPr="005E3B43">
        <w:t xml:space="preserve"> 2024, a step in the manufacture of therapeutic goods that are:</w:t>
      </w:r>
    </w:p>
    <w:p w14:paraId="74A05843" w14:textId="77777777" w:rsidR="004008ED" w:rsidRPr="005E3B43" w:rsidRDefault="004008ED" w:rsidP="004008ED">
      <w:pPr>
        <w:pStyle w:val="paragraphsub"/>
      </w:pPr>
      <w:r w:rsidRPr="005E3B43">
        <w:tab/>
        <w:t>(i)</w:t>
      </w:r>
      <w:r w:rsidRPr="005E3B43">
        <w:tab/>
        <w:t>a therapeutic vaping substance; or</w:t>
      </w:r>
    </w:p>
    <w:p w14:paraId="46670278" w14:textId="77777777" w:rsidR="004008ED" w:rsidRPr="005E3B43" w:rsidRDefault="004008ED" w:rsidP="004008ED">
      <w:pPr>
        <w:pStyle w:val="paragraphsub"/>
      </w:pPr>
      <w:r w:rsidRPr="005E3B43">
        <w:tab/>
        <w:t>(ii)</w:t>
      </w:r>
      <w:r w:rsidRPr="005E3B43">
        <w:tab/>
        <w:t>a therapeutic vaping substance accessory; or</w:t>
      </w:r>
    </w:p>
    <w:p w14:paraId="78D68072" w14:textId="77777777" w:rsidR="004008ED" w:rsidRPr="005E3B43" w:rsidRDefault="004008ED" w:rsidP="004008ED">
      <w:pPr>
        <w:pStyle w:val="paragraphsub"/>
      </w:pPr>
      <w:r w:rsidRPr="005E3B43">
        <w:tab/>
        <w:t>(iii)</w:t>
      </w:r>
      <w:r w:rsidRPr="005E3B43">
        <w:tab/>
        <w:t>a therapeutic vaping kit; or</w:t>
      </w:r>
    </w:p>
    <w:p w14:paraId="580A80DC" w14:textId="77777777" w:rsidR="004008ED" w:rsidRPr="005E3B43" w:rsidRDefault="004008ED" w:rsidP="004008ED">
      <w:pPr>
        <w:pStyle w:val="paragraphsub"/>
      </w:pPr>
      <w:r w:rsidRPr="005E3B43">
        <w:tab/>
        <w:t>(iv)</w:t>
      </w:r>
      <w:r w:rsidRPr="005E3B43">
        <w:tab/>
        <w:t>goods in a therapeutic vaping pack; and</w:t>
      </w:r>
    </w:p>
    <w:p w14:paraId="25FE640C" w14:textId="77777777" w:rsidR="004008ED" w:rsidRPr="005E3B43" w:rsidRDefault="004008ED" w:rsidP="004008ED">
      <w:pPr>
        <w:pStyle w:val="paragraph"/>
      </w:pPr>
      <w:r w:rsidRPr="005E3B43">
        <w:tab/>
        <w:t>(b)</w:t>
      </w:r>
      <w:r w:rsidRPr="005E3B43">
        <w:tab/>
        <w:t>the person was, as at 2 May 2023, carrying out an equivalent step in the manufacture of other goods that were the same kind of goods as the therapeutic goods referred to in paragraph (a) except that the other goods were not therapeutic goods; and</w:t>
      </w:r>
    </w:p>
    <w:p w14:paraId="2B50D7F5" w14:textId="77777777" w:rsidR="004008ED" w:rsidRPr="005E3B43" w:rsidRDefault="004008ED" w:rsidP="004008ED">
      <w:pPr>
        <w:pStyle w:val="paragraph"/>
      </w:pPr>
      <w:r w:rsidRPr="005E3B43">
        <w:tab/>
        <w:t>(c)</w:t>
      </w:r>
      <w:r w:rsidRPr="005E3B43">
        <w:tab/>
        <w:t>before carrying out the step referred to in paragraph (a), the person has notified the Secretary, in a form approved under subregulation (2), in relation to the step referred to in paragraph (b).</w:t>
      </w:r>
    </w:p>
    <w:p w14:paraId="5779A34D" w14:textId="77777777" w:rsidR="004008ED" w:rsidRPr="005E3B43" w:rsidRDefault="004008ED" w:rsidP="004008ED">
      <w:pPr>
        <w:pStyle w:val="subsection"/>
      </w:pPr>
      <w:r w:rsidRPr="005E3B43">
        <w:tab/>
        <w:t>(2)</w:t>
      </w:r>
      <w:r w:rsidRPr="005E3B43">
        <w:tab/>
        <w:t>The Secretary may, in writing, approve a form for the purposes of paragraph (1)(c).</w:t>
      </w:r>
    </w:p>
    <w:p w14:paraId="707A9DE2" w14:textId="77777777" w:rsidR="004008ED" w:rsidRPr="005E3B43" w:rsidRDefault="004008ED" w:rsidP="004008ED">
      <w:pPr>
        <w:pStyle w:val="SubsectionHead"/>
      </w:pPr>
      <w:r w:rsidRPr="005E3B43">
        <w:t>Exemption</w:t>
      </w:r>
    </w:p>
    <w:p w14:paraId="2B07C9EF" w14:textId="1155DB31" w:rsidR="004008ED" w:rsidRPr="005E3B43" w:rsidRDefault="004008ED" w:rsidP="004008ED">
      <w:pPr>
        <w:pStyle w:val="subsection"/>
      </w:pPr>
      <w:r w:rsidRPr="005E3B43">
        <w:tab/>
        <w:t>(3)</w:t>
      </w:r>
      <w:r w:rsidRPr="005E3B43">
        <w:tab/>
        <w:t>For the purposes of subsection 34(2) of the Act, the transitional vaping manufacturer is exempt from the operation of Part 3</w:t>
      </w:r>
      <w:r w:rsidR="007C3215">
        <w:noBreakHyphen/>
      </w:r>
      <w:r w:rsidRPr="005E3B43">
        <w:t>3 of the Act in relation to the step in manufacture referred to in paragraph (1)(a) of this regulation.</w:t>
      </w:r>
    </w:p>
    <w:p w14:paraId="64DA9FC7" w14:textId="77777777" w:rsidR="004008ED" w:rsidRPr="005E3B43" w:rsidRDefault="004008ED" w:rsidP="004008ED">
      <w:pPr>
        <w:pStyle w:val="SubsectionHead"/>
      </w:pPr>
      <w:r w:rsidRPr="005E3B43">
        <w:t>When exemption ceases</w:t>
      </w:r>
    </w:p>
    <w:p w14:paraId="323079D9" w14:textId="77777777" w:rsidR="004008ED" w:rsidRPr="005E3B43" w:rsidRDefault="004008ED" w:rsidP="004008ED">
      <w:pPr>
        <w:pStyle w:val="subsection"/>
      </w:pPr>
      <w:r w:rsidRPr="005E3B43">
        <w:tab/>
        <w:t>(4)</w:t>
      </w:r>
      <w:r w:rsidRPr="005E3B43">
        <w:tab/>
        <w:t>Subregulation (3) ceases to have effect on 1 December 2024.</w:t>
      </w:r>
    </w:p>
    <w:p w14:paraId="08BF4A89" w14:textId="79291055" w:rsidR="00B4133C" w:rsidRPr="005E3B43" w:rsidRDefault="007C3215" w:rsidP="00DE2F81">
      <w:pPr>
        <w:pStyle w:val="ActHead3"/>
        <w:pageBreakBefore/>
      </w:pPr>
      <w:bookmarkStart w:id="382" w:name="_Toc187135973"/>
      <w:r>
        <w:rPr>
          <w:rStyle w:val="CharDivNo"/>
        </w:rPr>
        <w:lastRenderedPageBreak/>
        <w:t>Division 2</w:t>
      </w:r>
      <w:r w:rsidR="00B4133C" w:rsidRPr="005E3B43">
        <w:rPr>
          <w:rStyle w:val="CharDivNo"/>
        </w:rPr>
        <w:t>4</w:t>
      </w:r>
      <w:r w:rsidR="00B4133C" w:rsidRPr="005E3B43">
        <w:t>—</w:t>
      </w:r>
      <w:r w:rsidR="00B4133C" w:rsidRPr="005E3B43">
        <w:rPr>
          <w:rStyle w:val="CharDivText"/>
        </w:rPr>
        <w:t xml:space="preserve">Application provision relating to the Therapeutic Goods Amendment (2024 Measures No. 1) </w:t>
      </w:r>
      <w:r>
        <w:rPr>
          <w:rStyle w:val="CharDivText"/>
        </w:rPr>
        <w:t>Regulations 2</w:t>
      </w:r>
      <w:r w:rsidR="00B4133C" w:rsidRPr="005E3B43">
        <w:rPr>
          <w:rStyle w:val="CharDivText"/>
        </w:rPr>
        <w:t>024</w:t>
      </w:r>
      <w:bookmarkEnd w:id="382"/>
    </w:p>
    <w:p w14:paraId="2D9B0EEF" w14:textId="77777777" w:rsidR="00B4133C" w:rsidRPr="005E3B43" w:rsidRDefault="00B4133C" w:rsidP="00B4133C">
      <w:pPr>
        <w:pStyle w:val="ActHead5"/>
      </w:pPr>
      <w:bookmarkStart w:id="383" w:name="_Toc187135974"/>
      <w:r w:rsidRPr="005E3B43">
        <w:rPr>
          <w:rStyle w:val="CharSectno"/>
        </w:rPr>
        <w:t>98</w:t>
      </w:r>
      <w:r w:rsidRPr="005E3B43">
        <w:t xml:space="preserve">  Exempt goods</w:t>
      </w:r>
      <w:bookmarkEnd w:id="383"/>
    </w:p>
    <w:p w14:paraId="3098C443" w14:textId="0190E032" w:rsidR="00B4133C" w:rsidRPr="005E3B43" w:rsidRDefault="00B4133C" w:rsidP="004008ED">
      <w:pPr>
        <w:pStyle w:val="subsection"/>
      </w:pPr>
      <w:r w:rsidRPr="005E3B43">
        <w:tab/>
      </w:r>
      <w:r w:rsidRPr="005E3B43">
        <w:tab/>
        <w:t xml:space="preserve">The amendment of </w:t>
      </w:r>
      <w:r w:rsidR="007C3215">
        <w:t>item 1</w:t>
      </w:r>
      <w:r w:rsidRPr="005E3B43">
        <w:t xml:space="preserve"> of the table in Schedule 5A to these Regulations made by Schedule 1 to the </w:t>
      </w:r>
      <w:r w:rsidRPr="005E3B43">
        <w:rPr>
          <w:i/>
        </w:rPr>
        <w:t xml:space="preserve">Therapeutic Goods Amendment (2024 Measures No. 1) </w:t>
      </w:r>
      <w:r w:rsidR="007C3215">
        <w:rPr>
          <w:i/>
        </w:rPr>
        <w:t>Regulations 2</w:t>
      </w:r>
      <w:r w:rsidRPr="005E3B43">
        <w:rPr>
          <w:i/>
        </w:rPr>
        <w:t>024</w:t>
      </w:r>
      <w:r w:rsidRPr="005E3B43">
        <w:t xml:space="preserve"> applies in relation to therapeutic goods imported on or after </w:t>
      </w:r>
      <w:r w:rsidR="003774CD" w:rsidRPr="005E3B43">
        <w:t>1 March</w:t>
      </w:r>
      <w:r w:rsidRPr="005E3B43">
        <w:t xml:space="preserve"> 2024.</w:t>
      </w:r>
    </w:p>
    <w:p w14:paraId="6FAE0538" w14:textId="76A9B526" w:rsidR="008658AA" w:rsidRPr="005E3B43" w:rsidRDefault="007C3215" w:rsidP="004D1257">
      <w:pPr>
        <w:pStyle w:val="ActHead3"/>
        <w:pageBreakBefore/>
      </w:pPr>
      <w:bookmarkStart w:id="384" w:name="_Toc187135975"/>
      <w:r>
        <w:rPr>
          <w:rStyle w:val="CharDivNo"/>
        </w:rPr>
        <w:lastRenderedPageBreak/>
        <w:t>Division 2</w:t>
      </w:r>
      <w:r w:rsidR="008658AA" w:rsidRPr="005E3B43">
        <w:rPr>
          <w:rStyle w:val="CharDivNo"/>
        </w:rPr>
        <w:t>5</w:t>
      </w:r>
      <w:r w:rsidR="008658AA" w:rsidRPr="005E3B43">
        <w:t>—</w:t>
      </w:r>
      <w:r w:rsidR="008658AA" w:rsidRPr="005E3B43">
        <w:rPr>
          <w:rStyle w:val="CharDivText"/>
        </w:rPr>
        <w:t xml:space="preserve">Transitional provisions relating to the Therapeutic Goods Legislation Amendment (2024 Measures No. 2) </w:t>
      </w:r>
      <w:r>
        <w:rPr>
          <w:rStyle w:val="CharDivText"/>
        </w:rPr>
        <w:t>Regulations 2</w:t>
      </w:r>
      <w:r w:rsidR="008658AA" w:rsidRPr="005E3B43">
        <w:rPr>
          <w:rStyle w:val="CharDivText"/>
        </w:rPr>
        <w:t>024</w:t>
      </w:r>
      <w:bookmarkEnd w:id="384"/>
    </w:p>
    <w:p w14:paraId="020B2F1B" w14:textId="77777777" w:rsidR="008658AA" w:rsidRPr="005E3B43" w:rsidRDefault="008658AA" w:rsidP="008658AA">
      <w:pPr>
        <w:pStyle w:val="ActHead5"/>
      </w:pPr>
      <w:bookmarkStart w:id="385" w:name="_Toc187135976"/>
      <w:r w:rsidRPr="005E3B43">
        <w:rPr>
          <w:rStyle w:val="CharSectno"/>
        </w:rPr>
        <w:t>99</w:t>
      </w:r>
      <w:r w:rsidRPr="005E3B43">
        <w:t xml:space="preserve">  Definitions</w:t>
      </w:r>
      <w:bookmarkEnd w:id="385"/>
    </w:p>
    <w:p w14:paraId="021AD8BB" w14:textId="77777777" w:rsidR="008658AA" w:rsidRPr="005E3B43" w:rsidRDefault="008658AA" w:rsidP="008658AA">
      <w:pPr>
        <w:pStyle w:val="subsection"/>
      </w:pPr>
      <w:r w:rsidRPr="005E3B43">
        <w:tab/>
      </w:r>
      <w:r w:rsidRPr="005E3B43">
        <w:tab/>
        <w:t>In this Division:</w:t>
      </w:r>
    </w:p>
    <w:p w14:paraId="5AF94112" w14:textId="0B05AE05" w:rsidR="008658AA" w:rsidRPr="005E3B43" w:rsidRDefault="008658AA" w:rsidP="008658AA">
      <w:pPr>
        <w:pStyle w:val="Definition"/>
      </w:pPr>
      <w:r w:rsidRPr="005E3B43">
        <w:rPr>
          <w:b/>
          <w:i/>
        </w:rPr>
        <w:t>amending regulations</w:t>
      </w:r>
      <w:r w:rsidRPr="005E3B43">
        <w:t xml:space="preserve"> means the </w:t>
      </w:r>
      <w:r w:rsidRPr="005E3B43">
        <w:rPr>
          <w:i/>
        </w:rPr>
        <w:t xml:space="preserve">Therapeutic Goods Legislation Amendment (2024 Measures No. 2) </w:t>
      </w:r>
      <w:r w:rsidR="007C3215">
        <w:rPr>
          <w:i/>
        </w:rPr>
        <w:t>Regulations 2</w:t>
      </w:r>
      <w:r w:rsidRPr="005E3B43">
        <w:rPr>
          <w:i/>
        </w:rPr>
        <w:t>024</w:t>
      </w:r>
      <w:r w:rsidRPr="005E3B43">
        <w:t>.</w:t>
      </w:r>
    </w:p>
    <w:p w14:paraId="274236CA" w14:textId="77777777" w:rsidR="008658AA" w:rsidRPr="005E3B43" w:rsidRDefault="008658AA" w:rsidP="008658AA">
      <w:pPr>
        <w:pStyle w:val="ActHead5"/>
      </w:pPr>
      <w:bookmarkStart w:id="386" w:name="_Toc187135977"/>
      <w:r w:rsidRPr="005E3B43">
        <w:rPr>
          <w:rStyle w:val="CharSectno"/>
        </w:rPr>
        <w:t>100</w:t>
      </w:r>
      <w:r w:rsidRPr="005E3B43">
        <w:t xml:space="preserve">  Fee waivers in relation to the Medicines Repurposing Program</w:t>
      </w:r>
      <w:bookmarkEnd w:id="386"/>
    </w:p>
    <w:p w14:paraId="323C9AC2" w14:textId="77777777" w:rsidR="008658AA" w:rsidRPr="005E3B43" w:rsidRDefault="008658AA" w:rsidP="008658AA">
      <w:pPr>
        <w:pStyle w:val="subsection"/>
      </w:pPr>
      <w:r w:rsidRPr="005E3B43">
        <w:tab/>
      </w:r>
      <w:r w:rsidRPr="005E3B43">
        <w:tab/>
        <w:t>Subregulation 45(4AB) of these Regulations, as inserted by Part 1 of Schedule 1 to the amending regulations, applies in relation to an application made on or after the commencement of that Schedule.</w:t>
      </w:r>
    </w:p>
    <w:p w14:paraId="5A09C0DE" w14:textId="77777777" w:rsidR="008658AA" w:rsidRPr="005E3B43" w:rsidRDefault="008658AA" w:rsidP="008658AA">
      <w:pPr>
        <w:pStyle w:val="ActHead5"/>
      </w:pPr>
      <w:bookmarkStart w:id="387" w:name="_Toc187135978"/>
      <w:r w:rsidRPr="005E3B43">
        <w:rPr>
          <w:rStyle w:val="CharSectno"/>
        </w:rPr>
        <w:t>101</w:t>
      </w:r>
      <w:r w:rsidRPr="005E3B43">
        <w:t xml:space="preserve">  Examination, testing and analysis of goods</w:t>
      </w:r>
      <w:bookmarkEnd w:id="387"/>
    </w:p>
    <w:p w14:paraId="4338EDEC" w14:textId="77777777" w:rsidR="008658AA" w:rsidRPr="005E3B43" w:rsidRDefault="008658AA" w:rsidP="008658AA">
      <w:pPr>
        <w:pStyle w:val="subsection"/>
      </w:pPr>
      <w:r w:rsidRPr="005E3B43">
        <w:tab/>
      </w:r>
      <w:r w:rsidRPr="005E3B43">
        <w:tab/>
        <w:t>The amendments of regulation 23 of these Regulations made by Part 4 of Schedule 1 to the amending regulations apply in relation to samples taken or delivered on or after the commencement of that Schedule.</w:t>
      </w:r>
    </w:p>
    <w:p w14:paraId="7A0C5870" w14:textId="77777777" w:rsidR="008658AA" w:rsidRPr="005E3B43" w:rsidRDefault="008658AA" w:rsidP="008658AA">
      <w:pPr>
        <w:pStyle w:val="ActHead5"/>
      </w:pPr>
      <w:bookmarkStart w:id="388" w:name="_Toc187135979"/>
      <w:r w:rsidRPr="005E3B43">
        <w:rPr>
          <w:rStyle w:val="CharSectno"/>
        </w:rPr>
        <w:t>102</w:t>
      </w:r>
      <w:r w:rsidRPr="005E3B43">
        <w:t xml:space="preserve">  Identity cards</w:t>
      </w:r>
      <w:bookmarkEnd w:id="388"/>
    </w:p>
    <w:p w14:paraId="46A9BB7F" w14:textId="77777777" w:rsidR="008658AA" w:rsidRPr="005E3B43" w:rsidRDefault="008658AA" w:rsidP="008658AA">
      <w:pPr>
        <w:pStyle w:val="subsection"/>
      </w:pPr>
      <w:r w:rsidRPr="005E3B43">
        <w:tab/>
      </w:r>
      <w:r w:rsidRPr="005E3B43">
        <w:tab/>
        <w:t>An identity card that had been issued to an authorised officer under regulation 33 of these Regulations before the commencement of Schedule 1 to the amending regulations, and that was in the possession of the authorised officer immediately before that commencement, is taken after that commencement to have been issued to the authorised officer under regulation 46AA of these Regulations.</w:t>
      </w:r>
    </w:p>
    <w:p w14:paraId="788AC5E2" w14:textId="77777777" w:rsidR="007D09BB" w:rsidRPr="005E3B43" w:rsidRDefault="007D09BB" w:rsidP="007D09BB">
      <w:pPr>
        <w:pStyle w:val="ActHead5"/>
      </w:pPr>
      <w:bookmarkStart w:id="389" w:name="_Toc187135980"/>
      <w:r w:rsidRPr="005E3B43">
        <w:rPr>
          <w:rStyle w:val="CharSectno"/>
        </w:rPr>
        <w:t>103</w:t>
      </w:r>
      <w:r w:rsidRPr="005E3B43">
        <w:t xml:space="preserve">  Sunscreen preparations</w:t>
      </w:r>
      <w:bookmarkEnd w:id="389"/>
    </w:p>
    <w:p w14:paraId="7ED66BA1" w14:textId="77777777" w:rsidR="007D09BB" w:rsidRPr="005E3B43" w:rsidRDefault="007D09BB" w:rsidP="007D09BB">
      <w:pPr>
        <w:pStyle w:val="subsection"/>
      </w:pPr>
      <w:r w:rsidRPr="005E3B43">
        <w:tab/>
        <w:t>(1)</w:t>
      </w:r>
      <w:r w:rsidRPr="005E3B43">
        <w:tab/>
        <w:t xml:space="preserve">Subject to subregulations (2) and (3) of this regulation, the amendments of these Regulations made by Part 1 of Schedule 2 to the </w:t>
      </w:r>
      <w:r w:rsidRPr="005E3B43">
        <w:rPr>
          <w:lang w:eastAsia="en-US"/>
        </w:rPr>
        <w:t>amending regulations</w:t>
      </w:r>
      <w:r w:rsidRPr="005E3B43">
        <w:rPr>
          <w:i/>
        </w:rPr>
        <w:t xml:space="preserve"> </w:t>
      </w:r>
      <w:r w:rsidRPr="005E3B43">
        <w:t xml:space="preserve">apply to sunscreen preparations from </w:t>
      </w:r>
      <w:r w:rsidR="006B5D8E" w:rsidRPr="005E3B43">
        <w:t>1 July</w:t>
      </w:r>
      <w:r w:rsidRPr="005E3B43">
        <w:t xml:space="preserve"> 2024.</w:t>
      </w:r>
    </w:p>
    <w:p w14:paraId="02EBFB80" w14:textId="77777777" w:rsidR="007D09BB" w:rsidRPr="005E3B43" w:rsidRDefault="007D09BB" w:rsidP="007D09BB">
      <w:pPr>
        <w:pStyle w:val="SubsectionHead"/>
      </w:pPr>
      <w:r w:rsidRPr="005E3B43">
        <w:t xml:space="preserve">Transitional testing requirements for preparations listed before </w:t>
      </w:r>
      <w:r w:rsidR="006B5D8E" w:rsidRPr="005E3B43">
        <w:t>1 July</w:t>
      </w:r>
      <w:r w:rsidRPr="005E3B43">
        <w:t xml:space="preserve"> 2024</w:t>
      </w:r>
    </w:p>
    <w:p w14:paraId="321C024A" w14:textId="77777777" w:rsidR="007D09BB" w:rsidRPr="005E3B43" w:rsidRDefault="007D09BB" w:rsidP="007D09BB">
      <w:pPr>
        <w:pStyle w:val="subsection"/>
      </w:pPr>
      <w:r w:rsidRPr="005E3B43">
        <w:tab/>
        <w:t>(2)</w:t>
      </w:r>
      <w:r w:rsidRPr="005E3B43">
        <w:tab/>
        <w:t xml:space="preserve">If a sunscreen preparation was listed goods immediately before </w:t>
      </w:r>
      <w:r w:rsidR="006B5D8E" w:rsidRPr="005E3B43">
        <w:t>1 July</w:t>
      </w:r>
      <w:r w:rsidRPr="005E3B43">
        <w:t xml:space="preserve"> 2024, paragraph (a) of the column headed “Therapeutic goods” in item 7 of the table in Schedule 4 to these Regulations applies in relation to the sunscreen preparation during the period beginning on </w:t>
      </w:r>
      <w:r w:rsidR="006B5D8E" w:rsidRPr="005E3B43">
        <w:t>1 July</w:t>
      </w:r>
      <w:r w:rsidRPr="005E3B43">
        <w:t xml:space="preserve"> 2024 and ending on 30 June 2029 as if the amendments had not been made.</w:t>
      </w:r>
    </w:p>
    <w:p w14:paraId="7790B1D7" w14:textId="77777777" w:rsidR="007D09BB" w:rsidRPr="005E3B43" w:rsidRDefault="007D09BB" w:rsidP="007D09BB">
      <w:pPr>
        <w:pStyle w:val="SubsectionHead"/>
      </w:pPr>
      <w:r w:rsidRPr="005E3B43">
        <w:t xml:space="preserve">Transitional labelling requirements for preparations listed before </w:t>
      </w:r>
      <w:r w:rsidR="006B5D8E" w:rsidRPr="005E3B43">
        <w:t>1 July</w:t>
      </w:r>
      <w:r w:rsidRPr="005E3B43">
        <w:t xml:space="preserve"> 2024</w:t>
      </w:r>
    </w:p>
    <w:p w14:paraId="0503779A" w14:textId="77777777" w:rsidR="007D09BB" w:rsidRPr="005E3B43" w:rsidRDefault="007D09BB" w:rsidP="007D09BB">
      <w:pPr>
        <w:pStyle w:val="subsection"/>
      </w:pPr>
      <w:r w:rsidRPr="005E3B43">
        <w:tab/>
        <w:t>(3)</w:t>
      </w:r>
      <w:r w:rsidRPr="005E3B43">
        <w:tab/>
        <w:t xml:space="preserve">If a sunscreen preparation that is supplied as an aerosol or in a spray pump pack was listed goods immediately before </w:t>
      </w:r>
      <w:r w:rsidR="006B5D8E" w:rsidRPr="005E3B43">
        <w:t>1 July</w:t>
      </w:r>
      <w:r w:rsidRPr="005E3B43">
        <w:t xml:space="preserve"> 2024, paragraph (b) of the column </w:t>
      </w:r>
      <w:r w:rsidRPr="005E3B43">
        <w:lastRenderedPageBreak/>
        <w:t xml:space="preserve">headed “Therapeutic goods” in item 7 of the table in Schedule 4 to these Regulations applies in relation to the sunscreen preparation during the period beginning on </w:t>
      </w:r>
      <w:r w:rsidR="006B5D8E" w:rsidRPr="005E3B43">
        <w:t>1 July</w:t>
      </w:r>
      <w:r w:rsidRPr="005E3B43">
        <w:t xml:space="preserve"> 2024 and ending on 30 June 2025 as if the amendments had not been made.</w:t>
      </w:r>
    </w:p>
    <w:p w14:paraId="710FF109" w14:textId="45D46BD8" w:rsidR="00405F83" w:rsidRPr="005E3B43" w:rsidRDefault="007C3215" w:rsidP="00F02696">
      <w:pPr>
        <w:pStyle w:val="ActHead3"/>
        <w:pageBreakBefore/>
      </w:pPr>
      <w:bookmarkStart w:id="390" w:name="_Toc187135981"/>
      <w:r>
        <w:rPr>
          <w:rStyle w:val="CharDivNo"/>
        </w:rPr>
        <w:lastRenderedPageBreak/>
        <w:t>Division 2</w:t>
      </w:r>
      <w:r w:rsidR="00405F83" w:rsidRPr="005E3B43">
        <w:rPr>
          <w:rStyle w:val="CharDivNo"/>
        </w:rPr>
        <w:t>6</w:t>
      </w:r>
      <w:r w:rsidR="00405F83" w:rsidRPr="005E3B43">
        <w:t>—</w:t>
      </w:r>
      <w:r w:rsidR="00405F83" w:rsidRPr="005E3B43">
        <w:rPr>
          <w:rStyle w:val="CharDivText"/>
        </w:rPr>
        <w:t xml:space="preserve">Application and transitional provisions relating to the Therapeutic Goods Legislation Amendment (Vaping Reforms) </w:t>
      </w:r>
      <w:r>
        <w:rPr>
          <w:rStyle w:val="CharDivText"/>
        </w:rPr>
        <w:t>Regulations 2</w:t>
      </w:r>
      <w:r w:rsidR="00405F83" w:rsidRPr="005E3B43">
        <w:rPr>
          <w:rStyle w:val="CharDivText"/>
        </w:rPr>
        <w:t>024</w:t>
      </w:r>
      <w:bookmarkEnd w:id="390"/>
    </w:p>
    <w:p w14:paraId="0B9ED8EA" w14:textId="77777777" w:rsidR="00405F83" w:rsidRPr="005E3B43" w:rsidRDefault="00405F83" w:rsidP="00405F83">
      <w:pPr>
        <w:pStyle w:val="ActHead5"/>
      </w:pPr>
      <w:bookmarkStart w:id="391" w:name="_Toc187135982"/>
      <w:r w:rsidRPr="005E3B43">
        <w:rPr>
          <w:rStyle w:val="CharSectno"/>
        </w:rPr>
        <w:t>104</w:t>
      </w:r>
      <w:r w:rsidRPr="005E3B43">
        <w:t xml:space="preserve">  Definitions</w:t>
      </w:r>
      <w:bookmarkEnd w:id="391"/>
    </w:p>
    <w:p w14:paraId="67F4392F" w14:textId="77777777" w:rsidR="00405F83" w:rsidRPr="005E3B43" w:rsidRDefault="00405F83" w:rsidP="00405F83">
      <w:pPr>
        <w:pStyle w:val="subsection"/>
      </w:pPr>
      <w:r w:rsidRPr="005E3B43">
        <w:tab/>
      </w:r>
      <w:r w:rsidRPr="005E3B43">
        <w:tab/>
        <w:t>In this Division:</w:t>
      </w:r>
    </w:p>
    <w:p w14:paraId="1F42B869" w14:textId="6020E1B1" w:rsidR="00405F83" w:rsidRPr="005E3B43" w:rsidRDefault="00405F83" w:rsidP="00405F83">
      <w:pPr>
        <w:pStyle w:val="Definition"/>
      </w:pPr>
      <w:r w:rsidRPr="005E3B43">
        <w:rPr>
          <w:b/>
          <w:i/>
        </w:rPr>
        <w:t>amending regulations</w:t>
      </w:r>
      <w:r w:rsidRPr="005E3B43">
        <w:t xml:space="preserve"> means the </w:t>
      </w:r>
      <w:r w:rsidRPr="005E3B43">
        <w:rPr>
          <w:i/>
        </w:rPr>
        <w:t xml:space="preserve">Therapeutic Goods Legislation Amendment (Vaping Reforms) </w:t>
      </w:r>
      <w:r w:rsidR="007C3215">
        <w:rPr>
          <w:i/>
        </w:rPr>
        <w:t>Regulations 2</w:t>
      </w:r>
      <w:r w:rsidRPr="005E3B43">
        <w:rPr>
          <w:i/>
        </w:rPr>
        <w:t>024</w:t>
      </w:r>
      <w:r w:rsidRPr="005E3B43">
        <w:t>.</w:t>
      </w:r>
    </w:p>
    <w:p w14:paraId="5DA9630B" w14:textId="77777777" w:rsidR="00405F83" w:rsidRPr="005E3B43" w:rsidRDefault="00405F83" w:rsidP="00405F83">
      <w:pPr>
        <w:pStyle w:val="ActHead5"/>
      </w:pPr>
      <w:bookmarkStart w:id="392" w:name="_Toc187135983"/>
      <w:r w:rsidRPr="005E3B43">
        <w:rPr>
          <w:rStyle w:val="CharSectno"/>
        </w:rPr>
        <w:t>105</w:t>
      </w:r>
      <w:r w:rsidRPr="005E3B43">
        <w:t xml:space="preserve">  Authorities for therapeutic vaping substances that are not medicines</w:t>
      </w:r>
      <w:bookmarkEnd w:id="392"/>
    </w:p>
    <w:p w14:paraId="4649811A" w14:textId="0E6694B4" w:rsidR="00405F83" w:rsidRPr="005E3B43" w:rsidRDefault="00405F83" w:rsidP="00405F83">
      <w:pPr>
        <w:pStyle w:val="subsection"/>
      </w:pPr>
      <w:r w:rsidRPr="005E3B43">
        <w:tab/>
      </w:r>
      <w:r w:rsidRPr="005E3B43">
        <w:tab/>
        <w:t>Regulation 12BA, as inserted by Schedule 1 to the amending regulations, applies in relation to an authority given under sub</w:t>
      </w:r>
      <w:r w:rsidR="007C3215">
        <w:t>section 1</w:t>
      </w:r>
      <w:r w:rsidRPr="005E3B43">
        <w:t>9(5) of the Act on or after the commencement of that Schedule.</w:t>
      </w:r>
    </w:p>
    <w:p w14:paraId="0CEA8FB3" w14:textId="77777777" w:rsidR="00405F83" w:rsidRPr="005E3B43" w:rsidRDefault="00405F83" w:rsidP="00405F83">
      <w:pPr>
        <w:pStyle w:val="ActHead5"/>
      </w:pPr>
      <w:bookmarkStart w:id="393" w:name="_Toc187135984"/>
      <w:r w:rsidRPr="005E3B43">
        <w:rPr>
          <w:rStyle w:val="CharSectno"/>
        </w:rPr>
        <w:t>106</w:t>
      </w:r>
      <w:r w:rsidRPr="005E3B43">
        <w:t xml:space="preserve">  Therapeutic vaping packs</w:t>
      </w:r>
      <w:bookmarkEnd w:id="393"/>
    </w:p>
    <w:p w14:paraId="1D9783EC" w14:textId="40291A87" w:rsidR="00405F83" w:rsidRPr="005E3B43" w:rsidRDefault="00405F83" w:rsidP="00405F83">
      <w:pPr>
        <w:pStyle w:val="subsection"/>
      </w:pPr>
      <w:r w:rsidRPr="005E3B43">
        <w:tab/>
      </w:r>
      <w:r w:rsidRPr="005E3B43">
        <w:tab/>
        <w:t xml:space="preserve">The </w:t>
      </w:r>
      <w:bookmarkStart w:id="394" w:name="_Hlk169526765"/>
      <w:r w:rsidRPr="005E3B43">
        <w:t xml:space="preserve">amendment made by </w:t>
      </w:r>
      <w:r w:rsidR="007C3215">
        <w:t>item 1</w:t>
      </w:r>
      <w:r w:rsidRPr="005E3B43">
        <w:t>7 of Schedule 1 to the amending regulations applies in relation to therapeutic goods imported or manufactured on or after 1 October 2024.</w:t>
      </w:r>
    </w:p>
    <w:p w14:paraId="58ACA98F" w14:textId="77777777" w:rsidR="00405F83" w:rsidRPr="005E3B43" w:rsidRDefault="00405F83" w:rsidP="00405F83">
      <w:pPr>
        <w:pStyle w:val="ActHead5"/>
      </w:pPr>
      <w:bookmarkStart w:id="395" w:name="_Toc187135985"/>
      <w:bookmarkEnd w:id="394"/>
      <w:r w:rsidRPr="005E3B43">
        <w:rPr>
          <w:rStyle w:val="CharSectno"/>
        </w:rPr>
        <w:t>107</w:t>
      </w:r>
      <w:r w:rsidRPr="005E3B43">
        <w:t xml:space="preserve">  Exempt goods</w:t>
      </w:r>
      <w:bookmarkEnd w:id="395"/>
    </w:p>
    <w:p w14:paraId="72F1AEF5" w14:textId="77777777" w:rsidR="00405F83" w:rsidRPr="005E3B43" w:rsidRDefault="00405F83" w:rsidP="00405F83">
      <w:pPr>
        <w:pStyle w:val="subsection"/>
      </w:pPr>
      <w:r w:rsidRPr="005E3B43">
        <w:tab/>
        <w:t>(1)</w:t>
      </w:r>
      <w:r w:rsidRPr="005E3B43">
        <w:tab/>
        <w:t xml:space="preserve">The amendment made by </w:t>
      </w:r>
      <w:r w:rsidR="006B5D8E" w:rsidRPr="005E3B43">
        <w:t>item 2</w:t>
      </w:r>
      <w:r w:rsidRPr="005E3B43">
        <w:t>7 of Schedule 1 to the amending regulations applies in relation to therapeutic goods imported or manufactured before, on or after the commencement of that Schedule.</w:t>
      </w:r>
    </w:p>
    <w:p w14:paraId="3CD1EF4E" w14:textId="4EE24E78" w:rsidR="00405F83" w:rsidRPr="005E3B43" w:rsidRDefault="00405F83" w:rsidP="00405F83">
      <w:pPr>
        <w:pStyle w:val="subsection"/>
      </w:pPr>
      <w:r w:rsidRPr="005E3B43">
        <w:tab/>
        <w:t>(2)</w:t>
      </w:r>
      <w:r w:rsidRPr="005E3B43">
        <w:tab/>
        <w:t xml:space="preserve">The amendments made by </w:t>
      </w:r>
      <w:r w:rsidR="007C3215">
        <w:t>items 2</w:t>
      </w:r>
      <w:r w:rsidRPr="005E3B43">
        <w:t>6 and 28 to 30 of Schedule 1 to the amending regulations apply in relation to therapeutic goods imported or manufactured on or after the commencement of that Schedule.</w:t>
      </w:r>
    </w:p>
    <w:p w14:paraId="5CD65861" w14:textId="77777777" w:rsidR="00405F83" w:rsidRPr="005E3B43" w:rsidRDefault="00405F83" w:rsidP="00405F83">
      <w:pPr>
        <w:pStyle w:val="subsection"/>
      </w:pPr>
      <w:r w:rsidRPr="005E3B43">
        <w:tab/>
        <w:t>(3)</w:t>
      </w:r>
      <w:r w:rsidRPr="005E3B43">
        <w:tab/>
        <w:t xml:space="preserve">The amendment made by </w:t>
      </w:r>
      <w:r w:rsidR="006B5D8E" w:rsidRPr="005E3B43">
        <w:t>item 3</w:t>
      </w:r>
      <w:r w:rsidRPr="005E3B43">
        <w:t>1 of Schedule 1 to the amending regulations applies in relation to therapeutic goods imported on or after the commencement of that Schedule.</w:t>
      </w:r>
    </w:p>
    <w:p w14:paraId="2609614C" w14:textId="4FAC00DE" w:rsidR="00405F83" w:rsidRPr="005E3B43" w:rsidRDefault="00405F83" w:rsidP="00405F83">
      <w:pPr>
        <w:pStyle w:val="ActHead5"/>
      </w:pPr>
      <w:bookmarkStart w:id="396" w:name="_Toc187135986"/>
      <w:r w:rsidRPr="005E3B43">
        <w:rPr>
          <w:rStyle w:val="CharSectno"/>
        </w:rPr>
        <w:t>108</w:t>
      </w:r>
      <w:r w:rsidRPr="005E3B43">
        <w:t xml:space="preserve">  Transitional vaping goods—exemption from Part 3</w:t>
      </w:r>
      <w:r w:rsidR="007C3215">
        <w:noBreakHyphen/>
      </w:r>
      <w:r w:rsidRPr="005E3B43">
        <w:t>2 of the Act</w:t>
      </w:r>
      <w:bookmarkEnd w:id="396"/>
    </w:p>
    <w:p w14:paraId="50E67534" w14:textId="77777777" w:rsidR="00405F83" w:rsidRPr="005E3B43" w:rsidRDefault="00405F83" w:rsidP="00405F83">
      <w:pPr>
        <w:pStyle w:val="subsection"/>
      </w:pPr>
      <w:r w:rsidRPr="005E3B43">
        <w:tab/>
        <w:t>(1)</w:t>
      </w:r>
      <w:r w:rsidRPr="005E3B43">
        <w:tab/>
        <w:t xml:space="preserve">For the purposes of this regulation, therapeutic goods that are exported from Australia are </w:t>
      </w:r>
      <w:r w:rsidRPr="005E3B43">
        <w:rPr>
          <w:b/>
          <w:i/>
        </w:rPr>
        <w:t>transitional vaping goods</w:t>
      </w:r>
      <w:r w:rsidRPr="005E3B43">
        <w:t xml:space="preserve"> if:</w:t>
      </w:r>
    </w:p>
    <w:p w14:paraId="342B2881" w14:textId="77777777" w:rsidR="00405F83" w:rsidRPr="005E3B43" w:rsidRDefault="00405F83" w:rsidP="00405F83">
      <w:pPr>
        <w:pStyle w:val="paragraph"/>
      </w:pPr>
      <w:r w:rsidRPr="005E3B43">
        <w:tab/>
        <w:t>(a)</w:t>
      </w:r>
      <w:r w:rsidRPr="005E3B43">
        <w:tab/>
        <w:t>the goods are therapeutic vaping goods; and</w:t>
      </w:r>
    </w:p>
    <w:p w14:paraId="76BDA3D1" w14:textId="77777777" w:rsidR="00405F83" w:rsidRPr="005E3B43" w:rsidRDefault="00405F83" w:rsidP="00405F83">
      <w:pPr>
        <w:pStyle w:val="paragraph"/>
      </w:pPr>
      <w:r w:rsidRPr="005E3B43">
        <w:tab/>
        <w:t>(b)</w:t>
      </w:r>
      <w:r w:rsidRPr="005E3B43">
        <w:tab/>
        <w:t>the goods were imported into, or manufactured in, Australia before the commencement of Schedule 1 to the amending regulations; and</w:t>
      </w:r>
    </w:p>
    <w:p w14:paraId="644289A7" w14:textId="77777777" w:rsidR="00405F83" w:rsidRPr="005E3B43" w:rsidRDefault="00405F83" w:rsidP="00405F83">
      <w:pPr>
        <w:pStyle w:val="paragraph"/>
      </w:pPr>
      <w:r w:rsidRPr="005E3B43">
        <w:tab/>
        <w:t>(c)</w:t>
      </w:r>
      <w:r w:rsidRPr="005E3B43">
        <w:tab/>
        <w:t>as at that commencement, the importation or manufacture, or any supply, of the goods was done in accordance with any applicable laws of the Commonwealth or of a State or Territory.</w:t>
      </w:r>
    </w:p>
    <w:p w14:paraId="67A7A7E7" w14:textId="77777777" w:rsidR="00405F83" w:rsidRPr="005E3B43" w:rsidRDefault="00405F83" w:rsidP="00405F83">
      <w:pPr>
        <w:pStyle w:val="SubsectionHead"/>
      </w:pPr>
      <w:r w:rsidRPr="005E3B43">
        <w:lastRenderedPageBreak/>
        <w:t>Exemption</w:t>
      </w:r>
    </w:p>
    <w:p w14:paraId="25E139C3" w14:textId="52C83C7E" w:rsidR="00405F83" w:rsidRPr="005E3B43" w:rsidRDefault="00405F83" w:rsidP="00405F83">
      <w:pPr>
        <w:pStyle w:val="subsection"/>
      </w:pPr>
      <w:r w:rsidRPr="005E3B43">
        <w:tab/>
        <w:t>(2)</w:t>
      </w:r>
      <w:r w:rsidRPr="005E3B43">
        <w:tab/>
        <w:t>For the purposes of sub</w:t>
      </w:r>
      <w:r w:rsidR="007C3215">
        <w:t>section 1</w:t>
      </w:r>
      <w:r w:rsidRPr="005E3B43">
        <w:t>8(1) of the Act, transitional vaping goods are exempt from the operation of Part 3</w:t>
      </w:r>
      <w:r w:rsidR="007C3215">
        <w:noBreakHyphen/>
      </w:r>
      <w:r w:rsidRPr="005E3B43">
        <w:t>2 of the Act (except sections 30EA, 31A and 31C to 31F).</w:t>
      </w:r>
    </w:p>
    <w:p w14:paraId="4C71B672" w14:textId="77777777" w:rsidR="00405F83" w:rsidRPr="005E3B43" w:rsidRDefault="00405F83" w:rsidP="00405F83">
      <w:pPr>
        <w:pStyle w:val="SubsectionHead"/>
      </w:pPr>
      <w:r w:rsidRPr="005E3B43">
        <w:t>When exemption ceases</w:t>
      </w:r>
    </w:p>
    <w:p w14:paraId="047451C5" w14:textId="61F2DD15" w:rsidR="00BA172E" w:rsidRPr="005E3B43" w:rsidRDefault="00405F83" w:rsidP="00BA172E">
      <w:pPr>
        <w:pStyle w:val="subsection"/>
      </w:pPr>
      <w:r w:rsidRPr="005E3B43">
        <w:tab/>
        <w:t>(3)</w:t>
      </w:r>
      <w:r w:rsidRPr="005E3B43">
        <w:tab/>
        <w:t xml:space="preserve">Subregulation (2) ceases to have effect at the end of the period of 6 months starting on the day Parts 1 to 3 of Schedule 1 to the </w:t>
      </w:r>
      <w:r w:rsidRPr="005E3B43">
        <w:rPr>
          <w:i/>
        </w:rPr>
        <w:t>Therapeutic Goods and Other Legislation Amendment (Vaping Reforms) Act 2024</w:t>
      </w:r>
      <w:r w:rsidRPr="005E3B43">
        <w:t xml:space="preserve"> commence.</w:t>
      </w:r>
    </w:p>
    <w:p w14:paraId="745831FA" w14:textId="68B1ADE2" w:rsidR="00BA172E" w:rsidRPr="00E95706" w:rsidRDefault="007C3215" w:rsidP="002D450C">
      <w:pPr>
        <w:pStyle w:val="ActHead3"/>
        <w:pageBreakBefore/>
        <w:rPr>
          <w:i/>
        </w:rPr>
      </w:pPr>
      <w:bookmarkStart w:id="397" w:name="_Toc187135987"/>
      <w:r>
        <w:rPr>
          <w:rStyle w:val="CharDivNo"/>
        </w:rPr>
        <w:lastRenderedPageBreak/>
        <w:t>Division 2</w:t>
      </w:r>
      <w:r w:rsidR="00BA172E" w:rsidRPr="00E95706">
        <w:rPr>
          <w:rStyle w:val="CharDivNo"/>
        </w:rPr>
        <w:t>7</w:t>
      </w:r>
      <w:r w:rsidR="00BA172E" w:rsidRPr="00E95706">
        <w:t>—</w:t>
      </w:r>
      <w:r w:rsidR="00BA172E" w:rsidRPr="00E95706">
        <w:rPr>
          <w:rStyle w:val="CharDivText"/>
        </w:rPr>
        <w:t xml:space="preserve">Application, transitional and saving provisions relating to the Therapeutic Goods Legislation Amendment (2024 Measures No. 3) </w:t>
      </w:r>
      <w:r>
        <w:rPr>
          <w:rStyle w:val="CharDivText"/>
        </w:rPr>
        <w:t>Regulations 2</w:t>
      </w:r>
      <w:r w:rsidR="00BA172E" w:rsidRPr="00E95706">
        <w:rPr>
          <w:rStyle w:val="CharDivText"/>
        </w:rPr>
        <w:t>024</w:t>
      </w:r>
      <w:bookmarkEnd w:id="397"/>
    </w:p>
    <w:p w14:paraId="76822FDD" w14:textId="77777777" w:rsidR="00BA172E" w:rsidRPr="00E95706" w:rsidRDefault="00BA172E" w:rsidP="00BA172E">
      <w:pPr>
        <w:pStyle w:val="ActHead5"/>
      </w:pPr>
      <w:bookmarkStart w:id="398" w:name="_Toc187135988"/>
      <w:r w:rsidRPr="00E95706">
        <w:rPr>
          <w:rStyle w:val="CharSectno"/>
        </w:rPr>
        <w:t>109</w:t>
      </w:r>
      <w:r w:rsidRPr="00E95706">
        <w:t xml:space="preserve">  Definitions</w:t>
      </w:r>
      <w:bookmarkEnd w:id="398"/>
    </w:p>
    <w:p w14:paraId="7B732EC9" w14:textId="77777777" w:rsidR="00BA172E" w:rsidRPr="00E95706" w:rsidRDefault="00BA172E" w:rsidP="00BA172E">
      <w:pPr>
        <w:pStyle w:val="subsection"/>
      </w:pPr>
      <w:r w:rsidRPr="00E95706">
        <w:tab/>
      </w:r>
      <w:r w:rsidRPr="00E95706">
        <w:tab/>
        <w:t>In this Division:</w:t>
      </w:r>
    </w:p>
    <w:p w14:paraId="0CD6DED1" w14:textId="28B4386F" w:rsidR="00BA172E" w:rsidRPr="00E95706" w:rsidRDefault="00BA172E" w:rsidP="00BA172E">
      <w:pPr>
        <w:pStyle w:val="Definition"/>
      </w:pPr>
      <w:r w:rsidRPr="00E95706">
        <w:rPr>
          <w:b/>
          <w:i/>
        </w:rPr>
        <w:t>amending regulations</w:t>
      </w:r>
      <w:r w:rsidRPr="00E95706">
        <w:t xml:space="preserve"> means the </w:t>
      </w:r>
      <w:r w:rsidRPr="00E95706">
        <w:rPr>
          <w:i/>
        </w:rPr>
        <w:t xml:space="preserve">Therapeutic Goods Legislation Amendment (2024 Measures No. 3) </w:t>
      </w:r>
      <w:r w:rsidR="007C3215">
        <w:rPr>
          <w:i/>
        </w:rPr>
        <w:t>Regulations 2</w:t>
      </w:r>
      <w:r w:rsidRPr="00E95706">
        <w:rPr>
          <w:i/>
        </w:rPr>
        <w:t>024</w:t>
      </w:r>
      <w:r w:rsidRPr="00E95706">
        <w:t>.</w:t>
      </w:r>
    </w:p>
    <w:p w14:paraId="2A2EACE7" w14:textId="77777777" w:rsidR="00BA172E" w:rsidRPr="00E95706" w:rsidRDefault="00BA172E" w:rsidP="00BA172E">
      <w:pPr>
        <w:pStyle w:val="Definition"/>
      </w:pPr>
      <w:r w:rsidRPr="00E95706">
        <w:rPr>
          <w:b/>
          <w:i/>
        </w:rPr>
        <w:t>commencement day</w:t>
      </w:r>
      <w:r w:rsidRPr="00E95706">
        <w:t xml:space="preserve"> means the day this Division commences.</w:t>
      </w:r>
    </w:p>
    <w:p w14:paraId="5BABDD80" w14:textId="77777777" w:rsidR="00BA172E" w:rsidRPr="00E95706" w:rsidRDefault="00BA172E" w:rsidP="00BA172E">
      <w:pPr>
        <w:pStyle w:val="ActHead5"/>
        <w:rPr>
          <w:i/>
        </w:rPr>
      </w:pPr>
      <w:bookmarkStart w:id="399" w:name="_Toc187135989"/>
      <w:r w:rsidRPr="00E95706">
        <w:rPr>
          <w:rStyle w:val="CharSectno"/>
        </w:rPr>
        <w:t>110</w:t>
      </w:r>
      <w:r w:rsidRPr="00E95706">
        <w:t xml:space="preserve">  Exempt therapeutic goods</w:t>
      </w:r>
      <w:bookmarkEnd w:id="399"/>
    </w:p>
    <w:p w14:paraId="6B5D718E" w14:textId="7F41A27C" w:rsidR="00BA172E" w:rsidRPr="00E95706" w:rsidRDefault="00BA172E" w:rsidP="00BA172E">
      <w:pPr>
        <w:pStyle w:val="subsection"/>
      </w:pPr>
      <w:r w:rsidRPr="00E95706">
        <w:tab/>
        <w:t>(1)</w:t>
      </w:r>
      <w:r w:rsidRPr="00E95706">
        <w:tab/>
        <w:t xml:space="preserve">Subject to this regulation, the amendments of paragraph 48(1AB)(c), and </w:t>
      </w:r>
      <w:r w:rsidR="007C3215">
        <w:t>item 1</w:t>
      </w:r>
      <w:r w:rsidRPr="00E95706">
        <w:t>5 of the table in Schedule 5A, made by Part 1 of Schedule 1 to the amending regulations, apply in relation to therapeutic goods that are:</w:t>
      </w:r>
    </w:p>
    <w:p w14:paraId="7ADA50AA" w14:textId="77777777" w:rsidR="00BA172E" w:rsidRPr="00E95706" w:rsidRDefault="00BA172E" w:rsidP="00BA172E">
      <w:pPr>
        <w:pStyle w:val="paragraph"/>
      </w:pPr>
      <w:r w:rsidRPr="00E95706">
        <w:tab/>
        <w:t>(a)</w:t>
      </w:r>
      <w:r w:rsidRPr="00E95706">
        <w:tab/>
        <w:t>imported or manufactured on or after the commencement day; or</w:t>
      </w:r>
    </w:p>
    <w:p w14:paraId="2455822B" w14:textId="77777777" w:rsidR="00BA172E" w:rsidRPr="00E95706" w:rsidRDefault="00BA172E" w:rsidP="00BA172E">
      <w:pPr>
        <w:pStyle w:val="paragraph"/>
      </w:pPr>
      <w:r w:rsidRPr="00E95706">
        <w:tab/>
        <w:t>(b)</w:t>
      </w:r>
      <w:r w:rsidRPr="00E95706">
        <w:tab/>
        <w:t>for therapeutic goods owned by, or in the possession or control of, the sponsor immediately before the commencement day—supplied on or after the commencement day.</w:t>
      </w:r>
    </w:p>
    <w:p w14:paraId="7F6F818F" w14:textId="6398F2F1" w:rsidR="00BA172E" w:rsidRPr="00E95706" w:rsidRDefault="00BA172E" w:rsidP="00BA172E">
      <w:pPr>
        <w:pStyle w:val="subsection"/>
      </w:pPr>
      <w:r w:rsidRPr="00E95706">
        <w:tab/>
        <w:t>(2)</w:t>
      </w:r>
      <w:r w:rsidRPr="00E95706">
        <w:tab/>
        <w:t xml:space="preserve">The substitution of paragraph (c) of column 3 in </w:t>
      </w:r>
      <w:r w:rsidR="007C3215">
        <w:t>item 1</w:t>
      </w:r>
      <w:r w:rsidRPr="00E95706">
        <w:t>5 of the table in Schedule 5A, made by Part 1 of Schedule 1 to the amending regulations, applies in relation to information or evidence held by the sponsor on or after the commencement day.</w:t>
      </w:r>
    </w:p>
    <w:p w14:paraId="73CA5843" w14:textId="700CBFEF" w:rsidR="00BA172E" w:rsidRPr="00E95706" w:rsidRDefault="00BA172E" w:rsidP="00BA172E">
      <w:pPr>
        <w:pStyle w:val="subsection"/>
      </w:pPr>
      <w:r w:rsidRPr="00E95706">
        <w:tab/>
        <w:t>(3)</w:t>
      </w:r>
      <w:r w:rsidRPr="00E95706">
        <w:tab/>
        <w:t xml:space="preserve">Paragraph (e) of column 3 in </w:t>
      </w:r>
      <w:r w:rsidR="007C3215">
        <w:t>item 1</w:t>
      </w:r>
      <w:r w:rsidRPr="00E95706">
        <w:t>5 of the table in Schedule 5A, as substituted by Part 1 of Schedule 1 to the amending regulations, applies in relation to a request made by the Secretary under that paragraph on or after the commencement day.</w:t>
      </w:r>
    </w:p>
    <w:p w14:paraId="34A8F25C" w14:textId="1A56F606" w:rsidR="00BA172E" w:rsidRPr="00E95706" w:rsidRDefault="00BA172E" w:rsidP="00BA172E">
      <w:pPr>
        <w:pStyle w:val="subsection"/>
      </w:pPr>
      <w:r w:rsidRPr="00E95706">
        <w:tab/>
        <w:t>(4)</w:t>
      </w:r>
      <w:r w:rsidRPr="00E95706">
        <w:tab/>
        <w:t xml:space="preserve">The amendment to subparagraph (j)(ii) of column 3 in </w:t>
      </w:r>
      <w:r w:rsidR="007C3215">
        <w:t>item 1</w:t>
      </w:r>
      <w:r w:rsidRPr="00E95706">
        <w:t>5 of the table in Schedule 5A, made by Part 1 of Schedule 1 to the amending regulations, applies in relation to a request made by the Secretary under that subparagraph on or after the commencement day.</w:t>
      </w:r>
    </w:p>
    <w:p w14:paraId="50667C2D" w14:textId="607DD085" w:rsidR="00BA172E" w:rsidRPr="00E95706" w:rsidRDefault="00BA172E" w:rsidP="00BA172E">
      <w:pPr>
        <w:pStyle w:val="subsection"/>
      </w:pPr>
      <w:r w:rsidRPr="00E95706">
        <w:tab/>
        <w:t>(5)</w:t>
      </w:r>
      <w:r w:rsidRPr="00E95706">
        <w:tab/>
        <w:t xml:space="preserve">Subparagraph (j)(iii) of column 3 in </w:t>
      </w:r>
      <w:r w:rsidR="007C3215">
        <w:t>item 1</w:t>
      </w:r>
      <w:r w:rsidRPr="00E95706">
        <w:t>5 of the table in Schedule 5A, as added by Part 1 of Schedule 1 to the amending regulations, applies in relation to a request made by the Secretary under that subparagraph on or after the commencement day.</w:t>
      </w:r>
    </w:p>
    <w:p w14:paraId="06B6B280" w14:textId="77777777" w:rsidR="00BA172E" w:rsidRPr="00E95706" w:rsidRDefault="00BA172E" w:rsidP="00BA172E">
      <w:pPr>
        <w:pStyle w:val="ActHead5"/>
      </w:pPr>
      <w:bookmarkStart w:id="400" w:name="_Toc187135990"/>
      <w:r w:rsidRPr="00E95706">
        <w:rPr>
          <w:rStyle w:val="CharSectno"/>
        </w:rPr>
        <w:t>111</w:t>
      </w:r>
      <w:r w:rsidRPr="00E95706">
        <w:t xml:space="preserve">  Notices, statements and determinations</w:t>
      </w:r>
      <w:bookmarkEnd w:id="400"/>
    </w:p>
    <w:p w14:paraId="29EA9E69" w14:textId="77777777" w:rsidR="00BA172E" w:rsidRPr="00E95706" w:rsidRDefault="00BA172E" w:rsidP="00BA172E">
      <w:pPr>
        <w:pStyle w:val="subsection"/>
      </w:pPr>
      <w:r w:rsidRPr="00E95706">
        <w:tab/>
        <w:t>(1)</w:t>
      </w:r>
      <w:r w:rsidRPr="00E95706">
        <w:tab/>
        <w:t>A notice:</w:t>
      </w:r>
    </w:p>
    <w:p w14:paraId="28CBE7AE" w14:textId="2B179048" w:rsidR="00BA172E" w:rsidRPr="00E95706" w:rsidRDefault="00BA172E" w:rsidP="00BA172E">
      <w:pPr>
        <w:pStyle w:val="paragraph"/>
      </w:pPr>
      <w:r w:rsidRPr="00E95706">
        <w:tab/>
        <w:t>(a)</w:t>
      </w:r>
      <w:r w:rsidRPr="00E95706">
        <w:tab/>
        <w:t xml:space="preserve">given before the commencement day, under paragraph (a) (the </w:t>
      </w:r>
      <w:r w:rsidRPr="00E95706">
        <w:rPr>
          <w:b/>
          <w:i/>
        </w:rPr>
        <w:t>old provision</w:t>
      </w:r>
      <w:r w:rsidRPr="00E95706">
        <w:t xml:space="preserve">) of column 3 in </w:t>
      </w:r>
      <w:r w:rsidR="007C3215">
        <w:t>item 1</w:t>
      </w:r>
      <w:r w:rsidRPr="00E95706">
        <w:t>5 of the table in Schedule 5A as in force immediately before that day; and</w:t>
      </w:r>
    </w:p>
    <w:p w14:paraId="3183C744" w14:textId="77777777" w:rsidR="00BA172E" w:rsidRPr="00E95706" w:rsidRDefault="00BA172E" w:rsidP="00BA172E">
      <w:pPr>
        <w:pStyle w:val="paragraph"/>
      </w:pPr>
      <w:r w:rsidRPr="00E95706">
        <w:lastRenderedPageBreak/>
        <w:tab/>
        <w:t>(b)</w:t>
      </w:r>
      <w:r w:rsidRPr="00E95706">
        <w:tab/>
        <w:t>not withdrawn or otherwise ceased to have effect (however described) before the commencement day;</w:t>
      </w:r>
    </w:p>
    <w:p w14:paraId="2780595E" w14:textId="77777777" w:rsidR="00BA172E" w:rsidRPr="00E95706" w:rsidRDefault="00BA172E" w:rsidP="00BA172E">
      <w:pPr>
        <w:pStyle w:val="subsection2"/>
      </w:pPr>
      <w:r w:rsidRPr="00E95706">
        <w:t xml:space="preserve">has effect on and after the commencement day as if it had been given under paragraph (e) (the </w:t>
      </w:r>
      <w:r w:rsidRPr="00E95706">
        <w:rPr>
          <w:b/>
          <w:i/>
        </w:rPr>
        <w:t>new provision</w:t>
      </w:r>
      <w:r w:rsidRPr="00E95706">
        <w:t>) of column 2 in that item (and a statement given in the notice under a subparagraph of the old provision has effect on and after the commencement day as if it had been given under the corresponding subparagraph of the new provision).</w:t>
      </w:r>
    </w:p>
    <w:p w14:paraId="01F12094" w14:textId="77777777" w:rsidR="00BA172E" w:rsidRPr="00E95706" w:rsidRDefault="00BA172E" w:rsidP="00BA172E">
      <w:pPr>
        <w:pStyle w:val="subsection"/>
      </w:pPr>
      <w:r w:rsidRPr="00E95706">
        <w:tab/>
        <w:t>(2)</w:t>
      </w:r>
      <w:r w:rsidRPr="00E95706">
        <w:tab/>
        <w:t>A determination by the Secretary:</w:t>
      </w:r>
    </w:p>
    <w:p w14:paraId="1A7B6E70" w14:textId="1AB529E5" w:rsidR="00BA172E" w:rsidRPr="00E95706" w:rsidRDefault="00BA172E" w:rsidP="00BA172E">
      <w:pPr>
        <w:pStyle w:val="paragraph"/>
      </w:pPr>
      <w:r w:rsidRPr="00E95706">
        <w:tab/>
        <w:t>(a)</w:t>
      </w:r>
      <w:r w:rsidRPr="00E95706">
        <w:tab/>
        <w:t>as referred to in</w:t>
      </w:r>
      <w:r w:rsidRPr="00E95706">
        <w:rPr>
          <w:i/>
        </w:rPr>
        <w:t xml:space="preserve"> </w:t>
      </w:r>
      <w:r w:rsidRPr="00E95706">
        <w:t xml:space="preserve">paragraph (e) of column 3 in </w:t>
      </w:r>
      <w:r w:rsidR="007C3215">
        <w:t>item 1</w:t>
      </w:r>
      <w:r w:rsidRPr="00E95706">
        <w:t>5 of the table in Schedule 5A as in force immediately before that day; and</w:t>
      </w:r>
    </w:p>
    <w:p w14:paraId="0C4879A9" w14:textId="77777777" w:rsidR="00BA172E" w:rsidRPr="00E95706" w:rsidRDefault="00BA172E" w:rsidP="00BA172E">
      <w:pPr>
        <w:pStyle w:val="paragraph"/>
      </w:pPr>
      <w:r w:rsidRPr="00E95706">
        <w:tab/>
        <w:t>(b)</w:t>
      </w:r>
      <w:r w:rsidRPr="00E95706">
        <w:tab/>
        <w:t>in force immediately before the commencement day;</w:t>
      </w:r>
    </w:p>
    <w:p w14:paraId="53701100" w14:textId="77777777" w:rsidR="00BA172E" w:rsidRPr="008C1E47" w:rsidRDefault="00BA172E" w:rsidP="00BA172E">
      <w:pPr>
        <w:pStyle w:val="subsection2"/>
      </w:pPr>
      <w:r w:rsidRPr="00E95706">
        <w:t>has effect on and after the commencement day as if it were a determination referred to in</w:t>
      </w:r>
      <w:r w:rsidRPr="00E95706">
        <w:rPr>
          <w:i/>
        </w:rPr>
        <w:t xml:space="preserve"> </w:t>
      </w:r>
      <w:r w:rsidRPr="00E95706">
        <w:t>paragraph (g) of column 2 in that item.</w:t>
      </w:r>
    </w:p>
    <w:p w14:paraId="2924A7A4" w14:textId="77777777" w:rsidR="00F539F4" w:rsidRPr="005E3B43" w:rsidRDefault="00F539F4" w:rsidP="00763BCF">
      <w:pPr>
        <w:sectPr w:rsidR="00F539F4" w:rsidRPr="005E3B43" w:rsidSect="001444B1">
          <w:headerReference w:type="even" r:id="rId21"/>
          <w:headerReference w:type="default" r:id="rId22"/>
          <w:footerReference w:type="even" r:id="rId23"/>
          <w:footerReference w:type="default" r:id="rId24"/>
          <w:headerReference w:type="first" r:id="rId25"/>
          <w:footerReference w:type="first" r:id="rId26"/>
          <w:pgSz w:w="11907" w:h="16839"/>
          <w:pgMar w:top="2325" w:right="1797" w:bottom="1440" w:left="1797" w:header="720" w:footer="709" w:gutter="0"/>
          <w:pgNumType w:start="1"/>
          <w:cols w:space="708"/>
          <w:docGrid w:linePitch="360"/>
        </w:sectPr>
      </w:pPr>
    </w:p>
    <w:p w14:paraId="7E40035C" w14:textId="77777777" w:rsidR="00207B1C" w:rsidRPr="005E3B43" w:rsidRDefault="008D1B4F" w:rsidP="00763BCF">
      <w:pPr>
        <w:pStyle w:val="ActHead1"/>
        <w:pageBreakBefore/>
        <w:spacing w:before="240"/>
      </w:pPr>
      <w:bookmarkStart w:id="401" w:name="_Toc187135991"/>
      <w:r w:rsidRPr="005E3B43">
        <w:rPr>
          <w:rStyle w:val="CharChapNo"/>
        </w:rPr>
        <w:lastRenderedPageBreak/>
        <w:t>Schedule 1</w:t>
      </w:r>
      <w:r w:rsidR="00E20BA4" w:rsidRPr="005E3B43">
        <w:t>—</w:t>
      </w:r>
      <w:r w:rsidR="006B5D8E" w:rsidRPr="005E3B43">
        <w:rPr>
          <w:rStyle w:val="CharChapText"/>
        </w:rPr>
        <w:t>Part 2</w:t>
      </w:r>
      <w:r w:rsidR="00207B1C" w:rsidRPr="005E3B43">
        <w:rPr>
          <w:rStyle w:val="CharChapText"/>
        </w:rPr>
        <w:t xml:space="preserve"> does not apply to members of an Australian branch of one of these bodies</w:t>
      </w:r>
      <w:bookmarkEnd w:id="401"/>
    </w:p>
    <w:p w14:paraId="78CDD6E1" w14:textId="77777777" w:rsidR="00207B1C" w:rsidRPr="005E3B43" w:rsidRDefault="00207B1C" w:rsidP="00763BCF">
      <w:pPr>
        <w:pStyle w:val="notemargin"/>
      </w:pPr>
      <w:r w:rsidRPr="005E3B43">
        <w:t>(subregulation</w:t>
      </w:r>
      <w:r w:rsidR="004E6D00" w:rsidRPr="005E3B43">
        <w:t> </w:t>
      </w:r>
      <w:r w:rsidRPr="005E3B43">
        <w:t>4(2))</w:t>
      </w:r>
    </w:p>
    <w:p w14:paraId="0BB97CB0" w14:textId="77777777" w:rsidR="00207B1C" w:rsidRPr="005E3B43" w:rsidRDefault="00E20BA4" w:rsidP="00763BCF">
      <w:pPr>
        <w:pStyle w:val="Header"/>
      </w:pPr>
      <w:r w:rsidRPr="005E3B43">
        <w:rPr>
          <w:rStyle w:val="CharPartNo"/>
        </w:rPr>
        <w:t xml:space="preserve"> </w:t>
      </w:r>
      <w:r w:rsidRPr="005E3B43">
        <w:rPr>
          <w:rStyle w:val="CharPartText"/>
        </w:rPr>
        <w:t xml:space="preserve"> </w:t>
      </w:r>
    </w:p>
    <w:p w14:paraId="65F124A8" w14:textId="77777777" w:rsidR="00E20BA4" w:rsidRPr="005E3B43" w:rsidRDefault="00E20BA4"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44"/>
        <w:gridCol w:w="7285"/>
      </w:tblGrid>
      <w:tr w:rsidR="00207B1C" w:rsidRPr="005E3B43" w14:paraId="77A996F0" w14:textId="77777777" w:rsidTr="005A786D">
        <w:trPr>
          <w:tblHeader/>
        </w:trPr>
        <w:tc>
          <w:tcPr>
            <w:tcW w:w="729" w:type="pct"/>
            <w:tcBorders>
              <w:top w:val="single" w:sz="12" w:space="0" w:color="auto"/>
              <w:bottom w:val="single" w:sz="12" w:space="0" w:color="auto"/>
            </w:tcBorders>
            <w:shd w:val="clear" w:color="auto" w:fill="auto"/>
          </w:tcPr>
          <w:p w14:paraId="6F182E20" w14:textId="77777777" w:rsidR="00207B1C" w:rsidRPr="005E3B43" w:rsidRDefault="00207B1C" w:rsidP="00763BCF">
            <w:pPr>
              <w:pStyle w:val="TableHeading"/>
            </w:pPr>
            <w:r w:rsidRPr="005E3B43">
              <w:t>Column 1</w:t>
            </w:r>
            <w:r w:rsidRPr="005E3B43">
              <w:br/>
              <w:t>Item No.</w:t>
            </w:r>
          </w:p>
        </w:tc>
        <w:tc>
          <w:tcPr>
            <w:tcW w:w="4271" w:type="pct"/>
            <w:tcBorders>
              <w:top w:val="single" w:sz="12" w:space="0" w:color="auto"/>
              <w:bottom w:val="single" w:sz="12" w:space="0" w:color="auto"/>
            </w:tcBorders>
            <w:shd w:val="clear" w:color="auto" w:fill="auto"/>
          </w:tcPr>
          <w:p w14:paraId="0DAE6D73" w14:textId="77777777" w:rsidR="00207B1C" w:rsidRPr="005E3B43" w:rsidRDefault="00207B1C" w:rsidP="00763BCF">
            <w:pPr>
              <w:pStyle w:val="TableHeading"/>
            </w:pPr>
            <w:r w:rsidRPr="005E3B43">
              <w:t>Column 2</w:t>
            </w:r>
            <w:r w:rsidRPr="005E3B43">
              <w:br/>
              <w:t>Body</w:t>
            </w:r>
          </w:p>
        </w:tc>
      </w:tr>
      <w:tr w:rsidR="00207B1C" w:rsidRPr="005E3B43" w14:paraId="7EF5D45A" w14:textId="77777777" w:rsidTr="005A786D">
        <w:tc>
          <w:tcPr>
            <w:tcW w:w="729" w:type="pct"/>
            <w:tcBorders>
              <w:top w:val="single" w:sz="12" w:space="0" w:color="auto"/>
              <w:bottom w:val="single" w:sz="4" w:space="0" w:color="auto"/>
            </w:tcBorders>
            <w:shd w:val="clear" w:color="auto" w:fill="auto"/>
          </w:tcPr>
          <w:p w14:paraId="40105DF0" w14:textId="77777777" w:rsidR="00207B1C" w:rsidRPr="005E3B43" w:rsidRDefault="00207B1C" w:rsidP="00763BCF">
            <w:pPr>
              <w:pStyle w:val="Tabletext"/>
            </w:pPr>
            <w:r w:rsidRPr="005E3B43">
              <w:t>1</w:t>
            </w:r>
          </w:p>
        </w:tc>
        <w:tc>
          <w:tcPr>
            <w:tcW w:w="4271" w:type="pct"/>
            <w:tcBorders>
              <w:top w:val="single" w:sz="12" w:space="0" w:color="auto"/>
              <w:bottom w:val="single" w:sz="4" w:space="0" w:color="auto"/>
            </w:tcBorders>
            <w:shd w:val="clear" w:color="auto" w:fill="auto"/>
          </w:tcPr>
          <w:p w14:paraId="4EF097A1" w14:textId="77777777" w:rsidR="00207B1C" w:rsidRPr="005E3B43" w:rsidRDefault="00207B1C" w:rsidP="00763BCF">
            <w:pPr>
              <w:pStyle w:val="Tabletext"/>
            </w:pPr>
            <w:r w:rsidRPr="005E3B43">
              <w:t>Acupuncture Association of Australia</w:t>
            </w:r>
          </w:p>
        </w:tc>
      </w:tr>
      <w:tr w:rsidR="00207B1C" w:rsidRPr="005E3B43" w14:paraId="7902D379" w14:textId="77777777" w:rsidTr="005A786D">
        <w:tc>
          <w:tcPr>
            <w:tcW w:w="729" w:type="pct"/>
            <w:tcBorders>
              <w:top w:val="single" w:sz="4" w:space="0" w:color="auto"/>
              <w:bottom w:val="single" w:sz="4" w:space="0" w:color="auto"/>
            </w:tcBorders>
            <w:shd w:val="clear" w:color="auto" w:fill="auto"/>
          </w:tcPr>
          <w:p w14:paraId="37E06ADF" w14:textId="77777777" w:rsidR="00207B1C" w:rsidRPr="005E3B43" w:rsidRDefault="00207B1C" w:rsidP="00763BCF">
            <w:pPr>
              <w:pStyle w:val="Tabletext"/>
            </w:pPr>
            <w:r w:rsidRPr="005E3B43">
              <w:t>2</w:t>
            </w:r>
          </w:p>
        </w:tc>
        <w:tc>
          <w:tcPr>
            <w:tcW w:w="4271" w:type="pct"/>
            <w:tcBorders>
              <w:top w:val="single" w:sz="4" w:space="0" w:color="auto"/>
              <w:bottom w:val="single" w:sz="4" w:space="0" w:color="auto"/>
            </w:tcBorders>
            <w:shd w:val="clear" w:color="auto" w:fill="auto"/>
          </w:tcPr>
          <w:p w14:paraId="3770AF53" w14:textId="77777777" w:rsidR="00207B1C" w:rsidRPr="005E3B43" w:rsidRDefault="00207B1C" w:rsidP="00763BCF">
            <w:pPr>
              <w:pStyle w:val="Tabletext"/>
            </w:pPr>
            <w:r w:rsidRPr="005E3B43">
              <w:t>Acupuncture Ethics and Standards Organisation</w:t>
            </w:r>
          </w:p>
        </w:tc>
      </w:tr>
      <w:tr w:rsidR="00207B1C" w:rsidRPr="005E3B43" w14:paraId="5A6312C1" w14:textId="77777777" w:rsidTr="005A786D">
        <w:tc>
          <w:tcPr>
            <w:tcW w:w="729" w:type="pct"/>
            <w:tcBorders>
              <w:top w:val="single" w:sz="4" w:space="0" w:color="auto"/>
              <w:bottom w:val="single" w:sz="4" w:space="0" w:color="auto"/>
            </w:tcBorders>
            <w:shd w:val="clear" w:color="auto" w:fill="auto"/>
          </w:tcPr>
          <w:p w14:paraId="7C77BE5E" w14:textId="77777777" w:rsidR="00207B1C" w:rsidRPr="005E3B43" w:rsidRDefault="00207B1C" w:rsidP="00763BCF">
            <w:pPr>
              <w:pStyle w:val="Tabletext"/>
            </w:pPr>
            <w:r w:rsidRPr="005E3B43">
              <w:t>2A</w:t>
            </w:r>
          </w:p>
        </w:tc>
        <w:tc>
          <w:tcPr>
            <w:tcW w:w="4271" w:type="pct"/>
            <w:tcBorders>
              <w:top w:val="single" w:sz="4" w:space="0" w:color="auto"/>
              <w:bottom w:val="single" w:sz="4" w:space="0" w:color="auto"/>
            </w:tcBorders>
            <w:shd w:val="clear" w:color="auto" w:fill="auto"/>
          </w:tcPr>
          <w:p w14:paraId="18CF0E44" w14:textId="77777777" w:rsidR="00207B1C" w:rsidRPr="005E3B43" w:rsidRDefault="00207B1C" w:rsidP="00763BCF">
            <w:pPr>
              <w:pStyle w:val="Tabletext"/>
            </w:pPr>
            <w:r w:rsidRPr="005E3B43">
              <w:t>Association of Natural Health Practitioners Limited</w:t>
            </w:r>
          </w:p>
        </w:tc>
      </w:tr>
      <w:tr w:rsidR="00207B1C" w:rsidRPr="005E3B43" w14:paraId="0340D103" w14:textId="77777777" w:rsidTr="005A786D">
        <w:tc>
          <w:tcPr>
            <w:tcW w:w="729" w:type="pct"/>
            <w:tcBorders>
              <w:top w:val="single" w:sz="4" w:space="0" w:color="auto"/>
              <w:bottom w:val="single" w:sz="4" w:space="0" w:color="auto"/>
            </w:tcBorders>
            <w:shd w:val="clear" w:color="auto" w:fill="auto"/>
          </w:tcPr>
          <w:p w14:paraId="25D35DF7" w14:textId="77777777" w:rsidR="00207B1C" w:rsidRPr="005E3B43" w:rsidRDefault="00207B1C" w:rsidP="00763BCF">
            <w:pPr>
              <w:pStyle w:val="Tabletext"/>
            </w:pPr>
            <w:r w:rsidRPr="005E3B43">
              <w:t>3A</w:t>
            </w:r>
          </w:p>
        </w:tc>
        <w:tc>
          <w:tcPr>
            <w:tcW w:w="4271" w:type="pct"/>
            <w:tcBorders>
              <w:top w:val="single" w:sz="4" w:space="0" w:color="auto"/>
              <w:bottom w:val="single" w:sz="4" w:space="0" w:color="auto"/>
            </w:tcBorders>
            <w:shd w:val="clear" w:color="auto" w:fill="auto"/>
          </w:tcPr>
          <w:p w14:paraId="38C89D21" w14:textId="55CB6D76" w:rsidR="00207B1C" w:rsidRPr="005E3B43" w:rsidRDefault="00207B1C" w:rsidP="00763BCF">
            <w:pPr>
              <w:pStyle w:val="Tabletext"/>
            </w:pPr>
            <w:r w:rsidRPr="005E3B43">
              <w:t>Aust</w:t>
            </w:r>
            <w:r w:rsidR="007C3215">
              <w:noBreakHyphen/>
            </w:r>
            <w:r w:rsidRPr="005E3B43">
              <w:t>China Acupuncture and Chinese Medicine Association Inc.</w:t>
            </w:r>
          </w:p>
        </w:tc>
      </w:tr>
      <w:tr w:rsidR="00207B1C" w:rsidRPr="005E3B43" w14:paraId="3F3F2067" w14:textId="77777777" w:rsidTr="005A786D">
        <w:tc>
          <w:tcPr>
            <w:tcW w:w="729" w:type="pct"/>
            <w:tcBorders>
              <w:top w:val="single" w:sz="4" w:space="0" w:color="auto"/>
              <w:bottom w:val="single" w:sz="4" w:space="0" w:color="auto"/>
            </w:tcBorders>
            <w:shd w:val="clear" w:color="auto" w:fill="auto"/>
          </w:tcPr>
          <w:p w14:paraId="689F0148" w14:textId="77777777" w:rsidR="00207B1C" w:rsidRPr="005E3B43" w:rsidRDefault="00207B1C" w:rsidP="00763BCF">
            <w:pPr>
              <w:pStyle w:val="Tabletext"/>
            </w:pPr>
            <w:r w:rsidRPr="005E3B43">
              <w:t>3B</w:t>
            </w:r>
          </w:p>
        </w:tc>
        <w:tc>
          <w:tcPr>
            <w:tcW w:w="4271" w:type="pct"/>
            <w:tcBorders>
              <w:top w:val="single" w:sz="4" w:space="0" w:color="auto"/>
              <w:bottom w:val="single" w:sz="4" w:space="0" w:color="auto"/>
            </w:tcBorders>
            <w:shd w:val="clear" w:color="auto" w:fill="auto"/>
          </w:tcPr>
          <w:p w14:paraId="370112E8" w14:textId="77777777" w:rsidR="00207B1C" w:rsidRPr="005E3B43" w:rsidRDefault="00207B1C" w:rsidP="00763BCF">
            <w:pPr>
              <w:pStyle w:val="Tabletext"/>
            </w:pPr>
            <w:r w:rsidRPr="005E3B43">
              <w:t>Australasian Federation of Natural Therapists Inc.</w:t>
            </w:r>
          </w:p>
        </w:tc>
      </w:tr>
      <w:tr w:rsidR="00207B1C" w:rsidRPr="005E3B43" w14:paraId="1B99F779" w14:textId="77777777" w:rsidTr="005A786D">
        <w:tc>
          <w:tcPr>
            <w:tcW w:w="729" w:type="pct"/>
            <w:tcBorders>
              <w:top w:val="single" w:sz="4" w:space="0" w:color="auto"/>
              <w:bottom w:val="single" w:sz="4" w:space="0" w:color="auto"/>
            </w:tcBorders>
            <w:shd w:val="clear" w:color="auto" w:fill="auto"/>
          </w:tcPr>
          <w:p w14:paraId="73CAEC40" w14:textId="77777777" w:rsidR="00207B1C" w:rsidRPr="005E3B43" w:rsidRDefault="00207B1C" w:rsidP="00763BCF">
            <w:pPr>
              <w:pStyle w:val="Tabletext"/>
            </w:pPr>
            <w:r w:rsidRPr="005E3B43">
              <w:t>4</w:t>
            </w:r>
          </w:p>
        </w:tc>
        <w:tc>
          <w:tcPr>
            <w:tcW w:w="4271" w:type="pct"/>
            <w:tcBorders>
              <w:top w:val="single" w:sz="4" w:space="0" w:color="auto"/>
              <w:bottom w:val="single" w:sz="4" w:space="0" w:color="auto"/>
            </w:tcBorders>
            <w:shd w:val="clear" w:color="auto" w:fill="auto"/>
          </w:tcPr>
          <w:p w14:paraId="4AD6557A" w14:textId="77777777" w:rsidR="00207B1C" w:rsidRPr="005E3B43" w:rsidRDefault="00207B1C" w:rsidP="00763BCF">
            <w:pPr>
              <w:pStyle w:val="Tabletext"/>
            </w:pPr>
            <w:r w:rsidRPr="005E3B43">
              <w:t>Australian Acupuncture Association Ltd.</w:t>
            </w:r>
          </w:p>
        </w:tc>
      </w:tr>
      <w:tr w:rsidR="00207B1C" w:rsidRPr="005E3B43" w14:paraId="36F173D8" w14:textId="77777777" w:rsidTr="005A786D">
        <w:tc>
          <w:tcPr>
            <w:tcW w:w="729" w:type="pct"/>
            <w:tcBorders>
              <w:top w:val="single" w:sz="4" w:space="0" w:color="auto"/>
              <w:bottom w:val="single" w:sz="4" w:space="0" w:color="auto"/>
            </w:tcBorders>
            <w:shd w:val="clear" w:color="auto" w:fill="auto"/>
          </w:tcPr>
          <w:p w14:paraId="7CB7A1BD" w14:textId="77777777" w:rsidR="00207B1C" w:rsidRPr="005E3B43" w:rsidRDefault="00207B1C" w:rsidP="00763BCF">
            <w:pPr>
              <w:pStyle w:val="Tabletext"/>
            </w:pPr>
            <w:r w:rsidRPr="005E3B43">
              <w:t>5</w:t>
            </w:r>
          </w:p>
        </w:tc>
        <w:tc>
          <w:tcPr>
            <w:tcW w:w="4271" w:type="pct"/>
            <w:tcBorders>
              <w:top w:val="single" w:sz="4" w:space="0" w:color="auto"/>
              <w:bottom w:val="single" w:sz="4" w:space="0" w:color="auto"/>
            </w:tcBorders>
            <w:shd w:val="clear" w:color="auto" w:fill="auto"/>
          </w:tcPr>
          <w:p w14:paraId="2BC4C620" w14:textId="77777777" w:rsidR="00207B1C" w:rsidRPr="005E3B43" w:rsidRDefault="00207B1C" w:rsidP="00763BCF">
            <w:pPr>
              <w:pStyle w:val="Tabletext"/>
            </w:pPr>
            <w:r w:rsidRPr="005E3B43">
              <w:t>Australasian Association of Ayurveda Incorporated</w:t>
            </w:r>
          </w:p>
        </w:tc>
      </w:tr>
      <w:tr w:rsidR="00207B1C" w:rsidRPr="005E3B43" w14:paraId="5362DF5B" w14:textId="77777777" w:rsidTr="005A786D">
        <w:tc>
          <w:tcPr>
            <w:tcW w:w="729" w:type="pct"/>
            <w:tcBorders>
              <w:top w:val="single" w:sz="4" w:space="0" w:color="auto"/>
              <w:bottom w:val="single" w:sz="4" w:space="0" w:color="auto"/>
            </w:tcBorders>
            <w:shd w:val="clear" w:color="auto" w:fill="auto"/>
          </w:tcPr>
          <w:p w14:paraId="67F6047A" w14:textId="77777777" w:rsidR="00207B1C" w:rsidRPr="005E3B43" w:rsidRDefault="00207B1C" w:rsidP="00763BCF">
            <w:pPr>
              <w:pStyle w:val="Tabletext"/>
            </w:pPr>
            <w:r w:rsidRPr="005E3B43">
              <w:t>5A</w:t>
            </w:r>
          </w:p>
        </w:tc>
        <w:tc>
          <w:tcPr>
            <w:tcW w:w="4271" w:type="pct"/>
            <w:tcBorders>
              <w:top w:val="single" w:sz="4" w:space="0" w:color="auto"/>
              <w:bottom w:val="single" w:sz="4" w:space="0" w:color="auto"/>
            </w:tcBorders>
            <w:shd w:val="clear" w:color="auto" w:fill="auto"/>
          </w:tcPr>
          <w:p w14:paraId="6416A272" w14:textId="77777777" w:rsidR="00207B1C" w:rsidRPr="005E3B43" w:rsidRDefault="00207B1C" w:rsidP="00763BCF">
            <w:pPr>
              <w:pStyle w:val="Tabletext"/>
            </w:pPr>
            <w:r w:rsidRPr="005E3B43">
              <w:t>Australian Association of Exercise and Sports Scientists</w:t>
            </w:r>
          </w:p>
        </w:tc>
      </w:tr>
      <w:tr w:rsidR="00207B1C" w:rsidRPr="005E3B43" w14:paraId="5DD95DAF" w14:textId="77777777" w:rsidTr="005A786D">
        <w:tc>
          <w:tcPr>
            <w:tcW w:w="729" w:type="pct"/>
            <w:tcBorders>
              <w:top w:val="single" w:sz="4" w:space="0" w:color="auto"/>
              <w:bottom w:val="single" w:sz="4" w:space="0" w:color="auto"/>
            </w:tcBorders>
            <w:shd w:val="clear" w:color="auto" w:fill="auto"/>
          </w:tcPr>
          <w:p w14:paraId="131F8E23" w14:textId="77777777" w:rsidR="00207B1C" w:rsidRPr="005E3B43" w:rsidRDefault="00207B1C" w:rsidP="00763BCF">
            <w:pPr>
              <w:pStyle w:val="Tabletext"/>
            </w:pPr>
            <w:r w:rsidRPr="005E3B43">
              <w:t>6</w:t>
            </w:r>
          </w:p>
        </w:tc>
        <w:tc>
          <w:tcPr>
            <w:tcW w:w="4271" w:type="pct"/>
            <w:tcBorders>
              <w:top w:val="single" w:sz="4" w:space="0" w:color="auto"/>
              <w:bottom w:val="single" w:sz="4" w:space="0" w:color="auto"/>
            </w:tcBorders>
            <w:shd w:val="clear" w:color="auto" w:fill="auto"/>
          </w:tcPr>
          <w:p w14:paraId="3C9C93A8" w14:textId="77777777" w:rsidR="00207B1C" w:rsidRPr="005E3B43" w:rsidRDefault="00207B1C" w:rsidP="00763BCF">
            <w:pPr>
              <w:pStyle w:val="Tabletext"/>
            </w:pPr>
            <w:r w:rsidRPr="005E3B43">
              <w:t>Australian Association of Professional Homoeopaths</w:t>
            </w:r>
          </w:p>
        </w:tc>
      </w:tr>
      <w:tr w:rsidR="00207B1C" w:rsidRPr="005E3B43" w14:paraId="43ABED3C" w14:textId="77777777" w:rsidTr="005A786D">
        <w:tc>
          <w:tcPr>
            <w:tcW w:w="729" w:type="pct"/>
            <w:tcBorders>
              <w:top w:val="single" w:sz="4" w:space="0" w:color="auto"/>
              <w:bottom w:val="single" w:sz="4" w:space="0" w:color="auto"/>
            </w:tcBorders>
            <w:shd w:val="clear" w:color="auto" w:fill="auto"/>
          </w:tcPr>
          <w:p w14:paraId="76EBF19D" w14:textId="77777777" w:rsidR="00207B1C" w:rsidRPr="005E3B43" w:rsidRDefault="00207B1C" w:rsidP="00763BCF">
            <w:pPr>
              <w:pStyle w:val="Tabletext"/>
            </w:pPr>
            <w:r w:rsidRPr="005E3B43">
              <w:t>6A</w:t>
            </w:r>
          </w:p>
        </w:tc>
        <w:tc>
          <w:tcPr>
            <w:tcW w:w="4271" w:type="pct"/>
            <w:tcBorders>
              <w:top w:val="single" w:sz="4" w:space="0" w:color="auto"/>
              <w:bottom w:val="single" w:sz="4" w:space="0" w:color="auto"/>
            </w:tcBorders>
            <w:shd w:val="clear" w:color="auto" w:fill="auto"/>
          </w:tcPr>
          <w:p w14:paraId="54A11B94" w14:textId="77777777" w:rsidR="00207B1C" w:rsidRPr="005E3B43" w:rsidRDefault="00207B1C" w:rsidP="00763BCF">
            <w:pPr>
              <w:pStyle w:val="Tabletext"/>
            </w:pPr>
            <w:r w:rsidRPr="005E3B43">
              <w:t>Australian College of Acupuncturists Ltd</w:t>
            </w:r>
          </w:p>
        </w:tc>
      </w:tr>
      <w:tr w:rsidR="00207B1C" w:rsidRPr="005E3B43" w14:paraId="71F921DC" w14:textId="77777777" w:rsidTr="005A786D">
        <w:tc>
          <w:tcPr>
            <w:tcW w:w="729" w:type="pct"/>
            <w:tcBorders>
              <w:top w:val="single" w:sz="4" w:space="0" w:color="auto"/>
              <w:bottom w:val="single" w:sz="4" w:space="0" w:color="auto"/>
            </w:tcBorders>
            <w:shd w:val="clear" w:color="auto" w:fill="auto"/>
          </w:tcPr>
          <w:p w14:paraId="35B8E2ED" w14:textId="77777777" w:rsidR="00207B1C" w:rsidRPr="005E3B43" w:rsidRDefault="00207B1C" w:rsidP="00763BCF">
            <w:pPr>
              <w:pStyle w:val="Tabletext"/>
            </w:pPr>
            <w:r w:rsidRPr="005E3B43">
              <w:t>7</w:t>
            </w:r>
          </w:p>
        </w:tc>
        <w:tc>
          <w:tcPr>
            <w:tcW w:w="4271" w:type="pct"/>
            <w:tcBorders>
              <w:top w:val="single" w:sz="4" w:space="0" w:color="auto"/>
              <w:bottom w:val="single" w:sz="4" w:space="0" w:color="auto"/>
            </w:tcBorders>
            <w:shd w:val="clear" w:color="auto" w:fill="auto"/>
          </w:tcPr>
          <w:p w14:paraId="10E6668E" w14:textId="77777777" w:rsidR="00207B1C" w:rsidRPr="005E3B43" w:rsidRDefault="00207B1C" w:rsidP="00763BCF">
            <w:pPr>
              <w:pStyle w:val="Tabletext"/>
            </w:pPr>
            <w:r w:rsidRPr="005E3B43">
              <w:t>Australian Committee of Natural Therapies Inc. (SA)</w:t>
            </w:r>
          </w:p>
        </w:tc>
      </w:tr>
      <w:tr w:rsidR="00207B1C" w:rsidRPr="005E3B43" w14:paraId="1AFD7BFA" w14:textId="77777777" w:rsidTr="005A786D">
        <w:tc>
          <w:tcPr>
            <w:tcW w:w="729" w:type="pct"/>
            <w:tcBorders>
              <w:top w:val="single" w:sz="4" w:space="0" w:color="auto"/>
              <w:bottom w:val="single" w:sz="4" w:space="0" w:color="auto"/>
            </w:tcBorders>
            <w:shd w:val="clear" w:color="auto" w:fill="auto"/>
          </w:tcPr>
          <w:p w14:paraId="7D94F1AD" w14:textId="77777777" w:rsidR="00207B1C" w:rsidRPr="005E3B43" w:rsidRDefault="00207B1C" w:rsidP="00763BCF">
            <w:pPr>
              <w:pStyle w:val="Tabletext"/>
            </w:pPr>
            <w:r w:rsidRPr="005E3B43">
              <w:t>9</w:t>
            </w:r>
          </w:p>
        </w:tc>
        <w:tc>
          <w:tcPr>
            <w:tcW w:w="4271" w:type="pct"/>
            <w:tcBorders>
              <w:top w:val="single" w:sz="4" w:space="0" w:color="auto"/>
              <w:bottom w:val="single" w:sz="4" w:space="0" w:color="auto"/>
            </w:tcBorders>
            <w:shd w:val="clear" w:color="auto" w:fill="auto"/>
          </w:tcPr>
          <w:p w14:paraId="56086452" w14:textId="77777777" w:rsidR="00207B1C" w:rsidRPr="005E3B43" w:rsidRDefault="00207B1C" w:rsidP="00763BCF">
            <w:pPr>
              <w:pStyle w:val="Tabletext"/>
            </w:pPr>
            <w:r w:rsidRPr="005E3B43">
              <w:t>Australian Federation of Homoeopaths</w:t>
            </w:r>
          </w:p>
        </w:tc>
      </w:tr>
      <w:tr w:rsidR="00207B1C" w:rsidRPr="005E3B43" w14:paraId="47938581" w14:textId="77777777" w:rsidTr="005A786D">
        <w:tc>
          <w:tcPr>
            <w:tcW w:w="729" w:type="pct"/>
            <w:tcBorders>
              <w:top w:val="single" w:sz="4" w:space="0" w:color="auto"/>
              <w:bottom w:val="single" w:sz="4" w:space="0" w:color="auto"/>
            </w:tcBorders>
            <w:shd w:val="clear" w:color="auto" w:fill="auto"/>
          </w:tcPr>
          <w:p w14:paraId="0989E5AA" w14:textId="77777777" w:rsidR="00207B1C" w:rsidRPr="005E3B43" w:rsidRDefault="00207B1C" w:rsidP="00763BCF">
            <w:pPr>
              <w:pStyle w:val="Tabletext"/>
            </w:pPr>
            <w:r w:rsidRPr="005E3B43">
              <w:t>9A</w:t>
            </w:r>
          </w:p>
        </w:tc>
        <w:tc>
          <w:tcPr>
            <w:tcW w:w="4271" w:type="pct"/>
            <w:tcBorders>
              <w:top w:val="single" w:sz="4" w:space="0" w:color="auto"/>
              <w:bottom w:val="single" w:sz="4" w:space="0" w:color="auto"/>
            </w:tcBorders>
            <w:shd w:val="clear" w:color="auto" w:fill="auto"/>
          </w:tcPr>
          <w:p w14:paraId="0A3C54F2" w14:textId="77777777" w:rsidR="00207B1C" w:rsidRPr="005E3B43" w:rsidRDefault="00207B1C" w:rsidP="00763BCF">
            <w:pPr>
              <w:pStyle w:val="Tabletext"/>
            </w:pPr>
            <w:r w:rsidRPr="005E3B43">
              <w:t>Australian Federation of Homoeopaths (Qld.) Inc.</w:t>
            </w:r>
          </w:p>
        </w:tc>
      </w:tr>
      <w:tr w:rsidR="00207B1C" w:rsidRPr="005E3B43" w14:paraId="151F0FEE" w14:textId="77777777" w:rsidTr="005A786D">
        <w:tc>
          <w:tcPr>
            <w:tcW w:w="729" w:type="pct"/>
            <w:tcBorders>
              <w:top w:val="single" w:sz="4" w:space="0" w:color="auto"/>
              <w:bottom w:val="single" w:sz="4" w:space="0" w:color="auto"/>
            </w:tcBorders>
            <w:shd w:val="clear" w:color="auto" w:fill="auto"/>
          </w:tcPr>
          <w:p w14:paraId="01758B8C" w14:textId="77777777" w:rsidR="00207B1C" w:rsidRPr="005E3B43" w:rsidRDefault="00207B1C" w:rsidP="00763BCF">
            <w:pPr>
              <w:pStyle w:val="Tabletext"/>
            </w:pPr>
            <w:r w:rsidRPr="005E3B43">
              <w:t>9B</w:t>
            </w:r>
          </w:p>
        </w:tc>
        <w:tc>
          <w:tcPr>
            <w:tcW w:w="4271" w:type="pct"/>
            <w:tcBorders>
              <w:top w:val="single" w:sz="4" w:space="0" w:color="auto"/>
              <w:bottom w:val="single" w:sz="4" w:space="0" w:color="auto"/>
            </w:tcBorders>
            <w:shd w:val="clear" w:color="auto" w:fill="auto"/>
          </w:tcPr>
          <w:p w14:paraId="157719A2" w14:textId="77777777" w:rsidR="00207B1C" w:rsidRPr="005E3B43" w:rsidRDefault="00207B1C" w:rsidP="00763BCF">
            <w:pPr>
              <w:pStyle w:val="Tabletext"/>
            </w:pPr>
            <w:r w:rsidRPr="005E3B43">
              <w:t>Australian Federation of Homoeopaths (WA) Inc.</w:t>
            </w:r>
          </w:p>
        </w:tc>
      </w:tr>
      <w:tr w:rsidR="00207B1C" w:rsidRPr="005E3B43" w14:paraId="4F99281E" w14:textId="77777777" w:rsidTr="005A786D">
        <w:tc>
          <w:tcPr>
            <w:tcW w:w="729" w:type="pct"/>
            <w:tcBorders>
              <w:top w:val="single" w:sz="4" w:space="0" w:color="auto"/>
              <w:bottom w:val="single" w:sz="4" w:space="0" w:color="auto"/>
            </w:tcBorders>
            <w:shd w:val="clear" w:color="auto" w:fill="auto"/>
          </w:tcPr>
          <w:p w14:paraId="63B2E5A7" w14:textId="77777777" w:rsidR="00207B1C" w:rsidRPr="005E3B43" w:rsidRDefault="00207B1C" w:rsidP="00763BCF">
            <w:pPr>
              <w:pStyle w:val="Tabletext"/>
            </w:pPr>
            <w:r w:rsidRPr="005E3B43">
              <w:t>10</w:t>
            </w:r>
          </w:p>
        </w:tc>
        <w:tc>
          <w:tcPr>
            <w:tcW w:w="4271" w:type="pct"/>
            <w:tcBorders>
              <w:top w:val="single" w:sz="4" w:space="0" w:color="auto"/>
              <w:bottom w:val="single" w:sz="4" w:space="0" w:color="auto"/>
            </w:tcBorders>
            <w:shd w:val="clear" w:color="auto" w:fill="auto"/>
          </w:tcPr>
          <w:p w14:paraId="61212519" w14:textId="77777777" w:rsidR="00207B1C" w:rsidRPr="005E3B43" w:rsidRDefault="00207B1C" w:rsidP="00763BCF">
            <w:pPr>
              <w:pStyle w:val="Tabletext"/>
            </w:pPr>
            <w:r w:rsidRPr="005E3B43">
              <w:t>Australian Natural Therapists Association Ltd</w:t>
            </w:r>
          </w:p>
        </w:tc>
      </w:tr>
      <w:tr w:rsidR="00207B1C" w:rsidRPr="005E3B43" w14:paraId="62910EEC" w14:textId="77777777" w:rsidTr="005A786D">
        <w:tc>
          <w:tcPr>
            <w:tcW w:w="729" w:type="pct"/>
            <w:tcBorders>
              <w:top w:val="single" w:sz="4" w:space="0" w:color="auto"/>
              <w:bottom w:val="single" w:sz="4" w:space="0" w:color="auto"/>
            </w:tcBorders>
            <w:shd w:val="clear" w:color="auto" w:fill="auto"/>
          </w:tcPr>
          <w:p w14:paraId="41A4E04A" w14:textId="77777777" w:rsidR="00207B1C" w:rsidRPr="005E3B43" w:rsidRDefault="00207B1C" w:rsidP="00763BCF">
            <w:pPr>
              <w:pStyle w:val="Tabletext"/>
            </w:pPr>
            <w:r w:rsidRPr="005E3B43">
              <w:t>11</w:t>
            </w:r>
          </w:p>
        </w:tc>
        <w:tc>
          <w:tcPr>
            <w:tcW w:w="4271" w:type="pct"/>
            <w:tcBorders>
              <w:top w:val="single" w:sz="4" w:space="0" w:color="auto"/>
              <w:bottom w:val="single" w:sz="4" w:space="0" w:color="auto"/>
            </w:tcBorders>
            <w:shd w:val="clear" w:color="auto" w:fill="auto"/>
          </w:tcPr>
          <w:p w14:paraId="6D3D451B" w14:textId="77777777" w:rsidR="00207B1C" w:rsidRPr="005E3B43" w:rsidRDefault="00207B1C" w:rsidP="00763BCF">
            <w:pPr>
              <w:pStyle w:val="Tabletext"/>
            </w:pPr>
            <w:r w:rsidRPr="005E3B43">
              <w:t>Australian Naturopathic Practitioners and Chiropractors Association</w:t>
            </w:r>
          </w:p>
        </w:tc>
      </w:tr>
      <w:tr w:rsidR="00207B1C" w:rsidRPr="005E3B43" w14:paraId="3161A895" w14:textId="77777777" w:rsidTr="005A786D">
        <w:tc>
          <w:tcPr>
            <w:tcW w:w="729" w:type="pct"/>
            <w:tcBorders>
              <w:top w:val="single" w:sz="4" w:space="0" w:color="auto"/>
              <w:bottom w:val="single" w:sz="4" w:space="0" w:color="auto"/>
            </w:tcBorders>
            <w:shd w:val="clear" w:color="auto" w:fill="auto"/>
          </w:tcPr>
          <w:p w14:paraId="71F66626" w14:textId="77777777" w:rsidR="00207B1C" w:rsidRPr="005E3B43" w:rsidRDefault="00207B1C" w:rsidP="00763BCF">
            <w:pPr>
              <w:pStyle w:val="Tabletext"/>
            </w:pPr>
            <w:r w:rsidRPr="005E3B43">
              <w:t>11A</w:t>
            </w:r>
          </w:p>
        </w:tc>
        <w:tc>
          <w:tcPr>
            <w:tcW w:w="4271" w:type="pct"/>
            <w:tcBorders>
              <w:top w:val="single" w:sz="4" w:space="0" w:color="auto"/>
              <w:bottom w:val="single" w:sz="4" w:space="0" w:color="auto"/>
            </w:tcBorders>
            <w:shd w:val="clear" w:color="auto" w:fill="auto"/>
          </w:tcPr>
          <w:p w14:paraId="14B9A7A9" w14:textId="77777777" w:rsidR="00207B1C" w:rsidRPr="005E3B43" w:rsidRDefault="00207B1C" w:rsidP="00763BCF">
            <w:pPr>
              <w:pStyle w:val="Tabletext"/>
            </w:pPr>
            <w:r w:rsidRPr="005E3B43">
              <w:t>Australian Society of Homeopaths Inc</w:t>
            </w:r>
          </w:p>
        </w:tc>
      </w:tr>
      <w:tr w:rsidR="00207B1C" w:rsidRPr="005E3B43" w14:paraId="15E213D1" w14:textId="77777777" w:rsidTr="005A786D">
        <w:tc>
          <w:tcPr>
            <w:tcW w:w="729" w:type="pct"/>
            <w:tcBorders>
              <w:top w:val="single" w:sz="4" w:space="0" w:color="auto"/>
              <w:bottom w:val="single" w:sz="4" w:space="0" w:color="auto"/>
            </w:tcBorders>
            <w:shd w:val="clear" w:color="auto" w:fill="auto"/>
          </w:tcPr>
          <w:p w14:paraId="0A8D19B9" w14:textId="77777777" w:rsidR="00207B1C" w:rsidRPr="005E3B43" w:rsidRDefault="00207B1C" w:rsidP="00763BCF">
            <w:pPr>
              <w:pStyle w:val="Tabletext"/>
            </w:pPr>
            <w:r w:rsidRPr="005E3B43">
              <w:t>12</w:t>
            </w:r>
          </w:p>
        </w:tc>
        <w:tc>
          <w:tcPr>
            <w:tcW w:w="4271" w:type="pct"/>
            <w:tcBorders>
              <w:top w:val="single" w:sz="4" w:space="0" w:color="auto"/>
              <w:bottom w:val="single" w:sz="4" w:space="0" w:color="auto"/>
            </w:tcBorders>
            <w:shd w:val="clear" w:color="auto" w:fill="auto"/>
          </w:tcPr>
          <w:p w14:paraId="62208D85" w14:textId="77777777" w:rsidR="00207B1C" w:rsidRPr="005E3B43" w:rsidRDefault="00207B1C" w:rsidP="00763BCF">
            <w:pPr>
              <w:pStyle w:val="Tabletext"/>
            </w:pPr>
            <w:r w:rsidRPr="005E3B43">
              <w:t>Australian Traditional Chinese Herbalists Association (Qld)</w:t>
            </w:r>
          </w:p>
        </w:tc>
      </w:tr>
      <w:tr w:rsidR="00207B1C" w:rsidRPr="005E3B43" w14:paraId="5DB083DE" w14:textId="77777777" w:rsidTr="005A786D">
        <w:tc>
          <w:tcPr>
            <w:tcW w:w="729" w:type="pct"/>
            <w:tcBorders>
              <w:top w:val="single" w:sz="4" w:space="0" w:color="auto"/>
              <w:bottom w:val="single" w:sz="4" w:space="0" w:color="auto"/>
            </w:tcBorders>
            <w:shd w:val="clear" w:color="auto" w:fill="auto"/>
          </w:tcPr>
          <w:p w14:paraId="1D1EED01" w14:textId="77777777" w:rsidR="00207B1C" w:rsidRPr="005E3B43" w:rsidRDefault="00207B1C" w:rsidP="00763BCF">
            <w:pPr>
              <w:pStyle w:val="Tabletext"/>
            </w:pPr>
            <w:r w:rsidRPr="005E3B43">
              <w:t>13</w:t>
            </w:r>
          </w:p>
        </w:tc>
        <w:tc>
          <w:tcPr>
            <w:tcW w:w="4271" w:type="pct"/>
            <w:tcBorders>
              <w:top w:val="single" w:sz="4" w:space="0" w:color="auto"/>
              <w:bottom w:val="single" w:sz="4" w:space="0" w:color="auto"/>
            </w:tcBorders>
            <w:shd w:val="clear" w:color="auto" w:fill="auto"/>
          </w:tcPr>
          <w:p w14:paraId="4676FC0E" w14:textId="77777777" w:rsidR="00207B1C" w:rsidRPr="005E3B43" w:rsidRDefault="00207B1C" w:rsidP="00763BCF">
            <w:pPr>
              <w:pStyle w:val="Tabletext"/>
            </w:pPr>
            <w:r w:rsidRPr="005E3B43">
              <w:t>Australian Traditional Chinese Medicine Association Inc.</w:t>
            </w:r>
          </w:p>
        </w:tc>
      </w:tr>
      <w:tr w:rsidR="00207B1C" w:rsidRPr="005E3B43" w14:paraId="20CC8B9D" w14:textId="77777777" w:rsidTr="005A786D">
        <w:tc>
          <w:tcPr>
            <w:tcW w:w="729" w:type="pct"/>
            <w:tcBorders>
              <w:top w:val="single" w:sz="4" w:space="0" w:color="auto"/>
              <w:bottom w:val="single" w:sz="4" w:space="0" w:color="auto"/>
            </w:tcBorders>
            <w:shd w:val="clear" w:color="auto" w:fill="auto"/>
          </w:tcPr>
          <w:p w14:paraId="57BFD33C" w14:textId="77777777" w:rsidR="00207B1C" w:rsidRPr="005E3B43" w:rsidRDefault="00207B1C" w:rsidP="00763BCF">
            <w:pPr>
              <w:pStyle w:val="Tabletext"/>
            </w:pPr>
            <w:r w:rsidRPr="005E3B43">
              <w:t>14</w:t>
            </w:r>
          </w:p>
        </w:tc>
        <w:tc>
          <w:tcPr>
            <w:tcW w:w="4271" w:type="pct"/>
            <w:tcBorders>
              <w:top w:val="single" w:sz="4" w:space="0" w:color="auto"/>
              <w:bottom w:val="single" w:sz="4" w:space="0" w:color="auto"/>
            </w:tcBorders>
            <w:shd w:val="clear" w:color="auto" w:fill="auto"/>
          </w:tcPr>
          <w:p w14:paraId="75177ABD" w14:textId="77777777" w:rsidR="00207B1C" w:rsidRPr="005E3B43" w:rsidRDefault="00207B1C" w:rsidP="00763BCF">
            <w:pPr>
              <w:pStyle w:val="Tabletext"/>
            </w:pPr>
            <w:r w:rsidRPr="005E3B43">
              <w:t>Australian Traditional Medicine Society</w:t>
            </w:r>
          </w:p>
        </w:tc>
      </w:tr>
      <w:tr w:rsidR="00207B1C" w:rsidRPr="005E3B43" w14:paraId="1E375B5E" w14:textId="77777777" w:rsidTr="005A786D">
        <w:tc>
          <w:tcPr>
            <w:tcW w:w="729" w:type="pct"/>
            <w:tcBorders>
              <w:top w:val="single" w:sz="4" w:space="0" w:color="auto"/>
              <w:bottom w:val="single" w:sz="4" w:space="0" w:color="auto"/>
            </w:tcBorders>
            <w:shd w:val="clear" w:color="auto" w:fill="auto"/>
          </w:tcPr>
          <w:p w14:paraId="6214CFB0" w14:textId="77777777" w:rsidR="00207B1C" w:rsidRPr="005E3B43" w:rsidRDefault="00207B1C" w:rsidP="00763BCF">
            <w:pPr>
              <w:pStyle w:val="Tabletext"/>
            </w:pPr>
            <w:r w:rsidRPr="005E3B43">
              <w:t>14A</w:t>
            </w:r>
          </w:p>
        </w:tc>
        <w:tc>
          <w:tcPr>
            <w:tcW w:w="4271" w:type="pct"/>
            <w:tcBorders>
              <w:top w:val="single" w:sz="4" w:space="0" w:color="auto"/>
              <w:bottom w:val="single" w:sz="4" w:space="0" w:color="auto"/>
            </w:tcBorders>
            <w:shd w:val="clear" w:color="auto" w:fill="auto"/>
          </w:tcPr>
          <w:p w14:paraId="537081FB" w14:textId="77777777" w:rsidR="00207B1C" w:rsidRPr="005E3B43" w:rsidRDefault="00207B1C" w:rsidP="00763BCF">
            <w:pPr>
              <w:pStyle w:val="Tabletext"/>
            </w:pPr>
            <w:r w:rsidRPr="005E3B43">
              <w:t>Australian Unani Medicines Society Inc.</w:t>
            </w:r>
          </w:p>
        </w:tc>
      </w:tr>
      <w:tr w:rsidR="00207B1C" w:rsidRPr="005E3B43" w14:paraId="730F4396" w14:textId="77777777" w:rsidTr="005A786D">
        <w:tc>
          <w:tcPr>
            <w:tcW w:w="729" w:type="pct"/>
            <w:tcBorders>
              <w:top w:val="single" w:sz="4" w:space="0" w:color="auto"/>
              <w:bottom w:val="single" w:sz="4" w:space="0" w:color="auto"/>
            </w:tcBorders>
            <w:shd w:val="clear" w:color="auto" w:fill="auto"/>
          </w:tcPr>
          <w:p w14:paraId="4CB8EF2D" w14:textId="77777777" w:rsidR="00207B1C" w:rsidRPr="005E3B43" w:rsidRDefault="00207B1C" w:rsidP="00763BCF">
            <w:pPr>
              <w:pStyle w:val="Tabletext"/>
            </w:pPr>
            <w:r w:rsidRPr="005E3B43">
              <w:t>15</w:t>
            </w:r>
          </w:p>
        </w:tc>
        <w:tc>
          <w:tcPr>
            <w:tcW w:w="4271" w:type="pct"/>
            <w:tcBorders>
              <w:top w:val="single" w:sz="4" w:space="0" w:color="auto"/>
              <w:bottom w:val="single" w:sz="4" w:space="0" w:color="auto"/>
            </w:tcBorders>
            <w:shd w:val="clear" w:color="auto" w:fill="auto"/>
          </w:tcPr>
          <w:p w14:paraId="6DBC7CDE" w14:textId="77777777" w:rsidR="00207B1C" w:rsidRPr="005E3B43" w:rsidRDefault="00207B1C" w:rsidP="00763BCF">
            <w:pPr>
              <w:pStyle w:val="Tabletext"/>
            </w:pPr>
            <w:r w:rsidRPr="005E3B43">
              <w:t>Chinese Medicine Association Pty Ltd</w:t>
            </w:r>
          </w:p>
        </w:tc>
      </w:tr>
      <w:tr w:rsidR="00207B1C" w:rsidRPr="005E3B43" w14:paraId="7D1E5F9E" w14:textId="77777777" w:rsidTr="005A786D">
        <w:tc>
          <w:tcPr>
            <w:tcW w:w="729" w:type="pct"/>
            <w:tcBorders>
              <w:top w:val="single" w:sz="4" w:space="0" w:color="auto"/>
              <w:bottom w:val="single" w:sz="4" w:space="0" w:color="auto"/>
            </w:tcBorders>
            <w:shd w:val="clear" w:color="auto" w:fill="auto"/>
          </w:tcPr>
          <w:p w14:paraId="2BA0C3E9" w14:textId="77777777" w:rsidR="00207B1C" w:rsidRPr="005E3B43" w:rsidRDefault="00207B1C" w:rsidP="00763BCF">
            <w:pPr>
              <w:pStyle w:val="Tabletext"/>
            </w:pPr>
            <w:r w:rsidRPr="005E3B43">
              <w:t>15A</w:t>
            </w:r>
          </w:p>
        </w:tc>
        <w:tc>
          <w:tcPr>
            <w:tcW w:w="4271" w:type="pct"/>
            <w:tcBorders>
              <w:top w:val="single" w:sz="4" w:space="0" w:color="auto"/>
              <w:bottom w:val="single" w:sz="4" w:space="0" w:color="auto"/>
            </w:tcBorders>
            <w:shd w:val="clear" w:color="auto" w:fill="auto"/>
          </w:tcPr>
          <w:p w14:paraId="51888335" w14:textId="77777777" w:rsidR="00207B1C" w:rsidRPr="005E3B43" w:rsidRDefault="00207B1C" w:rsidP="00763BCF">
            <w:pPr>
              <w:pStyle w:val="Tabletext"/>
            </w:pPr>
            <w:r w:rsidRPr="005E3B43">
              <w:t>Chinese Medicine Association of Australia Inc.</w:t>
            </w:r>
          </w:p>
        </w:tc>
      </w:tr>
      <w:tr w:rsidR="00207B1C" w:rsidRPr="005E3B43" w14:paraId="115C6F40" w14:textId="77777777" w:rsidTr="005A786D">
        <w:tc>
          <w:tcPr>
            <w:tcW w:w="729" w:type="pct"/>
            <w:tcBorders>
              <w:top w:val="single" w:sz="4" w:space="0" w:color="auto"/>
              <w:bottom w:val="single" w:sz="4" w:space="0" w:color="auto"/>
            </w:tcBorders>
            <w:shd w:val="clear" w:color="auto" w:fill="auto"/>
          </w:tcPr>
          <w:p w14:paraId="114728A9" w14:textId="77777777" w:rsidR="00207B1C" w:rsidRPr="005E3B43" w:rsidRDefault="00207B1C" w:rsidP="00763BCF">
            <w:pPr>
              <w:pStyle w:val="Tabletext"/>
            </w:pPr>
            <w:r w:rsidRPr="005E3B43">
              <w:t>16</w:t>
            </w:r>
          </w:p>
        </w:tc>
        <w:tc>
          <w:tcPr>
            <w:tcW w:w="4271" w:type="pct"/>
            <w:tcBorders>
              <w:top w:val="single" w:sz="4" w:space="0" w:color="auto"/>
              <w:bottom w:val="single" w:sz="4" w:space="0" w:color="auto"/>
            </w:tcBorders>
            <w:shd w:val="clear" w:color="auto" w:fill="auto"/>
          </w:tcPr>
          <w:p w14:paraId="71EFA366" w14:textId="77777777" w:rsidR="00207B1C" w:rsidRPr="005E3B43" w:rsidRDefault="00207B1C" w:rsidP="00763BCF">
            <w:pPr>
              <w:pStyle w:val="Tabletext"/>
            </w:pPr>
            <w:r w:rsidRPr="005E3B43">
              <w:t>Complementary Medicine Association</w:t>
            </w:r>
          </w:p>
        </w:tc>
      </w:tr>
      <w:tr w:rsidR="00207B1C" w:rsidRPr="005E3B43" w14:paraId="52EA2EDC" w14:textId="77777777" w:rsidTr="005A786D">
        <w:tc>
          <w:tcPr>
            <w:tcW w:w="729" w:type="pct"/>
            <w:tcBorders>
              <w:top w:val="single" w:sz="4" w:space="0" w:color="auto"/>
              <w:bottom w:val="single" w:sz="4" w:space="0" w:color="auto"/>
            </w:tcBorders>
            <w:shd w:val="clear" w:color="auto" w:fill="auto"/>
          </w:tcPr>
          <w:p w14:paraId="2224B302" w14:textId="77777777" w:rsidR="00207B1C" w:rsidRPr="005E3B43" w:rsidRDefault="00207B1C" w:rsidP="00763BCF">
            <w:pPr>
              <w:pStyle w:val="Tabletext"/>
            </w:pPr>
            <w:r w:rsidRPr="005E3B43">
              <w:t>16A</w:t>
            </w:r>
          </w:p>
        </w:tc>
        <w:tc>
          <w:tcPr>
            <w:tcW w:w="4271" w:type="pct"/>
            <w:tcBorders>
              <w:top w:val="single" w:sz="4" w:space="0" w:color="auto"/>
              <w:bottom w:val="single" w:sz="4" w:space="0" w:color="auto"/>
            </w:tcBorders>
            <w:shd w:val="clear" w:color="auto" w:fill="auto"/>
          </w:tcPr>
          <w:p w14:paraId="74F41583" w14:textId="77777777" w:rsidR="00207B1C" w:rsidRPr="005E3B43" w:rsidRDefault="00207B1C" w:rsidP="00763BCF">
            <w:pPr>
              <w:pStyle w:val="Tabletext"/>
            </w:pPr>
            <w:r w:rsidRPr="005E3B43">
              <w:t>Federation of Chinese Medicine and Acupuncture Societies of Australia</w:t>
            </w:r>
          </w:p>
        </w:tc>
      </w:tr>
      <w:tr w:rsidR="00207B1C" w:rsidRPr="005E3B43" w14:paraId="0B3B3586" w14:textId="77777777" w:rsidTr="005A786D">
        <w:tc>
          <w:tcPr>
            <w:tcW w:w="729" w:type="pct"/>
            <w:tcBorders>
              <w:top w:val="single" w:sz="4" w:space="0" w:color="auto"/>
              <w:bottom w:val="single" w:sz="4" w:space="0" w:color="auto"/>
            </w:tcBorders>
            <w:shd w:val="clear" w:color="auto" w:fill="auto"/>
          </w:tcPr>
          <w:p w14:paraId="7D1499E4" w14:textId="77777777" w:rsidR="00207B1C" w:rsidRPr="005E3B43" w:rsidRDefault="00207B1C" w:rsidP="00763BCF">
            <w:pPr>
              <w:pStyle w:val="Tabletext"/>
            </w:pPr>
            <w:r w:rsidRPr="005E3B43">
              <w:t>17</w:t>
            </w:r>
          </w:p>
        </w:tc>
        <w:tc>
          <w:tcPr>
            <w:tcW w:w="4271" w:type="pct"/>
            <w:tcBorders>
              <w:top w:val="single" w:sz="4" w:space="0" w:color="auto"/>
              <w:bottom w:val="single" w:sz="4" w:space="0" w:color="auto"/>
            </w:tcBorders>
            <w:shd w:val="clear" w:color="auto" w:fill="auto"/>
          </w:tcPr>
          <w:p w14:paraId="1A60B638" w14:textId="77777777" w:rsidR="00207B1C" w:rsidRPr="005E3B43" w:rsidRDefault="00207B1C" w:rsidP="00763BCF">
            <w:pPr>
              <w:pStyle w:val="Tabletext"/>
            </w:pPr>
            <w:r w:rsidRPr="005E3B43">
              <w:t>Homoeopathic Education and Research Association</w:t>
            </w:r>
          </w:p>
        </w:tc>
      </w:tr>
      <w:tr w:rsidR="00207B1C" w:rsidRPr="005E3B43" w14:paraId="774617F6" w14:textId="77777777" w:rsidTr="005A786D">
        <w:tc>
          <w:tcPr>
            <w:tcW w:w="729" w:type="pct"/>
            <w:tcBorders>
              <w:top w:val="single" w:sz="4" w:space="0" w:color="auto"/>
              <w:bottom w:val="single" w:sz="4" w:space="0" w:color="auto"/>
            </w:tcBorders>
            <w:shd w:val="clear" w:color="auto" w:fill="auto"/>
          </w:tcPr>
          <w:p w14:paraId="79810B7A" w14:textId="77777777" w:rsidR="00207B1C" w:rsidRPr="005E3B43" w:rsidRDefault="00207B1C" w:rsidP="00763BCF">
            <w:pPr>
              <w:pStyle w:val="Tabletext"/>
            </w:pPr>
            <w:r w:rsidRPr="005E3B43">
              <w:t>17A</w:t>
            </w:r>
          </w:p>
        </w:tc>
        <w:tc>
          <w:tcPr>
            <w:tcW w:w="4271" w:type="pct"/>
            <w:tcBorders>
              <w:top w:val="single" w:sz="4" w:space="0" w:color="auto"/>
              <w:bottom w:val="single" w:sz="4" w:space="0" w:color="auto"/>
            </w:tcBorders>
            <w:shd w:val="clear" w:color="auto" w:fill="auto"/>
          </w:tcPr>
          <w:p w14:paraId="66A23131" w14:textId="77777777" w:rsidR="00207B1C" w:rsidRPr="005E3B43" w:rsidRDefault="00207B1C" w:rsidP="00763BCF">
            <w:pPr>
              <w:pStyle w:val="Tabletext"/>
            </w:pPr>
            <w:r w:rsidRPr="005E3B43">
              <w:t>International Association of Trichologists</w:t>
            </w:r>
          </w:p>
        </w:tc>
      </w:tr>
      <w:tr w:rsidR="00207B1C" w:rsidRPr="005E3B43" w14:paraId="45693957" w14:textId="77777777" w:rsidTr="005A786D">
        <w:tc>
          <w:tcPr>
            <w:tcW w:w="729" w:type="pct"/>
            <w:tcBorders>
              <w:top w:val="single" w:sz="4" w:space="0" w:color="auto"/>
              <w:bottom w:val="single" w:sz="4" w:space="0" w:color="auto"/>
            </w:tcBorders>
            <w:shd w:val="clear" w:color="auto" w:fill="auto"/>
          </w:tcPr>
          <w:p w14:paraId="57123F89" w14:textId="77777777" w:rsidR="00207B1C" w:rsidRPr="005E3B43" w:rsidRDefault="00207B1C" w:rsidP="00763BCF">
            <w:pPr>
              <w:pStyle w:val="Tabletext"/>
            </w:pPr>
            <w:r w:rsidRPr="005E3B43">
              <w:t>17B</w:t>
            </w:r>
          </w:p>
        </w:tc>
        <w:tc>
          <w:tcPr>
            <w:tcW w:w="4271" w:type="pct"/>
            <w:tcBorders>
              <w:top w:val="single" w:sz="4" w:space="0" w:color="auto"/>
              <w:bottom w:val="single" w:sz="4" w:space="0" w:color="auto"/>
            </w:tcBorders>
            <w:shd w:val="clear" w:color="auto" w:fill="auto"/>
          </w:tcPr>
          <w:p w14:paraId="721C5EAE" w14:textId="77777777" w:rsidR="00207B1C" w:rsidRPr="005E3B43" w:rsidRDefault="00207B1C" w:rsidP="00763BCF">
            <w:pPr>
              <w:pStyle w:val="Tabletext"/>
            </w:pPr>
            <w:r w:rsidRPr="005E3B43">
              <w:t>International Christian Association of Natural Therapists Ltd (ICANT)</w:t>
            </w:r>
          </w:p>
        </w:tc>
      </w:tr>
      <w:tr w:rsidR="00207B1C" w:rsidRPr="005E3B43" w14:paraId="09B4AE67" w14:textId="77777777" w:rsidTr="005A786D">
        <w:tc>
          <w:tcPr>
            <w:tcW w:w="729" w:type="pct"/>
            <w:tcBorders>
              <w:top w:val="single" w:sz="4" w:space="0" w:color="auto"/>
              <w:bottom w:val="single" w:sz="4" w:space="0" w:color="auto"/>
            </w:tcBorders>
            <w:shd w:val="clear" w:color="auto" w:fill="auto"/>
          </w:tcPr>
          <w:p w14:paraId="70C98975" w14:textId="77777777" w:rsidR="00207B1C" w:rsidRPr="005E3B43" w:rsidRDefault="00207B1C" w:rsidP="00763BCF">
            <w:pPr>
              <w:pStyle w:val="Tabletext"/>
            </w:pPr>
            <w:r w:rsidRPr="005E3B43">
              <w:t>18</w:t>
            </w:r>
          </w:p>
        </w:tc>
        <w:tc>
          <w:tcPr>
            <w:tcW w:w="4271" w:type="pct"/>
            <w:tcBorders>
              <w:top w:val="single" w:sz="4" w:space="0" w:color="auto"/>
              <w:bottom w:val="single" w:sz="4" w:space="0" w:color="auto"/>
            </w:tcBorders>
            <w:shd w:val="clear" w:color="auto" w:fill="auto"/>
          </w:tcPr>
          <w:p w14:paraId="7EAB38F3" w14:textId="77777777" w:rsidR="00207B1C" w:rsidRPr="005E3B43" w:rsidRDefault="00207B1C" w:rsidP="00763BCF">
            <w:pPr>
              <w:pStyle w:val="Tabletext"/>
            </w:pPr>
            <w:r w:rsidRPr="005E3B43">
              <w:t>National Herbalists Association of Australia</w:t>
            </w:r>
          </w:p>
        </w:tc>
      </w:tr>
      <w:tr w:rsidR="00207B1C" w:rsidRPr="005E3B43" w14:paraId="486893B4" w14:textId="77777777" w:rsidTr="005A786D">
        <w:tc>
          <w:tcPr>
            <w:tcW w:w="729" w:type="pct"/>
            <w:tcBorders>
              <w:top w:val="single" w:sz="4" w:space="0" w:color="auto"/>
              <w:bottom w:val="single" w:sz="4" w:space="0" w:color="auto"/>
            </w:tcBorders>
            <w:shd w:val="clear" w:color="auto" w:fill="auto"/>
          </w:tcPr>
          <w:p w14:paraId="73935D16" w14:textId="77777777" w:rsidR="00207B1C" w:rsidRPr="005E3B43" w:rsidRDefault="00207B1C" w:rsidP="00763BCF">
            <w:pPr>
              <w:pStyle w:val="Tabletext"/>
            </w:pPr>
            <w:r w:rsidRPr="005E3B43">
              <w:t>18A</w:t>
            </w:r>
          </w:p>
        </w:tc>
        <w:tc>
          <w:tcPr>
            <w:tcW w:w="4271" w:type="pct"/>
            <w:tcBorders>
              <w:top w:val="single" w:sz="4" w:space="0" w:color="auto"/>
              <w:bottom w:val="single" w:sz="4" w:space="0" w:color="auto"/>
            </w:tcBorders>
            <w:shd w:val="clear" w:color="auto" w:fill="auto"/>
          </w:tcPr>
          <w:p w14:paraId="7767139E" w14:textId="77777777" w:rsidR="00207B1C" w:rsidRPr="005E3B43" w:rsidRDefault="00207B1C" w:rsidP="00763BCF">
            <w:pPr>
              <w:pStyle w:val="Tabletext"/>
            </w:pPr>
            <w:r w:rsidRPr="005E3B43">
              <w:t>Naturopathic Physicians Association of Australia Inc.</w:t>
            </w:r>
          </w:p>
        </w:tc>
      </w:tr>
      <w:tr w:rsidR="00207B1C" w:rsidRPr="005E3B43" w14:paraId="6DF11A36" w14:textId="77777777" w:rsidTr="005A786D">
        <w:tc>
          <w:tcPr>
            <w:tcW w:w="729" w:type="pct"/>
            <w:tcBorders>
              <w:top w:val="single" w:sz="4" w:space="0" w:color="auto"/>
              <w:bottom w:val="single" w:sz="4" w:space="0" w:color="auto"/>
            </w:tcBorders>
            <w:shd w:val="clear" w:color="auto" w:fill="auto"/>
          </w:tcPr>
          <w:p w14:paraId="6EF72B3E" w14:textId="77777777" w:rsidR="00207B1C" w:rsidRPr="005E3B43" w:rsidRDefault="00207B1C" w:rsidP="00763BCF">
            <w:pPr>
              <w:pStyle w:val="Tabletext"/>
            </w:pPr>
            <w:r w:rsidRPr="005E3B43">
              <w:t>19</w:t>
            </w:r>
          </w:p>
        </w:tc>
        <w:tc>
          <w:tcPr>
            <w:tcW w:w="4271" w:type="pct"/>
            <w:tcBorders>
              <w:top w:val="single" w:sz="4" w:space="0" w:color="auto"/>
              <w:bottom w:val="single" w:sz="4" w:space="0" w:color="auto"/>
            </w:tcBorders>
            <w:shd w:val="clear" w:color="auto" w:fill="auto"/>
          </w:tcPr>
          <w:p w14:paraId="1B42D4F9" w14:textId="77777777" w:rsidR="00207B1C" w:rsidRPr="005E3B43" w:rsidRDefault="00207B1C" w:rsidP="00763BCF">
            <w:pPr>
              <w:pStyle w:val="Tabletext"/>
            </w:pPr>
            <w:r w:rsidRPr="005E3B43">
              <w:t>Queensland Naturopathic Association</w:t>
            </w:r>
          </w:p>
        </w:tc>
      </w:tr>
      <w:tr w:rsidR="00207B1C" w:rsidRPr="005E3B43" w14:paraId="2CD44C7C" w14:textId="77777777" w:rsidTr="005A786D">
        <w:tc>
          <w:tcPr>
            <w:tcW w:w="729" w:type="pct"/>
            <w:tcBorders>
              <w:top w:val="single" w:sz="4" w:space="0" w:color="auto"/>
              <w:bottom w:val="single" w:sz="4" w:space="0" w:color="auto"/>
            </w:tcBorders>
            <w:shd w:val="clear" w:color="auto" w:fill="auto"/>
          </w:tcPr>
          <w:p w14:paraId="55878DF1" w14:textId="77777777" w:rsidR="00207B1C" w:rsidRPr="005E3B43" w:rsidRDefault="00207B1C" w:rsidP="00763BCF">
            <w:pPr>
              <w:pStyle w:val="Tabletext"/>
            </w:pPr>
            <w:r w:rsidRPr="005E3B43">
              <w:t>20</w:t>
            </w:r>
          </w:p>
        </w:tc>
        <w:tc>
          <w:tcPr>
            <w:tcW w:w="4271" w:type="pct"/>
            <w:tcBorders>
              <w:top w:val="single" w:sz="4" w:space="0" w:color="auto"/>
              <w:bottom w:val="single" w:sz="4" w:space="0" w:color="auto"/>
            </w:tcBorders>
            <w:shd w:val="clear" w:color="auto" w:fill="auto"/>
          </w:tcPr>
          <w:p w14:paraId="4C5D27FF" w14:textId="77777777" w:rsidR="00207B1C" w:rsidRPr="005E3B43" w:rsidRDefault="00207B1C" w:rsidP="00763BCF">
            <w:pPr>
              <w:pStyle w:val="Tabletext"/>
            </w:pPr>
            <w:r w:rsidRPr="005E3B43">
              <w:t>Register of Acupuncture and Traditional Chinese Medicine</w:t>
            </w:r>
          </w:p>
        </w:tc>
      </w:tr>
      <w:tr w:rsidR="00207B1C" w:rsidRPr="005E3B43" w14:paraId="2F02D303" w14:textId="77777777" w:rsidTr="005A786D">
        <w:tc>
          <w:tcPr>
            <w:tcW w:w="729" w:type="pct"/>
            <w:tcBorders>
              <w:top w:val="single" w:sz="4" w:space="0" w:color="auto"/>
              <w:bottom w:val="single" w:sz="4" w:space="0" w:color="auto"/>
            </w:tcBorders>
            <w:shd w:val="clear" w:color="auto" w:fill="auto"/>
          </w:tcPr>
          <w:p w14:paraId="67870BA2" w14:textId="77777777" w:rsidR="00207B1C" w:rsidRPr="005E3B43" w:rsidRDefault="00207B1C" w:rsidP="00763BCF">
            <w:pPr>
              <w:pStyle w:val="Tabletext"/>
            </w:pPr>
            <w:r w:rsidRPr="005E3B43">
              <w:lastRenderedPageBreak/>
              <w:t>21</w:t>
            </w:r>
          </w:p>
        </w:tc>
        <w:tc>
          <w:tcPr>
            <w:tcW w:w="4271" w:type="pct"/>
            <w:tcBorders>
              <w:top w:val="single" w:sz="4" w:space="0" w:color="auto"/>
              <w:bottom w:val="single" w:sz="4" w:space="0" w:color="auto"/>
            </w:tcBorders>
            <w:shd w:val="clear" w:color="auto" w:fill="auto"/>
          </w:tcPr>
          <w:p w14:paraId="42D636D8" w14:textId="77777777" w:rsidR="00207B1C" w:rsidRPr="005E3B43" w:rsidRDefault="00207B1C" w:rsidP="00763BCF">
            <w:pPr>
              <w:pStyle w:val="Tabletext"/>
            </w:pPr>
            <w:r w:rsidRPr="005E3B43">
              <w:t>Society of Natural Therapists and Researchers [SNTR] Inc.</w:t>
            </w:r>
          </w:p>
        </w:tc>
      </w:tr>
      <w:tr w:rsidR="00207B1C" w:rsidRPr="005E3B43" w14:paraId="3EA85A39" w14:textId="77777777" w:rsidTr="005A786D">
        <w:tc>
          <w:tcPr>
            <w:tcW w:w="729" w:type="pct"/>
            <w:tcBorders>
              <w:top w:val="single" w:sz="4" w:space="0" w:color="auto"/>
              <w:bottom w:val="single" w:sz="4" w:space="0" w:color="auto"/>
            </w:tcBorders>
            <w:shd w:val="clear" w:color="auto" w:fill="auto"/>
          </w:tcPr>
          <w:p w14:paraId="1A65EC10" w14:textId="77777777" w:rsidR="00207B1C" w:rsidRPr="005E3B43" w:rsidRDefault="00207B1C" w:rsidP="00763BCF">
            <w:pPr>
              <w:pStyle w:val="Tabletext"/>
            </w:pPr>
            <w:r w:rsidRPr="005E3B43">
              <w:t>22</w:t>
            </w:r>
          </w:p>
        </w:tc>
        <w:tc>
          <w:tcPr>
            <w:tcW w:w="4271" w:type="pct"/>
            <w:tcBorders>
              <w:top w:val="single" w:sz="4" w:space="0" w:color="auto"/>
              <w:bottom w:val="single" w:sz="4" w:space="0" w:color="auto"/>
            </w:tcBorders>
            <w:shd w:val="clear" w:color="auto" w:fill="auto"/>
          </w:tcPr>
          <w:p w14:paraId="531DF0B6" w14:textId="77777777" w:rsidR="00207B1C" w:rsidRPr="005E3B43" w:rsidRDefault="00207B1C" w:rsidP="00763BCF">
            <w:pPr>
              <w:pStyle w:val="Tabletext"/>
            </w:pPr>
            <w:r w:rsidRPr="005E3B43">
              <w:t>Society of Classical Homoeopathy Ltd</w:t>
            </w:r>
          </w:p>
        </w:tc>
      </w:tr>
      <w:tr w:rsidR="00207B1C" w:rsidRPr="005E3B43" w14:paraId="34B41F2A" w14:textId="77777777" w:rsidTr="005A786D">
        <w:tc>
          <w:tcPr>
            <w:tcW w:w="729" w:type="pct"/>
            <w:tcBorders>
              <w:top w:val="single" w:sz="4" w:space="0" w:color="auto"/>
              <w:bottom w:val="single" w:sz="4" w:space="0" w:color="auto"/>
            </w:tcBorders>
            <w:shd w:val="clear" w:color="auto" w:fill="auto"/>
          </w:tcPr>
          <w:p w14:paraId="5B9A09F5" w14:textId="77777777" w:rsidR="00207B1C" w:rsidRPr="005E3B43" w:rsidRDefault="00207B1C" w:rsidP="00763BCF">
            <w:pPr>
              <w:pStyle w:val="Tabletext"/>
            </w:pPr>
            <w:r w:rsidRPr="005E3B43">
              <w:t>23</w:t>
            </w:r>
          </w:p>
        </w:tc>
        <w:tc>
          <w:tcPr>
            <w:tcW w:w="4271" w:type="pct"/>
            <w:tcBorders>
              <w:top w:val="single" w:sz="4" w:space="0" w:color="auto"/>
              <w:bottom w:val="single" w:sz="4" w:space="0" w:color="auto"/>
            </w:tcBorders>
            <w:shd w:val="clear" w:color="auto" w:fill="auto"/>
          </w:tcPr>
          <w:p w14:paraId="3F7CE042" w14:textId="77777777" w:rsidR="00207B1C" w:rsidRPr="005E3B43" w:rsidRDefault="00207B1C" w:rsidP="00763BCF">
            <w:pPr>
              <w:pStyle w:val="Tabletext"/>
            </w:pPr>
            <w:r w:rsidRPr="005E3B43">
              <w:t>Traditional Medicine of China Society Australia</w:t>
            </w:r>
          </w:p>
        </w:tc>
      </w:tr>
      <w:tr w:rsidR="00207B1C" w:rsidRPr="005E3B43" w14:paraId="2F9DBC69" w14:textId="77777777" w:rsidTr="005A786D">
        <w:tc>
          <w:tcPr>
            <w:tcW w:w="729" w:type="pct"/>
            <w:tcBorders>
              <w:top w:val="single" w:sz="4" w:space="0" w:color="auto"/>
              <w:bottom w:val="single" w:sz="4" w:space="0" w:color="auto"/>
            </w:tcBorders>
            <w:shd w:val="clear" w:color="auto" w:fill="auto"/>
          </w:tcPr>
          <w:p w14:paraId="7D1C6A44" w14:textId="77777777" w:rsidR="00207B1C" w:rsidRPr="005E3B43" w:rsidRDefault="00207B1C" w:rsidP="00763BCF">
            <w:pPr>
              <w:pStyle w:val="Tabletext"/>
            </w:pPr>
            <w:r w:rsidRPr="005E3B43">
              <w:t>24</w:t>
            </w:r>
          </w:p>
        </w:tc>
        <w:tc>
          <w:tcPr>
            <w:tcW w:w="4271" w:type="pct"/>
            <w:tcBorders>
              <w:top w:val="single" w:sz="4" w:space="0" w:color="auto"/>
              <w:bottom w:val="single" w:sz="4" w:space="0" w:color="auto"/>
            </w:tcBorders>
            <w:shd w:val="clear" w:color="auto" w:fill="auto"/>
          </w:tcPr>
          <w:p w14:paraId="4625B501" w14:textId="77777777" w:rsidR="00207B1C" w:rsidRPr="005E3B43" w:rsidRDefault="00207B1C" w:rsidP="00763BCF">
            <w:pPr>
              <w:pStyle w:val="Tabletext"/>
            </w:pPr>
            <w:r w:rsidRPr="005E3B43">
              <w:t xml:space="preserve">Society of Chinese Medicine and Acupuncture (Vic) Inc. </w:t>
            </w:r>
          </w:p>
        </w:tc>
      </w:tr>
      <w:tr w:rsidR="00207B1C" w:rsidRPr="005E3B43" w14:paraId="5DFA94A3" w14:textId="77777777" w:rsidTr="005A786D">
        <w:tc>
          <w:tcPr>
            <w:tcW w:w="729" w:type="pct"/>
            <w:tcBorders>
              <w:top w:val="single" w:sz="4" w:space="0" w:color="auto"/>
              <w:bottom w:val="single" w:sz="4" w:space="0" w:color="auto"/>
            </w:tcBorders>
            <w:shd w:val="clear" w:color="auto" w:fill="auto"/>
          </w:tcPr>
          <w:p w14:paraId="5151C1D7" w14:textId="77777777" w:rsidR="00207B1C" w:rsidRPr="005E3B43" w:rsidRDefault="00207B1C" w:rsidP="00763BCF">
            <w:pPr>
              <w:pStyle w:val="Tabletext"/>
            </w:pPr>
            <w:r w:rsidRPr="005E3B43">
              <w:t>25</w:t>
            </w:r>
          </w:p>
        </w:tc>
        <w:tc>
          <w:tcPr>
            <w:tcW w:w="4271" w:type="pct"/>
            <w:tcBorders>
              <w:top w:val="single" w:sz="4" w:space="0" w:color="auto"/>
              <w:bottom w:val="single" w:sz="4" w:space="0" w:color="auto"/>
            </w:tcBorders>
            <w:shd w:val="clear" w:color="auto" w:fill="auto"/>
          </w:tcPr>
          <w:p w14:paraId="488629B3" w14:textId="77777777" w:rsidR="00207B1C" w:rsidRPr="005E3B43" w:rsidRDefault="00207B1C" w:rsidP="00763BCF">
            <w:pPr>
              <w:pStyle w:val="Tabletext"/>
            </w:pPr>
            <w:r w:rsidRPr="005E3B43">
              <w:t>Naturopathic Practitioners Association Inc.</w:t>
            </w:r>
          </w:p>
        </w:tc>
      </w:tr>
      <w:tr w:rsidR="00207B1C" w:rsidRPr="005E3B43" w14:paraId="0A091C98" w14:textId="77777777" w:rsidTr="005A786D">
        <w:tc>
          <w:tcPr>
            <w:tcW w:w="729" w:type="pct"/>
            <w:tcBorders>
              <w:top w:val="single" w:sz="4" w:space="0" w:color="auto"/>
              <w:bottom w:val="single" w:sz="4" w:space="0" w:color="auto"/>
            </w:tcBorders>
            <w:shd w:val="clear" w:color="auto" w:fill="auto"/>
          </w:tcPr>
          <w:p w14:paraId="71251E88" w14:textId="77777777" w:rsidR="00207B1C" w:rsidRPr="005E3B43" w:rsidRDefault="00207B1C" w:rsidP="00763BCF">
            <w:pPr>
              <w:pStyle w:val="Tabletext"/>
            </w:pPr>
            <w:r w:rsidRPr="005E3B43">
              <w:t>26</w:t>
            </w:r>
          </w:p>
        </w:tc>
        <w:tc>
          <w:tcPr>
            <w:tcW w:w="4271" w:type="pct"/>
            <w:tcBorders>
              <w:top w:val="single" w:sz="4" w:space="0" w:color="auto"/>
              <w:bottom w:val="single" w:sz="4" w:space="0" w:color="auto"/>
            </w:tcBorders>
            <w:shd w:val="clear" w:color="auto" w:fill="auto"/>
          </w:tcPr>
          <w:p w14:paraId="38114822" w14:textId="77777777" w:rsidR="00207B1C" w:rsidRPr="005E3B43" w:rsidRDefault="00207B1C" w:rsidP="00763BCF">
            <w:pPr>
              <w:pStyle w:val="Tabletext"/>
            </w:pPr>
            <w:r w:rsidRPr="005E3B43">
              <w:t>The Acupuncture Association of Australia, New Zealand and Asia</w:t>
            </w:r>
          </w:p>
        </w:tc>
      </w:tr>
      <w:tr w:rsidR="00207B1C" w:rsidRPr="005E3B43" w14:paraId="70BE0D0B" w14:textId="77777777" w:rsidTr="005A786D">
        <w:tc>
          <w:tcPr>
            <w:tcW w:w="729" w:type="pct"/>
            <w:tcBorders>
              <w:top w:val="single" w:sz="4" w:space="0" w:color="auto"/>
              <w:bottom w:val="single" w:sz="4" w:space="0" w:color="auto"/>
            </w:tcBorders>
            <w:shd w:val="clear" w:color="auto" w:fill="auto"/>
          </w:tcPr>
          <w:p w14:paraId="1A9A9756" w14:textId="77777777" w:rsidR="00207B1C" w:rsidRPr="005E3B43" w:rsidRDefault="00207B1C" w:rsidP="00763BCF">
            <w:pPr>
              <w:pStyle w:val="Tabletext"/>
            </w:pPr>
            <w:r w:rsidRPr="005E3B43">
              <w:t>26A</w:t>
            </w:r>
          </w:p>
        </w:tc>
        <w:tc>
          <w:tcPr>
            <w:tcW w:w="4271" w:type="pct"/>
            <w:tcBorders>
              <w:top w:val="single" w:sz="4" w:space="0" w:color="auto"/>
              <w:bottom w:val="single" w:sz="4" w:space="0" w:color="auto"/>
            </w:tcBorders>
            <w:shd w:val="clear" w:color="auto" w:fill="auto"/>
          </w:tcPr>
          <w:p w14:paraId="37AC86D9" w14:textId="77777777" w:rsidR="00207B1C" w:rsidRPr="005E3B43" w:rsidRDefault="00207B1C" w:rsidP="00763BCF">
            <w:pPr>
              <w:pStyle w:val="Tabletext"/>
            </w:pPr>
            <w:r w:rsidRPr="005E3B43">
              <w:t>The Alumni Association of Natural Medicine Practitioners Inc.</w:t>
            </w:r>
          </w:p>
        </w:tc>
      </w:tr>
      <w:tr w:rsidR="000803D9" w:rsidRPr="005E3B43" w:rsidDel="000803D9" w14:paraId="160E4BD9" w14:textId="77777777" w:rsidTr="005A786D">
        <w:tc>
          <w:tcPr>
            <w:tcW w:w="729" w:type="pct"/>
            <w:tcBorders>
              <w:top w:val="single" w:sz="4" w:space="0" w:color="auto"/>
              <w:bottom w:val="single" w:sz="4" w:space="0" w:color="auto"/>
            </w:tcBorders>
            <w:shd w:val="clear" w:color="auto" w:fill="auto"/>
          </w:tcPr>
          <w:p w14:paraId="46075382" w14:textId="77777777" w:rsidR="000803D9" w:rsidRPr="005E3B43" w:rsidDel="000803D9" w:rsidRDefault="000803D9" w:rsidP="00763BCF">
            <w:pPr>
              <w:pStyle w:val="Tabletext"/>
            </w:pPr>
            <w:r w:rsidRPr="005E3B43">
              <w:t>26AA</w:t>
            </w:r>
          </w:p>
        </w:tc>
        <w:tc>
          <w:tcPr>
            <w:tcW w:w="4271" w:type="pct"/>
            <w:tcBorders>
              <w:top w:val="single" w:sz="4" w:space="0" w:color="auto"/>
              <w:bottom w:val="single" w:sz="4" w:space="0" w:color="auto"/>
            </w:tcBorders>
            <w:shd w:val="clear" w:color="auto" w:fill="auto"/>
          </w:tcPr>
          <w:p w14:paraId="221B8D73" w14:textId="77777777" w:rsidR="000803D9" w:rsidRPr="005E3B43" w:rsidDel="000803D9" w:rsidRDefault="000803D9" w:rsidP="00763BCF">
            <w:pPr>
              <w:pStyle w:val="Tabletext"/>
            </w:pPr>
            <w:r w:rsidRPr="005E3B43">
              <w:t>Australian Society for Bioregulatory Medicine Incorporated</w:t>
            </w:r>
          </w:p>
        </w:tc>
      </w:tr>
      <w:tr w:rsidR="000803D9" w:rsidRPr="005E3B43" w14:paraId="2C129D2F" w14:textId="77777777" w:rsidTr="005A786D">
        <w:tc>
          <w:tcPr>
            <w:tcW w:w="729" w:type="pct"/>
            <w:tcBorders>
              <w:top w:val="single" w:sz="4" w:space="0" w:color="auto"/>
              <w:bottom w:val="single" w:sz="4" w:space="0" w:color="auto"/>
            </w:tcBorders>
            <w:shd w:val="clear" w:color="auto" w:fill="auto"/>
          </w:tcPr>
          <w:p w14:paraId="3D8079DB" w14:textId="77777777" w:rsidR="000803D9" w:rsidRPr="005E3B43" w:rsidRDefault="000803D9" w:rsidP="00763BCF">
            <w:pPr>
              <w:pStyle w:val="Tabletext"/>
            </w:pPr>
            <w:r w:rsidRPr="005E3B43">
              <w:t>26B</w:t>
            </w:r>
          </w:p>
        </w:tc>
        <w:tc>
          <w:tcPr>
            <w:tcW w:w="4271" w:type="pct"/>
            <w:tcBorders>
              <w:top w:val="single" w:sz="4" w:space="0" w:color="auto"/>
              <w:bottom w:val="single" w:sz="4" w:space="0" w:color="auto"/>
            </w:tcBorders>
            <w:shd w:val="clear" w:color="auto" w:fill="auto"/>
          </w:tcPr>
          <w:p w14:paraId="04CF9EFA" w14:textId="77777777" w:rsidR="000803D9" w:rsidRPr="005E3B43" w:rsidRDefault="000803D9" w:rsidP="00763BCF">
            <w:pPr>
              <w:pStyle w:val="Tabletext"/>
            </w:pPr>
            <w:r w:rsidRPr="005E3B43">
              <w:t>The Australian Podiatry Association (NSW)</w:t>
            </w:r>
          </w:p>
        </w:tc>
      </w:tr>
      <w:tr w:rsidR="000803D9" w:rsidRPr="005E3B43" w14:paraId="692F4FF5" w14:textId="77777777" w:rsidTr="005A786D">
        <w:tc>
          <w:tcPr>
            <w:tcW w:w="729" w:type="pct"/>
            <w:tcBorders>
              <w:top w:val="single" w:sz="4" w:space="0" w:color="auto"/>
              <w:bottom w:val="single" w:sz="4" w:space="0" w:color="auto"/>
            </w:tcBorders>
            <w:shd w:val="clear" w:color="auto" w:fill="auto"/>
          </w:tcPr>
          <w:p w14:paraId="6124EF09" w14:textId="77777777" w:rsidR="000803D9" w:rsidRPr="005E3B43" w:rsidRDefault="000803D9" w:rsidP="00763BCF">
            <w:pPr>
              <w:pStyle w:val="Tabletext"/>
            </w:pPr>
            <w:r w:rsidRPr="005E3B43">
              <w:t>26BA</w:t>
            </w:r>
          </w:p>
        </w:tc>
        <w:tc>
          <w:tcPr>
            <w:tcW w:w="4271" w:type="pct"/>
            <w:tcBorders>
              <w:top w:val="single" w:sz="4" w:space="0" w:color="auto"/>
              <w:bottom w:val="single" w:sz="4" w:space="0" w:color="auto"/>
            </w:tcBorders>
            <w:shd w:val="clear" w:color="auto" w:fill="auto"/>
          </w:tcPr>
          <w:p w14:paraId="60F319BD" w14:textId="77777777" w:rsidR="000803D9" w:rsidRPr="005E3B43" w:rsidRDefault="000803D9" w:rsidP="00763BCF">
            <w:pPr>
              <w:pStyle w:val="Tabletext"/>
            </w:pPr>
            <w:r w:rsidRPr="005E3B43">
              <w:t>The Homeopathic Medicine Association Inc.</w:t>
            </w:r>
          </w:p>
        </w:tc>
      </w:tr>
      <w:tr w:rsidR="000803D9" w:rsidRPr="005E3B43" w14:paraId="484DFA3C" w14:textId="77777777" w:rsidTr="005A786D">
        <w:tc>
          <w:tcPr>
            <w:tcW w:w="729" w:type="pct"/>
            <w:tcBorders>
              <w:top w:val="single" w:sz="4" w:space="0" w:color="auto"/>
              <w:bottom w:val="single" w:sz="12" w:space="0" w:color="auto"/>
            </w:tcBorders>
            <w:shd w:val="clear" w:color="auto" w:fill="auto"/>
          </w:tcPr>
          <w:p w14:paraId="571B6436" w14:textId="77777777" w:rsidR="000803D9" w:rsidRPr="005E3B43" w:rsidRDefault="000803D9" w:rsidP="00763BCF">
            <w:pPr>
              <w:pStyle w:val="Tabletext"/>
            </w:pPr>
            <w:r w:rsidRPr="005E3B43">
              <w:t>27</w:t>
            </w:r>
          </w:p>
        </w:tc>
        <w:tc>
          <w:tcPr>
            <w:tcW w:w="4271" w:type="pct"/>
            <w:tcBorders>
              <w:top w:val="single" w:sz="4" w:space="0" w:color="auto"/>
              <w:bottom w:val="single" w:sz="12" w:space="0" w:color="auto"/>
            </w:tcBorders>
            <w:shd w:val="clear" w:color="auto" w:fill="auto"/>
          </w:tcPr>
          <w:p w14:paraId="50E04F45" w14:textId="77777777" w:rsidR="000803D9" w:rsidRPr="005E3B43" w:rsidRDefault="000803D9" w:rsidP="00763BCF">
            <w:pPr>
              <w:pStyle w:val="Tabletext"/>
            </w:pPr>
            <w:r w:rsidRPr="005E3B43">
              <w:t>The New South Wales Research Association of Traditional Chinese Medicine</w:t>
            </w:r>
          </w:p>
        </w:tc>
      </w:tr>
    </w:tbl>
    <w:p w14:paraId="7285A669" w14:textId="77777777" w:rsidR="00207B1C" w:rsidRPr="005E3B43" w:rsidRDefault="00207B1C" w:rsidP="00763BCF">
      <w:pPr>
        <w:pStyle w:val="ActHead1"/>
        <w:pageBreakBefore/>
        <w:spacing w:before="240"/>
      </w:pPr>
      <w:bookmarkStart w:id="402" w:name="_Toc187135992"/>
      <w:r w:rsidRPr="005E3B43">
        <w:rPr>
          <w:rStyle w:val="CharChapNo"/>
        </w:rPr>
        <w:lastRenderedPageBreak/>
        <w:t>Schedule</w:t>
      </w:r>
      <w:r w:rsidR="004E6D00" w:rsidRPr="005E3B43">
        <w:rPr>
          <w:rStyle w:val="CharChapNo"/>
        </w:rPr>
        <w:t> </w:t>
      </w:r>
      <w:r w:rsidRPr="005E3B43">
        <w:rPr>
          <w:rStyle w:val="CharChapNo"/>
        </w:rPr>
        <w:t>2</w:t>
      </w:r>
      <w:r w:rsidR="00E20BA4" w:rsidRPr="005E3B43">
        <w:t>—</w:t>
      </w:r>
      <w:r w:rsidRPr="005E3B43">
        <w:rPr>
          <w:rStyle w:val="CharChapText"/>
        </w:rPr>
        <w:t>Prohibited and required representations</w:t>
      </w:r>
      <w:bookmarkEnd w:id="402"/>
    </w:p>
    <w:p w14:paraId="0C4E0974" w14:textId="77777777" w:rsidR="00207B1C" w:rsidRPr="005E3B43" w:rsidRDefault="00207B1C" w:rsidP="00763BCF">
      <w:pPr>
        <w:pStyle w:val="notemargin"/>
      </w:pPr>
      <w:r w:rsidRPr="005E3B43">
        <w:t>(regulation</w:t>
      </w:r>
      <w:r w:rsidR="004E6D00" w:rsidRPr="005E3B43">
        <w:t> </w:t>
      </w:r>
      <w:r w:rsidRPr="005E3B43">
        <w:t>6B)</w:t>
      </w:r>
    </w:p>
    <w:p w14:paraId="28CD4BA2" w14:textId="77777777" w:rsidR="00207B1C" w:rsidRPr="005E3B43" w:rsidRDefault="00207B1C" w:rsidP="00763BCF">
      <w:pPr>
        <w:pStyle w:val="ActHead2"/>
      </w:pPr>
      <w:bookmarkStart w:id="403" w:name="_Toc187135993"/>
      <w:r w:rsidRPr="005E3B43">
        <w:rPr>
          <w:rStyle w:val="CharPartNo"/>
        </w:rPr>
        <w:t>Part</w:t>
      </w:r>
      <w:r w:rsidR="004E6D00" w:rsidRPr="005E3B43">
        <w:rPr>
          <w:rStyle w:val="CharPartNo"/>
        </w:rPr>
        <w:t> </w:t>
      </w:r>
      <w:r w:rsidRPr="005E3B43">
        <w:rPr>
          <w:rStyle w:val="CharPartNo"/>
        </w:rPr>
        <w:t>1</w:t>
      </w:r>
      <w:r w:rsidR="00E20BA4" w:rsidRPr="005E3B43">
        <w:t>—</w:t>
      </w:r>
      <w:r w:rsidRPr="005E3B43">
        <w:rPr>
          <w:rStyle w:val="CharPartText"/>
        </w:rPr>
        <w:t>Prohibited representations</w:t>
      </w:r>
      <w:bookmarkEnd w:id="403"/>
    </w:p>
    <w:p w14:paraId="66DB4AEF" w14:textId="77777777" w:rsidR="0018428E" w:rsidRPr="005E3B43" w:rsidRDefault="0018428E" w:rsidP="00763BCF">
      <w:pPr>
        <w:pStyle w:val="Header"/>
        <w:tabs>
          <w:tab w:val="clear" w:pos="4150"/>
          <w:tab w:val="clear" w:pos="8307"/>
        </w:tabs>
      </w:pPr>
      <w:r w:rsidRPr="005E3B43">
        <w:rPr>
          <w:rStyle w:val="CharDivNo"/>
        </w:rPr>
        <w:t xml:space="preserve"> </w:t>
      </w:r>
      <w:r w:rsidRPr="005E3B43">
        <w:rPr>
          <w:rStyle w:val="CharDivText"/>
        </w:rPr>
        <w:t xml:space="preserve"> </w:t>
      </w:r>
    </w:p>
    <w:p w14:paraId="05D69ECD" w14:textId="77777777" w:rsidR="00E20BA4" w:rsidRPr="005E3B43" w:rsidRDefault="00E20BA4" w:rsidP="00763BCF">
      <w:pPr>
        <w:pStyle w:val="Tabletext"/>
        <w:spacing w:before="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49"/>
        <w:gridCol w:w="5240"/>
        <w:gridCol w:w="2040"/>
      </w:tblGrid>
      <w:tr w:rsidR="00207B1C" w:rsidRPr="005E3B43" w14:paraId="556122C8" w14:textId="77777777" w:rsidTr="005A786D">
        <w:trPr>
          <w:tblHeader/>
        </w:trPr>
        <w:tc>
          <w:tcPr>
            <w:tcW w:w="732" w:type="pct"/>
            <w:tcBorders>
              <w:top w:val="single" w:sz="12" w:space="0" w:color="auto"/>
              <w:bottom w:val="single" w:sz="12" w:space="0" w:color="auto"/>
            </w:tcBorders>
            <w:shd w:val="clear" w:color="auto" w:fill="auto"/>
          </w:tcPr>
          <w:p w14:paraId="1596C823" w14:textId="77777777" w:rsidR="00207B1C" w:rsidRPr="005E3B43" w:rsidRDefault="00207B1C" w:rsidP="00763BCF">
            <w:pPr>
              <w:pStyle w:val="TableHeading"/>
            </w:pPr>
            <w:r w:rsidRPr="005E3B43">
              <w:t>Column 1</w:t>
            </w:r>
            <w:r w:rsidRPr="005E3B43">
              <w:br/>
              <w:t>Item No.</w:t>
            </w:r>
          </w:p>
        </w:tc>
        <w:tc>
          <w:tcPr>
            <w:tcW w:w="3072" w:type="pct"/>
            <w:tcBorders>
              <w:top w:val="single" w:sz="12" w:space="0" w:color="auto"/>
              <w:bottom w:val="single" w:sz="12" w:space="0" w:color="auto"/>
            </w:tcBorders>
            <w:shd w:val="clear" w:color="auto" w:fill="auto"/>
          </w:tcPr>
          <w:p w14:paraId="548899E4" w14:textId="77777777" w:rsidR="00207B1C" w:rsidRPr="005E3B43" w:rsidRDefault="00207B1C" w:rsidP="00763BCF">
            <w:pPr>
              <w:pStyle w:val="TableHeading"/>
            </w:pPr>
            <w:r w:rsidRPr="005E3B43">
              <w:t>Column 2</w:t>
            </w:r>
            <w:r w:rsidRPr="005E3B43">
              <w:br/>
              <w:t>Representation</w:t>
            </w:r>
          </w:p>
        </w:tc>
        <w:tc>
          <w:tcPr>
            <w:tcW w:w="1196" w:type="pct"/>
            <w:tcBorders>
              <w:top w:val="single" w:sz="12" w:space="0" w:color="auto"/>
              <w:bottom w:val="single" w:sz="12" w:space="0" w:color="auto"/>
            </w:tcBorders>
            <w:shd w:val="clear" w:color="auto" w:fill="auto"/>
          </w:tcPr>
          <w:p w14:paraId="17849BFE" w14:textId="77777777" w:rsidR="00207B1C" w:rsidRPr="005E3B43" w:rsidRDefault="00207B1C" w:rsidP="00763BCF">
            <w:pPr>
              <w:pStyle w:val="TableHeading"/>
              <w:ind w:right="-87"/>
            </w:pPr>
            <w:r w:rsidRPr="005E3B43">
              <w:t>Column 3</w:t>
            </w:r>
            <w:r w:rsidRPr="005E3B43">
              <w:br/>
              <w:t>Therapeutic goods</w:t>
            </w:r>
          </w:p>
        </w:tc>
      </w:tr>
      <w:tr w:rsidR="004D0E10" w:rsidRPr="005E3B43" w14:paraId="5F2F51D4" w14:textId="77777777" w:rsidTr="005A786D">
        <w:trPr>
          <w:trHeight w:val="20"/>
        </w:trPr>
        <w:tc>
          <w:tcPr>
            <w:tcW w:w="732" w:type="pct"/>
            <w:tcBorders>
              <w:top w:val="single" w:sz="4" w:space="0" w:color="auto"/>
            </w:tcBorders>
            <w:shd w:val="clear" w:color="auto" w:fill="auto"/>
          </w:tcPr>
          <w:p w14:paraId="0A8045C0" w14:textId="77777777" w:rsidR="004D0E10" w:rsidRPr="005E3B43" w:rsidRDefault="004D0E10" w:rsidP="00763BCF">
            <w:pPr>
              <w:pStyle w:val="Tabletext"/>
            </w:pPr>
            <w:r w:rsidRPr="005E3B43">
              <w:t>3</w:t>
            </w:r>
          </w:p>
        </w:tc>
        <w:tc>
          <w:tcPr>
            <w:tcW w:w="3072" w:type="pct"/>
            <w:tcBorders>
              <w:top w:val="single" w:sz="4" w:space="0" w:color="auto"/>
            </w:tcBorders>
            <w:shd w:val="clear" w:color="auto" w:fill="auto"/>
          </w:tcPr>
          <w:p w14:paraId="76008A39" w14:textId="77777777" w:rsidR="004D0E10" w:rsidRPr="005E3B43" w:rsidRDefault="004D0E10" w:rsidP="00763BCF">
            <w:pPr>
              <w:pStyle w:val="Tabletext"/>
              <w:rPr>
                <w:rFonts w:eastAsiaTheme="minorHAnsi" w:cstheme="minorBidi"/>
                <w:lang w:eastAsia="en-US"/>
              </w:rPr>
            </w:pPr>
            <w:r w:rsidRPr="005E3B43">
              <w:t>a representation with respect to the use of goods in which it is stated or implied that those goods:</w:t>
            </w:r>
          </w:p>
          <w:p w14:paraId="0DC3A4BF" w14:textId="77777777" w:rsidR="004D0E10" w:rsidRPr="005E3B43" w:rsidRDefault="004D0E10" w:rsidP="00763BCF">
            <w:pPr>
              <w:pStyle w:val="Tablea"/>
              <w:rPr>
                <w:rFonts w:eastAsiaTheme="minorHAnsi"/>
              </w:rPr>
            </w:pPr>
            <w:r w:rsidRPr="005E3B43">
              <w:t xml:space="preserve">(a) are, or contain, a vitamin—unless those goods are composed of, or contain, a substance specified in column 2 of an item in </w:t>
            </w:r>
            <w:r w:rsidR="00BB758E" w:rsidRPr="005E3B43">
              <w:t>Part 3</w:t>
            </w:r>
            <w:r w:rsidRPr="005E3B43">
              <w:t xml:space="preserve"> of this Schedule or a salt or derivative of a substance and that substance is described either by the name referred to in Column 2 of that item, or by the name of its salt or derivative, or by the name specified in Column 3 of that item and not otherwise; or</w:t>
            </w:r>
          </w:p>
          <w:p w14:paraId="2593E691" w14:textId="77777777" w:rsidR="004D0E10" w:rsidRPr="005E3B43" w:rsidRDefault="004D0E10" w:rsidP="00763BCF">
            <w:pPr>
              <w:pStyle w:val="Tablea"/>
              <w:rPr>
                <w:rFonts w:eastAsiaTheme="minorHAnsi"/>
              </w:rPr>
            </w:pPr>
            <w:r w:rsidRPr="005E3B43">
              <w:t xml:space="preserve">(b) are, or contain, a substance described as a vitamin otherwise than by a description specified in </w:t>
            </w:r>
            <w:r w:rsidRPr="005E3B43">
              <w:rPr>
                <w:rFonts w:eastAsiaTheme="minorHAnsi"/>
              </w:rPr>
              <w:t>Column</w:t>
            </w:r>
            <w:r w:rsidRPr="005E3B43">
              <w:t xml:space="preserve"> 2 or 3 of </w:t>
            </w:r>
            <w:r w:rsidR="00BB758E" w:rsidRPr="005E3B43">
              <w:t>Part 3</w:t>
            </w:r>
            <w:r w:rsidRPr="005E3B43">
              <w:t xml:space="preserve"> of this Schedule</w:t>
            </w:r>
          </w:p>
        </w:tc>
        <w:tc>
          <w:tcPr>
            <w:tcW w:w="1196" w:type="pct"/>
            <w:tcBorders>
              <w:top w:val="single" w:sz="4" w:space="0" w:color="auto"/>
            </w:tcBorders>
            <w:shd w:val="clear" w:color="auto" w:fill="auto"/>
          </w:tcPr>
          <w:p w14:paraId="3600FE7A" w14:textId="77777777" w:rsidR="004D0E10" w:rsidRPr="005E3B43" w:rsidRDefault="004D0E10" w:rsidP="00763BCF">
            <w:pPr>
              <w:pStyle w:val="Tabletext"/>
            </w:pPr>
            <w:r w:rsidRPr="005E3B43">
              <w:t>all therapeutic goods</w:t>
            </w:r>
          </w:p>
        </w:tc>
      </w:tr>
      <w:tr w:rsidR="00CA3152" w:rsidRPr="005E3B43" w14:paraId="7F3AD638" w14:textId="77777777" w:rsidTr="00CA3152">
        <w:tblPrEx>
          <w:tblBorders>
            <w:top w:val="none" w:sz="0" w:space="0" w:color="auto"/>
            <w:bottom w:val="none" w:sz="0" w:space="0" w:color="auto"/>
            <w:insideH w:val="none" w:sz="0" w:space="0" w:color="auto"/>
          </w:tblBorders>
        </w:tblPrEx>
        <w:trPr>
          <w:trHeight w:val="20"/>
        </w:trPr>
        <w:tc>
          <w:tcPr>
            <w:tcW w:w="732" w:type="pct"/>
            <w:shd w:val="clear" w:color="auto" w:fill="auto"/>
          </w:tcPr>
          <w:p w14:paraId="3563251B" w14:textId="77777777" w:rsidR="00CA3152" w:rsidRPr="005E3B43" w:rsidRDefault="00CA3152" w:rsidP="00763BCF">
            <w:pPr>
              <w:pStyle w:val="Tabletext"/>
            </w:pPr>
            <w:r w:rsidRPr="005E3B43">
              <w:t>4</w:t>
            </w:r>
          </w:p>
        </w:tc>
        <w:tc>
          <w:tcPr>
            <w:tcW w:w="3072" w:type="pct"/>
            <w:shd w:val="clear" w:color="auto" w:fill="auto"/>
          </w:tcPr>
          <w:p w14:paraId="379356A6" w14:textId="77777777" w:rsidR="00CA3152" w:rsidRPr="005E3B43" w:rsidRDefault="00CA3152" w:rsidP="00763BCF">
            <w:pPr>
              <w:pStyle w:val="Tabletext"/>
            </w:pPr>
            <w:r w:rsidRPr="005E3B43">
              <w:t>a representation that states or implies that:</w:t>
            </w:r>
          </w:p>
          <w:p w14:paraId="2A6FEFFA" w14:textId="77777777" w:rsidR="00CA3152" w:rsidRPr="005E3B43" w:rsidRDefault="00CA3152" w:rsidP="00763BCF">
            <w:pPr>
              <w:pStyle w:val="Tablea"/>
            </w:pPr>
            <w:r w:rsidRPr="005E3B43">
              <w:t>(a) analgesic consumption is safe; or</w:t>
            </w:r>
          </w:p>
          <w:p w14:paraId="23562336" w14:textId="77777777" w:rsidR="00CA3152" w:rsidRPr="005E3B43" w:rsidRDefault="00CA3152" w:rsidP="00763BCF">
            <w:pPr>
              <w:pStyle w:val="Tablea"/>
            </w:pPr>
            <w:r w:rsidRPr="005E3B43">
              <w:t>(b) analgesics will relax, relieve tension, sedate or stimulate</w:t>
            </w:r>
          </w:p>
        </w:tc>
        <w:tc>
          <w:tcPr>
            <w:tcW w:w="1196" w:type="pct"/>
            <w:shd w:val="clear" w:color="auto" w:fill="auto"/>
          </w:tcPr>
          <w:p w14:paraId="3A919CD8" w14:textId="77777777" w:rsidR="00CA3152" w:rsidRPr="005E3B43" w:rsidRDefault="00CA3152" w:rsidP="00763BCF">
            <w:pPr>
              <w:pStyle w:val="Tabletext"/>
            </w:pPr>
            <w:r w:rsidRPr="005E3B43">
              <w:t>analgesics</w:t>
            </w:r>
          </w:p>
        </w:tc>
      </w:tr>
      <w:tr w:rsidR="00207B1C" w:rsidRPr="005E3B43" w14:paraId="4913269B" w14:textId="77777777" w:rsidTr="005A786D">
        <w:trPr>
          <w:trHeight w:val="20"/>
        </w:trPr>
        <w:tc>
          <w:tcPr>
            <w:tcW w:w="732" w:type="pct"/>
            <w:tcBorders>
              <w:top w:val="single" w:sz="4" w:space="0" w:color="auto"/>
              <w:bottom w:val="single" w:sz="4" w:space="0" w:color="auto"/>
            </w:tcBorders>
            <w:shd w:val="clear" w:color="auto" w:fill="auto"/>
          </w:tcPr>
          <w:p w14:paraId="0F3914B0" w14:textId="77777777" w:rsidR="00207B1C" w:rsidRPr="005E3B43" w:rsidRDefault="00207B1C" w:rsidP="00763BCF">
            <w:pPr>
              <w:pStyle w:val="Tabletext"/>
            </w:pPr>
            <w:r w:rsidRPr="005E3B43">
              <w:t>5</w:t>
            </w:r>
          </w:p>
        </w:tc>
        <w:tc>
          <w:tcPr>
            <w:tcW w:w="3072" w:type="pct"/>
            <w:tcBorders>
              <w:top w:val="single" w:sz="4" w:space="0" w:color="auto"/>
              <w:bottom w:val="single" w:sz="4" w:space="0" w:color="auto"/>
            </w:tcBorders>
            <w:shd w:val="clear" w:color="auto" w:fill="auto"/>
          </w:tcPr>
          <w:p w14:paraId="1BDB5E9C" w14:textId="77777777" w:rsidR="00207B1C" w:rsidRPr="005E3B43" w:rsidRDefault="00207B1C" w:rsidP="00763BCF">
            <w:pPr>
              <w:pStyle w:val="Tabletext"/>
            </w:pPr>
            <w:r w:rsidRPr="005E3B43">
              <w:t>a representation containing a reference to bacteriostatic activity, except where it is made in conjunction with a reference to bactericidal activity</w:t>
            </w:r>
          </w:p>
        </w:tc>
        <w:tc>
          <w:tcPr>
            <w:tcW w:w="1196" w:type="pct"/>
            <w:tcBorders>
              <w:top w:val="single" w:sz="4" w:space="0" w:color="auto"/>
              <w:bottom w:val="single" w:sz="4" w:space="0" w:color="auto"/>
            </w:tcBorders>
            <w:shd w:val="clear" w:color="auto" w:fill="auto"/>
          </w:tcPr>
          <w:p w14:paraId="49C942C4" w14:textId="77777777" w:rsidR="00207B1C" w:rsidRPr="005E3B43" w:rsidRDefault="00207B1C" w:rsidP="00763BCF">
            <w:pPr>
              <w:pStyle w:val="Tabletext"/>
            </w:pPr>
            <w:r w:rsidRPr="005E3B43">
              <w:t>disinfectants</w:t>
            </w:r>
          </w:p>
        </w:tc>
      </w:tr>
      <w:tr w:rsidR="00DA6099" w:rsidRPr="005E3B43" w14:paraId="1A42A141" w14:textId="77777777" w:rsidTr="005A786D">
        <w:trPr>
          <w:trHeight w:val="20"/>
        </w:trPr>
        <w:tc>
          <w:tcPr>
            <w:tcW w:w="732" w:type="pct"/>
            <w:tcBorders>
              <w:top w:val="single" w:sz="4" w:space="0" w:color="auto"/>
              <w:bottom w:val="nil"/>
            </w:tcBorders>
            <w:shd w:val="clear" w:color="auto" w:fill="auto"/>
          </w:tcPr>
          <w:p w14:paraId="7EBCD422" w14:textId="77777777" w:rsidR="00DA6099" w:rsidRPr="005E3B43" w:rsidRDefault="00DA6099" w:rsidP="00763BCF">
            <w:pPr>
              <w:pStyle w:val="Tabletext"/>
            </w:pPr>
            <w:r w:rsidRPr="005E3B43">
              <w:t>6</w:t>
            </w:r>
          </w:p>
        </w:tc>
        <w:tc>
          <w:tcPr>
            <w:tcW w:w="3072" w:type="pct"/>
            <w:tcBorders>
              <w:top w:val="single" w:sz="4" w:space="0" w:color="auto"/>
              <w:bottom w:val="nil"/>
            </w:tcBorders>
            <w:shd w:val="clear" w:color="auto" w:fill="auto"/>
          </w:tcPr>
          <w:p w14:paraId="2D2315A9" w14:textId="77777777" w:rsidR="00DA6099" w:rsidRPr="005E3B43" w:rsidRDefault="00DA6099" w:rsidP="00763BCF">
            <w:pPr>
              <w:pStyle w:val="Tabletext"/>
            </w:pPr>
            <w:r w:rsidRPr="005E3B43">
              <w:t>a representation:</w:t>
            </w:r>
          </w:p>
          <w:p w14:paraId="3602D13B" w14:textId="5BCC37FF" w:rsidR="00DA6099" w:rsidRPr="005E3B43" w:rsidRDefault="00DA6099" w:rsidP="00763BCF">
            <w:pPr>
              <w:pStyle w:val="Tablea"/>
              <w:rPr>
                <w:rFonts w:eastAsiaTheme="minorHAnsi" w:cstheme="minorBidi"/>
                <w:lang w:eastAsia="en-US"/>
              </w:rPr>
            </w:pPr>
            <w:r w:rsidRPr="005E3B43">
              <w:t>(a) containing reference to the Rideal</w:t>
            </w:r>
            <w:r w:rsidR="007C3215">
              <w:noBreakHyphen/>
            </w:r>
            <w:r w:rsidRPr="005E3B43">
              <w:t>Walker test or the Phenol Coefficient; or</w:t>
            </w:r>
          </w:p>
          <w:p w14:paraId="2521A04C" w14:textId="71A21D21" w:rsidR="00DA6099" w:rsidRPr="005E3B43" w:rsidRDefault="00DA6099" w:rsidP="00763BCF">
            <w:pPr>
              <w:pStyle w:val="Tablea"/>
            </w:pPr>
            <w:r w:rsidRPr="005E3B43">
              <w:t>(b) on any label, containing a reference to the results of laboratory tests on micro</w:t>
            </w:r>
            <w:r w:rsidR="007C3215">
              <w:noBreakHyphen/>
            </w:r>
            <w:r w:rsidRPr="005E3B43">
              <w:t>organisms, other than a representation provided by leaflet or on a label enclosed with the goods in their package; or</w:t>
            </w:r>
          </w:p>
          <w:p w14:paraId="160F519D" w14:textId="77777777" w:rsidR="00E1458C" w:rsidRPr="005E3B43" w:rsidRDefault="00E1458C" w:rsidP="00763BCF">
            <w:pPr>
              <w:pStyle w:val="Tablea"/>
            </w:pPr>
            <w:r w:rsidRPr="005E3B43">
              <w:t>(c) containing a reference to the achievement of sterility except where the representation is approved in writing by the Secretary; or</w:t>
            </w:r>
          </w:p>
          <w:p w14:paraId="64BAAAE1" w14:textId="77777777" w:rsidR="00E1458C" w:rsidRPr="005E3B43" w:rsidRDefault="00E1458C" w:rsidP="00763BCF">
            <w:pPr>
              <w:pStyle w:val="Tablea"/>
              <w:rPr>
                <w:rFonts w:eastAsiaTheme="minorHAnsi" w:cstheme="minorBidi"/>
                <w:lang w:eastAsia="en-US"/>
              </w:rPr>
            </w:pPr>
            <w:r w:rsidRPr="005E3B43">
              <w:t>(d) contradicting or conflicting with the common name; or</w:t>
            </w:r>
          </w:p>
          <w:p w14:paraId="683A7871" w14:textId="77777777" w:rsidR="00E1458C" w:rsidRPr="005E3B43" w:rsidRDefault="00E1458C" w:rsidP="00763BCF">
            <w:pPr>
              <w:pStyle w:val="Tablea"/>
            </w:pPr>
            <w:r w:rsidRPr="005E3B43">
              <w:t>(e) that is not more specific than the common name as a description or measure of activity against micro organisms; or</w:t>
            </w:r>
          </w:p>
          <w:p w14:paraId="262B66D0" w14:textId="77777777" w:rsidR="00E1458C" w:rsidRPr="005E3B43" w:rsidRDefault="00E1458C" w:rsidP="00763BCF">
            <w:pPr>
              <w:pStyle w:val="Tablea"/>
              <w:rPr>
                <w:rFonts w:eastAsiaTheme="minorHAnsi" w:cstheme="minorBidi"/>
                <w:lang w:eastAsia="en-US"/>
              </w:rPr>
            </w:pPr>
            <w:r w:rsidRPr="005E3B43">
              <w:t>(f) containing a reference to an effect against viruses, except a representation that is approved in writing by the Secretary; or</w:t>
            </w:r>
          </w:p>
        </w:tc>
        <w:tc>
          <w:tcPr>
            <w:tcW w:w="1196" w:type="pct"/>
            <w:tcBorders>
              <w:top w:val="single" w:sz="4" w:space="0" w:color="auto"/>
              <w:bottom w:val="nil"/>
            </w:tcBorders>
            <w:shd w:val="clear" w:color="auto" w:fill="auto"/>
          </w:tcPr>
          <w:p w14:paraId="6A13F248" w14:textId="77777777" w:rsidR="00DA6099" w:rsidRPr="005E3B43" w:rsidRDefault="00DA6099" w:rsidP="00763BCF">
            <w:pPr>
              <w:pStyle w:val="Tabletext"/>
            </w:pPr>
            <w:r w:rsidRPr="005E3B43">
              <w:t>disinfectants and antiseptics</w:t>
            </w:r>
          </w:p>
        </w:tc>
      </w:tr>
      <w:tr w:rsidR="005061A0" w:rsidRPr="005E3B43" w14:paraId="7E3BD908" w14:textId="77777777" w:rsidTr="005A786D">
        <w:trPr>
          <w:cantSplit/>
          <w:trHeight w:val="20"/>
        </w:trPr>
        <w:tc>
          <w:tcPr>
            <w:tcW w:w="732" w:type="pct"/>
            <w:tcBorders>
              <w:top w:val="nil"/>
            </w:tcBorders>
            <w:shd w:val="clear" w:color="auto" w:fill="auto"/>
          </w:tcPr>
          <w:p w14:paraId="09310013" w14:textId="77777777" w:rsidR="005061A0" w:rsidRPr="005E3B43" w:rsidRDefault="005061A0" w:rsidP="00763BCF">
            <w:pPr>
              <w:pStyle w:val="Tabletext"/>
            </w:pPr>
          </w:p>
        </w:tc>
        <w:tc>
          <w:tcPr>
            <w:tcW w:w="3072" w:type="pct"/>
            <w:tcBorders>
              <w:top w:val="nil"/>
            </w:tcBorders>
            <w:shd w:val="clear" w:color="auto" w:fill="auto"/>
          </w:tcPr>
          <w:p w14:paraId="37DC9AFD" w14:textId="77777777" w:rsidR="005061A0" w:rsidRPr="005E3B43" w:rsidRDefault="005061A0" w:rsidP="00763BCF">
            <w:pPr>
              <w:pStyle w:val="Tablea"/>
              <w:rPr>
                <w:rFonts w:eastAsiaTheme="minorHAnsi" w:cstheme="minorBidi"/>
                <w:lang w:eastAsia="en-US"/>
              </w:rPr>
            </w:pPr>
            <w:r w:rsidRPr="005E3B43">
              <w:t>(g) containing a reference to an effect against Mycobacterium tuberculosis and related acid fast bacteria, except a representation that is approved in writing by the Secretary; or</w:t>
            </w:r>
          </w:p>
          <w:p w14:paraId="2532BDB2" w14:textId="77777777" w:rsidR="005061A0" w:rsidRPr="005E3B43" w:rsidRDefault="005061A0" w:rsidP="00763BCF">
            <w:pPr>
              <w:pStyle w:val="Tablea"/>
            </w:pPr>
            <w:r w:rsidRPr="005E3B43">
              <w:t xml:space="preserve">(h) containing a reference to the disinfection of inaccessible parts of drains </w:t>
            </w:r>
          </w:p>
        </w:tc>
        <w:tc>
          <w:tcPr>
            <w:tcW w:w="1196" w:type="pct"/>
            <w:tcBorders>
              <w:top w:val="nil"/>
            </w:tcBorders>
            <w:shd w:val="clear" w:color="auto" w:fill="auto"/>
          </w:tcPr>
          <w:p w14:paraId="26A40AB7" w14:textId="77777777" w:rsidR="005061A0" w:rsidRPr="005E3B43" w:rsidRDefault="005061A0" w:rsidP="00763BCF">
            <w:pPr>
              <w:pStyle w:val="Tabletext"/>
            </w:pPr>
          </w:p>
        </w:tc>
      </w:tr>
      <w:tr w:rsidR="00207B1C" w:rsidRPr="005E3B43" w14:paraId="41572C26" w14:textId="77777777" w:rsidTr="005A786D">
        <w:trPr>
          <w:trHeight w:val="20"/>
        </w:trPr>
        <w:tc>
          <w:tcPr>
            <w:tcW w:w="732" w:type="pct"/>
            <w:tcBorders>
              <w:top w:val="single" w:sz="4" w:space="0" w:color="auto"/>
              <w:bottom w:val="single" w:sz="4" w:space="0" w:color="auto"/>
            </w:tcBorders>
            <w:shd w:val="clear" w:color="auto" w:fill="auto"/>
          </w:tcPr>
          <w:p w14:paraId="5901FDD8" w14:textId="77777777" w:rsidR="00207B1C" w:rsidRPr="005E3B43" w:rsidRDefault="00207B1C" w:rsidP="00763BCF">
            <w:pPr>
              <w:pStyle w:val="Tabletext"/>
            </w:pPr>
            <w:r w:rsidRPr="005E3B43">
              <w:t>7</w:t>
            </w:r>
          </w:p>
        </w:tc>
        <w:tc>
          <w:tcPr>
            <w:tcW w:w="3072" w:type="pct"/>
            <w:tcBorders>
              <w:top w:val="single" w:sz="4" w:space="0" w:color="auto"/>
              <w:bottom w:val="single" w:sz="4" w:space="0" w:color="auto"/>
            </w:tcBorders>
            <w:shd w:val="clear" w:color="auto" w:fill="auto"/>
          </w:tcPr>
          <w:p w14:paraId="3C741DB6" w14:textId="77777777" w:rsidR="00207B1C" w:rsidRPr="005E3B43" w:rsidRDefault="00207B1C" w:rsidP="00763BCF">
            <w:pPr>
              <w:pStyle w:val="Tabletext"/>
            </w:pPr>
            <w:r w:rsidRPr="005E3B43">
              <w:t>a representation that antiseptics promote healing</w:t>
            </w:r>
          </w:p>
        </w:tc>
        <w:tc>
          <w:tcPr>
            <w:tcW w:w="1196" w:type="pct"/>
            <w:tcBorders>
              <w:top w:val="single" w:sz="4" w:space="0" w:color="auto"/>
              <w:bottom w:val="single" w:sz="4" w:space="0" w:color="auto"/>
            </w:tcBorders>
            <w:shd w:val="clear" w:color="auto" w:fill="auto"/>
          </w:tcPr>
          <w:p w14:paraId="4DA4AB94" w14:textId="77777777" w:rsidR="00207B1C" w:rsidRPr="005E3B43" w:rsidRDefault="00977D7B" w:rsidP="00763BCF">
            <w:pPr>
              <w:pStyle w:val="Tabletext"/>
            </w:pPr>
            <w:r w:rsidRPr="005E3B43">
              <w:t>antiseptics</w:t>
            </w:r>
          </w:p>
        </w:tc>
      </w:tr>
      <w:tr w:rsidR="00CA3152" w:rsidRPr="005E3B43" w14:paraId="033A48D1" w14:textId="77777777" w:rsidTr="00CA3152">
        <w:tblPrEx>
          <w:tblBorders>
            <w:top w:val="none" w:sz="0" w:space="0" w:color="auto"/>
            <w:bottom w:val="none" w:sz="0" w:space="0" w:color="auto"/>
            <w:insideH w:val="none" w:sz="0" w:space="0" w:color="auto"/>
          </w:tblBorders>
        </w:tblPrEx>
        <w:trPr>
          <w:trHeight w:val="20"/>
        </w:trPr>
        <w:tc>
          <w:tcPr>
            <w:tcW w:w="732" w:type="pct"/>
            <w:shd w:val="clear" w:color="auto" w:fill="auto"/>
          </w:tcPr>
          <w:p w14:paraId="48459069" w14:textId="77777777" w:rsidR="00CA3152" w:rsidRPr="005E3B43" w:rsidRDefault="00CA3152" w:rsidP="00763BCF">
            <w:pPr>
              <w:pStyle w:val="Tabletext"/>
            </w:pPr>
            <w:r w:rsidRPr="005E3B43">
              <w:t>8</w:t>
            </w:r>
          </w:p>
        </w:tc>
        <w:tc>
          <w:tcPr>
            <w:tcW w:w="3072" w:type="pct"/>
            <w:shd w:val="clear" w:color="auto" w:fill="auto"/>
          </w:tcPr>
          <w:p w14:paraId="2FC1E77C" w14:textId="77777777" w:rsidR="00CA3152" w:rsidRPr="005E3B43" w:rsidRDefault="00CA3152" w:rsidP="00763BCF">
            <w:pPr>
              <w:pStyle w:val="Tabletext"/>
            </w:pPr>
            <w:r w:rsidRPr="005E3B43">
              <w:t>a representation that states or implies that vitamin or mineral supplements:</w:t>
            </w:r>
          </w:p>
          <w:p w14:paraId="3CDA43A2" w14:textId="77777777" w:rsidR="00CA3152" w:rsidRPr="005E3B43" w:rsidRDefault="00CA3152" w:rsidP="00763BCF">
            <w:pPr>
              <w:pStyle w:val="Tablea"/>
            </w:pPr>
            <w:r w:rsidRPr="005E3B43">
              <w:t>(a) are a substitute for good nutrition or a balanced diet; or</w:t>
            </w:r>
          </w:p>
          <w:p w14:paraId="1C61718D" w14:textId="77777777" w:rsidR="00CA3152" w:rsidRPr="005E3B43" w:rsidRDefault="00CA3152" w:rsidP="00763BCF">
            <w:pPr>
              <w:pStyle w:val="Tablea"/>
            </w:pPr>
            <w:r w:rsidRPr="005E3B43">
              <w:t>(b) are in any way superior to or more beneficial than dietary nutrients</w:t>
            </w:r>
          </w:p>
        </w:tc>
        <w:tc>
          <w:tcPr>
            <w:tcW w:w="1196" w:type="pct"/>
            <w:shd w:val="clear" w:color="auto" w:fill="auto"/>
          </w:tcPr>
          <w:p w14:paraId="614DDD93" w14:textId="77777777" w:rsidR="00CA3152" w:rsidRPr="005E3B43" w:rsidRDefault="00CA3152" w:rsidP="00763BCF">
            <w:pPr>
              <w:pStyle w:val="Tabletext"/>
            </w:pPr>
            <w:r w:rsidRPr="005E3B43">
              <w:t>vitamin or mineral supplements</w:t>
            </w:r>
          </w:p>
        </w:tc>
      </w:tr>
      <w:tr w:rsidR="004D0E10" w:rsidRPr="005E3B43" w14:paraId="369FF5A5" w14:textId="77777777" w:rsidTr="001B43D7">
        <w:trPr>
          <w:trHeight w:val="20"/>
        </w:trPr>
        <w:tc>
          <w:tcPr>
            <w:tcW w:w="732" w:type="pct"/>
            <w:tcBorders>
              <w:top w:val="single" w:sz="4" w:space="0" w:color="auto"/>
              <w:bottom w:val="single" w:sz="4" w:space="0" w:color="auto"/>
            </w:tcBorders>
            <w:shd w:val="clear" w:color="auto" w:fill="auto"/>
          </w:tcPr>
          <w:p w14:paraId="6E08296E" w14:textId="77777777" w:rsidR="004D0E10" w:rsidRPr="005E3B43" w:rsidRDefault="004D0E10" w:rsidP="00763BCF">
            <w:pPr>
              <w:pStyle w:val="Tabletext"/>
            </w:pPr>
            <w:r w:rsidRPr="005E3B43">
              <w:t>9</w:t>
            </w:r>
          </w:p>
        </w:tc>
        <w:tc>
          <w:tcPr>
            <w:tcW w:w="3072" w:type="pct"/>
            <w:tcBorders>
              <w:top w:val="single" w:sz="4" w:space="0" w:color="auto"/>
              <w:bottom w:val="single" w:sz="4" w:space="0" w:color="auto"/>
            </w:tcBorders>
            <w:shd w:val="clear" w:color="auto" w:fill="auto"/>
          </w:tcPr>
          <w:p w14:paraId="4A2A40F2" w14:textId="77777777" w:rsidR="004D0E10" w:rsidRPr="005E3B43" w:rsidRDefault="004D0E10" w:rsidP="00763BCF">
            <w:pPr>
              <w:pStyle w:val="Tablea"/>
              <w:rPr>
                <w:rFonts w:eastAsiaTheme="minorHAnsi" w:cstheme="minorBidi"/>
                <w:lang w:eastAsia="en-US"/>
              </w:rPr>
            </w:pPr>
            <w:r w:rsidRPr="005E3B43">
              <w:t>a representation that:</w:t>
            </w:r>
          </w:p>
          <w:p w14:paraId="520A688B" w14:textId="77777777" w:rsidR="004D0E10" w:rsidRPr="005E3B43" w:rsidRDefault="004D0E10" w:rsidP="00763BCF">
            <w:pPr>
              <w:pStyle w:val="Tablea"/>
              <w:rPr>
                <w:rFonts w:eastAsiaTheme="minorHAnsi" w:cstheme="minorBidi"/>
                <w:lang w:eastAsia="en-US"/>
              </w:rPr>
            </w:pPr>
            <w:r w:rsidRPr="005E3B43">
              <w:t>(a) purports to show the recommended daily or dietary intake or allowance of a vitamin or a mineral unless the amount shown is that recommended by the National Health and Medical Research Council; or</w:t>
            </w:r>
          </w:p>
          <w:p w14:paraId="74597429" w14:textId="77777777" w:rsidR="004D0E10" w:rsidRPr="005E3B43" w:rsidRDefault="004D0E10" w:rsidP="00763BCF">
            <w:pPr>
              <w:pStyle w:val="Tablea"/>
              <w:rPr>
                <w:rFonts w:eastAsiaTheme="minorHAnsi" w:cstheme="minorBidi"/>
                <w:lang w:eastAsia="en-US"/>
              </w:rPr>
            </w:pPr>
            <w:r w:rsidRPr="005E3B43">
              <w:t>(b) expresses the quantity of a vitamin or a mineral contained in a preparation as a percentage or proportion of the recommended daily or dietary intake or allowance</w:t>
            </w:r>
          </w:p>
        </w:tc>
        <w:tc>
          <w:tcPr>
            <w:tcW w:w="1196" w:type="pct"/>
            <w:tcBorders>
              <w:top w:val="single" w:sz="4" w:space="0" w:color="auto"/>
              <w:bottom w:val="single" w:sz="4" w:space="0" w:color="auto"/>
            </w:tcBorders>
            <w:shd w:val="clear" w:color="auto" w:fill="auto"/>
          </w:tcPr>
          <w:p w14:paraId="26CA36AB" w14:textId="77777777" w:rsidR="004D0E10" w:rsidRPr="005E3B43" w:rsidRDefault="004D0E10" w:rsidP="00763BCF">
            <w:pPr>
              <w:pStyle w:val="Tabletext"/>
            </w:pPr>
            <w:r w:rsidRPr="005E3B43">
              <w:t>vitamins and minerals</w:t>
            </w:r>
          </w:p>
        </w:tc>
      </w:tr>
      <w:tr w:rsidR="00C6106A" w:rsidRPr="005E3B43" w14:paraId="4D8C3099" w14:textId="77777777" w:rsidTr="005A786D">
        <w:trPr>
          <w:trHeight w:val="20"/>
        </w:trPr>
        <w:tc>
          <w:tcPr>
            <w:tcW w:w="732" w:type="pct"/>
            <w:tcBorders>
              <w:top w:val="single" w:sz="4" w:space="0" w:color="auto"/>
              <w:bottom w:val="single" w:sz="12" w:space="0" w:color="auto"/>
            </w:tcBorders>
            <w:shd w:val="clear" w:color="auto" w:fill="auto"/>
          </w:tcPr>
          <w:p w14:paraId="319F8545" w14:textId="77777777" w:rsidR="00C6106A" w:rsidRPr="005E3B43" w:rsidRDefault="00C6106A" w:rsidP="00763BCF">
            <w:pPr>
              <w:pStyle w:val="Tabletext"/>
            </w:pPr>
            <w:r w:rsidRPr="005E3B43">
              <w:t>10</w:t>
            </w:r>
          </w:p>
        </w:tc>
        <w:tc>
          <w:tcPr>
            <w:tcW w:w="3072" w:type="pct"/>
            <w:tcBorders>
              <w:top w:val="single" w:sz="4" w:space="0" w:color="auto"/>
              <w:bottom w:val="single" w:sz="12" w:space="0" w:color="auto"/>
            </w:tcBorders>
            <w:shd w:val="clear" w:color="auto" w:fill="auto"/>
          </w:tcPr>
          <w:p w14:paraId="4FC88919" w14:textId="77777777" w:rsidR="00C6106A" w:rsidRPr="005E3B43" w:rsidRDefault="00C6106A" w:rsidP="00763BCF">
            <w:pPr>
              <w:pStyle w:val="Tabletext"/>
            </w:pPr>
            <w:r w:rsidRPr="005E3B43">
              <w:t>The following:</w:t>
            </w:r>
          </w:p>
          <w:p w14:paraId="5B406689" w14:textId="77777777" w:rsidR="00C6106A" w:rsidRPr="005E3B43" w:rsidRDefault="00C6106A" w:rsidP="00763BCF">
            <w:pPr>
              <w:pStyle w:val="Tablea"/>
            </w:pPr>
            <w:r w:rsidRPr="005E3B43">
              <w:t>(a) a representation regarding abortifacient action;</w:t>
            </w:r>
          </w:p>
          <w:p w14:paraId="50AA8988" w14:textId="21E9BE92" w:rsidR="00C6106A" w:rsidRPr="005E3B43" w:rsidRDefault="00C6106A" w:rsidP="00763BCF">
            <w:pPr>
              <w:pStyle w:val="Tablea"/>
            </w:pPr>
            <w:r w:rsidRPr="005E3B43">
              <w:t>(b) a representation regarding the treatment, cure, prevention, diagnosis (including screening) or monitoring of, or the susceptibility or pre</w:t>
            </w:r>
            <w:r w:rsidR="007C3215">
              <w:noBreakHyphen/>
            </w:r>
            <w:r w:rsidRPr="005E3B43">
              <w:t>disposition to, one or more of the following:</w:t>
            </w:r>
          </w:p>
          <w:p w14:paraId="396B1899" w14:textId="77777777" w:rsidR="00C6106A" w:rsidRPr="005E3B43" w:rsidRDefault="00C6106A" w:rsidP="00763BCF">
            <w:pPr>
              <w:pStyle w:val="Tablei"/>
            </w:pPr>
            <w:r w:rsidRPr="005E3B43">
              <w:t>(i) neoplastic disease;</w:t>
            </w:r>
          </w:p>
          <w:p w14:paraId="5C9B7887" w14:textId="77777777" w:rsidR="00C6106A" w:rsidRPr="005E3B43" w:rsidRDefault="00C6106A" w:rsidP="00763BCF">
            <w:pPr>
              <w:pStyle w:val="Tablei"/>
            </w:pPr>
            <w:r w:rsidRPr="005E3B43">
              <w:t>(ii) sexually transmitted diseases;</w:t>
            </w:r>
          </w:p>
          <w:p w14:paraId="536BAFCE" w14:textId="77777777" w:rsidR="00C6106A" w:rsidRPr="005E3B43" w:rsidRDefault="00C6106A" w:rsidP="00763BCF">
            <w:pPr>
              <w:pStyle w:val="Tablei"/>
            </w:pPr>
            <w:r w:rsidRPr="005E3B43">
              <w:t>(iii) human immunodeficiency virus (HIV) or acquired immune deficiency syndrome (AIDS);</w:t>
            </w:r>
          </w:p>
          <w:p w14:paraId="654446BA" w14:textId="77777777" w:rsidR="00C6106A" w:rsidRPr="005E3B43" w:rsidRDefault="00C6106A" w:rsidP="00763BCF">
            <w:pPr>
              <w:pStyle w:val="Tablei"/>
            </w:pPr>
            <w:r w:rsidRPr="005E3B43">
              <w:t>(iv) hepatitis C virus (HCV);</w:t>
            </w:r>
          </w:p>
          <w:p w14:paraId="075A460F" w14:textId="77777777" w:rsidR="00C6106A" w:rsidRPr="005E3B43" w:rsidRDefault="00C6106A" w:rsidP="00763BCF">
            <w:pPr>
              <w:pStyle w:val="Tablei"/>
            </w:pPr>
            <w:r w:rsidRPr="005E3B43">
              <w:t>(v) mental illness</w:t>
            </w:r>
          </w:p>
        </w:tc>
        <w:tc>
          <w:tcPr>
            <w:tcW w:w="1196" w:type="pct"/>
            <w:tcBorders>
              <w:top w:val="single" w:sz="4" w:space="0" w:color="auto"/>
              <w:bottom w:val="single" w:sz="12" w:space="0" w:color="auto"/>
            </w:tcBorders>
            <w:shd w:val="clear" w:color="auto" w:fill="auto"/>
          </w:tcPr>
          <w:p w14:paraId="2D3E63EC" w14:textId="77777777" w:rsidR="00C6106A" w:rsidRPr="005E3B43" w:rsidRDefault="00C6106A" w:rsidP="00763BCF">
            <w:pPr>
              <w:pStyle w:val="Tabletext"/>
            </w:pPr>
            <w:r w:rsidRPr="005E3B43">
              <w:t>all therapeutic goods</w:t>
            </w:r>
          </w:p>
        </w:tc>
      </w:tr>
    </w:tbl>
    <w:p w14:paraId="16312B96" w14:textId="77777777" w:rsidR="00207B1C" w:rsidRPr="005E3B43" w:rsidRDefault="006B5D8E" w:rsidP="00763BCF">
      <w:pPr>
        <w:pStyle w:val="ActHead2"/>
        <w:pageBreakBefore/>
      </w:pPr>
      <w:bookmarkStart w:id="404" w:name="_Toc187135994"/>
      <w:r w:rsidRPr="005E3B43">
        <w:rPr>
          <w:rStyle w:val="CharPartNo"/>
        </w:rPr>
        <w:lastRenderedPageBreak/>
        <w:t>Part 2</w:t>
      </w:r>
      <w:r w:rsidR="00E20BA4" w:rsidRPr="005E3B43">
        <w:t>—</w:t>
      </w:r>
      <w:r w:rsidR="00207B1C" w:rsidRPr="005E3B43">
        <w:rPr>
          <w:rStyle w:val="CharPartText"/>
        </w:rPr>
        <w:t>Required representations</w:t>
      </w:r>
      <w:bookmarkEnd w:id="404"/>
    </w:p>
    <w:p w14:paraId="7761D056" w14:textId="77777777" w:rsidR="0018428E" w:rsidRPr="005E3B43" w:rsidRDefault="0018428E" w:rsidP="00763BCF">
      <w:pPr>
        <w:pStyle w:val="Header"/>
        <w:tabs>
          <w:tab w:val="clear" w:pos="4150"/>
          <w:tab w:val="clear" w:pos="8307"/>
        </w:tabs>
      </w:pPr>
      <w:r w:rsidRPr="005E3B43">
        <w:rPr>
          <w:rStyle w:val="CharDivNo"/>
        </w:rPr>
        <w:t xml:space="preserve"> </w:t>
      </w:r>
      <w:r w:rsidRPr="005E3B43">
        <w:rPr>
          <w:rStyle w:val="CharDivText"/>
        </w:rPr>
        <w:t xml:space="preserve"> </w:t>
      </w:r>
    </w:p>
    <w:p w14:paraId="7E8271F1" w14:textId="77777777" w:rsidR="00E20BA4" w:rsidRPr="005E3B43" w:rsidRDefault="00E20BA4"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79"/>
        <w:gridCol w:w="4778"/>
        <w:gridCol w:w="2472"/>
      </w:tblGrid>
      <w:tr w:rsidR="00207B1C" w:rsidRPr="005E3B43" w14:paraId="298C335B" w14:textId="77777777" w:rsidTr="005A786D">
        <w:trPr>
          <w:trHeight w:val="20"/>
          <w:tblHeader/>
        </w:trPr>
        <w:tc>
          <w:tcPr>
            <w:tcW w:w="750" w:type="pct"/>
            <w:tcBorders>
              <w:top w:val="single" w:sz="12" w:space="0" w:color="auto"/>
              <w:bottom w:val="single" w:sz="12" w:space="0" w:color="auto"/>
            </w:tcBorders>
            <w:shd w:val="clear" w:color="auto" w:fill="auto"/>
          </w:tcPr>
          <w:p w14:paraId="6D5A30BF" w14:textId="77777777" w:rsidR="00207B1C" w:rsidRPr="005E3B43" w:rsidRDefault="00207B1C" w:rsidP="00763BCF">
            <w:pPr>
              <w:pStyle w:val="TableHeading"/>
            </w:pPr>
            <w:r w:rsidRPr="005E3B43">
              <w:t>Column 1</w:t>
            </w:r>
            <w:r w:rsidRPr="005E3B43">
              <w:br/>
              <w:t>Item</w:t>
            </w:r>
          </w:p>
        </w:tc>
        <w:tc>
          <w:tcPr>
            <w:tcW w:w="2801" w:type="pct"/>
            <w:tcBorders>
              <w:top w:val="single" w:sz="12" w:space="0" w:color="auto"/>
              <w:bottom w:val="single" w:sz="12" w:space="0" w:color="auto"/>
            </w:tcBorders>
            <w:shd w:val="clear" w:color="auto" w:fill="auto"/>
          </w:tcPr>
          <w:p w14:paraId="380CF584" w14:textId="77777777" w:rsidR="00207B1C" w:rsidRPr="005E3B43" w:rsidRDefault="00207B1C" w:rsidP="00763BCF">
            <w:pPr>
              <w:pStyle w:val="TableHeading"/>
            </w:pPr>
            <w:r w:rsidRPr="005E3B43">
              <w:t>Column 2</w:t>
            </w:r>
            <w:r w:rsidRPr="005E3B43">
              <w:br/>
              <w:t>Representation</w:t>
            </w:r>
          </w:p>
        </w:tc>
        <w:tc>
          <w:tcPr>
            <w:tcW w:w="1449" w:type="pct"/>
            <w:tcBorders>
              <w:top w:val="single" w:sz="12" w:space="0" w:color="auto"/>
              <w:bottom w:val="single" w:sz="12" w:space="0" w:color="auto"/>
            </w:tcBorders>
            <w:shd w:val="clear" w:color="auto" w:fill="auto"/>
          </w:tcPr>
          <w:p w14:paraId="6433929B" w14:textId="77777777" w:rsidR="00207B1C" w:rsidRPr="005E3B43" w:rsidRDefault="00207B1C" w:rsidP="00763BCF">
            <w:pPr>
              <w:pStyle w:val="TableHeading"/>
            </w:pPr>
            <w:r w:rsidRPr="005E3B43">
              <w:t>Column 3</w:t>
            </w:r>
            <w:r w:rsidRPr="005E3B43">
              <w:br/>
              <w:t>Therapeutic goods</w:t>
            </w:r>
          </w:p>
        </w:tc>
      </w:tr>
      <w:tr w:rsidR="004D0E10" w:rsidRPr="005E3B43" w14:paraId="455660EA" w14:textId="77777777" w:rsidTr="005A786D">
        <w:trPr>
          <w:trHeight w:val="20"/>
        </w:trPr>
        <w:tc>
          <w:tcPr>
            <w:tcW w:w="750" w:type="pct"/>
            <w:tcBorders>
              <w:top w:val="single" w:sz="12" w:space="0" w:color="auto"/>
              <w:bottom w:val="single" w:sz="12" w:space="0" w:color="auto"/>
            </w:tcBorders>
            <w:shd w:val="clear" w:color="auto" w:fill="auto"/>
          </w:tcPr>
          <w:p w14:paraId="029AE4E2" w14:textId="77777777" w:rsidR="004D0E10" w:rsidRPr="005E3B43" w:rsidRDefault="004D0E10" w:rsidP="00763BCF">
            <w:pPr>
              <w:pStyle w:val="Tabletext"/>
            </w:pPr>
            <w:r w:rsidRPr="005E3B43">
              <w:t>1</w:t>
            </w:r>
          </w:p>
        </w:tc>
        <w:tc>
          <w:tcPr>
            <w:tcW w:w="2801" w:type="pct"/>
            <w:tcBorders>
              <w:top w:val="single" w:sz="12" w:space="0" w:color="auto"/>
              <w:bottom w:val="single" w:sz="12" w:space="0" w:color="auto"/>
            </w:tcBorders>
            <w:shd w:val="clear" w:color="auto" w:fill="auto"/>
          </w:tcPr>
          <w:p w14:paraId="0B4B55C5" w14:textId="77777777" w:rsidR="004D0E10" w:rsidRPr="005E3B43" w:rsidRDefault="004D0E10" w:rsidP="00763BCF">
            <w:pPr>
              <w:pStyle w:val="Tabletext"/>
            </w:pPr>
            <w:r w:rsidRPr="005E3B43">
              <w:t>if the advertisement is in the form of a label on the retail container—a statement that:</w:t>
            </w:r>
          </w:p>
          <w:p w14:paraId="64262BBA" w14:textId="77777777" w:rsidR="004D0E10" w:rsidRPr="005E3B43" w:rsidRDefault="004D0E10" w:rsidP="00763BCF">
            <w:pPr>
              <w:pStyle w:val="Tablea"/>
            </w:pPr>
            <w:r w:rsidRPr="005E3B43">
              <w:t>(a) vitamins can only be of assistance if the dietary vitamin intake is inadequate; or</w:t>
            </w:r>
          </w:p>
          <w:p w14:paraId="27686224" w14:textId="77777777" w:rsidR="004D0E10" w:rsidRPr="005E3B43" w:rsidRDefault="004D0E10" w:rsidP="00763BCF">
            <w:pPr>
              <w:pStyle w:val="Tablea"/>
            </w:pPr>
            <w:r w:rsidRPr="005E3B43">
              <w:t>(b) vitamin supplements should not replace a balanced diet</w:t>
            </w:r>
          </w:p>
        </w:tc>
        <w:tc>
          <w:tcPr>
            <w:tcW w:w="1449" w:type="pct"/>
            <w:tcBorders>
              <w:top w:val="single" w:sz="12" w:space="0" w:color="auto"/>
              <w:bottom w:val="single" w:sz="12" w:space="0" w:color="auto"/>
            </w:tcBorders>
            <w:shd w:val="clear" w:color="auto" w:fill="auto"/>
          </w:tcPr>
          <w:p w14:paraId="6A89D8FD" w14:textId="77777777" w:rsidR="004D0E10" w:rsidRPr="005E3B43" w:rsidRDefault="004D0E10" w:rsidP="00763BCF">
            <w:pPr>
              <w:pStyle w:val="Tabletext"/>
            </w:pPr>
            <w:r w:rsidRPr="005E3B43">
              <w:t>vitamin preparations for oral ingestion supplied in Australia</w:t>
            </w:r>
          </w:p>
        </w:tc>
      </w:tr>
    </w:tbl>
    <w:p w14:paraId="1DD0C647" w14:textId="77777777" w:rsidR="00207B1C" w:rsidRPr="005E3B43" w:rsidRDefault="00BB758E" w:rsidP="00763BCF">
      <w:pPr>
        <w:pStyle w:val="ActHead2"/>
        <w:pageBreakBefore/>
      </w:pPr>
      <w:bookmarkStart w:id="405" w:name="_Toc187135995"/>
      <w:r w:rsidRPr="005E3B43">
        <w:rPr>
          <w:rStyle w:val="CharPartNo"/>
        </w:rPr>
        <w:lastRenderedPageBreak/>
        <w:t>Part 3</w:t>
      </w:r>
      <w:r w:rsidR="00E20BA4" w:rsidRPr="005E3B43">
        <w:t>—</w:t>
      </w:r>
      <w:r w:rsidR="00207B1C" w:rsidRPr="005E3B43">
        <w:rPr>
          <w:rStyle w:val="CharPartText"/>
        </w:rPr>
        <w:t>Vitamins referred to in Item</w:t>
      </w:r>
      <w:r w:rsidR="004E6D00" w:rsidRPr="005E3B43">
        <w:rPr>
          <w:rStyle w:val="CharPartText"/>
        </w:rPr>
        <w:t> </w:t>
      </w:r>
      <w:r w:rsidR="00207B1C" w:rsidRPr="005E3B43">
        <w:rPr>
          <w:rStyle w:val="CharPartText"/>
        </w:rPr>
        <w:t>3 of Part</w:t>
      </w:r>
      <w:r w:rsidR="004E6D00" w:rsidRPr="005E3B43">
        <w:rPr>
          <w:rStyle w:val="CharPartText"/>
        </w:rPr>
        <w:t> </w:t>
      </w:r>
      <w:r w:rsidR="00207B1C" w:rsidRPr="005E3B43">
        <w:rPr>
          <w:rStyle w:val="CharPartText"/>
        </w:rPr>
        <w:t>1 of this Schedule</w:t>
      </w:r>
      <w:bookmarkEnd w:id="405"/>
    </w:p>
    <w:p w14:paraId="6D536064" w14:textId="77777777" w:rsidR="0018428E" w:rsidRPr="005E3B43" w:rsidRDefault="0018428E" w:rsidP="00763BCF">
      <w:pPr>
        <w:pStyle w:val="Header"/>
        <w:tabs>
          <w:tab w:val="clear" w:pos="4150"/>
          <w:tab w:val="clear" w:pos="8307"/>
        </w:tabs>
      </w:pPr>
      <w:r w:rsidRPr="005E3B43">
        <w:rPr>
          <w:rStyle w:val="CharDivNo"/>
        </w:rPr>
        <w:t xml:space="preserve"> </w:t>
      </w:r>
      <w:r w:rsidRPr="005E3B43">
        <w:rPr>
          <w:rStyle w:val="CharDivText"/>
        </w:rPr>
        <w:t xml:space="preserve"> </w:t>
      </w:r>
    </w:p>
    <w:p w14:paraId="32A5CAEC" w14:textId="77777777" w:rsidR="00E20BA4" w:rsidRPr="005E3B43" w:rsidRDefault="00E20BA4"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707"/>
        <w:gridCol w:w="3753"/>
        <w:gridCol w:w="3069"/>
      </w:tblGrid>
      <w:tr w:rsidR="00207B1C" w:rsidRPr="005E3B43" w14:paraId="34D25E04" w14:textId="77777777" w:rsidTr="005A786D">
        <w:trPr>
          <w:tblHeader/>
        </w:trPr>
        <w:tc>
          <w:tcPr>
            <w:tcW w:w="1001" w:type="pct"/>
            <w:tcBorders>
              <w:top w:val="single" w:sz="12" w:space="0" w:color="auto"/>
              <w:bottom w:val="single" w:sz="12" w:space="0" w:color="auto"/>
            </w:tcBorders>
            <w:shd w:val="clear" w:color="auto" w:fill="auto"/>
          </w:tcPr>
          <w:p w14:paraId="1D669D79" w14:textId="77777777" w:rsidR="00207B1C" w:rsidRPr="005E3B43" w:rsidRDefault="00207B1C" w:rsidP="00763BCF">
            <w:pPr>
              <w:pStyle w:val="TableHeading"/>
            </w:pPr>
            <w:r w:rsidRPr="005E3B43">
              <w:t>Column 1</w:t>
            </w:r>
            <w:r w:rsidRPr="005E3B43">
              <w:br/>
              <w:t>Item</w:t>
            </w:r>
          </w:p>
        </w:tc>
        <w:tc>
          <w:tcPr>
            <w:tcW w:w="2200" w:type="pct"/>
            <w:tcBorders>
              <w:top w:val="single" w:sz="12" w:space="0" w:color="auto"/>
              <w:bottom w:val="single" w:sz="12" w:space="0" w:color="auto"/>
            </w:tcBorders>
            <w:shd w:val="clear" w:color="auto" w:fill="auto"/>
          </w:tcPr>
          <w:p w14:paraId="04B3E75A" w14:textId="77777777" w:rsidR="00207B1C" w:rsidRPr="005E3B43" w:rsidRDefault="00207B1C" w:rsidP="00763BCF">
            <w:pPr>
              <w:pStyle w:val="TableHeading"/>
            </w:pPr>
            <w:r w:rsidRPr="005E3B43">
              <w:t>Column 2</w:t>
            </w:r>
            <w:r w:rsidRPr="005E3B43">
              <w:br/>
              <w:t>Substance</w:t>
            </w:r>
          </w:p>
        </w:tc>
        <w:tc>
          <w:tcPr>
            <w:tcW w:w="1799" w:type="pct"/>
            <w:tcBorders>
              <w:top w:val="single" w:sz="12" w:space="0" w:color="auto"/>
              <w:bottom w:val="single" w:sz="12" w:space="0" w:color="auto"/>
            </w:tcBorders>
            <w:shd w:val="clear" w:color="auto" w:fill="auto"/>
          </w:tcPr>
          <w:p w14:paraId="04BF2A9C" w14:textId="77777777" w:rsidR="00207B1C" w:rsidRPr="005E3B43" w:rsidRDefault="00207B1C" w:rsidP="00763BCF">
            <w:pPr>
              <w:pStyle w:val="TableHeading"/>
            </w:pPr>
            <w:r w:rsidRPr="005E3B43">
              <w:t>Column 3</w:t>
            </w:r>
            <w:r w:rsidRPr="005E3B43">
              <w:br/>
              <w:t>Name</w:t>
            </w:r>
          </w:p>
        </w:tc>
      </w:tr>
      <w:tr w:rsidR="00207B1C" w:rsidRPr="005E3B43" w14:paraId="006E4378" w14:textId="77777777" w:rsidTr="005A786D">
        <w:tc>
          <w:tcPr>
            <w:tcW w:w="1001" w:type="pct"/>
            <w:tcBorders>
              <w:top w:val="single" w:sz="12" w:space="0" w:color="auto"/>
              <w:bottom w:val="single" w:sz="4" w:space="0" w:color="auto"/>
            </w:tcBorders>
            <w:shd w:val="clear" w:color="auto" w:fill="auto"/>
          </w:tcPr>
          <w:p w14:paraId="056D93E7" w14:textId="77777777" w:rsidR="00207B1C" w:rsidRPr="005E3B43" w:rsidRDefault="00207B1C" w:rsidP="00763BCF">
            <w:pPr>
              <w:pStyle w:val="Tabletext"/>
            </w:pPr>
            <w:r w:rsidRPr="005E3B43">
              <w:t>1</w:t>
            </w:r>
          </w:p>
        </w:tc>
        <w:tc>
          <w:tcPr>
            <w:tcW w:w="2200" w:type="pct"/>
            <w:tcBorders>
              <w:top w:val="single" w:sz="12" w:space="0" w:color="auto"/>
              <w:bottom w:val="single" w:sz="4" w:space="0" w:color="auto"/>
            </w:tcBorders>
            <w:shd w:val="clear" w:color="auto" w:fill="auto"/>
          </w:tcPr>
          <w:p w14:paraId="57CFAD3A" w14:textId="77777777" w:rsidR="00207B1C" w:rsidRPr="005E3B43" w:rsidRDefault="00207B1C" w:rsidP="00763BCF">
            <w:pPr>
              <w:pStyle w:val="Tabletext"/>
            </w:pPr>
            <w:r w:rsidRPr="005E3B43">
              <w:t>Vitamin A</w:t>
            </w:r>
          </w:p>
        </w:tc>
        <w:tc>
          <w:tcPr>
            <w:tcW w:w="1799" w:type="pct"/>
            <w:tcBorders>
              <w:top w:val="single" w:sz="12" w:space="0" w:color="auto"/>
              <w:bottom w:val="single" w:sz="4" w:space="0" w:color="auto"/>
            </w:tcBorders>
            <w:shd w:val="clear" w:color="auto" w:fill="auto"/>
          </w:tcPr>
          <w:p w14:paraId="55357FA2" w14:textId="77777777" w:rsidR="00207B1C" w:rsidRPr="005E3B43" w:rsidRDefault="00207B1C" w:rsidP="00763BCF">
            <w:pPr>
              <w:pStyle w:val="Tabletext"/>
            </w:pPr>
            <w:r w:rsidRPr="005E3B43">
              <w:t>—</w:t>
            </w:r>
          </w:p>
        </w:tc>
      </w:tr>
      <w:tr w:rsidR="00207B1C" w:rsidRPr="005E3B43" w14:paraId="2C0C7F48" w14:textId="77777777" w:rsidTr="005A786D">
        <w:tc>
          <w:tcPr>
            <w:tcW w:w="1001" w:type="pct"/>
            <w:tcBorders>
              <w:top w:val="single" w:sz="4" w:space="0" w:color="auto"/>
              <w:bottom w:val="single" w:sz="4" w:space="0" w:color="auto"/>
            </w:tcBorders>
            <w:shd w:val="clear" w:color="auto" w:fill="auto"/>
          </w:tcPr>
          <w:p w14:paraId="211F0F5D" w14:textId="77777777" w:rsidR="00207B1C" w:rsidRPr="005E3B43" w:rsidRDefault="00207B1C" w:rsidP="00763BCF">
            <w:pPr>
              <w:pStyle w:val="Tabletext"/>
            </w:pPr>
            <w:r w:rsidRPr="005E3B43">
              <w:t>2</w:t>
            </w:r>
          </w:p>
        </w:tc>
        <w:tc>
          <w:tcPr>
            <w:tcW w:w="2200" w:type="pct"/>
            <w:tcBorders>
              <w:top w:val="single" w:sz="4" w:space="0" w:color="auto"/>
              <w:bottom w:val="single" w:sz="4" w:space="0" w:color="auto"/>
            </w:tcBorders>
            <w:shd w:val="clear" w:color="auto" w:fill="auto"/>
          </w:tcPr>
          <w:p w14:paraId="3F9D222D" w14:textId="77777777" w:rsidR="00207B1C" w:rsidRPr="005E3B43" w:rsidRDefault="00207B1C" w:rsidP="00763BCF">
            <w:pPr>
              <w:pStyle w:val="Tabletext"/>
            </w:pPr>
            <w:r w:rsidRPr="005E3B43">
              <w:t>Thiamine</w:t>
            </w:r>
          </w:p>
        </w:tc>
        <w:tc>
          <w:tcPr>
            <w:tcW w:w="1799" w:type="pct"/>
            <w:tcBorders>
              <w:top w:val="single" w:sz="4" w:space="0" w:color="auto"/>
              <w:bottom w:val="single" w:sz="4" w:space="0" w:color="auto"/>
            </w:tcBorders>
            <w:shd w:val="clear" w:color="auto" w:fill="auto"/>
          </w:tcPr>
          <w:p w14:paraId="0A34F0F4" w14:textId="77777777" w:rsidR="00207B1C" w:rsidRPr="005E3B43" w:rsidRDefault="00207B1C" w:rsidP="00763BCF">
            <w:pPr>
              <w:pStyle w:val="Tabletext"/>
            </w:pPr>
            <w:r w:rsidRPr="005E3B43">
              <w:t xml:space="preserve">Vitamin B1 </w:t>
            </w:r>
          </w:p>
        </w:tc>
      </w:tr>
      <w:tr w:rsidR="00207B1C" w:rsidRPr="005E3B43" w14:paraId="579A46E9" w14:textId="77777777" w:rsidTr="005A786D">
        <w:tc>
          <w:tcPr>
            <w:tcW w:w="1001" w:type="pct"/>
            <w:tcBorders>
              <w:top w:val="single" w:sz="4" w:space="0" w:color="auto"/>
              <w:bottom w:val="single" w:sz="4" w:space="0" w:color="auto"/>
            </w:tcBorders>
            <w:shd w:val="clear" w:color="auto" w:fill="auto"/>
          </w:tcPr>
          <w:p w14:paraId="767BC14C" w14:textId="77777777" w:rsidR="00207B1C" w:rsidRPr="005E3B43" w:rsidRDefault="00207B1C" w:rsidP="00763BCF">
            <w:pPr>
              <w:pStyle w:val="Tabletext"/>
            </w:pPr>
            <w:r w:rsidRPr="005E3B43">
              <w:t>3</w:t>
            </w:r>
          </w:p>
        </w:tc>
        <w:tc>
          <w:tcPr>
            <w:tcW w:w="2200" w:type="pct"/>
            <w:tcBorders>
              <w:top w:val="single" w:sz="4" w:space="0" w:color="auto"/>
              <w:bottom w:val="single" w:sz="4" w:space="0" w:color="auto"/>
            </w:tcBorders>
            <w:shd w:val="clear" w:color="auto" w:fill="auto"/>
          </w:tcPr>
          <w:p w14:paraId="04B38024" w14:textId="77777777" w:rsidR="00207B1C" w:rsidRPr="005E3B43" w:rsidRDefault="00464100" w:rsidP="00763BCF">
            <w:pPr>
              <w:pStyle w:val="Tabletext"/>
            </w:pPr>
            <w:r w:rsidRPr="005E3B43">
              <w:t>riboflavin</w:t>
            </w:r>
          </w:p>
        </w:tc>
        <w:tc>
          <w:tcPr>
            <w:tcW w:w="1799" w:type="pct"/>
            <w:tcBorders>
              <w:top w:val="single" w:sz="4" w:space="0" w:color="auto"/>
              <w:bottom w:val="single" w:sz="4" w:space="0" w:color="auto"/>
            </w:tcBorders>
            <w:shd w:val="clear" w:color="auto" w:fill="auto"/>
          </w:tcPr>
          <w:p w14:paraId="75479E8C" w14:textId="77777777" w:rsidR="00207B1C" w:rsidRPr="005E3B43" w:rsidRDefault="00207B1C" w:rsidP="00763BCF">
            <w:pPr>
              <w:pStyle w:val="Tabletext"/>
            </w:pPr>
            <w:r w:rsidRPr="005E3B43">
              <w:t>Vitamin B2</w:t>
            </w:r>
          </w:p>
        </w:tc>
      </w:tr>
      <w:tr w:rsidR="00207B1C" w:rsidRPr="005E3B43" w14:paraId="69BE0176" w14:textId="77777777" w:rsidTr="005A786D">
        <w:tc>
          <w:tcPr>
            <w:tcW w:w="1001" w:type="pct"/>
            <w:tcBorders>
              <w:top w:val="single" w:sz="4" w:space="0" w:color="auto"/>
              <w:bottom w:val="single" w:sz="4" w:space="0" w:color="auto"/>
            </w:tcBorders>
            <w:shd w:val="clear" w:color="auto" w:fill="auto"/>
          </w:tcPr>
          <w:p w14:paraId="549F41C5" w14:textId="77777777" w:rsidR="00207B1C" w:rsidRPr="005E3B43" w:rsidRDefault="00207B1C" w:rsidP="00763BCF">
            <w:pPr>
              <w:pStyle w:val="Tabletext"/>
            </w:pPr>
            <w:r w:rsidRPr="005E3B43">
              <w:t>4</w:t>
            </w:r>
          </w:p>
        </w:tc>
        <w:tc>
          <w:tcPr>
            <w:tcW w:w="2200" w:type="pct"/>
            <w:tcBorders>
              <w:top w:val="single" w:sz="4" w:space="0" w:color="auto"/>
              <w:bottom w:val="single" w:sz="4" w:space="0" w:color="auto"/>
            </w:tcBorders>
            <w:shd w:val="clear" w:color="auto" w:fill="auto"/>
          </w:tcPr>
          <w:p w14:paraId="7CAAF655" w14:textId="77777777" w:rsidR="00207B1C" w:rsidRPr="005E3B43" w:rsidRDefault="00207B1C" w:rsidP="00763BCF">
            <w:pPr>
              <w:pStyle w:val="Tabletext"/>
            </w:pPr>
            <w:r w:rsidRPr="005E3B43">
              <w:t>Nicotinic Acid</w:t>
            </w:r>
          </w:p>
        </w:tc>
        <w:tc>
          <w:tcPr>
            <w:tcW w:w="1799" w:type="pct"/>
            <w:tcBorders>
              <w:top w:val="single" w:sz="4" w:space="0" w:color="auto"/>
              <w:bottom w:val="single" w:sz="4" w:space="0" w:color="auto"/>
            </w:tcBorders>
            <w:shd w:val="clear" w:color="auto" w:fill="auto"/>
          </w:tcPr>
          <w:p w14:paraId="45B91DEE" w14:textId="77777777" w:rsidR="00207B1C" w:rsidRPr="005E3B43" w:rsidRDefault="00207B1C" w:rsidP="00763BCF">
            <w:pPr>
              <w:pStyle w:val="Tabletext"/>
            </w:pPr>
          </w:p>
        </w:tc>
      </w:tr>
      <w:tr w:rsidR="00207B1C" w:rsidRPr="005E3B43" w14:paraId="5CB23942" w14:textId="77777777" w:rsidTr="005A786D">
        <w:tc>
          <w:tcPr>
            <w:tcW w:w="1001" w:type="pct"/>
            <w:tcBorders>
              <w:top w:val="single" w:sz="4" w:space="0" w:color="auto"/>
              <w:bottom w:val="single" w:sz="4" w:space="0" w:color="auto"/>
            </w:tcBorders>
            <w:shd w:val="clear" w:color="auto" w:fill="auto"/>
          </w:tcPr>
          <w:p w14:paraId="394AE914" w14:textId="77777777" w:rsidR="00207B1C" w:rsidRPr="005E3B43" w:rsidRDefault="00207B1C" w:rsidP="00763BCF">
            <w:pPr>
              <w:pStyle w:val="Tabletext"/>
            </w:pPr>
            <w:r w:rsidRPr="005E3B43">
              <w:t>5</w:t>
            </w:r>
          </w:p>
        </w:tc>
        <w:tc>
          <w:tcPr>
            <w:tcW w:w="2200" w:type="pct"/>
            <w:tcBorders>
              <w:top w:val="single" w:sz="4" w:space="0" w:color="auto"/>
              <w:bottom w:val="single" w:sz="4" w:space="0" w:color="auto"/>
            </w:tcBorders>
            <w:shd w:val="clear" w:color="auto" w:fill="auto"/>
          </w:tcPr>
          <w:p w14:paraId="09DC7C9C" w14:textId="77777777" w:rsidR="00207B1C" w:rsidRPr="005E3B43" w:rsidRDefault="00207B1C" w:rsidP="00763BCF">
            <w:pPr>
              <w:pStyle w:val="Tabletext"/>
            </w:pPr>
            <w:r w:rsidRPr="005E3B43">
              <w:t>Pantothenic Acid</w:t>
            </w:r>
          </w:p>
        </w:tc>
        <w:tc>
          <w:tcPr>
            <w:tcW w:w="1799" w:type="pct"/>
            <w:tcBorders>
              <w:top w:val="single" w:sz="4" w:space="0" w:color="auto"/>
              <w:bottom w:val="single" w:sz="4" w:space="0" w:color="auto"/>
            </w:tcBorders>
            <w:shd w:val="clear" w:color="auto" w:fill="auto"/>
          </w:tcPr>
          <w:p w14:paraId="6AA52611" w14:textId="77777777" w:rsidR="00207B1C" w:rsidRPr="005E3B43" w:rsidRDefault="00207B1C" w:rsidP="00763BCF">
            <w:pPr>
              <w:pStyle w:val="Tabletext"/>
            </w:pPr>
            <w:r w:rsidRPr="005E3B43">
              <w:t>Vitamin B5</w:t>
            </w:r>
          </w:p>
        </w:tc>
      </w:tr>
      <w:tr w:rsidR="00207B1C" w:rsidRPr="005E3B43" w14:paraId="333945CB" w14:textId="77777777" w:rsidTr="005A786D">
        <w:tc>
          <w:tcPr>
            <w:tcW w:w="1001" w:type="pct"/>
            <w:tcBorders>
              <w:top w:val="single" w:sz="4" w:space="0" w:color="auto"/>
              <w:bottom w:val="single" w:sz="4" w:space="0" w:color="auto"/>
            </w:tcBorders>
            <w:shd w:val="clear" w:color="auto" w:fill="auto"/>
          </w:tcPr>
          <w:p w14:paraId="3C4B8613" w14:textId="77777777" w:rsidR="00207B1C" w:rsidRPr="005E3B43" w:rsidRDefault="00207B1C" w:rsidP="00763BCF">
            <w:pPr>
              <w:pStyle w:val="Tabletext"/>
            </w:pPr>
            <w:r w:rsidRPr="005E3B43">
              <w:t>6</w:t>
            </w:r>
          </w:p>
        </w:tc>
        <w:tc>
          <w:tcPr>
            <w:tcW w:w="2200" w:type="pct"/>
            <w:tcBorders>
              <w:top w:val="single" w:sz="4" w:space="0" w:color="auto"/>
              <w:bottom w:val="single" w:sz="4" w:space="0" w:color="auto"/>
            </w:tcBorders>
            <w:shd w:val="clear" w:color="auto" w:fill="auto"/>
          </w:tcPr>
          <w:p w14:paraId="38634C5D" w14:textId="77777777" w:rsidR="00207B1C" w:rsidRPr="005E3B43" w:rsidRDefault="00207B1C" w:rsidP="00763BCF">
            <w:pPr>
              <w:pStyle w:val="Tabletext"/>
            </w:pPr>
            <w:r w:rsidRPr="005E3B43">
              <w:t>Pyridoxine</w:t>
            </w:r>
          </w:p>
        </w:tc>
        <w:tc>
          <w:tcPr>
            <w:tcW w:w="1799" w:type="pct"/>
            <w:tcBorders>
              <w:top w:val="single" w:sz="4" w:space="0" w:color="auto"/>
              <w:bottom w:val="single" w:sz="4" w:space="0" w:color="auto"/>
            </w:tcBorders>
            <w:shd w:val="clear" w:color="auto" w:fill="auto"/>
          </w:tcPr>
          <w:p w14:paraId="54754DDF" w14:textId="77777777" w:rsidR="00207B1C" w:rsidRPr="005E3B43" w:rsidRDefault="00207B1C" w:rsidP="00763BCF">
            <w:pPr>
              <w:pStyle w:val="Tabletext"/>
            </w:pPr>
            <w:r w:rsidRPr="005E3B43">
              <w:t>Vitamin B6</w:t>
            </w:r>
          </w:p>
        </w:tc>
      </w:tr>
      <w:tr w:rsidR="00207B1C" w:rsidRPr="005E3B43" w14:paraId="50CBB0CA" w14:textId="77777777" w:rsidTr="005A786D">
        <w:tc>
          <w:tcPr>
            <w:tcW w:w="1001" w:type="pct"/>
            <w:tcBorders>
              <w:top w:val="single" w:sz="4" w:space="0" w:color="auto"/>
              <w:bottom w:val="single" w:sz="4" w:space="0" w:color="auto"/>
            </w:tcBorders>
            <w:shd w:val="clear" w:color="auto" w:fill="auto"/>
          </w:tcPr>
          <w:p w14:paraId="37375829" w14:textId="77777777" w:rsidR="00207B1C" w:rsidRPr="005E3B43" w:rsidRDefault="00207B1C" w:rsidP="00763BCF">
            <w:pPr>
              <w:pStyle w:val="Tabletext"/>
            </w:pPr>
            <w:r w:rsidRPr="005E3B43">
              <w:t>7</w:t>
            </w:r>
          </w:p>
        </w:tc>
        <w:tc>
          <w:tcPr>
            <w:tcW w:w="2200" w:type="pct"/>
            <w:tcBorders>
              <w:top w:val="single" w:sz="4" w:space="0" w:color="auto"/>
              <w:bottom w:val="single" w:sz="4" w:space="0" w:color="auto"/>
            </w:tcBorders>
            <w:shd w:val="clear" w:color="auto" w:fill="auto"/>
          </w:tcPr>
          <w:p w14:paraId="613DE772" w14:textId="77777777" w:rsidR="00207B1C" w:rsidRPr="005E3B43" w:rsidRDefault="00207B1C" w:rsidP="00763BCF">
            <w:pPr>
              <w:pStyle w:val="Tabletext"/>
            </w:pPr>
            <w:r w:rsidRPr="005E3B43">
              <w:t>Cyanocobalamin</w:t>
            </w:r>
          </w:p>
        </w:tc>
        <w:tc>
          <w:tcPr>
            <w:tcW w:w="1799" w:type="pct"/>
            <w:tcBorders>
              <w:top w:val="single" w:sz="4" w:space="0" w:color="auto"/>
              <w:bottom w:val="single" w:sz="4" w:space="0" w:color="auto"/>
            </w:tcBorders>
            <w:shd w:val="clear" w:color="auto" w:fill="auto"/>
          </w:tcPr>
          <w:p w14:paraId="1EE4F65B" w14:textId="77777777" w:rsidR="00207B1C" w:rsidRPr="005E3B43" w:rsidRDefault="00207B1C" w:rsidP="00763BCF">
            <w:pPr>
              <w:pStyle w:val="Tabletext"/>
            </w:pPr>
            <w:r w:rsidRPr="005E3B43">
              <w:t>Vitamin B12</w:t>
            </w:r>
          </w:p>
        </w:tc>
      </w:tr>
      <w:tr w:rsidR="00207B1C" w:rsidRPr="005E3B43" w14:paraId="6E7BC13E" w14:textId="77777777" w:rsidTr="005A786D">
        <w:tc>
          <w:tcPr>
            <w:tcW w:w="1001" w:type="pct"/>
            <w:tcBorders>
              <w:top w:val="single" w:sz="4" w:space="0" w:color="auto"/>
              <w:bottom w:val="single" w:sz="4" w:space="0" w:color="auto"/>
            </w:tcBorders>
            <w:shd w:val="clear" w:color="auto" w:fill="auto"/>
          </w:tcPr>
          <w:p w14:paraId="314A03E9" w14:textId="77777777" w:rsidR="00207B1C" w:rsidRPr="005E3B43" w:rsidRDefault="00207B1C" w:rsidP="00763BCF">
            <w:pPr>
              <w:pStyle w:val="Tabletext"/>
            </w:pPr>
            <w:r w:rsidRPr="005E3B43">
              <w:t>8</w:t>
            </w:r>
          </w:p>
        </w:tc>
        <w:tc>
          <w:tcPr>
            <w:tcW w:w="2200" w:type="pct"/>
            <w:tcBorders>
              <w:top w:val="single" w:sz="4" w:space="0" w:color="auto"/>
              <w:bottom w:val="single" w:sz="4" w:space="0" w:color="auto"/>
            </w:tcBorders>
            <w:shd w:val="clear" w:color="auto" w:fill="auto"/>
          </w:tcPr>
          <w:p w14:paraId="7F84C2E7" w14:textId="77777777" w:rsidR="00207B1C" w:rsidRPr="005E3B43" w:rsidRDefault="00207B1C" w:rsidP="00763BCF">
            <w:pPr>
              <w:pStyle w:val="Tabletext"/>
            </w:pPr>
            <w:r w:rsidRPr="005E3B43">
              <w:t>Ascorbic Acid</w:t>
            </w:r>
          </w:p>
        </w:tc>
        <w:tc>
          <w:tcPr>
            <w:tcW w:w="1799" w:type="pct"/>
            <w:tcBorders>
              <w:top w:val="single" w:sz="4" w:space="0" w:color="auto"/>
              <w:bottom w:val="single" w:sz="4" w:space="0" w:color="auto"/>
            </w:tcBorders>
            <w:shd w:val="clear" w:color="auto" w:fill="auto"/>
          </w:tcPr>
          <w:p w14:paraId="23362024" w14:textId="77777777" w:rsidR="00207B1C" w:rsidRPr="005E3B43" w:rsidRDefault="00207B1C" w:rsidP="00763BCF">
            <w:pPr>
              <w:pStyle w:val="Tabletext"/>
            </w:pPr>
            <w:r w:rsidRPr="005E3B43">
              <w:t xml:space="preserve">Vitamin C </w:t>
            </w:r>
          </w:p>
        </w:tc>
      </w:tr>
      <w:tr w:rsidR="00207B1C" w:rsidRPr="005E3B43" w14:paraId="20C58737" w14:textId="77777777" w:rsidTr="005A786D">
        <w:tc>
          <w:tcPr>
            <w:tcW w:w="1001" w:type="pct"/>
            <w:tcBorders>
              <w:top w:val="single" w:sz="4" w:space="0" w:color="auto"/>
              <w:bottom w:val="single" w:sz="4" w:space="0" w:color="auto"/>
            </w:tcBorders>
            <w:shd w:val="clear" w:color="auto" w:fill="auto"/>
          </w:tcPr>
          <w:p w14:paraId="1CB16242" w14:textId="77777777" w:rsidR="00207B1C" w:rsidRPr="005E3B43" w:rsidRDefault="00207B1C" w:rsidP="00763BCF">
            <w:pPr>
              <w:pStyle w:val="Tabletext"/>
            </w:pPr>
            <w:r w:rsidRPr="005E3B43">
              <w:t>9</w:t>
            </w:r>
          </w:p>
        </w:tc>
        <w:tc>
          <w:tcPr>
            <w:tcW w:w="2200" w:type="pct"/>
            <w:tcBorders>
              <w:top w:val="single" w:sz="4" w:space="0" w:color="auto"/>
              <w:bottom w:val="single" w:sz="4" w:space="0" w:color="auto"/>
            </w:tcBorders>
            <w:shd w:val="clear" w:color="auto" w:fill="auto"/>
          </w:tcPr>
          <w:p w14:paraId="5C1345D5" w14:textId="77777777" w:rsidR="00207B1C" w:rsidRPr="005E3B43" w:rsidRDefault="00207B1C" w:rsidP="00763BCF">
            <w:pPr>
              <w:pStyle w:val="Tabletext"/>
            </w:pPr>
            <w:r w:rsidRPr="005E3B43">
              <w:t>Ergocalciferol</w:t>
            </w:r>
          </w:p>
        </w:tc>
        <w:tc>
          <w:tcPr>
            <w:tcW w:w="1799" w:type="pct"/>
            <w:tcBorders>
              <w:top w:val="single" w:sz="4" w:space="0" w:color="auto"/>
              <w:bottom w:val="single" w:sz="4" w:space="0" w:color="auto"/>
            </w:tcBorders>
            <w:shd w:val="clear" w:color="auto" w:fill="auto"/>
          </w:tcPr>
          <w:p w14:paraId="6A6ADDA2" w14:textId="77777777" w:rsidR="00207B1C" w:rsidRPr="005E3B43" w:rsidRDefault="00207B1C" w:rsidP="00763BCF">
            <w:pPr>
              <w:pStyle w:val="Tabletext"/>
            </w:pPr>
            <w:r w:rsidRPr="005E3B43">
              <w:t>Vitamin D2</w:t>
            </w:r>
          </w:p>
        </w:tc>
      </w:tr>
      <w:tr w:rsidR="00207B1C" w:rsidRPr="005E3B43" w14:paraId="29314696" w14:textId="77777777" w:rsidTr="005A786D">
        <w:tc>
          <w:tcPr>
            <w:tcW w:w="1001" w:type="pct"/>
            <w:tcBorders>
              <w:top w:val="single" w:sz="4" w:space="0" w:color="auto"/>
              <w:bottom w:val="single" w:sz="4" w:space="0" w:color="auto"/>
            </w:tcBorders>
            <w:shd w:val="clear" w:color="auto" w:fill="auto"/>
          </w:tcPr>
          <w:p w14:paraId="54E10A04" w14:textId="77777777" w:rsidR="00207B1C" w:rsidRPr="005E3B43" w:rsidRDefault="00207B1C" w:rsidP="00763BCF">
            <w:pPr>
              <w:pStyle w:val="Tabletext"/>
            </w:pPr>
            <w:r w:rsidRPr="005E3B43">
              <w:t>10</w:t>
            </w:r>
          </w:p>
        </w:tc>
        <w:tc>
          <w:tcPr>
            <w:tcW w:w="2200" w:type="pct"/>
            <w:tcBorders>
              <w:top w:val="single" w:sz="4" w:space="0" w:color="auto"/>
              <w:bottom w:val="single" w:sz="4" w:space="0" w:color="auto"/>
            </w:tcBorders>
            <w:shd w:val="clear" w:color="auto" w:fill="auto"/>
          </w:tcPr>
          <w:p w14:paraId="584A2EC4" w14:textId="77777777" w:rsidR="00207B1C" w:rsidRPr="005E3B43" w:rsidRDefault="00464100" w:rsidP="00763BCF">
            <w:pPr>
              <w:pStyle w:val="Tabletext"/>
            </w:pPr>
            <w:r w:rsidRPr="005E3B43">
              <w:t>colecalciferol</w:t>
            </w:r>
          </w:p>
        </w:tc>
        <w:tc>
          <w:tcPr>
            <w:tcW w:w="1799" w:type="pct"/>
            <w:tcBorders>
              <w:top w:val="single" w:sz="4" w:space="0" w:color="auto"/>
              <w:bottom w:val="single" w:sz="4" w:space="0" w:color="auto"/>
            </w:tcBorders>
            <w:shd w:val="clear" w:color="auto" w:fill="auto"/>
          </w:tcPr>
          <w:p w14:paraId="30F103F3" w14:textId="77777777" w:rsidR="00207B1C" w:rsidRPr="005E3B43" w:rsidRDefault="00207B1C" w:rsidP="00763BCF">
            <w:pPr>
              <w:pStyle w:val="Tabletext"/>
            </w:pPr>
            <w:r w:rsidRPr="005E3B43">
              <w:t>Vitamin D3</w:t>
            </w:r>
          </w:p>
        </w:tc>
      </w:tr>
      <w:tr w:rsidR="00207B1C" w:rsidRPr="005E3B43" w14:paraId="47E24116" w14:textId="77777777" w:rsidTr="005A786D">
        <w:tc>
          <w:tcPr>
            <w:tcW w:w="1001" w:type="pct"/>
            <w:tcBorders>
              <w:top w:val="single" w:sz="4" w:space="0" w:color="auto"/>
              <w:bottom w:val="single" w:sz="4" w:space="0" w:color="auto"/>
            </w:tcBorders>
            <w:shd w:val="clear" w:color="auto" w:fill="auto"/>
          </w:tcPr>
          <w:p w14:paraId="626DC301" w14:textId="77777777" w:rsidR="00207B1C" w:rsidRPr="005E3B43" w:rsidRDefault="00207B1C" w:rsidP="00763BCF">
            <w:pPr>
              <w:pStyle w:val="Tabletext"/>
            </w:pPr>
            <w:r w:rsidRPr="005E3B43">
              <w:t>11</w:t>
            </w:r>
          </w:p>
        </w:tc>
        <w:tc>
          <w:tcPr>
            <w:tcW w:w="2200" w:type="pct"/>
            <w:tcBorders>
              <w:top w:val="single" w:sz="4" w:space="0" w:color="auto"/>
              <w:bottom w:val="single" w:sz="4" w:space="0" w:color="auto"/>
            </w:tcBorders>
            <w:shd w:val="clear" w:color="auto" w:fill="auto"/>
          </w:tcPr>
          <w:p w14:paraId="27DEE763" w14:textId="10CA19B5" w:rsidR="00207B1C" w:rsidRPr="005E3B43" w:rsidRDefault="00207B1C" w:rsidP="00763BCF">
            <w:pPr>
              <w:pStyle w:val="Tabletext"/>
            </w:pPr>
            <w:r w:rsidRPr="005E3B43">
              <w:t>alpha</w:t>
            </w:r>
            <w:r w:rsidR="007C3215">
              <w:noBreakHyphen/>
            </w:r>
            <w:r w:rsidRPr="005E3B43">
              <w:t>Tocopherol</w:t>
            </w:r>
          </w:p>
        </w:tc>
        <w:tc>
          <w:tcPr>
            <w:tcW w:w="1799" w:type="pct"/>
            <w:tcBorders>
              <w:top w:val="single" w:sz="4" w:space="0" w:color="auto"/>
              <w:bottom w:val="single" w:sz="4" w:space="0" w:color="auto"/>
            </w:tcBorders>
            <w:shd w:val="clear" w:color="auto" w:fill="auto"/>
          </w:tcPr>
          <w:p w14:paraId="2D5F9BA1" w14:textId="77777777" w:rsidR="00207B1C" w:rsidRPr="005E3B43" w:rsidRDefault="00207B1C" w:rsidP="00763BCF">
            <w:pPr>
              <w:pStyle w:val="Tabletext"/>
            </w:pPr>
            <w:r w:rsidRPr="005E3B43">
              <w:t>Vitamin E</w:t>
            </w:r>
          </w:p>
        </w:tc>
      </w:tr>
      <w:tr w:rsidR="00207B1C" w:rsidRPr="005E3B43" w14:paraId="36F66DB0" w14:textId="77777777" w:rsidTr="005A786D">
        <w:tc>
          <w:tcPr>
            <w:tcW w:w="1001" w:type="pct"/>
            <w:tcBorders>
              <w:top w:val="single" w:sz="4" w:space="0" w:color="auto"/>
              <w:bottom w:val="single" w:sz="4" w:space="0" w:color="auto"/>
            </w:tcBorders>
            <w:shd w:val="clear" w:color="auto" w:fill="auto"/>
          </w:tcPr>
          <w:p w14:paraId="4DE7BB6A" w14:textId="77777777" w:rsidR="00207B1C" w:rsidRPr="005E3B43" w:rsidRDefault="00207B1C" w:rsidP="00763BCF">
            <w:pPr>
              <w:pStyle w:val="Tabletext"/>
            </w:pPr>
            <w:r w:rsidRPr="005E3B43">
              <w:t>12</w:t>
            </w:r>
          </w:p>
        </w:tc>
        <w:tc>
          <w:tcPr>
            <w:tcW w:w="2200" w:type="pct"/>
            <w:tcBorders>
              <w:top w:val="single" w:sz="4" w:space="0" w:color="auto"/>
              <w:bottom w:val="single" w:sz="4" w:space="0" w:color="auto"/>
            </w:tcBorders>
            <w:shd w:val="clear" w:color="auto" w:fill="auto"/>
          </w:tcPr>
          <w:p w14:paraId="4E0DA3DA" w14:textId="77777777" w:rsidR="00207B1C" w:rsidRPr="005E3B43" w:rsidRDefault="00207B1C" w:rsidP="00763BCF">
            <w:pPr>
              <w:pStyle w:val="Tabletext"/>
            </w:pPr>
            <w:r w:rsidRPr="005E3B43">
              <w:t>Biotin</w:t>
            </w:r>
          </w:p>
        </w:tc>
        <w:tc>
          <w:tcPr>
            <w:tcW w:w="1799" w:type="pct"/>
            <w:tcBorders>
              <w:top w:val="single" w:sz="4" w:space="0" w:color="auto"/>
              <w:bottom w:val="single" w:sz="4" w:space="0" w:color="auto"/>
            </w:tcBorders>
            <w:shd w:val="clear" w:color="auto" w:fill="auto"/>
          </w:tcPr>
          <w:p w14:paraId="7C53D3EF" w14:textId="77777777" w:rsidR="00207B1C" w:rsidRPr="005E3B43" w:rsidRDefault="00207B1C" w:rsidP="00763BCF">
            <w:pPr>
              <w:pStyle w:val="Tabletext"/>
            </w:pPr>
            <w:r w:rsidRPr="005E3B43">
              <w:t xml:space="preserve">Vitamin H </w:t>
            </w:r>
          </w:p>
        </w:tc>
      </w:tr>
      <w:tr w:rsidR="00207B1C" w:rsidRPr="005E3B43" w14:paraId="46CF54B2" w14:textId="77777777" w:rsidTr="005A786D">
        <w:tc>
          <w:tcPr>
            <w:tcW w:w="1001" w:type="pct"/>
            <w:tcBorders>
              <w:top w:val="single" w:sz="4" w:space="0" w:color="auto"/>
              <w:bottom w:val="single" w:sz="4" w:space="0" w:color="auto"/>
            </w:tcBorders>
            <w:shd w:val="clear" w:color="auto" w:fill="auto"/>
          </w:tcPr>
          <w:p w14:paraId="26DAC823" w14:textId="77777777" w:rsidR="00207B1C" w:rsidRPr="005E3B43" w:rsidRDefault="00207B1C" w:rsidP="00763BCF">
            <w:pPr>
              <w:pStyle w:val="Tabletext"/>
            </w:pPr>
            <w:r w:rsidRPr="005E3B43">
              <w:t>13</w:t>
            </w:r>
          </w:p>
        </w:tc>
        <w:tc>
          <w:tcPr>
            <w:tcW w:w="2200" w:type="pct"/>
            <w:tcBorders>
              <w:top w:val="single" w:sz="4" w:space="0" w:color="auto"/>
              <w:bottom w:val="single" w:sz="4" w:space="0" w:color="auto"/>
            </w:tcBorders>
            <w:shd w:val="clear" w:color="auto" w:fill="auto"/>
          </w:tcPr>
          <w:p w14:paraId="323CC055" w14:textId="77777777" w:rsidR="00207B1C" w:rsidRPr="005E3B43" w:rsidRDefault="00207B1C" w:rsidP="00763BCF">
            <w:pPr>
              <w:pStyle w:val="Tabletext"/>
            </w:pPr>
            <w:r w:rsidRPr="005E3B43">
              <w:t>Phytomenadione</w:t>
            </w:r>
          </w:p>
        </w:tc>
        <w:tc>
          <w:tcPr>
            <w:tcW w:w="1799" w:type="pct"/>
            <w:tcBorders>
              <w:top w:val="single" w:sz="4" w:space="0" w:color="auto"/>
              <w:bottom w:val="single" w:sz="4" w:space="0" w:color="auto"/>
            </w:tcBorders>
            <w:shd w:val="clear" w:color="auto" w:fill="auto"/>
          </w:tcPr>
          <w:p w14:paraId="5FAB39A5" w14:textId="77777777" w:rsidR="00207B1C" w:rsidRPr="005E3B43" w:rsidRDefault="00207B1C" w:rsidP="00763BCF">
            <w:pPr>
              <w:pStyle w:val="Tabletext"/>
            </w:pPr>
            <w:r w:rsidRPr="005E3B43">
              <w:t>Vitamin K1</w:t>
            </w:r>
          </w:p>
        </w:tc>
      </w:tr>
      <w:tr w:rsidR="00207B1C" w:rsidRPr="005E3B43" w14:paraId="30BCF5A7" w14:textId="77777777" w:rsidTr="005A786D">
        <w:tc>
          <w:tcPr>
            <w:tcW w:w="1001" w:type="pct"/>
            <w:tcBorders>
              <w:top w:val="single" w:sz="4" w:space="0" w:color="auto"/>
              <w:bottom w:val="single" w:sz="4" w:space="0" w:color="auto"/>
            </w:tcBorders>
            <w:shd w:val="clear" w:color="auto" w:fill="auto"/>
          </w:tcPr>
          <w:p w14:paraId="1AF0FDC5" w14:textId="77777777" w:rsidR="00207B1C" w:rsidRPr="005E3B43" w:rsidRDefault="00207B1C" w:rsidP="00763BCF">
            <w:pPr>
              <w:pStyle w:val="Tabletext"/>
            </w:pPr>
            <w:r w:rsidRPr="005E3B43">
              <w:t>14</w:t>
            </w:r>
          </w:p>
        </w:tc>
        <w:tc>
          <w:tcPr>
            <w:tcW w:w="2200" w:type="pct"/>
            <w:tcBorders>
              <w:top w:val="single" w:sz="4" w:space="0" w:color="auto"/>
              <w:bottom w:val="single" w:sz="4" w:space="0" w:color="auto"/>
            </w:tcBorders>
            <w:shd w:val="clear" w:color="auto" w:fill="auto"/>
          </w:tcPr>
          <w:p w14:paraId="2A441E86" w14:textId="77777777" w:rsidR="00207B1C" w:rsidRPr="005E3B43" w:rsidRDefault="00207B1C" w:rsidP="00763BCF">
            <w:pPr>
              <w:pStyle w:val="Tabletext"/>
            </w:pPr>
            <w:r w:rsidRPr="005E3B43">
              <w:t>Menadione</w:t>
            </w:r>
          </w:p>
        </w:tc>
        <w:tc>
          <w:tcPr>
            <w:tcW w:w="1799" w:type="pct"/>
            <w:tcBorders>
              <w:top w:val="single" w:sz="4" w:space="0" w:color="auto"/>
              <w:bottom w:val="single" w:sz="4" w:space="0" w:color="auto"/>
            </w:tcBorders>
            <w:shd w:val="clear" w:color="auto" w:fill="auto"/>
          </w:tcPr>
          <w:p w14:paraId="1253B7C0" w14:textId="77777777" w:rsidR="00207B1C" w:rsidRPr="005E3B43" w:rsidRDefault="00207B1C" w:rsidP="00763BCF">
            <w:pPr>
              <w:pStyle w:val="Tabletext"/>
            </w:pPr>
            <w:r w:rsidRPr="005E3B43">
              <w:t>Vitamin K3</w:t>
            </w:r>
          </w:p>
        </w:tc>
      </w:tr>
      <w:tr w:rsidR="00207B1C" w:rsidRPr="005E3B43" w14:paraId="030B0410" w14:textId="77777777" w:rsidTr="005A786D">
        <w:tc>
          <w:tcPr>
            <w:tcW w:w="1001" w:type="pct"/>
            <w:tcBorders>
              <w:top w:val="single" w:sz="4" w:space="0" w:color="auto"/>
              <w:bottom w:val="single" w:sz="12" w:space="0" w:color="auto"/>
            </w:tcBorders>
            <w:shd w:val="clear" w:color="auto" w:fill="auto"/>
          </w:tcPr>
          <w:p w14:paraId="5C28C449" w14:textId="77777777" w:rsidR="00207B1C" w:rsidRPr="005E3B43" w:rsidRDefault="00207B1C" w:rsidP="00763BCF">
            <w:pPr>
              <w:pStyle w:val="Tabletext"/>
            </w:pPr>
            <w:r w:rsidRPr="005E3B43">
              <w:t>15</w:t>
            </w:r>
          </w:p>
        </w:tc>
        <w:tc>
          <w:tcPr>
            <w:tcW w:w="2200" w:type="pct"/>
            <w:tcBorders>
              <w:top w:val="single" w:sz="4" w:space="0" w:color="auto"/>
              <w:bottom w:val="single" w:sz="12" w:space="0" w:color="auto"/>
            </w:tcBorders>
            <w:shd w:val="clear" w:color="auto" w:fill="auto"/>
          </w:tcPr>
          <w:p w14:paraId="22FEFC56" w14:textId="77777777" w:rsidR="00207B1C" w:rsidRPr="005E3B43" w:rsidRDefault="00207B1C" w:rsidP="00763BCF">
            <w:pPr>
              <w:pStyle w:val="Tabletext"/>
            </w:pPr>
            <w:r w:rsidRPr="005E3B43">
              <w:t>Folic Acid</w:t>
            </w:r>
          </w:p>
        </w:tc>
        <w:tc>
          <w:tcPr>
            <w:tcW w:w="1799" w:type="pct"/>
            <w:tcBorders>
              <w:top w:val="single" w:sz="4" w:space="0" w:color="auto"/>
              <w:bottom w:val="single" w:sz="12" w:space="0" w:color="auto"/>
            </w:tcBorders>
            <w:shd w:val="clear" w:color="auto" w:fill="auto"/>
          </w:tcPr>
          <w:p w14:paraId="2B234496" w14:textId="77777777" w:rsidR="00207B1C" w:rsidRPr="005E3B43" w:rsidRDefault="00207B1C" w:rsidP="00763BCF">
            <w:pPr>
              <w:pStyle w:val="Tabletext"/>
            </w:pPr>
          </w:p>
        </w:tc>
      </w:tr>
    </w:tbl>
    <w:p w14:paraId="58A79DEC" w14:textId="77777777" w:rsidR="00327B95" w:rsidRPr="005E3B43" w:rsidRDefault="00010594" w:rsidP="00763BCF">
      <w:pPr>
        <w:pStyle w:val="ActHead1"/>
        <w:pageBreakBefore/>
      </w:pPr>
      <w:bookmarkStart w:id="406" w:name="_Toc187135996"/>
      <w:r w:rsidRPr="005E3B43">
        <w:rPr>
          <w:rStyle w:val="CharChapNo"/>
        </w:rPr>
        <w:lastRenderedPageBreak/>
        <w:t>Schedule</w:t>
      </w:r>
      <w:r w:rsidR="004E6D00" w:rsidRPr="005E3B43">
        <w:rPr>
          <w:rStyle w:val="CharChapNo"/>
        </w:rPr>
        <w:t> </w:t>
      </w:r>
      <w:r w:rsidRPr="005E3B43">
        <w:rPr>
          <w:rStyle w:val="CharChapNo"/>
        </w:rPr>
        <w:t>3</w:t>
      </w:r>
      <w:r w:rsidRPr="005E3B43">
        <w:t>—</w:t>
      </w:r>
      <w:r w:rsidRPr="005E3B43">
        <w:rPr>
          <w:rStyle w:val="CharChapText"/>
        </w:rPr>
        <w:t>Therapeutic goods required to be included in the part of the Register for goods known as registered goods or as provisionally registered goods</w:t>
      </w:r>
      <w:bookmarkEnd w:id="406"/>
    </w:p>
    <w:p w14:paraId="316244D9" w14:textId="77777777" w:rsidR="00207B1C" w:rsidRPr="005E3B43" w:rsidRDefault="00207B1C" w:rsidP="00763BCF">
      <w:pPr>
        <w:pStyle w:val="notemargin"/>
        <w:spacing w:before="120"/>
      </w:pPr>
      <w:r w:rsidRPr="005E3B43">
        <w:t>(regulation</w:t>
      </w:r>
      <w:r w:rsidR="004E6D00" w:rsidRPr="005E3B43">
        <w:t> </w:t>
      </w:r>
      <w:r w:rsidRPr="005E3B43">
        <w:t>10)</w:t>
      </w:r>
    </w:p>
    <w:p w14:paraId="21F808B5" w14:textId="77777777" w:rsidR="004F6606" w:rsidRPr="005E3B43" w:rsidRDefault="004F6606" w:rsidP="00763BCF">
      <w:pPr>
        <w:pStyle w:val="ActHead2"/>
      </w:pPr>
      <w:bookmarkStart w:id="407" w:name="_Toc187135997"/>
      <w:r w:rsidRPr="005E3B43">
        <w:rPr>
          <w:rStyle w:val="CharPartNo"/>
        </w:rPr>
        <w:t>Part 1</w:t>
      </w:r>
      <w:r w:rsidRPr="005E3B43">
        <w:t>—</w:t>
      </w:r>
      <w:r w:rsidRPr="005E3B43">
        <w:rPr>
          <w:rStyle w:val="CharPartText"/>
        </w:rPr>
        <w:t>Medicines</w:t>
      </w:r>
      <w:bookmarkEnd w:id="407"/>
    </w:p>
    <w:p w14:paraId="4372D35B" w14:textId="77777777" w:rsidR="0018428E" w:rsidRPr="005E3B43" w:rsidRDefault="0018428E" w:rsidP="00763BCF">
      <w:pPr>
        <w:pStyle w:val="Header"/>
        <w:tabs>
          <w:tab w:val="clear" w:pos="4150"/>
          <w:tab w:val="clear" w:pos="8307"/>
        </w:tabs>
      </w:pPr>
      <w:r w:rsidRPr="005E3B43">
        <w:rPr>
          <w:rStyle w:val="CharDivNo"/>
        </w:rPr>
        <w:t xml:space="preserve"> </w:t>
      </w:r>
      <w:r w:rsidRPr="005E3B43">
        <w:rPr>
          <w:rStyle w:val="CharDivText"/>
        </w:rPr>
        <w:t xml:space="preserve"> </w:t>
      </w:r>
    </w:p>
    <w:p w14:paraId="27232E77" w14:textId="77777777" w:rsidR="00E20BA4" w:rsidRPr="005E3B43" w:rsidRDefault="00E20BA4" w:rsidP="00763BCF">
      <w:pPr>
        <w:pStyle w:val="Tabletext"/>
        <w:spacing w:before="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107"/>
        <w:gridCol w:w="7422"/>
      </w:tblGrid>
      <w:tr w:rsidR="00207B1C" w:rsidRPr="005E3B43" w14:paraId="3D82CBAF" w14:textId="77777777" w:rsidTr="005A786D">
        <w:trPr>
          <w:tblHeader/>
        </w:trPr>
        <w:tc>
          <w:tcPr>
            <w:tcW w:w="649" w:type="pct"/>
            <w:tcBorders>
              <w:top w:val="single" w:sz="12" w:space="0" w:color="auto"/>
              <w:bottom w:val="single" w:sz="12" w:space="0" w:color="auto"/>
            </w:tcBorders>
            <w:shd w:val="clear" w:color="auto" w:fill="auto"/>
          </w:tcPr>
          <w:p w14:paraId="0BBA4DFF" w14:textId="77777777" w:rsidR="00207B1C" w:rsidRPr="005E3B43" w:rsidRDefault="00207B1C" w:rsidP="00763BCF">
            <w:pPr>
              <w:pStyle w:val="TableHeading"/>
              <w:ind w:right="-41"/>
            </w:pPr>
            <w:r w:rsidRPr="005E3B43">
              <w:t>Item No.</w:t>
            </w:r>
          </w:p>
        </w:tc>
        <w:tc>
          <w:tcPr>
            <w:tcW w:w="4351" w:type="pct"/>
            <w:tcBorders>
              <w:top w:val="single" w:sz="12" w:space="0" w:color="auto"/>
              <w:bottom w:val="single" w:sz="12" w:space="0" w:color="auto"/>
            </w:tcBorders>
            <w:shd w:val="clear" w:color="auto" w:fill="auto"/>
          </w:tcPr>
          <w:p w14:paraId="054EDD0C" w14:textId="77777777" w:rsidR="00207B1C" w:rsidRPr="005E3B43" w:rsidRDefault="00207B1C" w:rsidP="00763BCF">
            <w:pPr>
              <w:pStyle w:val="TableHeading"/>
            </w:pPr>
            <w:r w:rsidRPr="005E3B43">
              <w:t>Therapeutic goods</w:t>
            </w:r>
          </w:p>
        </w:tc>
      </w:tr>
      <w:tr w:rsidR="00207B1C" w:rsidRPr="005E3B43" w14:paraId="718EF990" w14:textId="77777777" w:rsidTr="005A786D">
        <w:trPr>
          <w:trHeight w:val="20"/>
        </w:trPr>
        <w:tc>
          <w:tcPr>
            <w:tcW w:w="649" w:type="pct"/>
            <w:tcBorders>
              <w:top w:val="single" w:sz="12" w:space="0" w:color="auto"/>
              <w:bottom w:val="single" w:sz="4" w:space="0" w:color="auto"/>
            </w:tcBorders>
            <w:shd w:val="clear" w:color="auto" w:fill="auto"/>
          </w:tcPr>
          <w:p w14:paraId="5DCCC680" w14:textId="77777777" w:rsidR="00207B1C" w:rsidRPr="005E3B43" w:rsidRDefault="00207B1C" w:rsidP="00763BCF">
            <w:pPr>
              <w:pStyle w:val="Tabletext"/>
            </w:pPr>
            <w:r w:rsidRPr="005E3B43">
              <w:t>1</w:t>
            </w:r>
          </w:p>
        </w:tc>
        <w:tc>
          <w:tcPr>
            <w:tcW w:w="4351" w:type="pct"/>
            <w:tcBorders>
              <w:top w:val="single" w:sz="12" w:space="0" w:color="auto"/>
              <w:bottom w:val="single" w:sz="4" w:space="0" w:color="auto"/>
            </w:tcBorders>
            <w:shd w:val="clear" w:color="auto" w:fill="auto"/>
          </w:tcPr>
          <w:p w14:paraId="13E7F2BF" w14:textId="77777777" w:rsidR="00207B1C" w:rsidRPr="005E3B43" w:rsidRDefault="00207B1C" w:rsidP="00763BCF">
            <w:pPr>
              <w:pStyle w:val="Tabletext"/>
            </w:pPr>
            <w:r w:rsidRPr="005E3B43">
              <w:t>medicines that:</w:t>
            </w:r>
          </w:p>
          <w:p w14:paraId="44583F7C" w14:textId="48124BBA" w:rsidR="00207B1C" w:rsidRPr="005E3B43" w:rsidRDefault="00E20BA4" w:rsidP="00763BCF">
            <w:pPr>
              <w:pStyle w:val="Tablea"/>
              <w:rPr>
                <w:rFonts w:eastAsiaTheme="minorHAnsi" w:cstheme="minorBidi"/>
                <w:lang w:eastAsia="en-US"/>
              </w:rPr>
            </w:pPr>
            <w:r w:rsidRPr="005E3B43">
              <w:t>(</w:t>
            </w:r>
            <w:r w:rsidR="00207B1C" w:rsidRPr="005E3B43">
              <w:t>a</w:t>
            </w:r>
            <w:r w:rsidRPr="005E3B43">
              <w:t>)</w:t>
            </w:r>
            <w:r w:rsidR="00543D95" w:rsidRPr="005E3B43">
              <w:t xml:space="preserve"> </w:t>
            </w:r>
            <w:r w:rsidR="00207B1C" w:rsidRPr="005E3B43">
              <w:t xml:space="preserve">are not mentioned in </w:t>
            </w:r>
            <w:r w:rsidR="007C3215">
              <w:t>item 1</w:t>
            </w:r>
            <w:r w:rsidR="00207B1C" w:rsidRPr="005E3B43">
              <w:t xml:space="preserve"> of Schedule</w:t>
            </w:r>
            <w:r w:rsidR="004E6D00" w:rsidRPr="005E3B43">
              <w:t> </w:t>
            </w:r>
            <w:r w:rsidR="00207B1C" w:rsidRPr="005E3B43">
              <w:t>4; and</w:t>
            </w:r>
          </w:p>
          <w:p w14:paraId="0888576F" w14:textId="77777777" w:rsidR="00207B1C" w:rsidRPr="005E3B43" w:rsidRDefault="00E20BA4" w:rsidP="00763BCF">
            <w:pPr>
              <w:pStyle w:val="Tablea"/>
              <w:rPr>
                <w:rFonts w:eastAsiaTheme="minorHAnsi" w:cstheme="minorBidi"/>
                <w:lang w:eastAsia="en-US"/>
              </w:rPr>
            </w:pPr>
            <w:r w:rsidRPr="005E3B43">
              <w:t>(</w:t>
            </w:r>
            <w:r w:rsidR="00207B1C" w:rsidRPr="005E3B43">
              <w:t>b</w:t>
            </w:r>
            <w:r w:rsidRPr="005E3B43">
              <w:t>)</w:t>
            </w:r>
            <w:r w:rsidR="00543D95" w:rsidRPr="005E3B43">
              <w:t xml:space="preserve"> </w:t>
            </w:r>
            <w:r w:rsidR="00207B1C" w:rsidRPr="005E3B43">
              <w:t>are not designated orphan drugs</w:t>
            </w:r>
          </w:p>
        </w:tc>
      </w:tr>
      <w:tr w:rsidR="00207B1C" w:rsidRPr="005E3B43" w14:paraId="240CC5B5" w14:textId="77777777" w:rsidTr="005A786D">
        <w:trPr>
          <w:trHeight w:val="20"/>
        </w:trPr>
        <w:tc>
          <w:tcPr>
            <w:tcW w:w="649" w:type="pct"/>
            <w:tcBorders>
              <w:top w:val="single" w:sz="4" w:space="0" w:color="auto"/>
              <w:bottom w:val="single" w:sz="4" w:space="0" w:color="auto"/>
            </w:tcBorders>
            <w:shd w:val="clear" w:color="auto" w:fill="auto"/>
          </w:tcPr>
          <w:p w14:paraId="15090B04" w14:textId="77777777" w:rsidR="00207B1C" w:rsidRPr="005E3B43" w:rsidRDefault="00207B1C" w:rsidP="00763BCF">
            <w:pPr>
              <w:pStyle w:val="Tabletext"/>
            </w:pPr>
            <w:r w:rsidRPr="005E3B43">
              <w:t>2</w:t>
            </w:r>
          </w:p>
        </w:tc>
        <w:tc>
          <w:tcPr>
            <w:tcW w:w="4351" w:type="pct"/>
            <w:tcBorders>
              <w:top w:val="single" w:sz="4" w:space="0" w:color="auto"/>
              <w:bottom w:val="single" w:sz="4" w:space="0" w:color="auto"/>
            </w:tcBorders>
            <w:shd w:val="clear" w:color="auto" w:fill="auto"/>
          </w:tcPr>
          <w:p w14:paraId="16F85C1E" w14:textId="77777777" w:rsidR="00207B1C" w:rsidRPr="005E3B43" w:rsidRDefault="00207B1C" w:rsidP="00763BCF">
            <w:pPr>
              <w:pStyle w:val="Tabletext"/>
            </w:pPr>
            <w:r w:rsidRPr="005E3B43">
              <w:t>medicines that:</w:t>
            </w:r>
          </w:p>
          <w:p w14:paraId="50F29F33" w14:textId="77777777" w:rsidR="00207B1C" w:rsidRPr="005E3B43" w:rsidRDefault="00E20BA4" w:rsidP="00763BCF">
            <w:pPr>
              <w:pStyle w:val="Tablea"/>
              <w:ind w:right="-31"/>
              <w:rPr>
                <w:rFonts w:eastAsiaTheme="minorHAnsi" w:cstheme="minorBidi"/>
                <w:lang w:eastAsia="en-US"/>
              </w:rPr>
            </w:pPr>
            <w:r w:rsidRPr="005E3B43">
              <w:t>(</w:t>
            </w:r>
            <w:r w:rsidR="00207B1C" w:rsidRPr="005E3B43">
              <w:t>a</w:t>
            </w:r>
            <w:r w:rsidRPr="005E3B43">
              <w:t>)</w:t>
            </w:r>
            <w:r w:rsidR="00543D95" w:rsidRPr="005E3B43">
              <w:t xml:space="preserve"> </w:t>
            </w:r>
            <w:r w:rsidR="00207B1C" w:rsidRPr="005E3B43">
              <w:t xml:space="preserve">are not mentioned in </w:t>
            </w:r>
            <w:r w:rsidR="006B5D8E" w:rsidRPr="005E3B43">
              <w:t>item 3</w:t>
            </w:r>
            <w:r w:rsidR="00093A8A" w:rsidRPr="005E3B43">
              <w:t>, 4A, 5 or 7</w:t>
            </w:r>
            <w:r w:rsidR="00207B1C" w:rsidRPr="005E3B43">
              <w:t xml:space="preserve"> of Schedule</w:t>
            </w:r>
            <w:r w:rsidR="004E6D00" w:rsidRPr="005E3B43">
              <w:t> </w:t>
            </w:r>
            <w:r w:rsidR="00207B1C" w:rsidRPr="005E3B43">
              <w:t>4; and</w:t>
            </w:r>
          </w:p>
          <w:p w14:paraId="06D23921" w14:textId="77777777" w:rsidR="00207B1C" w:rsidRPr="005E3B43" w:rsidRDefault="00E20BA4" w:rsidP="00763BCF">
            <w:pPr>
              <w:pStyle w:val="Tablea"/>
              <w:rPr>
                <w:rFonts w:eastAsiaTheme="minorHAnsi" w:cstheme="minorBidi"/>
                <w:lang w:eastAsia="en-US"/>
              </w:rPr>
            </w:pPr>
            <w:r w:rsidRPr="005E3B43">
              <w:t>(</w:t>
            </w:r>
            <w:r w:rsidR="00207B1C" w:rsidRPr="005E3B43">
              <w:t>b</w:t>
            </w:r>
            <w:r w:rsidRPr="005E3B43">
              <w:t>)</w:t>
            </w:r>
            <w:r w:rsidR="00543D95" w:rsidRPr="005E3B43">
              <w:t xml:space="preserve"> </w:t>
            </w:r>
            <w:r w:rsidR="00207B1C" w:rsidRPr="005E3B43">
              <w:t>are not designated orphan drugs; and</w:t>
            </w:r>
          </w:p>
          <w:p w14:paraId="49E6530C" w14:textId="77777777" w:rsidR="00207B1C" w:rsidRPr="005E3B43" w:rsidRDefault="00E20BA4" w:rsidP="00763BCF">
            <w:pPr>
              <w:pStyle w:val="Tablea"/>
              <w:rPr>
                <w:rFonts w:eastAsiaTheme="minorHAnsi" w:cstheme="minorBidi"/>
                <w:lang w:eastAsia="en-US"/>
              </w:rPr>
            </w:pPr>
            <w:r w:rsidRPr="005E3B43">
              <w:t>(</w:t>
            </w:r>
            <w:r w:rsidR="00207B1C" w:rsidRPr="005E3B43">
              <w:t>c</w:t>
            </w:r>
            <w:r w:rsidRPr="005E3B43">
              <w:t>)</w:t>
            </w:r>
            <w:r w:rsidR="00BB0FE5" w:rsidRPr="005E3B43">
              <w:t xml:space="preserve"> </w:t>
            </w:r>
            <w:r w:rsidR="00207B1C" w:rsidRPr="005E3B43">
              <w:t>are supplied as pharmaceutical benefits</w:t>
            </w:r>
          </w:p>
        </w:tc>
      </w:tr>
      <w:tr w:rsidR="00207B1C" w:rsidRPr="005E3B43" w14:paraId="433072C8" w14:textId="77777777" w:rsidTr="005A786D">
        <w:trPr>
          <w:trHeight w:val="20"/>
        </w:trPr>
        <w:tc>
          <w:tcPr>
            <w:tcW w:w="649" w:type="pct"/>
            <w:tcBorders>
              <w:top w:val="single" w:sz="4" w:space="0" w:color="auto"/>
              <w:bottom w:val="single" w:sz="4" w:space="0" w:color="auto"/>
            </w:tcBorders>
            <w:shd w:val="clear" w:color="auto" w:fill="auto"/>
          </w:tcPr>
          <w:p w14:paraId="19097C22" w14:textId="77777777" w:rsidR="00207B1C" w:rsidRPr="005E3B43" w:rsidRDefault="00207B1C" w:rsidP="00763BCF">
            <w:pPr>
              <w:pStyle w:val="Tabletext"/>
            </w:pPr>
            <w:r w:rsidRPr="005E3B43">
              <w:t>2A</w:t>
            </w:r>
          </w:p>
        </w:tc>
        <w:tc>
          <w:tcPr>
            <w:tcW w:w="4351" w:type="pct"/>
            <w:tcBorders>
              <w:top w:val="single" w:sz="4" w:space="0" w:color="auto"/>
              <w:bottom w:val="single" w:sz="4" w:space="0" w:color="auto"/>
            </w:tcBorders>
            <w:shd w:val="clear" w:color="auto" w:fill="auto"/>
          </w:tcPr>
          <w:p w14:paraId="1BEBF3DA" w14:textId="77777777" w:rsidR="00207B1C" w:rsidRPr="005E3B43" w:rsidRDefault="00207B1C" w:rsidP="00763BCF">
            <w:pPr>
              <w:pStyle w:val="Tabletext"/>
            </w:pPr>
            <w:r w:rsidRPr="005E3B43">
              <w:t>medicines that:</w:t>
            </w:r>
          </w:p>
          <w:p w14:paraId="45F6C152" w14:textId="1258B777" w:rsidR="00207B1C" w:rsidRPr="005E3B43" w:rsidRDefault="00E20BA4" w:rsidP="00763BCF">
            <w:pPr>
              <w:pStyle w:val="Tablea"/>
              <w:rPr>
                <w:rFonts w:eastAsiaTheme="minorHAnsi" w:cstheme="minorBidi"/>
                <w:lang w:eastAsia="en-US"/>
              </w:rPr>
            </w:pPr>
            <w:r w:rsidRPr="005E3B43">
              <w:t>(</w:t>
            </w:r>
            <w:r w:rsidR="00207B1C" w:rsidRPr="005E3B43">
              <w:t>a</w:t>
            </w:r>
            <w:r w:rsidRPr="005E3B43">
              <w:t>)</w:t>
            </w:r>
            <w:r w:rsidR="00543D95" w:rsidRPr="005E3B43">
              <w:t xml:space="preserve"> </w:t>
            </w:r>
            <w:r w:rsidR="00207B1C" w:rsidRPr="005E3B43">
              <w:t xml:space="preserve">are not mentioned in </w:t>
            </w:r>
            <w:r w:rsidR="007C3215">
              <w:t>item 1</w:t>
            </w:r>
            <w:r w:rsidR="00207B1C" w:rsidRPr="005E3B43">
              <w:t>, 2, 3, 4, 6, 8,</w:t>
            </w:r>
            <w:r w:rsidR="00251CC7" w:rsidRPr="005E3B43">
              <w:t xml:space="preserve"> 8A,</w:t>
            </w:r>
            <w:r w:rsidR="00207B1C" w:rsidRPr="005E3B43">
              <w:t xml:space="preserve"> 9 or 11 in Schedule</w:t>
            </w:r>
            <w:r w:rsidR="004E6D00" w:rsidRPr="005E3B43">
              <w:t> </w:t>
            </w:r>
            <w:r w:rsidR="00207B1C" w:rsidRPr="005E3B43">
              <w:t>5; and</w:t>
            </w:r>
          </w:p>
          <w:p w14:paraId="26633970" w14:textId="77777777" w:rsidR="00207B1C" w:rsidRPr="005E3B43" w:rsidRDefault="00E20BA4" w:rsidP="00763BCF">
            <w:pPr>
              <w:pStyle w:val="Tablea"/>
              <w:rPr>
                <w:rFonts w:eastAsiaTheme="minorHAnsi" w:cstheme="minorBidi"/>
                <w:lang w:eastAsia="en-US"/>
              </w:rPr>
            </w:pPr>
            <w:r w:rsidRPr="005E3B43">
              <w:t>(</w:t>
            </w:r>
            <w:r w:rsidR="00207B1C" w:rsidRPr="005E3B43">
              <w:t>b</w:t>
            </w:r>
            <w:r w:rsidRPr="005E3B43">
              <w:t>)</w:t>
            </w:r>
            <w:r w:rsidR="00543D95" w:rsidRPr="005E3B43">
              <w:t xml:space="preserve"> </w:t>
            </w:r>
            <w:r w:rsidR="00207B1C" w:rsidRPr="005E3B43">
              <w:t>are not designated orphan drugs; and</w:t>
            </w:r>
          </w:p>
          <w:p w14:paraId="479F3E93" w14:textId="77777777" w:rsidR="00207B1C" w:rsidRPr="005E3B43" w:rsidRDefault="00E20BA4" w:rsidP="00763BCF">
            <w:pPr>
              <w:pStyle w:val="Tablea"/>
              <w:rPr>
                <w:rFonts w:eastAsiaTheme="minorHAnsi" w:cstheme="minorBidi"/>
                <w:lang w:eastAsia="en-US"/>
              </w:rPr>
            </w:pPr>
            <w:r w:rsidRPr="005E3B43">
              <w:t>(</w:t>
            </w:r>
            <w:r w:rsidR="00207B1C" w:rsidRPr="005E3B43">
              <w:t>c</w:t>
            </w:r>
            <w:r w:rsidRPr="005E3B43">
              <w:t>)</w:t>
            </w:r>
            <w:r w:rsidR="00543D95" w:rsidRPr="005E3B43">
              <w:t xml:space="preserve"> </w:t>
            </w:r>
            <w:r w:rsidR="00207B1C" w:rsidRPr="005E3B43">
              <w:t>are supplied as pharmaceutical benefits</w:t>
            </w:r>
          </w:p>
        </w:tc>
      </w:tr>
      <w:tr w:rsidR="00207B1C" w:rsidRPr="005E3B43" w14:paraId="2523F4F6" w14:textId="77777777" w:rsidTr="00354373">
        <w:trPr>
          <w:trHeight w:val="20"/>
        </w:trPr>
        <w:tc>
          <w:tcPr>
            <w:tcW w:w="649" w:type="pct"/>
            <w:tcBorders>
              <w:top w:val="single" w:sz="4" w:space="0" w:color="auto"/>
              <w:bottom w:val="single" w:sz="12" w:space="0" w:color="auto"/>
            </w:tcBorders>
            <w:shd w:val="clear" w:color="auto" w:fill="auto"/>
          </w:tcPr>
          <w:p w14:paraId="34B03348" w14:textId="77777777" w:rsidR="00207B1C" w:rsidRPr="005E3B43" w:rsidRDefault="00207B1C" w:rsidP="00763BCF">
            <w:pPr>
              <w:pStyle w:val="Tabletext"/>
            </w:pPr>
            <w:r w:rsidRPr="005E3B43">
              <w:t>2B</w:t>
            </w:r>
          </w:p>
        </w:tc>
        <w:tc>
          <w:tcPr>
            <w:tcW w:w="4351" w:type="pct"/>
            <w:tcBorders>
              <w:top w:val="single" w:sz="4" w:space="0" w:color="auto"/>
              <w:bottom w:val="single" w:sz="12" w:space="0" w:color="auto"/>
            </w:tcBorders>
            <w:shd w:val="clear" w:color="auto" w:fill="auto"/>
          </w:tcPr>
          <w:p w14:paraId="66AC15B7" w14:textId="77777777" w:rsidR="00207B1C" w:rsidRPr="005E3B43" w:rsidRDefault="00207B1C" w:rsidP="00763BCF">
            <w:pPr>
              <w:pStyle w:val="Tabletext"/>
            </w:pPr>
            <w:r w:rsidRPr="005E3B43">
              <w:t>medicines that:</w:t>
            </w:r>
          </w:p>
          <w:p w14:paraId="72C9EF09" w14:textId="6D90EFA8" w:rsidR="00207B1C" w:rsidRPr="005E3B43" w:rsidRDefault="00E20BA4" w:rsidP="00763BCF">
            <w:pPr>
              <w:pStyle w:val="Tablea"/>
              <w:rPr>
                <w:rFonts w:eastAsiaTheme="minorHAnsi" w:cstheme="minorBidi"/>
                <w:lang w:eastAsia="en-US"/>
              </w:rPr>
            </w:pPr>
            <w:r w:rsidRPr="005E3B43">
              <w:t>(</w:t>
            </w:r>
            <w:r w:rsidR="00207B1C" w:rsidRPr="005E3B43">
              <w:t>a</w:t>
            </w:r>
            <w:r w:rsidRPr="005E3B43">
              <w:t>)</w:t>
            </w:r>
            <w:r w:rsidR="00BB0FE5" w:rsidRPr="005E3B43">
              <w:t xml:space="preserve"> </w:t>
            </w:r>
            <w:r w:rsidR="00207B1C" w:rsidRPr="005E3B43">
              <w:t xml:space="preserve">are not mentioned in </w:t>
            </w:r>
            <w:r w:rsidR="007C3215">
              <w:t>item 1</w:t>
            </w:r>
            <w:r w:rsidR="00207B1C" w:rsidRPr="005E3B43">
              <w:t>, 1A, 3, 4, 5, 7, 8, 9, 10, 11 or 12 in Schedule</w:t>
            </w:r>
            <w:r w:rsidR="004E6D00" w:rsidRPr="005E3B43">
              <w:t> </w:t>
            </w:r>
            <w:r w:rsidR="00207B1C" w:rsidRPr="005E3B43">
              <w:t>5A; and</w:t>
            </w:r>
          </w:p>
          <w:p w14:paraId="47E41924" w14:textId="77777777" w:rsidR="00207B1C" w:rsidRPr="005E3B43" w:rsidRDefault="00E20BA4" w:rsidP="00763BCF">
            <w:pPr>
              <w:pStyle w:val="Tablea"/>
              <w:rPr>
                <w:rFonts w:eastAsiaTheme="minorHAnsi" w:cstheme="minorBidi"/>
                <w:lang w:eastAsia="en-US"/>
              </w:rPr>
            </w:pPr>
            <w:r w:rsidRPr="005E3B43">
              <w:t>(</w:t>
            </w:r>
            <w:r w:rsidR="00207B1C" w:rsidRPr="005E3B43">
              <w:t>b</w:t>
            </w:r>
            <w:r w:rsidRPr="005E3B43">
              <w:t>)</w:t>
            </w:r>
            <w:r w:rsidR="00543D95" w:rsidRPr="005E3B43">
              <w:t xml:space="preserve"> </w:t>
            </w:r>
            <w:r w:rsidR="00207B1C" w:rsidRPr="005E3B43">
              <w:t>are not designated orphan drugs; and</w:t>
            </w:r>
          </w:p>
          <w:p w14:paraId="14A55113" w14:textId="77777777" w:rsidR="00207B1C" w:rsidRPr="005E3B43" w:rsidRDefault="00E20BA4" w:rsidP="00763BCF">
            <w:pPr>
              <w:pStyle w:val="Tablea"/>
              <w:rPr>
                <w:rFonts w:eastAsiaTheme="minorHAnsi" w:cstheme="minorBidi"/>
                <w:lang w:eastAsia="en-US"/>
              </w:rPr>
            </w:pPr>
            <w:r w:rsidRPr="005E3B43">
              <w:t>(</w:t>
            </w:r>
            <w:r w:rsidR="00207B1C" w:rsidRPr="005E3B43">
              <w:t>c</w:t>
            </w:r>
            <w:r w:rsidRPr="005E3B43">
              <w:t>)</w:t>
            </w:r>
            <w:r w:rsidR="00543D95" w:rsidRPr="005E3B43">
              <w:t xml:space="preserve"> </w:t>
            </w:r>
            <w:r w:rsidR="00207B1C" w:rsidRPr="005E3B43">
              <w:t>are supplied as pharmaceutical benefits</w:t>
            </w:r>
          </w:p>
        </w:tc>
      </w:tr>
    </w:tbl>
    <w:p w14:paraId="6F79378A" w14:textId="77777777" w:rsidR="004865F8" w:rsidRPr="005E3B43" w:rsidRDefault="006B5D8E" w:rsidP="009E7440">
      <w:pPr>
        <w:pStyle w:val="ActHead2"/>
        <w:pageBreakBefore/>
      </w:pPr>
      <w:bookmarkStart w:id="408" w:name="_Toc187135998"/>
      <w:r w:rsidRPr="005E3B43">
        <w:rPr>
          <w:rStyle w:val="CharPartNo"/>
        </w:rPr>
        <w:lastRenderedPageBreak/>
        <w:t>Part 2</w:t>
      </w:r>
      <w:r w:rsidR="004865F8" w:rsidRPr="005E3B43">
        <w:t>—</w:t>
      </w:r>
      <w:r w:rsidR="004865F8" w:rsidRPr="005E3B43">
        <w:rPr>
          <w:rStyle w:val="CharPartText"/>
        </w:rPr>
        <w:t>Therapeutic goods that are not medicines</w:t>
      </w:r>
      <w:bookmarkEnd w:id="408"/>
    </w:p>
    <w:p w14:paraId="18548F7D" w14:textId="77777777" w:rsidR="004865F8" w:rsidRPr="005E3B43" w:rsidRDefault="004865F8" w:rsidP="004865F8">
      <w:pPr>
        <w:pStyle w:val="Header"/>
        <w:tabs>
          <w:tab w:val="clear" w:pos="4150"/>
          <w:tab w:val="clear" w:pos="8307"/>
        </w:tabs>
      </w:pPr>
      <w:r w:rsidRPr="005E3B43">
        <w:rPr>
          <w:rStyle w:val="CharDivNo"/>
        </w:rPr>
        <w:t xml:space="preserve"> </w:t>
      </w:r>
      <w:r w:rsidRPr="005E3B43">
        <w:rPr>
          <w:rStyle w:val="CharDivText"/>
        </w:rPr>
        <w:t xml:space="preserve"> </w:t>
      </w:r>
    </w:p>
    <w:p w14:paraId="7F1166AE" w14:textId="77777777" w:rsidR="004865F8" w:rsidRPr="005E3B43" w:rsidRDefault="004865F8" w:rsidP="004865F8">
      <w:pPr>
        <w:pStyle w:val="Tabletext"/>
      </w:pPr>
    </w:p>
    <w:tbl>
      <w:tblPr>
        <w:tblW w:w="5000" w:type="pct"/>
        <w:tblBorders>
          <w:top w:val="single" w:sz="12" w:space="0" w:color="auto"/>
          <w:bottom w:val="single" w:sz="12" w:space="0" w:color="auto"/>
          <w:insideH w:val="single" w:sz="12" w:space="0" w:color="auto"/>
        </w:tblBorders>
        <w:tblLook w:val="0000" w:firstRow="0" w:lastRow="0" w:firstColumn="0" w:lastColumn="0" w:noHBand="0" w:noVBand="0"/>
      </w:tblPr>
      <w:tblGrid>
        <w:gridCol w:w="1394"/>
        <w:gridCol w:w="7135"/>
      </w:tblGrid>
      <w:tr w:rsidR="004865F8" w:rsidRPr="005E3B43" w14:paraId="0B3049C1" w14:textId="77777777" w:rsidTr="00D25660">
        <w:tc>
          <w:tcPr>
            <w:tcW w:w="817" w:type="pct"/>
            <w:shd w:val="clear" w:color="auto" w:fill="auto"/>
          </w:tcPr>
          <w:p w14:paraId="599D0ADC" w14:textId="77777777" w:rsidR="004865F8" w:rsidRPr="005E3B43" w:rsidRDefault="004865F8" w:rsidP="00D25660">
            <w:pPr>
              <w:pStyle w:val="TableHeading"/>
            </w:pPr>
            <w:r w:rsidRPr="005E3B43">
              <w:t>Item No.</w:t>
            </w:r>
          </w:p>
        </w:tc>
        <w:tc>
          <w:tcPr>
            <w:tcW w:w="4183" w:type="pct"/>
            <w:shd w:val="clear" w:color="auto" w:fill="auto"/>
          </w:tcPr>
          <w:p w14:paraId="78B67841" w14:textId="77777777" w:rsidR="004865F8" w:rsidRPr="005E3B43" w:rsidRDefault="004865F8" w:rsidP="00D25660">
            <w:pPr>
              <w:pStyle w:val="TableHeading"/>
            </w:pPr>
            <w:r w:rsidRPr="005E3B43">
              <w:t>Therapeutic goods</w:t>
            </w:r>
          </w:p>
        </w:tc>
      </w:tr>
      <w:tr w:rsidR="004865F8" w:rsidRPr="005E3B43" w14:paraId="21FB93D2" w14:textId="77777777" w:rsidTr="00D25660">
        <w:tc>
          <w:tcPr>
            <w:tcW w:w="817" w:type="pct"/>
            <w:shd w:val="clear" w:color="auto" w:fill="auto"/>
          </w:tcPr>
          <w:p w14:paraId="568A3991" w14:textId="77777777" w:rsidR="004865F8" w:rsidRPr="005E3B43" w:rsidRDefault="004865F8" w:rsidP="00D25660">
            <w:pPr>
              <w:pStyle w:val="Tabletext"/>
            </w:pPr>
            <w:r w:rsidRPr="005E3B43">
              <w:t>1</w:t>
            </w:r>
          </w:p>
        </w:tc>
        <w:tc>
          <w:tcPr>
            <w:tcW w:w="4183" w:type="pct"/>
            <w:shd w:val="clear" w:color="auto" w:fill="auto"/>
          </w:tcPr>
          <w:p w14:paraId="0FCF6252" w14:textId="79E3DAEC" w:rsidR="004865F8" w:rsidRPr="005E3B43" w:rsidRDefault="004865F8" w:rsidP="00D25660">
            <w:pPr>
              <w:pStyle w:val="Tabletext"/>
            </w:pPr>
            <w:r w:rsidRPr="005E3B43">
              <w:t xml:space="preserve">Therapeutic vaping substances, or therapeutic vaping substance accessories, to which </w:t>
            </w:r>
            <w:r w:rsidR="007C3215">
              <w:t>item 1</w:t>
            </w:r>
            <w:r w:rsidRPr="005E3B43">
              <w:t xml:space="preserve"> in Part 1 of this Schedule does not apply</w:t>
            </w:r>
          </w:p>
        </w:tc>
      </w:tr>
    </w:tbl>
    <w:p w14:paraId="4B62A353" w14:textId="6F044E72" w:rsidR="00207B1C" w:rsidRPr="005E3B43" w:rsidRDefault="00BB758E" w:rsidP="00763BCF">
      <w:pPr>
        <w:pStyle w:val="ActHead2"/>
        <w:pageBreakBefore/>
      </w:pPr>
      <w:bookmarkStart w:id="409" w:name="_Toc187135999"/>
      <w:r w:rsidRPr="005E3B43">
        <w:rPr>
          <w:rStyle w:val="CharPartNo"/>
        </w:rPr>
        <w:lastRenderedPageBreak/>
        <w:t>Part 3</w:t>
      </w:r>
      <w:r w:rsidR="00E20BA4" w:rsidRPr="005E3B43">
        <w:t>—</w:t>
      </w:r>
      <w:r w:rsidR="00207B1C" w:rsidRPr="005E3B43">
        <w:rPr>
          <w:rStyle w:val="CharPartText"/>
        </w:rPr>
        <w:t>Therapeutic goods attracting no</w:t>
      </w:r>
      <w:r w:rsidR="006C05AB" w:rsidRPr="005E3B43">
        <w:rPr>
          <w:rStyle w:val="CharPartText"/>
        </w:rPr>
        <w:t xml:space="preserve"> </w:t>
      </w:r>
      <w:r w:rsidR="00207B1C" w:rsidRPr="005E3B43">
        <w:rPr>
          <w:rStyle w:val="CharPartText"/>
        </w:rPr>
        <w:t xml:space="preserve">fee under </w:t>
      </w:r>
      <w:r w:rsidR="003C0723" w:rsidRPr="005E3B43">
        <w:rPr>
          <w:rStyle w:val="CharPartText"/>
        </w:rPr>
        <w:t>Division 1</w:t>
      </w:r>
      <w:r w:rsidR="00207B1C" w:rsidRPr="005E3B43">
        <w:rPr>
          <w:rStyle w:val="CharPartText"/>
        </w:rPr>
        <w:t xml:space="preserve"> or 2 of </w:t>
      </w:r>
      <w:r w:rsidRPr="005E3B43">
        <w:rPr>
          <w:rStyle w:val="CharPartText"/>
        </w:rPr>
        <w:t>Part 3</w:t>
      </w:r>
      <w:r w:rsidR="007C3215">
        <w:rPr>
          <w:rStyle w:val="CharPartText"/>
        </w:rPr>
        <w:noBreakHyphen/>
      </w:r>
      <w:r w:rsidR="00207B1C" w:rsidRPr="005E3B43">
        <w:rPr>
          <w:rStyle w:val="CharPartText"/>
        </w:rPr>
        <w:t>2 of the Act</w:t>
      </w:r>
      <w:bookmarkEnd w:id="409"/>
    </w:p>
    <w:p w14:paraId="22207E4C" w14:textId="77777777" w:rsidR="0018428E" w:rsidRPr="005E3B43" w:rsidRDefault="0018428E" w:rsidP="00763BCF">
      <w:pPr>
        <w:pStyle w:val="Header"/>
        <w:tabs>
          <w:tab w:val="clear" w:pos="4150"/>
          <w:tab w:val="clear" w:pos="8307"/>
        </w:tabs>
      </w:pPr>
      <w:r w:rsidRPr="005E3B43">
        <w:rPr>
          <w:rStyle w:val="CharDivNo"/>
        </w:rPr>
        <w:t xml:space="preserve"> </w:t>
      </w:r>
      <w:r w:rsidRPr="005E3B43">
        <w:rPr>
          <w:rStyle w:val="CharDivText"/>
        </w:rPr>
        <w:t xml:space="preserve"> </w:t>
      </w:r>
    </w:p>
    <w:p w14:paraId="5399E69A" w14:textId="77777777" w:rsidR="00E20BA4" w:rsidRPr="005E3B43" w:rsidRDefault="00E20BA4" w:rsidP="00763BCF">
      <w:pPr>
        <w:pStyle w:val="Tabletext"/>
      </w:pPr>
    </w:p>
    <w:tbl>
      <w:tblPr>
        <w:tblW w:w="5000" w:type="pct"/>
        <w:tblBorders>
          <w:top w:val="single" w:sz="12" w:space="0" w:color="auto"/>
          <w:bottom w:val="single" w:sz="12" w:space="0" w:color="auto"/>
          <w:insideH w:val="single" w:sz="12" w:space="0" w:color="auto"/>
        </w:tblBorders>
        <w:tblLook w:val="0000" w:firstRow="0" w:lastRow="0" w:firstColumn="0" w:lastColumn="0" w:noHBand="0" w:noVBand="0"/>
      </w:tblPr>
      <w:tblGrid>
        <w:gridCol w:w="1394"/>
        <w:gridCol w:w="7135"/>
      </w:tblGrid>
      <w:tr w:rsidR="00207B1C" w:rsidRPr="005E3B43" w14:paraId="10E586C9" w14:textId="77777777" w:rsidTr="002E0506">
        <w:tc>
          <w:tcPr>
            <w:tcW w:w="817" w:type="pct"/>
            <w:shd w:val="clear" w:color="auto" w:fill="auto"/>
          </w:tcPr>
          <w:p w14:paraId="5230763D" w14:textId="77777777" w:rsidR="00207B1C" w:rsidRPr="005E3B43" w:rsidRDefault="00207B1C" w:rsidP="00763BCF">
            <w:pPr>
              <w:pStyle w:val="TableHeading"/>
            </w:pPr>
            <w:r w:rsidRPr="005E3B43">
              <w:t>Item No.</w:t>
            </w:r>
          </w:p>
        </w:tc>
        <w:tc>
          <w:tcPr>
            <w:tcW w:w="4183" w:type="pct"/>
            <w:shd w:val="clear" w:color="auto" w:fill="auto"/>
          </w:tcPr>
          <w:p w14:paraId="2834E943" w14:textId="77777777" w:rsidR="00207B1C" w:rsidRPr="005E3B43" w:rsidRDefault="00207B1C" w:rsidP="00763BCF">
            <w:pPr>
              <w:pStyle w:val="TableHeading"/>
            </w:pPr>
            <w:r w:rsidRPr="005E3B43">
              <w:t>Therapeutic goods</w:t>
            </w:r>
          </w:p>
        </w:tc>
      </w:tr>
      <w:tr w:rsidR="00207B1C" w:rsidRPr="005E3B43" w14:paraId="4D34D302" w14:textId="77777777" w:rsidTr="002E0506">
        <w:tc>
          <w:tcPr>
            <w:tcW w:w="817" w:type="pct"/>
            <w:shd w:val="clear" w:color="auto" w:fill="auto"/>
          </w:tcPr>
          <w:p w14:paraId="50707F85" w14:textId="77777777" w:rsidR="00207B1C" w:rsidRPr="005E3B43" w:rsidRDefault="00207B1C" w:rsidP="00763BCF">
            <w:pPr>
              <w:pStyle w:val="Tabletext"/>
            </w:pPr>
            <w:r w:rsidRPr="005E3B43">
              <w:t>1</w:t>
            </w:r>
          </w:p>
        </w:tc>
        <w:tc>
          <w:tcPr>
            <w:tcW w:w="4183" w:type="pct"/>
            <w:shd w:val="clear" w:color="auto" w:fill="auto"/>
          </w:tcPr>
          <w:p w14:paraId="06D8FB7E" w14:textId="77777777" w:rsidR="00207B1C" w:rsidRPr="005E3B43" w:rsidRDefault="00207B1C" w:rsidP="00763BCF">
            <w:pPr>
              <w:pStyle w:val="Tabletext"/>
            </w:pPr>
            <w:r w:rsidRPr="005E3B43">
              <w:t>Designated orphan drugs</w:t>
            </w:r>
          </w:p>
        </w:tc>
      </w:tr>
    </w:tbl>
    <w:p w14:paraId="7E8FE371" w14:textId="77777777" w:rsidR="00207B1C" w:rsidRPr="005E3B43" w:rsidRDefault="00207B1C" w:rsidP="00763BCF">
      <w:pPr>
        <w:pStyle w:val="ActHead1"/>
        <w:pageBreakBefore/>
        <w:spacing w:before="240"/>
      </w:pPr>
      <w:bookmarkStart w:id="410" w:name="_Toc187136000"/>
      <w:r w:rsidRPr="005E3B43">
        <w:rPr>
          <w:rStyle w:val="CharChapNo"/>
        </w:rPr>
        <w:lastRenderedPageBreak/>
        <w:t>Schedule</w:t>
      </w:r>
      <w:r w:rsidR="004E6D00" w:rsidRPr="005E3B43">
        <w:rPr>
          <w:rStyle w:val="CharChapNo"/>
        </w:rPr>
        <w:t> </w:t>
      </w:r>
      <w:r w:rsidRPr="005E3B43">
        <w:rPr>
          <w:rStyle w:val="CharChapNo"/>
        </w:rPr>
        <w:t>4</w:t>
      </w:r>
      <w:r w:rsidR="00E20BA4" w:rsidRPr="005E3B43">
        <w:t>—</w:t>
      </w:r>
      <w:r w:rsidRPr="005E3B43">
        <w:rPr>
          <w:rStyle w:val="CharChapText"/>
        </w:rPr>
        <w:t>Therapeutic goods required to be included in the part of the Register for listed goods</w:t>
      </w:r>
      <w:bookmarkEnd w:id="410"/>
    </w:p>
    <w:p w14:paraId="71155F95" w14:textId="77777777" w:rsidR="00207B1C" w:rsidRPr="005E3B43" w:rsidRDefault="00207B1C" w:rsidP="00763BCF">
      <w:pPr>
        <w:pStyle w:val="notemargin"/>
      </w:pPr>
      <w:r w:rsidRPr="005E3B43">
        <w:t>(regulation</w:t>
      </w:r>
      <w:r w:rsidR="004E6D00" w:rsidRPr="005E3B43">
        <w:t> </w:t>
      </w:r>
      <w:r w:rsidRPr="005E3B43">
        <w:t>10)</w:t>
      </w:r>
    </w:p>
    <w:p w14:paraId="5C00C8F2" w14:textId="77777777" w:rsidR="004B00FF" w:rsidRPr="005E3B43" w:rsidRDefault="004B00FF" w:rsidP="00763BCF">
      <w:pPr>
        <w:pStyle w:val="Header"/>
      </w:pPr>
      <w:r w:rsidRPr="005E3B43">
        <w:rPr>
          <w:rStyle w:val="CharPartNo"/>
        </w:rPr>
        <w:t xml:space="preserve"> </w:t>
      </w:r>
      <w:r w:rsidRPr="005E3B43">
        <w:rPr>
          <w:rStyle w:val="CharPartText"/>
        </w:rPr>
        <w:t xml:space="preserve"> </w:t>
      </w:r>
    </w:p>
    <w:p w14:paraId="2529C275" w14:textId="77777777" w:rsidR="00E20BA4" w:rsidRPr="005E3B43" w:rsidRDefault="00E20BA4" w:rsidP="00763BCF">
      <w:pPr>
        <w:pStyle w:val="Tabletext"/>
        <w:spacing w:before="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131"/>
        <w:gridCol w:w="7398"/>
      </w:tblGrid>
      <w:tr w:rsidR="00207B1C" w:rsidRPr="005E3B43" w14:paraId="2B721773" w14:textId="77777777" w:rsidTr="005A786D">
        <w:trPr>
          <w:tblHeader/>
        </w:trPr>
        <w:tc>
          <w:tcPr>
            <w:tcW w:w="663" w:type="pct"/>
            <w:tcBorders>
              <w:top w:val="single" w:sz="12" w:space="0" w:color="auto"/>
              <w:bottom w:val="single" w:sz="12" w:space="0" w:color="auto"/>
            </w:tcBorders>
            <w:shd w:val="clear" w:color="auto" w:fill="auto"/>
          </w:tcPr>
          <w:p w14:paraId="4E15D47A" w14:textId="77777777" w:rsidR="00207B1C" w:rsidRPr="005E3B43" w:rsidRDefault="00C537FF" w:rsidP="00763BCF">
            <w:pPr>
              <w:pStyle w:val="TableHeading"/>
            </w:pPr>
            <w:r w:rsidRPr="005E3B43">
              <w:t>Item No.</w:t>
            </w:r>
          </w:p>
        </w:tc>
        <w:tc>
          <w:tcPr>
            <w:tcW w:w="4337" w:type="pct"/>
            <w:tcBorders>
              <w:top w:val="single" w:sz="12" w:space="0" w:color="auto"/>
              <w:bottom w:val="single" w:sz="12" w:space="0" w:color="auto"/>
            </w:tcBorders>
            <w:shd w:val="clear" w:color="auto" w:fill="auto"/>
          </w:tcPr>
          <w:p w14:paraId="36851B39" w14:textId="77777777" w:rsidR="00207B1C" w:rsidRPr="005E3B43" w:rsidRDefault="00207B1C" w:rsidP="00763BCF">
            <w:pPr>
              <w:pStyle w:val="TableHeading"/>
            </w:pPr>
            <w:r w:rsidRPr="005E3B43">
              <w:t>Therapeutic goods</w:t>
            </w:r>
          </w:p>
        </w:tc>
      </w:tr>
      <w:tr w:rsidR="00207B1C" w:rsidRPr="005E3B43" w14:paraId="1F48214D" w14:textId="77777777" w:rsidTr="005A786D">
        <w:trPr>
          <w:trHeight w:val="20"/>
        </w:trPr>
        <w:tc>
          <w:tcPr>
            <w:tcW w:w="663" w:type="pct"/>
            <w:tcBorders>
              <w:top w:val="single" w:sz="12" w:space="0" w:color="auto"/>
              <w:bottom w:val="single" w:sz="4" w:space="0" w:color="auto"/>
            </w:tcBorders>
            <w:shd w:val="clear" w:color="auto" w:fill="auto"/>
          </w:tcPr>
          <w:p w14:paraId="52FA6407" w14:textId="77777777" w:rsidR="00207B1C" w:rsidRPr="005E3B43" w:rsidRDefault="00207B1C" w:rsidP="00763BCF">
            <w:pPr>
              <w:pStyle w:val="Tabletext"/>
            </w:pPr>
            <w:r w:rsidRPr="005E3B43">
              <w:t>1</w:t>
            </w:r>
          </w:p>
        </w:tc>
        <w:tc>
          <w:tcPr>
            <w:tcW w:w="4337" w:type="pct"/>
            <w:tcBorders>
              <w:top w:val="single" w:sz="12" w:space="0" w:color="auto"/>
              <w:bottom w:val="single" w:sz="4" w:space="0" w:color="auto"/>
            </w:tcBorders>
            <w:shd w:val="clear" w:color="auto" w:fill="auto"/>
          </w:tcPr>
          <w:p w14:paraId="6ADC44CB" w14:textId="77777777" w:rsidR="00207B1C" w:rsidRPr="005E3B43" w:rsidRDefault="00207B1C" w:rsidP="00763BCF">
            <w:pPr>
              <w:pStyle w:val="Tabletext"/>
            </w:pPr>
            <w:r w:rsidRPr="005E3B43">
              <w:t>therapeutic goods manufactured in Australia for export only other than goods exempt under regulation</w:t>
            </w:r>
            <w:r w:rsidR="004E6D00" w:rsidRPr="005E3B43">
              <w:t> </w:t>
            </w:r>
            <w:r w:rsidRPr="005E3B43">
              <w:t>12</w:t>
            </w:r>
          </w:p>
        </w:tc>
      </w:tr>
      <w:tr w:rsidR="00093A8A" w:rsidRPr="005E3B43" w14:paraId="1E36BF98" w14:textId="77777777" w:rsidTr="005A786D">
        <w:trPr>
          <w:trHeight w:val="20"/>
        </w:trPr>
        <w:tc>
          <w:tcPr>
            <w:tcW w:w="663" w:type="pct"/>
            <w:tcBorders>
              <w:top w:val="single" w:sz="4" w:space="0" w:color="auto"/>
              <w:bottom w:val="single" w:sz="4" w:space="0" w:color="auto"/>
            </w:tcBorders>
            <w:shd w:val="clear" w:color="auto" w:fill="auto"/>
          </w:tcPr>
          <w:p w14:paraId="2D323CB3" w14:textId="77777777" w:rsidR="00093A8A" w:rsidRPr="005E3B43" w:rsidRDefault="00093A8A" w:rsidP="00763BCF">
            <w:pPr>
              <w:pStyle w:val="Tabletext"/>
            </w:pPr>
            <w:r w:rsidRPr="005E3B43">
              <w:t>3</w:t>
            </w:r>
          </w:p>
        </w:tc>
        <w:tc>
          <w:tcPr>
            <w:tcW w:w="4337" w:type="pct"/>
            <w:tcBorders>
              <w:top w:val="single" w:sz="4" w:space="0" w:color="auto"/>
              <w:bottom w:val="single" w:sz="4" w:space="0" w:color="auto"/>
            </w:tcBorders>
            <w:shd w:val="clear" w:color="auto" w:fill="auto"/>
          </w:tcPr>
          <w:p w14:paraId="7B4F5B91" w14:textId="77777777" w:rsidR="00093A8A" w:rsidRPr="005E3B43" w:rsidRDefault="00093A8A" w:rsidP="00763BCF">
            <w:pPr>
              <w:pStyle w:val="Tabletext"/>
            </w:pPr>
            <w:r w:rsidRPr="005E3B43">
              <w:t>medicines where:</w:t>
            </w:r>
          </w:p>
          <w:p w14:paraId="2E78C0E3" w14:textId="77777777" w:rsidR="00093A8A" w:rsidRPr="005E3B43" w:rsidRDefault="00093A8A" w:rsidP="00763BCF">
            <w:pPr>
              <w:pStyle w:val="Tablea"/>
            </w:pPr>
            <w:r w:rsidRPr="005E3B43">
              <w:t>(a) the medicine only contains ingredients that are specified in a determination under paragraph</w:t>
            </w:r>
            <w:r w:rsidR="004E6D00" w:rsidRPr="005E3B43">
              <w:t> </w:t>
            </w:r>
            <w:r w:rsidRPr="005E3B43">
              <w:t>26BB(1)(a) of the Act; and</w:t>
            </w:r>
          </w:p>
          <w:p w14:paraId="698C9E00" w14:textId="77777777" w:rsidR="00093A8A" w:rsidRPr="005E3B43" w:rsidRDefault="00093A8A" w:rsidP="00763BCF">
            <w:pPr>
              <w:pStyle w:val="Tablea"/>
            </w:pPr>
            <w:r w:rsidRPr="005E3B43">
              <w:t>(b) if a determination under paragraph</w:t>
            </w:r>
            <w:r w:rsidR="004E6D00" w:rsidRPr="005E3B43">
              <w:t> </w:t>
            </w:r>
            <w:r w:rsidRPr="005E3B43">
              <w:t>26BB(1)(b) of the Act specifies requirements in relation to ingredients being contained in the medicine—none of the requirements have been contravened; and</w:t>
            </w:r>
          </w:p>
          <w:p w14:paraId="52966886" w14:textId="77777777" w:rsidR="00F86868" w:rsidRPr="005E3B43" w:rsidRDefault="00F86868" w:rsidP="00763BCF">
            <w:pPr>
              <w:pStyle w:val="Tablea"/>
            </w:pPr>
            <w:r w:rsidRPr="005E3B43">
              <w:t>(c) the ingredients in the medicine are not of a kind required to be sterile; and</w:t>
            </w:r>
          </w:p>
          <w:p w14:paraId="6F34C68D" w14:textId="77777777" w:rsidR="00F86868" w:rsidRPr="005E3B43" w:rsidRDefault="00F86868" w:rsidP="00763BCF">
            <w:pPr>
              <w:pStyle w:val="Tablea"/>
            </w:pPr>
            <w:r w:rsidRPr="005E3B43">
              <w:t>(ca) the medicine does not contain a substance included in a Schedule to the Poisons Standard; and</w:t>
            </w:r>
          </w:p>
          <w:p w14:paraId="56B20250" w14:textId="77777777" w:rsidR="0009567B" w:rsidRPr="005E3B43" w:rsidRDefault="0009567B" w:rsidP="00763BCF">
            <w:pPr>
              <w:pStyle w:val="Tablea"/>
            </w:pPr>
            <w:r w:rsidRPr="005E3B43">
              <w:t xml:space="preserve">(d) the medicine only </w:t>
            </w:r>
            <w:r w:rsidR="00F86EBE" w:rsidRPr="005E3B43">
              <w:t>has indications</w:t>
            </w:r>
            <w:r w:rsidRPr="005E3B43">
              <w:t xml:space="preserve"> that are covered by a determination under paragraph</w:t>
            </w:r>
            <w:r w:rsidR="004E6D00" w:rsidRPr="005E3B43">
              <w:t> </w:t>
            </w:r>
            <w:r w:rsidRPr="005E3B43">
              <w:t>26BF(1)(a) of the Act; and</w:t>
            </w:r>
          </w:p>
          <w:p w14:paraId="060F90E8" w14:textId="77777777" w:rsidR="00093A8A" w:rsidRPr="005E3B43" w:rsidRDefault="0009567B" w:rsidP="00763BCF">
            <w:pPr>
              <w:pStyle w:val="Tablea"/>
            </w:pPr>
            <w:r w:rsidRPr="005E3B43">
              <w:t>(e) if a determination under paragraph</w:t>
            </w:r>
            <w:r w:rsidR="004E6D00" w:rsidRPr="005E3B43">
              <w:t> </w:t>
            </w:r>
            <w:r w:rsidRPr="005E3B43">
              <w:t>26BF(1)(b) of the Act specifies requirements in relation to the indications—none of the req</w:t>
            </w:r>
            <w:r w:rsidR="00327B95" w:rsidRPr="005E3B43">
              <w:t>uirements have been contravened</w:t>
            </w:r>
          </w:p>
        </w:tc>
      </w:tr>
      <w:tr w:rsidR="00093A8A" w:rsidRPr="005E3B43" w:rsidDel="00093A8A" w14:paraId="590B79BC" w14:textId="77777777" w:rsidTr="005A786D">
        <w:trPr>
          <w:trHeight w:val="20"/>
        </w:trPr>
        <w:tc>
          <w:tcPr>
            <w:tcW w:w="663" w:type="pct"/>
            <w:tcBorders>
              <w:top w:val="single" w:sz="4" w:space="0" w:color="auto"/>
              <w:bottom w:val="single" w:sz="4" w:space="0" w:color="auto"/>
            </w:tcBorders>
            <w:shd w:val="clear" w:color="auto" w:fill="auto"/>
          </w:tcPr>
          <w:p w14:paraId="3560DD3F" w14:textId="77777777" w:rsidR="00093A8A" w:rsidRPr="005E3B43" w:rsidDel="00093A8A" w:rsidRDefault="00093A8A" w:rsidP="00763BCF">
            <w:pPr>
              <w:pStyle w:val="Tabletext"/>
            </w:pPr>
            <w:r w:rsidRPr="005E3B43">
              <w:t>4A</w:t>
            </w:r>
          </w:p>
        </w:tc>
        <w:tc>
          <w:tcPr>
            <w:tcW w:w="4337" w:type="pct"/>
            <w:tcBorders>
              <w:top w:val="single" w:sz="4" w:space="0" w:color="auto"/>
              <w:bottom w:val="single" w:sz="4" w:space="0" w:color="auto"/>
            </w:tcBorders>
            <w:shd w:val="clear" w:color="auto" w:fill="auto"/>
          </w:tcPr>
          <w:p w14:paraId="6014881C" w14:textId="77777777" w:rsidR="00093A8A" w:rsidRPr="005E3B43" w:rsidRDefault="009C169B" w:rsidP="00763BCF">
            <w:pPr>
              <w:pStyle w:val="Tabletext"/>
            </w:pPr>
            <w:r w:rsidRPr="005E3B43">
              <w:t>homoeopathic</w:t>
            </w:r>
            <w:r w:rsidR="00093A8A" w:rsidRPr="005E3B43">
              <w:t xml:space="preserve"> preparations where:</w:t>
            </w:r>
          </w:p>
          <w:p w14:paraId="0EB68C4A" w14:textId="77777777" w:rsidR="00093A8A" w:rsidRPr="005E3B43" w:rsidRDefault="00093A8A" w:rsidP="00763BCF">
            <w:pPr>
              <w:pStyle w:val="Tablea"/>
            </w:pPr>
            <w:r w:rsidRPr="005E3B43">
              <w:t>(a) the preparation consists of, or contains a dilution of, mother tincture that is a 1,000 fold dilution, or a lesser dilution, of that mother tincture; and</w:t>
            </w:r>
          </w:p>
          <w:p w14:paraId="0C30BEDD" w14:textId="77777777" w:rsidR="00093A8A" w:rsidRPr="005E3B43" w:rsidRDefault="00093A8A" w:rsidP="00763BCF">
            <w:pPr>
              <w:pStyle w:val="Tablea"/>
            </w:pPr>
            <w:r w:rsidRPr="005E3B43">
              <w:t>(b) the preparation only contains ingredients that are specified in a determination under paragraph</w:t>
            </w:r>
            <w:r w:rsidR="004E6D00" w:rsidRPr="005E3B43">
              <w:t> </w:t>
            </w:r>
            <w:r w:rsidRPr="005E3B43">
              <w:t>26BB(1)(a) of the Act; and</w:t>
            </w:r>
          </w:p>
          <w:p w14:paraId="4516DECE" w14:textId="77777777" w:rsidR="00093A8A" w:rsidRPr="005E3B43" w:rsidRDefault="00093A8A" w:rsidP="00763BCF">
            <w:pPr>
              <w:pStyle w:val="Tablea"/>
            </w:pPr>
            <w:r w:rsidRPr="005E3B43">
              <w:t>(c) if a determination under paragraph</w:t>
            </w:r>
            <w:r w:rsidR="004E6D00" w:rsidRPr="005E3B43">
              <w:t> </w:t>
            </w:r>
            <w:r w:rsidRPr="005E3B43">
              <w:t>26BB(1)(b) of the Act specifies requirements in relation to ingredients being contained in the preparation—none of the requirements have been contravened; and</w:t>
            </w:r>
          </w:p>
          <w:p w14:paraId="196E595C" w14:textId="77777777" w:rsidR="00093A8A" w:rsidRPr="005E3B43" w:rsidRDefault="00093A8A" w:rsidP="00763BCF">
            <w:pPr>
              <w:pStyle w:val="Tablea"/>
            </w:pPr>
            <w:r w:rsidRPr="005E3B43">
              <w:t>(d) the preparation is not required to be sterile; and</w:t>
            </w:r>
          </w:p>
          <w:p w14:paraId="3966CDB4" w14:textId="4F1F4E01" w:rsidR="00A51566" w:rsidRPr="005E3B43" w:rsidRDefault="00A51566" w:rsidP="00763BCF">
            <w:pPr>
              <w:pStyle w:val="Tablea"/>
            </w:pPr>
            <w:r w:rsidRPr="005E3B43">
              <w:t>(e) the preparation does not contain a substance (other than one that is more than a 1,000</w:t>
            </w:r>
            <w:r w:rsidR="007C3215">
              <w:noBreakHyphen/>
            </w:r>
            <w:r w:rsidRPr="005E3B43">
              <w:t>fold dilution of mother tincture) included in a Schedule to the Poisons Standard; and</w:t>
            </w:r>
          </w:p>
          <w:p w14:paraId="37EE3D78" w14:textId="77777777" w:rsidR="0009567B" w:rsidRPr="005E3B43" w:rsidRDefault="0009567B" w:rsidP="00763BCF">
            <w:pPr>
              <w:pStyle w:val="Tablea"/>
            </w:pPr>
            <w:r w:rsidRPr="005E3B43">
              <w:t xml:space="preserve">(f) the preparation only </w:t>
            </w:r>
            <w:r w:rsidR="00F86EBE" w:rsidRPr="005E3B43">
              <w:t>has indications</w:t>
            </w:r>
            <w:r w:rsidRPr="005E3B43">
              <w:t xml:space="preserve"> that are covered by a determination under paragraph</w:t>
            </w:r>
            <w:r w:rsidR="004E6D00" w:rsidRPr="005E3B43">
              <w:t> </w:t>
            </w:r>
            <w:r w:rsidRPr="005E3B43">
              <w:t>26BF(1)(a) of the Act; and</w:t>
            </w:r>
          </w:p>
          <w:p w14:paraId="49B8FE95" w14:textId="77777777" w:rsidR="00093A8A" w:rsidRPr="005E3B43" w:rsidDel="00093A8A" w:rsidRDefault="0009567B" w:rsidP="00763BCF">
            <w:pPr>
              <w:pStyle w:val="Tablea"/>
            </w:pPr>
            <w:r w:rsidRPr="005E3B43">
              <w:t>(g) if a determination under paragraph</w:t>
            </w:r>
            <w:r w:rsidR="004E6D00" w:rsidRPr="005E3B43">
              <w:t> </w:t>
            </w:r>
            <w:r w:rsidRPr="005E3B43">
              <w:t>26BF(1)(b) of the Act specifies requirements in relation to the indications—none of the req</w:t>
            </w:r>
            <w:r w:rsidR="00327B95" w:rsidRPr="005E3B43">
              <w:t>uirements have been contravened</w:t>
            </w:r>
          </w:p>
        </w:tc>
      </w:tr>
      <w:tr w:rsidR="000071D1" w:rsidRPr="005E3B43" w:rsidDel="000071D1" w14:paraId="6C55B560" w14:textId="77777777" w:rsidTr="005A786D">
        <w:trPr>
          <w:cantSplit/>
          <w:trHeight w:val="20"/>
        </w:trPr>
        <w:tc>
          <w:tcPr>
            <w:tcW w:w="663" w:type="pct"/>
            <w:tcBorders>
              <w:top w:val="single" w:sz="4" w:space="0" w:color="auto"/>
              <w:bottom w:val="single" w:sz="4" w:space="0" w:color="auto"/>
            </w:tcBorders>
            <w:shd w:val="clear" w:color="auto" w:fill="auto"/>
          </w:tcPr>
          <w:p w14:paraId="284A18CF" w14:textId="77777777" w:rsidR="000071D1" w:rsidRPr="005E3B43" w:rsidDel="000071D1" w:rsidRDefault="000071D1" w:rsidP="00763BCF">
            <w:pPr>
              <w:pStyle w:val="Tabletext"/>
            </w:pPr>
            <w:r w:rsidRPr="005E3B43">
              <w:lastRenderedPageBreak/>
              <w:t>5</w:t>
            </w:r>
          </w:p>
        </w:tc>
        <w:tc>
          <w:tcPr>
            <w:tcW w:w="4337" w:type="pct"/>
            <w:tcBorders>
              <w:top w:val="single" w:sz="4" w:space="0" w:color="auto"/>
              <w:bottom w:val="single" w:sz="4" w:space="0" w:color="auto"/>
            </w:tcBorders>
            <w:shd w:val="clear" w:color="auto" w:fill="auto"/>
          </w:tcPr>
          <w:p w14:paraId="3DA68C2D" w14:textId="77777777" w:rsidR="000071D1" w:rsidRPr="005E3B43" w:rsidRDefault="009C169B" w:rsidP="00763BCF">
            <w:pPr>
              <w:pStyle w:val="Tabletext"/>
            </w:pPr>
            <w:r w:rsidRPr="005E3B43">
              <w:t>homoeopathic</w:t>
            </w:r>
            <w:r w:rsidR="000071D1" w:rsidRPr="005E3B43">
              <w:t xml:space="preserve"> preparations where:</w:t>
            </w:r>
          </w:p>
          <w:p w14:paraId="395C5F0F" w14:textId="77777777" w:rsidR="000071D1" w:rsidRPr="005E3B43" w:rsidRDefault="000071D1" w:rsidP="00763BCF">
            <w:pPr>
              <w:pStyle w:val="Tablea"/>
            </w:pPr>
            <w:r w:rsidRPr="005E3B43">
              <w:t>(a) each dilution is more dilute than a 1,000 fold dilution of mother tincture; and</w:t>
            </w:r>
          </w:p>
          <w:p w14:paraId="27B78B95" w14:textId="77777777" w:rsidR="000071D1" w:rsidRPr="005E3B43" w:rsidRDefault="000071D1" w:rsidP="00763BCF">
            <w:pPr>
              <w:pStyle w:val="Tablea"/>
            </w:pPr>
            <w:r w:rsidRPr="005E3B43">
              <w:t>(b) the preparation only contains ingredients that are specified in a determination under paragraph</w:t>
            </w:r>
            <w:r w:rsidR="004E6D00" w:rsidRPr="005E3B43">
              <w:t> </w:t>
            </w:r>
            <w:r w:rsidRPr="005E3B43">
              <w:t>26BB(1)(a) of the Act; and</w:t>
            </w:r>
          </w:p>
          <w:p w14:paraId="47729165" w14:textId="77777777" w:rsidR="000071D1" w:rsidRPr="005E3B43" w:rsidRDefault="000071D1" w:rsidP="00763BCF">
            <w:pPr>
              <w:pStyle w:val="Tablea"/>
            </w:pPr>
            <w:r w:rsidRPr="005E3B43">
              <w:t>(c) if a determination under paragraph</w:t>
            </w:r>
            <w:r w:rsidR="004E6D00" w:rsidRPr="005E3B43">
              <w:t> </w:t>
            </w:r>
            <w:r w:rsidRPr="005E3B43">
              <w:t>26BB(1)(b) of the Act specifies requirements in relation to ingredients being contained in the preparation—none of the requirements have been contravened; and</w:t>
            </w:r>
          </w:p>
          <w:p w14:paraId="1140A75C" w14:textId="77777777" w:rsidR="000071D1" w:rsidRPr="005E3B43" w:rsidRDefault="000071D1" w:rsidP="00763BCF">
            <w:pPr>
              <w:pStyle w:val="Tablea"/>
            </w:pPr>
            <w:r w:rsidRPr="005E3B43">
              <w:t>(d) the preparation is not required to be sterile; and</w:t>
            </w:r>
          </w:p>
          <w:p w14:paraId="78613BD3" w14:textId="77777777" w:rsidR="000D3E12" w:rsidRPr="005E3B43" w:rsidRDefault="000D3E12" w:rsidP="00763BCF">
            <w:pPr>
              <w:pStyle w:val="Tablea"/>
            </w:pPr>
            <w:r w:rsidRPr="005E3B43">
              <w:t xml:space="preserve">(e) the preparation only </w:t>
            </w:r>
            <w:r w:rsidR="00F86EBE" w:rsidRPr="005E3B43">
              <w:t>has indications</w:t>
            </w:r>
            <w:r w:rsidRPr="005E3B43">
              <w:t xml:space="preserve"> that are covered by a determination under paragraph</w:t>
            </w:r>
            <w:r w:rsidR="004E6D00" w:rsidRPr="005E3B43">
              <w:t> </w:t>
            </w:r>
            <w:r w:rsidRPr="005E3B43">
              <w:t>26BF(1)((a) of the Act; and</w:t>
            </w:r>
          </w:p>
          <w:p w14:paraId="454111D3" w14:textId="77777777" w:rsidR="000071D1" w:rsidRPr="005E3B43" w:rsidDel="000071D1" w:rsidRDefault="000D3E12" w:rsidP="00763BCF">
            <w:pPr>
              <w:pStyle w:val="Tablea"/>
            </w:pPr>
            <w:r w:rsidRPr="005E3B43">
              <w:t>(f) if a determination under paragraph</w:t>
            </w:r>
            <w:r w:rsidR="004E6D00" w:rsidRPr="005E3B43">
              <w:t> </w:t>
            </w:r>
            <w:r w:rsidRPr="005E3B43">
              <w:t>26BF(1)(b) of the Act specifies requirements in relation to the indications—none of the req</w:t>
            </w:r>
            <w:r w:rsidR="00327B95" w:rsidRPr="005E3B43">
              <w:t>uirements have been contravened</w:t>
            </w:r>
          </w:p>
        </w:tc>
      </w:tr>
      <w:tr w:rsidR="00A27FE2" w:rsidRPr="005E3B43" w14:paraId="02B41A22" w14:textId="77777777" w:rsidTr="00C3463D">
        <w:trPr>
          <w:trHeight w:val="20"/>
        </w:trPr>
        <w:tc>
          <w:tcPr>
            <w:tcW w:w="663" w:type="pct"/>
            <w:tcBorders>
              <w:top w:val="single" w:sz="4" w:space="0" w:color="auto"/>
              <w:bottom w:val="single" w:sz="4" w:space="0" w:color="auto"/>
            </w:tcBorders>
            <w:shd w:val="clear" w:color="auto" w:fill="auto"/>
          </w:tcPr>
          <w:p w14:paraId="2F1C0908" w14:textId="77777777" w:rsidR="00A27FE2" w:rsidRPr="005E3B43" w:rsidRDefault="00A27FE2" w:rsidP="00763BCF">
            <w:pPr>
              <w:pStyle w:val="Tabletext"/>
            </w:pPr>
            <w:r w:rsidRPr="005E3B43">
              <w:t>7</w:t>
            </w:r>
          </w:p>
        </w:tc>
        <w:tc>
          <w:tcPr>
            <w:tcW w:w="4337" w:type="pct"/>
            <w:tcBorders>
              <w:top w:val="single" w:sz="4" w:space="0" w:color="auto"/>
              <w:bottom w:val="single" w:sz="4" w:space="0" w:color="auto"/>
            </w:tcBorders>
            <w:shd w:val="clear" w:color="auto" w:fill="auto"/>
          </w:tcPr>
          <w:p w14:paraId="619333C6" w14:textId="77777777" w:rsidR="00A27FE2" w:rsidRPr="005E3B43" w:rsidRDefault="00A27FE2" w:rsidP="00763BCF">
            <w:pPr>
              <w:pStyle w:val="Tabletext"/>
            </w:pPr>
            <w:r w:rsidRPr="005E3B43">
              <w:t>sunscreen preparations for dermal application, if:</w:t>
            </w:r>
          </w:p>
          <w:p w14:paraId="673611C9" w14:textId="4E92910C" w:rsidR="00A27FE2" w:rsidRPr="005E3B43" w:rsidRDefault="00A27FE2" w:rsidP="00763BCF">
            <w:pPr>
              <w:pStyle w:val="Tablea"/>
            </w:pPr>
            <w:r w:rsidRPr="005E3B43">
              <w:t xml:space="preserve">(a) the claimed sun protection factor has been established by testing according to the method described in </w:t>
            </w:r>
            <w:r w:rsidR="00B2296F" w:rsidRPr="005E3B43">
              <w:t xml:space="preserve">Australian/New Zealand Standard AS/NZS 2604:2021, </w:t>
            </w:r>
            <w:r w:rsidR="00B2296F" w:rsidRPr="005E3B43">
              <w:rPr>
                <w:i/>
              </w:rPr>
              <w:t xml:space="preserve">Sunscreen products </w:t>
            </w:r>
            <w:r w:rsidR="007C3215">
              <w:rPr>
                <w:i/>
              </w:rPr>
              <w:noBreakHyphen/>
            </w:r>
            <w:r w:rsidR="00B2296F" w:rsidRPr="005E3B43">
              <w:rPr>
                <w:i/>
              </w:rPr>
              <w:t xml:space="preserve"> Evaluation and classification</w:t>
            </w:r>
            <w:r w:rsidR="00B2296F" w:rsidRPr="005E3B43">
              <w:t>, published jointly by, or on behalf of, Standards Australia and Standards New Zealand, as in force from time to time</w:t>
            </w:r>
            <w:r w:rsidRPr="005E3B43">
              <w:t>; and</w:t>
            </w:r>
          </w:p>
          <w:p w14:paraId="20554A93" w14:textId="77777777" w:rsidR="00A27FE2" w:rsidRPr="005E3B43" w:rsidRDefault="00A27FE2" w:rsidP="00763BCF">
            <w:pPr>
              <w:pStyle w:val="Tablea"/>
            </w:pPr>
            <w:r w:rsidRPr="005E3B43">
              <w:t>(b) the performance statements and markings on the label comply with that Standard; and</w:t>
            </w:r>
          </w:p>
          <w:p w14:paraId="031ABB3A" w14:textId="77777777" w:rsidR="000071D1" w:rsidRPr="005E3B43" w:rsidRDefault="005E4912" w:rsidP="00763BCF">
            <w:pPr>
              <w:pStyle w:val="Tablea"/>
            </w:pPr>
            <w:r w:rsidRPr="005E3B43">
              <w:t>(</w:t>
            </w:r>
            <w:r w:rsidR="000071D1" w:rsidRPr="005E3B43">
              <w:t>c) the sunscreen preparation only contains ingredients that are specified in a determination under paragraph</w:t>
            </w:r>
            <w:r w:rsidR="004E6D00" w:rsidRPr="005E3B43">
              <w:t> </w:t>
            </w:r>
            <w:r w:rsidR="000071D1" w:rsidRPr="005E3B43">
              <w:t>26BB(1)(a) of the Act; and</w:t>
            </w:r>
          </w:p>
          <w:p w14:paraId="338D6109" w14:textId="77777777" w:rsidR="00A27FE2" w:rsidRPr="005E3B43" w:rsidRDefault="000071D1" w:rsidP="00763BCF">
            <w:pPr>
              <w:pStyle w:val="Tablea"/>
            </w:pPr>
            <w:r w:rsidRPr="005E3B43">
              <w:t>(d) if a determination under paragraph</w:t>
            </w:r>
            <w:r w:rsidR="004E6D00" w:rsidRPr="005E3B43">
              <w:t> </w:t>
            </w:r>
            <w:r w:rsidRPr="005E3B43">
              <w:t>26BB(1)(b) of the Act specifies requirements in relation to ingredients being contained in the sunscreen preparation—none of the requirements have been contravened</w:t>
            </w:r>
            <w:r w:rsidR="00F86EBE" w:rsidRPr="005E3B43">
              <w:t>; and</w:t>
            </w:r>
          </w:p>
          <w:p w14:paraId="51D05C41" w14:textId="77777777" w:rsidR="00F86EBE" w:rsidRPr="005E3B43" w:rsidRDefault="00F86EBE" w:rsidP="00763BCF">
            <w:pPr>
              <w:pStyle w:val="Tablea"/>
            </w:pPr>
            <w:r w:rsidRPr="005E3B43">
              <w:t>(e) the sunscreen preparation only has indications that are covered by a determination under paragraph</w:t>
            </w:r>
            <w:r w:rsidR="004E6D00" w:rsidRPr="005E3B43">
              <w:t> </w:t>
            </w:r>
            <w:r w:rsidRPr="005E3B43">
              <w:t>26BF(1)(a) of the Act; and</w:t>
            </w:r>
          </w:p>
          <w:p w14:paraId="41700D1E" w14:textId="77777777" w:rsidR="00F86EBE" w:rsidRPr="005E3B43" w:rsidRDefault="00F86EBE" w:rsidP="00763BCF">
            <w:pPr>
              <w:pStyle w:val="Tablea"/>
            </w:pPr>
            <w:r w:rsidRPr="005E3B43">
              <w:t>(f) if a determination under paragraph</w:t>
            </w:r>
            <w:r w:rsidR="004E6D00" w:rsidRPr="005E3B43">
              <w:t> </w:t>
            </w:r>
            <w:r w:rsidRPr="005E3B43">
              <w:t>26BF(1)(b) of the Act specifies requirements in relation to the indications—none of the requirements have been contravened</w:t>
            </w:r>
          </w:p>
        </w:tc>
      </w:tr>
      <w:tr w:rsidR="00CB5CCE" w:rsidRPr="005E3B43" w14:paraId="2CB88DB0" w14:textId="77777777" w:rsidTr="00C3463D">
        <w:tblPrEx>
          <w:tblBorders>
            <w:top w:val="none" w:sz="0" w:space="0" w:color="auto"/>
            <w:bottom w:val="none" w:sz="0" w:space="0" w:color="auto"/>
            <w:insideH w:val="none" w:sz="0" w:space="0" w:color="auto"/>
          </w:tblBorders>
        </w:tblPrEx>
        <w:trPr>
          <w:trHeight w:val="20"/>
        </w:trPr>
        <w:tc>
          <w:tcPr>
            <w:tcW w:w="663" w:type="pct"/>
            <w:tcBorders>
              <w:top w:val="single" w:sz="4" w:space="0" w:color="auto"/>
              <w:bottom w:val="single" w:sz="4" w:space="0" w:color="auto"/>
            </w:tcBorders>
            <w:shd w:val="clear" w:color="auto" w:fill="auto"/>
          </w:tcPr>
          <w:p w14:paraId="525B42D9" w14:textId="77777777" w:rsidR="00CB5CCE" w:rsidRPr="005E3B43" w:rsidRDefault="00CB5CCE" w:rsidP="00763BCF">
            <w:pPr>
              <w:pStyle w:val="Tabletext"/>
            </w:pPr>
            <w:r w:rsidRPr="005E3B43">
              <w:t>8</w:t>
            </w:r>
          </w:p>
        </w:tc>
        <w:tc>
          <w:tcPr>
            <w:tcW w:w="4337" w:type="pct"/>
            <w:tcBorders>
              <w:top w:val="single" w:sz="4" w:space="0" w:color="auto"/>
              <w:bottom w:val="single" w:sz="4" w:space="0" w:color="auto"/>
            </w:tcBorders>
            <w:shd w:val="clear" w:color="auto" w:fill="auto"/>
          </w:tcPr>
          <w:p w14:paraId="12205707" w14:textId="77777777" w:rsidR="00CB5CCE" w:rsidRPr="005E3B43" w:rsidRDefault="00CB5CCE" w:rsidP="00763BCF">
            <w:pPr>
              <w:pStyle w:val="Tabletext"/>
            </w:pPr>
            <w:r w:rsidRPr="005E3B43">
              <w:t xml:space="preserve">medicines </w:t>
            </w:r>
            <w:r w:rsidR="00F41AFE" w:rsidRPr="005E3B43">
              <w:t xml:space="preserve">to be listed under </w:t>
            </w:r>
            <w:r w:rsidR="00FB7FAA" w:rsidRPr="005E3B43">
              <w:t>section 2</w:t>
            </w:r>
            <w:r w:rsidR="00F41AFE" w:rsidRPr="005E3B43">
              <w:t>6AE of the Act, if</w:t>
            </w:r>
            <w:r w:rsidRPr="005E3B43">
              <w:t>:</w:t>
            </w:r>
          </w:p>
          <w:p w14:paraId="7DB76A00" w14:textId="77777777" w:rsidR="00CB5CCE" w:rsidRPr="005E3B43" w:rsidRDefault="00CB5CCE" w:rsidP="00763BCF">
            <w:pPr>
              <w:pStyle w:val="Tablea"/>
            </w:pPr>
            <w:r w:rsidRPr="005E3B43">
              <w:t>(a) the medicine only contains ingredients that are specified in a determination under paragraph</w:t>
            </w:r>
            <w:r w:rsidR="004E6D00" w:rsidRPr="005E3B43">
              <w:t> </w:t>
            </w:r>
            <w:r w:rsidRPr="005E3B43">
              <w:t>26BB(1)(a) of the Act; and</w:t>
            </w:r>
          </w:p>
          <w:p w14:paraId="006A86A1" w14:textId="77777777" w:rsidR="00CB5CCE" w:rsidRPr="005E3B43" w:rsidRDefault="00CB5CCE" w:rsidP="00763BCF">
            <w:pPr>
              <w:pStyle w:val="Tablea"/>
            </w:pPr>
            <w:r w:rsidRPr="005E3B43">
              <w:t>(b) if a determination under paragraph</w:t>
            </w:r>
            <w:r w:rsidR="004E6D00" w:rsidRPr="005E3B43">
              <w:t> </w:t>
            </w:r>
            <w:r w:rsidRPr="005E3B43">
              <w:t>26BB(1)(b) of the Act specifies requirements in relation to ingredients being contained in the medicine—none of the requirements have been contravened; and</w:t>
            </w:r>
          </w:p>
          <w:p w14:paraId="11BB6F16" w14:textId="77777777" w:rsidR="00A51566" w:rsidRPr="005E3B43" w:rsidRDefault="00A51566" w:rsidP="00763BCF">
            <w:pPr>
              <w:pStyle w:val="Tablea"/>
            </w:pPr>
            <w:r w:rsidRPr="005E3B43">
              <w:t>(c) the ingredients in the medicine are not of a kind required to be sterile; and</w:t>
            </w:r>
          </w:p>
          <w:p w14:paraId="5EA152FE" w14:textId="77777777" w:rsidR="00A51566" w:rsidRPr="005E3B43" w:rsidRDefault="00A51566" w:rsidP="00763BCF">
            <w:pPr>
              <w:pStyle w:val="Tablea"/>
            </w:pPr>
            <w:r w:rsidRPr="005E3B43">
              <w:t>(ca) the medicine does not contain a substance included in a Schedule to the Poisons Standard; and</w:t>
            </w:r>
          </w:p>
          <w:p w14:paraId="6DF9C1DC" w14:textId="77777777" w:rsidR="00EA332B" w:rsidRPr="005E3B43" w:rsidRDefault="00EA332B" w:rsidP="00763BCF">
            <w:pPr>
              <w:pStyle w:val="Tablea"/>
            </w:pPr>
            <w:r w:rsidRPr="005E3B43">
              <w:t>(d) the indications proposed by the sponsor of the medicine are either:</w:t>
            </w:r>
          </w:p>
          <w:p w14:paraId="218F0684" w14:textId="77777777" w:rsidR="00EA332B" w:rsidRPr="005E3B43" w:rsidRDefault="00EA332B" w:rsidP="00763BCF">
            <w:pPr>
              <w:pStyle w:val="Tablei"/>
            </w:pPr>
            <w:r w:rsidRPr="005E3B43">
              <w:t>(i)</w:t>
            </w:r>
            <w:r w:rsidRPr="005E3B43">
              <w:tab/>
              <w:t>uses of the medicine in preventing, curing or alleviating a disease, ailment, defect or injury in persons, other than a form of the disease, ailment, defect or injury that, under the Therapeutic Goods Advertising Code, is a serious form; or</w:t>
            </w:r>
          </w:p>
          <w:p w14:paraId="06F9B785" w14:textId="77777777" w:rsidR="00EA332B" w:rsidRPr="005E3B43" w:rsidRDefault="00EA332B" w:rsidP="00763BCF">
            <w:pPr>
              <w:pStyle w:val="Tablei"/>
            </w:pPr>
            <w:r w:rsidRPr="005E3B43">
              <w:t>(ii)</w:t>
            </w:r>
            <w:r w:rsidRPr="005E3B43">
              <w:tab/>
              <w:t>uses of the medicine in connection with alleviating a disease, ailment, defect or injury in persons, being a form of the disease, ailment, defect or injury that, under the Therapeutic Goods Advertising Code, is a serious form; and</w:t>
            </w:r>
          </w:p>
          <w:p w14:paraId="35021A52" w14:textId="3416FB93" w:rsidR="00CB5CCE" w:rsidRPr="005E3B43" w:rsidRDefault="00CB5CCE" w:rsidP="00763BCF">
            <w:pPr>
              <w:pStyle w:val="Tablea"/>
            </w:pPr>
            <w:r w:rsidRPr="005E3B43">
              <w:t xml:space="preserve">(e) the indications proposed by the sponsor of the medicine do not refer to an indication </w:t>
            </w:r>
            <w:r w:rsidRPr="005E3B43">
              <w:lastRenderedPageBreak/>
              <w:t>that is or contains a prohibited representation (within the meaning of Part</w:t>
            </w:r>
            <w:r w:rsidR="004E6D00" w:rsidRPr="005E3B43">
              <w:t> </w:t>
            </w:r>
            <w:r w:rsidRPr="005E3B43">
              <w:t>5</w:t>
            </w:r>
            <w:r w:rsidR="007C3215">
              <w:noBreakHyphen/>
            </w:r>
            <w:r w:rsidRPr="005E3B43">
              <w:t>1 of the Act</w:t>
            </w:r>
          </w:p>
        </w:tc>
      </w:tr>
      <w:tr w:rsidR="00003BE4" w:rsidRPr="005E3B43" w:rsidDel="00003BE4" w14:paraId="6E89F2A7" w14:textId="77777777" w:rsidTr="00880E7D">
        <w:trPr>
          <w:cantSplit/>
          <w:trHeight w:val="20"/>
        </w:trPr>
        <w:tc>
          <w:tcPr>
            <w:tcW w:w="663" w:type="pct"/>
            <w:tcBorders>
              <w:top w:val="single" w:sz="4" w:space="0" w:color="auto"/>
              <w:bottom w:val="single" w:sz="4" w:space="0" w:color="auto"/>
            </w:tcBorders>
            <w:shd w:val="clear" w:color="auto" w:fill="auto"/>
          </w:tcPr>
          <w:p w14:paraId="3F2060DE" w14:textId="77777777" w:rsidR="00003BE4" w:rsidRPr="005E3B43" w:rsidDel="00003BE4" w:rsidRDefault="00003BE4" w:rsidP="00763BCF">
            <w:pPr>
              <w:pStyle w:val="Tabletext"/>
            </w:pPr>
            <w:r w:rsidRPr="005E3B43">
              <w:lastRenderedPageBreak/>
              <w:t>12</w:t>
            </w:r>
          </w:p>
        </w:tc>
        <w:tc>
          <w:tcPr>
            <w:tcW w:w="4337" w:type="pct"/>
            <w:tcBorders>
              <w:top w:val="single" w:sz="4" w:space="0" w:color="auto"/>
              <w:bottom w:val="single" w:sz="4" w:space="0" w:color="auto"/>
            </w:tcBorders>
            <w:shd w:val="clear" w:color="auto" w:fill="auto"/>
          </w:tcPr>
          <w:p w14:paraId="58310CDF" w14:textId="77777777" w:rsidR="00003BE4" w:rsidRPr="005E3B43" w:rsidRDefault="00003BE4" w:rsidP="00763BCF">
            <w:pPr>
              <w:pStyle w:val="Tabletext"/>
            </w:pPr>
            <w:r w:rsidRPr="005E3B43">
              <w:t xml:space="preserve">kits (to be known as </w:t>
            </w:r>
            <w:r w:rsidRPr="005E3B43">
              <w:rPr>
                <w:b/>
                <w:i/>
              </w:rPr>
              <w:t>medicine kits</w:t>
            </w:r>
            <w:r w:rsidRPr="005E3B43">
              <w:t>) consisting as follows:</w:t>
            </w:r>
          </w:p>
          <w:p w14:paraId="6CC7BA40" w14:textId="46D82851" w:rsidR="00003BE4" w:rsidRPr="005E3B43" w:rsidRDefault="00E20BA4" w:rsidP="00763BCF">
            <w:pPr>
              <w:pStyle w:val="Tablea"/>
            </w:pPr>
            <w:r w:rsidRPr="005E3B43">
              <w:t>(</w:t>
            </w:r>
            <w:r w:rsidR="00003BE4" w:rsidRPr="005E3B43">
              <w:t>a</w:t>
            </w:r>
            <w:r w:rsidRPr="005E3B43">
              <w:t xml:space="preserve">) </w:t>
            </w:r>
            <w:r w:rsidR="00003BE4" w:rsidRPr="005E3B43">
              <w:t>solely of medicines</w:t>
            </w:r>
            <w:r w:rsidRPr="005E3B43">
              <w:t>—</w:t>
            </w:r>
            <w:r w:rsidR="00003BE4" w:rsidRPr="005E3B43">
              <w:t xml:space="preserve">if </w:t>
            </w:r>
            <w:r w:rsidR="00BB758E" w:rsidRPr="005E3B43">
              <w:t>Part 3</w:t>
            </w:r>
            <w:r w:rsidR="007C3215">
              <w:noBreakHyphen/>
            </w:r>
            <w:r w:rsidR="00003BE4" w:rsidRPr="005E3B43">
              <w:t>2 of the Act applies to any of the individual therapeutic goods contained in the kit;</w:t>
            </w:r>
          </w:p>
          <w:p w14:paraId="45411107" w14:textId="77777777" w:rsidR="00003BE4" w:rsidRPr="005E3B43" w:rsidRDefault="00E20BA4" w:rsidP="00763BCF">
            <w:pPr>
              <w:pStyle w:val="Tablea"/>
            </w:pPr>
            <w:r w:rsidRPr="005E3B43">
              <w:t>(</w:t>
            </w:r>
            <w:r w:rsidR="00003BE4" w:rsidRPr="005E3B43">
              <w:t>b</w:t>
            </w:r>
            <w:r w:rsidRPr="005E3B43">
              <w:t xml:space="preserve">) </w:t>
            </w:r>
            <w:r w:rsidR="00003BE4" w:rsidRPr="005E3B43">
              <w:t>of medicines and biologicals</w:t>
            </w:r>
            <w:r w:rsidRPr="005E3B43">
              <w:t>—</w:t>
            </w:r>
            <w:r w:rsidR="00003BE4" w:rsidRPr="005E3B43">
              <w:t>if:</w:t>
            </w:r>
          </w:p>
          <w:p w14:paraId="6C37030C" w14:textId="349F62E5" w:rsidR="00003BE4" w:rsidRPr="005E3B43" w:rsidRDefault="00E20BA4" w:rsidP="00763BCF">
            <w:pPr>
              <w:pStyle w:val="Tablei"/>
            </w:pPr>
            <w:r w:rsidRPr="005E3B43">
              <w:t>(</w:t>
            </w:r>
            <w:r w:rsidR="00003BE4" w:rsidRPr="005E3B43">
              <w:t>i</w:t>
            </w:r>
            <w:r w:rsidRPr="005E3B43">
              <w:t xml:space="preserve">) </w:t>
            </w:r>
            <w:r w:rsidR="00BB758E" w:rsidRPr="005E3B43">
              <w:t>Part 3</w:t>
            </w:r>
            <w:r w:rsidR="007C3215">
              <w:noBreakHyphen/>
            </w:r>
            <w:r w:rsidR="00003BE4" w:rsidRPr="005E3B43">
              <w:t>2 of the Act applies to any of the individual therapeutic goods (other than biologicals) contained in the kit; and</w:t>
            </w:r>
          </w:p>
          <w:p w14:paraId="157CC478" w14:textId="15641D57" w:rsidR="00003BE4" w:rsidRPr="005E3B43" w:rsidDel="00003BE4" w:rsidRDefault="00E20BA4" w:rsidP="00763BCF">
            <w:pPr>
              <w:pStyle w:val="Tablei"/>
            </w:pPr>
            <w:r w:rsidRPr="005E3B43">
              <w:t>(</w:t>
            </w:r>
            <w:r w:rsidR="00003BE4" w:rsidRPr="005E3B43">
              <w:t>ii</w:t>
            </w:r>
            <w:r w:rsidRPr="005E3B43">
              <w:t xml:space="preserve">) </w:t>
            </w:r>
            <w:r w:rsidR="00BB758E" w:rsidRPr="005E3B43">
              <w:t>Part 3</w:t>
            </w:r>
            <w:r w:rsidR="007C3215">
              <w:noBreakHyphen/>
            </w:r>
            <w:r w:rsidR="00003BE4" w:rsidRPr="005E3B43">
              <w:t>2A of the Act applies to any of the biologicals contained in the kit</w:t>
            </w:r>
          </w:p>
        </w:tc>
      </w:tr>
      <w:tr w:rsidR="0042156D" w:rsidRPr="005E3B43" w14:paraId="6621A4DE" w14:textId="77777777" w:rsidTr="009E7440">
        <w:tc>
          <w:tcPr>
            <w:tcW w:w="663" w:type="pct"/>
            <w:shd w:val="clear" w:color="auto" w:fill="auto"/>
          </w:tcPr>
          <w:p w14:paraId="3D2EE050" w14:textId="77777777" w:rsidR="0042156D" w:rsidRPr="005E3B43" w:rsidRDefault="0042156D" w:rsidP="00763BCF">
            <w:pPr>
              <w:pStyle w:val="Tabletext"/>
            </w:pPr>
            <w:r w:rsidRPr="005E3B43">
              <w:t>16</w:t>
            </w:r>
          </w:p>
        </w:tc>
        <w:tc>
          <w:tcPr>
            <w:tcW w:w="4337" w:type="pct"/>
            <w:shd w:val="clear" w:color="auto" w:fill="auto"/>
          </w:tcPr>
          <w:p w14:paraId="4A60296A" w14:textId="77777777" w:rsidR="0042156D" w:rsidRPr="005E3B43" w:rsidRDefault="0042156D" w:rsidP="00763BCF">
            <w:pPr>
              <w:pStyle w:val="Tabletext"/>
            </w:pPr>
            <w:r w:rsidRPr="005E3B43">
              <w:t>hospital grade disinfectants, or household grade disinfectants, that are claimed to be sterilants, fungicides, sporicides, tuberculocides or virucides</w:t>
            </w:r>
          </w:p>
        </w:tc>
      </w:tr>
      <w:tr w:rsidR="002F2F1B" w:rsidRPr="005E3B43" w14:paraId="5E40A3DE" w14:textId="77777777" w:rsidTr="005A786D">
        <w:tc>
          <w:tcPr>
            <w:tcW w:w="663" w:type="pct"/>
            <w:tcBorders>
              <w:bottom w:val="single" w:sz="12" w:space="0" w:color="auto"/>
            </w:tcBorders>
            <w:shd w:val="clear" w:color="auto" w:fill="auto"/>
          </w:tcPr>
          <w:p w14:paraId="33BEBEED" w14:textId="77777777" w:rsidR="002F2F1B" w:rsidRPr="005E3B43" w:rsidRDefault="002F2F1B" w:rsidP="002F2F1B">
            <w:pPr>
              <w:pStyle w:val="Tabletext"/>
            </w:pPr>
            <w:r w:rsidRPr="005E3B43">
              <w:t>17</w:t>
            </w:r>
          </w:p>
        </w:tc>
        <w:tc>
          <w:tcPr>
            <w:tcW w:w="4337" w:type="pct"/>
            <w:tcBorders>
              <w:bottom w:val="single" w:sz="12" w:space="0" w:color="auto"/>
            </w:tcBorders>
            <w:shd w:val="clear" w:color="auto" w:fill="auto"/>
          </w:tcPr>
          <w:p w14:paraId="37AF619D" w14:textId="77777777" w:rsidR="002F2F1B" w:rsidRPr="005E3B43" w:rsidRDefault="002F2F1B" w:rsidP="002F2F1B">
            <w:pPr>
              <w:pStyle w:val="Tabletext"/>
            </w:pPr>
            <w:r w:rsidRPr="005E3B43">
              <w:t>a therapeutic vaping kit, if each of the goods in the kit is a registered good</w:t>
            </w:r>
          </w:p>
        </w:tc>
      </w:tr>
    </w:tbl>
    <w:p w14:paraId="70DB61B3" w14:textId="08498F07" w:rsidR="000E647F" w:rsidRPr="005E3B43" w:rsidRDefault="000E647F" w:rsidP="00763BCF">
      <w:pPr>
        <w:pStyle w:val="ActHead1"/>
        <w:pageBreakBefore/>
        <w:spacing w:before="240"/>
      </w:pPr>
      <w:bookmarkStart w:id="411" w:name="_Toc187136001"/>
      <w:r w:rsidRPr="005E3B43">
        <w:rPr>
          <w:rStyle w:val="CharChapNo"/>
        </w:rPr>
        <w:lastRenderedPageBreak/>
        <w:t>Schedule</w:t>
      </w:r>
      <w:r w:rsidR="004E6D00" w:rsidRPr="005E3B43">
        <w:rPr>
          <w:rStyle w:val="CharChapNo"/>
        </w:rPr>
        <w:t> </w:t>
      </w:r>
      <w:r w:rsidRPr="005E3B43">
        <w:rPr>
          <w:rStyle w:val="CharChapNo"/>
        </w:rPr>
        <w:t>5</w:t>
      </w:r>
      <w:r w:rsidR="00E20BA4" w:rsidRPr="005E3B43">
        <w:t>—</w:t>
      </w:r>
      <w:r w:rsidRPr="005E3B43">
        <w:rPr>
          <w:rStyle w:val="CharChapText"/>
        </w:rPr>
        <w:t>Therapeutic goods exempt from the operation of Parts</w:t>
      </w:r>
      <w:r w:rsidR="004E6D00" w:rsidRPr="005E3B43">
        <w:rPr>
          <w:rStyle w:val="CharChapText"/>
        </w:rPr>
        <w:t> </w:t>
      </w:r>
      <w:r w:rsidRPr="005E3B43">
        <w:rPr>
          <w:rStyle w:val="CharChapText"/>
        </w:rPr>
        <w:t>3</w:t>
      </w:r>
      <w:r w:rsidR="007C3215">
        <w:rPr>
          <w:rStyle w:val="CharChapText"/>
        </w:rPr>
        <w:noBreakHyphen/>
      </w:r>
      <w:r w:rsidRPr="005E3B43">
        <w:rPr>
          <w:rStyle w:val="CharChapText"/>
        </w:rPr>
        <w:t>2 and 3</w:t>
      </w:r>
      <w:r w:rsidR="007C3215">
        <w:rPr>
          <w:rStyle w:val="CharChapText"/>
        </w:rPr>
        <w:noBreakHyphen/>
      </w:r>
      <w:r w:rsidRPr="005E3B43">
        <w:rPr>
          <w:rStyle w:val="CharChapText"/>
        </w:rPr>
        <w:t>2A of the Act</w:t>
      </w:r>
      <w:bookmarkEnd w:id="411"/>
    </w:p>
    <w:p w14:paraId="2B3FF901" w14:textId="77777777" w:rsidR="000E647F" w:rsidRPr="005E3B43" w:rsidRDefault="000E647F" w:rsidP="00763BCF">
      <w:pPr>
        <w:pStyle w:val="notemargin"/>
      </w:pPr>
      <w:r w:rsidRPr="005E3B43">
        <w:t>(subregulation</w:t>
      </w:r>
      <w:r w:rsidR="004E6D00" w:rsidRPr="005E3B43">
        <w:t> </w:t>
      </w:r>
      <w:r w:rsidRPr="005E3B43">
        <w:t>12(1))</w:t>
      </w:r>
    </w:p>
    <w:p w14:paraId="50406145" w14:textId="77777777" w:rsidR="00D72993" w:rsidRPr="005E3B43" w:rsidRDefault="00D72993" w:rsidP="00763BCF">
      <w:pPr>
        <w:pStyle w:val="Header"/>
      </w:pPr>
      <w:r w:rsidRPr="005E3B43">
        <w:rPr>
          <w:rStyle w:val="CharPartNo"/>
        </w:rPr>
        <w:t xml:space="preserve"> </w:t>
      </w:r>
      <w:r w:rsidRPr="005E3B43">
        <w:rPr>
          <w:rStyle w:val="CharPartText"/>
        </w:rPr>
        <w:t xml:space="preserve"> </w:t>
      </w:r>
    </w:p>
    <w:p w14:paraId="50E07FF6" w14:textId="77777777" w:rsidR="00D72993" w:rsidRPr="005E3B43" w:rsidRDefault="00D72993"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146"/>
        <w:gridCol w:w="7383"/>
      </w:tblGrid>
      <w:tr w:rsidR="00207B1C" w:rsidRPr="005E3B43" w14:paraId="517C21FF" w14:textId="77777777" w:rsidTr="005A786D">
        <w:trPr>
          <w:tblHeader/>
        </w:trPr>
        <w:tc>
          <w:tcPr>
            <w:tcW w:w="672" w:type="pct"/>
            <w:tcBorders>
              <w:top w:val="single" w:sz="12" w:space="0" w:color="auto"/>
              <w:bottom w:val="single" w:sz="12" w:space="0" w:color="auto"/>
            </w:tcBorders>
            <w:shd w:val="clear" w:color="auto" w:fill="auto"/>
          </w:tcPr>
          <w:p w14:paraId="4F99EFC9" w14:textId="77777777" w:rsidR="00207B1C" w:rsidRPr="005E3B43" w:rsidRDefault="00207B1C" w:rsidP="00763BCF">
            <w:pPr>
              <w:pStyle w:val="TableHeading"/>
              <w:ind w:right="-66"/>
            </w:pPr>
            <w:r w:rsidRPr="005E3B43">
              <w:t>Column 1</w:t>
            </w:r>
            <w:r w:rsidRPr="005E3B43">
              <w:br/>
              <w:t>Item No.</w:t>
            </w:r>
          </w:p>
        </w:tc>
        <w:tc>
          <w:tcPr>
            <w:tcW w:w="4328" w:type="pct"/>
            <w:tcBorders>
              <w:top w:val="single" w:sz="12" w:space="0" w:color="auto"/>
              <w:bottom w:val="single" w:sz="12" w:space="0" w:color="auto"/>
            </w:tcBorders>
            <w:shd w:val="clear" w:color="auto" w:fill="auto"/>
          </w:tcPr>
          <w:p w14:paraId="5F90CFAE" w14:textId="77777777" w:rsidR="00207B1C" w:rsidRPr="005E3B43" w:rsidRDefault="00207B1C" w:rsidP="00763BCF">
            <w:pPr>
              <w:pStyle w:val="TableHeading"/>
            </w:pPr>
            <w:r w:rsidRPr="005E3B43">
              <w:t>Column 2</w:t>
            </w:r>
            <w:r w:rsidRPr="005E3B43">
              <w:br/>
              <w:t>Therapeutic goods</w:t>
            </w:r>
          </w:p>
        </w:tc>
      </w:tr>
      <w:tr w:rsidR="00207B1C" w:rsidRPr="005E3B43" w14:paraId="3773CD51" w14:textId="77777777" w:rsidTr="005A786D">
        <w:tc>
          <w:tcPr>
            <w:tcW w:w="672" w:type="pct"/>
            <w:tcBorders>
              <w:top w:val="single" w:sz="12" w:space="0" w:color="auto"/>
              <w:bottom w:val="single" w:sz="4" w:space="0" w:color="auto"/>
            </w:tcBorders>
            <w:shd w:val="clear" w:color="auto" w:fill="auto"/>
          </w:tcPr>
          <w:p w14:paraId="22312109" w14:textId="77777777" w:rsidR="00207B1C" w:rsidRPr="005E3B43" w:rsidRDefault="00207B1C" w:rsidP="00763BCF">
            <w:pPr>
              <w:pStyle w:val="Tabletext"/>
            </w:pPr>
            <w:r w:rsidRPr="005E3B43">
              <w:t>1</w:t>
            </w:r>
          </w:p>
        </w:tc>
        <w:tc>
          <w:tcPr>
            <w:tcW w:w="4328" w:type="pct"/>
            <w:tcBorders>
              <w:top w:val="single" w:sz="12" w:space="0" w:color="auto"/>
              <w:bottom w:val="single" w:sz="4" w:space="0" w:color="auto"/>
            </w:tcBorders>
            <w:shd w:val="clear" w:color="auto" w:fill="auto"/>
          </w:tcPr>
          <w:p w14:paraId="51CD113D" w14:textId="77777777" w:rsidR="00207B1C" w:rsidRPr="005E3B43" w:rsidRDefault="00207B1C" w:rsidP="00763BCF">
            <w:pPr>
              <w:pStyle w:val="Tabletext"/>
            </w:pPr>
            <w:r w:rsidRPr="005E3B43">
              <w:t>therapeutic goods that are imported for use in the treatment of the importer or the importer’s immediate family where:</w:t>
            </w:r>
          </w:p>
          <w:p w14:paraId="431B2920" w14:textId="77777777" w:rsidR="00207B1C" w:rsidRPr="005E3B43" w:rsidRDefault="00E20BA4" w:rsidP="00763BCF">
            <w:pPr>
              <w:pStyle w:val="Tablea"/>
            </w:pPr>
            <w:r w:rsidRPr="005E3B43">
              <w:t>(</w:t>
            </w:r>
            <w:r w:rsidR="00207B1C" w:rsidRPr="005E3B43">
              <w:t>a</w:t>
            </w:r>
            <w:r w:rsidRPr="005E3B43">
              <w:t xml:space="preserve">) </w:t>
            </w:r>
            <w:r w:rsidR="00207B1C" w:rsidRPr="005E3B43">
              <w:t xml:space="preserve">the goods do not contain a substance the importation of which is prohibited under the </w:t>
            </w:r>
            <w:r w:rsidR="00207B1C" w:rsidRPr="005E3B43">
              <w:rPr>
                <w:i/>
              </w:rPr>
              <w:t>Customs Act 1901</w:t>
            </w:r>
            <w:r w:rsidR="00207B1C" w:rsidRPr="005E3B43">
              <w:t>; and</w:t>
            </w:r>
          </w:p>
          <w:p w14:paraId="040593E9" w14:textId="77777777" w:rsidR="002F2F1B" w:rsidRPr="005E3B43" w:rsidRDefault="002F2F1B" w:rsidP="002F2F1B">
            <w:pPr>
              <w:pStyle w:val="Tablea"/>
            </w:pPr>
            <w:r w:rsidRPr="005E3B43">
              <w:t>(b) the goods are not any of the following:</w:t>
            </w:r>
          </w:p>
          <w:p w14:paraId="6507F89B" w14:textId="77777777" w:rsidR="002F2F1B" w:rsidRPr="005E3B43" w:rsidRDefault="002F2F1B" w:rsidP="002F2F1B">
            <w:pPr>
              <w:pStyle w:val="Tablei"/>
            </w:pPr>
            <w:r w:rsidRPr="005E3B43">
              <w:t>(i) disposable therapeutic vapes;</w:t>
            </w:r>
          </w:p>
          <w:p w14:paraId="7DD93D87" w14:textId="77777777" w:rsidR="002F2F1B" w:rsidRPr="005E3B43" w:rsidRDefault="002F2F1B" w:rsidP="002F2F1B">
            <w:pPr>
              <w:pStyle w:val="Tablei"/>
            </w:pPr>
            <w:r w:rsidRPr="005E3B43">
              <w:t>(ii) therapeutic vaping substances;</w:t>
            </w:r>
          </w:p>
          <w:p w14:paraId="121A617A" w14:textId="77777777" w:rsidR="002F2F1B" w:rsidRPr="005E3B43" w:rsidRDefault="002F2F1B" w:rsidP="002F2F1B">
            <w:pPr>
              <w:pStyle w:val="Tablei"/>
            </w:pPr>
            <w:r w:rsidRPr="005E3B43">
              <w:t>(iii) therapeutic vaping substance accessories;</w:t>
            </w:r>
          </w:p>
          <w:p w14:paraId="191A3B7F" w14:textId="77777777" w:rsidR="002F2F1B" w:rsidRPr="005E3B43" w:rsidRDefault="002F2F1B" w:rsidP="002F2F1B">
            <w:pPr>
              <w:pStyle w:val="Tablei"/>
            </w:pPr>
            <w:r w:rsidRPr="005E3B43">
              <w:t>(iv) a therapeutic vaping kit;</w:t>
            </w:r>
          </w:p>
          <w:p w14:paraId="1E693721" w14:textId="77777777" w:rsidR="002F2F1B" w:rsidRPr="005E3B43" w:rsidRDefault="002F2F1B" w:rsidP="002F2F1B">
            <w:pPr>
              <w:pStyle w:val="Tablei"/>
            </w:pPr>
            <w:r w:rsidRPr="005E3B43">
              <w:t>(v) goods in a therapeutic vaping pack; and</w:t>
            </w:r>
          </w:p>
          <w:p w14:paraId="4574A51C" w14:textId="77777777" w:rsidR="006D08A3" w:rsidRPr="005E3B43" w:rsidRDefault="00E20BA4" w:rsidP="00763BCF">
            <w:pPr>
              <w:pStyle w:val="Tablea"/>
            </w:pPr>
            <w:r w:rsidRPr="005E3B43">
              <w:t>(</w:t>
            </w:r>
            <w:r w:rsidR="000E647F" w:rsidRPr="005E3B43">
              <w:t>ba</w:t>
            </w:r>
            <w:r w:rsidRPr="005E3B43">
              <w:t xml:space="preserve">) </w:t>
            </w:r>
            <w:r w:rsidR="000E647F" w:rsidRPr="005E3B43">
              <w:t>for a biological</w:t>
            </w:r>
            <w:r w:rsidRPr="005E3B43">
              <w:t>—</w:t>
            </w:r>
            <w:r w:rsidR="000E647F" w:rsidRPr="005E3B43">
              <w:t>the biological is the subject of an approval under section</w:t>
            </w:r>
            <w:r w:rsidR="004E6D00" w:rsidRPr="005E3B43">
              <w:t> </w:t>
            </w:r>
            <w:r w:rsidR="000E647F" w:rsidRPr="005E3B43">
              <w:t>32CK of the Act; and</w:t>
            </w:r>
          </w:p>
          <w:p w14:paraId="26EEFEE3" w14:textId="77777777" w:rsidR="00207B1C" w:rsidRPr="005E3B43" w:rsidRDefault="00E20BA4" w:rsidP="00763BCF">
            <w:pPr>
              <w:pStyle w:val="Tablea"/>
            </w:pPr>
            <w:r w:rsidRPr="005E3B43">
              <w:t>(</w:t>
            </w:r>
            <w:r w:rsidR="00207B1C" w:rsidRPr="005E3B43">
              <w:t>c</w:t>
            </w:r>
            <w:r w:rsidRPr="005E3B43">
              <w:t xml:space="preserve">) </w:t>
            </w:r>
            <w:r w:rsidR="00207B1C" w:rsidRPr="005E3B43">
              <w:t>in the case of other medicines:</w:t>
            </w:r>
          </w:p>
          <w:p w14:paraId="39B50A87" w14:textId="77777777" w:rsidR="00207B1C" w:rsidRPr="005E3B43" w:rsidRDefault="00E20BA4" w:rsidP="00763BCF">
            <w:pPr>
              <w:pStyle w:val="Tablei"/>
            </w:pPr>
            <w:r w:rsidRPr="005E3B43">
              <w:t>(</w:t>
            </w:r>
            <w:r w:rsidR="00207B1C" w:rsidRPr="005E3B43">
              <w:t>i</w:t>
            </w:r>
            <w:r w:rsidRPr="005E3B43">
              <w:t xml:space="preserve">) </w:t>
            </w:r>
            <w:r w:rsidR="00207B1C" w:rsidRPr="005E3B43">
              <w:t>the quantity imported in one importation is not more than 3 months’ supply at the maximum dose recommended by the manufacturer; and</w:t>
            </w:r>
          </w:p>
          <w:p w14:paraId="7161C27E" w14:textId="77777777" w:rsidR="00207B1C" w:rsidRPr="005E3B43" w:rsidRDefault="00E20BA4" w:rsidP="00763BCF">
            <w:pPr>
              <w:pStyle w:val="Tablei"/>
              <w:rPr>
                <w:szCs w:val="22"/>
              </w:rPr>
            </w:pPr>
            <w:r w:rsidRPr="005E3B43">
              <w:rPr>
                <w:szCs w:val="22"/>
              </w:rPr>
              <w:t>(</w:t>
            </w:r>
            <w:r w:rsidR="00207B1C" w:rsidRPr="005E3B43">
              <w:rPr>
                <w:szCs w:val="22"/>
              </w:rPr>
              <w:t>ii</w:t>
            </w:r>
            <w:r w:rsidRPr="005E3B43">
              <w:rPr>
                <w:szCs w:val="22"/>
              </w:rPr>
              <w:t xml:space="preserve">) </w:t>
            </w:r>
            <w:r w:rsidR="00207B1C" w:rsidRPr="005E3B43">
              <w:rPr>
                <w:szCs w:val="22"/>
              </w:rPr>
              <w:t>the total quantity of the medicine imported for use in the treatment of the importer or the importer’s immediate family in the period of 12 months ending on the day on which the latest importation occurs does not exceed 15 months’ supply of the medicine at the maximum dose recommended by the manufacturer;</w:t>
            </w:r>
          </w:p>
          <w:p w14:paraId="4E6F59BA" w14:textId="440F40BC" w:rsidR="00207B1C" w:rsidRPr="005E3B43" w:rsidRDefault="00D72993" w:rsidP="00763BCF">
            <w:pPr>
              <w:pStyle w:val="Tablea"/>
            </w:pPr>
            <w:r w:rsidRPr="005E3B43">
              <w:tab/>
            </w:r>
            <w:r w:rsidR="00207B1C" w:rsidRPr="005E3B43">
              <w:t xml:space="preserve">or the medicines have </w:t>
            </w:r>
            <w:r w:rsidR="00207B1C" w:rsidRPr="005E3B43">
              <w:rPr>
                <w:szCs w:val="22"/>
              </w:rPr>
              <w:t>been</w:t>
            </w:r>
            <w:r w:rsidR="00207B1C" w:rsidRPr="005E3B43">
              <w:t xml:space="preserve"> approved, or are included in a class of medicines that has been approved, under regulation</w:t>
            </w:r>
            <w:r w:rsidR="004E6D00" w:rsidRPr="005E3B43">
              <w:t> </w:t>
            </w:r>
            <w:r w:rsidR="00207B1C" w:rsidRPr="005E3B43">
              <w:t xml:space="preserve">5 of the </w:t>
            </w:r>
            <w:r w:rsidR="00845C48" w:rsidRPr="005E3B43">
              <w:rPr>
                <w:i/>
              </w:rPr>
              <w:t xml:space="preserve">Customs (Prohibited Imports) </w:t>
            </w:r>
            <w:r w:rsidR="007C3215">
              <w:rPr>
                <w:i/>
              </w:rPr>
              <w:t>Regulations 1</w:t>
            </w:r>
            <w:r w:rsidR="00845C48" w:rsidRPr="005E3B43">
              <w:rPr>
                <w:i/>
              </w:rPr>
              <w:t>956</w:t>
            </w:r>
            <w:r w:rsidR="00207B1C" w:rsidRPr="005E3B43">
              <w:t xml:space="preserve"> for importation into Australia; and</w:t>
            </w:r>
          </w:p>
          <w:p w14:paraId="20D21B73" w14:textId="77777777" w:rsidR="00207B1C" w:rsidRPr="005E3B43" w:rsidRDefault="00E20BA4" w:rsidP="00763BCF">
            <w:pPr>
              <w:pStyle w:val="Tablea"/>
            </w:pPr>
            <w:r w:rsidRPr="005E3B43">
              <w:t>(</w:t>
            </w:r>
            <w:r w:rsidR="00207B1C" w:rsidRPr="005E3B43">
              <w:t>d</w:t>
            </w:r>
            <w:r w:rsidRPr="005E3B43">
              <w:t xml:space="preserve">) </w:t>
            </w:r>
            <w:r w:rsidR="00207B1C" w:rsidRPr="005E3B43">
              <w:t>if the goods are subject to Schedule</w:t>
            </w:r>
            <w:r w:rsidR="004E6D00" w:rsidRPr="005E3B43">
              <w:t> </w:t>
            </w:r>
            <w:r w:rsidR="00207B1C" w:rsidRPr="005E3B43">
              <w:t>4 or Schedule</w:t>
            </w:r>
            <w:r w:rsidR="004E6D00" w:rsidRPr="005E3B43">
              <w:t> </w:t>
            </w:r>
            <w:r w:rsidR="00207B1C" w:rsidRPr="005E3B43">
              <w:t>8 to the Poisons Standard</w:t>
            </w:r>
            <w:r w:rsidRPr="005E3B43">
              <w:t>—</w:t>
            </w:r>
            <w:r w:rsidR="00207B1C" w:rsidRPr="005E3B43">
              <w:t>the goods are the subject of a written authority issued by a medical practitioner, except where the goods are carried by the importer as a passenger on a ship or aeroplane</w:t>
            </w:r>
          </w:p>
        </w:tc>
      </w:tr>
      <w:tr w:rsidR="002F2F1B" w:rsidRPr="005E3B43" w14:paraId="39402F28" w14:textId="77777777" w:rsidTr="005A786D">
        <w:trPr>
          <w:cantSplit/>
        </w:trPr>
        <w:tc>
          <w:tcPr>
            <w:tcW w:w="672" w:type="pct"/>
            <w:tcBorders>
              <w:top w:val="single" w:sz="4" w:space="0" w:color="auto"/>
              <w:bottom w:val="single" w:sz="4" w:space="0" w:color="auto"/>
            </w:tcBorders>
            <w:shd w:val="clear" w:color="auto" w:fill="auto"/>
          </w:tcPr>
          <w:p w14:paraId="70985B4A" w14:textId="77777777" w:rsidR="002F2F1B" w:rsidRPr="005E3B43" w:rsidRDefault="002F2F1B" w:rsidP="002F2F1B">
            <w:pPr>
              <w:pStyle w:val="Tabletext"/>
            </w:pPr>
            <w:r w:rsidRPr="005E3B43">
              <w:t>1A</w:t>
            </w:r>
          </w:p>
        </w:tc>
        <w:tc>
          <w:tcPr>
            <w:tcW w:w="4328" w:type="pct"/>
            <w:tcBorders>
              <w:top w:val="single" w:sz="4" w:space="0" w:color="auto"/>
              <w:bottom w:val="single" w:sz="4" w:space="0" w:color="auto"/>
            </w:tcBorders>
            <w:shd w:val="clear" w:color="auto" w:fill="auto"/>
          </w:tcPr>
          <w:p w14:paraId="1FF30EEF" w14:textId="77777777" w:rsidR="002F2F1B" w:rsidRPr="005E3B43" w:rsidRDefault="002F2F1B" w:rsidP="002F2F1B">
            <w:pPr>
              <w:pStyle w:val="Tabletext"/>
            </w:pPr>
            <w:r w:rsidRPr="005E3B43">
              <w:t xml:space="preserve">therapeutic goods that are disposable therapeutic vapes, therapeutic vaping substances or therapeutic vaping substance accessories, imported into Australia by a person (the </w:t>
            </w:r>
            <w:r w:rsidRPr="005E3B43">
              <w:rPr>
                <w:b/>
                <w:i/>
              </w:rPr>
              <w:t>first person</w:t>
            </w:r>
            <w:r w:rsidRPr="005E3B43">
              <w:t>) on board a ship or aircraft, if:</w:t>
            </w:r>
          </w:p>
          <w:p w14:paraId="4A90B3C6" w14:textId="77777777" w:rsidR="002F2F1B" w:rsidRPr="005E3B43" w:rsidRDefault="002F2F1B" w:rsidP="002F2F1B">
            <w:pPr>
              <w:pStyle w:val="Tablea"/>
            </w:pPr>
            <w:r w:rsidRPr="005E3B43">
              <w:t>(a) the therapeutic goods are for use in the treatment of the first person or one or more other persons on board the ship or aircraft under the care of the first person; and</w:t>
            </w:r>
          </w:p>
          <w:p w14:paraId="2C4DA1AD" w14:textId="03724EBE" w:rsidR="002F2F1B" w:rsidRPr="005E3B43" w:rsidRDefault="002F2F1B" w:rsidP="002A72E3">
            <w:pPr>
              <w:pStyle w:val="Tablea"/>
            </w:pPr>
            <w:r w:rsidRPr="005E3B43">
              <w:t xml:space="preserve">(b) the importation of the therapeutic goods meets the requirements of paragraph 5(2)(b) or subregulation 5A(2) of the </w:t>
            </w:r>
            <w:r w:rsidRPr="005E3B43">
              <w:rPr>
                <w:i/>
              </w:rPr>
              <w:t xml:space="preserve">Customs (Prohibited Imports) </w:t>
            </w:r>
            <w:r w:rsidR="007C3215">
              <w:rPr>
                <w:i/>
              </w:rPr>
              <w:t>Regulations 1</w:t>
            </w:r>
            <w:r w:rsidRPr="005E3B43">
              <w:rPr>
                <w:i/>
              </w:rPr>
              <w:t>956</w:t>
            </w:r>
          </w:p>
        </w:tc>
      </w:tr>
      <w:tr w:rsidR="00207B1C" w:rsidRPr="005E3B43" w14:paraId="2B9F4A64" w14:textId="77777777" w:rsidTr="005A786D">
        <w:trPr>
          <w:cantSplit/>
        </w:trPr>
        <w:tc>
          <w:tcPr>
            <w:tcW w:w="672" w:type="pct"/>
            <w:tcBorders>
              <w:top w:val="single" w:sz="4" w:space="0" w:color="auto"/>
              <w:bottom w:val="single" w:sz="4" w:space="0" w:color="auto"/>
            </w:tcBorders>
            <w:shd w:val="clear" w:color="auto" w:fill="auto"/>
          </w:tcPr>
          <w:p w14:paraId="6E5DEC0B" w14:textId="77777777" w:rsidR="00207B1C" w:rsidRPr="005E3B43" w:rsidRDefault="00207B1C" w:rsidP="00763BCF">
            <w:pPr>
              <w:pStyle w:val="Tabletext"/>
            </w:pPr>
            <w:r w:rsidRPr="005E3B43">
              <w:t>2</w:t>
            </w:r>
          </w:p>
        </w:tc>
        <w:tc>
          <w:tcPr>
            <w:tcW w:w="4328" w:type="pct"/>
            <w:tcBorders>
              <w:top w:val="single" w:sz="4" w:space="0" w:color="auto"/>
              <w:bottom w:val="single" w:sz="4" w:space="0" w:color="auto"/>
            </w:tcBorders>
            <w:shd w:val="clear" w:color="auto" w:fill="auto"/>
          </w:tcPr>
          <w:p w14:paraId="24354C06" w14:textId="77777777" w:rsidR="00207B1C" w:rsidRPr="005E3B43" w:rsidRDefault="00207B1C" w:rsidP="00763BCF">
            <w:pPr>
              <w:pStyle w:val="Tabletext"/>
            </w:pPr>
            <w:r w:rsidRPr="005E3B43">
              <w:t>therapeutic goods that are exported and that:</w:t>
            </w:r>
          </w:p>
          <w:p w14:paraId="2BB2368E" w14:textId="77777777" w:rsidR="00207B1C" w:rsidRPr="005E3B43" w:rsidRDefault="00E20BA4" w:rsidP="00763BCF">
            <w:pPr>
              <w:pStyle w:val="Tablea"/>
            </w:pPr>
            <w:r w:rsidRPr="005E3B43">
              <w:t>(</w:t>
            </w:r>
            <w:r w:rsidR="00207B1C" w:rsidRPr="005E3B43">
              <w:t>a</w:t>
            </w:r>
            <w:r w:rsidRPr="005E3B43">
              <w:t xml:space="preserve">) </w:t>
            </w:r>
            <w:r w:rsidR="00207B1C" w:rsidRPr="005E3B43">
              <w:t>are not for commercial supply; and</w:t>
            </w:r>
          </w:p>
          <w:p w14:paraId="6EE3BE26" w14:textId="77777777" w:rsidR="00207B1C" w:rsidRPr="005E3B43" w:rsidRDefault="00E20BA4" w:rsidP="00763BCF">
            <w:pPr>
              <w:pStyle w:val="Tablea"/>
            </w:pPr>
            <w:r w:rsidRPr="005E3B43">
              <w:t>(</w:t>
            </w:r>
            <w:r w:rsidR="00207B1C" w:rsidRPr="005E3B43">
              <w:t>b</w:t>
            </w:r>
            <w:r w:rsidRPr="005E3B43">
              <w:t xml:space="preserve">) </w:t>
            </w:r>
            <w:r w:rsidR="00207B1C" w:rsidRPr="005E3B43">
              <w:t xml:space="preserve">do not contain a substance the exportation of which is prohibited under the </w:t>
            </w:r>
            <w:r w:rsidR="00207B1C" w:rsidRPr="005E3B43">
              <w:rPr>
                <w:i/>
              </w:rPr>
              <w:t>Customs Act 1901</w:t>
            </w:r>
            <w:r w:rsidR="00207B1C" w:rsidRPr="005E3B43">
              <w:t>; and</w:t>
            </w:r>
          </w:p>
          <w:p w14:paraId="3202AC78" w14:textId="77777777" w:rsidR="00207B1C" w:rsidRPr="005E3B43" w:rsidRDefault="00E20BA4" w:rsidP="00763BCF">
            <w:pPr>
              <w:pStyle w:val="Tablea"/>
            </w:pPr>
            <w:r w:rsidRPr="005E3B43">
              <w:t>(</w:t>
            </w:r>
            <w:r w:rsidR="00207B1C" w:rsidRPr="005E3B43">
              <w:t>c</w:t>
            </w:r>
            <w:r w:rsidRPr="005E3B43">
              <w:t xml:space="preserve">) </w:t>
            </w:r>
            <w:r w:rsidR="00207B1C" w:rsidRPr="005E3B43">
              <w:t>are not intended for use in clinical trials on humans</w:t>
            </w:r>
          </w:p>
        </w:tc>
      </w:tr>
      <w:tr w:rsidR="00207B1C" w:rsidRPr="005E3B43" w14:paraId="186D4264" w14:textId="77777777" w:rsidTr="005A786D">
        <w:tc>
          <w:tcPr>
            <w:tcW w:w="672" w:type="pct"/>
            <w:tcBorders>
              <w:top w:val="single" w:sz="4" w:space="0" w:color="auto"/>
              <w:bottom w:val="single" w:sz="4" w:space="0" w:color="auto"/>
            </w:tcBorders>
            <w:shd w:val="clear" w:color="auto" w:fill="auto"/>
          </w:tcPr>
          <w:p w14:paraId="18F5AD28" w14:textId="77777777" w:rsidR="00207B1C" w:rsidRPr="005E3B43" w:rsidRDefault="00207B1C" w:rsidP="00763BCF">
            <w:pPr>
              <w:pStyle w:val="Tabletext"/>
            </w:pPr>
            <w:r w:rsidRPr="005E3B43">
              <w:lastRenderedPageBreak/>
              <w:t>3</w:t>
            </w:r>
          </w:p>
        </w:tc>
        <w:tc>
          <w:tcPr>
            <w:tcW w:w="4328" w:type="pct"/>
            <w:tcBorders>
              <w:top w:val="single" w:sz="4" w:space="0" w:color="auto"/>
              <w:bottom w:val="single" w:sz="4" w:space="0" w:color="auto"/>
            </w:tcBorders>
            <w:shd w:val="clear" w:color="auto" w:fill="auto"/>
          </w:tcPr>
          <w:p w14:paraId="24008E4E" w14:textId="77777777" w:rsidR="00207B1C" w:rsidRPr="005E3B43" w:rsidRDefault="00207B1C" w:rsidP="00763BCF">
            <w:pPr>
              <w:pStyle w:val="Tabletext"/>
            </w:pPr>
            <w:r w:rsidRPr="005E3B43">
              <w:t>samples of therapeutic goods imported, exported, manufactured, or supplied for:</w:t>
            </w:r>
          </w:p>
          <w:p w14:paraId="446017B5" w14:textId="77777777" w:rsidR="00207B1C" w:rsidRPr="005E3B43" w:rsidRDefault="00E20BA4" w:rsidP="00763BCF">
            <w:pPr>
              <w:pStyle w:val="Tablea"/>
            </w:pPr>
            <w:r w:rsidRPr="005E3B43">
              <w:t>(</w:t>
            </w:r>
            <w:r w:rsidR="00207B1C" w:rsidRPr="005E3B43">
              <w:t>a</w:t>
            </w:r>
            <w:r w:rsidRPr="005E3B43">
              <w:t xml:space="preserve">) </w:t>
            </w:r>
            <w:r w:rsidR="00207B1C" w:rsidRPr="005E3B43">
              <w:t>submission to a regulatory authority; or</w:t>
            </w:r>
          </w:p>
          <w:p w14:paraId="357A5EA2" w14:textId="77777777" w:rsidR="00207B1C" w:rsidRPr="005E3B43" w:rsidRDefault="00E20BA4" w:rsidP="00763BCF">
            <w:pPr>
              <w:pStyle w:val="Tablea"/>
            </w:pPr>
            <w:r w:rsidRPr="005E3B43">
              <w:t>(</w:t>
            </w:r>
            <w:r w:rsidR="00207B1C" w:rsidRPr="005E3B43">
              <w:t>b</w:t>
            </w:r>
            <w:r w:rsidRPr="005E3B43">
              <w:t xml:space="preserve">) </w:t>
            </w:r>
            <w:r w:rsidR="00207B1C" w:rsidRPr="005E3B43">
              <w:t>subjection to developmental or quality control procedures; or</w:t>
            </w:r>
          </w:p>
          <w:p w14:paraId="328D4B90" w14:textId="77777777" w:rsidR="00207B1C" w:rsidRPr="005E3B43" w:rsidRDefault="00E20BA4" w:rsidP="00763BCF">
            <w:pPr>
              <w:pStyle w:val="Tablea"/>
            </w:pPr>
            <w:r w:rsidRPr="005E3B43">
              <w:t>(</w:t>
            </w:r>
            <w:r w:rsidR="00207B1C" w:rsidRPr="005E3B43">
              <w:t>c</w:t>
            </w:r>
            <w:r w:rsidRPr="005E3B43">
              <w:t xml:space="preserve">) </w:t>
            </w:r>
            <w:r w:rsidR="00207B1C" w:rsidRPr="005E3B43">
              <w:t>examination, demonstration or display; or</w:t>
            </w:r>
          </w:p>
          <w:p w14:paraId="71989D90" w14:textId="77777777" w:rsidR="00207B1C" w:rsidRPr="005E3B43" w:rsidRDefault="00E20BA4" w:rsidP="00763BCF">
            <w:pPr>
              <w:pStyle w:val="Tablea"/>
            </w:pPr>
            <w:r w:rsidRPr="005E3B43">
              <w:t>(</w:t>
            </w:r>
            <w:r w:rsidR="00207B1C" w:rsidRPr="005E3B43">
              <w:t>d</w:t>
            </w:r>
            <w:r w:rsidRPr="005E3B43">
              <w:t xml:space="preserve">) </w:t>
            </w:r>
            <w:r w:rsidR="00207B1C" w:rsidRPr="005E3B43">
              <w:t xml:space="preserve">subjection to analysis or laboratory testing procedures; </w:t>
            </w:r>
          </w:p>
          <w:p w14:paraId="06E19DBE" w14:textId="77777777" w:rsidR="00207B1C" w:rsidRPr="005E3B43" w:rsidRDefault="00207B1C" w:rsidP="00763BCF">
            <w:pPr>
              <w:pStyle w:val="Tabletext"/>
            </w:pPr>
            <w:r w:rsidRPr="005E3B43">
              <w:t>but not for supply for therapeutic use in humans</w:t>
            </w:r>
          </w:p>
        </w:tc>
      </w:tr>
      <w:tr w:rsidR="00207B1C" w:rsidRPr="005E3B43" w14:paraId="71E129F9" w14:textId="77777777" w:rsidTr="005A786D">
        <w:tc>
          <w:tcPr>
            <w:tcW w:w="672" w:type="pct"/>
            <w:tcBorders>
              <w:top w:val="single" w:sz="4" w:space="0" w:color="auto"/>
              <w:bottom w:val="single" w:sz="4" w:space="0" w:color="auto"/>
            </w:tcBorders>
            <w:shd w:val="clear" w:color="auto" w:fill="auto"/>
          </w:tcPr>
          <w:p w14:paraId="3298AAEE" w14:textId="77777777" w:rsidR="00207B1C" w:rsidRPr="005E3B43" w:rsidRDefault="00207B1C" w:rsidP="00763BCF">
            <w:pPr>
              <w:pStyle w:val="Tabletext"/>
            </w:pPr>
            <w:r w:rsidRPr="005E3B43">
              <w:t>4</w:t>
            </w:r>
          </w:p>
        </w:tc>
        <w:tc>
          <w:tcPr>
            <w:tcW w:w="4328" w:type="pct"/>
            <w:tcBorders>
              <w:top w:val="single" w:sz="4" w:space="0" w:color="auto"/>
              <w:bottom w:val="single" w:sz="4" w:space="0" w:color="auto"/>
            </w:tcBorders>
            <w:shd w:val="clear" w:color="auto" w:fill="auto"/>
          </w:tcPr>
          <w:p w14:paraId="25E23392" w14:textId="77777777" w:rsidR="00207B1C" w:rsidRPr="005E3B43" w:rsidRDefault="00207B1C" w:rsidP="00763BCF">
            <w:pPr>
              <w:pStyle w:val="Tabletext"/>
            </w:pPr>
            <w:r w:rsidRPr="005E3B43">
              <w:t xml:space="preserve">goods imported solely for the purpose of export that remain subject to </w:t>
            </w:r>
            <w:r w:rsidR="008A39C9" w:rsidRPr="005E3B43">
              <w:t xml:space="preserve">customs control under the </w:t>
            </w:r>
            <w:r w:rsidR="008A39C9" w:rsidRPr="005E3B43">
              <w:rPr>
                <w:i/>
              </w:rPr>
              <w:t>Customs Act 1901</w:t>
            </w:r>
            <w:r w:rsidRPr="005E3B43">
              <w:t xml:space="preserve"> and that are not subject to manufacture in Australia</w:t>
            </w:r>
          </w:p>
        </w:tc>
      </w:tr>
      <w:tr w:rsidR="00B471FC" w:rsidRPr="005E3B43" w14:paraId="7E03AD50" w14:textId="77777777" w:rsidTr="005A786D">
        <w:tc>
          <w:tcPr>
            <w:tcW w:w="672" w:type="pct"/>
            <w:tcBorders>
              <w:top w:val="single" w:sz="4" w:space="0" w:color="auto"/>
              <w:bottom w:val="single" w:sz="4" w:space="0" w:color="auto"/>
            </w:tcBorders>
            <w:shd w:val="clear" w:color="auto" w:fill="auto"/>
          </w:tcPr>
          <w:p w14:paraId="66142FAA" w14:textId="77777777" w:rsidR="00B471FC" w:rsidRPr="005E3B43" w:rsidRDefault="00B471FC" w:rsidP="00B471FC">
            <w:pPr>
              <w:pStyle w:val="Tabletext"/>
            </w:pPr>
            <w:r w:rsidRPr="005E3B43">
              <w:rPr>
                <w:lang w:eastAsia="en-US"/>
              </w:rPr>
              <w:t>6</w:t>
            </w:r>
          </w:p>
        </w:tc>
        <w:tc>
          <w:tcPr>
            <w:tcW w:w="4328" w:type="pct"/>
            <w:tcBorders>
              <w:top w:val="single" w:sz="4" w:space="0" w:color="auto"/>
              <w:bottom w:val="single" w:sz="4" w:space="0" w:color="auto"/>
            </w:tcBorders>
            <w:shd w:val="clear" w:color="auto" w:fill="auto"/>
          </w:tcPr>
          <w:p w14:paraId="2F75707D" w14:textId="77777777" w:rsidR="00B471FC" w:rsidRPr="005E3B43" w:rsidRDefault="00B471FC" w:rsidP="00B471FC">
            <w:pPr>
              <w:pStyle w:val="Tabletext"/>
              <w:rPr>
                <w:lang w:eastAsia="en-US"/>
              </w:rPr>
            </w:pPr>
            <w:r w:rsidRPr="005E3B43">
              <w:rPr>
                <w:lang w:eastAsia="en-US"/>
              </w:rPr>
              <w:t>medicines that are dispensed, or extemporaneously compounded, for a particular person for therapeutic application to that person, other than the following:</w:t>
            </w:r>
          </w:p>
          <w:p w14:paraId="47693C2F" w14:textId="77777777" w:rsidR="00B471FC" w:rsidRPr="005E3B43" w:rsidRDefault="00B471FC" w:rsidP="00B471FC">
            <w:pPr>
              <w:pStyle w:val="Tablea"/>
            </w:pPr>
            <w:r w:rsidRPr="005E3B43">
              <w:t>(a) medicines that are used for gene therapy;</w:t>
            </w:r>
          </w:p>
          <w:p w14:paraId="2B36A992" w14:textId="77777777" w:rsidR="00B471FC" w:rsidRPr="005E3B43" w:rsidRDefault="00B471FC" w:rsidP="00B471FC">
            <w:pPr>
              <w:pStyle w:val="Tablea"/>
            </w:pPr>
            <w:r w:rsidRPr="005E3B43">
              <w:t>(b) medicines that are medicinal cannabis products;</w:t>
            </w:r>
          </w:p>
          <w:p w14:paraId="6B141F5A" w14:textId="43B69C47" w:rsidR="00B471FC" w:rsidRPr="005E3B43" w:rsidRDefault="00B471FC" w:rsidP="00147E48">
            <w:pPr>
              <w:pStyle w:val="Tablea"/>
            </w:pPr>
            <w:r w:rsidRPr="005E3B43">
              <w:t>(c) medicines that contain glucagon</w:t>
            </w:r>
            <w:r w:rsidR="007C3215">
              <w:noBreakHyphen/>
            </w:r>
            <w:r w:rsidRPr="005E3B43">
              <w:t>like peptide</w:t>
            </w:r>
            <w:r w:rsidR="007C3215">
              <w:noBreakHyphen/>
            </w:r>
            <w:r w:rsidRPr="005E3B43">
              <w:t>1 (GLP</w:t>
            </w:r>
            <w:r w:rsidR="007C3215">
              <w:noBreakHyphen/>
            </w:r>
            <w:r w:rsidRPr="005E3B43">
              <w:t>1) receptor agonist analogues</w:t>
            </w:r>
          </w:p>
        </w:tc>
      </w:tr>
      <w:tr w:rsidR="00B621E5" w:rsidRPr="005E3B43" w:rsidDel="00BD3E81" w14:paraId="5DD29632" w14:textId="77777777" w:rsidTr="00B621E5">
        <w:tblPrEx>
          <w:tblBorders>
            <w:top w:val="none" w:sz="0" w:space="0" w:color="auto"/>
            <w:bottom w:val="none" w:sz="0" w:space="0" w:color="auto"/>
            <w:insideH w:val="none" w:sz="0" w:space="0" w:color="auto"/>
          </w:tblBorders>
        </w:tblPrEx>
        <w:trPr>
          <w:cantSplit/>
        </w:trPr>
        <w:tc>
          <w:tcPr>
            <w:tcW w:w="672" w:type="pct"/>
            <w:tcBorders>
              <w:top w:val="single" w:sz="4" w:space="0" w:color="auto"/>
            </w:tcBorders>
            <w:shd w:val="clear" w:color="auto" w:fill="auto"/>
          </w:tcPr>
          <w:p w14:paraId="6E1CCC5F" w14:textId="77777777" w:rsidR="00B621E5" w:rsidRPr="005E3B43" w:rsidRDefault="00B621E5" w:rsidP="00763BCF">
            <w:pPr>
              <w:pStyle w:val="Tabletext"/>
              <w:rPr>
                <w:lang w:eastAsia="en-US"/>
              </w:rPr>
            </w:pPr>
            <w:r w:rsidRPr="005E3B43">
              <w:rPr>
                <w:lang w:eastAsia="en-US"/>
              </w:rPr>
              <w:t>6A</w:t>
            </w:r>
          </w:p>
        </w:tc>
        <w:tc>
          <w:tcPr>
            <w:tcW w:w="4328" w:type="pct"/>
            <w:tcBorders>
              <w:top w:val="single" w:sz="4" w:space="0" w:color="auto"/>
            </w:tcBorders>
            <w:shd w:val="clear" w:color="auto" w:fill="auto"/>
          </w:tcPr>
          <w:p w14:paraId="61D95185" w14:textId="77777777" w:rsidR="00B621E5" w:rsidRPr="005E3B43" w:rsidRDefault="00B621E5" w:rsidP="00763BCF">
            <w:pPr>
              <w:pStyle w:val="Tabletext"/>
              <w:rPr>
                <w:lang w:eastAsia="en-US"/>
              </w:rPr>
            </w:pPr>
            <w:r w:rsidRPr="005E3B43">
              <w:rPr>
                <w:lang w:eastAsia="en-US"/>
              </w:rPr>
              <w:t>medicines (</w:t>
            </w:r>
            <w:r w:rsidRPr="005E3B43">
              <w:t xml:space="preserve">other than medicines that are used for gene therapy or that are medicinal cannabis products) that </w:t>
            </w:r>
            <w:r w:rsidRPr="005E3B43">
              <w:rPr>
                <w:lang w:eastAsia="en-US"/>
              </w:rPr>
              <w:t>are:</w:t>
            </w:r>
          </w:p>
          <w:p w14:paraId="691942A4" w14:textId="77777777" w:rsidR="00B621E5" w:rsidRPr="005E3B43" w:rsidRDefault="00B621E5" w:rsidP="00763BCF">
            <w:pPr>
              <w:pStyle w:val="Tablea"/>
              <w:rPr>
                <w:lang w:eastAsia="en-US"/>
              </w:rPr>
            </w:pPr>
            <w:r w:rsidRPr="005E3B43">
              <w:t xml:space="preserve">(a) </w:t>
            </w:r>
            <w:r w:rsidRPr="005E3B43">
              <w:rPr>
                <w:lang w:eastAsia="en-US"/>
              </w:rPr>
              <w:t xml:space="preserve">compounded in a hospital </w:t>
            </w:r>
            <w:r w:rsidRPr="005E3B43">
              <w:t>by</w:t>
            </w:r>
            <w:r w:rsidRPr="005E3B43">
              <w:rPr>
                <w:lang w:eastAsia="en-US"/>
              </w:rPr>
              <w:t>:</w:t>
            </w:r>
          </w:p>
          <w:p w14:paraId="091E79EE" w14:textId="77777777" w:rsidR="00B621E5" w:rsidRPr="005E3B43" w:rsidRDefault="00B621E5" w:rsidP="00763BCF">
            <w:pPr>
              <w:pStyle w:val="Tablei"/>
            </w:pPr>
            <w:r w:rsidRPr="005E3B43">
              <w:t>(i) in the case of a private hospital—a hospital pharmacist who is engaged in the manufacture of therapeutic goods (other than biologicals) on the premises of the private hospital; or</w:t>
            </w:r>
          </w:p>
          <w:p w14:paraId="71384599" w14:textId="77777777" w:rsidR="00B621E5" w:rsidRPr="005E3B43" w:rsidRDefault="00B621E5" w:rsidP="00763BCF">
            <w:pPr>
              <w:pStyle w:val="Tablei"/>
            </w:pPr>
            <w:r w:rsidRPr="005E3B43">
              <w:t>(ii) in the case of a public hospital—a pharmacist who is employed by the public hospital and is engaged in the manufacture of therapeutic goods (other than biologicals); and</w:t>
            </w:r>
          </w:p>
          <w:p w14:paraId="16D2E9E2" w14:textId="77777777" w:rsidR="00B621E5" w:rsidRPr="005E3B43" w:rsidRDefault="00B621E5" w:rsidP="00763BCF">
            <w:pPr>
              <w:pStyle w:val="Tablea"/>
            </w:pPr>
            <w:r w:rsidRPr="005E3B43">
              <w:t xml:space="preserve">(b) </w:t>
            </w:r>
            <w:r w:rsidRPr="005E3B43">
              <w:rPr>
                <w:lang w:eastAsia="en-US"/>
              </w:rPr>
              <w:t xml:space="preserve">compounded </w:t>
            </w:r>
            <w:r w:rsidRPr="005E3B43">
              <w:t>in anticipation of being needed for therapeutic application to patients of the hospital; and</w:t>
            </w:r>
          </w:p>
          <w:p w14:paraId="34633AC6" w14:textId="77777777" w:rsidR="00B621E5" w:rsidRPr="005E3B43" w:rsidRDefault="00B621E5" w:rsidP="00763BCF">
            <w:pPr>
              <w:pStyle w:val="Tablea"/>
              <w:rPr>
                <w:lang w:eastAsia="en-US"/>
              </w:rPr>
            </w:pPr>
            <w:r w:rsidRPr="005E3B43">
              <w:t>(c) considered by the hospital’s drug and therapeutic committee (however called) to be appropriate for compounding in anticipation of being needed to treat a patient at the hospital</w:t>
            </w:r>
          </w:p>
        </w:tc>
      </w:tr>
      <w:tr w:rsidR="004F7F14" w:rsidRPr="005E3B43" w:rsidDel="000E647F" w14:paraId="3FF88631" w14:textId="77777777" w:rsidTr="005A786D">
        <w:tc>
          <w:tcPr>
            <w:tcW w:w="672" w:type="pct"/>
            <w:tcBorders>
              <w:top w:val="single" w:sz="4" w:space="0" w:color="auto"/>
              <w:bottom w:val="single" w:sz="4" w:space="0" w:color="auto"/>
            </w:tcBorders>
            <w:shd w:val="clear" w:color="auto" w:fill="auto"/>
          </w:tcPr>
          <w:p w14:paraId="72D8D4F4" w14:textId="77777777" w:rsidR="004F7F14" w:rsidRPr="005E3B43" w:rsidDel="000E647F" w:rsidRDefault="004F7F14" w:rsidP="00763BCF">
            <w:pPr>
              <w:pStyle w:val="Tabletext"/>
            </w:pPr>
            <w:r w:rsidRPr="005E3B43">
              <w:t>7</w:t>
            </w:r>
          </w:p>
        </w:tc>
        <w:tc>
          <w:tcPr>
            <w:tcW w:w="4328" w:type="pct"/>
            <w:tcBorders>
              <w:top w:val="single" w:sz="4" w:space="0" w:color="auto"/>
              <w:bottom w:val="single" w:sz="4" w:space="0" w:color="auto"/>
            </w:tcBorders>
            <w:shd w:val="clear" w:color="auto" w:fill="auto"/>
          </w:tcPr>
          <w:p w14:paraId="036E77DA" w14:textId="77777777" w:rsidR="004F7F14" w:rsidRPr="005E3B43" w:rsidDel="000E647F" w:rsidRDefault="004F7F14" w:rsidP="00763BCF">
            <w:pPr>
              <w:pStyle w:val="Tabletext"/>
            </w:pPr>
            <w:r w:rsidRPr="005E3B43">
              <w:t>manufacturing, laboratory and dispensary equipment used in the preparation of therapeutic goods</w:t>
            </w:r>
          </w:p>
        </w:tc>
      </w:tr>
      <w:tr w:rsidR="004F7F14" w:rsidRPr="005E3B43" w14:paraId="0C4FB50B" w14:textId="77777777" w:rsidTr="005A786D">
        <w:trPr>
          <w:trHeight w:val="20"/>
        </w:trPr>
        <w:tc>
          <w:tcPr>
            <w:tcW w:w="672" w:type="pct"/>
            <w:tcBorders>
              <w:top w:val="single" w:sz="4" w:space="0" w:color="auto"/>
              <w:bottom w:val="nil"/>
            </w:tcBorders>
            <w:shd w:val="clear" w:color="auto" w:fill="auto"/>
          </w:tcPr>
          <w:p w14:paraId="3C40CEC8" w14:textId="77777777" w:rsidR="004F7F14" w:rsidRPr="005E3B43" w:rsidRDefault="004F7F14" w:rsidP="00763BCF">
            <w:pPr>
              <w:pStyle w:val="Tabletext"/>
            </w:pPr>
            <w:r w:rsidRPr="005E3B43">
              <w:t>8</w:t>
            </w:r>
          </w:p>
        </w:tc>
        <w:tc>
          <w:tcPr>
            <w:tcW w:w="4328" w:type="pct"/>
            <w:tcBorders>
              <w:top w:val="single" w:sz="4" w:space="0" w:color="auto"/>
              <w:bottom w:val="nil"/>
            </w:tcBorders>
            <w:shd w:val="clear" w:color="auto" w:fill="auto"/>
          </w:tcPr>
          <w:p w14:paraId="1D49A55A" w14:textId="77777777" w:rsidR="004F7F14" w:rsidRPr="005E3B43" w:rsidRDefault="004F7F14" w:rsidP="00763BCF">
            <w:pPr>
              <w:pStyle w:val="Tabletext"/>
            </w:pPr>
            <w:r w:rsidRPr="005E3B43">
              <w:t>the following goods, unless the goods are for the treatment, cure, prevention, diagnosis or monitoring of, or testing susceptibility of persons to, a disease, condition, ailment or defect:</w:t>
            </w:r>
          </w:p>
          <w:p w14:paraId="2D59273E" w14:textId="77777777" w:rsidR="004F7F14" w:rsidRPr="005E3B43" w:rsidRDefault="004F7F14" w:rsidP="00763BCF">
            <w:pPr>
              <w:pStyle w:val="Tablea"/>
            </w:pPr>
            <w:r w:rsidRPr="005E3B43">
              <w:t>(a) homoeopathic preparations more dilute than a one thousand fold dilution of a mother tincture and which are not required to be sterile;</w:t>
            </w:r>
          </w:p>
          <w:p w14:paraId="50433C2E" w14:textId="77777777" w:rsidR="004F7F14" w:rsidRPr="005E3B43" w:rsidRDefault="004F7F14" w:rsidP="00763BCF">
            <w:pPr>
              <w:pStyle w:val="Tablea"/>
            </w:pPr>
            <w:r w:rsidRPr="005E3B43">
              <w:tab/>
              <w:t>and which do not include an ingredient of:</w:t>
            </w:r>
          </w:p>
          <w:p w14:paraId="3E689591" w14:textId="77777777" w:rsidR="004F7F14" w:rsidRPr="005E3B43" w:rsidRDefault="004F7F14" w:rsidP="00763BCF">
            <w:pPr>
              <w:pStyle w:val="Tablei"/>
            </w:pPr>
            <w:r w:rsidRPr="005E3B43">
              <w:t>(i) human origin; or</w:t>
            </w:r>
          </w:p>
          <w:p w14:paraId="4D3EA1E2" w14:textId="77777777" w:rsidR="004F7F14" w:rsidRPr="005E3B43" w:rsidRDefault="004F7F14" w:rsidP="00763BCF">
            <w:pPr>
              <w:pStyle w:val="Tablei"/>
              <w:rPr>
                <w:szCs w:val="22"/>
              </w:rPr>
            </w:pPr>
            <w:r w:rsidRPr="005E3B43">
              <w:rPr>
                <w:szCs w:val="22"/>
              </w:rPr>
              <w:t>(ii) animal origin, if the ingredient consists of, or is derived from, any of the following parts of cattle, sheep, goats or mule deer:</w:t>
            </w:r>
          </w:p>
          <w:p w14:paraId="76D53C81" w14:textId="77777777" w:rsidR="004F7F14" w:rsidRPr="005E3B43" w:rsidRDefault="004F7F14" w:rsidP="00763BCF">
            <w:pPr>
              <w:pStyle w:val="TableAA"/>
            </w:pPr>
            <w:r w:rsidRPr="005E3B43">
              <w:t>(A) adrenal;</w:t>
            </w:r>
          </w:p>
          <w:p w14:paraId="6D7F2629" w14:textId="77777777" w:rsidR="004F7F14" w:rsidRPr="005E3B43" w:rsidRDefault="004F7F14" w:rsidP="00763BCF">
            <w:pPr>
              <w:pStyle w:val="TableAA"/>
            </w:pPr>
            <w:r w:rsidRPr="005E3B43">
              <w:t>(B) brain;</w:t>
            </w:r>
          </w:p>
          <w:p w14:paraId="41E7D221" w14:textId="77777777" w:rsidR="004F7F14" w:rsidRPr="005E3B43" w:rsidRDefault="004F7F14" w:rsidP="00763BCF">
            <w:pPr>
              <w:pStyle w:val="TableAA"/>
            </w:pPr>
            <w:r w:rsidRPr="005E3B43">
              <w:t>(C) cerebrospinal fluid;</w:t>
            </w:r>
          </w:p>
          <w:p w14:paraId="757510BB" w14:textId="77777777" w:rsidR="004F7F14" w:rsidRPr="005E3B43" w:rsidRDefault="004F7F14" w:rsidP="00763BCF">
            <w:pPr>
              <w:pStyle w:val="TableAA"/>
            </w:pPr>
            <w:r w:rsidRPr="005E3B43">
              <w:t>(D) dura mater;</w:t>
            </w:r>
          </w:p>
          <w:p w14:paraId="270FC07C" w14:textId="77777777" w:rsidR="004F7F14" w:rsidRPr="005E3B43" w:rsidRDefault="004F7F14" w:rsidP="00763BCF">
            <w:pPr>
              <w:pStyle w:val="TableAA"/>
              <w:keepNext/>
              <w:keepLines/>
            </w:pPr>
            <w:r w:rsidRPr="005E3B43">
              <w:t>(E) eye;</w:t>
            </w:r>
          </w:p>
          <w:p w14:paraId="225813EA" w14:textId="77777777" w:rsidR="004F7F14" w:rsidRPr="005E3B43" w:rsidRDefault="004F7F14" w:rsidP="00763BCF">
            <w:pPr>
              <w:pStyle w:val="TableAA"/>
              <w:keepNext/>
              <w:keepLines/>
            </w:pPr>
            <w:r w:rsidRPr="005E3B43">
              <w:t>(F) ileum;</w:t>
            </w:r>
          </w:p>
          <w:p w14:paraId="2800BAB2" w14:textId="77777777" w:rsidR="004F7F14" w:rsidRPr="005E3B43" w:rsidRDefault="004F7F14" w:rsidP="00763BCF">
            <w:pPr>
              <w:pStyle w:val="TableAA"/>
              <w:keepNext/>
              <w:keepLines/>
            </w:pPr>
            <w:r w:rsidRPr="005E3B43">
              <w:t>(G) lymph nodes;</w:t>
            </w:r>
          </w:p>
          <w:p w14:paraId="3F070B77" w14:textId="77777777" w:rsidR="004F7F14" w:rsidRPr="005E3B43" w:rsidRDefault="004F7F14" w:rsidP="00763BCF">
            <w:pPr>
              <w:pStyle w:val="TableAA"/>
              <w:keepNext/>
              <w:keepLines/>
            </w:pPr>
            <w:r w:rsidRPr="005E3B43">
              <w:lastRenderedPageBreak/>
              <w:t>(H) pineal gland;</w:t>
            </w:r>
          </w:p>
        </w:tc>
      </w:tr>
      <w:tr w:rsidR="004F7F14" w:rsidRPr="005E3B43" w14:paraId="344F8B25" w14:textId="77777777" w:rsidTr="005A786D">
        <w:tc>
          <w:tcPr>
            <w:tcW w:w="672" w:type="pct"/>
            <w:tcBorders>
              <w:top w:val="nil"/>
              <w:bottom w:val="nil"/>
            </w:tcBorders>
            <w:shd w:val="clear" w:color="auto" w:fill="auto"/>
          </w:tcPr>
          <w:p w14:paraId="68E10E2E" w14:textId="77777777" w:rsidR="004F7F14" w:rsidRPr="005E3B43" w:rsidRDefault="004F7F14" w:rsidP="00763BCF">
            <w:pPr>
              <w:pStyle w:val="Tabletext"/>
            </w:pPr>
          </w:p>
        </w:tc>
        <w:tc>
          <w:tcPr>
            <w:tcW w:w="4328" w:type="pct"/>
            <w:tcBorders>
              <w:top w:val="nil"/>
              <w:bottom w:val="nil"/>
            </w:tcBorders>
            <w:shd w:val="clear" w:color="auto" w:fill="auto"/>
          </w:tcPr>
          <w:p w14:paraId="1CE9FAD7" w14:textId="77777777" w:rsidR="004F7F14" w:rsidRPr="005E3B43" w:rsidRDefault="004F7F14" w:rsidP="00763BCF">
            <w:pPr>
              <w:pStyle w:val="TableAA"/>
              <w:keepNext/>
              <w:keepLines/>
            </w:pPr>
            <w:r w:rsidRPr="005E3B43">
              <w:t>(I) pituitary;</w:t>
            </w:r>
          </w:p>
          <w:p w14:paraId="5748D4CF" w14:textId="77777777" w:rsidR="004F7F14" w:rsidRPr="005E3B43" w:rsidRDefault="004F7F14" w:rsidP="00763BCF">
            <w:pPr>
              <w:pStyle w:val="TableAA"/>
              <w:keepNext/>
              <w:keepLines/>
            </w:pPr>
            <w:r w:rsidRPr="005E3B43">
              <w:t>(J) placenta;</w:t>
            </w:r>
          </w:p>
          <w:p w14:paraId="2018E6B6" w14:textId="77777777" w:rsidR="004F7F14" w:rsidRPr="005E3B43" w:rsidRDefault="004F7F14" w:rsidP="00763BCF">
            <w:pPr>
              <w:pStyle w:val="TableAA"/>
              <w:keepNext/>
              <w:keepLines/>
            </w:pPr>
            <w:r w:rsidRPr="005E3B43">
              <w:t>(K) proximal colon;</w:t>
            </w:r>
          </w:p>
          <w:p w14:paraId="7657A1F7" w14:textId="77777777" w:rsidR="004F7F14" w:rsidRPr="005E3B43" w:rsidRDefault="004F7F14" w:rsidP="00763BCF">
            <w:pPr>
              <w:pStyle w:val="TableAA"/>
              <w:keepNext/>
              <w:keepLines/>
            </w:pPr>
            <w:r w:rsidRPr="005E3B43">
              <w:t>(L) spinal cord;</w:t>
            </w:r>
          </w:p>
          <w:p w14:paraId="1AED765F" w14:textId="77777777" w:rsidR="004F7F14" w:rsidRPr="005E3B43" w:rsidRDefault="004F7F14" w:rsidP="00763BCF">
            <w:pPr>
              <w:pStyle w:val="TableAA"/>
              <w:keepNext/>
              <w:keepLines/>
            </w:pPr>
            <w:r w:rsidRPr="005E3B43">
              <w:t>(M) spleen;</w:t>
            </w:r>
          </w:p>
          <w:p w14:paraId="22E2D4E2" w14:textId="77777777" w:rsidR="004F7F14" w:rsidRPr="005E3B43" w:rsidRDefault="004F7F14" w:rsidP="00763BCF">
            <w:pPr>
              <w:pStyle w:val="TableAA"/>
              <w:keepNext/>
              <w:keepLines/>
            </w:pPr>
            <w:r w:rsidRPr="005E3B43">
              <w:t>(N) tonsil;</w:t>
            </w:r>
          </w:p>
          <w:p w14:paraId="730DA8AE" w14:textId="4F6EB606" w:rsidR="004F7F14" w:rsidRPr="005E3B43" w:rsidRDefault="004F7F14" w:rsidP="00763BCF">
            <w:pPr>
              <w:pStyle w:val="Tablea"/>
              <w:keepNext/>
              <w:keepLines/>
            </w:pPr>
            <w:r w:rsidRPr="005E3B43">
              <w:t>(c) unmedicated anti</w:t>
            </w:r>
            <w:r w:rsidR="007C3215">
              <w:noBreakHyphen/>
            </w:r>
            <w:r w:rsidRPr="005E3B43">
              <w:t>acne preparations having only a cleansing action or purpose;</w:t>
            </w:r>
          </w:p>
          <w:p w14:paraId="6E0D1F75" w14:textId="77777777" w:rsidR="004F7F14" w:rsidRPr="005E3B43" w:rsidRDefault="004F7F14" w:rsidP="00763BCF">
            <w:pPr>
              <w:pStyle w:val="Tablea"/>
              <w:keepNext/>
              <w:keepLines/>
              <w:rPr>
                <w:szCs w:val="22"/>
              </w:rPr>
            </w:pPr>
            <w:r w:rsidRPr="005E3B43">
              <w:t>(d) medicated insect repellents for dermal use if the medication consists solely of an antiseptic having a secondary role in the formulation, except those that are included in a Schedule to the Poisons Standard;</w:t>
            </w:r>
          </w:p>
          <w:p w14:paraId="087CBC46" w14:textId="3940D4C4" w:rsidR="004F7F14" w:rsidRPr="005E3B43" w:rsidRDefault="004F7F14" w:rsidP="00A76329">
            <w:pPr>
              <w:pStyle w:val="Tablea"/>
            </w:pPr>
            <w:r w:rsidRPr="005E3B43">
              <w:t xml:space="preserve">(f) disinfectants, except </w:t>
            </w:r>
            <w:r w:rsidRPr="005E3B43">
              <w:rPr>
                <w:szCs w:val="22"/>
              </w:rPr>
              <w:t xml:space="preserve">those described in </w:t>
            </w:r>
            <w:r w:rsidR="007C3215">
              <w:rPr>
                <w:szCs w:val="22"/>
              </w:rPr>
              <w:t>item 1</w:t>
            </w:r>
            <w:r w:rsidRPr="005E3B43">
              <w:rPr>
                <w:szCs w:val="22"/>
              </w:rPr>
              <w:t xml:space="preserve">6 in </w:t>
            </w:r>
            <w:r w:rsidR="00CD7905" w:rsidRPr="005E3B43">
              <w:t>Schedule 4</w:t>
            </w:r>
          </w:p>
        </w:tc>
      </w:tr>
      <w:tr w:rsidR="004F7F14" w:rsidRPr="005E3B43" w:rsidDel="000E647F" w14:paraId="3442A003" w14:textId="77777777" w:rsidTr="004B38A5">
        <w:trPr>
          <w:cantSplit/>
        </w:trPr>
        <w:tc>
          <w:tcPr>
            <w:tcW w:w="672" w:type="pct"/>
            <w:tcBorders>
              <w:top w:val="single" w:sz="4" w:space="0" w:color="auto"/>
              <w:bottom w:val="single" w:sz="4" w:space="0" w:color="auto"/>
            </w:tcBorders>
            <w:shd w:val="clear" w:color="auto" w:fill="auto"/>
          </w:tcPr>
          <w:p w14:paraId="6A99C961" w14:textId="77777777" w:rsidR="004F7F14" w:rsidRPr="005E3B43" w:rsidRDefault="004F7F14" w:rsidP="00763BCF">
            <w:pPr>
              <w:pStyle w:val="Tabletext"/>
            </w:pPr>
            <w:r w:rsidRPr="005E3B43">
              <w:t>8A</w:t>
            </w:r>
          </w:p>
        </w:tc>
        <w:tc>
          <w:tcPr>
            <w:tcW w:w="4328" w:type="pct"/>
            <w:tcBorders>
              <w:top w:val="single" w:sz="4" w:space="0" w:color="auto"/>
              <w:bottom w:val="single" w:sz="4" w:space="0" w:color="auto"/>
            </w:tcBorders>
            <w:shd w:val="clear" w:color="auto" w:fill="auto"/>
          </w:tcPr>
          <w:p w14:paraId="28CF7E42" w14:textId="77777777" w:rsidR="004F7F14" w:rsidRPr="005E3B43" w:rsidRDefault="004F7F14" w:rsidP="00763BCF">
            <w:pPr>
              <w:pStyle w:val="Tabletext"/>
            </w:pPr>
            <w:r w:rsidRPr="005E3B43">
              <w:t>Lotions, shampoos or hairdressings for the prevention or treatment of dandruff, except those that:</w:t>
            </w:r>
          </w:p>
          <w:p w14:paraId="3B2B72A8" w14:textId="77777777" w:rsidR="004F7F14" w:rsidRPr="005E3B43" w:rsidRDefault="004F7F14" w:rsidP="00763BCF">
            <w:pPr>
              <w:pStyle w:val="Tablea"/>
            </w:pPr>
            <w:r w:rsidRPr="005E3B43">
              <w:t>(a) are included in a Schedule to the Poisons Standard; or</w:t>
            </w:r>
          </w:p>
          <w:p w14:paraId="0CDA7837" w14:textId="77777777" w:rsidR="004F7F14" w:rsidRPr="005E3B43" w:rsidRDefault="004F7F14" w:rsidP="00763BCF">
            <w:pPr>
              <w:pStyle w:val="Tablea"/>
            </w:pPr>
            <w:r w:rsidRPr="005E3B43">
              <w:t>(b) are also for the treatment, cure, prevention, diagnosis or monitoring of, or testing susceptibility of persons to, another disease, condition, ailment or defect</w:t>
            </w:r>
          </w:p>
        </w:tc>
      </w:tr>
      <w:tr w:rsidR="004F7F14" w:rsidRPr="005E3B43" w:rsidDel="000E647F" w14:paraId="7F06A010" w14:textId="77777777" w:rsidTr="005A786D">
        <w:tc>
          <w:tcPr>
            <w:tcW w:w="672" w:type="pct"/>
            <w:tcBorders>
              <w:top w:val="single" w:sz="4" w:space="0" w:color="auto"/>
              <w:bottom w:val="single" w:sz="4" w:space="0" w:color="auto"/>
            </w:tcBorders>
            <w:shd w:val="clear" w:color="auto" w:fill="auto"/>
          </w:tcPr>
          <w:p w14:paraId="7B01583F" w14:textId="77777777" w:rsidR="004F7F14" w:rsidRPr="005E3B43" w:rsidRDefault="004F7F14" w:rsidP="00763BCF">
            <w:pPr>
              <w:pStyle w:val="Tabletext"/>
            </w:pPr>
            <w:r w:rsidRPr="005E3B43">
              <w:rPr>
                <w:lang w:eastAsia="en-US"/>
              </w:rPr>
              <w:t>8B</w:t>
            </w:r>
          </w:p>
        </w:tc>
        <w:tc>
          <w:tcPr>
            <w:tcW w:w="4328" w:type="pct"/>
            <w:tcBorders>
              <w:top w:val="single" w:sz="4" w:space="0" w:color="auto"/>
              <w:bottom w:val="single" w:sz="4" w:space="0" w:color="auto"/>
            </w:tcBorders>
            <w:shd w:val="clear" w:color="auto" w:fill="auto"/>
          </w:tcPr>
          <w:p w14:paraId="7DA35BD3" w14:textId="77777777" w:rsidR="004F7F14" w:rsidRPr="005E3B43" w:rsidRDefault="004F7F14" w:rsidP="00763BCF">
            <w:pPr>
              <w:pStyle w:val="Tabletext"/>
            </w:pPr>
            <w:r w:rsidRPr="005E3B43">
              <w:rPr>
                <w:lang w:eastAsia="en-US"/>
              </w:rPr>
              <w:t>unmedicated preparations for topical use for protecting against, or providing relief from, nappy rash symptoms by acting only as a barrier for the skin (whether or not the preparations also have a moisturising action)</w:t>
            </w:r>
          </w:p>
        </w:tc>
      </w:tr>
      <w:tr w:rsidR="004F7F14" w:rsidRPr="005E3B43" w:rsidDel="000E647F" w14:paraId="68B5DBDA" w14:textId="77777777" w:rsidTr="005A786D">
        <w:tc>
          <w:tcPr>
            <w:tcW w:w="672" w:type="pct"/>
            <w:tcBorders>
              <w:top w:val="single" w:sz="4" w:space="0" w:color="auto"/>
              <w:bottom w:val="single" w:sz="4" w:space="0" w:color="auto"/>
            </w:tcBorders>
            <w:shd w:val="clear" w:color="auto" w:fill="auto"/>
          </w:tcPr>
          <w:p w14:paraId="3C37941A" w14:textId="77777777" w:rsidR="004F7F14" w:rsidRPr="005E3B43" w:rsidDel="000E647F" w:rsidRDefault="004F7F14" w:rsidP="00763BCF">
            <w:pPr>
              <w:pStyle w:val="Tabletext"/>
            </w:pPr>
            <w:r w:rsidRPr="005E3B43">
              <w:t>9</w:t>
            </w:r>
          </w:p>
        </w:tc>
        <w:tc>
          <w:tcPr>
            <w:tcW w:w="4328" w:type="pct"/>
            <w:tcBorders>
              <w:top w:val="single" w:sz="4" w:space="0" w:color="auto"/>
              <w:bottom w:val="single" w:sz="4" w:space="0" w:color="auto"/>
            </w:tcBorders>
            <w:shd w:val="clear" w:color="auto" w:fill="auto"/>
          </w:tcPr>
          <w:p w14:paraId="3B3980E3" w14:textId="77777777" w:rsidR="004F7F14" w:rsidRPr="005E3B43" w:rsidRDefault="004F7F14" w:rsidP="00763BCF">
            <w:pPr>
              <w:pStyle w:val="Tabletext"/>
            </w:pPr>
            <w:r w:rsidRPr="005E3B43">
              <w:t>Starting materials that are ingredients or components for use in the manufacture of therapeutic goods, except when:</w:t>
            </w:r>
          </w:p>
          <w:p w14:paraId="28125D55" w14:textId="77777777" w:rsidR="004F7F14" w:rsidRPr="005E3B43" w:rsidRDefault="004F7F14" w:rsidP="00763BCF">
            <w:pPr>
              <w:pStyle w:val="Tablea"/>
            </w:pPr>
            <w:r w:rsidRPr="005E3B43">
              <w:t>(a) prepackaged for supply for other therapeutic purposes; or</w:t>
            </w:r>
          </w:p>
          <w:p w14:paraId="639349B0" w14:textId="77777777" w:rsidR="0075224A" w:rsidRPr="005E3B43" w:rsidRDefault="004F7F14" w:rsidP="0075224A">
            <w:pPr>
              <w:pStyle w:val="Tablea"/>
            </w:pPr>
            <w:r w:rsidRPr="005E3B43">
              <w:t>(b) formulated as a dosage form</w:t>
            </w:r>
            <w:r w:rsidR="0075224A" w:rsidRPr="005E3B43">
              <w:t>; or</w:t>
            </w:r>
          </w:p>
          <w:p w14:paraId="247ECD8A" w14:textId="77777777" w:rsidR="0075224A" w:rsidRPr="005E3B43" w:rsidRDefault="0075224A" w:rsidP="0075224A">
            <w:pPr>
              <w:pStyle w:val="Tablea"/>
            </w:pPr>
            <w:r w:rsidRPr="005E3B43">
              <w:t>(c) the starting materials are nicotine in solution imported for use as an ingredient in a therapeutic good; or</w:t>
            </w:r>
          </w:p>
          <w:p w14:paraId="2F9FF07D" w14:textId="77777777" w:rsidR="0075224A" w:rsidRPr="005E3B43" w:rsidRDefault="0075224A" w:rsidP="0075224A">
            <w:pPr>
              <w:pStyle w:val="Tablea"/>
            </w:pPr>
            <w:r w:rsidRPr="005E3B43">
              <w:t>(d) the starting materials are ingredients or components imported for use in the manufacture of:</w:t>
            </w:r>
          </w:p>
          <w:p w14:paraId="25D9BE95" w14:textId="77777777" w:rsidR="0075224A" w:rsidRPr="005E3B43" w:rsidRDefault="0075224A" w:rsidP="0075224A">
            <w:pPr>
              <w:pStyle w:val="Tablei"/>
            </w:pPr>
            <w:r w:rsidRPr="005E3B43">
              <w:t>(i) a therapeutic vaping substance; or</w:t>
            </w:r>
          </w:p>
          <w:p w14:paraId="2D71256F" w14:textId="77777777" w:rsidR="004F7F14" w:rsidRPr="005E3B43" w:rsidDel="000E647F" w:rsidRDefault="0075224A" w:rsidP="002954AD">
            <w:pPr>
              <w:pStyle w:val="Tablei"/>
            </w:pPr>
            <w:r w:rsidRPr="005E3B43">
              <w:t>(ii) a therapeutic vaping substance accessory</w:t>
            </w:r>
          </w:p>
        </w:tc>
      </w:tr>
      <w:tr w:rsidR="004F7F14" w:rsidRPr="005E3B43" w:rsidDel="000E647F" w14:paraId="7AC54E94" w14:textId="77777777" w:rsidTr="005A786D">
        <w:tc>
          <w:tcPr>
            <w:tcW w:w="672" w:type="pct"/>
            <w:tcBorders>
              <w:top w:val="single" w:sz="4" w:space="0" w:color="auto"/>
              <w:bottom w:val="single" w:sz="4" w:space="0" w:color="auto"/>
            </w:tcBorders>
            <w:shd w:val="clear" w:color="auto" w:fill="auto"/>
          </w:tcPr>
          <w:p w14:paraId="23C033CE" w14:textId="77777777" w:rsidR="004F7F14" w:rsidRPr="005E3B43" w:rsidDel="000E647F" w:rsidRDefault="004F7F14" w:rsidP="00763BCF">
            <w:pPr>
              <w:pStyle w:val="Tabletext"/>
            </w:pPr>
            <w:r w:rsidRPr="005E3B43">
              <w:t>10</w:t>
            </w:r>
          </w:p>
        </w:tc>
        <w:tc>
          <w:tcPr>
            <w:tcW w:w="4328" w:type="pct"/>
            <w:tcBorders>
              <w:top w:val="single" w:sz="4" w:space="0" w:color="auto"/>
              <w:bottom w:val="single" w:sz="4" w:space="0" w:color="auto"/>
            </w:tcBorders>
            <w:shd w:val="clear" w:color="auto" w:fill="auto"/>
          </w:tcPr>
          <w:p w14:paraId="1F90381C" w14:textId="77777777" w:rsidR="004F7F14" w:rsidRPr="005E3B43" w:rsidDel="000E647F" w:rsidRDefault="004F7F14" w:rsidP="00763BCF">
            <w:pPr>
              <w:pStyle w:val="Tabletext"/>
            </w:pPr>
            <w:r w:rsidRPr="005E3B43">
              <w:t>medicines that are blood and blood components manufactured by the holder of a licence to manufacture blood and blood components</w:t>
            </w:r>
          </w:p>
        </w:tc>
      </w:tr>
      <w:tr w:rsidR="004F7F14" w:rsidRPr="005E3B43" w14:paraId="44A04A4D" w14:textId="77777777" w:rsidTr="005A786D">
        <w:tc>
          <w:tcPr>
            <w:tcW w:w="672" w:type="pct"/>
            <w:tcBorders>
              <w:top w:val="single" w:sz="4" w:space="0" w:color="auto"/>
              <w:bottom w:val="single" w:sz="4" w:space="0" w:color="auto"/>
            </w:tcBorders>
            <w:shd w:val="clear" w:color="auto" w:fill="auto"/>
          </w:tcPr>
          <w:p w14:paraId="7E647DBF" w14:textId="77777777" w:rsidR="004F7F14" w:rsidRPr="005E3B43" w:rsidRDefault="004F7F14" w:rsidP="00763BCF">
            <w:pPr>
              <w:pStyle w:val="Tabletext"/>
            </w:pPr>
            <w:r w:rsidRPr="005E3B43">
              <w:t>11</w:t>
            </w:r>
          </w:p>
        </w:tc>
        <w:tc>
          <w:tcPr>
            <w:tcW w:w="4328" w:type="pct"/>
            <w:tcBorders>
              <w:top w:val="single" w:sz="4" w:space="0" w:color="auto"/>
              <w:bottom w:val="single" w:sz="4" w:space="0" w:color="auto"/>
            </w:tcBorders>
            <w:shd w:val="clear" w:color="auto" w:fill="auto"/>
          </w:tcPr>
          <w:p w14:paraId="7038FD7F" w14:textId="77777777" w:rsidR="004F7F14" w:rsidRPr="005E3B43" w:rsidRDefault="004F7F14" w:rsidP="00763BCF">
            <w:pPr>
              <w:pStyle w:val="Tabletext"/>
            </w:pPr>
            <w:r w:rsidRPr="005E3B43">
              <w:t>therapeutic goods:</w:t>
            </w:r>
          </w:p>
          <w:p w14:paraId="5561EDBE" w14:textId="5FE3DAD1" w:rsidR="004F7F14" w:rsidRPr="005E3B43" w:rsidRDefault="004F7F14" w:rsidP="00763BCF">
            <w:pPr>
              <w:pStyle w:val="Tablea"/>
              <w:rPr>
                <w:rFonts w:eastAsiaTheme="minorHAnsi" w:cstheme="minorBidi"/>
                <w:lang w:eastAsia="en-US"/>
              </w:rPr>
            </w:pPr>
            <w:r w:rsidRPr="005E3B43">
              <w:t xml:space="preserve">(a) in relation to the importation of which a permission, licence or declaration under regulation 5A, 5B or 5C of the </w:t>
            </w:r>
            <w:r w:rsidR="00845C48" w:rsidRPr="005E3B43">
              <w:rPr>
                <w:i/>
              </w:rPr>
              <w:t xml:space="preserve">Customs (Prohibited Imports) </w:t>
            </w:r>
            <w:r w:rsidR="007C3215">
              <w:rPr>
                <w:i/>
              </w:rPr>
              <w:t>Regulations 1</w:t>
            </w:r>
            <w:r w:rsidR="00845C48" w:rsidRPr="005E3B43">
              <w:rPr>
                <w:i/>
              </w:rPr>
              <w:t>956</w:t>
            </w:r>
            <w:r w:rsidRPr="005E3B43">
              <w:t xml:space="preserve"> granted or made before the commencement of the Act is in force; and</w:t>
            </w:r>
          </w:p>
          <w:p w14:paraId="28EA6E90" w14:textId="77777777" w:rsidR="004F7F14" w:rsidRPr="005E3B43" w:rsidRDefault="004F7F14" w:rsidP="00763BCF">
            <w:pPr>
              <w:pStyle w:val="Tablea"/>
              <w:rPr>
                <w:rFonts w:eastAsiaTheme="minorHAnsi" w:cstheme="minorBidi"/>
                <w:lang w:eastAsia="en-US"/>
              </w:rPr>
            </w:pPr>
            <w:r w:rsidRPr="005E3B43">
              <w:t>(b) which are supplied in Australia for use in humans not more than 6 months after the commencement of the Act</w:t>
            </w:r>
          </w:p>
        </w:tc>
      </w:tr>
      <w:tr w:rsidR="004F7F14" w:rsidRPr="005E3B43" w14:paraId="69DA9268" w14:textId="77777777" w:rsidTr="005A786D">
        <w:tc>
          <w:tcPr>
            <w:tcW w:w="672" w:type="pct"/>
            <w:tcBorders>
              <w:top w:val="single" w:sz="4" w:space="0" w:color="auto"/>
              <w:bottom w:val="single" w:sz="4" w:space="0" w:color="auto"/>
            </w:tcBorders>
            <w:shd w:val="clear" w:color="auto" w:fill="auto"/>
          </w:tcPr>
          <w:p w14:paraId="544F4A75" w14:textId="77777777" w:rsidR="004F7F14" w:rsidRPr="005E3B43" w:rsidRDefault="004F7F14" w:rsidP="00763BCF">
            <w:pPr>
              <w:pStyle w:val="Tabletext"/>
            </w:pPr>
            <w:r w:rsidRPr="005E3B43">
              <w:t>12</w:t>
            </w:r>
          </w:p>
        </w:tc>
        <w:tc>
          <w:tcPr>
            <w:tcW w:w="4328" w:type="pct"/>
            <w:tcBorders>
              <w:top w:val="single" w:sz="4" w:space="0" w:color="auto"/>
              <w:bottom w:val="single" w:sz="4" w:space="0" w:color="auto"/>
            </w:tcBorders>
            <w:shd w:val="clear" w:color="auto" w:fill="auto"/>
          </w:tcPr>
          <w:p w14:paraId="00E84638" w14:textId="77777777" w:rsidR="004F7F14" w:rsidRPr="005E3B43" w:rsidRDefault="004F7F14" w:rsidP="00763BCF">
            <w:pPr>
              <w:pStyle w:val="Tabletext"/>
            </w:pPr>
            <w:r w:rsidRPr="005E3B43">
              <w:t>allergens for skin patch testing on unbroken skin, whether or not the allergen is also described in an item in Schedule 3 or 4</w:t>
            </w:r>
          </w:p>
        </w:tc>
      </w:tr>
      <w:tr w:rsidR="004F7F14" w:rsidRPr="005E3B43" w14:paraId="7BF5B977" w14:textId="77777777" w:rsidTr="005A786D">
        <w:tc>
          <w:tcPr>
            <w:tcW w:w="672" w:type="pct"/>
            <w:tcBorders>
              <w:top w:val="single" w:sz="4" w:space="0" w:color="auto"/>
              <w:bottom w:val="single" w:sz="4" w:space="0" w:color="auto"/>
            </w:tcBorders>
            <w:shd w:val="clear" w:color="auto" w:fill="auto"/>
          </w:tcPr>
          <w:p w14:paraId="012F853D" w14:textId="77777777" w:rsidR="004F7F14" w:rsidRPr="005E3B43" w:rsidRDefault="004F7F14" w:rsidP="00763BCF">
            <w:pPr>
              <w:pStyle w:val="Tabletext"/>
            </w:pPr>
            <w:r w:rsidRPr="005E3B43">
              <w:t>13</w:t>
            </w:r>
          </w:p>
        </w:tc>
        <w:tc>
          <w:tcPr>
            <w:tcW w:w="4328" w:type="pct"/>
            <w:tcBorders>
              <w:top w:val="single" w:sz="4" w:space="0" w:color="auto"/>
              <w:bottom w:val="single" w:sz="4" w:space="0" w:color="auto"/>
            </w:tcBorders>
            <w:shd w:val="clear" w:color="auto" w:fill="auto"/>
          </w:tcPr>
          <w:p w14:paraId="171731DB" w14:textId="77777777" w:rsidR="004F7F14" w:rsidRPr="005E3B43" w:rsidRDefault="004F7F14" w:rsidP="00763BCF">
            <w:pPr>
              <w:pStyle w:val="Tabletext"/>
            </w:pPr>
            <w:r w:rsidRPr="005E3B43">
              <w:t>radiopharmaceutical cold kits that are:</w:t>
            </w:r>
          </w:p>
          <w:p w14:paraId="6FE056FA" w14:textId="77777777" w:rsidR="004F7F14" w:rsidRPr="005E3B43" w:rsidRDefault="004F7F14" w:rsidP="00763BCF">
            <w:pPr>
              <w:pStyle w:val="Tablea"/>
            </w:pPr>
            <w:r w:rsidRPr="005E3B43">
              <w:t>(a) containers of sterile reagents to which radioisotope is added immediately before injection into patients; and</w:t>
            </w:r>
          </w:p>
          <w:p w14:paraId="0C75B7E9" w14:textId="77777777" w:rsidR="004F7F14" w:rsidRPr="005E3B43" w:rsidRDefault="004F7F14" w:rsidP="00763BCF">
            <w:pPr>
              <w:pStyle w:val="Tablea"/>
            </w:pPr>
            <w:r w:rsidRPr="005E3B43">
              <w:t xml:space="preserve">(b) manufactured by a radiochemist or a pharmacist in a public or private hospital for subsequent extemporaneous compounding and dispensing for use by, or in </w:t>
            </w:r>
            <w:r w:rsidRPr="005E3B43">
              <w:lastRenderedPageBreak/>
              <w:t>connection with:</w:t>
            </w:r>
          </w:p>
          <w:p w14:paraId="1B1D23EA" w14:textId="77777777" w:rsidR="004F7F14" w:rsidRPr="005E3B43" w:rsidRDefault="004F7F14" w:rsidP="00763BCF">
            <w:pPr>
              <w:pStyle w:val="Tablei"/>
            </w:pPr>
            <w:r w:rsidRPr="005E3B43">
              <w:t>(i) a patient of that hospital; or</w:t>
            </w:r>
          </w:p>
          <w:p w14:paraId="47F7794F" w14:textId="77777777" w:rsidR="004F7F14" w:rsidRPr="005E3B43" w:rsidRDefault="004F7F14" w:rsidP="00763BCF">
            <w:pPr>
              <w:pStyle w:val="Tablei"/>
              <w:rPr>
                <w:szCs w:val="22"/>
              </w:rPr>
            </w:pPr>
            <w:r w:rsidRPr="005E3B43">
              <w:rPr>
                <w:szCs w:val="22"/>
              </w:rPr>
              <w:t>(ii) a patient of another public or private hospital in the same State or Territory</w:t>
            </w:r>
          </w:p>
        </w:tc>
      </w:tr>
      <w:tr w:rsidR="004F7F14" w:rsidRPr="005E3B43" w14:paraId="72DAC283" w14:textId="77777777" w:rsidTr="005A786D">
        <w:tc>
          <w:tcPr>
            <w:tcW w:w="672" w:type="pct"/>
            <w:tcBorders>
              <w:top w:val="single" w:sz="4" w:space="0" w:color="auto"/>
              <w:bottom w:val="single" w:sz="12" w:space="0" w:color="auto"/>
            </w:tcBorders>
            <w:shd w:val="clear" w:color="auto" w:fill="auto"/>
          </w:tcPr>
          <w:p w14:paraId="1CD90E68" w14:textId="77777777" w:rsidR="004F7F14" w:rsidRPr="005E3B43" w:rsidRDefault="004F7F14" w:rsidP="00763BCF">
            <w:pPr>
              <w:pStyle w:val="Tabletext"/>
            </w:pPr>
            <w:r w:rsidRPr="005E3B43">
              <w:lastRenderedPageBreak/>
              <w:t>14</w:t>
            </w:r>
          </w:p>
        </w:tc>
        <w:tc>
          <w:tcPr>
            <w:tcW w:w="4328" w:type="pct"/>
            <w:tcBorders>
              <w:top w:val="single" w:sz="4" w:space="0" w:color="auto"/>
              <w:bottom w:val="single" w:sz="12" w:space="0" w:color="auto"/>
            </w:tcBorders>
            <w:shd w:val="clear" w:color="auto" w:fill="auto"/>
          </w:tcPr>
          <w:p w14:paraId="4E0A6F24" w14:textId="77777777" w:rsidR="004F7F14" w:rsidRPr="005E3B43" w:rsidRDefault="004F7F14" w:rsidP="00763BCF">
            <w:pPr>
              <w:pStyle w:val="Tablea"/>
            </w:pPr>
            <w:r w:rsidRPr="005E3B43">
              <w:t>(a) tampons; and</w:t>
            </w:r>
          </w:p>
          <w:p w14:paraId="01569D3C" w14:textId="77777777" w:rsidR="004F7F14" w:rsidRPr="005E3B43" w:rsidRDefault="004F7F14" w:rsidP="00763BCF">
            <w:pPr>
              <w:pStyle w:val="Tabletext"/>
            </w:pPr>
            <w:r w:rsidRPr="005E3B43">
              <w:t>(b) menstrual cups</w:t>
            </w:r>
          </w:p>
        </w:tc>
      </w:tr>
    </w:tbl>
    <w:p w14:paraId="4D6512E0" w14:textId="273AA08E" w:rsidR="0051489A" w:rsidRPr="005E3B43" w:rsidRDefault="0051489A" w:rsidP="00763BCF">
      <w:pPr>
        <w:pStyle w:val="ActHead1"/>
        <w:pageBreakBefore/>
        <w:spacing w:before="240"/>
      </w:pPr>
      <w:bookmarkStart w:id="412" w:name="_Toc187136002"/>
      <w:r w:rsidRPr="005E3B43">
        <w:rPr>
          <w:rStyle w:val="CharChapNo"/>
        </w:rPr>
        <w:lastRenderedPageBreak/>
        <w:t>Schedule</w:t>
      </w:r>
      <w:r w:rsidR="004E6D00" w:rsidRPr="005E3B43">
        <w:rPr>
          <w:rStyle w:val="CharChapNo"/>
        </w:rPr>
        <w:t> </w:t>
      </w:r>
      <w:r w:rsidRPr="005E3B43">
        <w:rPr>
          <w:rStyle w:val="CharChapNo"/>
        </w:rPr>
        <w:t>5A</w:t>
      </w:r>
      <w:r w:rsidR="00E20BA4" w:rsidRPr="005E3B43">
        <w:t>—</w:t>
      </w:r>
      <w:r w:rsidRPr="005E3B43">
        <w:rPr>
          <w:rStyle w:val="CharChapText"/>
        </w:rPr>
        <w:t>Therapeutic goods exempt from operation of Parts</w:t>
      </w:r>
      <w:r w:rsidR="004E6D00" w:rsidRPr="005E3B43">
        <w:rPr>
          <w:rStyle w:val="CharChapText"/>
        </w:rPr>
        <w:t> </w:t>
      </w:r>
      <w:r w:rsidRPr="005E3B43">
        <w:rPr>
          <w:rStyle w:val="CharChapText"/>
        </w:rPr>
        <w:t>3</w:t>
      </w:r>
      <w:r w:rsidR="007C3215">
        <w:rPr>
          <w:rStyle w:val="CharChapText"/>
        </w:rPr>
        <w:noBreakHyphen/>
      </w:r>
      <w:r w:rsidRPr="005E3B43">
        <w:rPr>
          <w:rStyle w:val="CharChapText"/>
        </w:rPr>
        <w:t>2 and 3</w:t>
      </w:r>
      <w:r w:rsidR="007C3215">
        <w:rPr>
          <w:rStyle w:val="CharChapText"/>
        </w:rPr>
        <w:noBreakHyphen/>
      </w:r>
      <w:r w:rsidRPr="005E3B43">
        <w:rPr>
          <w:rStyle w:val="CharChapText"/>
        </w:rPr>
        <w:t>2A of Act subject to conditions</w:t>
      </w:r>
      <w:bookmarkEnd w:id="412"/>
    </w:p>
    <w:p w14:paraId="39920759" w14:textId="77777777" w:rsidR="0051489A" w:rsidRPr="005E3B43" w:rsidRDefault="0051489A" w:rsidP="00763BCF">
      <w:pPr>
        <w:pStyle w:val="notemargin"/>
      </w:pPr>
      <w:r w:rsidRPr="005E3B43">
        <w:t>(</w:t>
      </w:r>
      <w:r w:rsidR="00B30D24" w:rsidRPr="005E3B43">
        <w:t>subregulations 1</w:t>
      </w:r>
      <w:r w:rsidRPr="005E3B43">
        <w:t>2(2) and (3))</w:t>
      </w:r>
    </w:p>
    <w:p w14:paraId="3230B15B" w14:textId="77777777" w:rsidR="0051489A" w:rsidRPr="005E3B43" w:rsidRDefault="00E20BA4" w:rsidP="00763BCF">
      <w:pPr>
        <w:pStyle w:val="Header"/>
      </w:pPr>
      <w:r w:rsidRPr="005E3B43">
        <w:rPr>
          <w:rStyle w:val="CharPartNo"/>
        </w:rPr>
        <w:t xml:space="preserve"> </w:t>
      </w:r>
      <w:r w:rsidRPr="005E3B43">
        <w:rPr>
          <w:rStyle w:val="CharPartText"/>
        </w:rPr>
        <w:t xml:space="preserve"> </w:t>
      </w:r>
    </w:p>
    <w:p w14:paraId="1110C99A" w14:textId="77777777" w:rsidR="004B00FF" w:rsidRPr="005E3B43" w:rsidRDefault="004B00FF"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085"/>
        <w:gridCol w:w="2990"/>
        <w:gridCol w:w="4454"/>
      </w:tblGrid>
      <w:tr w:rsidR="00207B1C" w:rsidRPr="005E3B43" w14:paraId="75814FFE" w14:textId="77777777" w:rsidTr="004B7D53">
        <w:trPr>
          <w:tblHeader/>
        </w:trPr>
        <w:tc>
          <w:tcPr>
            <w:tcW w:w="636" w:type="pct"/>
            <w:tcBorders>
              <w:top w:val="single" w:sz="12" w:space="0" w:color="auto"/>
              <w:bottom w:val="single" w:sz="12" w:space="0" w:color="auto"/>
            </w:tcBorders>
            <w:shd w:val="clear" w:color="auto" w:fill="auto"/>
          </w:tcPr>
          <w:p w14:paraId="4C12CEBE" w14:textId="77777777" w:rsidR="00207B1C" w:rsidRPr="005E3B43" w:rsidRDefault="00207B1C" w:rsidP="00763BCF">
            <w:pPr>
              <w:pStyle w:val="TableHeading"/>
              <w:ind w:right="-52"/>
            </w:pPr>
            <w:r w:rsidRPr="005E3B43">
              <w:t>Column 1</w:t>
            </w:r>
            <w:r w:rsidRPr="005E3B43">
              <w:br/>
              <w:t>Item</w:t>
            </w:r>
          </w:p>
        </w:tc>
        <w:tc>
          <w:tcPr>
            <w:tcW w:w="1753" w:type="pct"/>
            <w:tcBorders>
              <w:top w:val="single" w:sz="12" w:space="0" w:color="auto"/>
              <w:bottom w:val="single" w:sz="12" w:space="0" w:color="auto"/>
            </w:tcBorders>
            <w:shd w:val="clear" w:color="auto" w:fill="auto"/>
          </w:tcPr>
          <w:p w14:paraId="089238E7" w14:textId="77777777" w:rsidR="00207B1C" w:rsidRPr="005E3B43" w:rsidRDefault="00207B1C" w:rsidP="00763BCF">
            <w:pPr>
              <w:pStyle w:val="TableHeading"/>
            </w:pPr>
            <w:r w:rsidRPr="005E3B43">
              <w:t>Column 2</w:t>
            </w:r>
            <w:r w:rsidRPr="005E3B43">
              <w:br/>
              <w:t>Therapeutic goods</w:t>
            </w:r>
          </w:p>
        </w:tc>
        <w:tc>
          <w:tcPr>
            <w:tcW w:w="2612" w:type="pct"/>
            <w:tcBorders>
              <w:top w:val="single" w:sz="12" w:space="0" w:color="auto"/>
              <w:bottom w:val="single" w:sz="12" w:space="0" w:color="auto"/>
            </w:tcBorders>
            <w:shd w:val="clear" w:color="auto" w:fill="auto"/>
          </w:tcPr>
          <w:p w14:paraId="6C9D9C47" w14:textId="77777777" w:rsidR="00207B1C" w:rsidRPr="005E3B43" w:rsidRDefault="00207B1C" w:rsidP="00763BCF">
            <w:pPr>
              <w:pStyle w:val="TableHeading"/>
            </w:pPr>
            <w:r w:rsidRPr="005E3B43">
              <w:t>Column 3</w:t>
            </w:r>
            <w:r w:rsidRPr="005E3B43">
              <w:br/>
              <w:t>Conditions</w:t>
            </w:r>
          </w:p>
        </w:tc>
      </w:tr>
      <w:tr w:rsidR="00FA69A7" w:rsidRPr="005E3B43" w:rsidDel="00496A9A" w14:paraId="6AC490A4" w14:textId="77777777" w:rsidTr="004B7D53">
        <w:trPr>
          <w:trHeight w:val="20"/>
        </w:trPr>
        <w:tc>
          <w:tcPr>
            <w:tcW w:w="636" w:type="pct"/>
            <w:tcBorders>
              <w:top w:val="single" w:sz="12" w:space="0" w:color="auto"/>
              <w:bottom w:val="single" w:sz="4" w:space="0" w:color="auto"/>
            </w:tcBorders>
            <w:shd w:val="clear" w:color="auto" w:fill="auto"/>
          </w:tcPr>
          <w:p w14:paraId="7CE6BB61" w14:textId="77777777" w:rsidR="00496A9A" w:rsidRPr="005E3B43" w:rsidDel="00496A9A" w:rsidRDefault="00496A9A" w:rsidP="00496A9A">
            <w:pPr>
              <w:pStyle w:val="Tabletext"/>
            </w:pPr>
            <w:r w:rsidRPr="005E3B43">
              <w:t>1</w:t>
            </w:r>
          </w:p>
        </w:tc>
        <w:tc>
          <w:tcPr>
            <w:tcW w:w="1753" w:type="pct"/>
            <w:tcBorders>
              <w:top w:val="single" w:sz="12" w:space="0" w:color="auto"/>
              <w:bottom w:val="single" w:sz="4" w:space="0" w:color="auto"/>
            </w:tcBorders>
            <w:shd w:val="clear" w:color="auto" w:fill="auto"/>
          </w:tcPr>
          <w:p w14:paraId="3AAF7F09" w14:textId="77777777" w:rsidR="00496A9A" w:rsidRPr="005E3B43" w:rsidRDefault="00496A9A" w:rsidP="00496A9A">
            <w:pPr>
              <w:pStyle w:val="Tabletext"/>
            </w:pPr>
            <w:r w:rsidRPr="005E3B43">
              <w:t>Therapeutic goods imported into Australia, if:</w:t>
            </w:r>
          </w:p>
          <w:p w14:paraId="79A94D6A" w14:textId="77777777" w:rsidR="00496A9A" w:rsidRPr="005E3B43" w:rsidRDefault="00496A9A" w:rsidP="00496A9A">
            <w:pPr>
              <w:pStyle w:val="Tablea"/>
            </w:pPr>
            <w:r w:rsidRPr="005E3B43">
              <w:t xml:space="preserve">(a) the goods </w:t>
            </w:r>
            <w:r w:rsidRPr="005E3B43">
              <w:rPr>
                <w:color w:val="000000"/>
              </w:rPr>
              <w:t>are</w:t>
            </w:r>
            <w:r w:rsidRPr="005E3B43">
              <w:t xml:space="preserve"> not any of the following:</w:t>
            </w:r>
          </w:p>
          <w:p w14:paraId="6F0BD0D8" w14:textId="77777777" w:rsidR="00496A9A" w:rsidRPr="005E3B43" w:rsidRDefault="00496A9A" w:rsidP="00496A9A">
            <w:pPr>
              <w:pStyle w:val="Tablei"/>
            </w:pPr>
            <w:r w:rsidRPr="005E3B43">
              <w:t>(i) disposable therapeutic vapes (other than disposable therapeutic vapes that are, or include, medicinal cannabis products);</w:t>
            </w:r>
          </w:p>
          <w:p w14:paraId="3357D9B1" w14:textId="77777777" w:rsidR="00496A9A" w:rsidRPr="005E3B43" w:rsidRDefault="00496A9A" w:rsidP="00496A9A">
            <w:pPr>
              <w:pStyle w:val="Tablei"/>
            </w:pPr>
            <w:r w:rsidRPr="005E3B43">
              <w:t xml:space="preserve">(ii) therapeutic vaping substances (other than therapeutic vaping substances that are </w:t>
            </w:r>
            <w:r w:rsidRPr="005E3B43">
              <w:rPr>
                <w:color w:val="000000"/>
              </w:rPr>
              <w:t>medicinal cannabis products)</w:t>
            </w:r>
            <w:r w:rsidRPr="005E3B43">
              <w:t>;</w:t>
            </w:r>
          </w:p>
          <w:p w14:paraId="4C473271" w14:textId="77777777" w:rsidR="00496A9A" w:rsidRPr="005E3B43" w:rsidRDefault="00496A9A" w:rsidP="00496A9A">
            <w:pPr>
              <w:pStyle w:val="Tablei"/>
            </w:pPr>
            <w:r w:rsidRPr="005E3B43">
              <w:t xml:space="preserve">(iii) therapeutic vaping substance accessories (other than therapeutic vaping substance accessories that are, or include, </w:t>
            </w:r>
            <w:r w:rsidRPr="005E3B43">
              <w:rPr>
                <w:color w:val="000000"/>
              </w:rPr>
              <w:t>medicinal cannabis products)</w:t>
            </w:r>
            <w:r w:rsidRPr="005E3B43">
              <w:t>;</w:t>
            </w:r>
          </w:p>
          <w:p w14:paraId="6266FC67" w14:textId="77777777" w:rsidR="00496A9A" w:rsidRPr="005E3B43" w:rsidRDefault="00496A9A" w:rsidP="00496A9A">
            <w:pPr>
              <w:pStyle w:val="Tablei"/>
            </w:pPr>
            <w:r w:rsidRPr="005E3B43">
              <w:t>(iv) a therapeutic vaping kit (other than a therapeutic vaping kit where each good in the kit is, or includes, a medicinal cannabis product);</w:t>
            </w:r>
          </w:p>
          <w:p w14:paraId="23EDF614" w14:textId="77777777" w:rsidR="00496A9A" w:rsidRPr="005E3B43" w:rsidRDefault="00496A9A" w:rsidP="00496A9A">
            <w:pPr>
              <w:pStyle w:val="Tablei"/>
            </w:pPr>
            <w:r w:rsidRPr="005E3B43">
              <w:t>(v) goods in a therapeutic vaping pack; and</w:t>
            </w:r>
          </w:p>
          <w:p w14:paraId="7B061E00" w14:textId="77777777" w:rsidR="00496A9A" w:rsidRPr="005E3B43" w:rsidRDefault="00496A9A" w:rsidP="00496A9A">
            <w:pPr>
              <w:pStyle w:val="Tablea"/>
            </w:pPr>
            <w:r w:rsidRPr="005E3B43">
              <w:t>(b) the goods are held under the direct control of the sponsor, until the goods are:</w:t>
            </w:r>
          </w:p>
          <w:p w14:paraId="34B9E3CE" w14:textId="77777777" w:rsidR="00496A9A" w:rsidRPr="005E3B43" w:rsidRDefault="00496A9A" w:rsidP="00496A9A">
            <w:pPr>
              <w:pStyle w:val="Tablei"/>
            </w:pPr>
            <w:r w:rsidRPr="005E3B43">
              <w:t xml:space="preserve">(i) the subject of a notification under </w:t>
            </w:r>
            <w:r w:rsidR="006B5D8E" w:rsidRPr="005E3B43">
              <w:t>item 3</w:t>
            </w:r>
            <w:r w:rsidRPr="005E3B43">
              <w:t>; or</w:t>
            </w:r>
          </w:p>
          <w:p w14:paraId="5A652EC6" w14:textId="238E576B" w:rsidR="00496A9A" w:rsidRPr="005E3B43" w:rsidRDefault="00496A9A" w:rsidP="00496A9A">
            <w:pPr>
              <w:pStyle w:val="Tablei"/>
            </w:pPr>
            <w:r w:rsidRPr="005E3B43">
              <w:t xml:space="preserve">(ii) approved for </w:t>
            </w:r>
            <w:r w:rsidRPr="005E3B43">
              <w:lastRenderedPageBreak/>
              <w:t>importation into Australia under sub</w:t>
            </w:r>
            <w:r w:rsidR="007C3215">
              <w:t>section 1</w:t>
            </w:r>
            <w:r w:rsidRPr="005E3B43">
              <w:t xml:space="preserve">9(1), </w:t>
            </w:r>
            <w:r w:rsidR="007C3215">
              <w:t>section 1</w:t>
            </w:r>
            <w:r w:rsidRPr="005E3B43">
              <w:t>9A, subsection 32CK(1) or section 32CO of the Act; or</w:t>
            </w:r>
          </w:p>
          <w:p w14:paraId="76C05312" w14:textId="279447C6" w:rsidR="00496A9A" w:rsidRPr="005E3B43" w:rsidRDefault="00496A9A" w:rsidP="00496A9A">
            <w:pPr>
              <w:pStyle w:val="Tablei"/>
            </w:pPr>
            <w:r w:rsidRPr="005E3B43">
              <w:t>(iii) authorised for supply under sub</w:t>
            </w:r>
            <w:r w:rsidR="007C3215">
              <w:t>section 1</w:t>
            </w:r>
            <w:r w:rsidRPr="005E3B43">
              <w:t>9(5) or 32CM(1) of the Act; or</w:t>
            </w:r>
          </w:p>
          <w:p w14:paraId="4B3FBE04" w14:textId="4CFAF534" w:rsidR="00496A9A" w:rsidRPr="005E3B43" w:rsidRDefault="00496A9A" w:rsidP="00496A9A">
            <w:pPr>
              <w:pStyle w:val="Tablei"/>
            </w:pPr>
            <w:r w:rsidRPr="005E3B43">
              <w:t>(iv) authorised for supply under rules made under sub</w:t>
            </w:r>
            <w:r w:rsidR="007C3215">
              <w:t>section 1</w:t>
            </w:r>
            <w:r w:rsidRPr="005E3B43">
              <w:t>9(7A) or 32CM(7A) of the Act; or</w:t>
            </w:r>
          </w:p>
          <w:p w14:paraId="67698F9E" w14:textId="77777777" w:rsidR="00496A9A" w:rsidRPr="005E3B43" w:rsidRDefault="00496A9A" w:rsidP="00496A9A">
            <w:pPr>
              <w:pStyle w:val="Tablei"/>
            </w:pPr>
            <w:r w:rsidRPr="005E3B43">
              <w:t>(v) dispensed as a medicine or biological prescribed for a Category A patient within the meaning of subregulation 12A(5); or</w:t>
            </w:r>
          </w:p>
          <w:p w14:paraId="57B79D61" w14:textId="77777777" w:rsidR="00496A9A" w:rsidRPr="005E3B43" w:rsidDel="00496A9A" w:rsidRDefault="00496A9A" w:rsidP="00845663">
            <w:pPr>
              <w:pStyle w:val="Tablei"/>
            </w:pPr>
            <w:r w:rsidRPr="005E3B43">
              <w:t>(vi) exported from Australia</w:t>
            </w:r>
          </w:p>
        </w:tc>
        <w:tc>
          <w:tcPr>
            <w:tcW w:w="2612" w:type="pct"/>
            <w:tcBorders>
              <w:top w:val="single" w:sz="12" w:space="0" w:color="auto"/>
              <w:bottom w:val="single" w:sz="4" w:space="0" w:color="auto"/>
            </w:tcBorders>
            <w:shd w:val="clear" w:color="auto" w:fill="auto"/>
          </w:tcPr>
          <w:p w14:paraId="3A1D6B2E" w14:textId="77777777" w:rsidR="00496A9A" w:rsidRPr="005E3B43" w:rsidRDefault="00496A9A" w:rsidP="00496A9A">
            <w:pPr>
              <w:pStyle w:val="Tablea"/>
            </w:pPr>
            <w:r w:rsidRPr="005E3B43">
              <w:lastRenderedPageBreak/>
              <w:t>(a) the supply of the goods must be in accordance with the relevant notification, approval, authorisation or prescription; and</w:t>
            </w:r>
          </w:p>
          <w:p w14:paraId="15A58E7E" w14:textId="77777777" w:rsidR="00496A9A" w:rsidRPr="005E3B43" w:rsidRDefault="00496A9A" w:rsidP="00496A9A">
            <w:pPr>
              <w:pStyle w:val="Tablea"/>
            </w:pPr>
            <w:r w:rsidRPr="005E3B43">
              <w:t>(b) the goods must be kept in a warehouse or a properly secured area under the control of the sponsor; and</w:t>
            </w:r>
          </w:p>
          <w:p w14:paraId="0B5835E4" w14:textId="77777777" w:rsidR="00496A9A" w:rsidRPr="005E3B43" w:rsidDel="000E647F" w:rsidRDefault="00496A9A" w:rsidP="00496A9A">
            <w:pPr>
              <w:pStyle w:val="Tablea"/>
            </w:pPr>
            <w:r w:rsidRPr="005E3B43">
              <w:t>(c) the sponsor must:</w:t>
            </w:r>
          </w:p>
          <w:p w14:paraId="5218358F" w14:textId="77777777" w:rsidR="00496A9A" w:rsidRPr="005E3B43" w:rsidRDefault="00496A9A" w:rsidP="00496A9A">
            <w:pPr>
              <w:pStyle w:val="Tablei"/>
            </w:pPr>
            <w:r w:rsidRPr="005E3B43">
              <w:t>(i) keep records relating to the source and supply of the goods; and</w:t>
            </w:r>
          </w:p>
          <w:p w14:paraId="05CB7E9A" w14:textId="77777777" w:rsidR="00496A9A" w:rsidRPr="005E3B43" w:rsidDel="00496A9A" w:rsidRDefault="00496A9A" w:rsidP="00845663">
            <w:pPr>
              <w:pStyle w:val="Tablei"/>
            </w:pPr>
            <w:r w:rsidRPr="005E3B43">
              <w:t>(ii) if requested by the Secretary, give the records to the Secretary</w:t>
            </w:r>
          </w:p>
        </w:tc>
      </w:tr>
      <w:tr w:rsidR="00B52A63" w:rsidRPr="005E3B43" w:rsidDel="000E647F" w14:paraId="20DD57F0" w14:textId="77777777" w:rsidTr="004B7D53">
        <w:trPr>
          <w:trHeight w:val="20"/>
        </w:trPr>
        <w:tc>
          <w:tcPr>
            <w:tcW w:w="636" w:type="pct"/>
            <w:tcBorders>
              <w:top w:val="single" w:sz="4" w:space="0" w:color="auto"/>
              <w:bottom w:val="single" w:sz="4" w:space="0" w:color="auto"/>
            </w:tcBorders>
            <w:shd w:val="clear" w:color="auto" w:fill="auto"/>
          </w:tcPr>
          <w:p w14:paraId="11EDD459" w14:textId="77777777" w:rsidR="00B52A63" w:rsidRPr="005E3B43" w:rsidDel="000E647F" w:rsidRDefault="00B52A63" w:rsidP="00763BCF">
            <w:pPr>
              <w:pStyle w:val="Tabletext"/>
            </w:pPr>
            <w:r w:rsidRPr="005E3B43">
              <w:t>1A</w:t>
            </w:r>
          </w:p>
        </w:tc>
        <w:tc>
          <w:tcPr>
            <w:tcW w:w="1753" w:type="pct"/>
            <w:tcBorders>
              <w:top w:val="single" w:sz="4" w:space="0" w:color="auto"/>
              <w:bottom w:val="single" w:sz="4" w:space="0" w:color="auto"/>
            </w:tcBorders>
            <w:shd w:val="clear" w:color="auto" w:fill="auto"/>
          </w:tcPr>
          <w:p w14:paraId="6BF81C0B" w14:textId="77777777" w:rsidR="00B52A63" w:rsidRPr="005E3B43" w:rsidDel="000E647F" w:rsidRDefault="00B52A63" w:rsidP="00763BCF">
            <w:pPr>
              <w:pStyle w:val="Tabletext"/>
            </w:pPr>
            <w:r w:rsidRPr="005E3B43">
              <w:t xml:space="preserve">Therapeutic goods imported into Australia and held under the direct control of the sponsor, until a decision is made under </w:t>
            </w:r>
            <w:r w:rsidR="00FB7FAA" w:rsidRPr="005E3B43">
              <w:t>section 2</w:t>
            </w:r>
            <w:r w:rsidRPr="005E3B43">
              <w:t xml:space="preserve">5, 26, 26A, </w:t>
            </w:r>
            <w:r w:rsidR="00786259" w:rsidRPr="005E3B43">
              <w:t xml:space="preserve">26AE, </w:t>
            </w:r>
            <w:r w:rsidRPr="005E3B43">
              <w:t>32DB, 32DC, 32DF or 32DG of the Act about the goods</w:t>
            </w:r>
          </w:p>
        </w:tc>
        <w:tc>
          <w:tcPr>
            <w:tcW w:w="2612" w:type="pct"/>
            <w:tcBorders>
              <w:top w:val="single" w:sz="4" w:space="0" w:color="auto"/>
              <w:bottom w:val="single" w:sz="4" w:space="0" w:color="auto"/>
            </w:tcBorders>
            <w:shd w:val="clear" w:color="auto" w:fill="auto"/>
          </w:tcPr>
          <w:p w14:paraId="2858B74D" w14:textId="77777777" w:rsidR="00B52A63" w:rsidRPr="005E3B43" w:rsidRDefault="00B52A63" w:rsidP="00763BCF">
            <w:pPr>
              <w:pStyle w:val="Tablea"/>
            </w:pPr>
            <w:r w:rsidRPr="005E3B43">
              <w:t>(a) the sponsor must:</w:t>
            </w:r>
          </w:p>
          <w:p w14:paraId="6E7CCEA0" w14:textId="77777777" w:rsidR="00B52A63" w:rsidRPr="005E3B43" w:rsidRDefault="00B52A63" w:rsidP="00763BCF">
            <w:pPr>
              <w:pStyle w:val="Tablei"/>
              <w:tabs>
                <w:tab w:val="clear" w:pos="970"/>
              </w:tabs>
              <w:ind w:left="774"/>
            </w:pPr>
            <w:r w:rsidRPr="005E3B43">
              <w:t>(i) keep records about the source of the goods; and</w:t>
            </w:r>
          </w:p>
          <w:p w14:paraId="450FBF2B" w14:textId="77777777" w:rsidR="00B52A63" w:rsidRPr="005E3B43" w:rsidRDefault="00B52A63" w:rsidP="00763BCF">
            <w:pPr>
              <w:pStyle w:val="Tablei"/>
              <w:tabs>
                <w:tab w:val="clear" w:pos="970"/>
              </w:tabs>
              <w:ind w:left="774"/>
            </w:pPr>
            <w:r w:rsidRPr="005E3B43">
              <w:t>(ii) if requested by the Secretary</w:t>
            </w:r>
            <w:r w:rsidR="007C7100" w:rsidRPr="005E3B43">
              <w:t>, give</w:t>
            </w:r>
            <w:r w:rsidRPr="005E3B43">
              <w:t xml:space="preserve"> the records to the Secretary; and</w:t>
            </w:r>
          </w:p>
          <w:p w14:paraId="0825B5F5" w14:textId="77777777" w:rsidR="00B52A63" w:rsidRPr="005E3B43" w:rsidRDefault="00B52A63" w:rsidP="00763BCF">
            <w:pPr>
              <w:pStyle w:val="Tablei"/>
              <w:tabs>
                <w:tab w:val="clear" w:pos="970"/>
              </w:tabs>
              <w:ind w:left="774"/>
            </w:pPr>
            <w:r w:rsidRPr="005E3B43">
              <w:t xml:space="preserve">(iii) have lodged an application under </w:t>
            </w:r>
            <w:r w:rsidR="00FB7FAA" w:rsidRPr="005E3B43">
              <w:t>section 2</w:t>
            </w:r>
            <w:r w:rsidRPr="005E3B43">
              <w:t>3, 32DA or 32DD of the Act for the goods before their importation; and</w:t>
            </w:r>
          </w:p>
          <w:p w14:paraId="29C2299C" w14:textId="39C9140F" w:rsidR="00B52A63" w:rsidRPr="005E3B43" w:rsidRDefault="00B52A63" w:rsidP="00763BCF">
            <w:pPr>
              <w:pStyle w:val="Tablea"/>
            </w:pPr>
            <w:r w:rsidRPr="005E3B43">
              <w:t xml:space="preserve">(b) if the goods are not registered, listed, or included in the Register under </w:t>
            </w:r>
            <w:r w:rsidR="00BB758E" w:rsidRPr="005E3B43">
              <w:t>Part 3</w:t>
            </w:r>
            <w:r w:rsidR="007C3215">
              <w:noBreakHyphen/>
            </w:r>
            <w:r w:rsidRPr="005E3B43">
              <w:t>2A of the Act:</w:t>
            </w:r>
          </w:p>
          <w:p w14:paraId="18C30297" w14:textId="77777777" w:rsidR="00B52A63" w:rsidRPr="005E3B43" w:rsidDel="000E647F" w:rsidRDefault="00B52A63" w:rsidP="00763BCF">
            <w:pPr>
              <w:pStyle w:val="Tablei"/>
              <w:tabs>
                <w:tab w:val="clear" w:pos="970"/>
              </w:tabs>
              <w:ind w:left="774"/>
            </w:pPr>
            <w:r w:rsidRPr="005E3B43">
              <w:t>(i) in the case of therapeutic goods other than biologicals—the goods must be destroyed; or</w:t>
            </w:r>
          </w:p>
          <w:p w14:paraId="0C47282F" w14:textId="77777777" w:rsidR="00B52A63" w:rsidRPr="005E3B43" w:rsidDel="000E647F" w:rsidRDefault="00354373" w:rsidP="00763BCF">
            <w:pPr>
              <w:pStyle w:val="Tablei"/>
              <w:ind w:left="774"/>
            </w:pPr>
            <w:r w:rsidRPr="005E3B43">
              <w:t>(ii) in the case of biologicals—the biologicals must be destroyed or returned to the consignor of the biologicals within 1 month of the decision not to include the biologicals</w:t>
            </w:r>
          </w:p>
        </w:tc>
      </w:tr>
      <w:tr w:rsidR="004F7F14" w:rsidRPr="005E3B43" w:rsidDel="000E647F" w14:paraId="169DBB3F" w14:textId="77777777" w:rsidTr="004B7D53">
        <w:trPr>
          <w:trHeight w:val="20"/>
        </w:trPr>
        <w:tc>
          <w:tcPr>
            <w:tcW w:w="636" w:type="pct"/>
            <w:tcBorders>
              <w:top w:val="single" w:sz="4" w:space="0" w:color="auto"/>
              <w:bottom w:val="single" w:sz="4" w:space="0" w:color="auto"/>
            </w:tcBorders>
            <w:shd w:val="clear" w:color="auto" w:fill="auto"/>
          </w:tcPr>
          <w:p w14:paraId="668342E4" w14:textId="77777777" w:rsidR="004F7F14" w:rsidRPr="005E3B43" w:rsidRDefault="004F7F14" w:rsidP="00763BCF">
            <w:pPr>
              <w:pStyle w:val="Tabletext"/>
            </w:pPr>
            <w:r w:rsidRPr="005E3B43">
              <w:t>1B</w:t>
            </w:r>
          </w:p>
        </w:tc>
        <w:tc>
          <w:tcPr>
            <w:tcW w:w="1753" w:type="pct"/>
            <w:tcBorders>
              <w:top w:val="single" w:sz="4" w:space="0" w:color="auto"/>
              <w:bottom w:val="single" w:sz="4" w:space="0" w:color="auto"/>
            </w:tcBorders>
            <w:shd w:val="clear" w:color="auto" w:fill="auto"/>
          </w:tcPr>
          <w:p w14:paraId="54AA0137" w14:textId="77777777" w:rsidR="004F7F14" w:rsidRPr="005E3B43" w:rsidRDefault="004F7F14" w:rsidP="00763BCF">
            <w:pPr>
              <w:pStyle w:val="Tabletext"/>
            </w:pPr>
            <w:r w:rsidRPr="005E3B43">
              <w:t xml:space="preserve">Therapeutic goods imported into Australia that are needed for dispensing as a medicine prescribed for persons who are seriously ill with a condition from </w:t>
            </w:r>
            <w:r w:rsidRPr="005E3B43">
              <w:lastRenderedPageBreak/>
              <w:t>which premature death is reasonably likely to occur in the absence of early treatment</w:t>
            </w:r>
          </w:p>
        </w:tc>
        <w:tc>
          <w:tcPr>
            <w:tcW w:w="2612" w:type="pct"/>
            <w:tcBorders>
              <w:top w:val="single" w:sz="4" w:space="0" w:color="auto"/>
              <w:bottom w:val="single" w:sz="4" w:space="0" w:color="auto"/>
            </w:tcBorders>
            <w:shd w:val="clear" w:color="auto" w:fill="auto"/>
          </w:tcPr>
          <w:p w14:paraId="18FD7366" w14:textId="77777777" w:rsidR="0057052D" w:rsidRPr="005E3B43" w:rsidRDefault="0057052D" w:rsidP="00763BCF">
            <w:pPr>
              <w:pStyle w:val="Tablea"/>
            </w:pPr>
            <w:r w:rsidRPr="005E3B43">
              <w:lastRenderedPageBreak/>
              <w:t>(a) the goods must be supplied to a person covered by column 2 in circumstances where subparagraphs 12A(2)(a)(ii) and (iii) and paragraph 12A(2)(b) of these Regulations are satisfied; and</w:t>
            </w:r>
          </w:p>
          <w:p w14:paraId="4E40D06B" w14:textId="77777777" w:rsidR="004F7F14" w:rsidRPr="005E3B43" w:rsidRDefault="004F7F14" w:rsidP="00763BCF">
            <w:pPr>
              <w:pStyle w:val="Tablea"/>
            </w:pPr>
            <w:r w:rsidRPr="005E3B43">
              <w:lastRenderedPageBreak/>
              <w:t>(b) until the goods need to be so supplied, either or both of the following apply:</w:t>
            </w:r>
          </w:p>
          <w:p w14:paraId="278873D6" w14:textId="77777777" w:rsidR="004F7F14" w:rsidRPr="005E3B43" w:rsidRDefault="004F7F14" w:rsidP="00763BCF">
            <w:pPr>
              <w:pStyle w:val="Tablei"/>
            </w:pPr>
            <w:r w:rsidRPr="005E3B43">
              <w:t>(i) the goods are kept in a warehouse or a properly secured area under the control of the sponsor;</w:t>
            </w:r>
          </w:p>
          <w:p w14:paraId="38D09FDA" w14:textId="77777777" w:rsidR="004F7F14" w:rsidRPr="005E3B43" w:rsidRDefault="004F7F14" w:rsidP="00763BCF">
            <w:pPr>
              <w:pStyle w:val="Tablei"/>
            </w:pPr>
            <w:r w:rsidRPr="005E3B43">
              <w:t>(ii) the goods are kept at a hospital or other healthcare facility after being delivered to the hospital or facility by, or on behalf of, the sponsor; and</w:t>
            </w:r>
          </w:p>
          <w:p w14:paraId="36913022" w14:textId="77777777" w:rsidR="004F7F14" w:rsidRPr="005E3B43" w:rsidDel="000E647F" w:rsidRDefault="004F7F14" w:rsidP="00763BCF">
            <w:pPr>
              <w:pStyle w:val="Tablea"/>
            </w:pPr>
            <w:r w:rsidRPr="005E3B43">
              <w:t>(c) the sponsor must:</w:t>
            </w:r>
          </w:p>
          <w:p w14:paraId="7AF05C31" w14:textId="77777777" w:rsidR="004F7F14" w:rsidRPr="005E3B43" w:rsidRDefault="004F7F14" w:rsidP="00763BCF">
            <w:pPr>
              <w:pStyle w:val="Tablei"/>
              <w:tabs>
                <w:tab w:val="clear" w:pos="970"/>
              </w:tabs>
              <w:ind w:left="774"/>
            </w:pPr>
            <w:r w:rsidRPr="005E3B43">
              <w:t>(i) keep records relating to the source, and delivery, of the goods; and</w:t>
            </w:r>
          </w:p>
          <w:p w14:paraId="720DCDD1" w14:textId="77777777" w:rsidR="004F7F14" w:rsidRPr="005E3B43" w:rsidRDefault="004F7F14" w:rsidP="00763BCF">
            <w:pPr>
              <w:pStyle w:val="Tablei"/>
            </w:pPr>
            <w:r w:rsidRPr="005E3B43">
              <w:t>(ii) if requested by the Secretary, give the records to the Secretary</w:t>
            </w:r>
          </w:p>
        </w:tc>
      </w:tr>
      <w:tr w:rsidR="004F7F14" w:rsidRPr="005E3B43" w:rsidDel="000E647F" w14:paraId="79B95A46" w14:textId="77777777" w:rsidTr="004B7D53">
        <w:trPr>
          <w:trHeight w:val="20"/>
        </w:trPr>
        <w:tc>
          <w:tcPr>
            <w:tcW w:w="636" w:type="pct"/>
            <w:tcBorders>
              <w:top w:val="single" w:sz="4" w:space="0" w:color="auto"/>
              <w:bottom w:val="single" w:sz="4" w:space="0" w:color="auto"/>
            </w:tcBorders>
            <w:shd w:val="clear" w:color="auto" w:fill="auto"/>
          </w:tcPr>
          <w:p w14:paraId="3C251E27" w14:textId="77777777" w:rsidR="004F7F14" w:rsidRPr="005E3B43" w:rsidRDefault="004F7F14" w:rsidP="00763BCF">
            <w:pPr>
              <w:pStyle w:val="Tabletext"/>
            </w:pPr>
            <w:r w:rsidRPr="005E3B43">
              <w:lastRenderedPageBreak/>
              <w:t>2</w:t>
            </w:r>
          </w:p>
        </w:tc>
        <w:tc>
          <w:tcPr>
            <w:tcW w:w="1753" w:type="pct"/>
            <w:tcBorders>
              <w:top w:val="single" w:sz="4" w:space="0" w:color="auto"/>
              <w:bottom w:val="single" w:sz="4" w:space="0" w:color="auto"/>
            </w:tcBorders>
            <w:shd w:val="clear" w:color="auto" w:fill="auto"/>
          </w:tcPr>
          <w:p w14:paraId="770295D5" w14:textId="698D4CF8" w:rsidR="004F7F14" w:rsidRPr="005E3B43" w:rsidRDefault="004F7F14" w:rsidP="00763BCF">
            <w:pPr>
              <w:pStyle w:val="Tabletext"/>
            </w:pPr>
            <w:r w:rsidRPr="005E3B43">
              <w:t xml:space="preserve">Therapeutic goods that are medicinal cannabis products manufactured in Australia under a licence granted under </w:t>
            </w:r>
            <w:r w:rsidR="00BB758E" w:rsidRPr="005E3B43">
              <w:t>Part 3</w:t>
            </w:r>
            <w:r w:rsidR="007C3215">
              <w:noBreakHyphen/>
            </w:r>
            <w:r w:rsidRPr="005E3B43">
              <w:t>3 of the Act and are held under the direct control of the sponsor, until the goods are:</w:t>
            </w:r>
          </w:p>
          <w:p w14:paraId="393AFA26" w14:textId="77777777" w:rsidR="004F7F14" w:rsidRPr="005E3B43" w:rsidRDefault="004F7F14" w:rsidP="00763BCF">
            <w:pPr>
              <w:pStyle w:val="Tablea"/>
            </w:pPr>
            <w:r w:rsidRPr="005E3B43">
              <w:t xml:space="preserve">(a) the subject of a notification under </w:t>
            </w:r>
            <w:r w:rsidR="006B5D8E" w:rsidRPr="005E3B43">
              <w:t>item 3</w:t>
            </w:r>
            <w:r w:rsidRPr="005E3B43">
              <w:t>; or</w:t>
            </w:r>
          </w:p>
          <w:p w14:paraId="269B61B1" w14:textId="647BCDE4" w:rsidR="004F7F14" w:rsidRPr="005E3B43" w:rsidRDefault="004F7F14" w:rsidP="00763BCF">
            <w:pPr>
              <w:pStyle w:val="Tablea"/>
            </w:pPr>
            <w:r w:rsidRPr="005E3B43">
              <w:t>(b) approved for supply in Australia under sub</w:t>
            </w:r>
            <w:r w:rsidR="007C3215">
              <w:t>section 1</w:t>
            </w:r>
            <w:r w:rsidRPr="005E3B43">
              <w:t xml:space="preserve">9(1) or </w:t>
            </w:r>
            <w:r w:rsidR="007C3215">
              <w:t>section 1</w:t>
            </w:r>
            <w:r w:rsidRPr="005E3B43">
              <w:t>9A of the Act; or</w:t>
            </w:r>
          </w:p>
          <w:p w14:paraId="31FF8DA1" w14:textId="388D2AAF" w:rsidR="004F7F14" w:rsidRPr="005E3B43" w:rsidRDefault="004F7F14" w:rsidP="00763BCF">
            <w:pPr>
              <w:pStyle w:val="Tablea"/>
            </w:pPr>
            <w:r w:rsidRPr="005E3B43">
              <w:t>(c) authorised for supply under sub</w:t>
            </w:r>
            <w:r w:rsidR="007C3215">
              <w:t>section 1</w:t>
            </w:r>
            <w:r w:rsidRPr="005E3B43">
              <w:t>9(5) of the Act; or</w:t>
            </w:r>
          </w:p>
          <w:p w14:paraId="33E93A85" w14:textId="3A26931C" w:rsidR="004F7F14" w:rsidRPr="005E3B43" w:rsidRDefault="004F7F14" w:rsidP="00763BCF">
            <w:pPr>
              <w:pStyle w:val="Tablea"/>
            </w:pPr>
            <w:r w:rsidRPr="005E3B43">
              <w:t>(d) authorised for supply under rules made under sub</w:t>
            </w:r>
            <w:r w:rsidR="007C3215">
              <w:t>section 1</w:t>
            </w:r>
            <w:r w:rsidRPr="005E3B43">
              <w:t>9(7A) of the Act</w:t>
            </w:r>
          </w:p>
        </w:tc>
        <w:tc>
          <w:tcPr>
            <w:tcW w:w="2612" w:type="pct"/>
            <w:tcBorders>
              <w:top w:val="single" w:sz="4" w:space="0" w:color="auto"/>
              <w:bottom w:val="single" w:sz="4" w:space="0" w:color="auto"/>
            </w:tcBorders>
            <w:shd w:val="clear" w:color="auto" w:fill="auto"/>
          </w:tcPr>
          <w:p w14:paraId="1576E2C6" w14:textId="77777777" w:rsidR="004F7F14" w:rsidRPr="005E3B43" w:rsidRDefault="004F7F14" w:rsidP="00763BCF">
            <w:pPr>
              <w:pStyle w:val="Tablea"/>
            </w:pPr>
            <w:r w:rsidRPr="005E3B43">
              <w:t>(a) the supply of the goods must be in accordance with the relevant notification, approval or authorisation; and</w:t>
            </w:r>
          </w:p>
          <w:p w14:paraId="0CE69356" w14:textId="77777777" w:rsidR="004F7F14" w:rsidRPr="005E3B43" w:rsidRDefault="004F7F14" w:rsidP="00763BCF">
            <w:pPr>
              <w:pStyle w:val="Tablea"/>
            </w:pPr>
            <w:r w:rsidRPr="005E3B43">
              <w:t>(b) the goods must be kept in a warehouse or a properly secured area under the control of the sponsor; and</w:t>
            </w:r>
          </w:p>
          <w:p w14:paraId="04AEEFB6" w14:textId="77777777" w:rsidR="004F7F14" w:rsidRPr="005E3B43" w:rsidDel="000E647F" w:rsidRDefault="004F7F14" w:rsidP="00763BCF">
            <w:pPr>
              <w:pStyle w:val="Tablea"/>
            </w:pPr>
            <w:r w:rsidRPr="005E3B43">
              <w:t>(c) the sponsor must:</w:t>
            </w:r>
          </w:p>
          <w:p w14:paraId="462EC5B3" w14:textId="77777777" w:rsidR="004F7F14" w:rsidRPr="005E3B43" w:rsidRDefault="004F7F14" w:rsidP="00763BCF">
            <w:pPr>
              <w:pStyle w:val="Tablei"/>
              <w:tabs>
                <w:tab w:val="clear" w:pos="970"/>
              </w:tabs>
              <w:ind w:left="774"/>
            </w:pPr>
            <w:r w:rsidRPr="005E3B43">
              <w:t>(i) keep records relating to the source and supply of the goods; and</w:t>
            </w:r>
          </w:p>
          <w:p w14:paraId="0B6340CB" w14:textId="77777777" w:rsidR="004F7F14" w:rsidRPr="005E3B43" w:rsidRDefault="004F7F14" w:rsidP="00763BCF">
            <w:pPr>
              <w:pStyle w:val="Tablei"/>
            </w:pPr>
            <w:r w:rsidRPr="005E3B43">
              <w:t>(ii) if requested by the Secretary, give the records to the Secretary</w:t>
            </w:r>
          </w:p>
        </w:tc>
      </w:tr>
      <w:tr w:rsidR="004F7F14" w:rsidRPr="005E3B43" w:rsidDel="000E647F" w14:paraId="74959F8F" w14:textId="77777777" w:rsidTr="004B7D53">
        <w:trPr>
          <w:cantSplit/>
          <w:trHeight w:val="20"/>
        </w:trPr>
        <w:tc>
          <w:tcPr>
            <w:tcW w:w="636" w:type="pct"/>
            <w:tcBorders>
              <w:top w:val="single" w:sz="4" w:space="0" w:color="auto"/>
              <w:bottom w:val="single" w:sz="4" w:space="0" w:color="auto"/>
            </w:tcBorders>
            <w:shd w:val="clear" w:color="auto" w:fill="auto"/>
          </w:tcPr>
          <w:p w14:paraId="56C927EA" w14:textId="77777777" w:rsidR="004F7F14" w:rsidRPr="005E3B43" w:rsidRDefault="004F7F14" w:rsidP="00763BCF">
            <w:pPr>
              <w:pStyle w:val="Tabletext"/>
            </w:pPr>
            <w:r w:rsidRPr="005E3B43">
              <w:t>2A</w:t>
            </w:r>
          </w:p>
        </w:tc>
        <w:tc>
          <w:tcPr>
            <w:tcW w:w="1753" w:type="pct"/>
            <w:tcBorders>
              <w:top w:val="single" w:sz="4" w:space="0" w:color="auto"/>
              <w:bottom w:val="single" w:sz="4" w:space="0" w:color="auto"/>
            </w:tcBorders>
            <w:shd w:val="clear" w:color="auto" w:fill="auto"/>
          </w:tcPr>
          <w:p w14:paraId="7E0D18D7" w14:textId="524132CD" w:rsidR="004F7F14" w:rsidRPr="005E3B43" w:rsidRDefault="004F7F14" w:rsidP="00763BCF">
            <w:pPr>
              <w:pStyle w:val="Tabletext"/>
            </w:pPr>
            <w:r w:rsidRPr="005E3B43">
              <w:t xml:space="preserve">Therapeutic goods that are medicinal cannabis products manufactured in Australia under a licence granted under </w:t>
            </w:r>
            <w:r w:rsidR="00BB758E" w:rsidRPr="005E3B43">
              <w:t>Part 3</w:t>
            </w:r>
            <w:r w:rsidR="007C3215">
              <w:noBreakHyphen/>
            </w:r>
            <w:r w:rsidRPr="005E3B43">
              <w:t xml:space="preserve">3 of the Act and are held under the direct control of the sponsor, until a decision is made under </w:t>
            </w:r>
            <w:r w:rsidR="00FB7FAA" w:rsidRPr="005E3B43">
              <w:t>section 2</w:t>
            </w:r>
            <w:r w:rsidRPr="005E3B43">
              <w:t>5 or 26 of the Act about the goods</w:t>
            </w:r>
          </w:p>
        </w:tc>
        <w:tc>
          <w:tcPr>
            <w:tcW w:w="2612" w:type="pct"/>
            <w:tcBorders>
              <w:top w:val="single" w:sz="4" w:space="0" w:color="auto"/>
              <w:bottom w:val="single" w:sz="4" w:space="0" w:color="auto"/>
            </w:tcBorders>
            <w:shd w:val="clear" w:color="auto" w:fill="auto"/>
          </w:tcPr>
          <w:p w14:paraId="577EF254" w14:textId="77777777" w:rsidR="004F7F14" w:rsidRPr="005E3B43" w:rsidRDefault="004F7F14" w:rsidP="00763BCF">
            <w:pPr>
              <w:pStyle w:val="Tabletext"/>
            </w:pPr>
            <w:r w:rsidRPr="005E3B43">
              <w:t>the sponsor must:</w:t>
            </w:r>
          </w:p>
          <w:p w14:paraId="3C237508" w14:textId="77777777" w:rsidR="004F7F14" w:rsidRPr="005E3B43" w:rsidRDefault="004F7F14" w:rsidP="00763BCF">
            <w:pPr>
              <w:pStyle w:val="Tablea"/>
            </w:pPr>
            <w:r w:rsidRPr="005E3B43">
              <w:t>(a) keep records about the source of the goods; and</w:t>
            </w:r>
          </w:p>
          <w:p w14:paraId="374D78B1" w14:textId="77777777" w:rsidR="004F7F14" w:rsidRPr="005E3B43" w:rsidRDefault="004F7F14" w:rsidP="00763BCF">
            <w:pPr>
              <w:pStyle w:val="Tablea"/>
            </w:pPr>
            <w:r w:rsidRPr="005E3B43">
              <w:t>(b) if requested by the Secretary, give the records to the Secretary; and</w:t>
            </w:r>
          </w:p>
          <w:p w14:paraId="321BEE66" w14:textId="77777777" w:rsidR="004F7F14" w:rsidRPr="005E3B43" w:rsidRDefault="004F7F14" w:rsidP="00763BCF">
            <w:pPr>
              <w:pStyle w:val="Tablea"/>
            </w:pPr>
            <w:r w:rsidRPr="005E3B43">
              <w:t xml:space="preserve">(c) have lodged an application under </w:t>
            </w:r>
            <w:r w:rsidR="00FB7FAA" w:rsidRPr="005E3B43">
              <w:t>section 2</w:t>
            </w:r>
            <w:r w:rsidRPr="005E3B43">
              <w:t>3 of the Act for the goods before their manufacture</w:t>
            </w:r>
          </w:p>
        </w:tc>
      </w:tr>
      <w:tr w:rsidR="004F7F14" w:rsidRPr="005E3B43" w14:paraId="1401ED3D" w14:textId="77777777" w:rsidTr="004B7D53">
        <w:trPr>
          <w:trHeight w:val="20"/>
        </w:trPr>
        <w:tc>
          <w:tcPr>
            <w:tcW w:w="636" w:type="pct"/>
            <w:tcBorders>
              <w:top w:val="single" w:sz="4" w:space="0" w:color="auto"/>
              <w:bottom w:val="nil"/>
            </w:tcBorders>
            <w:shd w:val="clear" w:color="auto" w:fill="auto"/>
          </w:tcPr>
          <w:p w14:paraId="2B172F5B" w14:textId="77777777" w:rsidR="004F7F14" w:rsidRPr="005E3B43" w:rsidRDefault="004F7F14" w:rsidP="00763BCF">
            <w:pPr>
              <w:pStyle w:val="Tabletext"/>
            </w:pPr>
            <w:r w:rsidRPr="005E3B43">
              <w:t>3</w:t>
            </w:r>
          </w:p>
        </w:tc>
        <w:tc>
          <w:tcPr>
            <w:tcW w:w="1753" w:type="pct"/>
            <w:tcBorders>
              <w:top w:val="single" w:sz="4" w:space="0" w:color="auto"/>
              <w:bottom w:val="nil"/>
            </w:tcBorders>
            <w:shd w:val="clear" w:color="auto" w:fill="auto"/>
          </w:tcPr>
          <w:p w14:paraId="33807A05" w14:textId="77777777" w:rsidR="004F7F14" w:rsidRPr="005E3B43" w:rsidRDefault="004F7F14" w:rsidP="00763BCF">
            <w:pPr>
              <w:pStyle w:val="Tabletext"/>
            </w:pPr>
            <w:r w:rsidRPr="005E3B43">
              <w:t xml:space="preserve">Therapeutic goods </w:t>
            </w:r>
            <w:r w:rsidR="00025923" w:rsidRPr="005E3B43">
              <w:t>to be used in a clinical trial</w:t>
            </w:r>
            <w:r w:rsidRPr="005E3B43">
              <w:t xml:space="preserve"> solely for experimental purposes in humans</w:t>
            </w:r>
          </w:p>
        </w:tc>
        <w:tc>
          <w:tcPr>
            <w:tcW w:w="2612" w:type="pct"/>
            <w:tcBorders>
              <w:top w:val="single" w:sz="4" w:space="0" w:color="auto"/>
              <w:bottom w:val="nil"/>
            </w:tcBorders>
            <w:shd w:val="clear" w:color="auto" w:fill="auto"/>
          </w:tcPr>
          <w:p w14:paraId="62D5E1FD" w14:textId="77777777" w:rsidR="00025923" w:rsidRPr="005E3B43" w:rsidRDefault="00025923" w:rsidP="00763BCF">
            <w:pPr>
              <w:pStyle w:val="Tablea"/>
            </w:pPr>
            <w:r w:rsidRPr="005E3B43">
              <w:t>(a) the sponsor must notify the Secretary:</w:t>
            </w:r>
          </w:p>
          <w:p w14:paraId="424B8E63" w14:textId="77777777" w:rsidR="00025923" w:rsidRPr="005E3B43" w:rsidRDefault="00025923" w:rsidP="00763BCF">
            <w:pPr>
              <w:pStyle w:val="Tablei"/>
            </w:pPr>
            <w:r w:rsidRPr="005E3B43">
              <w:t>(i) in a form approved by the Secretary; and</w:t>
            </w:r>
          </w:p>
          <w:p w14:paraId="67A23FE2" w14:textId="77777777" w:rsidR="00025923" w:rsidRPr="005E3B43" w:rsidRDefault="00025923" w:rsidP="00763BCF">
            <w:pPr>
              <w:pStyle w:val="Tablei"/>
            </w:pPr>
            <w:r w:rsidRPr="005E3B43">
              <w:t>(ii) in accordance with the requirements (if any) determined by the Secretary for the form of notification;</w:t>
            </w:r>
          </w:p>
          <w:p w14:paraId="5679ABB9" w14:textId="77777777" w:rsidR="00025923" w:rsidRPr="005E3B43" w:rsidRDefault="00025923" w:rsidP="00763BCF">
            <w:pPr>
              <w:pStyle w:val="Tablea"/>
            </w:pPr>
            <w:r w:rsidRPr="005E3B43">
              <w:tab/>
              <w:t xml:space="preserve">about the trial and the therapeutic goods covered </w:t>
            </w:r>
            <w:r w:rsidRPr="005E3B43">
              <w:lastRenderedPageBreak/>
              <w:t>by the trial and must do so before:</w:t>
            </w:r>
          </w:p>
          <w:p w14:paraId="14BDC442" w14:textId="77777777" w:rsidR="00025923" w:rsidRPr="005E3B43" w:rsidRDefault="00025923" w:rsidP="00763BCF">
            <w:pPr>
              <w:pStyle w:val="Tablei"/>
            </w:pPr>
            <w:r w:rsidRPr="005E3B43">
              <w:t>(iii) the goods begin to be used in the trial, unless subparagraph (iv) applies; or</w:t>
            </w:r>
          </w:p>
          <w:p w14:paraId="4F1EC89B" w14:textId="77777777" w:rsidR="00025923" w:rsidRPr="005E3B43" w:rsidRDefault="00025923" w:rsidP="00763BCF">
            <w:pPr>
              <w:pStyle w:val="Tablei"/>
            </w:pPr>
            <w:r w:rsidRPr="005E3B43">
              <w:t>(iv) if the sponsor seeks the Secretary’s agreement to the notification being given before the end of a period nominated by the sponsor and the Secretary agrees to this—the end of that nominated period; and</w:t>
            </w:r>
          </w:p>
          <w:p w14:paraId="6B02B7B9" w14:textId="77777777" w:rsidR="004F7F14" w:rsidRPr="005E3B43" w:rsidRDefault="004F7F14" w:rsidP="00763BCF">
            <w:pPr>
              <w:pStyle w:val="Tablea"/>
            </w:pPr>
            <w:r w:rsidRPr="005E3B43">
              <w:tab/>
              <w:t>that the sponsor intends to sponsor a clinical trial using specified goods; and</w:t>
            </w:r>
          </w:p>
          <w:p w14:paraId="624F371B" w14:textId="5B8E1F86" w:rsidR="004F7F14" w:rsidRPr="005E3B43" w:rsidRDefault="004F7F14" w:rsidP="00763BCF">
            <w:pPr>
              <w:pStyle w:val="Tablea"/>
            </w:pPr>
            <w:r w:rsidRPr="005E3B43">
              <w:t xml:space="preserve">(b) the notification </w:t>
            </w:r>
            <w:r w:rsidR="00025923" w:rsidRPr="005E3B43">
              <w:t xml:space="preserve">referred to in paragraph (a) must be accompanied by the relevant notification fee referred to in paragraph (a) of column 2 of </w:t>
            </w:r>
            <w:r w:rsidR="007C3215">
              <w:t>item 1</w:t>
            </w:r>
            <w:r w:rsidR="00025923" w:rsidRPr="005E3B43">
              <w:t xml:space="preserve">4 in the table in clause 3 of Schedule 9 or paragraph (a) of the column headed “Matter” in </w:t>
            </w:r>
            <w:r w:rsidR="007C3215">
              <w:t>item 1</w:t>
            </w:r>
            <w:r w:rsidR="00025923" w:rsidRPr="005E3B43">
              <w:t xml:space="preserve">7 of the table in </w:t>
            </w:r>
            <w:r w:rsidR="006B5D8E" w:rsidRPr="005E3B43">
              <w:t>Part 2</w:t>
            </w:r>
            <w:r w:rsidR="00025923" w:rsidRPr="005E3B43">
              <w:t xml:space="preserve"> of Schedule 9A</w:t>
            </w:r>
            <w:r w:rsidRPr="005E3B43">
              <w:rPr>
                <w:szCs w:val="22"/>
              </w:rPr>
              <w:t xml:space="preserve">; </w:t>
            </w:r>
            <w:r w:rsidRPr="005E3B43">
              <w:t>and</w:t>
            </w:r>
          </w:p>
        </w:tc>
      </w:tr>
      <w:tr w:rsidR="004F7F14" w:rsidRPr="005E3B43" w14:paraId="4971EADC" w14:textId="77777777" w:rsidTr="004B7D53">
        <w:trPr>
          <w:trHeight w:val="20"/>
        </w:trPr>
        <w:tc>
          <w:tcPr>
            <w:tcW w:w="636" w:type="pct"/>
            <w:tcBorders>
              <w:top w:val="nil"/>
              <w:bottom w:val="nil"/>
            </w:tcBorders>
            <w:shd w:val="clear" w:color="auto" w:fill="auto"/>
          </w:tcPr>
          <w:p w14:paraId="28F6FC40" w14:textId="77777777" w:rsidR="004F7F14" w:rsidRPr="005E3B43" w:rsidRDefault="004F7F14" w:rsidP="00763BCF">
            <w:pPr>
              <w:pStyle w:val="Tabletext"/>
            </w:pPr>
          </w:p>
        </w:tc>
        <w:tc>
          <w:tcPr>
            <w:tcW w:w="1753" w:type="pct"/>
            <w:tcBorders>
              <w:top w:val="nil"/>
              <w:bottom w:val="nil"/>
            </w:tcBorders>
            <w:shd w:val="clear" w:color="auto" w:fill="auto"/>
          </w:tcPr>
          <w:p w14:paraId="2637FAD8" w14:textId="77777777" w:rsidR="004F7F14" w:rsidRPr="005E3B43" w:rsidRDefault="004F7F14" w:rsidP="00763BCF">
            <w:pPr>
              <w:pStyle w:val="Tabletext"/>
            </w:pPr>
          </w:p>
        </w:tc>
        <w:tc>
          <w:tcPr>
            <w:tcW w:w="2612" w:type="pct"/>
            <w:tcBorders>
              <w:top w:val="nil"/>
              <w:bottom w:val="nil"/>
            </w:tcBorders>
            <w:shd w:val="clear" w:color="auto" w:fill="auto"/>
          </w:tcPr>
          <w:p w14:paraId="4C9EF0E8" w14:textId="77777777" w:rsidR="004F7F14" w:rsidRPr="005E3B43" w:rsidRDefault="004F7F14" w:rsidP="00763BCF">
            <w:pPr>
              <w:pStyle w:val="Tablea"/>
            </w:pPr>
            <w:r w:rsidRPr="005E3B43">
              <w:t>(c) the approval of the goods for this purpose must be given by the sponsor (if the sponsor is conducting the trial), or by the body or organisation conducting the trial for the sponsor, having regard to the advice of the ethics committee that has, or will assume, responsibility for monitoring the conduct of the trial; and</w:t>
            </w:r>
          </w:p>
          <w:p w14:paraId="088CD637" w14:textId="77777777" w:rsidR="004F7F14" w:rsidRPr="005E3B43" w:rsidRDefault="004F7F14" w:rsidP="00763BCF">
            <w:pPr>
              <w:pStyle w:val="Tablea"/>
            </w:pPr>
            <w:r w:rsidRPr="005E3B43">
              <w:t>(d) the terms of the approval by the sponsor, body or organisation referred to in paragraph (c) must be no less restrictive than the terms advised by the ethics committee; and</w:t>
            </w:r>
          </w:p>
          <w:p w14:paraId="1E02BEF8" w14:textId="77777777" w:rsidR="004F7F14" w:rsidRPr="005E3B43" w:rsidRDefault="004F7F14" w:rsidP="00763BCF">
            <w:pPr>
              <w:pStyle w:val="Tablea"/>
            </w:pPr>
            <w:r w:rsidRPr="005E3B43">
              <w:t>(e) the Secretary must not, at any time:</w:t>
            </w:r>
          </w:p>
          <w:p w14:paraId="6A64F267" w14:textId="77777777" w:rsidR="004F7F14" w:rsidRPr="005E3B43" w:rsidRDefault="004F7F14" w:rsidP="00763BCF">
            <w:pPr>
              <w:pStyle w:val="Tablei"/>
              <w:tabs>
                <w:tab w:val="clear" w:pos="970"/>
              </w:tabs>
              <w:ind w:left="774"/>
            </w:pPr>
            <w:r w:rsidRPr="005E3B43">
              <w:t>(i) have become aware that to conduct or continue the trial would be contrary to the public interest; and</w:t>
            </w:r>
          </w:p>
          <w:p w14:paraId="3DB4501B" w14:textId="77777777" w:rsidR="004F7F14" w:rsidRPr="005E3B43" w:rsidRDefault="004F7F14" w:rsidP="00763BCF">
            <w:pPr>
              <w:pStyle w:val="Tablei"/>
              <w:tabs>
                <w:tab w:val="clear" w:pos="970"/>
              </w:tabs>
              <w:ind w:left="774"/>
            </w:pPr>
            <w:r w:rsidRPr="005E3B43">
              <w:t>(ii) have directed that the trial not be conducted, or be stopped; and</w:t>
            </w:r>
          </w:p>
        </w:tc>
      </w:tr>
      <w:tr w:rsidR="004F7F14" w:rsidRPr="005E3B43" w14:paraId="08C4069E" w14:textId="77777777" w:rsidTr="004B7D53">
        <w:trPr>
          <w:trHeight w:val="20"/>
        </w:trPr>
        <w:tc>
          <w:tcPr>
            <w:tcW w:w="636" w:type="pct"/>
            <w:tcBorders>
              <w:top w:val="nil"/>
              <w:bottom w:val="single" w:sz="4" w:space="0" w:color="auto"/>
            </w:tcBorders>
            <w:shd w:val="clear" w:color="auto" w:fill="auto"/>
          </w:tcPr>
          <w:p w14:paraId="324BC59A" w14:textId="77777777" w:rsidR="004F7F14" w:rsidRPr="005E3B43" w:rsidRDefault="004F7F14" w:rsidP="00763BCF">
            <w:pPr>
              <w:pStyle w:val="Tabletext"/>
            </w:pPr>
          </w:p>
        </w:tc>
        <w:tc>
          <w:tcPr>
            <w:tcW w:w="1753" w:type="pct"/>
            <w:tcBorders>
              <w:top w:val="nil"/>
              <w:bottom w:val="single" w:sz="4" w:space="0" w:color="auto"/>
            </w:tcBorders>
            <w:shd w:val="clear" w:color="auto" w:fill="auto"/>
          </w:tcPr>
          <w:p w14:paraId="1FE869F5" w14:textId="77777777" w:rsidR="004F7F14" w:rsidRPr="005E3B43" w:rsidRDefault="004F7F14" w:rsidP="00763BCF">
            <w:pPr>
              <w:pStyle w:val="Tabletext"/>
            </w:pPr>
          </w:p>
        </w:tc>
        <w:tc>
          <w:tcPr>
            <w:tcW w:w="2612" w:type="pct"/>
            <w:tcBorders>
              <w:top w:val="nil"/>
              <w:bottom w:val="single" w:sz="4" w:space="0" w:color="auto"/>
            </w:tcBorders>
            <w:shd w:val="clear" w:color="auto" w:fill="auto"/>
          </w:tcPr>
          <w:p w14:paraId="32359AA5" w14:textId="77777777" w:rsidR="004F7F14" w:rsidRPr="005E3B43" w:rsidRDefault="004F7F14" w:rsidP="00763BCF">
            <w:pPr>
              <w:pStyle w:val="Tablea"/>
            </w:pPr>
            <w:r w:rsidRPr="005E3B43">
              <w:t>(f) the sponsor (if the sponsor is conducting the trial), or the body or organisation conducting the trial for the sponsor, must not receive, or have received, advice from the ethics committee that is inconsistent with the continuation of the trial; and</w:t>
            </w:r>
          </w:p>
          <w:p w14:paraId="4D7A8016" w14:textId="77777777" w:rsidR="004F7F14" w:rsidRPr="005E3B43" w:rsidRDefault="004F7F14" w:rsidP="00763BCF">
            <w:pPr>
              <w:pStyle w:val="Tablea"/>
            </w:pPr>
            <w:r w:rsidRPr="005E3B43">
              <w:t>(g) the conditions set out in regulation 12AD must be complied with, as if that regulation applied to a person using therapeutic goods under this item; and</w:t>
            </w:r>
          </w:p>
          <w:p w14:paraId="6F90A527" w14:textId="77777777" w:rsidR="004F7F14" w:rsidRPr="005E3B43" w:rsidRDefault="004F7F14" w:rsidP="00763BCF">
            <w:pPr>
              <w:pStyle w:val="Tablea"/>
            </w:pPr>
            <w:r w:rsidRPr="005E3B43">
              <w:t xml:space="preserve">(h) the goods are not </w:t>
            </w:r>
            <w:r w:rsidR="005E08D7" w:rsidRPr="005E3B43">
              <w:t>either or both</w:t>
            </w:r>
            <w:r w:rsidRPr="005E3B43">
              <w:t xml:space="preserve"> of the following:</w:t>
            </w:r>
          </w:p>
          <w:p w14:paraId="1B1CCF38" w14:textId="77777777" w:rsidR="004F7F14" w:rsidRPr="005E3B43" w:rsidRDefault="004F7F14" w:rsidP="00763BCF">
            <w:pPr>
              <w:pStyle w:val="Tablei"/>
              <w:tabs>
                <w:tab w:val="clear" w:pos="970"/>
              </w:tabs>
              <w:ind w:left="774"/>
            </w:pPr>
            <w:r w:rsidRPr="005E3B43">
              <w:t xml:space="preserve">(i) a Class 4 biological that has not received </w:t>
            </w:r>
            <w:r w:rsidRPr="005E3B43">
              <w:lastRenderedPageBreak/>
              <w:t>clinical trial approval for an equivalent indication from a national regulatory agency with comparable regulatory requirements;</w:t>
            </w:r>
          </w:p>
          <w:p w14:paraId="3B46492C" w14:textId="77777777" w:rsidR="004F7F14" w:rsidRPr="005E3B43" w:rsidRDefault="004F7F14" w:rsidP="00763BCF">
            <w:pPr>
              <w:pStyle w:val="Tablei"/>
              <w:ind w:left="774"/>
            </w:pPr>
            <w:r w:rsidRPr="005E3B43">
              <w:t>(ii) a Class 4 biological that does not have a history of previous usage that is supported by clinical evidence received by the TGA; and</w:t>
            </w:r>
          </w:p>
          <w:p w14:paraId="1271EECF" w14:textId="77777777" w:rsidR="00FD63AF" w:rsidRPr="005E3B43" w:rsidRDefault="00FD63AF" w:rsidP="00763BCF">
            <w:pPr>
              <w:pStyle w:val="Tablea"/>
            </w:pPr>
            <w:r w:rsidRPr="005E3B43">
              <w:t>(ha) the sponsor must notify the Secretary:</w:t>
            </w:r>
          </w:p>
          <w:p w14:paraId="37E33C2A" w14:textId="77777777" w:rsidR="00FD63AF" w:rsidRPr="005E3B43" w:rsidRDefault="00FD63AF" w:rsidP="00763BCF">
            <w:pPr>
              <w:pStyle w:val="Tablei"/>
            </w:pPr>
            <w:r w:rsidRPr="005E3B43">
              <w:t>(i) in a form approved by the Secretary; and</w:t>
            </w:r>
          </w:p>
          <w:p w14:paraId="2387DD3E" w14:textId="77777777" w:rsidR="00FD63AF" w:rsidRPr="005E3B43" w:rsidRDefault="00FD63AF" w:rsidP="00763BCF">
            <w:pPr>
              <w:pStyle w:val="Tablei"/>
            </w:pPr>
            <w:r w:rsidRPr="005E3B43">
              <w:t>(ii) in accordance with the requirements (if any) determined by the Secretary for the form of notification;</w:t>
            </w:r>
          </w:p>
          <w:p w14:paraId="2E3F6007" w14:textId="77777777" w:rsidR="00FD63AF" w:rsidRPr="005E3B43" w:rsidRDefault="00FD63AF" w:rsidP="00763BCF">
            <w:pPr>
              <w:pStyle w:val="Tablea"/>
            </w:pPr>
            <w:r w:rsidRPr="005E3B43">
              <w:tab/>
              <w:t>about any trial site not covered by the notification referred to in paragraph (a) and must do so before:</w:t>
            </w:r>
          </w:p>
          <w:p w14:paraId="5053B17A" w14:textId="77777777" w:rsidR="00FD63AF" w:rsidRPr="005E3B43" w:rsidRDefault="00FD63AF" w:rsidP="00763BCF">
            <w:pPr>
              <w:pStyle w:val="Tablei"/>
            </w:pPr>
            <w:r w:rsidRPr="005E3B43">
              <w:t>(iii) the goods begin to be used at that site, unless subparagraph (iv) applies; or</w:t>
            </w:r>
          </w:p>
          <w:p w14:paraId="35CC735B" w14:textId="77777777" w:rsidR="00FD63AF" w:rsidRPr="005E3B43" w:rsidRDefault="00FD63AF" w:rsidP="00763BCF">
            <w:pPr>
              <w:pStyle w:val="Tablei"/>
            </w:pPr>
            <w:r w:rsidRPr="005E3B43">
              <w:t>(iv) if the sponsor seeks the Secretary’s agreement to the notification being given before the end of a period nominated by the sponsor and the Secretary agrees to this—the end of that nominated period; and</w:t>
            </w:r>
          </w:p>
          <w:p w14:paraId="7F724252" w14:textId="03BB8742" w:rsidR="00FD63AF" w:rsidRPr="005E3B43" w:rsidRDefault="00FD63AF" w:rsidP="00763BCF">
            <w:pPr>
              <w:pStyle w:val="Tablea"/>
            </w:pPr>
            <w:r w:rsidRPr="005E3B43">
              <w:t xml:space="preserve">(hb) the notification referred to in paragraph (ha) must be accompanied by the relevant notification fee referred to in paragraph (b) of column 2 of </w:t>
            </w:r>
            <w:r w:rsidR="007C3215">
              <w:t>item 1</w:t>
            </w:r>
            <w:r w:rsidRPr="005E3B43">
              <w:t xml:space="preserve">4 in the table in clause 3 of Schedule 9 or paragraph (b) of the column headed “Matter” in </w:t>
            </w:r>
            <w:r w:rsidR="007C3215">
              <w:t>item 1</w:t>
            </w:r>
            <w:r w:rsidRPr="005E3B43">
              <w:t xml:space="preserve">7 of the table in </w:t>
            </w:r>
            <w:r w:rsidR="006B5D8E" w:rsidRPr="005E3B43">
              <w:t>Part 2</w:t>
            </w:r>
            <w:r w:rsidRPr="005E3B43">
              <w:t xml:space="preserve"> of Schedule 9A; and</w:t>
            </w:r>
          </w:p>
          <w:p w14:paraId="5D6742F1" w14:textId="77777777" w:rsidR="004F7F14" w:rsidRPr="005E3B43" w:rsidRDefault="004F7F14" w:rsidP="00763BCF">
            <w:pPr>
              <w:pStyle w:val="Tablea"/>
            </w:pPr>
            <w:r w:rsidRPr="005E3B43">
              <w:t>(i) the sponsor must comply with requests by an authorised officer, whether made before or after the start of the trial, to give information about the conduct of the trial (whether or not the sponsor is conducting the trial); and</w:t>
            </w:r>
          </w:p>
          <w:p w14:paraId="5D7FFAD4" w14:textId="77777777" w:rsidR="004F7F14" w:rsidRPr="005E3B43" w:rsidRDefault="004F7F14" w:rsidP="00763BCF">
            <w:pPr>
              <w:pStyle w:val="Tablea"/>
            </w:pPr>
            <w:r w:rsidRPr="005E3B43">
              <w:t>(j) if a body or organisation is conducting the trial for the sponsor, that body or organisation must comply with requests by an authorised officer, whether made before or after the start of the trial, to give information about the conduct of the trial; and</w:t>
            </w:r>
          </w:p>
          <w:p w14:paraId="11C68AB5" w14:textId="77777777" w:rsidR="004F7F14" w:rsidRPr="005E3B43" w:rsidRDefault="004F7F14" w:rsidP="00763BCF">
            <w:pPr>
              <w:pStyle w:val="Tablea"/>
            </w:pPr>
            <w:r w:rsidRPr="005E3B43">
              <w:t>(k) the sponsor (if the sponsor is conducting the trial), or the body or organisation conducting the trial for the sponsor, must allow an authorised officer to do the things mentioned in regulation 12AC</w:t>
            </w:r>
          </w:p>
        </w:tc>
      </w:tr>
      <w:tr w:rsidR="004F7F14" w:rsidRPr="005E3B43" w14:paraId="5FE68E63" w14:textId="77777777" w:rsidTr="004B7D53">
        <w:trPr>
          <w:trHeight w:val="20"/>
        </w:trPr>
        <w:tc>
          <w:tcPr>
            <w:tcW w:w="636" w:type="pct"/>
            <w:tcBorders>
              <w:top w:val="single" w:sz="4" w:space="0" w:color="auto"/>
              <w:bottom w:val="single" w:sz="4" w:space="0" w:color="auto"/>
            </w:tcBorders>
            <w:shd w:val="clear" w:color="auto" w:fill="auto"/>
          </w:tcPr>
          <w:p w14:paraId="633E8C1A" w14:textId="77777777" w:rsidR="004F7F14" w:rsidRPr="005E3B43" w:rsidRDefault="004F7F14" w:rsidP="00290E69">
            <w:pPr>
              <w:pStyle w:val="Tabletext"/>
              <w:keepNext/>
              <w:keepLines/>
            </w:pPr>
            <w:r w:rsidRPr="005E3B43">
              <w:lastRenderedPageBreak/>
              <w:t>4</w:t>
            </w:r>
          </w:p>
        </w:tc>
        <w:tc>
          <w:tcPr>
            <w:tcW w:w="1753" w:type="pct"/>
            <w:tcBorders>
              <w:top w:val="single" w:sz="4" w:space="0" w:color="auto"/>
              <w:bottom w:val="single" w:sz="4" w:space="0" w:color="auto"/>
            </w:tcBorders>
            <w:shd w:val="clear" w:color="auto" w:fill="auto"/>
          </w:tcPr>
          <w:p w14:paraId="71919DD4" w14:textId="77777777" w:rsidR="004F7F14" w:rsidRPr="005E3B43" w:rsidRDefault="004F7F14" w:rsidP="00290E69">
            <w:pPr>
              <w:pStyle w:val="Tabletext"/>
              <w:keepNext/>
              <w:keepLines/>
            </w:pPr>
            <w:r w:rsidRPr="005E3B43">
              <w:t>Therapeutic goods that are imported by a member of a group of persons</w:t>
            </w:r>
          </w:p>
        </w:tc>
        <w:tc>
          <w:tcPr>
            <w:tcW w:w="2612" w:type="pct"/>
            <w:tcBorders>
              <w:top w:val="single" w:sz="4" w:space="0" w:color="auto"/>
              <w:bottom w:val="single" w:sz="4" w:space="0" w:color="auto"/>
            </w:tcBorders>
            <w:shd w:val="clear" w:color="auto" w:fill="auto"/>
          </w:tcPr>
          <w:p w14:paraId="7A60CCCB" w14:textId="77777777" w:rsidR="004F7F14" w:rsidRPr="005E3B43" w:rsidRDefault="004F7F14" w:rsidP="00290E69">
            <w:pPr>
              <w:pStyle w:val="Tablea"/>
              <w:keepNext/>
              <w:keepLines/>
            </w:pPr>
            <w:r w:rsidRPr="005E3B43">
              <w:t>(a) the group must be visiting Australia to participate in a national or an international sporting event; and</w:t>
            </w:r>
          </w:p>
          <w:p w14:paraId="6E9D6E78" w14:textId="77777777" w:rsidR="004F7F14" w:rsidRPr="005E3B43" w:rsidRDefault="004F7F14" w:rsidP="00290E69">
            <w:pPr>
              <w:pStyle w:val="Tablea"/>
              <w:keepNext/>
              <w:keepLines/>
            </w:pPr>
            <w:r w:rsidRPr="005E3B43">
              <w:t>(b) the goods must be for use in the treatment of a member or members of that group; and</w:t>
            </w:r>
          </w:p>
          <w:p w14:paraId="28A3F2FF" w14:textId="33753716" w:rsidR="004F7F14" w:rsidRPr="005E3B43" w:rsidRDefault="004F7F14" w:rsidP="00290E69">
            <w:pPr>
              <w:pStyle w:val="Tablea"/>
              <w:keepNext/>
              <w:keepLines/>
            </w:pPr>
            <w:r w:rsidRPr="005E3B43">
              <w:t xml:space="preserve">(c) the importation of the goods must not be prohibited under the </w:t>
            </w:r>
            <w:r w:rsidR="00476AF8" w:rsidRPr="005E3B43">
              <w:rPr>
                <w:i/>
              </w:rPr>
              <w:t xml:space="preserve">Customs (Prohibited Imports) </w:t>
            </w:r>
            <w:r w:rsidR="007C3215">
              <w:rPr>
                <w:i/>
              </w:rPr>
              <w:t>Regulations 1</w:t>
            </w:r>
            <w:r w:rsidR="00476AF8" w:rsidRPr="005E3B43">
              <w:rPr>
                <w:i/>
              </w:rPr>
              <w:t>956</w:t>
            </w:r>
            <w:r w:rsidRPr="005E3B43">
              <w:t>; and</w:t>
            </w:r>
          </w:p>
          <w:p w14:paraId="34ADEECA" w14:textId="77777777" w:rsidR="004F7F14" w:rsidRPr="005E3B43" w:rsidRDefault="004F7F14" w:rsidP="00290E69">
            <w:pPr>
              <w:pStyle w:val="Tablea"/>
              <w:keepNext/>
              <w:keepLines/>
            </w:pPr>
            <w:r w:rsidRPr="005E3B43">
              <w:t>(d) the goods must not be supplied to, or used in the treatment of, a person who is not a member of the visiting group; and</w:t>
            </w:r>
          </w:p>
          <w:p w14:paraId="0FAE802C" w14:textId="77777777" w:rsidR="004F7F14" w:rsidRPr="005E3B43" w:rsidRDefault="004F7F14" w:rsidP="00290E69">
            <w:pPr>
              <w:pStyle w:val="Tablea"/>
              <w:keepNext/>
              <w:keepLines/>
            </w:pPr>
            <w:r w:rsidRPr="005E3B43">
              <w:t>(e) any portion of the goods that is unused at the end of the visit must be destroyed or removed from Australia; and</w:t>
            </w:r>
          </w:p>
          <w:p w14:paraId="3477C1B8" w14:textId="77777777" w:rsidR="004F7F14" w:rsidRPr="005E3B43" w:rsidRDefault="004F7F14" w:rsidP="00290E69">
            <w:pPr>
              <w:pStyle w:val="Tablea"/>
              <w:keepNext/>
              <w:keepLines/>
            </w:pPr>
            <w:r w:rsidRPr="005E3B43">
              <w:t>(f) a member of the group must be responsible for the control and custody of the goods while the group is in Australia; and</w:t>
            </w:r>
          </w:p>
          <w:p w14:paraId="714F9059" w14:textId="77777777" w:rsidR="004F7F14" w:rsidRPr="005E3B43" w:rsidRDefault="004F7F14" w:rsidP="00290E69">
            <w:pPr>
              <w:pStyle w:val="Tablea"/>
              <w:keepNext/>
              <w:keepLines/>
            </w:pPr>
            <w:r w:rsidRPr="005E3B43">
              <w:t>(g) the person referred to in paragraph (f) must:</w:t>
            </w:r>
          </w:p>
          <w:p w14:paraId="1461A4BD" w14:textId="77777777" w:rsidR="004F7F14" w:rsidRPr="005E3B43" w:rsidRDefault="004F7F14" w:rsidP="00290E69">
            <w:pPr>
              <w:pStyle w:val="Tablei"/>
              <w:keepNext/>
              <w:keepLines/>
              <w:tabs>
                <w:tab w:val="clear" w:pos="970"/>
              </w:tabs>
              <w:ind w:left="774"/>
            </w:pPr>
            <w:r w:rsidRPr="005E3B43">
              <w:t>(i) carry a list, in English, of the quantity and nature of the therapeutic goods imported; and</w:t>
            </w:r>
          </w:p>
          <w:p w14:paraId="00F9AAA0" w14:textId="77777777" w:rsidR="004F7F14" w:rsidRPr="005E3B43" w:rsidRDefault="004F7F14" w:rsidP="00290E69">
            <w:pPr>
              <w:pStyle w:val="Tablei"/>
              <w:keepNext/>
              <w:keepLines/>
              <w:tabs>
                <w:tab w:val="clear" w:pos="970"/>
              </w:tabs>
              <w:ind w:left="774"/>
            </w:pPr>
            <w:r w:rsidRPr="005E3B43">
              <w:t xml:space="preserve">(ii) for each of the goods that is not a </w:t>
            </w:r>
            <w:r w:rsidRPr="005E3B43">
              <w:rPr>
                <w:szCs w:val="22"/>
              </w:rPr>
              <w:t>biological—</w:t>
            </w:r>
            <w:r w:rsidRPr="005E3B43">
              <w:t>include in the list the generic name and strength of the active ingredient of the goods; and</w:t>
            </w:r>
          </w:p>
          <w:p w14:paraId="051365F0" w14:textId="77777777" w:rsidR="004F7F14" w:rsidRPr="005E3B43" w:rsidRDefault="004F7F14" w:rsidP="00290E69">
            <w:pPr>
              <w:pStyle w:val="Tablei"/>
              <w:keepNext/>
              <w:keepLines/>
              <w:tabs>
                <w:tab w:val="clear" w:pos="970"/>
              </w:tabs>
              <w:ind w:left="774"/>
            </w:pPr>
            <w:r w:rsidRPr="005E3B43">
              <w:t>(iii) keep a record of the use of the goods while the group is in Australia; and</w:t>
            </w:r>
          </w:p>
          <w:p w14:paraId="543A694D" w14:textId="77777777" w:rsidR="004F7F14" w:rsidRPr="005E3B43" w:rsidRDefault="004F7F14" w:rsidP="00290E69">
            <w:pPr>
              <w:pStyle w:val="Tablei"/>
              <w:keepNext/>
              <w:keepLines/>
              <w:ind w:left="774"/>
            </w:pPr>
            <w:r w:rsidRPr="005E3B43">
              <w:t>(iv) produce the list or the record for inspection at the request of a customs officer or a person who is an authorised officer for the purposes of a provision of Part 5 of these Regulations</w:t>
            </w:r>
          </w:p>
        </w:tc>
      </w:tr>
      <w:tr w:rsidR="004F7F14" w:rsidRPr="005E3B43" w14:paraId="295974A3" w14:textId="77777777" w:rsidTr="004B7D53">
        <w:trPr>
          <w:trHeight w:val="20"/>
        </w:trPr>
        <w:tc>
          <w:tcPr>
            <w:tcW w:w="636" w:type="pct"/>
            <w:tcBorders>
              <w:top w:val="single" w:sz="4" w:space="0" w:color="auto"/>
              <w:bottom w:val="nil"/>
            </w:tcBorders>
            <w:shd w:val="clear" w:color="auto" w:fill="auto"/>
          </w:tcPr>
          <w:p w14:paraId="2AF15DA2" w14:textId="77777777" w:rsidR="004F7F14" w:rsidRPr="005E3B43" w:rsidRDefault="004F7F14" w:rsidP="00763BCF">
            <w:pPr>
              <w:pStyle w:val="Tabletext"/>
            </w:pPr>
            <w:r w:rsidRPr="005E3B43">
              <w:t>5</w:t>
            </w:r>
          </w:p>
        </w:tc>
        <w:tc>
          <w:tcPr>
            <w:tcW w:w="1753" w:type="pct"/>
            <w:tcBorders>
              <w:top w:val="single" w:sz="4" w:space="0" w:color="auto"/>
              <w:bottom w:val="nil"/>
            </w:tcBorders>
            <w:shd w:val="clear" w:color="auto" w:fill="auto"/>
          </w:tcPr>
          <w:p w14:paraId="08A1D863" w14:textId="77777777" w:rsidR="004F7F14" w:rsidRPr="005E3B43" w:rsidRDefault="004F7F14" w:rsidP="00763BCF">
            <w:pPr>
              <w:pStyle w:val="Tabletext"/>
            </w:pPr>
            <w:r w:rsidRPr="005E3B43">
              <w:t>Therapeutic goods, if:</w:t>
            </w:r>
          </w:p>
          <w:p w14:paraId="43F6FAD9" w14:textId="77777777" w:rsidR="004F7F14" w:rsidRPr="005E3B43" w:rsidRDefault="004F7F14" w:rsidP="00763BCF">
            <w:pPr>
              <w:pStyle w:val="Tablea"/>
            </w:pPr>
            <w:r w:rsidRPr="005E3B43">
              <w:t>(a) the goods are not:</w:t>
            </w:r>
          </w:p>
          <w:p w14:paraId="7502291A" w14:textId="77777777" w:rsidR="004F7F14" w:rsidRPr="005E3B43" w:rsidRDefault="004F7F14" w:rsidP="00763BCF">
            <w:pPr>
              <w:pStyle w:val="Tablei"/>
            </w:pPr>
            <w:r w:rsidRPr="005E3B43">
              <w:t>(i) biologicals; or</w:t>
            </w:r>
          </w:p>
          <w:p w14:paraId="6EEFB537" w14:textId="77777777" w:rsidR="004F7F14" w:rsidRPr="005E3B43" w:rsidRDefault="004F7F14" w:rsidP="00763BCF">
            <w:pPr>
              <w:pStyle w:val="Tablei"/>
            </w:pPr>
            <w:r w:rsidRPr="005E3B43">
              <w:t xml:space="preserve">(ii) goods referred to in </w:t>
            </w:r>
            <w:r w:rsidR="006B5D8E" w:rsidRPr="005E3B43">
              <w:t>item 3</w:t>
            </w:r>
            <w:r w:rsidRPr="005E3B43">
              <w:t>; and</w:t>
            </w:r>
          </w:p>
          <w:p w14:paraId="7D07F909" w14:textId="77777777" w:rsidR="004F7F14" w:rsidRPr="005E3B43" w:rsidRDefault="004F7F14" w:rsidP="00763BCF">
            <w:pPr>
              <w:pStyle w:val="Tablea"/>
              <w:rPr>
                <w:lang w:eastAsia="en-US"/>
              </w:rPr>
            </w:pPr>
            <w:r w:rsidRPr="005E3B43">
              <w:t>(b) the goods are manufactured by a person under a contract between</w:t>
            </w:r>
            <w:r w:rsidRPr="005E3B43">
              <w:rPr>
                <w:lang w:eastAsia="en-US"/>
              </w:rPr>
              <w:t xml:space="preserve"> the person and a private hospital, a public hospital in a State or Territory or a public institution (the </w:t>
            </w:r>
            <w:r w:rsidRPr="005E3B43">
              <w:rPr>
                <w:b/>
                <w:i/>
                <w:lang w:eastAsia="en-US"/>
              </w:rPr>
              <w:t>relevant institution</w:t>
            </w:r>
            <w:r w:rsidRPr="005E3B43">
              <w:rPr>
                <w:lang w:eastAsia="en-US"/>
              </w:rPr>
              <w:t>); and</w:t>
            </w:r>
          </w:p>
          <w:p w14:paraId="35E9CA6D" w14:textId="77777777" w:rsidR="004F7F14" w:rsidRPr="005E3B43" w:rsidRDefault="004F7F14" w:rsidP="00763BCF">
            <w:pPr>
              <w:pStyle w:val="Tablea"/>
            </w:pPr>
            <w:r w:rsidRPr="005E3B43">
              <w:rPr>
                <w:lang w:eastAsia="en-US"/>
              </w:rPr>
              <w:t xml:space="preserve">(c) the manufacture is </w:t>
            </w:r>
            <w:r w:rsidRPr="005E3B43">
              <w:t>in accordance with a formulation specified by the relevant institution; and</w:t>
            </w:r>
          </w:p>
          <w:p w14:paraId="650790AF" w14:textId="77777777" w:rsidR="004F7F14" w:rsidRPr="005E3B43" w:rsidRDefault="004F7F14" w:rsidP="00763BCF">
            <w:pPr>
              <w:pStyle w:val="Tablea"/>
              <w:rPr>
                <w:lang w:eastAsia="en-US"/>
              </w:rPr>
            </w:pPr>
            <w:r w:rsidRPr="005E3B43">
              <w:rPr>
                <w:lang w:eastAsia="en-US"/>
              </w:rPr>
              <w:lastRenderedPageBreak/>
              <w:t>(d) the goods are for use by, or in connection with, a patient of:</w:t>
            </w:r>
          </w:p>
          <w:p w14:paraId="6E4688A6" w14:textId="77777777" w:rsidR="004F7F14" w:rsidRPr="005E3B43" w:rsidRDefault="004F7F14" w:rsidP="00763BCF">
            <w:pPr>
              <w:pStyle w:val="Tablei"/>
              <w:rPr>
                <w:lang w:eastAsia="en-US"/>
              </w:rPr>
            </w:pPr>
            <w:r w:rsidRPr="005E3B43">
              <w:rPr>
                <w:lang w:eastAsia="en-US"/>
              </w:rPr>
              <w:t xml:space="preserve">(i) </w:t>
            </w:r>
            <w:r w:rsidRPr="005E3B43">
              <w:t>the relevant institution; or</w:t>
            </w:r>
          </w:p>
          <w:p w14:paraId="22F54AE8" w14:textId="77777777" w:rsidR="004F7F14" w:rsidRPr="005E3B43" w:rsidRDefault="004F7F14" w:rsidP="00763BCF">
            <w:pPr>
              <w:pStyle w:val="Tablei"/>
              <w:ind w:left="774"/>
            </w:pPr>
            <w:r w:rsidRPr="005E3B43">
              <w:rPr>
                <w:lang w:eastAsia="en-US"/>
              </w:rPr>
              <w:t>(ii) if the relevant institution is a public hospital in a State or Territory—</w:t>
            </w:r>
            <w:r w:rsidRPr="005E3B43">
              <w:t>another public hospital in the State or Territory</w:t>
            </w:r>
          </w:p>
        </w:tc>
        <w:tc>
          <w:tcPr>
            <w:tcW w:w="2612" w:type="pct"/>
            <w:tcBorders>
              <w:top w:val="single" w:sz="4" w:space="0" w:color="auto"/>
              <w:bottom w:val="nil"/>
            </w:tcBorders>
            <w:shd w:val="clear" w:color="auto" w:fill="auto"/>
          </w:tcPr>
          <w:p w14:paraId="374770D6" w14:textId="77777777" w:rsidR="004F7F14" w:rsidRPr="005E3B43" w:rsidRDefault="004F7F14" w:rsidP="00763BCF">
            <w:pPr>
              <w:pStyle w:val="Tablea"/>
            </w:pPr>
            <w:r w:rsidRPr="005E3B43">
              <w:lastRenderedPageBreak/>
              <w:t>(a) there are no listed goods or registered goods that, in all relevant respects, are substantially similar to the goods; and</w:t>
            </w:r>
          </w:p>
          <w:p w14:paraId="4AC09151" w14:textId="77777777" w:rsidR="004F7F14" w:rsidRPr="005E3B43" w:rsidRDefault="004F7F14" w:rsidP="00763BCF">
            <w:pPr>
              <w:pStyle w:val="Tablea"/>
            </w:pPr>
            <w:r w:rsidRPr="005E3B43">
              <w:t xml:space="preserve">(b) the person: </w:t>
            </w:r>
          </w:p>
          <w:p w14:paraId="5893A684" w14:textId="77777777" w:rsidR="004F7F14" w:rsidRPr="005E3B43" w:rsidRDefault="004F7F14" w:rsidP="00763BCF">
            <w:pPr>
              <w:pStyle w:val="Tablei"/>
              <w:tabs>
                <w:tab w:val="clear" w:pos="970"/>
              </w:tabs>
              <w:ind w:left="774"/>
            </w:pPr>
            <w:r w:rsidRPr="005E3B43">
              <w:t>(i) manufactures the goods at premises in Australia; and</w:t>
            </w:r>
          </w:p>
          <w:p w14:paraId="33680AD8" w14:textId="77777777" w:rsidR="004F7F14" w:rsidRPr="005E3B43" w:rsidRDefault="004F7F14" w:rsidP="00763BCF">
            <w:pPr>
              <w:pStyle w:val="Tablei"/>
              <w:tabs>
                <w:tab w:val="clear" w:pos="970"/>
              </w:tabs>
              <w:ind w:left="774"/>
            </w:pPr>
            <w:r w:rsidRPr="005E3B43">
              <w:t>(ii) holds a licence, required by the Act, that authorises the manufacture, or a step in the manufacture, of the goods at those premises; and</w:t>
            </w:r>
          </w:p>
          <w:p w14:paraId="3974C1BB" w14:textId="77777777" w:rsidR="004F7F14" w:rsidRPr="005E3B43" w:rsidRDefault="004F7F14" w:rsidP="00763BCF">
            <w:pPr>
              <w:pStyle w:val="Tablea"/>
            </w:pPr>
            <w:r w:rsidRPr="005E3B43">
              <w:t xml:space="preserve">(c) the person notifies the Secretary, in accordance with a form approved by the Secretary and within 15 days of the end of a quarter, of: </w:t>
            </w:r>
          </w:p>
          <w:p w14:paraId="4F3904CA" w14:textId="77777777" w:rsidR="004F7F14" w:rsidRPr="005E3B43" w:rsidRDefault="004F7F14" w:rsidP="00763BCF">
            <w:pPr>
              <w:pStyle w:val="Tablei"/>
            </w:pPr>
            <w:r w:rsidRPr="005E3B43">
              <w:t xml:space="preserve">(i) the goods manufactured under the contract during that quarter; and </w:t>
            </w:r>
          </w:p>
          <w:p w14:paraId="59799BC3" w14:textId="77777777" w:rsidR="004F7F14" w:rsidRPr="005E3B43" w:rsidRDefault="004F7F14" w:rsidP="00763BCF">
            <w:pPr>
              <w:pStyle w:val="Tablei"/>
            </w:pPr>
            <w:r w:rsidRPr="005E3B43">
              <w:t xml:space="preserve">(ii) the relevant institution that entered the </w:t>
            </w:r>
            <w:r w:rsidRPr="005E3B43">
              <w:lastRenderedPageBreak/>
              <w:t>contract</w:t>
            </w:r>
          </w:p>
        </w:tc>
      </w:tr>
      <w:tr w:rsidR="004F7F14" w:rsidRPr="005E3B43" w:rsidDel="00AB166D" w14:paraId="5FD2D950" w14:textId="77777777" w:rsidTr="004B7D53">
        <w:trPr>
          <w:trHeight w:val="20"/>
        </w:trPr>
        <w:tc>
          <w:tcPr>
            <w:tcW w:w="636" w:type="pct"/>
            <w:tcBorders>
              <w:top w:val="single" w:sz="4" w:space="0" w:color="auto"/>
              <w:bottom w:val="single" w:sz="4" w:space="0" w:color="auto"/>
            </w:tcBorders>
            <w:shd w:val="clear" w:color="auto" w:fill="auto"/>
          </w:tcPr>
          <w:p w14:paraId="67DC6129" w14:textId="77777777" w:rsidR="004F7F14" w:rsidRPr="005E3B43" w:rsidDel="00AB166D" w:rsidRDefault="004F7F14" w:rsidP="00763BCF">
            <w:pPr>
              <w:pStyle w:val="Tabletext"/>
            </w:pPr>
            <w:r w:rsidRPr="005E3B43">
              <w:lastRenderedPageBreak/>
              <w:t>7</w:t>
            </w:r>
          </w:p>
        </w:tc>
        <w:tc>
          <w:tcPr>
            <w:tcW w:w="1753" w:type="pct"/>
            <w:tcBorders>
              <w:top w:val="single" w:sz="4" w:space="0" w:color="auto"/>
              <w:bottom w:val="single" w:sz="4" w:space="0" w:color="auto"/>
            </w:tcBorders>
            <w:shd w:val="clear" w:color="auto" w:fill="auto"/>
          </w:tcPr>
          <w:p w14:paraId="0C885AD5" w14:textId="77777777" w:rsidR="004F7F14" w:rsidRPr="005E3B43" w:rsidDel="00AB166D" w:rsidRDefault="004F7F14" w:rsidP="00763BCF">
            <w:pPr>
              <w:pStyle w:val="Tabletext"/>
            </w:pPr>
            <w:r w:rsidRPr="005E3B43">
              <w:t>Therapeutic goods, or parts of therapeutic goods, that form part of a medicine delivery system in which the medicine is supplied in a device that acts as a container</w:t>
            </w:r>
          </w:p>
        </w:tc>
        <w:tc>
          <w:tcPr>
            <w:tcW w:w="2612" w:type="pct"/>
            <w:tcBorders>
              <w:top w:val="single" w:sz="4" w:space="0" w:color="auto"/>
              <w:bottom w:val="single" w:sz="4" w:space="0" w:color="auto"/>
            </w:tcBorders>
            <w:shd w:val="clear" w:color="auto" w:fill="auto"/>
          </w:tcPr>
          <w:p w14:paraId="6611574C" w14:textId="77777777" w:rsidR="004F7F14" w:rsidRPr="005E3B43" w:rsidRDefault="004F7F14" w:rsidP="00763BCF">
            <w:pPr>
              <w:pStyle w:val="Tablea"/>
              <w:rPr>
                <w:rFonts w:eastAsiaTheme="minorHAnsi" w:cstheme="minorBidi"/>
                <w:lang w:eastAsia="en-US"/>
              </w:rPr>
            </w:pPr>
            <w:r w:rsidRPr="005E3B43">
              <w:t>(a) none of the goods, or any part of the goods are separately supplied in Australia; and</w:t>
            </w:r>
          </w:p>
          <w:p w14:paraId="424EE81C" w14:textId="77777777" w:rsidR="004F7F14" w:rsidRPr="005E3B43" w:rsidRDefault="004F7F14" w:rsidP="00763BCF">
            <w:pPr>
              <w:pStyle w:val="Tablea"/>
              <w:rPr>
                <w:rFonts w:eastAsiaTheme="minorHAnsi" w:cstheme="minorBidi"/>
                <w:lang w:eastAsia="en-US"/>
              </w:rPr>
            </w:pPr>
            <w:r w:rsidRPr="005E3B43">
              <w:t>(b) if the component and kit manufacturer are the same manufacturer and the components are not separately supplied outside the kit by the kit sponsor; and</w:t>
            </w:r>
          </w:p>
          <w:p w14:paraId="682B4A6B" w14:textId="77777777" w:rsidR="004F7F14" w:rsidRPr="005E3B43" w:rsidDel="00AB166D" w:rsidRDefault="004F7F14" w:rsidP="00763BCF">
            <w:pPr>
              <w:pStyle w:val="Tablea"/>
              <w:rPr>
                <w:rFonts w:eastAsiaTheme="minorHAnsi" w:cstheme="minorBidi"/>
                <w:lang w:eastAsia="en-US"/>
              </w:rPr>
            </w:pPr>
            <w:r w:rsidRPr="005E3B43">
              <w:t>(c) if the kit sponsor or the manufacturer obtains components from other manufacturers and the kit manufacturer’s licence covers quality control of those components</w:t>
            </w:r>
          </w:p>
        </w:tc>
      </w:tr>
      <w:tr w:rsidR="004F7F14" w:rsidRPr="005E3B43" w14:paraId="022F587D" w14:textId="77777777" w:rsidTr="004B7D53">
        <w:trPr>
          <w:trHeight w:val="20"/>
        </w:trPr>
        <w:tc>
          <w:tcPr>
            <w:tcW w:w="636" w:type="pct"/>
            <w:tcBorders>
              <w:top w:val="single" w:sz="4" w:space="0" w:color="auto"/>
              <w:bottom w:val="single" w:sz="4" w:space="0" w:color="auto"/>
            </w:tcBorders>
            <w:shd w:val="clear" w:color="auto" w:fill="auto"/>
          </w:tcPr>
          <w:p w14:paraId="36E7C83A" w14:textId="77777777" w:rsidR="004F7F14" w:rsidRPr="005E3B43" w:rsidRDefault="004F7F14" w:rsidP="00763BCF">
            <w:pPr>
              <w:pStyle w:val="Tabletext"/>
            </w:pPr>
            <w:r w:rsidRPr="005E3B43">
              <w:t>8</w:t>
            </w:r>
          </w:p>
        </w:tc>
        <w:tc>
          <w:tcPr>
            <w:tcW w:w="1753" w:type="pct"/>
            <w:tcBorders>
              <w:top w:val="single" w:sz="4" w:space="0" w:color="auto"/>
              <w:bottom w:val="single" w:sz="4" w:space="0" w:color="auto"/>
            </w:tcBorders>
            <w:shd w:val="clear" w:color="auto" w:fill="auto"/>
          </w:tcPr>
          <w:p w14:paraId="74F91DB4" w14:textId="77777777" w:rsidR="004F7F14" w:rsidRPr="005E3B43" w:rsidRDefault="004F7F14" w:rsidP="00763BCF">
            <w:pPr>
              <w:pStyle w:val="Tabletext"/>
            </w:pPr>
            <w:r w:rsidRPr="005E3B43">
              <w:t>Therapeutic goods imported by a member of a group of persons</w:t>
            </w:r>
          </w:p>
        </w:tc>
        <w:tc>
          <w:tcPr>
            <w:tcW w:w="2612" w:type="pct"/>
            <w:tcBorders>
              <w:top w:val="single" w:sz="4" w:space="0" w:color="auto"/>
              <w:bottom w:val="single" w:sz="4" w:space="0" w:color="auto"/>
            </w:tcBorders>
            <w:shd w:val="clear" w:color="auto" w:fill="auto"/>
          </w:tcPr>
          <w:p w14:paraId="13F56AEB" w14:textId="77777777" w:rsidR="004F7F14" w:rsidRPr="005E3B43" w:rsidRDefault="004F7F14" w:rsidP="00763BCF">
            <w:pPr>
              <w:pStyle w:val="Tablea"/>
            </w:pPr>
            <w:r w:rsidRPr="005E3B43">
              <w:t>(a) the group must be members of the military forces of another country, visiting Australia for military training; and</w:t>
            </w:r>
          </w:p>
          <w:p w14:paraId="49137BD5" w14:textId="77777777" w:rsidR="004F7F14" w:rsidRPr="005E3B43" w:rsidRDefault="004F7F14" w:rsidP="00763BCF">
            <w:pPr>
              <w:pStyle w:val="Tablea"/>
            </w:pPr>
            <w:r w:rsidRPr="005E3B43">
              <w:t>(b) the goods must be for use in the treatment of a member or members of that group; and</w:t>
            </w:r>
          </w:p>
          <w:p w14:paraId="0B8278A4" w14:textId="77777777" w:rsidR="004F7F14" w:rsidRPr="005E3B43" w:rsidRDefault="004F7F14" w:rsidP="00763BCF">
            <w:pPr>
              <w:pStyle w:val="Tablea"/>
            </w:pPr>
            <w:r w:rsidRPr="005E3B43">
              <w:t>(c) the goods must not be supplied to, or used in the treatment of, a person other than a member of:</w:t>
            </w:r>
          </w:p>
          <w:p w14:paraId="275AF263" w14:textId="77777777" w:rsidR="004F7F14" w:rsidRPr="005E3B43" w:rsidRDefault="004F7F14" w:rsidP="00763BCF">
            <w:pPr>
              <w:pStyle w:val="Tablei"/>
              <w:tabs>
                <w:tab w:val="clear" w:pos="970"/>
              </w:tabs>
              <w:ind w:left="774"/>
            </w:pPr>
            <w:r w:rsidRPr="005E3B43">
              <w:t>(i) the visiting group; or</w:t>
            </w:r>
          </w:p>
          <w:p w14:paraId="67118C64" w14:textId="77777777" w:rsidR="004F7F14" w:rsidRPr="005E3B43" w:rsidRDefault="004F7F14" w:rsidP="00763BCF">
            <w:pPr>
              <w:pStyle w:val="Tablei"/>
              <w:tabs>
                <w:tab w:val="clear" w:pos="970"/>
              </w:tabs>
              <w:ind w:left="774"/>
            </w:pPr>
            <w:r w:rsidRPr="005E3B43">
              <w:t>(ii) the Australian Defence Force; and</w:t>
            </w:r>
          </w:p>
          <w:p w14:paraId="2743BCA9" w14:textId="77777777" w:rsidR="004F7F14" w:rsidRPr="005E3B43" w:rsidRDefault="004F7F14" w:rsidP="00763BCF">
            <w:pPr>
              <w:pStyle w:val="Tablea"/>
            </w:pPr>
            <w:r w:rsidRPr="005E3B43">
              <w:t>(d) any portion of the goods that is unused at the end of the visit must be destroyed or removed from Australia; and</w:t>
            </w:r>
          </w:p>
          <w:p w14:paraId="6CA95B2F" w14:textId="77777777" w:rsidR="004F7F14" w:rsidRPr="005E3B43" w:rsidRDefault="004F7F14" w:rsidP="00763BCF">
            <w:pPr>
              <w:pStyle w:val="Tablea"/>
            </w:pPr>
            <w:r w:rsidRPr="005E3B43">
              <w:t>(e) a member of the group to whom the goods have been issued must be responsible for the control and custody of the goods while the group is in Australia; and</w:t>
            </w:r>
          </w:p>
          <w:p w14:paraId="381C1854" w14:textId="77777777" w:rsidR="004F7F14" w:rsidRPr="005E3B43" w:rsidRDefault="004F7F14" w:rsidP="00763BCF">
            <w:pPr>
              <w:pStyle w:val="Tablea"/>
            </w:pPr>
            <w:r w:rsidRPr="005E3B43">
              <w:t>(f) the person mentioned in paragraph (e) must:</w:t>
            </w:r>
          </w:p>
          <w:p w14:paraId="28DE2AE7" w14:textId="77777777" w:rsidR="004F7F14" w:rsidRPr="005E3B43" w:rsidRDefault="004F7F14" w:rsidP="00763BCF">
            <w:pPr>
              <w:pStyle w:val="Tablei"/>
              <w:tabs>
                <w:tab w:val="clear" w:pos="970"/>
              </w:tabs>
              <w:ind w:left="774"/>
            </w:pPr>
            <w:r w:rsidRPr="005E3B43">
              <w:t>(i) carry a list, in English, of the quantity and nature of the therapeutic goods imported; and</w:t>
            </w:r>
          </w:p>
          <w:p w14:paraId="6E20B855" w14:textId="77777777" w:rsidR="004F7F14" w:rsidRPr="005E3B43" w:rsidRDefault="004F7F14" w:rsidP="00763BCF">
            <w:pPr>
              <w:pStyle w:val="Tablei"/>
              <w:tabs>
                <w:tab w:val="clear" w:pos="970"/>
              </w:tabs>
              <w:ind w:left="774"/>
            </w:pPr>
            <w:r w:rsidRPr="005E3B43">
              <w:t xml:space="preserve">(ii) for each of the goods that is not a </w:t>
            </w:r>
            <w:r w:rsidRPr="005E3B43">
              <w:rPr>
                <w:szCs w:val="22"/>
              </w:rPr>
              <w:t>biological—</w:t>
            </w:r>
            <w:r w:rsidRPr="005E3B43">
              <w:t>include in the list the generic name and strength of the active ingredient of the goods; and</w:t>
            </w:r>
          </w:p>
          <w:p w14:paraId="784C7B9A" w14:textId="77777777" w:rsidR="004F7F14" w:rsidRPr="005E3B43" w:rsidRDefault="004F7F14" w:rsidP="00763BCF">
            <w:pPr>
              <w:pStyle w:val="Tablei"/>
              <w:tabs>
                <w:tab w:val="clear" w:pos="970"/>
              </w:tabs>
              <w:ind w:left="774"/>
            </w:pPr>
            <w:r w:rsidRPr="005E3B43">
              <w:t>(iii) keep a record of the use of the goods while the group is in Australia; and</w:t>
            </w:r>
          </w:p>
          <w:p w14:paraId="292EC459" w14:textId="77777777" w:rsidR="004F7F14" w:rsidRPr="005E3B43" w:rsidRDefault="004F7F14" w:rsidP="00763BCF">
            <w:pPr>
              <w:pStyle w:val="Tablei"/>
              <w:ind w:left="774"/>
            </w:pPr>
            <w:r w:rsidRPr="005E3B43">
              <w:t xml:space="preserve">(iv) produce the list or the record for inspection at the request of a customs officer or a person who is an authorised </w:t>
            </w:r>
            <w:r w:rsidRPr="005E3B43">
              <w:lastRenderedPageBreak/>
              <w:t>officer for a provision of Part 5 of these Regulations</w:t>
            </w:r>
          </w:p>
        </w:tc>
      </w:tr>
      <w:tr w:rsidR="004F7F14" w:rsidRPr="005E3B43" w:rsidDel="00D52AE8" w14:paraId="2F42056E" w14:textId="77777777" w:rsidTr="004B7D53">
        <w:trPr>
          <w:trHeight w:val="20"/>
        </w:trPr>
        <w:tc>
          <w:tcPr>
            <w:tcW w:w="636" w:type="pct"/>
            <w:tcBorders>
              <w:top w:val="single" w:sz="4" w:space="0" w:color="auto"/>
              <w:bottom w:val="single" w:sz="4" w:space="0" w:color="auto"/>
            </w:tcBorders>
            <w:shd w:val="clear" w:color="auto" w:fill="auto"/>
          </w:tcPr>
          <w:p w14:paraId="6D6251D4" w14:textId="77777777" w:rsidR="004F7F14" w:rsidRPr="005E3B43" w:rsidDel="00D52AE8" w:rsidRDefault="004F7F14" w:rsidP="00763BCF">
            <w:pPr>
              <w:pStyle w:val="Tabletext"/>
            </w:pPr>
            <w:r w:rsidRPr="005E3B43">
              <w:lastRenderedPageBreak/>
              <w:t>9</w:t>
            </w:r>
          </w:p>
        </w:tc>
        <w:tc>
          <w:tcPr>
            <w:tcW w:w="1753" w:type="pct"/>
            <w:tcBorders>
              <w:top w:val="single" w:sz="4" w:space="0" w:color="auto"/>
              <w:bottom w:val="single" w:sz="4" w:space="0" w:color="auto"/>
            </w:tcBorders>
            <w:shd w:val="clear" w:color="auto" w:fill="auto"/>
          </w:tcPr>
          <w:p w14:paraId="6FEA287A" w14:textId="77777777" w:rsidR="004F7F14" w:rsidRPr="005E3B43" w:rsidDel="00D52AE8" w:rsidRDefault="004F7F14" w:rsidP="00763BCF">
            <w:pPr>
              <w:pStyle w:val="Tabletext"/>
            </w:pPr>
            <w:r w:rsidRPr="005E3B43">
              <w:t>Unused emergency goods or unused emergency biologicals directed by the Secretary, under clause 7 of Schedule 5B, to be exported</w:t>
            </w:r>
          </w:p>
        </w:tc>
        <w:tc>
          <w:tcPr>
            <w:tcW w:w="2612" w:type="pct"/>
            <w:tcBorders>
              <w:top w:val="single" w:sz="4" w:space="0" w:color="auto"/>
              <w:bottom w:val="single" w:sz="4" w:space="0" w:color="auto"/>
            </w:tcBorders>
            <w:shd w:val="clear" w:color="auto" w:fill="auto"/>
          </w:tcPr>
          <w:p w14:paraId="051FC7D6" w14:textId="77777777" w:rsidR="004F7F14" w:rsidRPr="005E3B43" w:rsidDel="00D52AE8" w:rsidRDefault="004F7F14" w:rsidP="00763BCF">
            <w:pPr>
              <w:pStyle w:val="Tabletext"/>
            </w:pPr>
            <w:r w:rsidRPr="005E3B43">
              <w:t>the provisions of Schedule 5B continue to apply to the goods or biologicals, as if the goods or biologicals were not exempt from the operation of section 30G or 32CG of the Act</w:t>
            </w:r>
          </w:p>
        </w:tc>
      </w:tr>
      <w:tr w:rsidR="004F7F14" w:rsidRPr="005E3B43" w14:paraId="5C6A140E" w14:textId="77777777" w:rsidTr="004B7D53">
        <w:trPr>
          <w:trHeight w:val="20"/>
        </w:trPr>
        <w:tc>
          <w:tcPr>
            <w:tcW w:w="636" w:type="pct"/>
            <w:tcBorders>
              <w:top w:val="single" w:sz="4" w:space="0" w:color="auto"/>
              <w:bottom w:val="nil"/>
            </w:tcBorders>
            <w:shd w:val="clear" w:color="auto" w:fill="auto"/>
          </w:tcPr>
          <w:p w14:paraId="12D718A4" w14:textId="77777777" w:rsidR="004F7F14" w:rsidRPr="005E3B43" w:rsidRDefault="004F7F14" w:rsidP="00763BCF">
            <w:pPr>
              <w:pStyle w:val="Tabletext"/>
            </w:pPr>
            <w:r w:rsidRPr="005E3B43">
              <w:t>10</w:t>
            </w:r>
          </w:p>
        </w:tc>
        <w:tc>
          <w:tcPr>
            <w:tcW w:w="1753" w:type="pct"/>
            <w:tcBorders>
              <w:top w:val="single" w:sz="4" w:space="0" w:color="auto"/>
              <w:bottom w:val="nil"/>
            </w:tcBorders>
            <w:shd w:val="clear" w:color="auto" w:fill="auto"/>
          </w:tcPr>
          <w:p w14:paraId="60D91096" w14:textId="77777777" w:rsidR="004F7F14" w:rsidRPr="005E3B43" w:rsidRDefault="004F7F14" w:rsidP="00763BCF">
            <w:pPr>
              <w:pStyle w:val="Tabletext"/>
              <w:ind w:right="-39"/>
            </w:pPr>
            <w:r w:rsidRPr="005E3B43">
              <w:t>Therapeutic goods imported into Australia by a medical practitioner or a member of a medical team (being 1 or more persons under the professional supervision of a medical practitioner)</w:t>
            </w:r>
          </w:p>
        </w:tc>
        <w:tc>
          <w:tcPr>
            <w:tcW w:w="2612" w:type="pct"/>
            <w:tcBorders>
              <w:top w:val="single" w:sz="4" w:space="0" w:color="auto"/>
              <w:bottom w:val="nil"/>
            </w:tcBorders>
            <w:shd w:val="clear" w:color="auto" w:fill="auto"/>
          </w:tcPr>
          <w:p w14:paraId="025E2F80" w14:textId="77777777" w:rsidR="004F7F14" w:rsidRPr="005E3B43" w:rsidRDefault="004F7F14" w:rsidP="00763BCF">
            <w:pPr>
              <w:pStyle w:val="Tablea"/>
            </w:pPr>
            <w:r w:rsidRPr="005E3B43">
              <w:t>(a) the medical practitioner or medical team must be accompanying a person to Australia who:</w:t>
            </w:r>
          </w:p>
          <w:p w14:paraId="7250EF47" w14:textId="77777777" w:rsidR="004F7F14" w:rsidRPr="005E3B43" w:rsidRDefault="004F7F14" w:rsidP="00763BCF">
            <w:pPr>
              <w:pStyle w:val="Tablei"/>
              <w:tabs>
                <w:tab w:val="clear" w:pos="970"/>
              </w:tabs>
              <w:ind w:left="774"/>
            </w:pPr>
            <w:r w:rsidRPr="005E3B43">
              <w:t>(i) has a critical illness; and</w:t>
            </w:r>
          </w:p>
          <w:p w14:paraId="25F87653" w14:textId="77777777" w:rsidR="004F7F14" w:rsidRPr="005E3B43" w:rsidRDefault="004F7F14" w:rsidP="00763BCF">
            <w:pPr>
              <w:pStyle w:val="Tablei"/>
              <w:tabs>
                <w:tab w:val="clear" w:pos="970"/>
              </w:tabs>
              <w:ind w:left="774"/>
            </w:pPr>
            <w:r w:rsidRPr="005E3B43">
              <w:t>(ii) is under the direct care and supervision of the practitioner or team; and</w:t>
            </w:r>
          </w:p>
          <w:p w14:paraId="47E01E8D" w14:textId="77777777" w:rsidR="004F7F14" w:rsidRPr="005E3B43" w:rsidRDefault="004F7F14" w:rsidP="00763BCF">
            <w:pPr>
              <w:pStyle w:val="Tablea"/>
              <w:ind w:right="-94"/>
            </w:pPr>
            <w:r w:rsidRPr="005E3B43">
              <w:t>(b) the goods must be for use in the treatment of the person who has the critical illness; and</w:t>
            </w:r>
          </w:p>
          <w:p w14:paraId="7C00DD3D" w14:textId="4FB276F9" w:rsidR="004F7F14" w:rsidRPr="005E3B43" w:rsidRDefault="004F7F14" w:rsidP="00763BCF">
            <w:pPr>
              <w:pStyle w:val="Tablea"/>
            </w:pPr>
            <w:r w:rsidRPr="005E3B43">
              <w:t xml:space="preserve">(c) the importation of the goods must not be prohibited under the </w:t>
            </w:r>
            <w:r w:rsidRPr="005E3B43">
              <w:rPr>
                <w:i/>
              </w:rPr>
              <w:t xml:space="preserve">Customs (Prohibited Imports) </w:t>
            </w:r>
            <w:r w:rsidR="007C3215">
              <w:rPr>
                <w:i/>
              </w:rPr>
              <w:t>Regulations 1</w:t>
            </w:r>
            <w:r w:rsidRPr="005E3B43">
              <w:rPr>
                <w:i/>
              </w:rPr>
              <w:t>956</w:t>
            </w:r>
            <w:r w:rsidRPr="005E3B43">
              <w:t>; and</w:t>
            </w:r>
          </w:p>
          <w:p w14:paraId="48345B14" w14:textId="77777777" w:rsidR="004F7F14" w:rsidRPr="005E3B43" w:rsidRDefault="004F7F14" w:rsidP="00763BCF">
            <w:pPr>
              <w:pStyle w:val="Tablea"/>
            </w:pPr>
            <w:r w:rsidRPr="005E3B43">
              <w:rPr>
                <w:szCs w:val="22"/>
              </w:rPr>
              <w:t>(d) the quantity of the goods must be consistent with the quantity required for the treatment of the person mentioned in paragraph (b); and</w:t>
            </w:r>
          </w:p>
          <w:p w14:paraId="1B96FA17" w14:textId="77777777" w:rsidR="004F7F14" w:rsidRPr="005E3B43" w:rsidRDefault="004F7F14" w:rsidP="00763BCF">
            <w:pPr>
              <w:pStyle w:val="Tablea"/>
            </w:pPr>
            <w:r w:rsidRPr="005E3B43">
              <w:t>(e) the goods must not be supplied to, or used in the treatment of, a person other than the person mentioned in paragraph (b); and</w:t>
            </w:r>
          </w:p>
          <w:p w14:paraId="0A050672" w14:textId="77777777" w:rsidR="004F7F14" w:rsidRPr="005E3B43" w:rsidRDefault="004F7F14" w:rsidP="00763BCF">
            <w:pPr>
              <w:pStyle w:val="Tablea"/>
            </w:pPr>
            <w:r w:rsidRPr="005E3B43">
              <w:t>(f) any portion of the goods that is unused at the end of the visit must be destroyed or removed from Australia; and</w:t>
            </w:r>
          </w:p>
          <w:p w14:paraId="7DD4FED4" w14:textId="77777777" w:rsidR="004F7F14" w:rsidRPr="005E3B43" w:rsidRDefault="004F7F14" w:rsidP="00763BCF">
            <w:pPr>
              <w:pStyle w:val="Tablea"/>
            </w:pPr>
            <w:r w:rsidRPr="005E3B43">
              <w:t>(g) the medical practitioner, or a member of the medical team, must be responsible for the control and custody of the goods while the practitioner or team is in Australia; and</w:t>
            </w:r>
          </w:p>
          <w:p w14:paraId="6F410CCA" w14:textId="77777777" w:rsidR="004F7F14" w:rsidRPr="005E3B43" w:rsidRDefault="004F7F14" w:rsidP="00763BCF">
            <w:pPr>
              <w:pStyle w:val="Tablea"/>
            </w:pPr>
            <w:r w:rsidRPr="005E3B43">
              <w:t>(h) the person mentioned in paragraph (g) must:</w:t>
            </w:r>
          </w:p>
          <w:p w14:paraId="2D94924D" w14:textId="77777777" w:rsidR="004F7F14" w:rsidRPr="005E3B43" w:rsidRDefault="004F7F14" w:rsidP="00763BCF">
            <w:pPr>
              <w:pStyle w:val="Tablei"/>
              <w:tabs>
                <w:tab w:val="clear" w:pos="970"/>
              </w:tabs>
              <w:ind w:left="774"/>
            </w:pPr>
            <w:r w:rsidRPr="005E3B43">
              <w:t>(i) carry a list, in English, of the quantity and nature of the therapeutic goods imported; and</w:t>
            </w:r>
          </w:p>
          <w:p w14:paraId="37BD639F" w14:textId="77777777" w:rsidR="004F7F14" w:rsidRPr="005E3B43" w:rsidRDefault="004F7F14" w:rsidP="00763BCF">
            <w:pPr>
              <w:pStyle w:val="Tablei"/>
              <w:tabs>
                <w:tab w:val="clear" w:pos="970"/>
              </w:tabs>
              <w:ind w:left="774"/>
            </w:pPr>
            <w:r w:rsidRPr="005E3B43">
              <w:t>(ii) for each of the goods that is not a biological—include in the list the generic name and strength of the active ingredient of the goods; and</w:t>
            </w:r>
          </w:p>
          <w:p w14:paraId="77A3A7D2" w14:textId="77777777" w:rsidR="004F7F14" w:rsidRPr="005E3B43" w:rsidRDefault="004F7F14" w:rsidP="00763BCF">
            <w:pPr>
              <w:pStyle w:val="Tablei"/>
              <w:ind w:left="774"/>
            </w:pPr>
            <w:r w:rsidRPr="005E3B43">
              <w:t>(iii) keep a record of the use of the goods while the medical practitioner or medical team is in Australia; and</w:t>
            </w:r>
          </w:p>
        </w:tc>
      </w:tr>
      <w:tr w:rsidR="004F7F14" w:rsidRPr="005E3B43" w14:paraId="73E1FCD4" w14:textId="77777777" w:rsidTr="004B7D53">
        <w:trPr>
          <w:trHeight w:val="20"/>
        </w:trPr>
        <w:tc>
          <w:tcPr>
            <w:tcW w:w="636" w:type="pct"/>
            <w:tcBorders>
              <w:top w:val="nil"/>
              <w:bottom w:val="single" w:sz="4" w:space="0" w:color="auto"/>
            </w:tcBorders>
            <w:shd w:val="clear" w:color="auto" w:fill="auto"/>
          </w:tcPr>
          <w:p w14:paraId="6C904529" w14:textId="77777777" w:rsidR="004F7F14" w:rsidRPr="005E3B43" w:rsidRDefault="004F7F14" w:rsidP="00763BCF">
            <w:pPr>
              <w:pStyle w:val="Tabletext"/>
            </w:pPr>
          </w:p>
        </w:tc>
        <w:tc>
          <w:tcPr>
            <w:tcW w:w="1753" w:type="pct"/>
            <w:tcBorders>
              <w:top w:val="nil"/>
              <w:bottom w:val="single" w:sz="4" w:space="0" w:color="auto"/>
            </w:tcBorders>
            <w:shd w:val="clear" w:color="auto" w:fill="auto"/>
          </w:tcPr>
          <w:p w14:paraId="75BA1B32" w14:textId="77777777" w:rsidR="004F7F14" w:rsidRPr="005E3B43" w:rsidRDefault="004F7F14" w:rsidP="00763BCF">
            <w:pPr>
              <w:pStyle w:val="Tabletext"/>
              <w:ind w:right="-39"/>
            </w:pPr>
          </w:p>
        </w:tc>
        <w:tc>
          <w:tcPr>
            <w:tcW w:w="2612" w:type="pct"/>
            <w:tcBorders>
              <w:top w:val="nil"/>
              <w:bottom w:val="single" w:sz="4" w:space="0" w:color="auto"/>
            </w:tcBorders>
            <w:shd w:val="clear" w:color="auto" w:fill="auto"/>
          </w:tcPr>
          <w:p w14:paraId="7FB23D2E" w14:textId="77777777" w:rsidR="004F7F14" w:rsidRPr="005E3B43" w:rsidRDefault="004F7F14" w:rsidP="00763BCF">
            <w:pPr>
              <w:pStyle w:val="Tablei"/>
              <w:ind w:left="774"/>
            </w:pPr>
            <w:r w:rsidRPr="005E3B43">
              <w:t>(iv) produce the list or record for inspection at the request of a customs officer or a person who is an authorised officer for the purposes of a provision of Part 5 of these Regulations.</w:t>
            </w:r>
          </w:p>
        </w:tc>
      </w:tr>
      <w:tr w:rsidR="004F7F14" w:rsidRPr="005E3B43" w14:paraId="37C8228B" w14:textId="77777777" w:rsidTr="004B7D53">
        <w:trPr>
          <w:cantSplit/>
          <w:trHeight w:val="20"/>
        </w:trPr>
        <w:tc>
          <w:tcPr>
            <w:tcW w:w="636" w:type="pct"/>
            <w:tcBorders>
              <w:top w:val="single" w:sz="4" w:space="0" w:color="auto"/>
              <w:bottom w:val="nil"/>
            </w:tcBorders>
            <w:shd w:val="clear" w:color="auto" w:fill="auto"/>
          </w:tcPr>
          <w:p w14:paraId="3FAD393E" w14:textId="77777777" w:rsidR="004F7F14" w:rsidRPr="005E3B43" w:rsidRDefault="004F7F14" w:rsidP="00763BCF">
            <w:pPr>
              <w:pStyle w:val="Tabletext"/>
            </w:pPr>
            <w:r w:rsidRPr="005E3B43">
              <w:lastRenderedPageBreak/>
              <w:t>11</w:t>
            </w:r>
          </w:p>
        </w:tc>
        <w:tc>
          <w:tcPr>
            <w:tcW w:w="1753" w:type="pct"/>
            <w:tcBorders>
              <w:top w:val="single" w:sz="4" w:space="0" w:color="auto"/>
              <w:bottom w:val="nil"/>
            </w:tcBorders>
            <w:shd w:val="clear" w:color="auto" w:fill="auto"/>
          </w:tcPr>
          <w:p w14:paraId="7379CC79" w14:textId="77777777" w:rsidR="004F7F14" w:rsidRPr="005E3B43" w:rsidRDefault="004F7F14" w:rsidP="00763BCF">
            <w:pPr>
              <w:pStyle w:val="Tabletext"/>
            </w:pPr>
            <w:r w:rsidRPr="005E3B43">
              <w:t>Therapeutic goods imported into Australia by a member of a group of persons</w:t>
            </w:r>
          </w:p>
        </w:tc>
        <w:tc>
          <w:tcPr>
            <w:tcW w:w="2612" w:type="pct"/>
            <w:tcBorders>
              <w:top w:val="single" w:sz="4" w:space="0" w:color="auto"/>
              <w:bottom w:val="nil"/>
            </w:tcBorders>
            <w:shd w:val="clear" w:color="auto" w:fill="auto"/>
          </w:tcPr>
          <w:p w14:paraId="22A62CB4" w14:textId="77777777" w:rsidR="004F7F14" w:rsidRPr="005E3B43" w:rsidRDefault="004F7F14" w:rsidP="00763BCF">
            <w:pPr>
              <w:pStyle w:val="Tablea"/>
            </w:pPr>
            <w:r w:rsidRPr="005E3B43">
              <w:t>(a) the group must include a person who is the Head of State or Head of Government of a foreign country and senior Government officials of that country, who are visiting Australia on official business; and</w:t>
            </w:r>
          </w:p>
          <w:p w14:paraId="5C0DBAD9" w14:textId="77777777" w:rsidR="004F7F14" w:rsidRPr="005E3B43" w:rsidRDefault="004F7F14" w:rsidP="00763BCF">
            <w:pPr>
              <w:pStyle w:val="Tablea"/>
            </w:pPr>
            <w:r w:rsidRPr="005E3B43">
              <w:t>(b) the goods must be for use in the treatment of a member or members of the visiting group; and</w:t>
            </w:r>
          </w:p>
          <w:p w14:paraId="15C5FF49" w14:textId="4C71014A" w:rsidR="004F7F14" w:rsidRPr="005E3B43" w:rsidRDefault="004F7F14" w:rsidP="00763BCF">
            <w:pPr>
              <w:pStyle w:val="Tablea"/>
            </w:pPr>
            <w:r w:rsidRPr="005E3B43">
              <w:t xml:space="preserve">(c) the importation of the goods must not be prohibited under the </w:t>
            </w:r>
            <w:r w:rsidRPr="005E3B43">
              <w:rPr>
                <w:i/>
              </w:rPr>
              <w:t xml:space="preserve">Customs (Prohibited Imports) </w:t>
            </w:r>
            <w:r w:rsidR="007C3215">
              <w:rPr>
                <w:i/>
              </w:rPr>
              <w:t>Regulations 1</w:t>
            </w:r>
            <w:r w:rsidRPr="005E3B43">
              <w:rPr>
                <w:i/>
              </w:rPr>
              <w:t>956</w:t>
            </w:r>
            <w:r w:rsidRPr="005E3B43">
              <w:t>; and</w:t>
            </w:r>
          </w:p>
          <w:p w14:paraId="67DF4EF0" w14:textId="77777777" w:rsidR="004F7F14" w:rsidRPr="005E3B43" w:rsidRDefault="004F7F14" w:rsidP="00763BCF">
            <w:pPr>
              <w:pStyle w:val="Tablea"/>
            </w:pPr>
            <w:r w:rsidRPr="005E3B43">
              <w:t>(d) the goods must not be supplied to, or used in the treatment of, a person other than a member of the visiting group; and</w:t>
            </w:r>
          </w:p>
          <w:p w14:paraId="7CE42899" w14:textId="77777777" w:rsidR="004F7F14" w:rsidRPr="005E3B43" w:rsidRDefault="004F7F14" w:rsidP="00763BCF">
            <w:pPr>
              <w:pStyle w:val="Tablea"/>
            </w:pPr>
            <w:r w:rsidRPr="005E3B43">
              <w:t>(e) any portion of the goods that is unused at the end of the visit must be destroyed or removed from Australia; and</w:t>
            </w:r>
          </w:p>
          <w:p w14:paraId="57F6667F" w14:textId="77777777" w:rsidR="004F7F14" w:rsidRPr="005E3B43" w:rsidRDefault="004F7F14" w:rsidP="00763BCF">
            <w:pPr>
              <w:pStyle w:val="Tablea"/>
            </w:pPr>
            <w:r w:rsidRPr="005E3B43">
              <w:t>(f) a member of the visiting group must be responsible for the control and custody of the goods while the group is in Australia; and</w:t>
            </w:r>
          </w:p>
          <w:p w14:paraId="22C70C27" w14:textId="77777777" w:rsidR="004F7F14" w:rsidRPr="005E3B43" w:rsidRDefault="004F7F14" w:rsidP="00763BCF">
            <w:pPr>
              <w:pStyle w:val="Tablea"/>
            </w:pPr>
            <w:r w:rsidRPr="005E3B43">
              <w:t>(g) the person mentioned in paragraph (f) must:</w:t>
            </w:r>
          </w:p>
          <w:p w14:paraId="4929EADE" w14:textId="77777777" w:rsidR="004F7F14" w:rsidRPr="005E3B43" w:rsidRDefault="004F7F14" w:rsidP="00763BCF">
            <w:pPr>
              <w:pStyle w:val="Tablei"/>
              <w:tabs>
                <w:tab w:val="clear" w:pos="970"/>
              </w:tabs>
              <w:ind w:left="774"/>
            </w:pPr>
            <w:r w:rsidRPr="005E3B43">
              <w:t>(i) carry a list, in English, of the quantity and nature of the therapeutic goods imported; and</w:t>
            </w:r>
          </w:p>
          <w:p w14:paraId="6824110D" w14:textId="77777777" w:rsidR="004F7F14" w:rsidRPr="005E3B43" w:rsidRDefault="004F7F14" w:rsidP="00763BCF">
            <w:pPr>
              <w:pStyle w:val="Tablei"/>
              <w:tabs>
                <w:tab w:val="clear" w:pos="970"/>
              </w:tabs>
              <w:ind w:left="774"/>
            </w:pPr>
            <w:r w:rsidRPr="005E3B43">
              <w:t>(ii) for each of the goods that is not a biological—include in the list the generic name and strength of the active ingredient of the goods; and</w:t>
            </w:r>
          </w:p>
          <w:p w14:paraId="4AAF07B9" w14:textId="77777777" w:rsidR="004F7F14" w:rsidRPr="005E3B43" w:rsidRDefault="004F7F14" w:rsidP="00763BCF">
            <w:pPr>
              <w:pStyle w:val="Tablei"/>
              <w:ind w:left="774"/>
            </w:pPr>
            <w:r w:rsidRPr="005E3B43">
              <w:t>(iii) keep a record of the use of the goods while the group is in Australia; and</w:t>
            </w:r>
          </w:p>
        </w:tc>
      </w:tr>
      <w:tr w:rsidR="004F7F14" w:rsidRPr="005E3B43" w14:paraId="23FE24A3" w14:textId="77777777" w:rsidTr="004B7D53">
        <w:trPr>
          <w:trHeight w:val="20"/>
        </w:trPr>
        <w:tc>
          <w:tcPr>
            <w:tcW w:w="636" w:type="pct"/>
            <w:tcBorders>
              <w:top w:val="nil"/>
              <w:bottom w:val="single" w:sz="4" w:space="0" w:color="auto"/>
            </w:tcBorders>
            <w:shd w:val="clear" w:color="auto" w:fill="auto"/>
          </w:tcPr>
          <w:p w14:paraId="13E1FC46" w14:textId="77777777" w:rsidR="004F7F14" w:rsidRPr="005E3B43" w:rsidRDefault="004F7F14" w:rsidP="00763BCF">
            <w:pPr>
              <w:pStyle w:val="Tabletext"/>
            </w:pPr>
          </w:p>
        </w:tc>
        <w:tc>
          <w:tcPr>
            <w:tcW w:w="1753" w:type="pct"/>
            <w:tcBorders>
              <w:top w:val="nil"/>
              <w:bottom w:val="single" w:sz="4" w:space="0" w:color="auto"/>
            </w:tcBorders>
            <w:shd w:val="clear" w:color="auto" w:fill="auto"/>
          </w:tcPr>
          <w:p w14:paraId="5F97D1BC" w14:textId="77777777" w:rsidR="004F7F14" w:rsidRPr="005E3B43" w:rsidRDefault="004F7F14" w:rsidP="00763BCF">
            <w:pPr>
              <w:pStyle w:val="Tabletext"/>
            </w:pPr>
          </w:p>
        </w:tc>
        <w:tc>
          <w:tcPr>
            <w:tcW w:w="2612" w:type="pct"/>
            <w:tcBorders>
              <w:top w:val="nil"/>
              <w:bottom w:val="single" w:sz="4" w:space="0" w:color="auto"/>
            </w:tcBorders>
            <w:shd w:val="clear" w:color="auto" w:fill="auto"/>
          </w:tcPr>
          <w:p w14:paraId="5E55FE00" w14:textId="77777777" w:rsidR="004F7F14" w:rsidRPr="005E3B43" w:rsidRDefault="004F7F14" w:rsidP="00763BCF">
            <w:pPr>
              <w:pStyle w:val="Tablei"/>
              <w:ind w:left="774" w:right="-102"/>
            </w:pPr>
            <w:r w:rsidRPr="005E3B43">
              <w:t>(iv) produce the list or record for inspection at the request of a customs officer or a person who is an authorised officer for the purposes of a provision of Part 5 of these Regulations.</w:t>
            </w:r>
          </w:p>
        </w:tc>
      </w:tr>
      <w:tr w:rsidR="004F7F14" w:rsidRPr="005E3B43" w14:paraId="07FB572D" w14:textId="77777777" w:rsidTr="004B7D53">
        <w:trPr>
          <w:trHeight w:val="20"/>
        </w:trPr>
        <w:tc>
          <w:tcPr>
            <w:tcW w:w="636" w:type="pct"/>
            <w:tcBorders>
              <w:top w:val="single" w:sz="4" w:space="0" w:color="auto"/>
              <w:bottom w:val="nil"/>
            </w:tcBorders>
            <w:shd w:val="clear" w:color="auto" w:fill="auto"/>
          </w:tcPr>
          <w:p w14:paraId="67D04480" w14:textId="77777777" w:rsidR="004F7F14" w:rsidRPr="005E3B43" w:rsidRDefault="004F7F14" w:rsidP="00763BCF">
            <w:pPr>
              <w:pStyle w:val="Tabletext"/>
            </w:pPr>
            <w:r w:rsidRPr="005E3B43">
              <w:t>12</w:t>
            </w:r>
          </w:p>
        </w:tc>
        <w:tc>
          <w:tcPr>
            <w:tcW w:w="1753" w:type="pct"/>
            <w:tcBorders>
              <w:top w:val="single" w:sz="4" w:space="0" w:color="auto"/>
              <w:bottom w:val="nil"/>
            </w:tcBorders>
            <w:shd w:val="clear" w:color="auto" w:fill="auto"/>
          </w:tcPr>
          <w:p w14:paraId="3BE0C0AF" w14:textId="77777777" w:rsidR="004F7F14" w:rsidRPr="005E3B43" w:rsidRDefault="004F7F14" w:rsidP="00763BCF">
            <w:pPr>
              <w:pStyle w:val="Tabletext"/>
            </w:pPr>
            <w:r w:rsidRPr="005E3B43">
              <w:t>Therapeutic goods that are part of the medical supplies of a ship (including a yacht or other marine vessel) or aircraft visiting Australia</w:t>
            </w:r>
          </w:p>
        </w:tc>
        <w:tc>
          <w:tcPr>
            <w:tcW w:w="2612" w:type="pct"/>
            <w:tcBorders>
              <w:top w:val="single" w:sz="4" w:space="0" w:color="auto"/>
              <w:bottom w:val="nil"/>
            </w:tcBorders>
            <w:shd w:val="clear" w:color="auto" w:fill="auto"/>
          </w:tcPr>
          <w:p w14:paraId="384CDFC7" w14:textId="77777777" w:rsidR="004F7F14" w:rsidRPr="005E3B43" w:rsidRDefault="004F7F14" w:rsidP="00763BCF">
            <w:pPr>
              <w:pStyle w:val="Tablea"/>
            </w:pPr>
            <w:r w:rsidRPr="005E3B43">
              <w:t>(a) the goods must be for use in the treatment of a passenger or a member of the crew travelling on the ship or aircraft; and</w:t>
            </w:r>
          </w:p>
          <w:p w14:paraId="7831A5D6" w14:textId="33C60ECD" w:rsidR="004F7F14" w:rsidRPr="005E3B43" w:rsidRDefault="004F7F14" w:rsidP="00763BCF">
            <w:pPr>
              <w:pStyle w:val="Tablea"/>
            </w:pPr>
            <w:r w:rsidRPr="005E3B43">
              <w:t xml:space="preserve">(b) the importation of the goods must not be prohibited under the </w:t>
            </w:r>
            <w:r w:rsidRPr="005E3B43">
              <w:rPr>
                <w:i/>
              </w:rPr>
              <w:t xml:space="preserve">Customs (Prohibited Imports) </w:t>
            </w:r>
            <w:r w:rsidR="007C3215">
              <w:rPr>
                <w:i/>
              </w:rPr>
              <w:t>Regulations 1</w:t>
            </w:r>
            <w:r w:rsidRPr="005E3B43">
              <w:rPr>
                <w:i/>
              </w:rPr>
              <w:t>956</w:t>
            </w:r>
            <w:r w:rsidRPr="005E3B43">
              <w:t>; and</w:t>
            </w:r>
          </w:p>
          <w:p w14:paraId="23B40D10" w14:textId="77777777" w:rsidR="004F7F14" w:rsidRPr="005E3B43" w:rsidRDefault="004F7F14" w:rsidP="00763BCF">
            <w:pPr>
              <w:pStyle w:val="Tablea"/>
            </w:pPr>
            <w:r w:rsidRPr="005E3B43">
              <w:t>(c) the quantity of the goods must be consistent with the quantity required for the treatment of passengers and members of the crew travelling on the ship or aircraft; and</w:t>
            </w:r>
          </w:p>
          <w:p w14:paraId="4D65DE47" w14:textId="77777777" w:rsidR="004F7F14" w:rsidRPr="005E3B43" w:rsidRDefault="004F7F14" w:rsidP="00763BCF">
            <w:pPr>
              <w:pStyle w:val="Tablea"/>
            </w:pPr>
            <w:r w:rsidRPr="005E3B43">
              <w:t>(d) the goods must not be supplied to, or used in the treatment of, a person other than a passenger or a member of the crew travelling on the ship or aircraft; and</w:t>
            </w:r>
          </w:p>
          <w:p w14:paraId="580D1DDD" w14:textId="77777777" w:rsidR="004F7F14" w:rsidRPr="005E3B43" w:rsidRDefault="004F7F14" w:rsidP="00763BCF">
            <w:pPr>
              <w:pStyle w:val="Tablea"/>
            </w:pPr>
            <w:r w:rsidRPr="005E3B43">
              <w:lastRenderedPageBreak/>
              <w:t>(e) the goods must not be removed from the ship or aircraft while the ship or aircraft is in Australia; and</w:t>
            </w:r>
          </w:p>
          <w:p w14:paraId="0A3F797C" w14:textId="77777777" w:rsidR="004F7F14" w:rsidRPr="005E3B43" w:rsidRDefault="004F7F14" w:rsidP="00763BCF">
            <w:pPr>
              <w:pStyle w:val="Tablea"/>
            </w:pPr>
            <w:r w:rsidRPr="005E3B43">
              <w:t>(f) the master of the ship or the pilot of the aircraft must be responsible for the control and custody of the goods while the ship or aircraft is in Australia; and</w:t>
            </w:r>
          </w:p>
          <w:p w14:paraId="4024477D" w14:textId="77777777" w:rsidR="004F7F14" w:rsidRPr="005E3B43" w:rsidRDefault="004F7F14" w:rsidP="00763BCF">
            <w:pPr>
              <w:pStyle w:val="Tablea"/>
              <w:rPr>
                <w:rFonts w:eastAsiaTheme="minorHAnsi" w:cstheme="minorBidi"/>
                <w:lang w:eastAsia="en-US"/>
              </w:rPr>
            </w:pPr>
            <w:r w:rsidRPr="005E3B43">
              <w:t>(g) the person mentioned in paragraph (f) must:</w:t>
            </w:r>
          </w:p>
          <w:p w14:paraId="4AD75E27" w14:textId="77777777" w:rsidR="004F7F14" w:rsidRPr="005E3B43" w:rsidRDefault="004F7F14" w:rsidP="00763BCF">
            <w:pPr>
              <w:pStyle w:val="Tablei"/>
              <w:tabs>
                <w:tab w:val="clear" w:pos="970"/>
              </w:tabs>
              <w:ind w:left="719"/>
              <w:rPr>
                <w:rFonts w:eastAsiaTheme="minorHAnsi" w:cstheme="minorBidi"/>
                <w:lang w:eastAsia="en-US"/>
              </w:rPr>
            </w:pPr>
            <w:r w:rsidRPr="005E3B43">
              <w:t>(i) carry a list, in English, of the quantity and nature of the therapeutic goods imported; and</w:t>
            </w:r>
          </w:p>
          <w:p w14:paraId="4343CC8B" w14:textId="77777777" w:rsidR="004F7F14" w:rsidRPr="005E3B43" w:rsidRDefault="004F7F14" w:rsidP="00763BCF">
            <w:pPr>
              <w:pStyle w:val="Tablei"/>
              <w:tabs>
                <w:tab w:val="clear" w:pos="970"/>
              </w:tabs>
              <w:ind w:left="719"/>
              <w:rPr>
                <w:rFonts w:eastAsiaTheme="minorHAnsi" w:cstheme="minorBidi"/>
                <w:lang w:eastAsia="en-US"/>
              </w:rPr>
            </w:pPr>
            <w:r w:rsidRPr="005E3B43">
              <w:t>(ii) for each of the goods that is not a biological—include in the list the generic name and strength of the active ingredient of the goods; and</w:t>
            </w:r>
          </w:p>
          <w:p w14:paraId="1B0ACA30" w14:textId="77777777" w:rsidR="004F7F14" w:rsidRPr="005E3B43" w:rsidRDefault="004F7F14" w:rsidP="00763BCF">
            <w:pPr>
              <w:pStyle w:val="Tablei"/>
              <w:ind w:left="719"/>
            </w:pPr>
            <w:r w:rsidRPr="005E3B43">
              <w:t>(iii) keep a record of the use of the goods while the ship or aircraft is in Australia; and</w:t>
            </w:r>
          </w:p>
        </w:tc>
      </w:tr>
      <w:tr w:rsidR="004F7F14" w:rsidRPr="005E3B43" w14:paraId="1E97E8D0" w14:textId="77777777" w:rsidTr="004B7D53">
        <w:trPr>
          <w:trHeight w:val="20"/>
        </w:trPr>
        <w:tc>
          <w:tcPr>
            <w:tcW w:w="636" w:type="pct"/>
            <w:tcBorders>
              <w:top w:val="nil"/>
              <w:bottom w:val="single" w:sz="4" w:space="0" w:color="auto"/>
            </w:tcBorders>
            <w:shd w:val="clear" w:color="auto" w:fill="auto"/>
          </w:tcPr>
          <w:p w14:paraId="504C149E" w14:textId="77777777" w:rsidR="004F7F14" w:rsidRPr="005E3B43" w:rsidRDefault="004F7F14" w:rsidP="00763BCF">
            <w:pPr>
              <w:pStyle w:val="Tabletext"/>
            </w:pPr>
          </w:p>
        </w:tc>
        <w:tc>
          <w:tcPr>
            <w:tcW w:w="1753" w:type="pct"/>
            <w:tcBorders>
              <w:top w:val="nil"/>
              <w:bottom w:val="single" w:sz="4" w:space="0" w:color="auto"/>
            </w:tcBorders>
            <w:shd w:val="clear" w:color="auto" w:fill="auto"/>
          </w:tcPr>
          <w:p w14:paraId="11BFBEE1" w14:textId="77777777" w:rsidR="004F7F14" w:rsidRPr="005E3B43" w:rsidRDefault="004F7F14" w:rsidP="00763BCF">
            <w:pPr>
              <w:pStyle w:val="Tabletext"/>
            </w:pPr>
          </w:p>
        </w:tc>
        <w:tc>
          <w:tcPr>
            <w:tcW w:w="2612" w:type="pct"/>
            <w:tcBorders>
              <w:top w:val="nil"/>
              <w:bottom w:val="single" w:sz="4" w:space="0" w:color="auto"/>
            </w:tcBorders>
            <w:shd w:val="clear" w:color="auto" w:fill="auto"/>
          </w:tcPr>
          <w:p w14:paraId="040A6A2D" w14:textId="77777777" w:rsidR="004F7F14" w:rsidRPr="005E3B43" w:rsidRDefault="004F7F14" w:rsidP="00763BCF">
            <w:pPr>
              <w:pStyle w:val="Tablei"/>
              <w:ind w:left="719" w:right="-38"/>
            </w:pPr>
            <w:r w:rsidRPr="005E3B43">
              <w:t>(iv) produce the list or record for inspection at the request of a customs officer or a person who is an authorised officer for the purposes of a provision of Part 5 of these Regulations.</w:t>
            </w:r>
          </w:p>
        </w:tc>
      </w:tr>
      <w:tr w:rsidR="004F7F14" w:rsidRPr="005E3B43" w14:paraId="5F764736" w14:textId="77777777" w:rsidTr="004B7D53">
        <w:trPr>
          <w:trHeight w:val="20"/>
        </w:trPr>
        <w:tc>
          <w:tcPr>
            <w:tcW w:w="636" w:type="pct"/>
            <w:tcBorders>
              <w:top w:val="single" w:sz="4" w:space="0" w:color="auto"/>
              <w:bottom w:val="single" w:sz="4" w:space="0" w:color="auto"/>
            </w:tcBorders>
            <w:shd w:val="clear" w:color="auto" w:fill="auto"/>
          </w:tcPr>
          <w:p w14:paraId="44CB2A56" w14:textId="77777777" w:rsidR="004F7F14" w:rsidRPr="005E3B43" w:rsidRDefault="004F7F14" w:rsidP="00763BCF">
            <w:pPr>
              <w:pStyle w:val="Tabletext"/>
            </w:pPr>
            <w:r w:rsidRPr="005E3B43">
              <w:t>13</w:t>
            </w:r>
          </w:p>
        </w:tc>
        <w:tc>
          <w:tcPr>
            <w:tcW w:w="1753" w:type="pct"/>
            <w:tcBorders>
              <w:top w:val="single" w:sz="4" w:space="0" w:color="auto"/>
              <w:bottom w:val="single" w:sz="4" w:space="0" w:color="auto"/>
            </w:tcBorders>
            <w:shd w:val="clear" w:color="auto" w:fill="auto"/>
          </w:tcPr>
          <w:p w14:paraId="4123F69D" w14:textId="77777777" w:rsidR="004F7F14" w:rsidRPr="005E3B43" w:rsidRDefault="004F7F14" w:rsidP="00763BCF">
            <w:pPr>
              <w:pStyle w:val="Tabletext"/>
            </w:pPr>
            <w:r w:rsidRPr="005E3B43">
              <w:t>Therapeutic goods in relation to which all of the following paragraphs apply:</w:t>
            </w:r>
          </w:p>
          <w:p w14:paraId="1BB8C8EB" w14:textId="77777777" w:rsidR="004F7F14" w:rsidRPr="005E3B43" w:rsidRDefault="004F7F14" w:rsidP="00763BCF">
            <w:pPr>
              <w:pStyle w:val="Tablea"/>
            </w:pPr>
            <w:r w:rsidRPr="005E3B43">
              <w:t>(a) the goods comprise, contain or are derived from human cells or human tissues collected from a patient who is under the clinical care of a medical or dental practitioner;</w:t>
            </w:r>
          </w:p>
          <w:p w14:paraId="1B0097B8" w14:textId="77777777" w:rsidR="004F7F14" w:rsidRPr="005E3B43" w:rsidRDefault="004F7F14" w:rsidP="00763BCF">
            <w:pPr>
              <w:pStyle w:val="Tablea"/>
            </w:pPr>
            <w:r w:rsidRPr="005E3B43">
              <w:t>(b) the goods were manufactured by, or under the professional supervision of, the practitioner;</w:t>
            </w:r>
          </w:p>
          <w:p w14:paraId="00C9381A" w14:textId="77777777" w:rsidR="004F7F14" w:rsidRPr="005E3B43" w:rsidRDefault="004F7F14" w:rsidP="00763BCF">
            <w:pPr>
              <w:pStyle w:val="Tablea"/>
            </w:pPr>
            <w:r w:rsidRPr="005E3B43">
              <w:t>(c) the single indication of the goods is homologous use:</w:t>
            </w:r>
          </w:p>
          <w:p w14:paraId="4279F125" w14:textId="77777777" w:rsidR="004F7F14" w:rsidRPr="005E3B43" w:rsidRDefault="004F7F14" w:rsidP="00763BCF">
            <w:pPr>
              <w:pStyle w:val="Tablei"/>
            </w:pPr>
            <w:r w:rsidRPr="005E3B43">
              <w:t>(i) on that patient; and</w:t>
            </w:r>
          </w:p>
          <w:p w14:paraId="5B24FF05" w14:textId="77777777" w:rsidR="004F7F14" w:rsidRPr="005E3B43" w:rsidRDefault="004F7F14" w:rsidP="00763BCF">
            <w:pPr>
              <w:pStyle w:val="Tablei"/>
            </w:pPr>
            <w:r w:rsidRPr="005E3B43">
              <w:t>(ii) in a single clinical procedure; and</w:t>
            </w:r>
          </w:p>
          <w:p w14:paraId="35583B4F" w14:textId="77777777" w:rsidR="004F7F14" w:rsidRPr="005E3B43" w:rsidRDefault="004F7F14" w:rsidP="00763BCF">
            <w:pPr>
              <w:pStyle w:val="Tablei"/>
            </w:pPr>
            <w:r w:rsidRPr="005E3B43">
              <w:t>(iii) by, or under the professional supervision of, that practitioner;</w:t>
            </w:r>
          </w:p>
          <w:p w14:paraId="14E80D09" w14:textId="77777777" w:rsidR="004F7F14" w:rsidRPr="005E3B43" w:rsidRDefault="004F7F14" w:rsidP="00763BCF">
            <w:pPr>
              <w:pStyle w:val="Tablea"/>
            </w:pPr>
            <w:r w:rsidRPr="005E3B43">
              <w:t>(d) the goods have been subjected to only minimal manipulation;</w:t>
            </w:r>
          </w:p>
          <w:p w14:paraId="2548C2C0" w14:textId="77777777" w:rsidR="004F7F14" w:rsidRPr="005E3B43" w:rsidRDefault="004F7F14" w:rsidP="00763BCF">
            <w:pPr>
              <w:pStyle w:val="Tablea"/>
            </w:pPr>
            <w:r w:rsidRPr="005E3B43">
              <w:t>(e) the practitioner is registered in a State or internal Territory</w:t>
            </w:r>
          </w:p>
        </w:tc>
        <w:tc>
          <w:tcPr>
            <w:tcW w:w="2612" w:type="pct"/>
            <w:tcBorders>
              <w:top w:val="single" w:sz="4" w:space="0" w:color="auto"/>
              <w:bottom w:val="single" w:sz="4" w:space="0" w:color="auto"/>
            </w:tcBorders>
            <w:shd w:val="clear" w:color="auto" w:fill="auto"/>
          </w:tcPr>
          <w:p w14:paraId="7364073B" w14:textId="77777777" w:rsidR="004F7F14" w:rsidRPr="005E3B43" w:rsidRDefault="004F7F14" w:rsidP="00763BCF">
            <w:pPr>
              <w:pStyle w:val="Tabletext"/>
            </w:pPr>
            <w:r w:rsidRPr="005E3B43">
              <w:t>if the sponsor knows that particular information relating to an event or occurrence indicates that use of the goods as intended by the sponsor may have an unintended harmful effect, the sponsor must give the information to the Secretary within the period specified by regulation 16AB</w:t>
            </w:r>
          </w:p>
        </w:tc>
      </w:tr>
      <w:tr w:rsidR="004F7F14" w:rsidRPr="005E3B43" w14:paraId="5AEAC689" w14:textId="77777777" w:rsidTr="004B7D53">
        <w:trPr>
          <w:cantSplit/>
          <w:trHeight w:val="20"/>
        </w:trPr>
        <w:tc>
          <w:tcPr>
            <w:tcW w:w="636" w:type="pct"/>
            <w:tcBorders>
              <w:top w:val="single" w:sz="4" w:space="0" w:color="auto"/>
              <w:bottom w:val="single" w:sz="4" w:space="0" w:color="auto"/>
            </w:tcBorders>
            <w:shd w:val="clear" w:color="auto" w:fill="auto"/>
          </w:tcPr>
          <w:p w14:paraId="5796C84B" w14:textId="77777777" w:rsidR="004F7F14" w:rsidRPr="005E3B43" w:rsidRDefault="004F7F14" w:rsidP="00763BCF">
            <w:pPr>
              <w:pStyle w:val="Tabletext"/>
            </w:pPr>
            <w:r w:rsidRPr="005E3B43">
              <w:lastRenderedPageBreak/>
              <w:t>14</w:t>
            </w:r>
          </w:p>
        </w:tc>
        <w:tc>
          <w:tcPr>
            <w:tcW w:w="1753" w:type="pct"/>
            <w:tcBorders>
              <w:top w:val="single" w:sz="4" w:space="0" w:color="auto"/>
              <w:bottom w:val="single" w:sz="4" w:space="0" w:color="auto"/>
            </w:tcBorders>
            <w:shd w:val="clear" w:color="auto" w:fill="auto"/>
          </w:tcPr>
          <w:p w14:paraId="4E8ED1BE" w14:textId="77777777" w:rsidR="004F7F14" w:rsidRPr="005E3B43" w:rsidRDefault="004F7F14" w:rsidP="00763BCF">
            <w:pPr>
              <w:pStyle w:val="Tabletext"/>
            </w:pPr>
            <w:r w:rsidRPr="005E3B43">
              <w:t>Therapeutic goods in packs, if:</w:t>
            </w:r>
          </w:p>
          <w:p w14:paraId="58114076" w14:textId="77777777" w:rsidR="004F7F14" w:rsidRPr="005E3B43" w:rsidRDefault="004F7F14" w:rsidP="00763BCF">
            <w:pPr>
              <w:pStyle w:val="Tablea"/>
            </w:pPr>
            <w:r w:rsidRPr="005E3B43">
              <w:t>(a) the packs contain tampons or menstrual cups; and</w:t>
            </w:r>
          </w:p>
          <w:p w14:paraId="28E2D1ED" w14:textId="77777777" w:rsidR="004F7F14" w:rsidRPr="005E3B43" w:rsidRDefault="004F7F14" w:rsidP="00763BCF">
            <w:pPr>
              <w:pStyle w:val="Tablea"/>
            </w:pPr>
            <w:r w:rsidRPr="005E3B43">
              <w:t>(b) any other therapeutic goods in the packs are included in the Register; and</w:t>
            </w:r>
          </w:p>
          <w:p w14:paraId="209C2985" w14:textId="77777777" w:rsidR="004F7F14" w:rsidRPr="005E3B43" w:rsidRDefault="004F7F14" w:rsidP="00763BCF">
            <w:pPr>
              <w:pStyle w:val="Tablea"/>
            </w:pPr>
            <w:r w:rsidRPr="005E3B43">
              <w:t>(c) the packaging of any individually packaged medical devices or medicines in the pack is intact; and</w:t>
            </w:r>
          </w:p>
          <w:p w14:paraId="21F1A48A" w14:textId="77777777" w:rsidR="004F7F14" w:rsidRPr="005E3B43" w:rsidRDefault="004F7F14" w:rsidP="00763BCF">
            <w:pPr>
              <w:pStyle w:val="Tablea"/>
            </w:pPr>
            <w:r w:rsidRPr="005E3B43">
              <w:t>(d) the packs do not contain any of the following:</w:t>
            </w:r>
          </w:p>
          <w:p w14:paraId="4E421813" w14:textId="77777777" w:rsidR="004F7F14" w:rsidRPr="005E3B43" w:rsidRDefault="004F7F14" w:rsidP="00763BCF">
            <w:pPr>
              <w:pStyle w:val="Tablei"/>
            </w:pPr>
            <w:r w:rsidRPr="005E3B43">
              <w:t>(i) a biological;</w:t>
            </w:r>
          </w:p>
          <w:p w14:paraId="58A277DA" w14:textId="77777777" w:rsidR="004F7F14" w:rsidRPr="005E3B43" w:rsidRDefault="004F7F14" w:rsidP="00763BCF">
            <w:pPr>
              <w:pStyle w:val="Tablei"/>
            </w:pPr>
            <w:r w:rsidRPr="005E3B43">
              <w:t xml:space="preserve">(ii) a medicine mentioned in Part 1 of </w:t>
            </w:r>
            <w:r w:rsidR="008D1B4F" w:rsidRPr="005E3B43">
              <w:t>Schedule 1</w:t>
            </w:r>
            <w:r w:rsidRPr="005E3B43">
              <w:t>0;</w:t>
            </w:r>
          </w:p>
          <w:p w14:paraId="6BDCD610" w14:textId="1CBC06F4" w:rsidR="004F7F14" w:rsidRPr="005E3B43" w:rsidRDefault="004F7F14" w:rsidP="00763BCF">
            <w:pPr>
              <w:pStyle w:val="Tablei"/>
            </w:pPr>
            <w:r w:rsidRPr="005E3B43">
              <w:t xml:space="preserve">(iii) a medical device (other than an IVD medical device) that is classified under the </w:t>
            </w:r>
            <w:r w:rsidRPr="005E3B43">
              <w:rPr>
                <w:i/>
              </w:rPr>
              <w:t xml:space="preserve">Therapeutic Goods (Medical Devices) </w:t>
            </w:r>
            <w:r w:rsidR="007C3215">
              <w:rPr>
                <w:i/>
              </w:rPr>
              <w:t>Regulations 2</w:t>
            </w:r>
            <w:r w:rsidRPr="005E3B43">
              <w:rPr>
                <w:i/>
              </w:rPr>
              <w:t xml:space="preserve">002 </w:t>
            </w:r>
            <w:r w:rsidRPr="005E3B43">
              <w:t>as Class IIa or higher;</w:t>
            </w:r>
          </w:p>
          <w:p w14:paraId="120D04EC" w14:textId="296514CF" w:rsidR="004F7F14" w:rsidRPr="005E3B43" w:rsidRDefault="004F7F14" w:rsidP="00763BCF">
            <w:pPr>
              <w:pStyle w:val="Tablei"/>
            </w:pPr>
            <w:r w:rsidRPr="005E3B43">
              <w:t>(iv) an IVD medical device or in</w:t>
            </w:r>
            <w:r w:rsidR="007C3215">
              <w:noBreakHyphen/>
            </w:r>
            <w:r w:rsidRPr="005E3B43">
              <w:t xml:space="preserve">house IVD medical device that is classified under the </w:t>
            </w:r>
            <w:r w:rsidRPr="005E3B43">
              <w:rPr>
                <w:i/>
              </w:rPr>
              <w:t xml:space="preserve">Therapeutic Goods (Medical Devices) </w:t>
            </w:r>
            <w:r w:rsidR="007C3215">
              <w:rPr>
                <w:i/>
              </w:rPr>
              <w:t>Regulations 2</w:t>
            </w:r>
            <w:r w:rsidRPr="005E3B43">
              <w:rPr>
                <w:i/>
              </w:rPr>
              <w:t>002</w:t>
            </w:r>
            <w:r w:rsidRPr="005E3B43">
              <w:t xml:space="preserve"> as Class 2 or higher</w:t>
            </w:r>
          </w:p>
        </w:tc>
        <w:tc>
          <w:tcPr>
            <w:tcW w:w="2612" w:type="pct"/>
            <w:tcBorders>
              <w:top w:val="single" w:sz="4" w:space="0" w:color="auto"/>
              <w:bottom w:val="single" w:sz="4" w:space="0" w:color="auto"/>
            </w:tcBorders>
            <w:shd w:val="clear" w:color="auto" w:fill="auto"/>
          </w:tcPr>
          <w:p w14:paraId="188294CC" w14:textId="77777777" w:rsidR="004F7F14" w:rsidRPr="005E3B43" w:rsidRDefault="004F7F14" w:rsidP="00763BCF">
            <w:pPr>
              <w:pStyle w:val="Tabletext"/>
            </w:pPr>
            <w:r w:rsidRPr="005E3B43">
              <w:t>the packs must not be supplied:</w:t>
            </w:r>
          </w:p>
          <w:p w14:paraId="64931F63" w14:textId="77777777" w:rsidR="004F7F14" w:rsidRPr="005E3B43" w:rsidRDefault="004F7F14" w:rsidP="00763BCF">
            <w:pPr>
              <w:pStyle w:val="Tablea"/>
            </w:pPr>
            <w:r w:rsidRPr="005E3B43">
              <w:t>(a) by persons other than charities; or</w:t>
            </w:r>
          </w:p>
          <w:p w14:paraId="7B280B87" w14:textId="77777777" w:rsidR="004F7F14" w:rsidRPr="005E3B43" w:rsidRDefault="004F7F14" w:rsidP="00763BCF">
            <w:pPr>
              <w:pStyle w:val="Tablea"/>
            </w:pPr>
            <w:r w:rsidRPr="005E3B43">
              <w:t>(b) for a charge; or</w:t>
            </w:r>
          </w:p>
          <w:p w14:paraId="4A4F2FD4" w14:textId="77777777" w:rsidR="004F7F14" w:rsidRPr="005E3B43" w:rsidRDefault="004F7F14" w:rsidP="00763BCF">
            <w:pPr>
              <w:pStyle w:val="Tablea"/>
            </w:pPr>
            <w:r w:rsidRPr="005E3B43">
              <w:t>(c) to persons other than homeless or disadvantaged women</w:t>
            </w:r>
          </w:p>
        </w:tc>
      </w:tr>
      <w:tr w:rsidR="007D2753" w:rsidRPr="005E3B43" w14:paraId="58420DC4" w14:textId="77777777" w:rsidTr="004B7D53">
        <w:trPr>
          <w:trHeight w:val="20"/>
        </w:trPr>
        <w:tc>
          <w:tcPr>
            <w:tcW w:w="636" w:type="pct"/>
            <w:tcBorders>
              <w:top w:val="single" w:sz="4" w:space="0" w:color="auto"/>
              <w:bottom w:val="single" w:sz="4" w:space="0" w:color="auto"/>
            </w:tcBorders>
            <w:shd w:val="clear" w:color="auto" w:fill="auto"/>
          </w:tcPr>
          <w:p w14:paraId="7BCF4C88" w14:textId="77777777" w:rsidR="007D2753" w:rsidRPr="005E3B43" w:rsidRDefault="007D2753" w:rsidP="007D2753">
            <w:pPr>
              <w:pStyle w:val="Tabletext"/>
            </w:pPr>
            <w:r w:rsidRPr="005E3B43">
              <w:t>15</w:t>
            </w:r>
          </w:p>
        </w:tc>
        <w:tc>
          <w:tcPr>
            <w:tcW w:w="1753" w:type="pct"/>
            <w:tcBorders>
              <w:top w:val="single" w:sz="4" w:space="0" w:color="auto"/>
              <w:bottom w:val="single" w:sz="4" w:space="0" w:color="auto"/>
            </w:tcBorders>
            <w:shd w:val="clear" w:color="auto" w:fill="auto"/>
          </w:tcPr>
          <w:p w14:paraId="5AB80AA5" w14:textId="77777777" w:rsidR="007D2753" w:rsidRPr="005E3B43" w:rsidRDefault="007D2753" w:rsidP="007D2753">
            <w:pPr>
              <w:pStyle w:val="Tablea"/>
            </w:pPr>
            <w:r w:rsidRPr="005E3B43">
              <w:t>Therapeutic goods, if:</w:t>
            </w:r>
          </w:p>
          <w:p w14:paraId="617D44EA" w14:textId="77777777" w:rsidR="007D2753" w:rsidRPr="005E3B43" w:rsidRDefault="007D2753" w:rsidP="007D2753">
            <w:pPr>
              <w:pStyle w:val="Tablea"/>
            </w:pPr>
            <w:r w:rsidRPr="005E3B43">
              <w:t>(a) the goods are:</w:t>
            </w:r>
          </w:p>
          <w:p w14:paraId="1DC9B135" w14:textId="77777777" w:rsidR="007D2753" w:rsidRPr="005E3B43" w:rsidRDefault="007D2753" w:rsidP="007D2753">
            <w:pPr>
              <w:pStyle w:val="Tablei"/>
            </w:pPr>
            <w:r w:rsidRPr="005E3B43">
              <w:t>(i) therapeutic vaping substances; or</w:t>
            </w:r>
          </w:p>
          <w:p w14:paraId="5D9FFCD1" w14:textId="77777777" w:rsidR="007D2753" w:rsidRPr="005E3B43" w:rsidRDefault="007D2753" w:rsidP="007D2753">
            <w:pPr>
              <w:pStyle w:val="Tablei"/>
            </w:pPr>
            <w:r w:rsidRPr="005E3B43">
              <w:t>(ii) therapeutic vaping substance accessories; or</w:t>
            </w:r>
          </w:p>
          <w:p w14:paraId="5DB2D177" w14:textId="77777777" w:rsidR="007D2753" w:rsidRPr="005E3B43" w:rsidRDefault="007D2753" w:rsidP="007D2753">
            <w:pPr>
              <w:pStyle w:val="Tablei"/>
            </w:pPr>
            <w:r w:rsidRPr="005E3B43">
              <w:t>(iii) a therapeutic vaping kit; or</w:t>
            </w:r>
          </w:p>
          <w:p w14:paraId="301A9F84" w14:textId="77777777" w:rsidR="007D2753" w:rsidRPr="005E3B43" w:rsidRDefault="007D2753" w:rsidP="007D2753">
            <w:pPr>
              <w:pStyle w:val="Tablei"/>
            </w:pPr>
            <w:r w:rsidRPr="005E3B43">
              <w:t>(iv) goods in a therapeutic vaping pack; and</w:t>
            </w:r>
          </w:p>
          <w:p w14:paraId="08666A44" w14:textId="77777777" w:rsidR="007D2753" w:rsidRPr="005E3B43" w:rsidRDefault="007D2753" w:rsidP="007D2753">
            <w:pPr>
              <w:pStyle w:val="Tablea"/>
            </w:pPr>
            <w:r w:rsidRPr="005E3B43">
              <w:t>(b) the goods are not, or do not include, any medicinal cannabis products; and</w:t>
            </w:r>
          </w:p>
          <w:p w14:paraId="5C0767FA" w14:textId="77777777" w:rsidR="007D2753" w:rsidRPr="005E3B43" w:rsidRDefault="007D2753" w:rsidP="007D2753">
            <w:pPr>
              <w:pStyle w:val="Tablea"/>
            </w:pPr>
            <w:r w:rsidRPr="005E3B43">
              <w:t xml:space="preserve">(c) the only indications of the </w:t>
            </w:r>
            <w:r w:rsidRPr="005E3B43">
              <w:lastRenderedPageBreak/>
              <w:t>goods are use for smoking cessation or the management of nicotine dependence; and</w:t>
            </w:r>
          </w:p>
          <w:p w14:paraId="35CFEB95" w14:textId="4963B9EA" w:rsidR="00BA172E" w:rsidRDefault="007D2753" w:rsidP="00BA172E">
            <w:pPr>
              <w:pStyle w:val="Tablea"/>
            </w:pPr>
            <w:r w:rsidRPr="005E3B43">
              <w:t xml:space="preserve">(d) </w:t>
            </w:r>
            <w:r w:rsidR="005C0B98" w:rsidRPr="005E3B43">
              <w:t>for goods other than therapeutic vaping devices, or therapeutic vaping device accessories, in a therapeutic vaping pack—the sponsor</w:t>
            </w:r>
            <w:r w:rsidRPr="005E3B43">
              <w:t xml:space="preserve"> of the goods, and any other person involved in the wholesale or retail supply of the goods, intend the goods to be supplied to the ultimate consumer of the goods in accordance with an approval or authority under </w:t>
            </w:r>
            <w:r w:rsidR="007C3215">
              <w:t>section 1</w:t>
            </w:r>
            <w:r w:rsidRPr="005E3B43">
              <w:t>9 of the Act</w:t>
            </w:r>
            <w:r w:rsidR="00BA172E" w:rsidRPr="00E95706">
              <w:t>; and</w:t>
            </w:r>
          </w:p>
          <w:p w14:paraId="3CAA70C6" w14:textId="052D4C2C" w:rsidR="00BA172E" w:rsidRPr="00E95706" w:rsidRDefault="00BA172E" w:rsidP="00BA172E">
            <w:pPr>
              <w:pStyle w:val="Tablea"/>
            </w:pPr>
            <w:r w:rsidRPr="00E95706">
              <w:t xml:space="preserve">(e) the sponsor has given the Secretary a notice (the </w:t>
            </w:r>
            <w:r w:rsidRPr="00E95706">
              <w:rPr>
                <w:b/>
                <w:i/>
              </w:rPr>
              <w:t>sponsor notice</w:t>
            </w:r>
            <w:r w:rsidRPr="00E95706">
              <w:t>) stating that:</w:t>
            </w:r>
          </w:p>
          <w:p w14:paraId="71B52B47" w14:textId="5F240EA4" w:rsidR="00BA172E" w:rsidRPr="00E95706" w:rsidRDefault="00BA172E" w:rsidP="00BA172E">
            <w:pPr>
              <w:pStyle w:val="Tablei"/>
            </w:pPr>
            <w:r w:rsidRPr="00E95706">
              <w:t xml:space="preserve">(i) the goods conform with each standard (as in force from time to time) that is applicable to the goods, or are imported or supplied (as the case may be) with the consent of the Secretary under </w:t>
            </w:r>
            <w:r w:rsidR="007C3215">
              <w:t>section 1</w:t>
            </w:r>
            <w:r w:rsidRPr="00E95706">
              <w:t>4 or 14A of the Act; and</w:t>
            </w:r>
          </w:p>
          <w:p w14:paraId="4E4A2A58" w14:textId="77777777" w:rsidR="00BA172E" w:rsidRPr="00E95706" w:rsidRDefault="00BA172E" w:rsidP="00BA172E">
            <w:pPr>
              <w:pStyle w:val="Tablei"/>
            </w:pPr>
            <w:r w:rsidRPr="00E95706">
              <w:t>(ii) the only indications of the goods are use for smoking cessation or the management of nicotine dependence; and</w:t>
            </w:r>
          </w:p>
          <w:p w14:paraId="0E474D03" w14:textId="77777777" w:rsidR="00BA172E" w:rsidRPr="00E95706" w:rsidRDefault="00BA172E" w:rsidP="00BA172E">
            <w:pPr>
              <w:pStyle w:val="Tablea"/>
            </w:pPr>
            <w:r w:rsidRPr="00E95706">
              <w:t xml:space="preserve">(f) the sponsor notice has not been withdrawn by the sponsor by a notice (the </w:t>
            </w:r>
            <w:r w:rsidRPr="00E95706">
              <w:rPr>
                <w:b/>
                <w:i/>
              </w:rPr>
              <w:t>withdrawal notice</w:t>
            </w:r>
            <w:r w:rsidRPr="00E95706">
              <w:t>) given to the Secretary, with the withdrawal taking effect:</w:t>
            </w:r>
          </w:p>
          <w:p w14:paraId="606213CD" w14:textId="77777777" w:rsidR="00BA172E" w:rsidRPr="00E95706" w:rsidRDefault="00BA172E" w:rsidP="00BA172E">
            <w:pPr>
              <w:pStyle w:val="Tablei"/>
            </w:pPr>
            <w:r w:rsidRPr="00E95706">
              <w:t>(i) on the day specified in the withdrawal notice, being a day that is later than the day that notice is given to the Secretary; or</w:t>
            </w:r>
          </w:p>
          <w:p w14:paraId="2D9E83A7" w14:textId="77777777" w:rsidR="00BA172E" w:rsidRPr="00E95706" w:rsidRDefault="00BA172E" w:rsidP="00BA172E">
            <w:pPr>
              <w:pStyle w:val="Tablei"/>
            </w:pPr>
            <w:r w:rsidRPr="00E95706">
              <w:t xml:space="preserve">(ii) otherwise—on the day the withdrawal notice is </w:t>
            </w:r>
            <w:r w:rsidRPr="00E95706">
              <w:lastRenderedPageBreak/>
              <w:t>given; and</w:t>
            </w:r>
          </w:p>
          <w:p w14:paraId="352D71E3" w14:textId="77777777" w:rsidR="00BA172E" w:rsidRPr="00E95706" w:rsidRDefault="00BA172E" w:rsidP="00BA172E">
            <w:pPr>
              <w:pStyle w:val="Tablea"/>
            </w:pPr>
            <w:r w:rsidRPr="00E95706">
              <w:t>(g) the goods are not the subject of a determination, by the Secretary and published on the Department’s website, that the supply of the goods be stopped or should cease because:</w:t>
            </w:r>
          </w:p>
          <w:p w14:paraId="2B76F199" w14:textId="77777777" w:rsidR="00BA172E" w:rsidRPr="00E95706" w:rsidRDefault="00BA172E" w:rsidP="00BA172E">
            <w:pPr>
              <w:pStyle w:val="Tablei"/>
            </w:pPr>
            <w:r w:rsidRPr="00E95706">
              <w:t>(i) the Secretary is satisfied that the supply compromises public health and safety; or</w:t>
            </w:r>
          </w:p>
          <w:p w14:paraId="0D1F5626" w14:textId="77777777" w:rsidR="00BA172E" w:rsidRPr="00E95706" w:rsidRDefault="00BA172E" w:rsidP="00BA172E">
            <w:pPr>
              <w:pStyle w:val="Tablei"/>
            </w:pPr>
            <w:r w:rsidRPr="00E95706">
              <w:t>(ii) the Secretary is satisfied that the goods do not conform with a standard applicable to the goods; or</w:t>
            </w:r>
          </w:p>
          <w:p w14:paraId="232CC148" w14:textId="7748AAEE" w:rsidR="007D2753" w:rsidRPr="005E3B43" w:rsidRDefault="00BA172E" w:rsidP="002D450C">
            <w:pPr>
              <w:pStyle w:val="Tablei"/>
            </w:pPr>
            <w:r w:rsidRPr="00E95706">
              <w:t>(iii) the sponsor has failed to comply with a request by the Secretary under paragraph (e) of column 3 of this item</w:t>
            </w:r>
          </w:p>
        </w:tc>
        <w:tc>
          <w:tcPr>
            <w:tcW w:w="2612" w:type="pct"/>
            <w:tcBorders>
              <w:top w:val="single" w:sz="4" w:space="0" w:color="auto"/>
              <w:bottom w:val="single" w:sz="4" w:space="0" w:color="auto"/>
            </w:tcBorders>
            <w:shd w:val="clear" w:color="auto" w:fill="auto"/>
          </w:tcPr>
          <w:p w14:paraId="5F9C8B9B" w14:textId="77777777" w:rsidR="00BA172E" w:rsidRPr="00E95706" w:rsidRDefault="00BA172E" w:rsidP="00BA172E">
            <w:pPr>
              <w:pStyle w:val="Tablea"/>
            </w:pPr>
            <w:r w:rsidRPr="00E95706">
              <w:lastRenderedPageBreak/>
              <w:t>(a) the sponsor must give the sponsor notice to the Secretary in a form approved in writing by the Secretary; and</w:t>
            </w:r>
          </w:p>
          <w:p w14:paraId="6A199B58" w14:textId="77777777" w:rsidR="00A65FD8" w:rsidRPr="005E3B43" w:rsidRDefault="00A65FD8" w:rsidP="00A65FD8">
            <w:pPr>
              <w:pStyle w:val="Tablea"/>
            </w:pPr>
            <w:r w:rsidRPr="005E3B43">
              <w:t>(b) the sponsor notice must be given as follows:</w:t>
            </w:r>
          </w:p>
          <w:p w14:paraId="73696671" w14:textId="77777777" w:rsidR="00A65FD8" w:rsidRPr="005E3B43" w:rsidRDefault="00A65FD8" w:rsidP="00A65FD8">
            <w:pPr>
              <w:pStyle w:val="Tablei"/>
            </w:pPr>
            <w:r w:rsidRPr="005E3B43">
              <w:t>(i) for goods imported into Australia on or after 1 March 2024—before the goods are imported;</w:t>
            </w:r>
          </w:p>
          <w:p w14:paraId="2D8BF756" w14:textId="07112124" w:rsidR="00A65FD8" w:rsidRPr="005E3B43" w:rsidRDefault="00A65FD8" w:rsidP="00A65FD8">
            <w:pPr>
              <w:pStyle w:val="Tablei"/>
            </w:pPr>
            <w:r w:rsidRPr="005E3B43">
              <w:t xml:space="preserve">(ii) for goods imported into Australia before 1 March 2024—before the earlier of the time the goods are supplied to the ultimate consumer and the end of the period of 2 months beginning on the day Schedule 1 to the </w:t>
            </w:r>
            <w:r w:rsidRPr="005E3B43">
              <w:rPr>
                <w:i/>
              </w:rPr>
              <w:t xml:space="preserve">Therapeutic Goods Legislation Amendment (Vaping Reforms) </w:t>
            </w:r>
            <w:r w:rsidR="007C3215">
              <w:rPr>
                <w:i/>
              </w:rPr>
              <w:t>Regulations 2</w:t>
            </w:r>
            <w:r w:rsidRPr="005E3B43">
              <w:rPr>
                <w:i/>
              </w:rPr>
              <w:t>024</w:t>
            </w:r>
            <w:r w:rsidRPr="005E3B43">
              <w:t xml:space="preserve"> commences; and</w:t>
            </w:r>
          </w:p>
          <w:p w14:paraId="6D9C6280" w14:textId="77777777" w:rsidR="00A65FD8" w:rsidRPr="005E3B43" w:rsidRDefault="00A65FD8" w:rsidP="00A65FD8">
            <w:pPr>
              <w:pStyle w:val="Tablei"/>
            </w:pPr>
            <w:r w:rsidRPr="005E3B43">
              <w:t xml:space="preserve">(iii) for goods manufactured in Australia on </w:t>
            </w:r>
            <w:r w:rsidRPr="005E3B43">
              <w:lastRenderedPageBreak/>
              <w:t>or after 1 March 2024—before the goods are first supplied in Australia; and</w:t>
            </w:r>
          </w:p>
          <w:p w14:paraId="237BB48C" w14:textId="6EDB93DD" w:rsidR="00A65FD8" w:rsidRPr="005E3B43" w:rsidRDefault="00A65FD8" w:rsidP="00A65FD8">
            <w:pPr>
              <w:pStyle w:val="Tablei"/>
            </w:pPr>
            <w:r w:rsidRPr="005E3B43">
              <w:t xml:space="preserve">(iv) for goods manufactured in Australia before 1 March 2024—before the earlier of the time the goods are supplied to the ultimate consumer and the end of the period of 2 months beginning on the day Schedule 1 to the </w:t>
            </w:r>
            <w:r w:rsidRPr="005E3B43">
              <w:rPr>
                <w:i/>
              </w:rPr>
              <w:t xml:space="preserve">Therapeutic Goods Legislation Amendment (Vaping Reforms) </w:t>
            </w:r>
            <w:r w:rsidR="007C3215">
              <w:rPr>
                <w:i/>
              </w:rPr>
              <w:t>Regulations 2</w:t>
            </w:r>
            <w:r w:rsidRPr="005E3B43">
              <w:rPr>
                <w:i/>
              </w:rPr>
              <w:t>024</w:t>
            </w:r>
            <w:r w:rsidRPr="005E3B43">
              <w:t xml:space="preserve"> commences; and</w:t>
            </w:r>
          </w:p>
          <w:p w14:paraId="463D4644" w14:textId="77777777" w:rsidR="00BA172E" w:rsidRPr="00E95706" w:rsidRDefault="00BA172E" w:rsidP="00BA172E">
            <w:pPr>
              <w:pStyle w:val="Tablea"/>
            </w:pPr>
            <w:r w:rsidRPr="00E95706">
              <w:t>(c) the sponsor holds information or evidence to support:</w:t>
            </w:r>
          </w:p>
          <w:p w14:paraId="37BD6968" w14:textId="77777777" w:rsidR="00BA172E" w:rsidRPr="00E95706" w:rsidRDefault="00BA172E" w:rsidP="00BA172E">
            <w:pPr>
              <w:pStyle w:val="Tablei"/>
            </w:pPr>
            <w:r w:rsidRPr="00E95706">
              <w:t xml:space="preserve">(i) </w:t>
            </w:r>
            <w:r w:rsidRPr="00E95706">
              <w:rPr>
                <w:lang w:eastAsia="en-US"/>
              </w:rPr>
              <w:t xml:space="preserve">the </w:t>
            </w:r>
            <w:r w:rsidRPr="00E95706">
              <w:t>statement made in the sponsor notice under subparagraph (e)(ii) of column 2 of this item; and</w:t>
            </w:r>
          </w:p>
          <w:p w14:paraId="7881984A" w14:textId="77777777" w:rsidR="00BA172E" w:rsidRPr="00E95706" w:rsidRDefault="00BA172E" w:rsidP="00BA172E">
            <w:pPr>
              <w:pStyle w:val="Tablei"/>
            </w:pPr>
            <w:r w:rsidRPr="00E95706">
              <w:t>(ii) if the sponsor has not given a notice under paragraph (e) of this column of this item—the statement made in the sponsor notice under subparagraph (e)(i) of column 2 of this item; and</w:t>
            </w:r>
          </w:p>
          <w:p w14:paraId="1EBC4319" w14:textId="77777777" w:rsidR="00BA172E" w:rsidRPr="00E95706" w:rsidRDefault="00BA172E" w:rsidP="00BA172E">
            <w:pPr>
              <w:pStyle w:val="Tablei"/>
            </w:pPr>
            <w:r w:rsidRPr="00E95706">
              <w:t>(iii) if the sponsor has given one or more notices under paragraph (e) of this column of this item—</w:t>
            </w:r>
            <w:r w:rsidRPr="00E95706">
              <w:rPr>
                <w:lang w:eastAsia="en-US"/>
              </w:rPr>
              <w:t xml:space="preserve">the </w:t>
            </w:r>
            <w:r w:rsidRPr="00E95706">
              <w:t>statement made in the most recent of those notices;</w:t>
            </w:r>
          </w:p>
          <w:p w14:paraId="3766E56F" w14:textId="77777777" w:rsidR="00BA172E" w:rsidRPr="00E95706" w:rsidRDefault="00BA172E" w:rsidP="00BA172E">
            <w:pPr>
              <w:pStyle w:val="Tablea"/>
            </w:pPr>
            <w:r w:rsidRPr="00E95706">
              <w:tab/>
              <w:t>including, in relation to a statement that the goods conform with each standard (as in force from time to time) that is applicable to the goods, to demonstrate that the goods continue to so conform; and</w:t>
            </w:r>
          </w:p>
          <w:p w14:paraId="017C9484" w14:textId="77777777" w:rsidR="00BA172E" w:rsidRPr="00E95706" w:rsidRDefault="00BA172E" w:rsidP="00BA172E">
            <w:pPr>
              <w:pStyle w:val="Tablea"/>
            </w:pPr>
            <w:r w:rsidRPr="00E95706">
              <w:t>(d) the following statements are, and continue to be, correct:</w:t>
            </w:r>
          </w:p>
          <w:p w14:paraId="235A407B" w14:textId="77777777" w:rsidR="00BA172E" w:rsidRPr="00E95706" w:rsidRDefault="00BA172E" w:rsidP="00BA172E">
            <w:pPr>
              <w:pStyle w:val="Tablei"/>
            </w:pPr>
            <w:r w:rsidRPr="00E95706">
              <w:t xml:space="preserve">(i) </w:t>
            </w:r>
            <w:r w:rsidRPr="00E95706">
              <w:rPr>
                <w:lang w:eastAsia="en-US"/>
              </w:rPr>
              <w:t xml:space="preserve">the </w:t>
            </w:r>
            <w:r w:rsidRPr="00E95706">
              <w:t>statement made in the sponsor notice under subparagraph (e)(ii) of column 2 of this item;</w:t>
            </w:r>
          </w:p>
          <w:p w14:paraId="58686ED2" w14:textId="77777777" w:rsidR="00BA172E" w:rsidRPr="00E95706" w:rsidRDefault="00BA172E" w:rsidP="00BA172E">
            <w:pPr>
              <w:pStyle w:val="Tablei"/>
            </w:pPr>
            <w:r w:rsidRPr="00E95706">
              <w:t>(ii) if the sponsor has not given a notice under paragraph (e) of this column of this item—the statement made in the sponsor notice under subparagraph (e)(i) of column 2 of this item;</w:t>
            </w:r>
          </w:p>
          <w:p w14:paraId="39706636" w14:textId="77777777" w:rsidR="00BA172E" w:rsidRPr="00E95706" w:rsidRDefault="00BA172E" w:rsidP="00BA172E">
            <w:pPr>
              <w:pStyle w:val="Tablei"/>
            </w:pPr>
            <w:r w:rsidRPr="00E95706">
              <w:t>(iii) if the sponsor has given one or more notices under paragraph (e) of this column of this item—</w:t>
            </w:r>
            <w:r w:rsidRPr="00E95706">
              <w:rPr>
                <w:lang w:eastAsia="en-US"/>
              </w:rPr>
              <w:t xml:space="preserve">the </w:t>
            </w:r>
            <w:r w:rsidRPr="00E95706">
              <w:t>statement made in the most recent of those notices;</w:t>
            </w:r>
          </w:p>
          <w:p w14:paraId="280E07C6" w14:textId="77777777" w:rsidR="00BA172E" w:rsidRPr="00E95706" w:rsidRDefault="00BA172E" w:rsidP="00BA172E">
            <w:pPr>
              <w:pStyle w:val="Tablea"/>
            </w:pPr>
            <w:r w:rsidRPr="00E95706">
              <w:tab/>
              <w:t>including, in relation to a statement that the goods conform with each standard (as in force from time to time) that is applicable to the goods, that the goods continue to so conform; and</w:t>
            </w:r>
          </w:p>
          <w:p w14:paraId="3D4D0ED2" w14:textId="77777777" w:rsidR="00BA172E" w:rsidRPr="00E95706" w:rsidRDefault="00BA172E" w:rsidP="00BA172E">
            <w:pPr>
              <w:pStyle w:val="Tablea"/>
            </w:pPr>
            <w:r w:rsidRPr="00E95706">
              <w:lastRenderedPageBreak/>
              <w:t>(e) the sponsor must:</w:t>
            </w:r>
          </w:p>
          <w:p w14:paraId="503E6A9A" w14:textId="4954B3DF" w:rsidR="00BA172E" w:rsidRPr="00E95706" w:rsidRDefault="00BA172E" w:rsidP="00BA172E">
            <w:pPr>
              <w:pStyle w:val="Tablei"/>
            </w:pPr>
            <w:r w:rsidRPr="00E95706">
              <w:t xml:space="preserve">(i) if requested by the Secretary, give the Secretary a notice, in a form approved in writing by the Secretary, stating either that the goods conform with each standard (as in force from time to time) that is applicable to the goods or that the goods are being imported or supplied (as the case may be) with the consent of the Secretary under </w:t>
            </w:r>
            <w:r w:rsidR="007C3215">
              <w:t>section 1</w:t>
            </w:r>
            <w:r w:rsidRPr="00E95706">
              <w:t>4 or 14A of the Act; and</w:t>
            </w:r>
          </w:p>
          <w:p w14:paraId="058C6765" w14:textId="77777777" w:rsidR="00BA172E" w:rsidRPr="00E95706" w:rsidRDefault="00BA172E" w:rsidP="00BA172E">
            <w:pPr>
              <w:pStyle w:val="Tablei"/>
            </w:pPr>
            <w:r w:rsidRPr="00E95706">
              <w:t>(ii) do so within the period requested by the Secretary (which must be at least 5 working days starting on the day on which the Secretary’s request is made); and</w:t>
            </w:r>
          </w:p>
          <w:p w14:paraId="15C7C7DA" w14:textId="77777777" w:rsidR="007D2753" w:rsidRPr="005E3B43" w:rsidRDefault="007D2753" w:rsidP="007D2753">
            <w:pPr>
              <w:pStyle w:val="Tablea"/>
            </w:pPr>
            <w:r w:rsidRPr="005E3B43">
              <w:t>(f) the sponsor must:</w:t>
            </w:r>
          </w:p>
          <w:p w14:paraId="2C4AB643" w14:textId="77777777" w:rsidR="007D2753" w:rsidRPr="005E3B43" w:rsidRDefault="007D2753" w:rsidP="007D2753">
            <w:pPr>
              <w:pStyle w:val="Tablei"/>
            </w:pPr>
            <w:r w:rsidRPr="005E3B43">
              <w:t>(i) if requested by the Secretary, give the Secretary the information or evidence referred to i</w:t>
            </w:r>
            <w:r w:rsidRPr="005E3B43">
              <w:rPr>
                <w:lang w:eastAsia="en-US"/>
              </w:rPr>
              <w:t>n paragraph (c); a</w:t>
            </w:r>
            <w:r w:rsidRPr="005E3B43">
              <w:t>nd</w:t>
            </w:r>
          </w:p>
          <w:p w14:paraId="493EE76E" w14:textId="77777777" w:rsidR="007D2753" w:rsidRPr="005E3B43" w:rsidRDefault="007D2753" w:rsidP="007D2753">
            <w:pPr>
              <w:pStyle w:val="Tablei"/>
            </w:pPr>
            <w:r w:rsidRPr="005E3B43">
              <w:t>(ii) do so within the period requested by the Secretary (which must be at least 5 working days starting on the day on which the Secretary’s request is made); and</w:t>
            </w:r>
          </w:p>
          <w:p w14:paraId="0D413E8E" w14:textId="77777777" w:rsidR="00A65FD8" w:rsidRPr="005E3B43" w:rsidRDefault="00A65FD8" w:rsidP="00A65FD8">
            <w:pPr>
              <w:pStyle w:val="Tablea"/>
            </w:pPr>
            <w:r w:rsidRPr="005E3B43">
              <w:t>(fa) the sponsor must:</w:t>
            </w:r>
          </w:p>
          <w:p w14:paraId="1B098E07" w14:textId="77777777" w:rsidR="00A65FD8" w:rsidRPr="005E3B43" w:rsidRDefault="00A65FD8" w:rsidP="00A65FD8">
            <w:pPr>
              <w:pStyle w:val="Tablei"/>
            </w:pPr>
            <w:r w:rsidRPr="005E3B43">
              <w:t>(i) if requested by the Secretary, give the Secretary a reasonable number of samples of the goods; and</w:t>
            </w:r>
          </w:p>
          <w:p w14:paraId="589A5E1C" w14:textId="77777777" w:rsidR="00A65FD8" w:rsidRPr="005E3B43" w:rsidRDefault="00A65FD8" w:rsidP="00A65FD8">
            <w:pPr>
              <w:pStyle w:val="Tablei"/>
            </w:pPr>
            <w:r w:rsidRPr="005E3B43">
              <w:t>(ii) do so within the period requested by the Secretary (which must be at least 5 working days starting on the day on which the Secretary’s request is made); and</w:t>
            </w:r>
          </w:p>
          <w:p w14:paraId="35194186" w14:textId="77777777" w:rsidR="00A65FD8" w:rsidRPr="005E3B43" w:rsidRDefault="00A65FD8" w:rsidP="00A65FD8">
            <w:pPr>
              <w:pStyle w:val="Tablea"/>
            </w:pPr>
            <w:r w:rsidRPr="005E3B43">
              <w:t>(fb) the sponsor must allow an authorised officer:</w:t>
            </w:r>
          </w:p>
          <w:p w14:paraId="24F373FE" w14:textId="77777777" w:rsidR="00A65FD8" w:rsidRPr="005E3B43" w:rsidRDefault="00A65FD8" w:rsidP="00A65FD8">
            <w:pPr>
              <w:pStyle w:val="Tablei"/>
            </w:pPr>
            <w:r w:rsidRPr="005E3B43">
              <w:t>(i) to enter, at any reasonable time, any premises (including premises outside Australia) at which the sponsor or any other person deals with the goods; and</w:t>
            </w:r>
          </w:p>
          <w:p w14:paraId="2AB5A799" w14:textId="77777777" w:rsidR="00A65FD8" w:rsidRPr="005E3B43" w:rsidRDefault="00A65FD8" w:rsidP="00A65FD8">
            <w:pPr>
              <w:pStyle w:val="Tablei"/>
            </w:pPr>
            <w:r w:rsidRPr="005E3B43">
              <w:t>(ii) while on those premises, to inspect those premises and the goods and to examine, take measurements of, conduct tests on, require tests to be conducted on or take samples of the goods or any thing on those premises that relates to the goods; and</w:t>
            </w:r>
          </w:p>
          <w:p w14:paraId="15EB67A2" w14:textId="77777777" w:rsidR="00A65FD8" w:rsidRPr="005E3B43" w:rsidRDefault="00A65FD8" w:rsidP="00A65FD8">
            <w:pPr>
              <w:pStyle w:val="Tablei"/>
            </w:pPr>
            <w:r w:rsidRPr="005E3B43">
              <w:t>(iii) while on those premises, to make any still or moving image or any recording of those premises or any thing on those premises; and</w:t>
            </w:r>
          </w:p>
          <w:p w14:paraId="02F37D88" w14:textId="77777777" w:rsidR="00A65FD8" w:rsidRPr="005E3B43" w:rsidRDefault="00A65FD8" w:rsidP="00A65FD8">
            <w:pPr>
              <w:pStyle w:val="Tablea"/>
            </w:pPr>
            <w:r w:rsidRPr="005E3B43">
              <w:t xml:space="preserve">(fc) the sponsor must, if requested to do so by an </w:t>
            </w:r>
            <w:r w:rsidRPr="005E3B43">
              <w:lastRenderedPageBreak/>
              <w:t>authorised officer, produce to the authorised officer such documents relating to the goods as the authorised officer requires and allow the authorised officer to copy the documents; and</w:t>
            </w:r>
          </w:p>
          <w:p w14:paraId="52238F6A" w14:textId="77777777" w:rsidR="00A65FD8" w:rsidRPr="005E3B43" w:rsidRDefault="00A65FD8" w:rsidP="00A65FD8">
            <w:pPr>
              <w:pStyle w:val="Tablea"/>
            </w:pPr>
            <w:r w:rsidRPr="005E3B43">
              <w:t>(fd) if the sponsor is not the manufacturer of the goods, the sponsor must have procedures in place to ensure that the manufacturer of the goods allows an authorised officer:</w:t>
            </w:r>
          </w:p>
          <w:p w14:paraId="3941BA84" w14:textId="77777777" w:rsidR="00A65FD8" w:rsidRPr="005E3B43" w:rsidRDefault="00A65FD8" w:rsidP="00A65FD8">
            <w:pPr>
              <w:pStyle w:val="Tablei"/>
            </w:pPr>
            <w:r w:rsidRPr="005E3B43">
              <w:t>(i) to enter, at any reasonable time, any premises (including premises outside Australia) at which the manufacturer or any other person deals with the goods; and</w:t>
            </w:r>
          </w:p>
          <w:p w14:paraId="299D1EBD" w14:textId="77777777" w:rsidR="00A65FD8" w:rsidRPr="005E3B43" w:rsidRDefault="00A65FD8" w:rsidP="00A65FD8">
            <w:pPr>
              <w:pStyle w:val="Tablei"/>
            </w:pPr>
            <w:r w:rsidRPr="005E3B43">
              <w:t>(ii) while on those premises, to inspect those premises and the goods and to examine, take measurements of, conduct tests on, require tests to be conducted on or take samples of the goods or any thing on those premises that relates to the goods; and</w:t>
            </w:r>
          </w:p>
          <w:p w14:paraId="0BB108C3" w14:textId="77777777" w:rsidR="00A65FD8" w:rsidRPr="005E3B43" w:rsidRDefault="00A65FD8" w:rsidP="00A65FD8">
            <w:pPr>
              <w:pStyle w:val="Tablei"/>
            </w:pPr>
            <w:r w:rsidRPr="005E3B43">
              <w:t>(iii) while on those premises, to make any still or moving image or any recording of those premises or any thing on those premises; and</w:t>
            </w:r>
          </w:p>
          <w:p w14:paraId="21A9DAFD" w14:textId="77777777" w:rsidR="00A65FD8" w:rsidRPr="005E3B43" w:rsidRDefault="00A65FD8" w:rsidP="00A65FD8">
            <w:pPr>
              <w:pStyle w:val="Tablea"/>
            </w:pPr>
            <w:r w:rsidRPr="005E3B43">
              <w:t>(fe) if the sponsor is not the manufacturer of the goods, the sponsor must have procedures in place to ensure that the manufacturer of the goods, if the manufacturer is requested to do so by an authorised officer, produces to the authorised officer such documents relating to the goods as the authorised officer requires and allow the authorised officer to copy the documents; and</w:t>
            </w:r>
          </w:p>
          <w:p w14:paraId="0C42CD97" w14:textId="77777777" w:rsidR="00A65FD8" w:rsidRPr="005E3B43" w:rsidRDefault="00A65FD8" w:rsidP="00A65FD8">
            <w:pPr>
              <w:pStyle w:val="Tablea"/>
            </w:pPr>
            <w:r w:rsidRPr="005E3B43">
              <w:t>(g) for goods manufactured in Australia—either of the following apply:</w:t>
            </w:r>
          </w:p>
          <w:p w14:paraId="79D5DDBD" w14:textId="1CBA9D13" w:rsidR="00A65FD8" w:rsidRPr="005E3B43" w:rsidRDefault="00A65FD8" w:rsidP="00A65FD8">
            <w:pPr>
              <w:pStyle w:val="Tablei"/>
            </w:pPr>
            <w:r w:rsidRPr="005E3B43">
              <w:t>(i) the goods are manufactured by a person who is the holder of a licence in force under Part 3</w:t>
            </w:r>
            <w:r w:rsidR="007C3215">
              <w:noBreakHyphen/>
            </w:r>
            <w:r w:rsidRPr="005E3B43">
              <w:t>3 of the Act that authorises the manufacture of the goods, or the carrying out of the step in the manufacture of the goods, at the manufacturing site where the manufacture, or the step, is carried out;</w:t>
            </w:r>
          </w:p>
          <w:p w14:paraId="1CA88B3B" w14:textId="37D4A671" w:rsidR="00A65FD8" w:rsidRPr="005E3B43" w:rsidRDefault="00A65FD8" w:rsidP="00A65FD8">
            <w:pPr>
              <w:pStyle w:val="Tablei"/>
            </w:pPr>
            <w:r w:rsidRPr="005E3B43">
              <w:t>(ii) the goods are manufactured by a person who is exempt in accordance with subsection 34(2) of the Act from the operation of Part 3</w:t>
            </w:r>
            <w:r w:rsidR="007C3215">
              <w:noBreakHyphen/>
            </w:r>
            <w:r w:rsidRPr="005E3B43">
              <w:t xml:space="preserve">3 of the Act in relation to the manufacture of the goods and the Secretary has given the person a consent </w:t>
            </w:r>
            <w:r w:rsidRPr="005E3B43">
              <w:lastRenderedPageBreak/>
              <w:t>under subsection 41RC(1) of the Act to manufacture the goods, or carry out the step in the manufacture of the goods, and the manufacture, or the step, is carried out in accordance with the consent; and</w:t>
            </w:r>
          </w:p>
          <w:p w14:paraId="08F21BBF" w14:textId="77777777" w:rsidR="00A65FD8" w:rsidRPr="005E3B43" w:rsidRDefault="00A65FD8" w:rsidP="00A65FD8">
            <w:pPr>
              <w:pStyle w:val="Tablea"/>
            </w:pPr>
            <w:r w:rsidRPr="005E3B43">
              <w:t>(h) the goods may be supplied to a person who is not the ultimate consumer of the goods only if:</w:t>
            </w:r>
          </w:p>
          <w:p w14:paraId="4B1F2289" w14:textId="101AF028" w:rsidR="00A65FD8" w:rsidRPr="005E3B43" w:rsidRDefault="00A65FD8" w:rsidP="00A65FD8">
            <w:pPr>
              <w:pStyle w:val="Tablei"/>
            </w:pPr>
            <w:r w:rsidRPr="005E3B43">
              <w:t xml:space="preserve">(i) the person (the </w:t>
            </w:r>
            <w:r w:rsidRPr="005E3B43">
              <w:rPr>
                <w:b/>
                <w:i/>
              </w:rPr>
              <w:t xml:space="preserve">recipient) </w:t>
            </w:r>
            <w:r w:rsidRPr="005E3B43">
              <w:t>to whom the goods are supplied is the holder of a licence in force under Part 3</w:t>
            </w:r>
            <w:r w:rsidR="007C3215">
              <w:noBreakHyphen/>
            </w:r>
            <w:r w:rsidRPr="005E3B43">
              <w:t>3 of the Act that authorises a step in the manufacture of the goods; or</w:t>
            </w:r>
          </w:p>
          <w:p w14:paraId="047CCBCC" w14:textId="77777777" w:rsidR="00A65FD8" w:rsidRPr="005E3B43" w:rsidRDefault="00A65FD8" w:rsidP="00A65FD8">
            <w:pPr>
              <w:pStyle w:val="Tablei"/>
            </w:pPr>
            <w:r w:rsidRPr="005E3B43">
              <w:t xml:space="preserve">(ii) the recipient is a wholesaler, pharmacist, medical practitioner or nurse practitioner who is the holder of a licence, or is otherwise authorised, to supply one or more substances included in </w:t>
            </w:r>
            <w:r w:rsidR="005359F9" w:rsidRPr="005E3B43">
              <w:t>Schedule 3 to the current Poisons Standard</w:t>
            </w:r>
            <w:r w:rsidRPr="005E3B43">
              <w:t xml:space="preserve"> under a law of the State or Territory in which the recipient carries on a business, practises or is employed; or</w:t>
            </w:r>
          </w:p>
          <w:p w14:paraId="42A30569" w14:textId="77777777" w:rsidR="00A65FD8" w:rsidRPr="005E3B43" w:rsidRDefault="00A65FD8" w:rsidP="00A65FD8">
            <w:pPr>
              <w:pStyle w:val="Tablei"/>
            </w:pPr>
            <w:r w:rsidRPr="005E3B43">
              <w:t>(iii) the Secretary has given the recipient a consent under subsection 41RC(1) of the Act to supply the goods; or</w:t>
            </w:r>
          </w:p>
          <w:p w14:paraId="03135EBF" w14:textId="77777777" w:rsidR="00A65FD8" w:rsidRPr="005E3B43" w:rsidRDefault="00A65FD8" w:rsidP="00A65FD8">
            <w:pPr>
              <w:pStyle w:val="Tablei"/>
            </w:pPr>
            <w:r w:rsidRPr="005E3B43">
              <w:t>(iv) in the case of goods that are covered by a determination made by the Minister under section 41R of the Act—the recipient is specified in the determination, or is included in a class of persons specified in the determination, in relation to those goods; and</w:t>
            </w:r>
          </w:p>
          <w:p w14:paraId="19267172" w14:textId="77777777" w:rsidR="007D2753" w:rsidRPr="005E3B43" w:rsidRDefault="007D2753" w:rsidP="007D2753">
            <w:pPr>
              <w:pStyle w:val="Tablea"/>
            </w:pPr>
            <w:r w:rsidRPr="005E3B43">
              <w:t>(i) the goods may be supplied to the ultimate consumer of the goods only if:</w:t>
            </w:r>
          </w:p>
          <w:p w14:paraId="72DAF4C3" w14:textId="77777777" w:rsidR="007D2753" w:rsidRPr="005E3B43" w:rsidRDefault="007D2753" w:rsidP="007D2753">
            <w:pPr>
              <w:pStyle w:val="Tablei"/>
            </w:pPr>
            <w:r w:rsidRPr="005E3B43">
              <w:t>(i) the goods are supplied as a finished product; and</w:t>
            </w:r>
          </w:p>
          <w:p w14:paraId="54ECBF38" w14:textId="77777777" w:rsidR="00FF1590" w:rsidRPr="005E3B43" w:rsidRDefault="00FF1590" w:rsidP="00FF1590">
            <w:pPr>
              <w:pStyle w:val="Tablei"/>
            </w:pPr>
            <w:r w:rsidRPr="005E3B43">
              <w:t xml:space="preserve">(ii) the supply is by a pharmacist, medical practitioner or nurse practitioner who is the holder of a licence, or is otherwise authorised, to supply one or more substances included in </w:t>
            </w:r>
            <w:r w:rsidR="005359F9" w:rsidRPr="005E3B43">
              <w:t>Schedule 3 to the current Poisons Standard</w:t>
            </w:r>
            <w:r w:rsidRPr="005E3B43">
              <w:t xml:space="preserve"> under a law of the State or Territory in which the recipient carries on a business, practises or is employed; and</w:t>
            </w:r>
          </w:p>
          <w:p w14:paraId="1970B438" w14:textId="0148C10B" w:rsidR="007D2753" w:rsidRPr="005E3B43" w:rsidRDefault="007D2753" w:rsidP="007D2753">
            <w:pPr>
              <w:pStyle w:val="Tablei"/>
            </w:pPr>
            <w:r w:rsidRPr="005E3B43">
              <w:t xml:space="preserve">(iii) </w:t>
            </w:r>
            <w:r w:rsidR="004A731A" w:rsidRPr="005E3B43">
              <w:t>for goods other than therapeutic vaping devices, or therapeutic vaping device accessories, in a therapeutic vaping pack—the supply</w:t>
            </w:r>
            <w:r w:rsidRPr="005E3B43">
              <w:t xml:space="preserve"> is in accordance with an approval or authority under </w:t>
            </w:r>
            <w:r w:rsidR="007C3215">
              <w:t>section 1</w:t>
            </w:r>
            <w:r w:rsidRPr="005E3B43">
              <w:t xml:space="preserve">9 of </w:t>
            </w:r>
            <w:r w:rsidRPr="005E3B43">
              <w:lastRenderedPageBreak/>
              <w:t>the Act; and</w:t>
            </w:r>
          </w:p>
          <w:p w14:paraId="13BE78E6" w14:textId="77777777" w:rsidR="007D2753" w:rsidRPr="005E3B43" w:rsidRDefault="007D2753" w:rsidP="007D2753">
            <w:pPr>
              <w:pStyle w:val="Tablei"/>
            </w:pPr>
            <w:r w:rsidRPr="005E3B43">
              <w:t>(iv) if the supply is by a person authorised as described in subparagraph (ii), the supply is in accordance with that authorisation; and</w:t>
            </w:r>
          </w:p>
          <w:p w14:paraId="0D30DE02" w14:textId="77777777" w:rsidR="007D2753" w:rsidRPr="005E3B43" w:rsidRDefault="007D2753" w:rsidP="007D2753">
            <w:pPr>
              <w:pStyle w:val="Tablea"/>
            </w:pPr>
            <w:r w:rsidRPr="005E3B43">
              <w:t>(j) the sponsor must:</w:t>
            </w:r>
          </w:p>
          <w:p w14:paraId="26C1AD06" w14:textId="77777777" w:rsidR="007D2753" w:rsidRPr="005E3B43" w:rsidRDefault="007D2753" w:rsidP="007D2753">
            <w:pPr>
              <w:pStyle w:val="Tablei"/>
            </w:pPr>
            <w:r w:rsidRPr="005E3B43">
              <w:t>(i) keep records relating to the source and supply of the goods; and</w:t>
            </w:r>
          </w:p>
          <w:p w14:paraId="6F177ECB" w14:textId="0C66DF72" w:rsidR="007D2753" w:rsidRPr="005E3B43" w:rsidRDefault="007D2753" w:rsidP="007D2753">
            <w:pPr>
              <w:pStyle w:val="Tablei"/>
            </w:pPr>
            <w:r w:rsidRPr="005E3B43">
              <w:t xml:space="preserve">(ii) if requested by the Secretary, give </w:t>
            </w:r>
            <w:r w:rsidR="00BA172E" w:rsidRPr="00E95706">
              <w:t>a copy of the records</w:t>
            </w:r>
            <w:r w:rsidRPr="005E3B43">
              <w:t xml:space="preserve"> to the Secretary within the period requested by the Secretary (which must be at least 5 working days starting on the day on which the Secretary’s request is made); and</w:t>
            </w:r>
          </w:p>
          <w:p w14:paraId="6741B03C" w14:textId="77777777" w:rsidR="00BA172E" w:rsidRPr="00E95706" w:rsidRDefault="00BA172E" w:rsidP="00BA172E">
            <w:pPr>
              <w:pStyle w:val="Tablei"/>
            </w:pPr>
            <w:r w:rsidRPr="00E95706">
              <w:t>(iii) if the Secretary requests information about the supply of the goods during a specified period—give the information to the Secretary within the period requested by the Secretary (which must be at least 5 working days starting on the day on which the Secretary’s request is made) and in a form approved in writing by the Secretary; and</w:t>
            </w:r>
          </w:p>
          <w:p w14:paraId="736813C0" w14:textId="77777777" w:rsidR="007D2753" w:rsidRPr="005E3B43" w:rsidRDefault="007D2753" w:rsidP="007D2753">
            <w:pPr>
              <w:pStyle w:val="Tablea"/>
            </w:pPr>
            <w:r w:rsidRPr="005E3B43">
              <w:t>(k) the sponsor must provide information of a kind mentioned in subsection 29A(2) or 29AA(2) of the Act relating to the goods to the Secretary within the following periods:</w:t>
            </w:r>
          </w:p>
          <w:p w14:paraId="7ACA9D10" w14:textId="77777777" w:rsidR="007D2753" w:rsidRPr="005E3B43" w:rsidRDefault="007D2753" w:rsidP="007D2753">
            <w:pPr>
              <w:pStyle w:val="Tablei"/>
            </w:pPr>
            <w:r w:rsidRPr="005E3B43">
              <w:t>(i) if the information relates to an event or other occurrence that represents a serious threat to public health—48 hours after the sponsor becomes aware of the event or occurrence;</w:t>
            </w:r>
          </w:p>
          <w:p w14:paraId="49F879CE" w14:textId="77777777" w:rsidR="007D2753" w:rsidRPr="005E3B43" w:rsidRDefault="007D2753" w:rsidP="007D2753">
            <w:pPr>
              <w:pStyle w:val="Tablei"/>
            </w:pPr>
            <w:r w:rsidRPr="005E3B43">
              <w:t>(ii) if the information relates to an event or other occurrence that led to the death, or a serious deterioration in the state of health, of a patient, a user of the goods, or another person—10 days after the sponsor becomes aware of the event or occurrence;</w:t>
            </w:r>
          </w:p>
          <w:p w14:paraId="5C65AB93" w14:textId="77777777" w:rsidR="007D2753" w:rsidRPr="005E3B43" w:rsidRDefault="007D2753" w:rsidP="007D2753">
            <w:pPr>
              <w:pStyle w:val="Tablei"/>
            </w:pPr>
            <w:r w:rsidRPr="005E3B43">
              <w:t>(iii) if the information relates to an event or other occurrence a recurrence of which might lead to the death, or a serious deterioration in the state of health, of a patient, a user of the goods, or another person—30 days after the sponsor becomes aware of the event or occurrence;</w:t>
            </w:r>
          </w:p>
          <w:p w14:paraId="43741B24" w14:textId="77777777" w:rsidR="007D2753" w:rsidRPr="005E3B43" w:rsidRDefault="007D2753" w:rsidP="00944D7F">
            <w:pPr>
              <w:pStyle w:val="Tablei"/>
            </w:pPr>
            <w:r w:rsidRPr="005E3B43">
              <w:t>(iv) in any other case—60 days after the sponsor becomes aware of the information</w:t>
            </w:r>
          </w:p>
        </w:tc>
      </w:tr>
      <w:tr w:rsidR="007D2753" w:rsidRPr="005E3B43" w14:paraId="0EAAC7FA" w14:textId="77777777" w:rsidTr="004B7D53">
        <w:trPr>
          <w:cantSplit/>
          <w:trHeight w:val="20"/>
        </w:trPr>
        <w:tc>
          <w:tcPr>
            <w:tcW w:w="636" w:type="pct"/>
            <w:tcBorders>
              <w:top w:val="single" w:sz="4" w:space="0" w:color="auto"/>
              <w:bottom w:val="single" w:sz="12" w:space="0" w:color="auto"/>
            </w:tcBorders>
            <w:shd w:val="clear" w:color="auto" w:fill="auto"/>
          </w:tcPr>
          <w:p w14:paraId="7917024C" w14:textId="77777777" w:rsidR="007D2753" w:rsidRPr="005E3B43" w:rsidRDefault="007D2753" w:rsidP="007D2753">
            <w:pPr>
              <w:pStyle w:val="Tabletext"/>
            </w:pPr>
            <w:r w:rsidRPr="005E3B43">
              <w:lastRenderedPageBreak/>
              <w:t>16</w:t>
            </w:r>
          </w:p>
        </w:tc>
        <w:tc>
          <w:tcPr>
            <w:tcW w:w="1753" w:type="pct"/>
            <w:tcBorders>
              <w:top w:val="single" w:sz="4" w:space="0" w:color="auto"/>
              <w:bottom w:val="single" w:sz="12" w:space="0" w:color="auto"/>
            </w:tcBorders>
            <w:shd w:val="clear" w:color="auto" w:fill="auto"/>
          </w:tcPr>
          <w:p w14:paraId="02C0259C" w14:textId="77777777" w:rsidR="007D2753" w:rsidRPr="005E3B43" w:rsidRDefault="007D2753" w:rsidP="007D2753">
            <w:pPr>
              <w:pStyle w:val="Tabletext"/>
            </w:pPr>
            <w:r w:rsidRPr="005E3B43">
              <w:t>Therapeutic goods imported into Australia, if:</w:t>
            </w:r>
          </w:p>
          <w:p w14:paraId="206F78DD" w14:textId="77777777" w:rsidR="007D2753" w:rsidRPr="005E3B43" w:rsidRDefault="007D2753" w:rsidP="007D2753">
            <w:pPr>
              <w:pStyle w:val="Tablea"/>
            </w:pPr>
            <w:r w:rsidRPr="005E3B43">
              <w:t>(a) the goods are nicotine in solution as a starting material for use in the manufacture of a therapeutic vaping substance, a therapeutic vaping substance accessory or any other therapeutic good; or</w:t>
            </w:r>
          </w:p>
          <w:p w14:paraId="6F7C69B0" w14:textId="77777777" w:rsidR="007D2753" w:rsidRPr="005E3B43" w:rsidRDefault="007D2753" w:rsidP="00944D7F">
            <w:pPr>
              <w:pStyle w:val="Tablea"/>
            </w:pPr>
            <w:r w:rsidRPr="005E3B43">
              <w:t>(b) the goods are any other starting materials that are ingredients or components for use in the manufacture of a therapeutic vaping substance or a therapeutic vaping substance accessory</w:t>
            </w:r>
          </w:p>
        </w:tc>
        <w:tc>
          <w:tcPr>
            <w:tcW w:w="2612" w:type="pct"/>
            <w:tcBorders>
              <w:top w:val="single" w:sz="4" w:space="0" w:color="auto"/>
              <w:bottom w:val="single" w:sz="12" w:space="0" w:color="auto"/>
            </w:tcBorders>
            <w:shd w:val="clear" w:color="auto" w:fill="auto"/>
          </w:tcPr>
          <w:p w14:paraId="12EF66A6" w14:textId="77777777" w:rsidR="007D2753" w:rsidRPr="005E3B43" w:rsidRDefault="007D2753" w:rsidP="007D2753">
            <w:pPr>
              <w:pStyle w:val="Tablea"/>
            </w:pPr>
            <w:r w:rsidRPr="005E3B43">
              <w:t xml:space="preserve">(a) the sponsor must give the Secretary a notice (the </w:t>
            </w:r>
            <w:r w:rsidRPr="005E3B43">
              <w:rPr>
                <w:b/>
                <w:i/>
              </w:rPr>
              <w:t>sponsor notice</w:t>
            </w:r>
            <w:r w:rsidRPr="005E3B43">
              <w:t>), in a form approved in writing by the Secretary, stating that the goods are for use in the manufacture, in accordance with the requirements of the Act, of another therapeutic good by a manufacturer that holds all relevant licences or approvals (however described) required under the following:</w:t>
            </w:r>
          </w:p>
          <w:p w14:paraId="05419C64" w14:textId="51E49E04" w:rsidR="007D2753" w:rsidRPr="005E3B43" w:rsidRDefault="007D2753" w:rsidP="007D2753">
            <w:pPr>
              <w:pStyle w:val="Tablei"/>
            </w:pPr>
            <w:r w:rsidRPr="005E3B43">
              <w:t>(i) Part 3</w:t>
            </w:r>
            <w:r w:rsidR="007C3215">
              <w:noBreakHyphen/>
            </w:r>
            <w:r w:rsidRPr="005E3B43">
              <w:t>3 of the Act;</w:t>
            </w:r>
          </w:p>
          <w:p w14:paraId="411950A4" w14:textId="77777777" w:rsidR="007D2753" w:rsidRPr="005E3B43" w:rsidRDefault="007D2753" w:rsidP="007D2753">
            <w:pPr>
              <w:pStyle w:val="Tablei"/>
            </w:pPr>
            <w:r w:rsidRPr="005E3B43">
              <w:t>(ii) the law of the State or Territory in which the manufacture is to occur; and</w:t>
            </w:r>
          </w:p>
          <w:p w14:paraId="033772C8" w14:textId="77777777" w:rsidR="007D2753" w:rsidRPr="005E3B43" w:rsidRDefault="007D2753" w:rsidP="007D2753">
            <w:pPr>
              <w:pStyle w:val="Tablea"/>
            </w:pPr>
            <w:r w:rsidRPr="005E3B43">
              <w:t>(b) the sponsor notice must be given before importing the goods; and</w:t>
            </w:r>
          </w:p>
          <w:p w14:paraId="013B15E9" w14:textId="77777777" w:rsidR="00FA2BF7" w:rsidRPr="005E3B43" w:rsidRDefault="00FA2BF7" w:rsidP="00FA2BF7">
            <w:pPr>
              <w:pStyle w:val="Tablea"/>
            </w:pPr>
            <w:r w:rsidRPr="005E3B43">
              <w:t>(ba) the sponsor must:</w:t>
            </w:r>
          </w:p>
          <w:p w14:paraId="52C4486A" w14:textId="77777777" w:rsidR="00FA2BF7" w:rsidRPr="005E3B43" w:rsidRDefault="00FA2BF7" w:rsidP="00FA2BF7">
            <w:pPr>
              <w:pStyle w:val="Tablei"/>
            </w:pPr>
            <w:r w:rsidRPr="005E3B43">
              <w:t>(i) if requested by the Secretary, give the Secretary a reasonable number of samples of the goods; and</w:t>
            </w:r>
          </w:p>
          <w:p w14:paraId="4F1AE0E5" w14:textId="77777777" w:rsidR="00FA2BF7" w:rsidRPr="005E3B43" w:rsidRDefault="00FA2BF7" w:rsidP="00FA2BF7">
            <w:pPr>
              <w:pStyle w:val="Tablei"/>
            </w:pPr>
            <w:r w:rsidRPr="005E3B43">
              <w:t>(ii) do so within the period requested by the Secretary (which must be at least 5 working days starting on the day on which the Secretary’s request is made); and</w:t>
            </w:r>
          </w:p>
          <w:p w14:paraId="5532887B" w14:textId="77777777" w:rsidR="007D2753" w:rsidRPr="005E3B43" w:rsidRDefault="007D2753" w:rsidP="00944D7F">
            <w:pPr>
              <w:pStyle w:val="Tablea"/>
            </w:pPr>
            <w:r w:rsidRPr="005E3B43">
              <w:t>(c) the goods may be supplied only for use in manufacture as referred to in paragraph (a)</w:t>
            </w:r>
          </w:p>
        </w:tc>
      </w:tr>
    </w:tbl>
    <w:p w14:paraId="48C68DDF" w14:textId="77777777" w:rsidR="00DA6099" w:rsidRPr="005E3B43" w:rsidRDefault="00DA6099" w:rsidP="00763BCF">
      <w:pPr>
        <w:sectPr w:rsidR="00DA6099" w:rsidRPr="005E3B43" w:rsidSect="001444B1">
          <w:headerReference w:type="even" r:id="rId27"/>
          <w:headerReference w:type="default" r:id="rId28"/>
          <w:headerReference w:type="first" r:id="rId29"/>
          <w:pgSz w:w="11907" w:h="16839" w:code="9"/>
          <w:pgMar w:top="2325" w:right="1797" w:bottom="1440" w:left="1797" w:header="720" w:footer="709" w:gutter="0"/>
          <w:cols w:space="720"/>
          <w:docGrid w:linePitch="299"/>
        </w:sectPr>
      </w:pPr>
    </w:p>
    <w:p w14:paraId="043D8BDE" w14:textId="77777777" w:rsidR="00D52AE8" w:rsidRPr="005E3B43" w:rsidRDefault="00D52AE8" w:rsidP="00763BCF">
      <w:pPr>
        <w:pStyle w:val="ActHead1"/>
        <w:pageBreakBefore/>
      </w:pPr>
      <w:bookmarkStart w:id="413" w:name="_Toc187136003"/>
      <w:r w:rsidRPr="005E3B43">
        <w:rPr>
          <w:rStyle w:val="CharChapNo"/>
        </w:rPr>
        <w:lastRenderedPageBreak/>
        <w:t>Schedule</w:t>
      </w:r>
      <w:r w:rsidR="004E6D00" w:rsidRPr="005E3B43">
        <w:rPr>
          <w:rStyle w:val="CharChapNo"/>
        </w:rPr>
        <w:t> </w:t>
      </w:r>
      <w:r w:rsidRPr="005E3B43">
        <w:rPr>
          <w:rStyle w:val="CharChapNo"/>
        </w:rPr>
        <w:t>5B</w:t>
      </w:r>
      <w:r w:rsidR="00E20BA4" w:rsidRPr="005E3B43">
        <w:t>—</w:t>
      </w:r>
      <w:r w:rsidRPr="005E3B43">
        <w:rPr>
          <w:rStyle w:val="CharChapText"/>
        </w:rPr>
        <w:t>Disposal of unused emergency goods and unused emergency biologicals</w:t>
      </w:r>
      <w:bookmarkEnd w:id="413"/>
    </w:p>
    <w:p w14:paraId="482B6DAF" w14:textId="77777777" w:rsidR="00D52AE8" w:rsidRPr="005E3B43" w:rsidRDefault="00D52AE8" w:rsidP="00763BCF">
      <w:pPr>
        <w:pStyle w:val="notemargin"/>
      </w:pPr>
      <w:r w:rsidRPr="005E3B43">
        <w:t>(regulation</w:t>
      </w:r>
      <w:r w:rsidR="004E6D00" w:rsidRPr="005E3B43">
        <w:t> </w:t>
      </w:r>
      <w:r w:rsidRPr="005E3B43">
        <w:t>12AAB)</w:t>
      </w:r>
    </w:p>
    <w:p w14:paraId="451BA898" w14:textId="77777777" w:rsidR="00D52AE8" w:rsidRPr="005E3B43" w:rsidRDefault="00E20BA4" w:rsidP="00763BCF">
      <w:pPr>
        <w:pStyle w:val="Header"/>
      </w:pPr>
      <w:r w:rsidRPr="005E3B43">
        <w:rPr>
          <w:rStyle w:val="CharPartNo"/>
        </w:rPr>
        <w:t xml:space="preserve"> </w:t>
      </w:r>
      <w:r w:rsidRPr="005E3B43">
        <w:rPr>
          <w:rStyle w:val="CharPartText"/>
        </w:rPr>
        <w:t xml:space="preserve"> </w:t>
      </w:r>
    </w:p>
    <w:p w14:paraId="511F96C6" w14:textId="77777777" w:rsidR="005A5F9B" w:rsidRPr="005E3B43" w:rsidRDefault="005A5F9B" w:rsidP="00763BCF">
      <w:pPr>
        <w:pStyle w:val="Header"/>
        <w:tabs>
          <w:tab w:val="clear" w:pos="4150"/>
          <w:tab w:val="clear" w:pos="8307"/>
        </w:tabs>
      </w:pPr>
      <w:r w:rsidRPr="005E3B43">
        <w:rPr>
          <w:rStyle w:val="CharDivNo"/>
        </w:rPr>
        <w:t xml:space="preserve"> </w:t>
      </w:r>
      <w:r w:rsidRPr="005E3B43">
        <w:rPr>
          <w:rStyle w:val="CharDivText"/>
        </w:rPr>
        <w:t xml:space="preserve"> </w:t>
      </w:r>
    </w:p>
    <w:p w14:paraId="43E815AD" w14:textId="77777777" w:rsidR="00A616B0" w:rsidRPr="005E3B43" w:rsidRDefault="00A616B0" w:rsidP="00763BCF">
      <w:pPr>
        <w:pStyle w:val="ActHead5"/>
      </w:pPr>
      <w:bookmarkStart w:id="414" w:name="_Toc187136004"/>
      <w:r w:rsidRPr="005E3B43">
        <w:rPr>
          <w:rStyle w:val="CharSectno"/>
        </w:rPr>
        <w:t>1</w:t>
      </w:r>
      <w:r w:rsidR="00E20BA4" w:rsidRPr="005E3B43">
        <w:t xml:space="preserve">  </w:t>
      </w:r>
      <w:r w:rsidRPr="005E3B43">
        <w:t>Early end of exemption</w:t>
      </w:r>
      <w:r w:rsidR="00E20BA4" w:rsidRPr="005E3B43">
        <w:t>—</w:t>
      </w:r>
      <w:r w:rsidRPr="005E3B43">
        <w:t>notice of goods held</w:t>
      </w:r>
      <w:bookmarkEnd w:id="414"/>
    </w:p>
    <w:p w14:paraId="39946F55" w14:textId="77777777" w:rsidR="00A616B0" w:rsidRPr="005E3B43" w:rsidRDefault="00A616B0" w:rsidP="00763BCF">
      <w:pPr>
        <w:pStyle w:val="subsection"/>
      </w:pPr>
      <w:r w:rsidRPr="005E3B43">
        <w:tab/>
        <w:t>(1)</w:t>
      </w:r>
      <w:r w:rsidRPr="005E3B43">
        <w:tab/>
        <w:t>This clause applies if:</w:t>
      </w:r>
    </w:p>
    <w:p w14:paraId="0E7FCF6C" w14:textId="49CB7EC0" w:rsidR="00A616B0" w:rsidRPr="005E3B43" w:rsidRDefault="00A616B0" w:rsidP="00763BCF">
      <w:pPr>
        <w:pStyle w:val="paragraph"/>
      </w:pPr>
      <w:r w:rsidRPr="005E3B43">
        <w:tab/>
        <w:t>(a)</w:t>
      </w:r>
      <w:r w:rsidRPr="005E3B43">
        <w:tab/>
        <w:t>the Minister makes an exemption under sub</w:t>
      </w:r>
      <w:r w:rsidR="007C3215">
        <w:t>section 1</w:t>
      </w:r>
      <w:r w:rsidRPr="005E3B43">
        <w:t>8A(1) of the Act in relation to specified therapeutic goods or therapeutic goods in a specified class; and</w:t>
      </w:r>
    </w:p>
    <w:p w14:paraId="584516E8" w14:textId="77777777" w:rsidR="00A616B0" w:rsidRPr="005E3B43" w:rsidRDefault="00A616B0" w:rsidP="00763BCF">
      <w:pPr>
        <w:pStyle w:val="paragraph"/>
      </w:pPr>
      <w:r w:rsidRPr="005E3B43">
        <w:tab/>
        <w:t>(b)</w:t>
      </w:r>
      <w:r w:rsidRPr="005E3B43">
        <w:tab/>
        <w:t>a person is given a copy of a revocation or variation of the exemption under paragraph</w:t>
      </w:r>
      <w:r w:rsidR="004E6D00" w:rsidRPr="005E3B43">
        <w:t> </w:t>
      </w:r>
      <w:r w:rsidRPr="005E3B43">
        <w:t>18A(9B)(b) of the Act.</w:t>
      </w:r>
    </w:p>
    <w:p w14:paraId="6D8CB6B8" w14:textId="77777777" w:rsidR="00A616B0" w:rsidRPr="005E3B43" w:rsidRDefault="00A616B0" w:rsidP="00763BCF">
      <w:pPr>
        <w:pStyle w:val="subsection"/>
      </w:pPr>
      <w:r w:rsidRPr="005E3B43">
        <w:tab/>
        <w:t>(2)</w:t>
      </w:r>
      <w:r w:rsidRPr="005E3B43">
        <w:tab/>
        <w:t>The person must give the Secretary:</w:t>
      </w:r>
    </w:p>
    <w:p w14:paraId="4A4A9506" w14:textId="77777777" w:rsidR="00A616B0" w:rsidRPr="005E3B43" w:rsidRDefault="00A616B0" w:rsidP="00763BCF">
      <w:pPr>
        <w:pStyle w:val="paragraph"/>
      </w:pPr>
      <w:r w:rsidRPr="005E3B43">
        <w:tab/>
        <w:t>(a)</w:t>
      </w:r>
      <w:r w:rsidRPr="005E3B43">
        <w:tab/>
        <w:t>notice, in writing, of the quantity and location of:</w:t>
      </w:r>
    </w:p>
    <w:p w14:paraId="2A43DB7A" w14:textId="77777777" w:rsidR="00A616B0" w:rsidRPr="005E3B43" w:rsidRDefault="00A616B0" w:rsidP="00763BCF">
      <w:pPr>
        <w:pStyle w:val="paragraphsub"/>
      </w:pPr>
      <w:r w:rsidRPr="005E3B43">
        <w:tab/>
        <w:t>(i)</w:t>
      </w:r>
      <w:r w:rsidRPr="005E3B43">
        <w:tab/>
        <w:t>for a revocation</w:t>
      </w:r>
      <w:r w:rsidR="00E20BA4" w:rsidRPr="005E3B43">
        <w:t>—</w:t>
      </w:r>
      <w:r w:rsidRPr="005E3B43">
        <w:t>the goods over which the person has control that have not been used; or</w:t>
      </w:r>
    </w:p>
    <w:p w14:paraId="08479810" w14:textId="77777777" w:rsidR="00A616B0" w:rsidRPr="005E3B43" w:rsidRDefault="00A616B0" w:rsidP="00763BCF">
      <w:pPr>
        <w:pStyle w:val="paragraphsub"/>
      </w:pPr>
      <w:r w:rsidRPr="005E3B43">
        <w:tab/>
        <w:t>(ii)</w:t>
      </w:r>
      <w:r w:rsidRPr="005E3B43">
        <w:tab/>
        <w:t>for a variation</w:t>
      </w:r>
      <w:r w:rsidR="00E20BA4" w:rsidRPr="005E3B43">
        <w:t>—</w:t>
      </w:r>
      <w:r w:rsidRPr="005E3B43">
        <w:t>the goods mentioned in the variation over which the person has control that have not been used; and</w:t>
      </w:r>
    </w:p>
    <w:p w14:paraId="3DA14EE4" w14:textId="77777777" w:rsidR="00A616B0" w:rsidRPr="005E3B43" w:rsidRDefault="00A616B0" w:rsidP="00763BCF">
      <w:pPr>
        <w:pStyle w:val="paragraph"/>
      </w:pPr>
      <w:r w:rsidRPr="005E3B43">
        <w:tab/>
        <w:t>(b)</w:t>
      </w:r>
      <w:r w:rsidRPr="005E3B43">
        <w:tab/>
        <w:t>a copy of any records about the goods that the person is required to keep under a condition of the exemption.</w:t>
      </w:r>
    </w:p>
    <w:p w14:paraId="705C59B1" w14:textId="77777777" w:rsidR="00A616B0" w:rsidRPr="005E3B43" w:rsidRDefault="00A616B0" w:rsidP="00763BCF">
      <w:pPr>
        <w:pStyle w:val="subsection"/>
      </w:pPr>
      <w:r w:rsidRPr="005E3B43">
        <w:tab/>
        <w:t>(3)</w:t>
      </w:r>
      <w:r w:rsidRPr="005E3B43">
        <w:tab/>
        <w:t xml:space="preserve">The person must comply with </w:t>
      </w:r>
      <w:r w:rsidR="004E6D00" w:rsidRPr="005E3B43">
        <w:t>subclause (</w:t>
      </w:r>
      <w:r w:rsidRPr="005E3B43">
        <w:t>2) in relation to the goods within 7 days after the day the exemption ends for the goods.</w:t>
      </w:r>
    </w:p>
    <w:p w14:paraId="21E9C57A" w14:textId="77777777" w:rsidR="00D52AE8" w:rsidRPr="005E3B43" w:rsidRDefault="00D52AE8" w:rsidP="00763BCF">
      <w:pPr>
        <w:pStyle w:val="ActHead5"/>
      </w:pPr>
      <w:bookmarkStart w:id="415" w:name="_Toc187136005"/>
      <w:r w:rsidRPr="005E3B43">
        <w:rPr>
          <w:rStyle w:val="CharSectno"/>
        </w:rPr>
        <w:t>1A</w:t>
      </w:r>
      <w:r w:rsidR="00E20BA4" w:rsidRPr="005E3B43">
        <w:t xml:space="preserve">  </w:t>
      </w:r>
      <w:r w:rsidRPr="005E3B43">
        <w:t>Early cessation of exemption</w:t>
      </w:r>
      <w:r w:rsidR="00E20BA4" w:rsidRPr="005E3B43">
        <w:t>—</w:t>
      </w:r>
      <w:r w:rsidRPr="005E3B43">
        <w:t>notice of biologicals held</w:t>
      </w:r>
      <w:bookmarkEnd w:id="415"/>
    </w:p>
    <w:p w14:paraId="20499BA2" w14:textId="77777777" w:rsidR="00D52AE8" w:rsidRPr="005E3B43" w:rsidRDefault="00D52AE8" w:rsidP="00763BCF">
      <w:pPr>
        <w:pStyle w:val="subsection"/>
      </w:pPr>
      <w:r w:rsidRPr="005E3B43">
        <w:tab/>
        <w:t>(1)</w:t>
      </w:r>
      <w:r w:rsidRPr="005E3B43">
        <w:tab/>
        <w:t xml:space="preserve">A person who is given notice under </w:t>
      </w:r>
      <w:r w:rsidR="00842CCD" w:rsidRPr="005E3B43">
        <w:t>paragraph 3</w:t>
      </w:r>
      <w:r w:rsidRPr="005E3B43">
        <w:t>2CE(b) of the Act must give to the Secretary:</w:t>
      </w:r>
    </w:p>
    <w:p w14:paraId="42E4662D" w14:textId="77777777" w:rsidR="00D52AE8" w:rsidRPr="005E3B43" w:rsidRDefault="00D52AE8" w:rsidP="00763BCF">
      <w:pPr>
        <w:pStyle w:val="paragraph"/>
      </w:pPr>
      <w:r w:rsidRPr="005E3B43">
        <w:tab/>
        <w:t>(a)</w:t>
      </w:r>
      <w:r w:rsidRPr="005E3B43">
        <w:tab/>
        <w:t>notice, in writing, of the quantity and location of any unused emergency biologicals over which the person has control; and</w:t>
      </w:r>
    </w:p>
    <w:p w14:paraId="4F309B65" w14:textId="77777777" w:rsidR="00D52AE8" w:rsidRPr="005E3B43" w:rsidRDefault="00D52AE8" w:rsidP="00763BCF">
      <w:pPr>
        <w:pStyle w:val="paragraph"/>
      </w:pPr>
      <w:r w:rsidRPr="005E3B43">
        <w:tab/>
        <w:t>(b)</w:t>
      </w:r>
      <w:r w:rsidRPr="005E3B43">
        <w:tab/>
        <w:t>a copy of any records about the biologicals that, under a condition of the exemption, the person is required to keep.</w:t>
      </w:r>
    </w:p>
    <w:p w14:paraId="16C663BC" w14:textId="77777777" w:rsidR="00D52AE8" w:rsidRPr="005E3B43" w:rsidRDefault="00D52AE8" w:rsidP="00763BCF">
      <w:pPr>
        <w:pStyle w:val="subsection"/>
      </w:pPr>
      <w:r w:rsidRPr="005E3B43">
        <w:tab/>
        <w:t>(2)</w:t>
      </w:r>
      <w:r w:rsidRPr="005E3B43">
        <w:tab/>
      </w:r>
      <w:r w:rsidR="004E6D00" w:rsidRPr="005E3B43">
        <w:t>Subclause (</w:t>
      </w:r>
      <w:r w:rsidRPr="005E3B43">
        <w:t>1) must be complied with:</w:t>
      </w:r>
    </w:p>
    <w:p w14:paraId="53ECE84E" w14:textId="77777777" w:rsidR="00D52AE8" w:rsidRPr="005E3B43" w:rsidRDefault="00D52AE8" w:rsidP="00763BCF">
      <w:pPr>
        <w:pStyle w:val="paragraph"/>
      </w:pPr>
      <w:r w:rsidRPr="005E3B43">
        <w:tab/>
        <w:t>(a)</w:t>
      </w:r>
      <w:r w:rsidRPr="005E3B43">
        <w:tab/>
        <w:t xml:space="preserve">if the notice under </w:t>
      </w:r>
      <w:r w:rsidR="00842CCD" w:rsidRPr="005E3B43">
        <w:t>paragraph 3</w:t>
      </w:r>
      <w:r w:rsidRPr="005E3B43">
        <w:t>2CE(b) of the Act is given before the exemption ceases to have effect for the biologicals</w:t>
      </w:r>
      <w:r w:rsidR="00E20BA4" w:rsidRPr="005E3B43">
        <w:t>—</w:t>
      </w:r>
      <w:r w:rsidRPr="005E3B43">
        <w:t>within 7 days after the exemption ceases; or</w:t>
      </w:r>
    </w:p>
    <w:p w14:paraId="4298DD57" w14:textId="77777777" w:rsidR="00D52AE8" w:rsidRPr="005E3B43" w:rsidRDefault="00D52AE8" w:rsidP="00763BCF">
      <w:pPr>
        <w:pStyle w:val="paragraph"/>
      </w:pPr>
      <w:r w:rsidRPr="005E3B43">
        <w:tab/>
        <w:t>(b)</w:t>
      </w:r>
      <w:r w:rsidRPr="005E3B43">
        <w:tab/>
        <w:t>in any other case</w:t>
      </w:r>
      <w:r w:rsidR="00E20BA4" w:rsidRPr="005E3B43">
        <w:t>—</w:t>
      </w:r>
      <w:r w:rsidRPr="005E3B43">
        <w:t>within 7 days after the notice is given.</w:t>
      </w:r>
    </w:p>
    <w:p w14:paraId="7D7026BF" w14:textId="77777777" w:rsidR="00207B1C" w:rsidRPr="005E3B43" w:rsidRDefault="00207B1C" w:rsidP="00763BCF">
      <w:pPr>
        <w:pStyle w:val="ActHead5"/>
      </w:pPr>
      <w:bookmarkStart w:id="416" w:name="_Toc187136006"/>
      <w:r w:rsidRPr="005E3B43">
        <w:rPr>
          <w:rStyle w:val="CharSectno"/>
        </w:rPr>
        <w:t>2</w:t>
      </w:r>
      <w:r w:rsidR="00E20BA4" w:rsidRPr="005E3B43">
        <w:t xml:space="preserve">  </w:t>
      </w:r>
      <w:r w:rsidRPr="005E3B43">
        <w:t>Expiration of period of exemption</w:t>
      </w:r>
      <w:r w:rsidR="00E20BA4" w:rsidRPr="005E3B43">
        <w:t>—</w:t>
      </w:r>
      <w:r w:rsidRPr="005E3B43">
        <w:t>notice of goods held</w:t>
      </w:r>
      <w:bookmarkEnd w:id="416"/>
    </w:p>
    <w:p w14:paraId="528B6CEA" w14:textId="53609DC8" w:rsidR="00207B1C" w:rsidRPr="005E3B43" w:rsidRDefault="00207B1C" w:rsidP="00763BCF">
      <w:pPr>
        <w:pStyle w:val="subsection"/>
      </w:pPr>
      <w:r w:rsidRPr="005E3B43">
        <w:tab/>
      </w:r>
      <w:r w:rsidRPr="005E3B43">
        <w:tab/>
        <w:t>A person who has been importing, manufacturing, supplying or exporting therapeutic goods under an exemption under sub</w:t>
      </w:r>
      <w:r w:rsidR="007C3215">
        <w:t>section 1</w:t>
      </w:r>
      <w:r w:rsidRPr="005E3B43">
        <w:t>8A(1) of the Act must, within 7 days after the exemption ceases to have effect under paragraph</w:t>
      </w:r>
      <w:r w:rsidR="004E6D00" w:rsidRPr="005E3B43">
        <w:t> </w:t>
      </w:r>
      <w:r w:rsidRPr="005E3B43">
        <w:t>18A(4)(a) of the Act, give to the Secretary:</w:t>
      </w:r>
    </w:p>
    <w:p w14:paraId="49DE2CD7" w14:textId="77777777" w:rsidR="00207B1C" w:rsidRPr="005E3B43" w:rsidRDefault="00207B1C" w:rsidP="00763BCF">
      <w:pPr>
        <w:pStyle w:val="paragraph"/>
      </w:pPr>
      <w:r w:rsidRPr="005E3B43">
        <w:lastRenderedPageBreak/>
        <w:tab/>
        <w:t>(a)</w:t>
      </w:r>
      <w:r w:rsidRPr="005E3B43">
        <w:tab/>
        <w:t>notice, in writing, of the quantity and location of any unused emergency goods over which the person has control; and</w:t>
      </w:r>
    </w:p>
    <w:p w14:paraId="6B6B1A28" w14:textId="77777777" w:rsidR="00207B1C" w:rsidRPr="005E3B43" w:rsidRDefault="00207B1C" w:rsidP="00763BCF">
      <w:pPr>
        <w:pStyle w:val="paragraph"/>
      </w:pPr>
      <w:r w:rsidRPr="005E3B43">
        <w:tab/>
        <w:t>(b)</w:t>
      </w:r>
      <w:r w:rsidRPr="005E3B43">
        <w:tab/>
        <w:t>a copy of any records about the goods that, under a condition of the exemption, the person is required to keep.</w:t>
      </w:r>
    </w:p>
    <w:p w14:paraId="06D75982" w14:textId="77777777" w:rsidR="00D52AE8" w:rsidRPr="005E3B43" w:rsidRDefault="00D52AE8" w:rsidP="00763BCF">
      <w:pPr>
        <w:pStyle w:val="ActHead5"/>
      </w:pPr>
      <w:bookmarkStart w:id="417" w:name="_Toc187136007"/>
      <w:r w:rsidRPr="005E3B43">
        <w:rPr>
          <w:rStyle w:val="CharSectno"/>
        </w:rPr>
        <w:t>2A</w:t>
      </w:r>
      <w:r w:rsidR="00E20BA4" w:rsidRPr="005E3B43">
        <w:t xml:space="preserve">  </w:t>
      </w:r>
      <w:r w:rsidRPr="005E3B43">
        <w:t>Expiration of period of exemption</w:t>
      </w:r>
      <w:r w:rsidR="00E20BA4" w:rsidRPr="005E3B43">
        <w:t>—</w:t>
      </w:r>
      <w:r w:rsidRPr="005E3B43">
        <w:t>notice of biologicals held</w:t>
      </w:r>
      <w:bookmarkEnd w:id="417"/>
    </w:p>
    <w:p w14:paraId="0E919623" w14:textId="77777777" w:rsidR="00D52AE8" w:rsidRPr="005E3B43" w:rsidRDefault="00D52AE8" w:rsidP="00763BCF">
      <w:pPr>
        <w:pStyle w:val="subsection"/>
      </w:pPr>
      <w:r w:rsidRPr="005E3B43">
        <w:tab/>
      </w:r>
      <w:r w:rsidRPr="005E3B43">
        <w:tab/>
        <w:t xml:space="preserve">A person who has been importing, manufacturing, supplying or exporting biologicals under an exemption under </w:t>
      </w:r>
      <w:r w:rsidR="00842CCD" w:rsidRPr="005E3B43">
        <w:t>subsection 3</w:t>
      </w:r>
      <w:r w:rsidRPr="005E3B43">
        <w:t xml:space="preserve">2CB(1) of the Act must, within 7 days after the end of the period specified in the exemption under </w:t>
      </w:r>
      <w:r w:rsidR="00842CCD" w:rsidRPr="005E3B43">
        <w:t>subsection 3</w:t>
      </w:r>
      <w:r w:rsidRPr="005E3B43">
        <w:t>2CB(4), give to the Secretary:</w:t>
      </w:r>
    </w:p>
    <w:p w14:paraId="02398241" w14:textId="77777777" w:rsidR="00D52AE8" w:rsidRPr="005E3B43" w:rsidRDefault="00D52AE8" w:rsidP="00763BCF">
      <w:pPr>
        <w:pStyle w:val="paragraph"/>
      </w:pPr>
      <w:r w:rsidRPr="005E3B43">
        <w:tab/>
        <w:t>(a)</w:t>
      </w:r>
      <w:r w:rsidRPr="005E3B43">
        <w:tab/>
        <w:t>notice, in writing, of the quantity and location of any unused emergency biologicals over which the person has control; and</w:t>
      </w:r>
    </w:p>
    <w:p w14:paraId="73469A4D" w14:textId="77777777" w:rsidR="00D52AE8" w:rsidRPr="005E3B43" w:rsidRDefault="00D52AE8" w:rsidP="00763BCF">
      <w:pPr>
        <w:pStyle w:val="paragraph"/>
      </w:pPr>
      <w:r w:rsidRPr="005E3B43">
        <w:tab/>
        <w:t>(b)</w:t>
      </w:r>
      <w:r w:rsidRPr="005E3B43">
        <w:tab/>
        <w:t>a copy of any records about the biologicals that, under a condition of the exemption, the person is required to keep.</w:t>
      </w:r>
    </w:p>
    <w:p w14:paraId="769A7FFF" w14:textId="77777777" w:rsidR="00D52AE8" w:rsidRPr="005E3B43" w:rsidRDefault="00D52AE8" w:rsidP="00763BCF">
      <w:pPr>
        <w:pStyle w:val="ActHead5"/>
      </w:pPr>
      <w:bookmarkStart w:id="418" w:name="_Toc187136008"/>
      <w:r w:rsidRPr="005E3B43">
        <w:rPr>
          <w:rStyle w:val="CharSectno"/>
        </w:rPr>
        <w:t>3</w:t>
      </w:r>
      <w:r w:rsidR="00E20BA4" w:rsidRPr="005E3B43">
        <w:t xml:space="preserve">  </w:t>
      </w:r>
      <w:r w:rsidRPr="005E3B43">
        <w:t>Storage and disposal of unused emergency goods and unused emergency biologicals</w:t>
      </w:r>
      <w:bookmarkEnd w:id="418"/>
    </w:p>
    <w:p w14:paraId="202D4C81" w14:textId="77777777" w:rsidR="00207B1C" w:rsidRPr="005E3B43" w:rsidRDefault="00207B1C" w:rsidP="00763BCF">
      <w:pPr>
        <w:pStyle w:val="subsection"/>
      </w:pPr>
      <w:r w:rsidRPr="005E3B43">
        <w:tab/>
        <w:t>(1)</w:t>
      </w:r>
      <w:r w:rsidRPr="005E3B43">
        <w:tab/>
        <w:t xml:space="preserve">A person who has control over unused emergency goods </w:t>
      </w:r>
      <w:r w:rsidR="00D52AE8" w:rsidRPr="005E3B43">
        <w:t>or unused emergency biologicals must ensure that those unused emergency goods or unused emergency biologicals</w:t>
      </w:r>
      <w:r w:rsidRPr="005E3B43">
        <w:t xml:space="preserve"> are stored in a way that ensures that:</w:t>
      </w:r>
    </w:p>
    <w:p w14:paraId="04DCB5E0" w14:textId="77777777" w:rsidR="00207B1C" w:rsidRPr="005E3B43" w:rsidRDefault="00207B1C" w:rsidP="00763BCF">
      <w:pPr>
        <w:pStyle w:val="paragraph"/>
      </w:pPr>
      <w:r w:rsidRPr="005E3B43">
        <w:tab/>
        <w:t>(a)</w:t>
      </w:r>
      <w:r w:rsidRPr="005E3B43">
        <w:tab/>
        <w:t>the goods</w:t>
      </w:r>
      <w:r w:rsidR="00054612" w:rsidRPr="005E3B43">
        <w:t xml:space="preserve"> or biologicals</w:t>
      </w:r>
      <w:r w:rsidRPr="005E3B43">
        <w:t xml:space="preserve"> are only accessible for supply, export, use or disposal in accordance with the Act and these Regulations; and</w:t>
      </w:r>
    </w:p>
    <w:p w14:paraId="223A1104" w14:textId="77777777" w:rsidR="00207B1C" w:rsidRPr="005E3B43" w:rsidRDefault="00207B1C" w:rsidP="00763BCF">
      <w:pPr>
        <w:pStyle w:val="paragraph"/>
      </w:pPr>
      <w:r w:rsidRPr="005E3B43">
        <w:tab/>
        <w:t>(b)</w:t>
      </w:r>
      <w:r w:rsidRPr="005E3B43">
        <w:tab/>
        <w:t xml:space="preserve">the security of the goods </w:t>
      </w:r>
      <w:r w:rsidR="00054612" w:rsidRPr="005E3B43">
        <w:t xml:space="preserve">or biologicals </w:t>
      </w:r>
      <w:r w:rsidRPr="005E3B43">
        <w:t xml:space="preserve">is appropriate to the level of risk that the goods </w:t>
      </w:r>
      <w:r w:rsidR="00054612" w:rsidRPr="005E3B43">
        <w:t>or biological</w:t>
      </w:r>
      <w:r w:rsidR="00C35124" w:rsidRPr="005E3B43">
        <w:t>s</w:t>
      </w:r>
      <w:r w:rsidR="00054612" w:rsidRPr="005E3B43">
        <w:t xml:space="preserve"> </w:t>
      </w:r>
      <w:r w:rsidRPr="005E3B43">
        <w:t>could pose to the public and the environment; and</w:t>
      </w:r>
    </w:p>
    <w:p w14:paraId="28AB9A99" w14:textId="77777777" w:rsidR="00207B1C" w:rsidRPr="005E3B43" w:rsidRDefault="00207B1C" w:rsidP="00763BCF">
      <w:pPr>
        <w:pStyle w:val="paragraph"/>
      </w:pPr>
      <w:r w:rsidRPr="005E3B43">
        <w:tab/>
        <w:t>(c)</w:t>
      </w:r>
      <w:r w:rsidRPr="005E3B43">
        <w:tab/>
        <w:t>the integrity of the condition of the goods</w:t>
      </w:r>
      <w:r w:rsidR="00054612" w:rsidRPr="005E3B43">
        <w:t xml:space="preserve"> or biologicals</w:t>
      </w:r>
      <w:r w:rsidRPr="005E3B43">
        <w:t xml:space="preserve"> is maintained.</w:t>
      </w:r>
    </w:p>
    <w:p w14:paraId="5A56B8BF" w14:textId="77777777" w:rsidR="00207B1C" w:rsidRPr="005E3B43" w:rsidRDefault="00207B1C" w:rsidP="00763BCF">
      <w:pPr>
        <w:pStyle w:val="subsection"/>
      </w:pPr>
      <w:r w:rsidRPr="005E3B43">
        <w:tab/>
        <w:t>(2)</w:t>
      </w:r>
      <w:r w:rsidRPr="005E3B43">
        <w:tab/>
        <w:t xml:space="preserve">A person may dispose of unused emergency goods </w:t>
      </w:r>
      <w:r w:rsidR="00054612" w:rsidRPr="005E3B43">
        <w:t xml:space="preserve">or unused emergency biologicals </w:t>
      </w:r>
      <w:r w:rsidRPr="005E3B43">
        <w:t>only in accordance with a direction given by the Secretary under subclause</w:t>
      </w:r>
      <w:r w:rsidR="004E6D00" w:rsidRPr="005E3B43">
        <w:t> </w:t>
      </w:r>
      <w:r w:rsidRPr="005E3B43">
        <w:t>4(1).</w:t>
      </w:r>
    </w:p>
    <w:p w14:paraId="4BFA5712" w14:textId="77777777" w:rsidR="00054612" w:rsidRPr="005E3B43" w:rsidRDefault="00054612" w:rsidP="00763BCF">
      <w:pPr>
        <w:pStyle w:val="ActHead5"/>
      </w:pPr>
      <w:bookmarkStart w:id="419" w:name="_Toc187136009"/>
      <w:r w:rsidRPr="005E3B43">
        <w:rPr>
          <w:rStyle w:val="CharSectno"/>
        </w:rPr>
        <w:t>4</w:t>
      </w:r>
      <w:r w:rsidR="00E20BA4" w:rsidRPr="005E3B43">
        <w:t xml:space="preserve">  </w:t>
      </w:r>
      <w:r w:rsidRPr="005E3B43">
        <w:t>Direction for disposal of unused emergency goods and unused emergency biologicals</w:t>
      </w:r>
      <w:bookmarkEnd w:id="419"/>
    </w:p>
    <w:p w14:paraId="5DEB25A7" w14:textId="77777777" w:rsidR="00207B1C" w:rsidRPr="005E3B43" w:rsidRDefault="00207B1C" w:rsidP="00763BCF">
      <w:pPr>
        <w:pStyle w:val="subsection"/>
      </w:pPr>
      <w:r w:rsidRPr="005E3B43">
        <w:tab/>
        <w:t>(1)</w:t>
      </w:r>
      <w:r w:rsidRPr="005E3B43">
        <w:tab/>
        <w:t>The Secretary may direct, in writing, any person who has control over unused emergency goods</w:t>
      </w:r>
      <w:r w:rsidR="00054612" w:rsidRPr="005E3B43">
        <w:t xml:space="preserve"> or unused emergency biologicals to dispose of the unused emergency goods or unused emergency biologicals</w:t>
      </w:r>
      <w:r w:rsidRPr="005E3B43">
        <w:t xml:space="preserve"> in the manner directed.</w:t>
      </w:r>
    </w:p>
    <w:p w14:paraId="211068E3" w14:textId="77777777" w:rsidR="00207B1C" w:rsidRPr="005E3B43" w:rsidRDefault="00207B1C" w:rsidP="00763BCF">
      <w:pPr>
        <w:pStyle w:val="subsection"/>
      </w:pPr>
      <w:r w:rsidRPr="005E3B43">
        <w:tab/>
        <w:t>(2)</w:t>
      </w:r>
      <w:r w:rsidRPr="005E3B43">
        <w:tab/>
        <w:t xml:space="preserve">A direction given under </w:t>
      </w:r>
      <w:r w:rsidR="004E6D00" w:rsidRPr="005E3B43">
        <w:t>subclause (</w:t>
      </w:r>
      <w:r w:rsidRPr="005E3B43">
        <w:t>1) must be in accordance with clause</w:t>
      </w:r>
      <w:r w:rsidR="004E6D00" w:rsidRPr="005E3B43">
        <w:t> </w:t>
      </w:r>
      <w:r w:rsidRPr="005E3B43">
        <w:t>5, 6, 7 or 8.</w:t>
      </w:r>
    </w:p>
    <w:p w14:paraId="0D94918D" w14:textId="77777777" w:rsidR="00207B1C" w:rsidRPr="005E3B43" w:rsidRDefault="00207B1C" w:rsidP="00763BCF">
      <w:pPr>
        <w:pStyle w:val="subsection"/>
      </w:pPr>
      <w:r w:rsidRPr="005E3B43">
        <w:tab/>
        <w:t>(3)</w:t>
      </w:r>
      <w:r w:rsidRPr="005E3B43">
        <w:tab/>
        <w:t xml:space="preserve">A person who has been given a direction under </w:t>
      </w:r>
      <w:r w:rsidR="004E6D00" w:rsidRPr="005E3B43">
        <w:t>subclause (</w:t>
      </w:r>
      <w:r w:rsidRPr="005E3B43">
        <w:t>1) must comply with the direction.</w:t>
      </w:r>
    </w:p>
    <w:p w14:paraId="17A093D5" w14:textId="77777777" w:rsidR="00C35124" w:rsidRPr="005E3B43" w:rsidRDefault="00C35124" w:rsidP="00763BCF">
      <w:pPr>
        <w:pStyle w:val="ActHead5"/>
      </w:pPr>
      <w:bookmarkStart w:id="420" w:name="_Toc187136010"/>
      <w:r w:rsidRPr="005E3B43">
        <w:rPr>
          <w:rStyle w:val="CharSectno"/>
        </w:rPr>
        <w:lastRenderedPageBreak/>
        <w:t>5</w:t>
      </w:r>
      <w:r w:rsidR="00E20BA4" w:rsidRPr="005E3B43">
        <w:t xml:space="preserve">  </w:t>
      </w:r>
      <w:r w:rsidRPr="005E3B43">
        <w:t>Relocation of unused emergency goods and unused emergency biologicals</w:t>
      </w:r>
      <w:bookmarkEnd w:id="420"/>
    </w:p>
    <w:p w14:paraId="06542268" w14:textId="77777777" w:rsidR="00207B1C" w:rsidRPr="005E3B43" w:rsidRDefault="00207B1C" w:rsidP="00763BCF">
      <w:pPr>
        <w:pStyle w:val="subsection"/>
      </w:pPr>
      <w:r w:rsidRPr="005E3B43">
        <w:tab/>
      </w:r>
      <w:r w:rsidRPr="005E3B43">
        <w:tab/>
        <w:t xml:space="preserve">If storage of particular unused emergency goods </w:t>
      </w:r>
      <w:r w:rsidR="00C35124" w:rsidRPr="005E3B43">
        <w:t xml:space="preserve">or unused emergency biologicals </w:t>
      </w:r>
      <w:r w:rsidRPr="005E3B43">
        <w:t xml:space="preserve">at a particular location poses, or would pose, a risk to the public or the environment, the Secretary may direct that the goods </w:t>
      </w:r>
      <w:r w:rsidR="00C35124" w:rsidRPr="005E3B43">
        <w:t xml:space="preserve">or biologicals </w:t>
      </w:r>
      <w:r w:rsidRPr="005E3B43">
        <w:t>be stored at a specified</w:t>
      </w:r>
      <w:r w:rsidRPr="005E3B43" w:rsidDel="00F71646">
        <w:t xml:space="preserve"> </w:t>
      </w:r>
      <w:r w:rsidRPr="005E3B43">
        <w:t>location that will ensure compliance with subclause</w:t>
      </w:r>
      <w:r w:rsidR="004E6D00" w:rsidRPr="005E3B43">
        <w:t> </w:t>
      </w:r>
      <w:r w:rsidRPr="005E3B43">
        <w:t>3(1).</w:t>
      </w:r>
    </w:p>
    <w:p w14:paraId="64B8A2F5" w14:textId="77777777" w:rsidR="00C35124" w:rsidRPr="005E3B43" w:rsidRDefault="00C35124" w:rsidP="00763BCF">
      <w:pPr>
        <w:pStyle w:val="ActHead5"/>
      </w:pPr>
      <w:bookmarkStart w:id="421" w:name="_Toc187136011"/>
      <w:r w:rsidRPr="005E3B43">
        <w:rPr>
          <w:rStyle w:val="CharSectno"/>
        </w:rPr>
        <w:t>6</w:t>
      </w:r>
      <w:r w:rsidR="00E20BA4" w:rsidRPr="005E3B43">
        <w:t xml:space="preserve">  </w:t>
      </w:r>
      <w:r w:rsidRPr="005E3B43">
        <w:t>Disposal of unused emergency goods and unused emergency biologicals</w:t>
      </w:r>
      <w:r w:rsidR="00E20BA4" w:rsidRPr="005E3B43">
        <w:t>—</w:t>
      </w:r>
      <w:r w:rsidRPr="005E3B43">
        <w:t>destruction</w:t>
      </w:r>
      <w:bookmarkEnd w:id="421"/>
    </w:p>
    <w:p w14:paraId="1A506D2B" w14:textId="77777777" w:rsidR="00207B1C" w:rsidRPr="005E3B43" w:rsidRDefault="00207B1C" w:rsidP="00763BCF">
      <w:pPr>
        <w:pStyle w:val="subsection"/>
      </w:pPr>
      <w:r w:rsidRPr="005E3B43">
        <w:tab/>
        <w:t>(1)</w:t>
      </w:r>
      <w:r w:rsidRPr="005E3B43">
        <w:tab/>
        <w:t xml:space="preserve">The Secretary may direct that unused emergency goods </w:t>
      </w:r>
      <w:r w:rsidR="00C35124" w:rsidRPr="005E3B43">
        <w:t xml:space="preserve">or unused emergency biologicals </w:t>
      </w:r>
      <w:r w:rsidRPr="005E3B43">
        <w:t>be destroyed within the time specified in the direction if any of the following applies:</w:t>
      </w:r>
    </w:p>
    <w:p w14:paraId="1A78CE22" w14:textId="77777777" w:rsidR="00207B1C" w:rsidRPr="005E3B43" w:rsidRDefault="00207B1C" w:rsidP="00763BCF">
      <w:pPr>
        <w:pStyle w:val="paragraph"/>
      </w:pPr>
      <w:r w:rsidRPr="005E3B43">
        <w:tab/>
        <w:t>(a)</w:t>
      </w:r>
      <w:r w:rsidRPr="005E3B43">
        <w:tab/>
        <w:t xml:space="preserve">the goods </w:t>
      </w:r>
      <w:r w:rsidR="00C35124" w:rsidRPr="005E3B43">
        <w:t xml:space="preserve">or biologicals </w:t>
      </w:r>
      <w:r w:rsidRPr="005E3B43">
        <w:t>have passed their expiry date;</w:t>
      </w:r>
    </w:p>
    <w:p w14:paraId="2788BB14" w14:textId="77777777" w:rsidR="00207B1C" w:rsidRPr="005E3B43" w:rsidRDefault="00207B1C" w:rsidP="00763BCF">
      <w:pPr>
        <w:pStyle w:val="paragraph"/>
      </w:pPr>
      <w:r w:rsidRPr="005E3B43">
        <w:tab/>
        <w:t>(b)</w:t>
      </w:r>
      <w:r w:rsidRPr="005E3B43">
        <w:tab/>
        <w:t xml:space="preserve">the goods </w:t>
      </w:r>
      <w:r w:rsidR="00C35124" w:rsidRPr="005E3B43">
        <w:t xml:space="preserve">or biologicals </w:t>
      </w:r>
      <w:r w:rsidRPr="005E3B43">
        <w:t>no longer conform to a standard that applies to the goods</w:t>
      </w:r>
      <w:r w:rsidR="00C35124" w:rsidRPr="005E3B43">
        <w:t xml:space="preserve"> or biologicals</w:t>
      </w:r>
      <w:r w:rsidRPr="005E3B43">
        <w:t>;</w:t>
      </w:r>
    </w:p>
    <w:p w14:paraId="437DC81B" w14:textId="77777777" w:rsidR="00207B1C" w:rsidRPr="005E3B43" w:rsidRDefault="00207B1C" w:rsidP="00763BCF">
      <w:pPr>
        <w:pStyle w:val="paragraph"/>
      </w:pPr>
      <w:r w:rsidRPr="005E3B43">
        <w:tab/>
        <w:t>(c)</w:t>
      </w:r>
      <w:r w:rsidRPr="005E3B43">
        <w:tab/>
        <w:t>use of the goods</w:t>
      </w:r>
      <w:r w:rsidR="00C35124" w:rsidRPr="005E3B43">
        <w:t xml:space="preserve"> or biologicals</w:t>
      </w:r>
      <w:r w:rsidRPr="005E3B43">
        <w:t xml:space="preserve"> poses, or would pose, a risk to public health;</w:t>
      </w:r>
    </w:p>
    <w:p w14:paraId="4B72857B" w14:textId="77777777" w:rsidR="00207B1C" w:rsidRPr="005E3B43" w:rsidRDefault="00207B1C" w:rsidP="00763BCF">
      <w:pPr>
        <w:pStyle w:val="paragraph"/>
      </w:pPr>
      <w:r w:rsidRPr="005E3B43">
        <w:tab/>
        <w:t>(d)</w:t>
      </w:r>
      <w:r w:rsidRPr="005E3B43">
        <w:tab/>
        <w:t xml:space="preserve">storage of the goods </w:t>
      </w:r>
      <w:r w:rsidR="00C35124" w:rsidRPr="005E3B43">
        <w:t xml:space="preserve">or biologicals </w:t>
      </w:r>
      <w:r w:rsidRPr="005E3B43">
        <w:t>at their current location and any other location poses, or would pose, a risk to the public or the environment;</w:t>
      </w:r>
    </w:p>
    <w:p w14:paraId="03779914" w14:textId="77777777" w:rsidR="00207B1C" w:rsidRPr="005E3B43" w:rsidRDefault="00207B1C" w:rsidP="00763BCF">
      <w:pPr>
        <w:pStyle w:val="paragraph"/>
      </w:pPr>
      <w:r w:rsidRPr="005E3B43">
        <w:tab/>
        <w:t>(e)</w:t>
      </w:r>
      <w:r w:rsidRPr="005E3B43">
        <w:tab/>
      </w:r>
      <w:r w:rsidR="00C35124" w:rsidRPr="005E3B43">
        <w:t>for unused emergency goods</w:t>
      </w:r>
      <w:r w:rsidR="00E20BA4" w:rsidRPr="005E3B43">
        <w:t>—</w:t>
      </w:r>
      <w:r w:rsidR="00C35124" w:rsidRPr="005E3B43">
        <w:t xml:space="preserve">within </w:t>
      </w:r>
      <w:r w:rsidRPr="005E3B43">
        <w:t>12 months after the exemption ceases to have effect in relation to the goods, the goods have not become (whether in relation to an indication for which the goods could have been used under the exemption or in relation to a different indication):</w:t>
      </w:r>
    </w:p>
    <w:p w14:paraId="1E383C21" w14:textId="77777777" w:rsidR="00207B1C" w:rsidRPr="005E3B43" w:rsidRDefault="00207B1C" w:rsidP="00763BCF">
      <w:pPr>
        <w:pStyle w:val="paragraphsub"/>
      </w:pPr>
      <w:r w:rsidRPr="005E3B43">
        <w:tab/>
        <w:t>(i)</w:t>
      </w:r>
      <w:r w:rsidRPr="005E3B43">
        <w:tab/>
        <w:t>registered goods or listed goods; or</w:t>
      </w:r>
    </w:p>
    <w:p w14:paraId="6E6789BD" w14:textId="41709663" w:rsidR="00207B1C" w:rsidRPr="005E3B43" w:rsidRDefault="00207B1C" w:rsidP="00763BCF">
      <w:pPr>
        <w:pStyle w:val="paragraphsub"/>
      </w:pPr>
      <w:r w:rsidRPr="005E3B43">
        <w:tab/>
        <w:t>(ii)</w:t>
      </w:r>
      <w:r w:rsidRPr="005E3B43">
        <w:tab/>
        <w:t xml:space="preserve">exempt goods under </w:t>
      </w:r>
      <w:r w:rsidR="007C3215">
        <w:t>section 1</w:t>
      </w:r>
      <w:r w:rsidRPr="005E3B43">
        <w:t>8 of the Act; or</w:t>
      </w:r>
    </w:p>
    <w:p w14:paraId="151C0A01" w14:textId="7BE1D7C9" w:rsidR="00207B1C" w:rsidRPr="005E3B43" w:rsidRDefault="00207B1C" w:rsidP="00763BCF">
      <w:pPr>
        <w:pStyle w:val="paragraphsub"/>
      </w:pPr>
      <w:r w:rsidRPr="005E3B43">
        <w:tab/>
        <w:t>(iii)</w:t>
      </w:r>
      <w:r w:rsidRPr="005E3B43">
        <w:tab/>
        <w:t xml:space="preserve">goods that are the subject of an approval or authority under </w:t>
      </w:r>
      <w:r w:rsidR="007C3215">
        <w:t>section 1</w:t>
      </w:r>
      <w:r w:rsidRPr="005E3B43">
        <w:t>9 of the Act; or</w:t>
      </w:r>
    </w:p>
    <w:p w14:paraId="6FB88308" w14:textId="4AF5FC8D" w:rsidR="00207B1C" w:rsidRPr="005E3B43" w:rsidRDefault="00207B1C" w:rsidP="00763BCF">
      <w:pPr>
        <w:pStyle w:val="paragraphsub"/>
      </w:pPr>
      <w:r w:rsidRPr="005E3B43">
        <w:tab/>
        <w:t>(iv)</w:t>
      </w:r>
      <w:r w:rsidRPr="005E3B43">
        <w:tab/>
        <w:t xml:space="preserve">goods that are the subject of an approval under </w:t>
      </w:r>
      <w:r w:rsidR="007C3215">
        <w:t>section 1</w:t>
      </w:r>
      <w:r w:rsidRPr="005E3B43">
        <w:t xml:space="preserve">9A of the Act; </w:t>
      </w:r>
    </w:p>
    <w:p w14:paraId="1487AC5D" w14:textId="77777777" w:rsidR="00C35124" w:rsidRPr="005E3B43" w:rsidRDefault="00C35124" w:rsidP="00763BCF">
      <w:pPr>
        <w:pStyle w:val="paragraph"/>
      </w:pPr>
      <w:r w:rsidRPr="005E3B43">
        <w:tab/>
        <w:t>(ea)</w:t>
      </w:r>
      <w:r w:rsidRPr="005E3B43">
        <w:tab/>
        <w:t>for unused emergency biologicals</w:t>
      </w:r>
      <w:r w:rsidR="00E20BA4" w:rsidRPr="005E3B43">
        <w:t>—</w:t>
      </w:r>
      <w:r w:rsidRPr="005E3B43">
        <w:t>within 12 months after the exemption ceases to have effect in relation to the biologicals, the biologicals have not become (whether in relation to an indication for which the biologicals could have been used under the exemption or in relation to a different indication):</w:t>
      </w:r>
    </w:p>
    <w:p w14:paraId="33EC3956" w14:textId="65A5DEBE" w:rsidR="00C35124" w:rsidRPr="005E3B43" w:rsidRDefault="00C35124" w:rsidP="00763BCF">
      <w:pPr>
        <w:pStyle w:val="paragraphsub"/>
      </w:pPr>
      <w:r w:rsidRPr="005E3B43">
        <w:tab/>
        <w:t>(i)</w:t>
      </w:r>
      <w:r w:rsidRPr="005E3B43">
        <w:tab/>
        <w:t xml:space="preserve">included in the Register under </w:t>
      </w:r>
      <w:r w:rsidR="00BB758E" w:rsidRPr="005E3B43">
        <w:t>Part 3</w:t>
      </w:r>
      <w:r w:rsidR="007C3215">
        <w:noBreakHyphen/>
      </w:r>
      <w:r w:rsidRPr="005E3B43">
        <w:t>2A of the Act; or</w:t>
      </w:r>
    </w:p>
    <w:p w14:paraId="08607203" w14:textId="77777777" w:rsidR="00C35124" w:rsidRPr="005E3B43" w:rsidRDefault="00C35124" w:rsidP="00763BCF">
      <w:pPr>
        <w:pStyle w:val="paragraphsub"/>
      </w:pPr>
      <w:r w:rsidRPr="005E3B43">
        <w:tab/>
        <w:t>(ii)</w:t>
      </w:r>
      <w:r w:rsidRPr="005E3B43">
        <w:tab/>
        <w:t>exempt biologicals under section</w:t>
      </w:r>
      <w:r w:rsidR="004E6D00" w:rsidRPr="005E3B43">
        <w:t> </w:t>
      </w:r>
      <w:r w:rsidRPr="005E3B43">
        <w:t>32CA of the Act; or</w:t>
      </w:r>
    </w:p>
    <w:p w14:paraId="7702816D" w14:textId="77777777" w:rsidR="00C35124" w:rsidRPr="005E3B43" w:rsidRDefault="00C35124" w:rsidP="00763BCF">
      <w:pPr>
        <w:pStyle w:val="paragraphsub"/>
      </w:pPr>
      <w:r w:rsidRPr="005E3B43">
        <w:tab/>
        <w:t>(iii)</w:t>
      </w:r>
      <w:r w:rsidRPr="005E3B43">
        <w:tab/>
        <w:t>biologicals that are the subject of an approval or authority under section</w:t>
      </w:r>
      <w:r w:rsidR="004E6D00" w:rsidRPr="005E3B43">
        <w:t> </w:t>
      </w:r>
      <w:r w:rsidRPr="005E3B43">
        <w:t>32CK or 32CM of the Act; or</w:t>
      </w:r>
    </w:p>
    <w:p w14:paraId="362C3679" w14:textId="77777777" w:rsidR="00C35124" w:rsidRPr="005E3B43" w:rsidRDefault="00C35124" w:rsidP="00763BCF">
      <w:pPr>
        <w:pStyle w:val="paragraphsub"/>
      </w:pPr>
      <w:r w:rsidRPr="005E3B43">
        <w:tab/>
        <w:t>(iv)</w:t>
      </w:r>
      <w:r w:rsidRPr="005E3B43">
        <w:tab/>
        <w:t>biologicals that are the subject of an approval under section</w:t>
      </w:r>
      <w:r w:rsidR="004E6D00" w:rsidRPr="005E3B43">
        <w:t> </w:t>
      </w:r>
      <w:r w:rsidRPr="005E3B43">
        <w:t>32CO of the Act;</w:t>
      </w:r>
    </w:p>
    <w:p w14:paraId="59328DCE" w14:textId="77777777" w:rsidR="00207B1C" w:rsidRPr="005E3B43" w:rsidRDefault="00207B1C" w:rsidP="00763BCF">
      <w:pPr>
        <w:pStyle w:val="paragraph"/>
      </w:pPr>
      <w:r w:rsidRPr="005E3B43">
        <w:tab/>
        <w:t>(f)</w:t>
      </w:r>
      <w:r w:rsidRPr="005E3B43">
        <w:tab/>
        <w:t xml:space="preserve">the person who has control over the goods </w:t>
      </w:r>
      <w:r w:rsidR="00C35124" w:rsidRPr="005E3B43">
        <w:t xml:space="preserve">or biologicals </w:t>
      </w:r>
      <w:r w:rsidRPr="005E3B43">
        <w:t xml:space="preserve">requests that the goods </w:t>
      </w:r>
      <w:r w:rsidR="00C35124" w:rsidRPr="005E3B43">
        <w:t xml:space="preserve">or biologicals </w:t>
      </w:r>
      <w:r w:rsidRPr="005E3B43">
        <w:t>be destroyed.</w:t>
      </w:r>
    </w:p>
    <w:p w14:paraId="03770D7A" w14:textId="77777777" w:rsidR="00207B1C" w:rsidRPr="005E3B43" w:rsidRDefault="00207B1C" w:rsidP="00763BCF">
      <w:pPr>
        <w:pStyle w:val="subsection"/>
      </w:pPr>
      <w:r w:rsidRPr="005E3B43">
        <w:tab/>
        <w:t>(2)</w:t>
      </w:r>
      <w:r w:rsidRPr="005E3B43">
        <w:tab/>
        <w:t xml:space="preserve">A person directed to destroy the goods </w:t>
      </w:r>
      <w:r w:rsidR="00C35124" w:rsidRPr="005E3B43">
        <w:t xml:space="preserve">or biologicals </w:t>
      </w:r>
      <w:r w:rsidRPr="005E3B43">
        <w:t xml:space="preserve">may destroy the goods </w:t>
      </w:r>
      <w:r w:rsidR="00C35124" w:rsidRPr="005E3B43">
        <w:t xml:space="preserve">or biologicals </w:t>
      </w:r>
      <w:r w:rsidRPr="005E3B43">
        <w:t>only in a way, approved by the Secretary, that ensures that the destruction avoids or minimises harm to the public and the environment.</w:t>
      </w:r>
    </w:p>
    <w:p w14:paraId="094CBB8B" w14:textId="77777777" w:rsidR="000F1575" w:rsidRPr="005E3B43" w:rsidRDefault="000F1575" w:rsidP="00763BCF">
      <w:pPr>
        <w:pStyle w:val="ActHead5"/>
      </w:pPr>
      <w:bookmarkStart w:id="422" w:name="_Toc187136012"/>
      <w:r w:rsidRPr="005E3B43">
        <w:rPr>
          <w:rStyle w:val="CharSectno"/>
        </w:rPr>
        <w:lastRenderedPageBreak/>
        <w:t>7</w:t>
      </w:r>
      <w:r w:rsidR="00E20BA4" w:rsidRPr="005E3B43">
        <w:t xml:space="preserve">  </w:t>
      </w:r>
      <w:r w:rsidRPr="005E3B43">
        <w:t>Disposal of unused emergency goods and unused emergency biologicals</w:t>
      </w:r>
      <w:r w:rsidR="00E20BA4" w:rsidRPr="005E3B43">
        <w:t>—</w:t>
      </w:r>
      <w:r w:rsidRPr="005E3B43">
        <w:t>export</w:t>
      </w:r>
      <w:bookmarkEnd w:id="422"/>
    </w:p>
    <w:p w14:paraId="5FC37C24" w14:textId="77777777" w:rsidR="00207B1C" w:rsidRPr="005E3B43" w:rsidRDefault="00207B1C" w:rsidP="00763BCF">
      <w:pPr>
        <w:pStyle w:val="subsection"/>
      </w:pPr>
      <w:r w:rsidRPr="005E3B43">
        <w:tab/>
        <w:t>(1)</w:t>
      </w:r>
      <w:r w:rsidRPr="005E3B43">
        <w:tab/>
        <w:t xml:space="preserve">This clause applies to unused emergency goods </w:t>
      </w:r>
      <w:r w:rsidR="00863AE8" w:rsidRPr="005E3B43">
        <w:t xml:space="preserve">or unused emergency biologicals </w:t>
      </w:r>
      <w:r w:rsidRPr="005E3B43">
        <w:t>to which any of paragraphs 6(1)(a) to (e) applies.</w:t>
      </w:r>
    </w:p>
    <w:p w14:paraId="697E5734" w14:textId="77777777" w:rsidR="00207B1C" w:rsidRPr="005E3B43" w:rsidRDefault="00207B1C" w:rsidP="00763BCF">
      <w:pPr>
        <w:pStyle w:val="subsection"/>
      </w:pPr>
      <w:r w:rsidRPr="005E3B43">
        <w:tab/>
        <w:t>(2)</w:t>
      </w:r>
      <w:r w:rsidRPr="005E3B43">
        <w:tab/>
        <w:t xml:space="preserve">The Secretary may direct that the goods </w:t>
      </w:r>
      <w:r w:rsidR="00863AE8" w:rsidRPr="005E3B43">
        <w:t xml:space="preserve">or biologicals </w:t>
      </w:r>
      <w:r w:rsidRPr="005E3B43">
        <w:t>be exported to a country, instead of directing that they be destroyed, if a relevant authority of the country has confirmed</w:t>
      </w:r>
      <w:r w:rsidR="00A616B0" w:rsidRPr="005E3B43">
        <w:t xml:space="preserve">, in writing or by electronic communication, </w:t>
      </w:r>
      <w:r w:rsidRPr="005E3B43">
        <w:t>its willingness to accept the goods</w:t>
      </w:r>
      <w:r w:rsidR="00863AE8" w:rsidRPr="005E3B43">
        <w:t xml:space="preserve"> or biologicals</w:t>
      </w:r>
      <w:r w:rsidRPr="005E3B43">
        <w:t>.</w:t>
      </w:r>
    </w:p>
    <w:p w14:paraId="2EE455D6" w14:textId="77777777" w:rsidR="00207B1C" w:rsidRPr="005E3B43" w:rsidRDefault="00207B1C" w:rsidP="00763BCF">
      <w:pPr>
        <w:pStyle w:val="subsection"/>
      </w:pPr>
      <w:r w:rsidRPr="005E3B43">
        <w:tab/>
        <w:t>(3)</w:t>
      </w:r>
      <w:r w:rsidRPr="005E3B43">
        <w:tab/>
        <w:t xml:space="preserve">A person directed to export the goods </w:t>
      </w:r>
      <w:r w:rsidR="00863AE8" w:rsidRPr="005E3B43">
        <w:t xml:space="preserve">or biologicals </w:t>
      </w:r>
      <w:r w:rsidRPr="005E3B43">
        <w:t>must ensure that, during exportation:</w:t>
      </w:r>
    </w:p>
    <w:p w14:paraId="08BDB475" w14:textId="77777777" w:rsidR="00207B1C" w:rsidRPr="005E3B43" w:rsidRDefault="00207B1C" w:rsidP="00763BCF">
      <w:pPr>
        <w:pStyle w:val="paragraph"/>
      </w:pPr>
      <w:r w:rsidRPr="005E3B43">
        <w:tab/>
        <w:t>(a)</w:t>
      </w:r>
      <w:r w:rsidRPr="005E3B43">
        <w:tab/>
        <w:t xml:space="preserve">the goods </w:t>
      </w:r>
      <w:r w:rsidR="00863AE8" w:rsidRPr="005E3B43">
        <w:t xml:space="preserve">or biologicals </w:t>
      </w:r>
      <w:r w:rsidRPr="005E3B43">
        <w:t>are only accessible for purposes relating to the export; and</w:t>
      </w:r>
    </w:p>
    <w:p w14:paraId="70C0AB71" w14:textId="77777777" w:rsidR="00207B1C" w:rsidRPr="005E3B43" w:rsidRDefault="00207B1C" w:rsidP="00763BCF">
      <w:pPr>
        <w:pStyle w:val="paragraph"/>
      </w:pPr>
      <w:r w:rsidRPr="005E3B43">
        <w:tab/>
        <w:t>(b)</w:t>
      </w:r>
      <w:r w:rsidRPr="005E3B43">
        <w:tab/>
        <w:t xml:space="preserve">the security of the goods </w:t>
      </w:r>
      <w:r w:rsidR="00863AE8" w:rsidRPr="005E3B43">
        <w:t xml:space="preserve">or biologicals </w:t>
      </w:r>
      <w:r w:rsidRPr="005E3B43">
        <w:t xml:space="preserve">is appropriate to the level of risk that the goods </w:t>
      </w:r>
      <w:r w:rsidR="00863AE8" w:rsidRPr="005E3B43">
        <w:t xml:space="preserve">or biologicals </w:t>
      </w:r>
      <w:r w:rsidRPr="005E3B43">
        <w:t>could pose to the public and the environment; and</w:t>
      </w:r>
    </w:p>
    <w:p w14:paraId="2A7DFE12" w14:textId="77777777" w:rsidR="00207B1C" w:rsidRPr="005E3B43" w:rsidRDefault="00207B1C" w:rsidP="00763BCF">
      <w:pPr>
        <w:pStyle w:val="paragraph"/>
      </w:pPr>
      <w:r w:rsidRPr="005E3B43">
        <w:tab/>
        <w:t>(c)</w:t>
      </w:r>
      <w:r w:rsidRPr="005E3B43">
        <w:tab/>
        <w:t xml:space="preserve">the integrity of the condition of the goods </w:t>
      </w:r>
      <w:r w:rsidR="00863AE8" w:rsidRPr="005E3B43">
        <w:t xml:space="preserve">or biologicals </w:t>
      </w:r>
      <w:r w:rsidRPr="005E3B43">
        <w:t>is maintained.</w:t>
      </w:r>
    </w:p>
    <w:p w14:paraId="3E88C14B" w14:textId="77777777" w:rsidR="00A616B0" w:rsidRPr="005E3B43" w:rsidRDefault="00A616B0" w:rsidP="00763BCF">
      <w:pPr>
        <w:pStyle w:val="subsection"/>
      </w:pPr>
      <w:r w:rsidRPr="005E3B43">
        <w:tab/>
        <w:t>(4)</w:t>
      </w:r>
      <w:r w:rsidRPr="005E3B43">
        <w:tab/>
        <w:t>In this clause:</w:t>
      </w:r>
    </w:p>
    <w:p w14:paraId="1F6C4266" w14:textId="77777777" w:rsidR="00A616B0" w:rsidRPr="005E3B43" w:rsidRDefault="00A616B0" w:rsidP="00763BCF">
      <w:pPr>
        <w:pStyle w:val="Definition"/>
      </w:pPr>
      <w:r w:rsidRPr="005E3B43">
        <w:rPr>
          <w:b/>
          <w:i/>
        </w:rPr>
        <w:t xml:space="preserve">electronic communication </w:t>
      </w:r>
      <w:r w:rsidRPr="005E3B43">
        <w:t>has the meaning given by subsection</w:t>
      </w:r>
      <w:r w:rsidR="004E6D00" w:rsidRPr="005E3B43">
        <w:t> </w:t>
      </w:r>
      <w:r w:rsidRPr="005E3B43">
        <w:t xml:space="preserve">5(1) of the </w:t>
      </w:r>
      <w:r w:rsidRPr="005E3B43">
        <w:rPr>
          <w:i/>
        </w:rPr>
        <w:t>Electronic Transactions Act 1999</w:t>
      </w:r>
      <w:r w:rsidRPr="005E3B43">
        <w:t>.</w:t>
      </w:r>
    </w:p>
    <w:p w14:paraId="173C08F7" w14:textId="77777777" w:rsidR="00863AE8" w:rsidRPr="005E3B43" w:rsidRDefault="00863AE8" w:rsidP="00763BCF">
      <w:pPr>
        <w:pStyle w:val="ActHead5"/>
      </w:pPr>
      <w:bookmarkStart w:id="423" w:name="_Toc187136013"/>
      <w:r w:rsidRPr="005E3B43">
        <w:rPr>
          <w:rStyle w:val="CharSectno"/>
        </w:rPr>
        <w:t>8</w:t>
      </w:r>
      <w:r w:rsidR="00E20BA4" w:rsidRPr="005E3B43">
        <w:t xml:space="preserve">  </w:t>
      </w:r>
      <w:r w:rsidRPr="005E3B43">
        <w:t>Disposal of unused emergency goods and unused emergency biologicals</w:t>
      </w:r>
      <w:r w:rsidR="00E20BA4" w:rsidRPr="005E3B43">
        <w:t>—</w:t>
      </w:r>
      <w:r w:rsidRPr="005E3B43">
        <w:t>supply</w:t>
      </w:r>
      <w:bookmarkEnd w:id="423"/>
    </w:p>
    <w:p w14:paraId="7530B143" w14:textId="77777777" w:rsidR="00207B1C" w:rsidRPr="005E3B43" w:rsidRDefault="00207B1C" w:rsidP="00763BCF">
      <w:pPr>
        <w:pStyle w:val="subsection"/>
      </w:pPr>
      <w:r w:rsidRPr="005E3B43">
        <w:tab/>
        <w:t>(1)</w:t>
      </w:r>
      <w:r w:rsidRPr="005E3B43">
        <w:tab/>
        <w:t xml:space="preserve">This clause applies to unused emergency </w:t>
      </w:r>
      <w:r w:rsidR="00863AE8" w:rsidRPr="005E3B43">
        <w:t xml:space="preserve">goods or unused emergency biologicals that have become (whether in relation to an indication for which the unused emergency goods or unused emergency biologicals </w:t>
      </w:r>
      <w:r w:rsidRPr="005E3B43">
        <w:t>could have been used under the exemption or in relation to a different indication):</w:t>
      </w:r>
    </w:p>
    <w:p w14:paraId="680D46C2" w14:textId="77777777" w:rsidR="00207B1C" w:rsidRPr="005E3B43" w:rsidRDefault="00207B1C" w:rsidP="00763BCF">
      <w:pPr>
        <w:pStyle w:val="paragraph"/>
      </w:pPr>
      <w:r w:rsidRPr="005E3B43">
        <w:tab/>
        <w:t>(a)</w:t>
      </w:r>
      <w:r w:rsidRPr="005E3B43">
        <w:tab/>
        <w:t>registered goods or listed goods; or</w:t>
      </w:r>
    </w:p>
    <w:p w14:paraId="60605E36" w14:textId="05779A2E" w:rsidR="00863AE8" w:rsidRPr="005E3B43" w:rsidRDefault="00863AE8" w:rsidP="00763BCF">
      <w:pPr>
        <w:pStyle w:val="paragraph"/>
      </w:pPr>
      <w:r w:rsidRPr="005E3B43">
        <w:tab/>
        <w:t>(aa)</w:t>
      </w:r>
      <w:r w:rsidRPr="005E3B43">
        <w:tab/>
        <w:t xml:space="preserve">biologicals included in the Register under </w:t>
      </w:r>
      <w:r w:rsidR="00BB758E" w:rsidRPr="005E3B43">
        <w:t>Part 3</w:t>
      </w:r>
      <w:r w:rsidR="007C3215">
        <w:noBreakHyphen/>
      </w:r>
      <w:r w:rsidRPr="005E3B43">
        <w:t>2A of the Act; or</w:t>
      </w:r>
    </w:p>
    <w:p w14:paraId="6C0B205F" w14:textId="7E4246AD" w:rsidR="00207B1C" w:rsidRPr="005E3B43" w:rsidRDefault="00207B1C" w:rsidP="00763BCF">
      <w:pPr>
        <w:pStyle w:val="paragraph"/>
      </w:pPr>
      <w:r w:rsidRPr="005E3B43">
        <w:tab/>
        <w:t>(b)</w:t>
      </w:r>
      <w:r w:rsidRPr="005E3B43">
        <w:tab/>
        <w:t xml:space="preserve">goods that are the subject of an approval or authority under </w:t>
      </w:r>
      <w:r w:rsidR="007C3215">
        <w:t>section 1</w:t>
      </w:r>
      <w:r w:rsidRPr="005E3B43">
        <w:t>9 of the Act; or</w:t>
      </w:r>
    </w:p>
    <w:p w14:paraId="01E5C5CA" w14:textId="77777777" w:rsidR="00863AE8" w:rsidRPr="005E3B43" w:rsidRDefault="00863AE8" w:rsidP="00763BCF">
      <w:pPr>
        <w:pStyle w:val="paragraph"/>
      </w:pPr>
      <w:r w:rsidRPr="005E3B43">
        <w:tab/>
        <w:t>(ba)</w:t>
      </w:r>
      <w:r w:rsidRPr="005E3B43">
        <w:tab/>
        <w:t>biologicals that are the subject of an approval or authority under section</w:t>
      </w:r>
      <w:r w:rsidR="004E6D00" w:rsidRPr="005E3B43">
        <w:t> </w:t>
      </w:r>
      <w:r w:rsidRPr="005E3B43">
        <w:t>32CK or 32CM of the Act; or</w:t>
      </w:r>
    </w:p>
    <w:p w14:paraId="66E191CD" w14:textId="0879BA83" w:rsidR="00207B1C" w:rsidRPr="005E3B43" w:rsidRDefault="00207B1C" w:rsidP="00763BCF">
      <w:pPr>
        <w:pStyle w:val="paragraph"/>
      </w:pPr>
      <w:r w:rsidRPr="005E3B43">
        <w:tab/>
        <w:t>(c)</w:t>
      </w:r>
      <w:r w:rsidRPr="005E3B43">
        <w:tab/>
        <w:t xml:space="preserve">goods that are the subject of an approval under </w:t>
      </w:r>
      <w:r w:rsidR="007C3215">
        <w:t>section 1</w:t>
      </w:r>
      <w:r w:rsidRPr="005E3B43">
        <w:t>9A of the</w:t>
      </w:r>
      <w:r w:rsidR="00863AE8" w:rsidRPr="005E3B43">
        <w:t xml:space="preserve"> Act; or</w:t>
      </w:r>
    </w:p>
    <w:p w14:paraId="76A340E2" w14:textId="77777777" w:rsidR="00863AE8" w:rsidRPr="005E3B43" w:rsidRDefault="00863AE8" w:rsidP="00763BCF">
      <w:pPr>
        <w:pStyle w:val="paragraph"/>
      </w:pPr>
      <w:r w:rsidRPr="005E3B43">
        <w:tab/>
        <w:t>(d)</w:t>
      </w:r>
      <w:r w:rsidRPr="005E3B43">
        <w:tab/>
        <w:t>biologicals that are the subject of an approval under section</w:t>
      </w:r>
      <w:r w:rsidR="004E6D00" w:rsidRPr="005E3B43">
        <w:t> </w:t>
      </w:r>
      <w:r w:rsidRPr="005E3B43">
        <w:t>32CO of the Act.</w:t>
      </w:r>
    </w:p>
    <w:p w14:paraId="6FFD2605" w14:textId="77777777" w:rsidR="00207B1C" w:rsidRPr="005E3B43" w:rsidRDefault="00207B1C" w:rsidP="00763BCF">
      <w:pPr>
        <w:pStyle w:val="subsection"/>
      </w:pPr>
      <w:r w:rsidRPr="005E3B43">
        <w:tab/>
        <w:t>(2)</w:t>
      </w:r>
      <w:r w:rsidRPr="005E3B43">
        <w:tab/>
        <w:t>The Secretary may direct that the goods</w:t>
      </w:r>
      <w:r w:rsidR="00863AE8" w:rsidRPr="005E3B43">
        <w:t xml:space="preserve"> or biologicals</w:t>
      </w:r>
      <w:r w:rsidRPr="005E3B43">
        <w:t xml:space="preserve"> be supplied to an authorised person (otherwise than by way of administration to, or application in the treatment of, the person).</w:t>
      </w:r>
    </w:p>
    <w:p w14:paraId="5DA87AD6" w14:textId="77777777" w:rsidR="00207B1C" w:rsidRPr="005E3B43" w:rsidRDefault="00207B1C" w:rsidP="00763BCF">
      <w:pPr>
        <w:pStyle w:val="subsection"/>
      </w:pPr>
      <w:r w:rsidRPr="005E3B43">
        <w:tab/>
        <w:t>(3)</w:t>
      </w:r>
      <w:r w:rsidRPr="005E3B43">
        <w:tab/>
        <w:t>In this clause:</w:t>
      </w:r>
    </w:p>
    <w:p w14:paraId="237D48AC" w14:textId="77777777" w:rsidR="00207B1C" w:rsidRPr="005E3B43" w:rsidRDefault="00207B1C" w:rsidP="00763BCF">
      <w:pPr>
        <w:pStyle w:val="Definition"/>
      </w:pPr>
      <w:r w:rsidRPr="005E3B43">
        <w:rPr>
          <w:b/>
          <w:i/>
        </w:rPr>
        <w:t xml:space="preserve">authorised person </w:t>
      </w:r>
      <w:r w:rsidRPr="005E3B43">
        <w:t>means, as appropriate, a person:</w:t>
      </w:r>
    </w:p>
    <w:p w14:paraId="1859BBAA" w14:textId="77777777" w:rsidR="00207B1C" w:rsidRPr="005E3B43" w:rsidRDefault="00207B1C" w:rsidP="00763BCF">
      <w:pPr>
        <w:pStyle w:val="paragraph"/>
      </w:pPr>
      <w:r w:rsidRPr="005E3B43">
        <w:lastRenderedPageBreak/>
        <w:tab/>
        <w:t>(a)</w:t>
      </w:r>
      <w:r w:rsidRPr="005E3B43">
        <w:tab/>
        <w:t>in relation to whom the registered goods or listed goods are registered or listed; or</w:t>
      </w:r>
    </w:p>
    <w:p w14:paraId="45811FAE" w14:textId="5722A7B2" w:rsidR="00863AE8" w:rsidRPr="005E3B43" w:rsidRDefault="00863AE8" w:rsidP="00763BCF">
      <w:pPr>
        <w:pStyle w:val="paragraph"/>
      </w:pPr>
      <w:r w:rsidRPr="005E3B43">
        <w:tab/>
        <w:t>(aa)</w:t>
      </w:r>
      <w:r w:rsidRPr="005E3B43">
        <w:tab/>
        <w:t xml:space="preserve">in relation to whom the biologicals are included in the Register under </w:t>
      </w:r>
      <w:r w:rsidR="00BB758E" w:rsidRPr="005E3B43">
        <w:t>Part 3</w:t>
      </w:r>
      <w:r w:rsidR="007C3215">
        <w:noBreakHyphen/>
      </w:r>
      <w:r w:rsidRPr="005E3B43">
        <w:t>2A of the Act; or</w:t>
      </w:r>
    </w:p>
    <w:p w14:paraId="05A93586" w14:textId="7FB16C2F" w:rsidR="00207B1C" w:rsidRPr="005E3B43" w:rsidRDefault="00207B1C" w:rsidP="00763BCF">
      <w:pPr>
        <w:pStyle w:val="paragraph"/>
      </w:pPr>
      <w:r w:rsidRPr="005E3B43">
        <w:tab/>
        <w:t>(b)</w:t>
      </w:r>
      <w:r w:rsidRPr="005E3B43">
        <w:tab/>
        <w:t xml:space="preserve">to whom the approval </w:t>
      </w:r>
      <w:r w:rsidR="00102755" w:rsidRPr="005E3B43">
        <w:t>under sub</w:t>
      </w:r>
      <w:r w:rsidR="007C3215">
        <w:t>section 1</w:t>
      </w:r>
      <w:r w:rsidR="00102755" w:rsidRPr="005E3B43">
        <w:t>9(1) or section</w:t>
      </w:r>
      <w:r w:rsidR="004E6D00" w:rsidRPr="005E3B43">
        <w:t> </w:t>
      </w:r>
      <w:r w:rsidR="00102755" w:rsidRPr="005E3B43">
        <w:t>32CK of the Act, or the authority under sub</w:t>
      </w:r>
      <w:r w:rsidR="007C3215">
        <w:t>section 1</w:t>
      </w:r>
      <w:r w:rsidR="00102755" w:rsidRPr="005E3B43">
        <w:t>9(5) or 32CM(1) of the Act,</w:t>
      </w:r>
      <w:r w:rsidRPr="005E3B43">
        <w:t xml:space="preserve"> is given; or</w:t>
      </w:r>
    </w:p>
    <w:p w14:paraId="47770AF4" w14:textId="3B2881DA" w:rsidR="00102755" w:rsidRPr="005E3B43" w:rsidRDefault="00102755" w:rsidP="00763BCF">
      <w:pPr>
        <w:pStyle w:val="paragraph"/>
      </w:pPr>
      <w:r w:rsidRPr="005E3B43">
        <w:tab/>
        <w:t>(ba)</w:t>
      </w:r>
      <w:r w:rsidRPr="005E3B43">
        <w:tab/>
        <w:t>who is included in a class of health practitioners specified in rules made under sub</w:t>
      </w:r>
      <w:r w:rsidR="007C3215">
        <w:t>section 1</w:t>
      </w:r>
      <w:r w:rsidRPr="005E3B43">
        <w:t>9(7A) or 32CM(7A) of the Act; or</w:t>
      </w:r>
    </w:p>
    <w:p w14:paraId="3CEC121A" w14:textId="552367A8" w:rsidR="00207B1C" w:rsidRPr="005E3B43" w:rsidRDefault="00207B1C" w:rsidP="00763BCF">
      <w:pPr>
        <w:pStyle w:val="paragraph"/>
      </w:pPr>
      <w:r w:rsidRPr="005E3B43">
        <w:tab/>
        <w:t>(c)</w:t>
      </w:r>
      <w:r w:rsidRPr="005E3B43">
        <w:tab/>
        <w:t xml:space="preserve">to whom the approval under </w:t>
      </w:r>
      <w:r w:rsidR="007C3215">
        <w:t>section 1</w:t>
      </w:r>
      <w:r w:rsidRPr="005E3B43">
        <w:t xml:space="preserve">9A </w:t>
      </w:r>
      <w:r w:rsidR="00863AE8" w:rsidRPr="005E3B43">
        <w:t xml:space="preserve">or 32CO </w:t>
      </w:r>
      <w:r w:rsidRPr="005E3B43">
        <w:t>of the Act is given.</w:t>
      </w:r>
    </w:p>
    <w:p w14:paraId="477F32A8" w14:textId="77777777" w:rsidR="00863AE8" w:rsidRPr="005E3B43" w:rsidRDefault="00863AE8" w:rsidP="00763BCF">
      <w:pPr>
        <w:pStyle w:val="ActHead5"/>
      </w:pPr>
      <w:bookmarkStart w:id="424" w:name="_Toc187136014"/>
      <w:r w:rsidRPr="005E3B43">
        <w:rPr>
          <w:rStyle w:val="CharSectno"/>
        </w:rPr>
        <w:t>9</w:t>
      </w:r>
      <w:r w:rsidR="00E20BA4" w:rsidRPr="005E3B43">
        <w:t xml:space="preserve">  </w:t>
      </w:r>
      <w:r w:rsidRPr="005E3B43">
        <w:t>Owner to be paid for goods or biologicals supplied</w:t>
      </w:r>
      <w:bookmarkEnd w:id="424"/>
    </w:p>
    <w:p w14:paraId="75C72E3F" w14:textId="77777777" w:rsidR="00207B1C" w:rsidRPr="005E3B43" w:rsidRDefault="00207B1C" w:rsidP="00763BCF">
      <w:pPr>
        <w:pStyle w:val="subsection"/>
      </w:pPr>
      <w:r w:rsidRPr="005E3B43">
        <w:tab/>
      </w:r>
      <w:r w:rsidRPr="005E3B43">
        <w:tab/>
        <w:t>A direction given under clause</w:t>
      </w:r>
      <w:r w:rsidR="004E6D00" w:rsidRPr="005E3B43">
        <w:t> </w:t>
      </w:r>
      <w:r w:rsidRPr="005E3B43">
        <w:t>7 or 8 does not affect a person’s liability to pay the owner of the goods</w:t>
      </w:r>
      <w:r w:rsidR="00863AE8" w:rsidRPr="005E3B43">
        <w:t xml:space="preserve"> or biologicals</w:t>
      </w:r>
      <w:r w:rsidRPr="005E3B43">
        <w:t xml:space="preserve"> for the export or supply of the goods </w:t>
      </w:r>
      <w:r w:rsidR="00863AE8" w:rsidRPr="005E3B43">
        <w:t xml:space="preserve">or biologicals </w:t>
      </w:r>
      <w:r w:rsidRPr="005E3B43">
        <w:t>to the person.</w:t>
      </w:r>
    </w:p>
    <w:p w14:paraId="75461135" w14:textId="77777777" w:rsidR="00863AE8" w:rsidRPr="005E3B43" w:rsidRDefault="00863AE8" w:rsidP="00763BCF">
      <w:pPr>
        <w:pStyle w:val="ActHead5"/>
      </w:pPr>
      <w:bookmarkStart w:id="425" w:name="_Toc187136015"/>
      <w:r w:rsidRPr="005E3B43">
        <w:rPr>
          <w:rStyle w:val="CharSectno"/>
        </w:rPr>
        <w:t>10</w:t>
      </w:r>
      <w:r w:rsidR="00E20BA4" w:rsidRPr="005E3B43">
        <w:t xml:space="preserve">  </w:t>
      </w:r>
      <w:r w:rsidRPr="005E3B43">
        <w:t>Records about unused emergency goods and unused emergency biologicals</w:t>
      </w:r>
      <w:bookmarkEnd w:id="425"/>
    </w:p>
    <w:p w14:paraId="1C0F14DE" w14:textId="77777777" w:rsidR="00207B1C" w:rsidRPr="005E3B43" w:rsidRDefault="00207B1C" w:rsidP="00763BCF">
      <w:pPr>
        <w:pStyle w:val="subsection"/>
      </w:pPr>
      <w:r w:rsidRPr="005E3B43">
        <w:tab/>
      </w:r>
      <w:r w:rsidRPr="005E3B43">
        <w:tab/>
        <w:t xml:space="preserve">A person who has, or has had, control over unused emergency goods </w:t>
      </w:r>
      <w:r w:rsidR="00863AE8" w:rsidRPr="005E3B43">
        <w:t xml:space="preserve">or unused emergency biologicals </w:t>
      </w:r>
      <w:r w:rsidRPr="005E3B43">
        <w:t>must:</w:t>
      </w:r>
    </w:p>
    <w:p w14:paraId="09A050CF" w14:textId="77777777" w:rsidR="00207B1C" w:rsidRPr="005E3B43" w:rsidRDefault="00207B1C" w:rsidP="00763BCF">
      <w:pPr>
        <w:pStyle w:val="paragraph"/>
      </w:pPr>
      <w:r w:rsidRPr="005E3B43">
        <w:tab/>
        <w:t>(a)</w:t>
      </w:r>
      <w:r w:rsidRPr="005E3B43">
        <w:tab/>
        <w:t>ensure that records are kept that include the following information:</w:t>
      </w:r>
    </w:p>
    <w:p w14:paraId="6648C59A" w14:textId="77777777" w:rsidR="00207B1C" w:rsidRPr="005E3B43" w:rsidRDefault="00207B1C" w:rsidP="00763BCF">
      <w:pPr>
        <w:pStyle w:val="paragraphsub"/>
      </w:pPr>
      <w:r w:rsidRPr="005E3B43">
        <w:tab/>
        <w:t>(i)</w:t>
      </w:r>
      <w:r w:rsidRPr="005E3B43">
        <w:tab/>
        <w:t xml:space="preserve">the quantities of the goods </w:t>
      </w:r>
      <w:r w:rsidR="00F453DC" w:rsidRPr="005E3B43">
        <w:t xml:space="preserve">or biologicals </w:t>
      </w:r>
      <w:r w:rsidRPr="005E3B43">
        <w:t>under the person’s control;</w:t>
      </w:r>
    </w:p>
    <w:p w14:paraId="10D18BD3" w14:textId="77777777" w:rsidR="00207B1C" w:rsidRPr="005E3B43" w:rsidRDefault="00207B1C" w:rsidP="00763BCF">
      <w:pPr>
        <w:pStyle w:val="paragraphsub"/>
      </w:pPr>
      <w:r w:rsidRPr="005E3B43">
        <w:tab/>
        <w:t>(ii)</w:t>
      </w:r>
      <w:r w:rsidRPr="005E3B43">
        <w:tab/>
        <w:t xml:space="preserve">how the goods </w:t>
      </w:r>
      <w:r w:rsidR="00F453DC" w:rsidRPr="005E3B43">
        <w:t xml:space="preserve">or biologicals </w:t>
      </w:r>
      <w:r w:rsidRPr="005E3B43">
        <w:t>are stored before being disposed of;</w:t>
      </w:r>
    </w:p>
    <w:p w14:paraId="51EDE030" w14:textId="77777777" w:rsidR="00207B1C" w:rsidRPr="005E3B43" w:rsidRDefault="00207B1C" w:rsidP="00763BCF">
      <w:pPr>
        <w:pStyle w:val="paragraphsub"/>
      </w:pPr>
      <w:r w:rsidRPr="005E3B43">
        <w:tab/>
        <w:t>(iii)</w:t>
      </w:r>
      <w:r w:rsidRPr="005E3B43">
        <w:tab/>
        <w:t>if a direction under subclause</w:t>
      </w:r>
      <w:r w:rsidR="004E6D00" w:rsidRPr="005E3B43">
        <w:t> </w:t>
      </w:r>
      <w:r w:rsidRPr="005E3B43">
        <w:t>4(1) has been received</w:t>
      </w:r>
      <w:r w:rsidR="00E20BA4" w:rsidRPr="005E3B43">
        <w:t>—</w:t>
      </w:r>
      <w:r w:rsidRPr="005E3B43">
        <w:t xml:space="preserve">what actions have been taken to dispose of the goods </w:t>
      </w:r>
      <w:r w:rsidR="00F453DC" w:rsidRPr="005E3B43">
        <w:t xml:space="preserve">or biologicals </w:t>
      </w:r>
      <w:r w:rsidRPr="005E3B43">
        <w:t>as directed and when the actions were taken;</w:t>
      </w:r>
    </w:p>
    <w:p w14:paraId="2DBE76AB" w14:textId="77777777" w:rsidR="00207B1C" w:rsidRPr="005E3B43" w:rsidRDefault="00207B1C" w:rsidP="00763BCF">
      <w:pPr>
        <w:pStyle w:val="paragraphsub"/>
      </w:pPr>
      <w:r w:rsidRPr="005E3B43">
        <w:tab/>
        <w:t>(iv)</w:t>
      </w:r>
      <w:r w:rsidRPr="005E3B43">
        <w:tab/>
        <w:t xml:space="preserve">if the goods </w:t>
      </w:r>
      <w:r w:rsidR="00F453DC" w:rsidRPr="005E3B43">
        <w:t xml:space="preserve">or biologicals </w:t>
      </w:r>
      <w:r w:rsidRPr="005E3B43">
        <w:t>have been exported or supplied</w:t>
      </w:r>
      <w:r w:rsidR="00E20BA4" w:rsidRPr="005E3B43">
        <w:t>—</w:t>
      </w:r>
      <w:r w:rsidRPr="005E3B43">
        <w:t>to whom they were exported or supplied and in what quantity; and</w:t>
      </w:r>
    </w:p>
    <w:p w14:paraId="7EDB40CE" w14:textId="77777777" w:rsidR="00207B1C" w:rsidRPr="005E3B43" w:rsidRDefault="00207B1C" w:rsidP="00763BCF">
      <w:pPr>
        <w:pStyle w:val="paragraph"/>
      </w:pPr>
      <w:r w:rsidRPr="005E3B43">
        <w:tab/>
        <w:t>(b)</w:t>
      </w:r>
      <w:r w:rsidRPr="005E3B43">
        <w:tab/>
        <w:t>retain the records for 7 years after the last entry is made; and</w:t>
      </w:r>
    </w:p>
    <w:p w14:paraId="3C521200" w14:textId="77777777" w:rsidR="00207B1C" w:rsidRPr="005E3B43" w:rsidRDefault="00207B1C" w:rsidP="00763BCF">
      <w:pPr>
        <w:pStyle w:val="paragraph"/>
      </w:pPr>
      <w:r w:rsidRPr="005E3B43">
        <w:tab/>
        <w:t>(c)</w:t>
      </w:r>
      <w:r w:rsidRPr="005E3B43">
        <w:tab/>
        <w:t>if the Secretary so requests in writing</w:t>
      </w:r>
      <w:r w:rsidR="00E20BA4" w:rsidRPr="005E3B43">
        <w:t>—</w:t>
      </w:r>
      <w:r w:rsidRPr="005E3B43">
        <w:t xml:space="preserve">give to the Secretary a copy of a record mentioned in </w:t>
      </w:r>
      <w:r w:rsidR="004E6D00" w:rsidRPr="005E3B43">
        <w:t>paragraph (</w:t>
      </w:r>
      <w:r w:rsidRPr="005E3B43">
        <w:t>a):</w:t>
      </w:r>
    </w:p>
    <w:p w14:paraId="33896AE2" w14:textId="77777777" w:rsidR="00207B1C" w:rsidRPr="005E3B43" w:rsidRDefault="00207B1C" w:rsidP="00763BCF">
      <w:pPr>
        <w:pStyle w:val="paragraphsub"/>
      </w:pPr>
      <w:r w:rsidRPr="005E3B43">
        <w:tab/>
        <w:t>(i)</w:t>
      </w:r>
      <w:r w:rsidRPr="005E3B43">
        <w:tab/>
        <w:t>within 14 days after being notified of the Secretary’s request; or</w:t>
      </w:r>
    </w:p>
    <w:p w14:paraId="39D6349F" w14:textId="77777777" w:rsidR="00207B1C" w:rsidRPr="005E3B43" w:rsidRDefault="00207B1C" w:rsidP="00763BCF">
      <w:pPr>
        <w:pStyle w:val="paragraphsub"/>
      </w:pPr>
      <w:r w:rsidRPr="005E3B43">
        <w:tab/>
        <w:t>(ii)</w:t>
      </w:r>
      <w:r w:rsidRPr="005E3B43">
        <w:tab/>
        <w:t xml:space="preserve">if the information is required to establish whether the goods </w:t>
      </w:r>
      <w:r w:rsidR="00F453DC" w:rsidRPr="005E3B43">
        <w:t xml:space="preserve">or biologicals </w:t>
      </w:r>
      <w:r w:rsidRPr="005E3B43">
        <w:t>pose imminent risk to the public or the environment</w:t>
      </w:r>
      <w:r w:rsidR="00E20BA4" w:rsidRPr="005E3B43">
        <w:t>—</w:t>
      </w:r>
      <w:r w:rsidRPr="005E3B43">
        <w:t>within 24 hours, or any shorter period, specified by the Secretary.</w:t>
      </w:r>
    </w:p>
    <w:p w14:paraId="69AD8D67" w14:textId="77777777" w:rsidR="00863AE8" w:rsidRPr="005E3B43" w:rsidRDefault="00863AE8" w:rsidP="00763BCF">
      <w:pPr>
        <w:pStyle w:val="ActHead5"/>
      </w:pPr>
      <w:bookmarkStart w:id="426" w:name="_Toc187136016"/>
      <w:r w:rsidRPr="005E3B43">
        <w:rPr>
          <w:rStyle w:val="CharSectno"/>
        </w:rPr>
        <w:t>11</w:t>
      </w:r>
      <w:r w:rsidR="00E20BA4" w:rsidRPr="005E3B43">
        <w:t xml:space="preserve">  </w:t>
      </w:r>
      <w:r w:rsidRPr="005E3B43">
        <w:t>Failure to comply with this Schedule</w:t>
      </w:r>
      <w:bookmarkEnd w:id="426"/>
    </w:p>
    <w:p w14:paraId="421699DC" w14:textId="77777777" w:rsidR="00863AE8" w:rsidRPr="005E3B43" w:rsidRDefault="00863AE8" w:rsidP="00763BCF">
      <w:pPr>
        <w:pStyle w:val="subsection"/>
      </w:pPr>
      <w:r w:rsidRPr="005E3B43">
        <w:tab/>
      </w:r>
      <w:r w:rsidRPr="005E3B43">
        <w:tab/>
        <w:t>If a person who has control over any unused emergency goods or unused emergency biologicals has not complied with a provision of this Schedule, the Secretary may direct, in writing, that the unused emergency goods or unused emergency biologicals be destroyed by another person.</w:t>
      </w:r>
    </w:p>
    <w:p w14:paraId="781966E8" w14:textId="77777777" w:rsidR="004B00FF" w:rsidRPr="005E3B43" w:rsidRDefault="004B00FF" w:rsidP="00763BCF">
      <w:pPr>
        <w:sectPr w:rsidR="004B00FF" w:rsidRPr="005E3B43" w:rsidSect="001444B1">
          <w:headerReference w:type="even" r:id="rId30"/>
          <w:headerReference w:type="default" r:id="rId31"/>
          <w:headerReference w:type="first" r:id="rId32"/>
          <w:pgSz w:w="11907" w:h="16839" w:code="9"/>
          <w:pgMar w:top="2325" w:right="1797" w:bottom="1440" w:left="1797" w:header="720" w:footer="709" w:gutter="0"/>
          <w:cols w:space="720"/>
          <w:docGrid w:linePitch="299"/>
        </w:sectPr>
      </w:pPr>
    </w:p>
    <w:p w14:paraId="018DD842" w14:textId="6FA92A7B" w:rsidR="00207B1C" w:rsidRPr="005E3B43" w:rsidRDefault="00207B1C" w:rsidP="00763BCF">
      <w:pPr>
        <w:pStyle w:val="ActHead1"/>
        <w:pageBreakBefore/>
        <w:spacing w:before="240"/>
      </w:pPr>
      <w:bookmarkStart w:id="427" w:name="_Toc187136017"/>
      <w:r w:rsidRPr="005E3B43">
        <w:rPr>
          <w:rStyle w:val="CharChapNo"/>
        </w:rPr>
        <w:lastRenderedPageBreak/>
        <w:t>Schedule</w:t>
      </w:r>
      <w:r w:rsidR="004E6D00" w:rsidRPr="005E3B43">
        <w:rPr>
          <w:rStyle w:val="CharChapNo"/>
        </w:rPr>
        <w:t> </w:t>
      </w:r>
      <w:r w:rsidRPr="005E3B43">
        <w:rPr>
          <w:rStyle w:val="CharChapNo"/>
        </w:rPr>
        <w:t>7</w:t>
      </w:r>
      <w:r w:rsidR="00E20BA4" w:rsidRPr="005E3B43">
        <w:t>—</w:t>
      </w:r>
      <w:r w:rsidRPr="005E3B43">
        <w:rPr>
          <w:rStyle w:val="CharChapText"/>
        </w:rPr>
        <w:t xml:space="preserve">Therapeutic goods exempt from the operation of </w:t>
      </w:r>
      <w:r w:rsidR="00BB758E" w:rsidRPr="005E3B43">
        <w:rPr>
          <w:rStyle w:val="CharChapText"/>
        </w:rPr>
        <w:t>Part 3</w:t>
      </w:r>
      <w:r w:rsidR="007C3215">
        <w:rPr>
          <w:rStyle w:val="CharChapText"/>
        </w:rPr>
        <w:noBreakHyphen/>
      </w:r>
      <w:r w:rsidRPr="005E3B43">
        <w:rPr>
          <w:rStyle w:val="CharChapText"/>
        </w:rPr>
        <w:t>3 of the Act unless supplied as pharmaceutical benefits</w:t>
      </w:r>
      <w:bookmarkEnd w:id="427"/>
    </w:p>
    <w:p w14:paraId="39AE06C3" w14:textId="77777777" w:rsidR="00E20BA4" w:rsidRPr="005E3B43" w:rsidRDefault="00207B1C" w:rsidP="00763BCF">
      <w:pPr>
        <w:pStyle w:val="notemargin"/>
      </w:pPr>
      <w:r w:rsidRPr="005E3B43">
        <w:t>(regulation</w:t>
      </w:r>
      <w:r w:rsidR="004E6D00" w:rsidRPr="005E3B43">
        <w:t> </w:t>
      </w:r>
      <w:r w:rsidR="008C171D" w:rsidRPr="005E3B43">
        <w:t>17)</w:t>
      </w:r>
    </w:p>
    <w:p w14:paraId="644635D0" w14:textId="77777777" w:rsidR="004B00FF" w:rsidRPr="005E3B43" w:rsidRDefault="004B00FF" w:rsidP="00763BCF">
      <w:pPr>
        <w:pStyle w:val="Header"/>
      </w:pPr>
      <w:r w:rsidRPr="005E3B43">
        <w:rPr>
          <w:rStyle w:val="CharPartNo"/>
        </w:rPr>
        <w:t xml:space="preserve"> </w:t>
      </w:r>
      <w:r w:rsidRPr="005E3B43">
        <w:rPr>
          <w:rStyle w:val="CharPartText"/>
        </w:rPr>
        <w:t xml:space="preserve"> </w:t>
      </w:r>
    </w:p>
    <w:p w14:paraId="748B6319" w14:textId="77777777" w:rsidR="008C171D" w:rsidRPr="005E3B43" w:rsidRDefault="008C171D"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37"/>
        <w:gridCol w:w="7292"/>
      </w:tblGrid>
      <w:tr w:rsidR="00207B1C" w:rsidRPr="005E3B43" w14:paraId="35F9F125" w14:textId="77777777" w:rsidTr="005A786D">
        <w:trPr>
          <w:tblHeader/>
        </w:trPr>
        <w:tc>
          <w:tcPr>
            <w:tcW w:w="725" w:type="pct"/>
            <w:tcBorders>
              <w:top w:val="single" w:sz="12" w:space="0" w:color="auto"/>
              <w:bottom w:val="single" w:sz="12" w:space="0" w:color="auto"/>
            </w:tcBorders>
            <w:shd w:val="clear" w:color="auto" w:fill="auto"/>
          </w:tcPr>
          <w:p w14:paraId="22659D8F" w14:textId="77777777" w:rsidR="00207B1C" w:rsidRPr="005E3B43" w:rsidRDefault="00207B1C" w:rsidP="00763BCF">
            <w:pPr>
              <w:pStyle w:val="TableHeading"/>
            </w:pPr>
            <w:r w:rsidRPr="005E3B43">
              <w:t>Column 1</w:t>
            </w:r>
            <w:r w:rsidRPr="005E3B43">
              <w:br/>
              <w:t xml:space="preserve">Item No. </w:t>
            </w:r>
          </w:p>
        </w:tc>
        <w:tc>
          <w:tcPr>
            <w:tcW w:w="4275" w:type="pct"/>
            <w:tcBorders>
              <w:top w:val="single" w:sz="12" w:space="0" w:color="auto"/>
              <w:bottom w:val="single" w:sz="12" w:space="0" w:color="auto"/>
            </w:tcBorders>
            <w:shd w:val="clear" w:color="auto" w:fill="auto"/>
          </w:tcPr>
          <w:p w14:paraId="2F5A4AF2" w14:textId="77777777" w:rsidR="00207B1C" w:rsidRPr="005E3B43" w:rsidRDefault="00207B1C" w:rsidP="00763BCF">
            <w:pPr>
              <w:pStyle w:val="TableHeading"/>
            </w:pPr>
            <w:r w:rsidRPr="005E3B43">
              <w:t>Column 2</w:t>
            </w:r>
            <w:r w:rsidRPr="005E3B43">
              <w:br/>
              <w:t>Therapeutic goods</w:t>
            </w:r>
          </w:p>
        </w:tc>
      </w:tr>
      <w:tr w:rsidR="00207B1C" w:rsidRPr="005E3B43" w14:paraId="08CFEAD5" w14:textId="77777777" w:rsidTr="005A786D">
        <w:tc>
          <w:tcPr>
            <w:tcW w:w="725" w:type="pct"/>
            <w:tcBorders>
              <w:top w:val="single" w:sz="12" w:space="0" w:color="auto"/>
              <w:bottom w:val="single" w:sz="4" w:space="0" w:color="auto"/>
            </w:tcBorders>
            <w:shd w:val="clear" w:color="auto" w:fill="auto"/>
          </w:tcPr>
          <w:p w14:paraId="50A4DA01" w14:textId="77777777" w:rsidR="00207B1C" w:rsidRPr="005E3B43" w:rsidRDefault="00207B1C" w:rsidP="00763BCF">
            <w:pPr>
              <w:pStyle w:val="Tabletext"/>
            </w:pPr>
            <w:r w:rsidRPr="005E3B43">
              <w:t>1</w:t>
            </w:r>
          </w:p>
        </w:tc>
        <w:tc>
          <w:tcPr>
            <w:tcW w:w="4275" w:type="pct"/>
            <w:tcBorders>
              <w:top w:val="single" w:sz="12" w:space="0" w:color="auto"/>
              <w:bottom w:val="single" w:sz="4" w:space="0" w:color="auto"/>
            </w:tcBorders>
            <w:shd w:val="clear" w:color="auto" w:fill="auto"/>
          </w:tcPr>
          <w:p w14:paraId="5F4C2FBA" w14:textId="77777777" w:rsidR="00207B1C" w:rsidRPr="005E3B43" w:rsidRDefault="00207B1C" w:rsidP="00763BCF">
            <w:pPr>
              <w:pStyle w:val="Tabletext"/>
            </w:pPr>
            <w:r w:rsidRPr="005E3B43">
              <w:t>goods prepared for the initial experimental studies in human volunteers</w:t>
            </w:r>
          </w:p>
        </w:tc>
      </w:tr>
      <w:tr w:rsidR="00207B1C" w:rsidRPr="005E3B43" w14:paraId="0A656A4E" w14:textId="77777777" w:rsidTr="005A786D">
        <w:tc>
          <w:tcPr>
            <w:tcW w:w="725" w:type="pct"/>
            <w:tcBorders>
              <w:top w:val="single" w:sz="4" w:space="0" w:color="auto"/>
              <w:bottom w:val="single" w:sz="4" w:space="0" w:color="auto"/>
            </w:tcBorders>
            <w:shd w:val="clear" w:color="auto" w:fill="auto"/>
          </w:tcPr>
          <w:p w14:paraId="2B70B550" w14:textId="77777777" w:rsidR="00207B1C" w:rsidRPr="005E3B43" w:rsidRDefault="00207B1C" w:rsidP="00763BCF">
            <w:pPr>
              <w:pStyle w:val="Tabletext"/>
            </w:pPr>
            <w:r w:rsidRPr="005E3B43">
              <w:t>2</w:t>
            </w:r>
          </w:p>
        </w:tc>
        <w:tc>
          <w:tcPr>
            <w:tcW w:w="4275" w:type="pct"/>
            <w:tcBorders>
              <w:top w:val="single" w:sz="4" w:space="0" w:color="auto"/>
              <w:bottom w:val="single" w:sz="4" w:space="0" w:color="auto"/>
            </w:tcBorders>
            <w:shd w:val="clear" w:color="auto" w:fill="auto"/>
          </w:tcPr>
          <w:p w14:paraId="1DE87FED" w14:textId="77777777" w:rsidR="00207B1C" w:rsidRPr="005E3B43" w:rsidRDefault="00207B1C" w:rsidP="00763BCF">
            <w:pPr>
              <w:pStyle w:val="Tabletext"/>
            </w:pPr>
            <w:r w:rsidRPr="005E3B43">
              <w:t>ingredients, except water, used in the manufacture of therapeutic goods where the ingredients:</w:t>
            </w:r>
          </w:p>
          <w:p w14:paraId="7B8073F9" w14:textId="77777777" w:rsidR="00207B1C" w:rsidRPr="005E3B43" w:rsidRDefault="00E20BA4" w:rsidP="00763BCF">
            <w:pPr>
              <w:pStyle w:val="Tablea"/>
              <w:rPr>
                <w:rFonts w:eastAsiaTheme="minorHAnsi" w:cstheme="minorBidi"/>
                <w:lang w:eastAsia="en-US"/>
              </w:rPr>
            </w:pPr>
            <w:r w:rsidRPr="005E3B43">
              <w:t>(</w:t>
            </w:r>
            <w:r w:rsidR="00207B1C" w:rsidRPr="005E3B43">
              <w:t>a</w:t>
            </w:r>
            <w:r w:rsidRPr="005E3B43">
              <w:t xml:space="preserve">) </w:t>
            </w:r>
            <w:r w:rsidR="00207B1C" w:rsidRPr="005E3B43">
              <w:t>do not have a therapeutic action; or</w:t>
            </w:r>
          </w:p>
          <w:p w14:paraId="09EDFF3D" w14:textId="77777777" w:rsidR="00207B1C" w:rsidRPr="005E3B43" w:rsidRDefault="00E20BA4" w:rsidP="00763BCF">
            <w:pPr>
              <w:pStyle w:val="Tablea"/>
              <w:rPr>
                <w:rFonts w:eastAsiaTheme="minorHAnsi" w:cstheme="minorBidi"/>
                <w:lang w:eastAsia="en-US"/>
              </w:rPr>
            </w:pPr>
            <w:r w:rsidRPr="005E3B43">
              <w:t>(</w:t>
            </w:r>
            <w:r w:rsidR="00207B1C" w:rsidRPr="005E3B43">
              <w:t>b</w:t>
            </w:r>
            <w:r w:rsidRPr="005E3B43">
              <w:t xml:space="preserve">) </w:t>
            </w:r>
            <w:r w:rsidR="00207B1C" w:rsidRPr="005E3B43">
              <w:t xml:space="preserve">are herbs, bulk hamamelis water or oils extracted from herbs, the sole therapeutic use of which is as starting materials for use by </w:t>
            </w:r>
            <w:r w:rsidR="00354373" w:rsidRPr="005E3B43">
              <w:t>a licensed manufacturer</w:t>
            </w:r>
          </w:p>
        </w:tc>
      </w:tr>
      <w:tr w:rsidR="00207B1C" w:rsidRPr="005E3B43" w14:paraId="3B54ACA8" w14:textId="77777777" w:rsidTr="005A786D">
        <w:tc>
          <w:tcPr>
            <w:tcW w:w="725" w:type="pct"/>
            <w:tcBorders>
              <w:top w:val="single" w:sz="4" w:space="0" w:color="auto"/>
              <w:bottom w:val="single" w:sz="4" w:space="0" w:color="auto"/>
            </w:tcBorders>
            <w:shd w:val="clear" w:color="auto" w:fill="auto"/>
          </w:tcPr>
          <w:p w14:paraId="6FABED14" w14:textId="77777777" w:rsidR="00207B1C" w:rsidRPr="005E3B43" w:rsidRDefault="00207B1C" w:rsidP="00763BCF">
            <w:pPr>
              <w:pStyle w:val="Tabletext"/>
            </w:pPr>
            <w:r w:rsidRPr="005E3B43">
              <w:t>6</w:t>
            </w:r>
          </w:p>
        </w:tc>
        <w:tc>
          <w:tcPr>
            <w:tcW w:w="4275" w:type="pct"/>
            <w:tcBorders>
              <w:top w:val="single" w:sz="4" w:space="0" w:color="auto"/>
              <w:bottom w:val="single" w:sz="4" w:space="0" w:color="auto"/>
            </w:tcBorders>
            <w:shd w:val="clear" w:color="auto" w:fill="auto"/>
          </w:tcPr>
          <w:p w14:paraId="31B301B1" w14:textId="77777777" w:rsidR="00207B1C" w:rsidRPr="005E3B43" w:rsidRDefault="00207B1C" w:rsidP="00763BCF">
            <w:pPr>
              <w:pStyle w:val="Tabletext"/>
            </w:pPr>
            <w:r w:rsidRPr="005E3B43">
              <w:t>dentifrices that contain no therapeutically active substance other than not more than 1000 milligrams per kilogram of fluoride</w:t>
            </w:r>
          </w:p>
        </w:tc>
      </w:tr>
      <w:tr w:rsidR="00207B1C" w:rsidRPr="005E3B43" w14:paraId="71B020B1" w14:textId="77777777" w:rsidTr="005A786D">
        <w:tc>
          <w:tcPr>
            <w:tcW w:w="725" w:type="pct"/>
            <w:tcBorders>
              <w:top w:val="single" w:sz="4" w:space="0" w:color="auto"/>
              <w:bottom w:val="single" w:sz="4" w:space="0" w:color="auto"/>
            </w:tcBorders>
            <w:shd w:val="clear" w:color="auto" w:fill="auto"/>
          </w:tcPr>
          <w:p w14:paraId="3A707C34" w14:textId="77777777" w:rsidR="00207B1C" w:rsidRPr="005E3B43" w:rsidRDefault="00207B1C" w:rsidP="00763BCF">
            <w:pPr>
              <w:pStyle w:val="Tabletext"/>
            </w:pPr>
            <w:r w:rsidRPr="005E3B43">
              <w:t>7</w:t>
            </w:r>
          </w:p>
        </w:tc>
        <w:tc>
          <w:tcPr>
            <w:tcW w:w="4275" w:type="pct"/>
            <w:tcBorders>
              <w:top w:val="single" w:sz="4" w:space="0" w:color="auto"/>
              <w:bottom w:val="single" w:sz="4" w:space="0" w:color="auto"/>
            </w:tcBorders>
            <w:shd w:val="clear" w:color="auto" w:fill="auto"/>
          </w:tcPr>
          <w:p w14:paraId="0859A233" w14:textId="77777777" w:rsidR="00207B1C" w:rsidRPr="005E3B43" w:rsidRDefault="00207B1C" w:rsidP="00763BCF">
            <w:pPr>
              <w:pStyle w:val="Tabletext"/>
            </w:pPr>
            <w:r w:rsidRPr="005E3B43">
              <w:t>homoeopathic preparations more dilute than a one thousand fold dilution of a mother tincture and that are not required to be sterile</w:t>
            </w:r>
          </w:p>
        </w:tc>
      </w:tr>
      <w:tr w:rsidR="00207B1C" w:rsidRPr="005E3B43" w14:paraId="7EA87EA6" w14:textId="77777777" w:rsidTr="005A786D">
        <w:tc>
          <w:tcPr>
            <w:tcW w:w="725" w:type="pct"/>
            <w:tcBorders>
              <w:top w:val="single" w:sz="4" w:space="0" w:color="auto"/>
              <w:bottom w:val="single" w:sz="4" w:space="0" w:color="auto"/>
            </w:tcBorders>
            <w:shd w:val="clear" w:color="auto" w:fill="auto"/>
          </w:tcPr>
          <w:p w14:paraId="0CE31FEA" w14:textId="77777777" w:rsidR="00207B1C" w:rsidRPr="005E3B43" w:rsidRDefault="00207B1C" w:rsidP="00763BCF">
            <w:pPr>
              <w:pStyle w:val="Tabletext"/>
            </w:pPr>
            <w:r w:rsidRPr="005E3B43">
              <w:t>8</w:t>
            </w:r>
          </w:p>
        </w:tc>
        <w:tc>
          <w:tcPr>
            <w:tcW w:w="4275" w:type="pct"/>
            <w:tcBorders>
              <w:top w:val="single" w:sz="4" w:space="0" w:color="auto"/>
              <w:bottom w:val="single" w:sz="4" w:space="0" w:color="auto"/>
            </w:tcBorders>
            <w:shd w:val="clear" w:color="auto" w:fill="auto"/>
          </w:tcPr>
          <w:p w14:paraId="004BFFFF" w14:textId="77777777" w:rsidR="00207B1C" w:rsidRPr="005E3B43" w:rsidRDefault="00207B1C" w:rsidP="00763BCF">
            <w:pPr>
              <w:pStyle w:val="Tabletext"/>
            </w:pPr>
            <w:r w:rsidRPr="005E3B43">
              <w:t>antiperspirant preparations that derive their antiperspirant properties from inorganic salts of aluminium, zinc or zirconium only</w:t>
            </w:r>
          </w:p>
        </w:tc>
      </w:tr>
      <w:tr w:rsidR="00207B1C" w:rsidRPr="005E3B43" w14:paraId="2E3FF513" w14:textId="77777777" w:rsidTr="005A786D">
        <w:tc>
          <w:tcPr>
            <w:tcW w:w="725" w:type="pct"/>
            <w:tcBorders>
              <w:top w:val="single" w:sz="4" w:space="0" w:color="auto"/>
              <w:bottom w:val="single" w:sz="4" w:space="0" w:color="auto"/>
            </w:tcBorders>
            <w:shd w:val="clear" w:color="auto" w:fill="auto"/>
          </w:tcPr>
          <w:p w14:paraId="210F9C2C" w14:textId="77777777" w:rsidR="00207B1C" w:rsidRPr="005E3B43" w:rsidRDefault="00207B1C" w:rsidP="00763BCF">
            <w:pPr>
              <w:pStyle w:val="Tabletext"/>
            </w:pPr>
            <w:r w:rsidRPr="005E3B43">
              <w:t>9</w:t>
            </w:r>
          </w:p>
        </w:tc>
        <w:tc>
          <w:tcPr>
            <w:tcW w:w="4275" w:type="pct"/>
            <w:tcBorders>
              <w:top w:val="single" w:sz="4" w:space="0" w:color="auto"/>
              <w:bottom w:val="single" w:sz="4" w:space="0" w:color="auto"/>
            </w:tcBorders>
            <w:shd w:val="clear" w:color="auto" w:fill="auto"/>
          </w:tcPr>
          <w:p w14:paraId="6EE6FB34" w14:textId="593FA445" w:rsidR="00207B1C" w:rsidRPr="005E3B43" w:rsidRDefault="00207B1C" w:rsidP="00763BCF">
            <w:pPr>
              <w:pStyle w:val="Tabletext"/>
            </w:pPr>
            <w:r w:rsidRPr="005E3B43">
              <w:t>unmedicated anti</w:t>
            </w:r>
            <w:r w:rsidR="007C3215">
              <w:noBreakHyphen/>
            </w:r>
            <w:r w:rsidRPr="005E3B43">
              <w:t>acne preparations having only a cleansing action or purpose</w:t>
            </w:r>
          </w:p>
        </w:tc>
      </w:tr>
      <w:tr w:rsidR="00207B1C" w:rsidRPr="005E3B43" w14:paraId="1D9EE07C" w14:textId="77777777" w:rsidTr="005A786D">
        <w:tc>
          <w:tcPr>
            <w:tcW w:w="725" w:type="pct"/>
            <w:tcBorders>
              <w:top w:val="single" w:sz="4" w:space="0" w:color="auto"/>
              <w:bottom w:val="single" w:sz="4" w:space="0" w:color="auto"/>
            </w:tcBorders>
            <w:shd w:val="clear" w:color="auto" w:fill="auto"/>
          </w:tcPr>
          <w:p w14:paraId="66A9A50E" w14:textId="77777777" w:rsidR="00207B1C" w:rsidRPr="005E3B43" w:rsidRDefault="00207B1C" w:rsidP="00763BCF">
            <w:pPr>
              <w:pStyle w:val="Tabletext"/>
            </w:pPr>
            <w:r w:rsidRPr="005E3B43">
              <w:t>10</w:t>
            </w:r>
          </w:p>
        </w:tc>
        <w:tc>
          <w:tcPr>
            <w:tcW w:w="4275" w:type="pct"/>
            <w:tcBorders>
              <w:top w:val="single" w:sz="4" w:space="0" w:color="auto"/>
              <w:bottom w:val="single" w:sz="4" w:space="0" w:color="auto"/>
            </w:tcBorders>
            <w:shd w:val="clear" w:color="auto" w:fill="auto"/>
          </w:tcPr>
          <w:p w14:paraId="152DEB0C" w14:textId="77777777" w:rsidR="00207B1C" w:rsidRPr="005E3B43" w:rsidRDefault="00207B1C" w:rsidP="00763BCF">
            <w:pPr>
              <w:pStyle w:val="Tabletext"/>
            </w:pPr>
            <w:r w:rsidRPr="005E3B43">
              <w:t>medicated insect repellents for dermal use, if the medication consists solely of an antiseptic having a secondary role in the formulation</w:t>
            </w:r>
          </w:p>
        </w:tc>
      </w:tr>
      <w:tr w:rsidR="00207B1C" w:rsidRPr="005E3B43" w14:paraId="034FAA52" w14:textId="77777777" w:rsidTr="005A786D">
        <w:tc>
          <w:tcPr>
            <w:tcW w:w="725" w:type="pct"/>
            <w:tcBorders>
              <w:top w:val="single" w:sz="4" w:space="0" w:color="auto"/>
              <w:bottom w:val="single" w:sz="4" w:space="0" w:color="auto"/>
            </w:tcBorders>
            <w:shd w:val="clear" w:color="auto" w:fill="auto"/>
          </w:tcPr>
          <w:p w14:paraId="7316C691" w14:textId="77777777" w:rsidR="00207B1C" w:rsidRPr="005E3B43" w:rsidRDefault="00207B1C" w:rsidP="00763BCF">
            <w:pPr>
              <w:pStyle w:val="Tabletext"/>
            </w:pPr>
            <w:r w:rsidRPr="005E3B43">
              <w:t>11</w:t>
            </w:r>
          </w:p>
        </w:tc>
        <w:tc>
          <w:tcPr>
            <w:tcW w:w="4275" w:type="pct"/>
            <w:tcBorders>
              <w:top w:val="single" w:sz="4" w:space="0" w:color="auto"/>
              <w:bottom w:val="single" w:sz="4" w:space="0" w:color="auto"/>
            </w:tcBorders>
            <w:shd w:val="clear" w:color="auto" w:fill="auto"/>
          </w:tcPr>
          <w:p w14:paraId="4BCC9A7E" w14:textId="77777777" w:rsidR="00207B1C" w:rsidRPr="005E3B43" w:rsidRDefault="00207B1C" w:rsidP="00763BCF">
            <w:pPr>
              <w:pStyle w:val="Tabletext"/>
            </w:pPr>
            <w:r w:rsidRPr="005E3B43">
              <w:t>lotions, shampoos or hairdressings for the prevention or treatment of dandruff</w:t>
            </w:r>
          </w:p>
        </w:tc>
      </w:tr>
      <w:tr w:rsidR="00FC0928" w:rsidRPr="005E3B43" w14:paraId="09A795C0" w14:textId="77777777" w:rsidTr="005A786D">
        <w:tc>
          <w:tcPr>
            <w:tcW w:w="725" w:type="pct"/>
            <w:tcBorders>
              <w:top w:val="single" w:sz="4" w:space="0" w:color="auto"/>
              <w:bottom w:val="single" w:sz="4" w:space="0" w:color="auto"/>
            </w:tcBorders>
            <w:shd w:val="clear" w:color="auto" w:fill="auto"/>
          </w:tcPr>
          <w:p w14:paraId="2245B766" w14:textId="77777777" w:rsidR="00FC0928" w:rsidRPr="005E3B43" w:rsidRDefault="00FC0928" w:rsidP="00763BCF">
            <w:pPr>
              <w:pStyle w:val="Tabletext"/>
            </w:pPr>
            <w:r w:rsidRPr="005E3B43">
              <w:rPr>
                <w:lang w:eastAsia="en-US"/>
              </w:rPr>
              <w:t>11A</w:t>
            </w:r>
          </w:p>
        </w:tc>
        <w:tc>
          <w:tcPr>
            <w:tcW w:w="4275" w:type="pct"/>
            <w:tcBorders>
              <w:top w:val="single" w:sz="4" w:space="0" w:color="auto"/>
              <w:bottom w:val="single" w:sz="4" w:space="0" w:color="auto"/>
            </w:tcBorders>
            <w:shd w:val="clear" w:color="auto" w:fill="auto"/>
          </w:tcPr>
          <w:p w14:paraId="679992F4" w14:textId="77777777" w:rsidR="00FC0928" w:rsidRPr="005E3B43" w:rsidRDefault="00FC0928" w:rsidP="00763BCF">
            <w:pPr>
              <w:pStyle w:val="Tabletext"/>
            </w:pPr>
            <w:r w:rsidRPr="005E3B43">
              <w:rPr>
                <w:lang w:eastAsia="en-US"/>
              </w:rPr>
              <w:t>unmedicated preparations for topical use for protecting against, or providing relief from, nappy rash symptoms by acting only as a barrier for the skin (whether or not the preparations also have a moisturising action)</w:t>
            </w:r>
          </w:p>
        </w:tc>
      </w:tr>
      <w:tr w:rsidR="00FC0928" w:rsidRPr="005E3B43" w14:paraId="572EB41B" w14:textId="77777777" w:rsidTr="005A786D">
        <w:tc>
          <w:tcPr>
            <w:tcW w:w="725" w:type="pct"/>
            <w:tcBorders>
              <w:top w:val="single" w:sz="4" w:space="0" w:color="auto"/>
              <w:bottom w:val="single" w:sz="4" w:space="0" w:color="auto"/>
            </w:tcBorders>
            <w:shd w:val="clear" w:color="auto" w:fill="auto"/>
          </w:tcPr>
          <w:p w14:paraId="7D28AAEE" w14:textId="77777777" w:rsidR="00FC0928" w:rsidRPr="005E3B43" w:rsidRDefault="00FC0928" w:rsidP="00763BCF">
            <w:pPr>
              <w:pStyle w:val="Tabletext"/>
            </w:pPr>
            <w:r w:rsidRPr="005E3B43">
              <w:t>12</w:t>
            </w:r>
          </w:p>
        </w:tc>
        <w:tc>
          <w:tcPr>
            <w:tcW w:w="4275" w:type="pct"/>
            <w:tcBorders>
              <w:top w:val="single" w:sz="4" w:space="0" w:color="auto"/>
              <w:bottom w:val="single" w:sz="4" w:space="0" w:color="auto"/>
            </w:tcBorders>
            <w:shd w:val="clear" w:color="auto" w:fill="auto"/>
          </w:tcPr>
          <w:p w14:paraId="1C3277E8" w14:textId="77777777" w:rsidR="00FC0928" w:rsidRPr="005E3B43" w:rsidRDefault="00FC0928" w:rsidP="00763BCF">
            <w:pPr>
              <w:pStyle w:val="Tabletext"/>
            </w:pPr>
            <w:r w:rsidRPr="005E3B43">
              <w:t>medicated soaps other than liquid medicated soaps</w:t>
            </w:r>
          </w:p>
        </w:tc>
      </w:tr>
      <w:tr w:rsidR="00FC0928" w:rsidRPr="005E3B43" w:rsidDel="00AB166D" w14:paraId="2F01ED0A" w14:textId="77777777" w:rsidTr="005A786D">
        <w:tc>
          <w:tcPr>
            <w:tcW w:w="725" w:type="pct"/>
            <w:tcBorders>
              <w:top w:val="single" w:sz="4" w:space="0" w:color="auto"/>
              <w:bottom w:val="single" w:sz="4" w:space="0" w:color="auto"/>
            </w:tcBorders>
            <w:shd w:val="clear" w:color="auto" w:fill="auto"/>
          </w:tcPr>
          <w:p w14:paraId="35C04BD2" w14:textId="77777777" w:rsidR="00FC0928" w:rsidRPr="005E3B43" w:rsidDel="00AB166D" w:rsidRDefault="00FC0928" w:rsidP="00763BCF">
            <w:pPr>
              <w:pStyle w:val="Tabletext"/>
            </w:pPr>
            <w:r w:rsidRPr="005E3B43">
              <w:t>13</w:t>
            </w:r>
          </w:p>
        </w:tc>
        <w:tc>
          <w:tcPr>
            <w:tcW w:w="4275" w:type="pct"/>
            <w:tcBorders>
              <w:top w:val="single" w:sz="4" w:space="0" w:color="auto"/>
              <w:bottom w:val="single" w:sz="4" w:space="0" w:color="auto"/>
            </w:tcBorders>
            <w:shd w:val="clear" w:color="auto" w:fill="auto"/>
          </w:tcPr>
          <w:p w14:paraId="2D29933A" w14:textId="77777777" w:rsidR="00FC0928" w:rsidRPr="005E3B43" w:rsidDel="00AB166D" w:rsidRDefault="00FC0928" w:rsidP="00763BCF">
            <w:pPr>
              <w:pStyle w:val="Tabletext"/>
            </w:pPr>
            <w:r w:rsidRPr="005E3B43">
              <w:t>disinfectants</w:t>
            </w:r>
          </w:p>
        </w:tc>
      </w:tr>
      <w:tr w:rsidR="00FC0928" w:rsidRPr="005E3B43" w14:paraId="3EDF9FF9" w14:textId="77777777" w:rsidTr="005A786D">
        <w:tc>
          <w:tcPr>
            <w:tcW w:w="725" w:type="pct"/>
            <w:tcBorders>
              <w:top w:val="single" w:sz="4" w:space="0" w:color="auto"/>
              <w:bottom w:val="single" w:sz="4" w:space="0" w:color="auto"/>
            </w:tcBorders>
            <w:shd w:val="clear" w:color="auto" w:fill="auto"/>
          </w:tcPr>
          <w:p w14:paraId="77EF71B8" w14:textId="77777777" w:rsidR="00FC0928" w:rsidRPr="005E3B43" w:rsidRDefault="00FC0928" w:rsidP="00763BCF">
            <w:pPr>
              <w:pStyle w:val="Tabletext"/>
            </w:pPr>
            <w:r w:rsidRPr="005E3B43">
              <w:t>15</w:t>
            </w:r>
          </w:p>
        </w:tc>
        <w:tc>
          <w:tcPr>
            <w:tcW w:w="4275" w:type="pct"/>
            <w:tcBorders>
              <w:top w:val="single" w:sz="4" w:space="0" w:color="auto"/>
              <w:bottom w:val="single" w:sz="4" w:space="0" w:color="auto"/>
            </w:tcBorders>
            <w:shd w:val="clear" w:color="auto" w:fill="auto"/>
          </w:tcPr>
          <w:p w14:paraId="37EA9EEC" w14:textId="77777777" w:rsidR="00FC0928" w:rsidRPr="005E3B43" w:rsidRDefault="00FC0928" w:rsidP="00763BCF">
            <w:pPr>
              <w:pStyle w:val="Tabletext"/>
            </w:pPr>
            <w:r w:rsidRPr="005E3B43">
              <w:t>medicated throat lozenges, where the medication consists only of volatile oils and their constituents either alone or in combination with ascorbic acid or its salts</w:t>
            </w:r>
          </w:p>
        </w:tc>
      </w:tr>
      <w:tr w:rsidR="00FC0928" w:rsidRPr="005E3B43" w14:paraId="71592DF5" w14:textId="77777777" w:rsidTr="005A786D">
        <w:tc>
          <w:tcPr>
            <w:tcW w:w="725" w:type="pct"/>
            <w:tcBorders>
              <w:top w:val="single" w:sz="4" w:space="0" w:color="auto"/>
              <w:bottom w:val="single" w:sz="4" w:space="0" w:color="auto"/>
            </w:tcBorders>
            <w:shd w:val="clear" w:color="auto" w:fill="auto"/>
          </w:tcPr>
          <w:p w14:paraId="2408DDF0" w14:textId="77777777" w:rsidR="00FC0928" w:rsidRPr="005E3B43" w:rsidRDefault="00FC0928" w:rsidP="00763BCF">
            <w:pPr>
              <w:pStyle w:val="Tabletext"/>
            </w:pPr>
            <w:r w:rsidRPr="005E3B43">
              <w:t>16</w:t>
            </w:r>
          </w:p>
        </w:tc>
        <w:tc>
          <w:tcPr>
            <w:tcW w:w="4275" w:type="pct"/>
            <w:tcBorders>
              <w:top w:val="single" w:sz="4" w:space="0" w:color="auto"/>
              <w:bottom w:val="single" w:sz="4" w:space="0" w:color="auto"/>
            </w:tcBorders>
            <w:shd w:val="clear" w:color="auto" w:fill="auto"/>
          </w:tcPr>
          <w:p w14:paraId="033708CC" w14:textId="77777777" w:rsidR="00FC0928" w:rsidRPr="005E3B43" w:rsidRDefault="00FC0928" w:rsidP="00763BCF">
            <w:pPr>
              <w:pStyle w:val="Tabletext"/>
            </w:pPr>
            <w:r w:rsidRPr="005E3B43">
              <w:t>medicated space sprays where the medication consists only of volatile oils and their constituents</w:t>
            </w:r>
          </w:p>
        </w:tc>
      </w:tr>
      <w:tr w:rsidR="00FC0928" w:rsidRPr="005E3B43" w14:paraId="671A58D7" w14:textId="77777777" w:rsidTr="005A786D">
        <w:tc>
          <w:tcPr>
            <w:tcW w:w="725" w:type="pct"/>
            <w:tcBorders>
              <w:top w:val="single" w:sz="4" w:space="0" w:color="auto"/>
              <w:bottom w:val="single" w:sz="4" w:space="0" w:color="auto"/>
            </w:tcBorders>
            <w:shd w:val="clear" w:color="auto" w:fill="auto"/>
          </w:tcPr>
          <w:p w14:paraId="05450486" w14:textId="77777777" w:rsidR="00FC0928" w:rsidRPr="005E3B43" w:rsidRDefault="00FC0928" w:rsidP="00763BCF">
            <w:pPr>
              <w:pStyle w:val="Tabletext"/>
            </w:pPr>
            <w:r w:rsidRPr="005E3B43">
              <w:t>17</w:t>
            </w:r>
          </w:p>
        </w:tc>
        <w:tc>
          <w:tcPr>
            <w:tcW w:w="4275" w:type="pct"/>
            <w:tcBorders>
              <w:top w:val="single" w:sz="4" w:space="0" w:color="auto"/>
              <w:bottom w:val="single" w:sz="4" w:space="0" w:color="auto"/>
            </w:tcBorders>
            <w:shd w:val="clear" w:color="auto" w:fill="auto"/>
          </w:tcPr>
          <w:p w14:paraId="43CB3E1B" w14:textId="77777777" w:rsidR="00FC0928" w:rsidRPr="005E3B43" w:rsidRDefault="00FC0928" w:rsidP="00763BCF">
            <w:pPr>
              <w:pStyle w:val="Tabletext"/>
            </w:pPr>
            <w:r w:rsidRPr="005E3B43">
              <w:t>bulk, liquified medical gases</w:t>
            </w:r>
          </w:p>
        </w:tc>
      </w:tr>
      <w:tr w:rsidR="00FC0928" w:rsidRPr="005E3B43" w14:paraId="435CA518" w14:textId="77777777" w:rsidTr="005A786D">
        <w:trPr>
          <w:cantSplit/>
          <w:trHeight w:val="20"/>
        </w:trPr>
        <w:tc>
          <w:tcPr>
            <w:tcW w:w="725" w:type="pct"/>
            <w:tcBorders>
              <w:top w:val="single" w:sz="4" w:space="0" w:color="auto"/>
              <w:bottom w:val="single" w:sz="4" w:space="0" w:color="auto"/>
            </w:tcBorders>
            <w:shd w:val="clear" w:color="auto" w:fill="auto"/>
          </w:tcPr>
          <w:p w14:paraId="78CF116F" w14:textId="77777777" w:rsidR="00FC0928" w:rsidRPr="005E3B43" w:rsidRDefault="00FC0928" w:rsidP="00763BCF">
            <w:pPr>
              <w:pStyle w:val="Tabletext"/>
            </w:pPr>
            <w:r w:rsidRPr="005E3B43">
              <w:lastRenderedPageBreak/>
              <w:t>18</w:t>
            </w:r>
          </w:p>
        </w:tc>
        <w:tc>
          <w:tcPr>
            <w:tcW w:w="4275" w:type="pct"/>
            <w:tcBorders>
              <w:top w:val="single" w:sz="4" w:space="0" w:color="auto"/>
              <w:bottom w:val="single" w:sz="4" w:space="0" w:color="auto"/>
            </w:tcBorders>
            <w:shd w:val="clear" w:color="auto" w:fill="auto"/>
          </w:tcPr>
          <w:p w14:paraId="3ADCCDA7" w14:textId="77777777" w:rsidR="00FC0928" w:rsidRPr="005E3B43" w:rsidRDefault="00FC0928" w:rsidP="00763BCF">
            <w:pPr>
              <w:pStyle w:val="Tabletext"/>
            </w:pPr>
            <w:r w:rsidRPr="005E3B43">
              <w:t>blood and blood components that are:</w:t>
            </w:r>
          </w:p>
          <w:p w14:paraId="43CA6319" w14:textId="77777777" w:rsidR="00FC0928" w:rsidRPr="005E3B43" w:rsidRDefault="00FC0928" w:rsidP="00763BCF">
            <w:pPr>
              <w:pStyle w:val="Tablea"/>
              <w:rPr>
                <w:rFonts w:eastAsiaTheme="minorHAnsi" w:cstheme="minorBidi"/>
                <w:lang w:eastAsia="en-US"/>
              </w:rPr>
            </w:pPr>
            <w:r w:rsidRPr="005E3B43">
              <w:t>(a) collected by a medical practitioner, registered under a law of a State or Territory, or a person under the professional supervision of such a practitioner, in the course of medical treatment and for the purposes of diagnosis of, and testing for, a medical condition; or</w:t>
            </w:r>
          </w:p>
          <w:p w14:paraId="46489158" w14:textId="77777777" w:rsidR="00FC0928" w:rsidRPr="005E3B43" w:rsidRDefault="00FC0928" w:rsidP="00763BCF">
            <w:pPr>
              <w:pStyle w:val="Tablea"/>
              <w:rPr>
                <w:rFonts w:eastAsiaTheme="minorHAnsi" w:cstheme="minorBidi"/>
                <w:lang w:eastAsia="en-US"/>
              </w:rPr>
            </w:pPr>
            <w:r w:rsidRPr="005E3B43">
              <w:t>(b) manufactured by a medical practitioner, registered under a law of a State or Territory, or a person under the professional supervision of such a practitioner, for therapeutic application to a patient under the practitioner’s care; or</w:t>
            </w:r>
          </w:p>
          <w:p w14:paraId="68FCBFF2" w14:textId="77777777" w:rsidR="00FC0928" w:rsidRPr="005E3B43" w:rsidRDefault="00FC0928" w:rsidP="00763BCF">
            <w:pPr>
              <w:pStyle w:val="Tablea"/>
              <w:rPr>
                <w:rFonts w:eastAsiaTheme="minorHAnsi" w:cstheme="minorBidi"/>
                <w:lang w:eastAsia="en-US"/>
              </w:rPr>
            </w:pPr>
            <w:r w:rsidRPr="005E3B43">
              <w:t>(c) manufactured by a blood donation centre for a medical practitioner, registered under a law of a State or Territory, for therapeutic application to a particular patient under the practitioner’s care</w:t>
            </w:r>
          </w:p>
        </w:tc>
      </w:tr>
      <w:tr w:rsidR="00FC0928" w:rsidRPr="005E3B43" w14:paraId="563979B6" w14:textId="77777777" w:rsidTr="005A786D">
        <w:tc>
          <w:tcPr>
            <w:tcW w:w="725" w:type="pct"/>
            <w:tcBorders>
              <w:top w:val="single" w:sz="4" w:space="0" w:color="auto"/>
              <w:bottom w:val="single" w:sz="4" w:space="0" w:color="auto"/>
            </w:tcBorders>
            <w:shd w:val="clear" w:color="auto" w:fill="auto"/>
          </w:tcPr>
          <w:p w14:paraId="54365F10" w14:textId="77777777" w:rsidR="00FC0928" w:rsidRPr="005E3B43" w:rsidRDefault="00FC0928" w:rsidP="00763BCF">
            <w:pPr>
              <w:pStyle w:val="Tabletext"/>
            </w:pPr>
            <w:r w:rsidRPr="005E3B43">
              <w:t>19</w:t>
            </w:r>
          </w:p>
        </w:tc>
        <w:tc>
          <w:tcPr>
            <w:tcW w:w="4275" w:type="pct"/>
            <w:tcBorders>
              <w:top w:val="single" w:sz="4" w:space="0" w:color="auto"/>
              <w:bottom w:val="single" w:sz="4" w:space="0" w:color="auto"/>
            </w:tcBorders>
            <w:shd w:val="clear" w:color="auto" w:fill="auto"/>
          </w:tcPr>
          <w:p w14:paraId="44E9BE61" w14:textId="77777777" w:rsidR="00FC0928" w:rsidRPr="005E3B43" w:rsidRDefault="00FC0928" w:rsidP="00763BCF">
            <w:pPr>
              <w:pStyle w:val="Tabletext"/>
            </w:pPr>
            <w:r w:rsidRPr="005E3B43">
              <w:t>allergens for skin patch testing on unbroken skin</w:t>
            </w:r>
          </w:p>
        </w:tc>
      </w:tr>
      <w:tr w:rsidR="00FC0928" w:rsidRPr="005E3B43" w14:paraId="10395BA5" w14:textId="77777777" w:rsidTr="005A786D">
        <w:tc>
          <w:tcPr>
            <w:tcW w:w="725" w:type="pct"/>
            <w:tcBorders>
              <w:top w:val="single" w:sz="4" w:space="0" w:color="auto"/>
              <w:bottom w:val="single" w:sz="4" w:space="0" w:color="auto"/>
            </w:tcBorders>
            <w:shd w:val="clear" w:color="auto" w:fill="auto"/>
          </w:tcPr>
          <w:p w14:paraId="75FF1939" w14:textId="77777777" w:rsidR="00FC0928" w:rsidRPr="005E3B43" w:rsidRDefault="00FC0928" w:rsidP="00763BCF">
            <w:pPr>
              <w:pStyle w:val="Tabletext"/>
            </w:pPr>
            <w:r w:rsidRPr="005E3B43">
              <w:t>20</w:t>
            </w:r>
          </w:p>
        </w:tc>
        <w:tc>
          <w:tcPr>
            <w:tcW w:w="4275" w:type="pct"/>
            <w:tcBorders>
              <w:top w:val="single" w:sz="4" w:space="0" w:color="auto"/>
              <w:bottom w:val="single" w:sz="4" w:space="0" w:color="auto"/>
            </w:tcBorders>
            <w:shd w:val="clear" w:color="auto" w:fill="auto"/>
          </w:tcPr>
          <w:p w14:paraId="5677A54E" w14:textId="77777777" w:rsidR="00FC0928" w:rsidRPr="005E3B43" w:rsidRDefault="00FC0928" w:rsidP="00763BCF">
            <w:pPr>
              <w:pStyle w:val="Tabletext"/>
            </w:pPr>
            <w:r w:rsidRPr="005E3B43">
              <w:t>Medicinal oxygen cylinders that have been decant filled, transfilled or cascade filled by:</w:t>
            </w:r>
          </w:p>
          <w:p w14:paraId="470D7614" w14:textId="77777777" w:rsidR="00FC0928" w:rsidRPr="005E3B43" w:rsidRDefault="00FC0928" w:rsidP="00763BCF">
            <w:pPr>
              <w:pStyle w:val="Tablea"/>
              <w:rPr>
                <w:rFonts w:eastAsiaTheme="minorHAnsi" w:cstheme="minorBidi"/>
                <w:lang w:eastAsia="en-US"/>
              </w:rPr>
            </w:pPr>
            <w:r w:rsidRPr="005E3B43">
              <w:t>(a) a hospital; or</w:t>
            </w:r>
          </w:p>
          <w:p w14:paraId="6A77C7D0" w14:textId="77777777" w:rsidR="00FC0928" w:rsidRPr="005E3B43" w:rsidRDefault="00FC0928" w:rsidP="00763BCF">
            <w:pPr>
              <w:pStyle w:val="Tablea"/>
              <w:rPr>
                <w:rFonts w:eastAsiaTheme="minorHAnsi" w:cstheme="minorBidi"/>
                <w:lang w:eastAsia="en-US"/>
              </w:rPr>
            </w:pPr>
            <w:r w:rsidRPr="005E3B43">
              <w:t>(b) an ambulance, fire or rescue service</w:t>
            </w:r>
          </w:p>
        </w:tc>
      </w:tr>
      <w:tr w:rsidR="00FC0928" w:rsidRPr="005E3B43" w14:paraId="29CAAAA4" w14:textId="77777777" w:rsidTr="002F4107">
        <w:tc>
          <w:tcPr>
            <w:tcW w:w="725" w:type="pct"/>
            <w:tcBorders>
              <w:top w:val="single" w:sz="4" w:space="0" w:color="auto"/>
              <w:bottom w:val="single" w:sz="4" w:space="0" w:color="auto"/>
            </w:tcBorders>
            <w:shd w:val="clear" w:color="auto" w:fill="auto"/>
          </w:tcPr>
          <w:p w14:paraId="037D7DB2" w14:textId="77777777" w:rsidR="00FC0928" w:rsidRPr="005E3B43" w:rsidRDefault="00FC0928" w:rsidP="00763BCF">
            <w:pPr>
              <w:pStyle w:val="Tabletext"/>
            </w:pPr>
            <w:r w:rsidRPr="005E3B43">
              <w:t>21</w:t>
            </w:r>
          </w:p>
        </w:tc>
        <w:tc>
          <w:tcPr>
            <w:tcW w:w="4275" w:type="pct"/>
            <w:tcBorders>
              <w:top w:val="single" w:sz="4" w:space="0" w:color="auto"/>
              <w:bottom w:val="single" w:sz="4" w:space="0" w:color="auto"/>
            </w:tcBorders>
            <w:shd w:val="clear" w:color="auto" w:fill="auto"/>
          </w:tcPr>
          <w:p w14:paraId="004BC459" w14:textId="77777777" w:rsidR="00FC0928" w:rsidRPr="005E3B43" w:rsidRDefault="00FC0928" w:rsidP="00763BCF">
            <w:pPr>
              <w:pStyle w:val="Tabletext"/>
            </w:pPr>
            <w:r w:rsidRPr="005E3B43">
              <w:t>Therapeutic goods in relation to which all of the following paragraphs apply:</w:t>
            </w:r>
          </w:p>
          <w:p w14:paraId="75B84406" w14:textId="77777777" w:rsidR="00FC0928" w:rsidRPr="005E3B43" w:rsidRDefault="00FC0928" w:rsidP="00763BCF">
            <w:pPr>
              <w:pStyle w:val="Tablea"/>
            </w:pPr>
            <w:r w:rsidRPr="005E3B43">
              <w:t>(a) the goods comprise, contain or are derived from human cells or human tissues collected from a patient who is under the clinical care of a medical or dental practitioner;</w:t>
            </w:r>
          </w:p>
          <w:p w14:paraId="39169524" w14:textId="77777777" w:rsidR="00FC0928" w:rsidRPr="005E3B43" w:rsidRDefault="00FC0928" w:rsidP="00763BCF">
            <w:pPr>
              <w:pStyle w:val="Tablea"/>
            </w:pPr>
            <w:r w:rsidRPr="005E3B43">
              <w:t>(b) the goods are manufactured by, or under the professional supervision of, the practitioner;</w:t>
            </w:r>
          </w:p>
          <w:p w14:paraId="32644ACA" w14:textId="77777777" w:rsidR="00FC0928" w:rsidRPr="005E3B43" w:rsidRDefault="00FC0928" w:rsidP="00763BCF">
            <w:pPr>
              <w:pStyle w:val="Tablea"/>
            </w:pPr>
            <w:r w:rsidRPr="005E3B43">
              <w:t>(c) the single indication of the goods is homologous use:</w:t>
            </w:r>
          </w:p>
          <w:p w14:paraId="4C95F083" w14:textId="77777777" w:rsidR="00FC0928" w:rsidRPr="005E3B43" w:rsidRDefault="00FC0928" w:rsidP="00763BCF">
            <w:pPr>
              <w:pStyle w:val="Tablei"/>
            </w:pPr>
            <w:r w:rsidRPr="005E3B43">
              <w:t>(i) on that patient; and</w:t>
            </w:r>
          </w:p>
          <w:p w14:paraId="2F38B638" w14:textId="77777777" w:rsidR="00FC0928" w:rsidRPr="005E3B43" w:rsidRDefault="00FC0928" w:rsidP="00763BCF">
            <w:pPr>
              <w:pStyle w:val="Tablei"/>
            </w:pPr>
            <w:r w:rsidRPr="005E3B43">
              <w:t>(ii) in a single clinical procedure; and</w:t>
            </w:r>
          </w:p>
          <w:p w14:paraId="2DB35A03" w14:textId="77777777" w:rsidR="00FC0928" w:rsidRPr="005E3B43" w:rsidRDefault="00FC0928" w:rsidP="00763BCF">
            <w:pPr>
              <w:pStyle w:val="Tablei"/>
            </w:pPr>
            <w:r w:rsidRPr="005E3B43">
              <w:t>(iii) by, or under the professional supervision of, that practitioner;</w:t>
            </w:r>
          </w:p>
          <w:p w14:paraId="5490EC7F" w14:textId="77777777" w:rsidR="00FC0928" w:rsidRPr="005E3B43" w:rsidRDefault="00FC0928" w:rsidP="00763BCF">
            <w:pPr>
              <w:pStyle w:val="Tablea"/>
            </w:pPr>
            <w:r w:rsidRPr="005E3B43">
              <w:t>(d) the goods have been subjected to only minimal manipulation;</w:t>
            </w:r>
          </w:p>
          <w:p w14:paraId="56CDA1F2" w14:textId="77777777" w:rsidR="00FC0928" w:rsidRPr="005E3B43" w:rsidRDefault="00FC0928" w:rsidP="00763BCF">
            <w:pPr>
              <w:pStyle w:val="Tabletext"/>
            </w:pPr>
            <w:r w:rsidRPr="005E3B43">
              <w:t>(e) the practitioner is registered in a State or internal Territory</w:t>
            </w:r>
          </w:p>
        </w:tc>
      </w:tr>
      <w:tr w:rsidR="00E028D6" w:rsidRPr="005E3B43" w14:paraId="13526666" w14:textId="77777777" w:rsidTr="002F4107">
        <w:tc>
          <w:tcPr>
            <w:tcW w:w="725" w:type="pct"/>
            <w:tcBorders>
              <w:top w:val="single" w:sz="4" w:space="0" w:color="auto"/>
              <w:bottom w:val="single" w:sz="4" w:space="0" w:color="auto"/>
            </w:tcBorders>
            <w:shd w:val="clear" w:color="auto" w:fill="auto"/>
          </w:tcPr>
          <w:p w14:paraId="5F01145E" w14:textId="77777777" w:rsidR="00E028D6" w:rsidRPr="005E3B43" w:rsidRDefault="00E028D6" w:rsidP="00763BCF">
            <w:pPr>
              <w:pStyle w:val="Tabletext"/>
            </w:pPr>
            <w:r w:rsidRPr="005E3B43">
              <w:rPr>
                <w:lang w:eastAsia="en-US"/>
              </w:rPr>
              <w:t>22</w:t>
            </w:r>
          </w:p>
        </w:tc>
        <w:tc>
          <w:tcPr>
            <w:tcW w:w="4275" w:type="pct"/>
            <w:tcBorders>
              <w:top w:val="single" w:sz="4" w:space="0" w:color="auto"/>
              <w:bottom w:val="single" w:sz="4" w:space="0" w:color="auto"/>
            </w:tcBorders>
            <w:shd w:val="clear" w:color="auto" w:fill="auto"/>
          </w:tcPr>
          <w:p w14:paraId="47773C3B" w14:textId="77777777" w:rsidR="00E028D6" w:rsidRPr="005E3B43" w:rsidRDefault="00354373" w:rsidP="00763BCF">
            <w:pPr>
              <w:pStyle w:val="Tabletext"/>
              <w:rPr>
                <w:lang w:eastAsia="en-US"/>
              </w:rPr>
            </w:pPr>
            <w:r w:rsidRPr="005E3B43">
              <w:t>radiopharmaceuticals that are</w:t>
            </w:r>
            <w:r w:rsidR="00E028D6" w:rsidRPr="005E3B43">
              <w:rPr>
                <w:lang w:eastAsia="en-US"/>
              </w:rPr>
              <w:t>:</w:t>
            </w:r>
          </w:p>
          <w:p w14:paraId="444E745B" w14:textId="77777777" w:rsidR="00E028D6" w:rsidRPr="005E3B43" w:rsidRDefault="00E028D6" w:rsidP="00763BCF">
            <w:pPr>
              <w:pStyle w:val="Tablea"/>
            </w:pPr>
            <w:r w:rsidRPr="005E3B43">
              <w:t>(a) manufactured by:</w:t>
            </w:r>
          </w:p>
          <w:p w14:paraId="10D2A77F" w14:textId="77777777" w:rsidR="00E028D6" w:rsidRPr="005E3B43" w:rsidRDefault="00E028D6" w:rsidP="00763BCF">
            <w:pPr>
              <w:pStyle w:val="Tablei"/>
            </w:pPr>
            <w:r w:rsidRPr="005E3B43">
              <w:t>(i) a medical practitioner registered under a law of a State or Territory when employed by a public or private hospital or a public institution, or a person under the professional supervision of such a medical practitioner; or</w:t>
            </w:r>
          </w:p>
          <w:p w14:paraId="7C705DD8" w14:textId="77777777" w:rsidR="00E028D6" w:rsidRPr="005E3B43" w:rsidRDefault="00E028D6" w:rsidP="00763BCF">
            <w:pPr>
              <w:pStyle w:val="Tablei"/>
            </w:pPr>
            <w:r w:rsidRPr="005E3B43">
              <w:t>(ii) a radiochemist when employed by a public or private hospital or a public institution, or a person under the professional supervision of such a radiochemist; or</w:t>
            </w:r>
          </w:p>
          <w:p w14:paraId="7DCD15D6" w14:textId="77777777" w:rsidR="00E028D6" w:rsidRPr="005E3B43" w:rsidRDefault="00E028D6" w:rsidP="00763BCF">
            <w:pPr>
              <w:pStyle w:val="Tablei"/>
            </w:pPr>
            <w:r w:rsidRPr="005E3B43">
              <w:t>(iii) a pharmacist when employed by a public or private hospital or a public institution, or a person under the professional supervision of such a pharmacist; and</w:t>
            </w:r>
          </w:p>
          <w:p w14:paraId="3FCBA203" w14:textId="77777777" w:rsidR="00E028D6" w:rsidRPr="005E3B43" w:rsidRDefault="00E028D6" w:rsidP="00763BCF">
            <w:pPr>
              <w:pStyle w:val="Tablea"/>
            </w:pPr>
            <w:r w:rsidRPr="005E3B43">
              <w:t>(b) for supply to another public or private hospital, another public institution or a private institution within Australia for the purposes of:</w:t>
            </w:r>
          </w:p>
          <w:p w14:paraId="02131CE5" w14:textId="77777777" w:rsidR="00E028D6" w:rsidRPr="005E3B43" w:rsidRDefault="00E028D6" w:rsidP="00763BCF">
            <w:pPr>
              <w:pStyle w:val="Tablei"/>
            </w:pPr>
            <w:r w:rsidRPr="005E3B43">
              <w:t>(i) diagnosing a medical condition in respect of a patient of the hospital or institution; or</w:t>
            </w:r>
          </w:p>
          <w:p w14:paraId="32481B77" w14:textId="77777777" w:rsidR="00E028D6" w:rsidRPr="005E3B43" w:rsidRDefault="00E028D6" w:rsidP="00763BCF">
            <w:pPr>
              <w:pStyle w:val="Tablei"/>
            </w:pPr>
            <w:r w:rsidRPr="005E3B43">
              <w:t>(ii) treating a medical condition of a patient of the hospital or institution</w:t>
            </w:r>
          </w:p>
        </w:tc>
      </w:tr>
      <w:tr w:rsidR="00E028D6" w:rsidRPr="005E3B43" w14:paraId="6D086E3A" w14:textId="77777777" w:rsidTr="00566841">
        <w:trPr>
          <w:cantSplit/>
        </w:trPr>
        <w:tc>
          <w:tcPr>
            <w:tcW w:w="725" w:type="pct"/>
            <w:tcBorders>
              <w:top w:val="single" w:sz="4" w:space="0" w:color="auto"/>
              <w:bottom w:val="single" w:sz="12" w:space="0" w:color="auto"/>
            </w:tcBorders>
            <w:shd w:val="clear" w:color="auto" w:fill="auto"/>
          </w:tcPr>
          <w:p w14:paraId="5B2F0A14" w14:textId="77777777" w:rsidR="00E028D6" w:rsidRPr="005E3B43" w:rsidRDefault="00E028D6" w:rsidP="00763BCF">
            <w:pPr>
              <w:pStyle w:val="Tabletext"/>
            </w:pPr>
            <w:r w:rsidRPr="005E3B43">
              <w:rPr>
                <w:lang w:eastAsia="en-US"/>
              </w:rPr>
              <w:lastRenderedPageBreak/>
              <w:t>23</w:t>
            </w:r>
          </w:p>
        </w:tc>
        <w:tc>
          <w:tcPr>
            <w:tcW w:w="4275" w:type="pct"/>
            <w:tcBorders>
              <w:top w:val="single" w:sz="4" w:space="0" w:color="auto"/>
              <w:bottom w:val="single" w:sz="12" w:space="0" w:color="auto"/>
            </w:tcBorders>
            <w:shd w:val="clear" w:color="auto" w:fill="auto"/>
          </w:tcPr>
          <w:p w14:paraId="36A295DB" w14:textId="77777777" w:rsidR="00E028D6" w:rsidRPr="005E3B43" w:rsidRDefault="00354373" w:rsidP="00763BCF">
            <w:pPr>
              <w:pStyle w:val="Tabletext"/>
              <w:rPr>
                <w:lang w:eastAsia="en-US"/>
              </w:rPr>
            </w:pPr>
            <w:r w:rsidRPr="005E3B43">
              <w:t>radiopharmaceutical active ingredients that are</w:t>
            </w:r>
            <w:r w:rsidR="00E028D6" w:rsidRPr="005E3B43">
              <w:rPr>
                <w:lang w:eastAsia="en-US"/>
              </w:rPr>
              <w:t>:</w:t>
            </w:r>
          </w:p>
          <w:p w14:paraId="165BBE50" w14:textId="77777777" w:rsidR="00E028D6" w:rsidRPr="005E3B43" w:rsidRDefault="00E028D6" w:rsidP="00763BCF">
            <w:pPr>
              <w:pStyle w:val="Tablea"/>
            </w:pPr>
            <w:r w:rsidRPr="005E3B43">
              <w:t>(a) manufactured by:</w:t>
            </w:r>
          </w:p>
          <w:p w14:paraId="58A0CF0A" w14:textId="77777777" w:rsidR="00E028D6" w:rsidRPr="005E3B43" w:rsidRDefault="00E028D6" w:rsidP="00763BCF">
            <w:pPr>
              <w:pStyle w:val="Tablei"/>
            </w:pPr>
            <w:r w:rsidRPr="005E3B43">
              <w:t>(i) a medical practitioner registered under a law of a State or Territory when employed by a public or private hospital or a public institution, or a person under the professional supervision of such a medical practitioner; or</w:t>
            </w:r>
          </w:p>
          <w:p w14:paraId="2C339384" w14:textId="77777777" w:rsidR="00E028D6" w:rsidRPr="005E3B43" w:rsidRDefault="00E028D6" w:rsidP="00763BCF">
            <w:pPr>
              <w:pStyle w:val="Tablei"/>
            </w:pPr>
            <w:r w:rsidRPr="005E3B43">
              <w:t>(ii) a radiochemist when employed by a public or private hospital or a public institution, or a person under the professional supervision of such a radiochemist; or</w:t>
            </w:r>
          </w:p>
          <w:p w14:paraId="51AF0379" w14:textId="77777777" w:rsidR="00E028D6" w:rsidRPr="005E3B43" w:rsidRDefault="00E028D6" w:rsidP="00763BCF">
            <w:pPr>
              <w:pStyle w:val="Tablei"/>
            </w:pPr>
            <w:r w:rsidRPr="005E3B43">
              <w:t>(iii) a pharmacist when employed by a public or private hospital or a public institution, or a person under the professional supervision of such a pharmacist; and</w:t>
            </w:r>
          </w:p>
          <w:p w14:paraId="42250E9A" w14:textId="77777777" w:rsidR="00E028D6" w:rsidRPr="005E3B43" w:rsidRDefault="00E028D6" w:rsidP="00763BCF">
            <w:pPr>
              <w:pStyle w:val="Tablea"/>
            </w:pPr>
            <w:r w:rsidRPr="005E3B43">
              <w:t>(b) for supply to another public or private hospital, another public institution or a private institution within Australia, which are then used by the hospital or institution to manufacture a radiopharmaceutical for the purposes of:</w:t>
            </w:r>
          </w:p>
          <w:p w14:paraId="22ADF507" w14:textId="77777777" w:rsidR="00E028D6" w:rsidRPr="005E3B43" w:rsidRDefault="00E028D6" w:rsidP="00763BCF">
            <w:pPr>
              <w:pStyle w:val="Tablei"/>
            </w:pPr>
            <w:r w:rsidRPr="005E3B43">
              <w:t>(i) diagnosing a medical condition in respect of a patient of the hospital or institution; or</w:t>
            </w:r>
          </w:p>
          <w:p w14:paraId="069DC12C" w14:textId="77777777" w:rsidR="00E028D6" w:rsidRPr="005E3B43" w:rsidRDefault="00E028D6" w:rsidP="00763BCF">
            <w:pPr>
              <w:pStyle w:val="Tablei"/>
            </w:pPr>
            <w:r w:rsidRPr="005E3B43">
              <w:t>(ii) treating a medical condition of a patient of the hospital or institution</w:t>
            </w:r>
          </w:p>
        </w:tc>
      </w:tr>
    </w:tbl>
    <w:p w14:paraId="77799E94" w14:textId="5100F059" w:rsidR="00207B1C" w:rsidRPr="005E3B43" w:rsidRDefault="00207B1C" w:rsidP="00763BCF">
      <w:pPr>
        <w:pStyle w:val="ActHead1"/>
        <w:pageBreakBefore/>
      </w:pPr>
      <w:bookmarkStart w:id="428" w:name="_Toc187136018"/>
      <w:r w:rsidRPr="005E3B43">
        <w:rPr>
          <w:rStyle w:val="CharChapNo"/>
        </w:rPr>
        <w:lastRenderedPageBreak/>
        <w:t>Schedule</w:t>
      </w:r>
      <w:r w:rsidR="004E6D00" w:rsidRPr="005E3B43">
        <w:rPr>
          <w:rStyle w:val="CharChapNo"/>
        </w:rPr>
        <w:t> </w:t>
      </w:r>
      <w:r w:rsidRPr="005E3B43">
        <w:rPr>
          <w:rStyle w:val="CharChapNo"/>
        </w:rPr>
        <w:t>8</w:t>
      </w:r>
      <w:r w:rsidR="00E20BA4" w:rsidRPr="005E3B43">
        <w:t>—</w:t>
      </w:r>
      <w:r w:rsidRPr="005E3B43">
        <w:rPr>
          <w:rStyle w:val="CharChapText"/>
        </w:rPr>
        <w:t xml:space="preserve">Persons exempt from the operation of </w:t>
      </w:r>
      <w:r w:rsidR="00BB758E" w:rsidRPr="005E3B43">
        <w:rPr>
          <w:rStyle w:val="CharChapText"/>
        </w:rPr>
        <w:t>Part 3</w:t>
      </w:r>
      <w:r w:rsidR="007C3215">
        <w:rPr>
          <w:rStyle w:val="CharChapText"/>
        </w:rPr>
        <w:noBreakHyphen/>
      </w:r>
      <w:r w:rsidRPr="005E3B43">
        <w:rPr>
          <w:rStyle w:val="CharChapText"/>
        </w:rPr>
        <w:t>3 of the Act</w:t>
      </w:r>
      <w:bookmarkEnd w:id="428"/>
    </w:p>
    <w:p w14:paraId="0FC5892E" w14:textId="77777777" w:rsidR="00207B1C" w:rsidRPr="005E3B43" w:rsidRDefault="00207B1C" w:rsidP="00763BCF">
      <w:pPr>
        <w:pStyle w:val="notemargin"/>
      </w:pPr>
      <w:r w:rsidRPr="005E3B43">
        <w:t>(regulation</w:t>
      </w:r>
      <w:r w:rsidR="004E6D00" w:rsidRPr="005E3B43">
        <w:t> </w:t>
      </w:r>
      <w:r w:rsidRPr="005E3B43">
        <w:t>18)</w:t>
      </w:r>
    </w:p>
    <w:p w14:paraId="282C7577" w14:textId="77777777" w:rsidR="00207B1C" w:rsidRPr="005E3B43" w:rsidRDefault="00E20BA4" w:rsidP="00763BCF">
      <w:pPr>
        <w:pStyle w:val="Header"/>
      </w:pPr>
      <w:r w:rsidRPr="005E3B43">
        <w:rPr>
          <w:rStyle w:val="CharPartNo"/>
        </w:rPr>
        <w:t xml:space="preserve"> </w:t>
      </w:r>
      <w:r w:rsidRPr="005E3B43">
        <w:rPr>
          <w:rStyle w:val="CharPartText"/>
        </w:rPr>
        <w:t xml:space="preserve"> </w:t>
      </w:r>
    </w:p>
    <w:p w14:paraId="4CA32235" w14:textId="77777777" w:rsidR="00E20BA4" w:rsidRPr="005E3B43" w:rsidRDefault="00E20BA4"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313"/>
        <w:gridCol w:w="3091"/>
        <w:gridCol w:w="4125"/>
      </w:tblGrid>
      <w:tr w:rsidR="00207B1C" w:rsidRPr="005E3B43" w14:paraId="4AEA2822" w14:textId="77777777" w:rsidTr="005A786D">
        <w:trPr>
          <w:tblHeader/>
        </w:trPr>
        <w:tc>
          <w:tcPr>
            <w:tcW w:w="770" w:type="pct"/>
            <w:tcBorders>
              <w:top w:val="single" w:sz="12" w:space="0" w:color="auto"/>
              <w:bottom w:val="single" w:sz="12" w:space="0" w:color="auto"/>
            </w:tcBorders>
            <w:shd w:val="clear" w:color="auto" w:fill="auto"/>
          </w:tcPr>
          <w:p w14:paraId="29642C23" w14:textId="77777777" w:rsidR="00207B1C" w:rsidRPr="005E3B43" w:rsidRDefault="00207B1C" w:rsidP="00763BCF">
            <w:pPr>
              <w:pStyle w:val="TableHeading"/>
            </w:pPr>
            <w:r w:rsidRPr="005E3B43">
              <w:t>Column 1</w:t>
            </w:r>
            <w:r w:rsidRPr="005E3B43">
              <w:br/>
              <w:t>Item</w:t>
            </w:r>
          </w:p>
        </w:tc>
        <w:tc>
          <w:tcPr>
            <w:tcW w:w="1812" w:type="pct"/>
            <w:tcBorders>
              <w:top w:val="single" w:sz="12" w:space="0" w:color="auto"/>
              <w:bottom w:val="single" w:sz="12" w:space="0" w:color="auto"/>
            </w:tcBorders>
            <w:shd w:val="clear" w:color="auto" w:fill="auto"/>
          </w:tcPr>
          <w:p w14:paraId="02FE0F3D" w14:textId="77777777" w:rsidR="00207B1C" w:rsidRPr="005E3B43" w:rsidRDefault="00207B1C" w:rsidP="00763BCF">
            <w:pPr>
              <w:pStyle w:val="TableHeading"/>
            </w:pPr>
            <w:r w:rsidRPr="005E3B43">
              <w:t>Column 2</w:t>
            </w:r>
            <w:r w:rsidRPr="005E3B43">
              <w:br/>
              <w:t>Persons</w:t>
            </w:r>
          </w:p>
        </w:tc>
        <w:tc>
          <w:tcPr>
            <w:tcW w:w="2418" w:type="pct"/>
            <w:tcBorders>
              <w:top w:val="single" w:sz="12" w:space="0" w:color="auto"/>
              <w:bottom w:val="single" w:sz="12" w:space="0" w:color="auto"/>
            </w:tcBorders>
            <w:shd w:val="clear" w:color="auto" w:fill="auto"/>
          </w:tcPr>
          <w:p w14:paraId="679B4670" w14:textId="77777777" w:rsidR="00207B1C" w:rsidRPr="005E3B43" w:rsidRDefault="00207B1C" w:rsidP="00763BCF">
            <w:pPr>
              <w:pStyle w:val="TableHeading"/>
            </w:pPr>
            <w:r w:rsidRPr="005E3B43">
              <w:t>Column 3</w:t>
            </w:r>
            <w:r w:rsidRPr="005E3B43">
              <w:br/>
              <w:t>Matter in relation to which person exempted</w:t>
            </w:r>
          </w:p>
        </w:tc>
      </w:tr>
      <w:tr w:rsidR="00207B1C" w:rsidRPr="005E3B43" w14:paraId="0EDF4D66" w14:textId="77777777" w:rsidTr="005A786D">
        <w:tc>
          <w:tcPr>
            <w:tcW w:w="770" w:type="pct"/>
            <w:tcBorders>
              <w:top w:val="single" w:sz="12" w:space="0" w:color="auto"/>
              <w:bottom w:val="single" w:sz="4" w:space="0" w:color="auto"/>
            </w:tcBorders>
            <w:shd w:val="clear" w:color="auto" w:fill="auto"/>
          </w:tcPr>
          <w:p w14:paraId="14126AFC" w14:textId="77777777" w:rsidR="00207B1C" w:rsidRPr="005E3B43" w:rsidRDefault="00207B1C" w:rsidP="00763BCF">
            <w:pPr>
              <w:pStyle w:val="Tabletext"/>
            </w:pPr>
            <w:r w:rsidRPr="005E3B43">
              <w:t>1</w:t>
            </w:r>
          </w:p>
        </w:tc>
        <w:tc>
          <w:tcPr>
            <w:tcW w:w="1812" w:type="pct"/>
            <w:tcBorders>
              <w:top w:val="single" w:sz="12" w:space="0" w:color="auto"/>
              <w:bottom w:val="single" w:sz="4" w:space="0" w:color="auto"/>
            </w:tcBorders>
            <w:shd w:val="clear" w:color="auto" w:fill="auto"/>
          </w:tcPr>
          <w:p w14:paraId="219EF5BA" w14:textId="77777777" w:rsidR="00207B1C" w:rsidRPr="005E3B43" w:rsidRDefault="00207B1C" w:rsidP="00763BCF">
            <w:pPr>
              <w:pStyle w:val="Tabletext"/>
            </w:pPr>
            <w:r w:rsidRPr="005E3B43">
              <w:t>medical practitioners, dentists and other health care workers registered under a law of a State or Territory</w:t>
            </w:r>
          </w:p>
        </w:tc>
        <w:tc>
          <w:tcPr>
            <w:tcW w:w="2418" w:type="pct"/>
            <w:tcBorders>
              <w:top w:val="single" w:sz="12" w:space="0" w:color="auto"/>
              <w:bottom w:val="single" w:sz="4" w:space="0" w:color="auto"/>
            </w:tcBorders>
            <w:shd w:val="clear" w:color="auto" w:fill="auto"/>
          </w:tcPr>
          <w:p w14:paraId="6A45B28A" w14:textId="77777777" w:rsidR="00207B1C" w:rsidRPr="005E3B43" w:rsidRDefault="00354373" w:rsidP="00763BCF">
            <w:pPr>
              <w:pStyle w:val="Tabletext"/>
              <w:rPr>
                <w:rFonts w:eastAsiaTheme="minorHAnsi" w:cstheme="minorBidi"/>
                <w:lang w:eastAsia="en-US"/>
              </w:rPr>
            </w:pPr>
            <w:r w:rsidRPr="005E3B43">
              <w:t>the manufacture of a medicine by a medical practitioner or a dentist specifically for a patient under the medical practitioner’s or dentist’s care</w:t>
            </w:r>
          </w:p>
        </w:tc>
      </w:tr>
      <w:tr w:rsidR="00207B1C" w:rsidRPr="005E3B43" w14:paraId="08DF6538" w14:textId="77777777" w:rsidTr="005A786D">
        <w:tc>
          <w:tcPr>
            <w:tcW w:w="770" w:type="pct"/>
            <w:tcBorders>
              <w:top w:val="single" w:sz="4" w:space="0" w:color="auto"/>
              <w:bottom w:val="single" w:sz="4" w:space="0" w:color="auto"/>
            </w:tcBorders>
            <w:shd w:val="clear" w:color="auto" w:fill="auto"/>
          </w:tcPr>
          <w:p w14:paraId="27A8FFCC" w14:textId="77777777" w:rsidR="00207B1C" w:rsidRPr="005E3B43" w:rsidRDefault="00207B1C" w:rsidP="00763BCF">
            <w:pPr>
              <w:pStyle w:val="Tabletext"/>
            </w:pPr>
            <w:r w:rsidRPr="005E3B43">
              <w:t>2</w:t>
            </w:r>
          </w:p>
        </w:tc>
        <w:tc>
          <w:tcPr>
            <w:tcW w:w="1812" w:type="pct"/>
            <w:tcBorders>
              <w:top w:val="single" w:sz="4" w:space="0" w:color="auto"/>
              <w:bottom w:val="single" w:sz="4" w:space="0" w:color="auto"/>
            </w:tcBorders>
            <w:shd w:val="clear" w:color="auto" w:fill="auto"/>
          </w:tcPr>
          <w:p w14:paraId="196A025D" w14:textId="77777777" w:rsidR="00207B1C" w:rsidRPr="005E3B43" w:rsidRDefault="00207B1C" w:rsidP="00763BCF">
            <w:pPr>
              <w:pStyle w:val="Tabletext"/>
            </w:pPr>
            <w:r w:rsidRPr="005E3B43">
              <w:t>pharmacists</w:t>
            </w:r>
          </w:p>
        </w:tc>
        <w:tc>
          <w:tcPr>
            <w:tcW w:w="2418" w:type="pct"/>
            <w:tcBorders>
              <w:top w:val="single" w:sz="4" w:space="0" w:color="auto"/>
              <w:bottom w:val="single" w:sz="4" w:space="0" w:color="auto"/>
            </w:tcBorders>
            <w:shd w:val="clear" w:color="auto" w:fill="auto"/>
          </w:tcPr>
          <w:p w14:paraId="12E967AE" w14:textId="77777777" w:rsidR="00FD3EF6" w:rsidRPr="005E3B43" w:rsidRDefault="00FD3EF6" w:rsidP="00763BCF">
            <w:pPr>
              <w:pStyle w:val="Tabletext"/>
              <w:rPr>
                <w:lang w:eastAsia="en-US"/>
              </w:rPr>
            </w:pPr>
            <w:r w:rsidRPr="005E3B43">
              <w:t>the ma</w:t>
            </w:r>
            <w:r w:rsidRPr="005E3B43">
              <w:rPr>
                <w:lang w:eastAsia="en-US"/>
              </w:rPr>
              <w:t>nufacture of therapeutic goods, if:</w:t>
            </w:r>
          </w:p>
          <w:p w14:paraId="1F3B330A" w14:textId="77777777" w:rsidR="00BD3E81" w:rsidRPr="005E3B43" w:rsidRDefault="00BD3E81" w:rsidP="00763BCF">
            <w:pPr>
              <w:pStyle w:val="Tablea"/>
            </w:pPr>
            <w:r w:rsidRPr="005E3B43">
              <w:rPr>
                <w:lang w:eastAsia="en-US"/>
              </w:rPr>
              <w:t xml:space="preserve">(a) the goods are not </w:t>
            </w:r>
            <w:r w:rsidRPr="005E3B43">
              <w:t>biologicals; and</w:t>
            </w:r>
          </w:p>
          <w:p w14:paraId="3D21BC48" w14:textId="77777777" w:rsidR="00FD3EF6" w:rsidRPr="005E3B43" w:rsidRDefault="00FD3EF6" w:rsidP="00763BCF">
            <w:pPr>
              <w:pStyle w:val="Tablea"/>
            </w:pPr>
            <w:r w:rsidRPr="005E3B43">
              <w:rPr>
                <w:lang w:eastAsia="en-US"/>
              </w:rPr>
              <w:t>(b) the goods are produc</w:t>
            </w:r>
            <w:r w:rsidRPr="005E3B43">
              <w:t>ed by the pharmacist:</w:t>
            </w:r>
          </w:p>
          <w:p w14:paraId="5240F218" w14:textId="77777777" w:rsidR="00FD3EF6" w:rsidRPr="005E3B43" w:rsidRDefault="00FD3EF6" w:rsidP="00763BCF">
            <w:pPr>
              <w:pStyle w:val="Tablei"/>
            </w:pPr>
            <w:r w:rsidRPr="005E3B43">
              <w:t>(i) in a pharmacy where the pharmacist practices and the pharmacy is open to the public; or</w:t>
            </w:r>
          </w:p>
          <w:p w14:paraId="209457B1" w14:textId="77777777" w:rsidR="00FD3EF6" w:rsidRPr="005E3B43" w:rsidRDefault="00FD3EF6" w:rsidP="00763BCF">
            <w:pPr>
              <w:pStyle w:val="Tablei"/>
            </w:pPr>
            <w:r w:rsidRPr="005E3B43">
              <w:t>(ii) on the premises of a dispensary conducted by a Friendly Society; or</w:t>
            </w:r>
          </w:p>
          <w:p w14:paraId="75F4D406" w14:textId="77777777" w:rsidR="00FD3EF6" w:rsidRPr="005E3B43" w:rsidRDefault="00FD3EF6" w:rsidP="00763BCF">
            <w:pPr>
              <w:pStyle w:val="Tablei"/>
            </w:pPr>
            <w:r w:rsidRPr="005E3B43">
              <w:t>(iii) on the premises of a private hospital; and</w:t>
            </w:r>
          </w:p>
          <w:p w14:paraId="4C76E942" w14:textId="77777777" w:rsidR="00207B1C" w:rsidRPr="005E3B43" w:rsidRDefault="00FD3EF6" w:rsidP="00763BCF">
            <w:pPr>
              <w:pStyle w:val="Tablea"/>
            </w:pPr>
            <w:r w:rsidRPr="005E3B43">
              <w:t xml:space="preserve">(c) </w:t>
            </w:r>
            <w:r w:rsidRPr="005E3B43">
              <w:rPr>
                <w:lang w:eastAsia="en-US"/>
              </w:rPr>
              <w:t>the</w:t>
            </w:r>
            <w:r w:rsidRPr="005E3B43">
              <w:t xml:space="preserve"> goods are for sup</w:t>
            </w:r>
            <w:r w:rsidRPr="005E3B43">
              <w:rPr>
                <w:lang w:eastAsia="en-US"/>
              </w:rPr>
              <w:t>ply (other than by wholesale) on or from tho</w:t>
            </w:r>
            <w:r w:rsidRPr="005E3B43">
              <w:t>se premises</w:t>
            </w:r>
          </w:p>
        </w:tc>
      </w:tr>
      <w:tr w:rsidR="00207B1C" w:rsidRPr="005E3B43" w14:paraId="6E33DE01" w14:textId="77777777" w:rsidTr="005A786D">
        <w:tc>
          <w:tcPr>
            <w:tcW w:w="770" w:type="pct"/>
            <w:tcBorders>
              <w:top w:val="single" w:sz="4" w:space="0" w:color="auto"/>
              <w:bottom w:val="single" w:sz="4" w:space="0" w:color="auto"/>
            </w:tcBorders>
            <w:shd w:val="clear" w:color="auto" w:fill="auto"/>
          </w:tcPr>
          <w:p w14:paraId="7D3AB975" w14:textId="77777777" w:rsidR="00207B1C" w:rsidRPr="005E3B43" w:rsidRDefault="00207B1C" w:rsidP="00763BCF">
            <w:pPr>
              <w:pStyle w:val="Tabletext"/>
            </w:pPr>
            <w:r w:rsidRPr="005E3B43">
              <w:t>3</w:t>
            </w:r>
          </w:p>
        </w:tc>
        <w:tc>
          <w:tcPr>
            <w:tcW w:w="1812" w:type="pct"/>
            <w:tcBorders>
              <w:top w:val="single" w:sz="4" w:space="0" w:color="auto"/>
              <w:bottom w:val="single" w:sz="4" w:space="0" w:color="auto"/>
            </w:tcBorders>
            <w:shd w:val="clear" w:color="auto" w:fill="auto"/>
          </w:tcPr>
          <w:p w14:paraId="50E9AC79" w14:textId="77777777" w:rsidR="00207B1C" w:rsidRPr="005E3B43" w:rsidRDefault="00207B1C" w:rsidP="00763BCF">
            <w:pPr>
              <w:pStyle w:val="Tabletext"/>
            </w:pPr>
            <w:r w:rsidRPr="005E3B43">
              <w:t>biomedical engineers, radiochemists and pharmacists in public hospitals</w:t>
            </w:r>
          </w:p>
        </w:tc>
        <w:tc>
          <w:tcPr>
            <w:tcW w:w="2418" w:type="pct"/>
            <w:tcBorders>
              <w:top w:val="single" w:sz="4" w:space="0" w:color="auto"/>
              <w:bottom w:val="single" w:sz="4" w:space="0" w:color="auto"/>
            </w:tcBorders>
            <w:shd w:val="clear" w:color="auto" w:fill="auto"/>
          </w:tcPr>
          <w:p w14:paraId="2F8A783F" w14:textId="77777777" w:rsidR="00207B1C" w:rsidRPr="005E3B43" w:rsidRDefault="00207B1C" w:rsidP="00763BCF">
            <w:pPr>
              <w:pStyle w:val="Tabletext"/>
            </w:pPr>
            <w:r w:rsidRPr="005E3B43">
              <w:t xml:space="preserve">the manufacture of therapeutic </w:t>
            </w:r>
            <w:r w:rsidR="00E41BA5" w:rsidRPr="005E3B43">
              <w:rPr>
                <w:szCs w:val="22"/>
              </w:rPr>
              <w:t>goods, other than biologicals,</w:t>
            </w:r>
            <w:r w:rsidR="005F0BC3" w:rsidRPr="005E3B43">
              <w:rPr>
                <w:szCs w:val="22"/>
              </w:rPr>
              <w:t xml:space="preserve"> </w:t>
            </w:r>
            <w:r w:rsidRPr="005E3B43">
              <w:t>by the person when employed by a public hospital or a public institution and produced by that person for supply in hospitals or public institutions in the same State or Territory</w:t>
            </w:r>
          </w:p>
        </w:tc>
      </w:tr>
      <w:tr w:rsidR="00207B1C" w:rsidRPr="005E3B43" w14:paraId="58DB7E4A" w14:textId="77777777" w:rsidTr="005A786D">
        <w:trPr>
          <w:cantSplit/>
        </w:trPr>
        <w:tc>
          <w:tcPr>
            <w:tcW w:w="770" w:type="pct"/>
            <w:tcBorders>
              <w:top w:val="single" w:sz="4" w:space="0" w:color="auto"/>
              <w:bottom w:val="single" w:sz="4" w:space="0" w:color="auto"/>
            </w:tcBorders>
            <w:shd w:val="clear" w:color="auto" w:fill="auto"/>
          </w:tcPr>
          <w:p w14:paraId="56D8B363" w14:textId="77777777" w:rsidR="00207B1C" w:rsidRPr="005E3B43" w:rsidRDefault="00207B1C" w:rsidP="00763BCF">
            <w:pPr>
              <w:pStyle w:val="Tabletext"/>
            </w:pPr>
            <w:r w:rsidRPr="005E3B43">
              <w:t>4</w:t>
            </w:r>
          </w:p>
        </w:tc>
        <w:tc>
          <w:tcPr>
            <w:tcW w:w="1812" w:type="pct"/>
            <w:tcBorders>
              <w:top w:val="single" w:sz="4" w:space="0" w:color="auto"/>
              <w:bottom w:val="single" w:sz="4" w:space="0" w:color="auto"/>
            </w:tcBorders>
            <w:shd w:val="clear" w:color="auto" w:fill="auto"/>
          </w:tcPr>
          <w:p w14:paraId="5266D3E0" w14:textId="77777777" w:rsidR="00207B1C" w:rsidRPr="005E3B43" w:rsidRDefault="00207B1C" w:rsidP="00763BCF">
            <w:pPr>
              <w:pStyle w:val="Tabletext"/>
            </w:pPr>
            <w:r w:rsidRPr="005E3B43">
              <w:t>herbalists, nutritionists, naturopaths, practitioners of traditional Chinese medicine or homoeopathic practitioners engaged in the manufacture of any herbal, homoeopathic or nutritional supplement preparation</w:t>
            </w:r>
          </w:p>
        </w:tc>
        <w:tc>
          <w:tcPr>
            <w:tcW w:w="2418" w:type="pct"/>
            <w:tcBorders>
              <w:top w:val="single" w:sz="4" w:space="0" w:color="auto"/>
              <w:bottom w:val="single" w:sz="4" w:space="0" w:color="auto"/>
            </w:tcBorders>
            <w:shd w:val="clear" w:color="auto" w:fill="auto"/>
          </w:tcPr>
          <w:p w14:paraId="4DDB1C54" w14:textId="77777777" w:rsidR="00207B1C" w:rsidRPr="005E3B43" w:rsidRDefault="00207B1C" w:rsidP="00763BCF">
            <w:pPr>
              <w:pStyle w:val="Tabletext"/>
            </w:pPr>
            <w:r w:rsidRPr="005E3B43">
              <w:t>where the preparation is for use in the course of his or her business and:</w:t>
            </w:r>
          </w:p>
          <w:p w14:paraId="69DAA831" w14:textId="77777777" w:rsidR="00207B1C" w:rsidRPr="005E3B43" w:rsidRDefault="00E20BA4" w:rsidP="00763BCF">
            <w:pPr>
              <w:pStyle w:val="Tablea"/>
              <w:rPr>
                <w:rFonts w:eastAsiaTheme="minorHAnsi" w:cstheme="minorBidi"/>
                <w:lang w:eastAsia="en-US"/>
              </w:rPr>
            </w:pPr>
            <w:r w:rsidRPr="005E3B43">
              <w:t>(</w:t>
            </w:r>
            <w:r w:rsidR="00207B1C" w:rsidRPr="005E3B43">
              <w:t>a</w:t>
            </w:r>
            <w:r w:rsidRPr="005E3B43">
              <w:t xml:space="preserve">) </w:t>
            </w:r>
            <w:r w:rsidR="00207B1C" w:rsidRPr="005E3B43">
              <w:t>the preparations are manufactured on premises that the person carrying on the business occupies and that he or she is able to close so as to exclude the public; and</w:t>
            </w:r>
          </w:p>
          <w:p w14:paraId="04734C4D" w14:textId="77777777" w:rsidR="00207B1C" w:rsidRPr="005E3B43" w:rsidRDefault="00E20BA4" w:rsidP="00763BCF">
            <w:pPr>
              <w:pStyle w:val="Tablea"/>
              <w:widowControl w:val="0"/>
              <w:rPr>
                <w:rFonts w:eastAsiaTheme="minorHAnsi" w:cstheme="minorBidi"/>
                <w:lang w:eastAsia="en-US"/>
              </w:rPr>
            </w:pPr>
            <w:r w:rsidRPr="005E3B43">
              <w:t>(</w:t>
            </w:r>
            <w:r w:rsidR="00207B1C" w:rsidRPr="005E3B43">
              <w:t>b</w:t>
            </w:r>
            <w:r w:rsidRPr="005E3B43">
              <w:t xml:space="preserve">) </w:t>
            </w:r>
            <w:r w:rsidR="00207B1C" w:rsidRPr="005E3B43">
              <w:t>the person carrying on the business:</w:t>
            </w:r>
          </w:p>
          <w:p w14:paraId="5642DA0C" w14:textId="77777777" w:rsidR="00207B1C" w:rsidRPr="005E3B43" w:rsidRDefault="00E20BA4" w:rsidP="00763BCF">
            <w:pPr>
              <w:pStyle w:val="Tablei"/>
              <w:rPr>
                <w:rFonts w:eastAsiaTheme="minorHAnsi" w:cstheme="minorBidi"/>
                <w:lang w:eastAsia="en-US"/>
              </w:rPr>
            </w:pPr>
            <w:r w:rsidRPr="005E3B43">
              <w:t>(</w:t>
            </w:r>
            <w:r w:rsidR="00207B1C" w:rsidRPr="005E3B43">
              <w:t>i</w:t>
            </w:r>
            <w:r w:rsidRPr="005E3B43">
              <w:t xml:space="preserve">) </w:t>
            </w:r>
            <w:r w:rsidR="00207B1C" w:rsidRPr="005E3B43">
              <w:t>supplies the preparation for administration to a particular person after consulting with that person; and</w:t>
            </w:r>
          </w:p>
          <w:p w14:paraId="5DB3E16A" w14:textId="77777777" w:rsidR="00207B1C" w:rsidRPr="005E3B43" w:rsidRDefault="00E20BA4" w:rsidP="00763BCF">
            <w:pPr>
              <w:pStyle w:val="Tablei"/>
              <w:rPr>
                <w:rFonts w:eastAsiaTheme="minorHAnsi" w:cstheme="minorBidi"/>
                <w:szCs w:val="22"/>
                <w:lang w:eastAsia="en-US"/>
              </w:rPr>
            </w:pPr>
            <w:r w:rsidRPr="005E3B43">
              <w:rPr>
                <w:szCs w:val="22"/>
              </w:rPr>
              <w:t>(</w:t>
            </w:r>
            <w:r w:rsidR="00207B1C" w:rsidRPr="005E3B43">
              <w:rPr>
                <w:szCs w:val="22"/>
              </w:rPr>
              <w:t>ii</w:t>
            </w:r>
            <w:r w:rsidRPr="005E3B43">
              <w:rPr>
                <w:szCs w:val="22"/>
              </w:rPr>
              <w:t xml:space="preserve">) </w:t>
            </w:r>
            <w:r w:rsidR="00207B1C" w:rsidRPr="005E3B43">
              <w:rPr>
                <w:szCs w:val="22"/>
              </w:rPr>
              <w:t>uses his or her own judgment as to the treatment required</w:t>
            </w:r>
          </w:p>
        </w:tc>
      </w:tr>
      <w:tr w:rsidR="00207B1C" w:rsidRPr="005E3B43" w14:paraId="5E6F9595" w14:textId="77777777" w:rsidTr="005A786D">
        <w:trPr>
          <w:cantSplit/>
        </w:trPr>
        <w:tc>
          <w:tcPr>
            <w:tcW w:w="770" w:type="pct"/>
            <w:tcBorders>
              <w:top w:val="single" w:sz="4" w:space="0" w:color="auto"/>
              <w:bottom w:val="single" w:sz="4" w:space="0" w:color="auto"/>
            </w:tcBorders>
            <w:shd w:val="clear" w:color="auto" w:fill="auto"/>
          </w:tcPr>
          <w:p w14:paraId="7788D477" w14:textId="77777777" w:rsidR="00207B1C" w:rsidRPr="005E3B43" w:rsidRDefault="00207B1C" w:rsidP="00763BCF">
            <w:pPr>
              <w:pStyle w:val="Tabletext"/>
            </w:pPr>
            <w:r w:rsidRPr="005E3B43">
              <w:t>5</w:t>
            </w:r>
          </w:p>
        </w:tc>
        <w:tc>
          <w:tcPr>
            <w:tcW w:w="1812" w:type="pct"/>
            <w:tcBorders>
              <w:top w:val="single" w:sz="4" w:space="0" w:color="auto"/>
              <w:bottom w:val="single" w:sz="4" w:space="0" w:color="auto"/>
            </w:tcBorders>
            <w:shd w:val="clear" w:color="auto" w:fill="auto"/>
          </w:tcPr>
          <w:p w14:paraId="574BD589" w14:textId="77777777" w:rsidR="00207B1C" w:rsidRPr="005E3B43" w:rsidRDefault="00207B1C" w:rsidP="00763BCF">
            <w:pPr>
              <w:pStyle w:val="Tabletext"/>
            </w:pPr>
            <w:r w:rsidRPr="005E3B43">
              <w:t>a person who applies supplementary labelling to a manufactured product</w:t>
            </w:r>
          </w:p>
        </w:tc>
        <w:tc>
          <w:tcPr>
            <w:tcW w:w="2418" w:type="pct"/>
            <w:tcBorders>
              <w:top w:val="single" w:sz="4" w:space="0" w:color="auto"/>
              <w:bottom w:val="single" w:sz="4" w:space="0" w:color="auto"/>
            </w:tcBorders>
            <w:shd w:val="clear" w:color="auto" w:fill="auto"/>
          </w:tcPr>
          <w:p w14:paraId="134BCFCD" w14:textId="77777777" w:rsidR="00207B1C" w:rsidRPr="005E3B43" w:rsidRDefault="00207B1C" w:rsidP="00763BCF">
            <w:pPr>
              <w:pStyle w:val="Tabletext"/>
            </w:pPr>
            <w:r w:rsidRPr="005E3B43">
              <w:t>the application of supplementary labelling, where the supplementary label contains only</w:t>
            </w:r>
            <w:r w:rsidR="00E41BA5" w:rsidRPr="005E3B43">
              <w:rPr>
                <w:szCs w:val="22"/>
              </w:rPr>
              <w:t xml:space="preserve"> a name and address, the registration or listing number of goods, or the biological number of a biological</w:t>
            </w:r>
          </w:p>
        </w:tc>
      </w:tr>
      <w:tr w:rsidR="00207B1C" w:rsidRPr="005E3B43" w14:paraId="05BFAEF7" w14:textId="77777777" w:rsidTr="00E14879">
        <w:trPr>
          <w:cantSplit/>
        </w:trPr>
        <w:tc>
          <w:tcPr>
            <w:tcW w:w="770" w:type="pct"/>
            <w:tcBorders>
              <w:top w:val="single" w:sz="4" w:space="0" w:color="auto"/>
              <w:bottom w:val="single" w:sz="4" w:space="0" w:color="auto"/>
            </w:tcBorders>
            <w:shd w:val="clear" w:color="auto" w:fill="auto"/>
          </w:tcPr>
          <w:p w14:paraId="79CA521D" w14:textId="77777777" w:rsidR="00207B1C" w:rsidRPr="005E3B43" w:rsidRDefault="00207B1C" w:rsidP="00763BCF">
            <w:pPr>
              <w:pStyle w:val="Tabletext"/>
            </w:pPr>
            <w:r w:rsidRPr="005E3B43">
              <w:lastRenderedPageBreak/>
              <w:t>6</w:t>
            </w:r>
          </w:p>
        </w:tc>
        <w:tc>
          <w:tcPr>
            <w:tcW w:w="1812" w:type="pct"/>
            <w:tcBorders>
              <w:top w:val="single" w:sz="4" w:space="0" w:color="auto"/>
              <w:bottom w:val="single" w:sz="4" w:space="0" w:color="auto"/>
            </w:tcBorders>
            <w:shd w:val="clear" w:color="auto" w:fill="auto"/>
          </w:tcPr>
          <w:p w14:paraId="61BD0C55" w14:textId="3C74AB36" w:rsidR="00207B1C" w:rsidRPr="005E3B43" w:rsidRDefault="00207B1C" w:rsidP="00763BCF">
            <w:pPr>
              <w:pStyle w:val="Tabletext"/>
            </w:pPr>
            <w:r w:rsidRPr="005E3B43">
              <w:t>a person who re</w:t>
            </w:r>
            <w:r w:rsidR="007C3215">
              <w:noBreakHyphen/>
            </w:r>
            <w:r w:rsidRPr="005E3B43">
              <w:t>labels a product to comply with the labelling requirements of the Standard for the Uniform Scheduling of Drugs and Poisons (commonly known as “the Poisons Standard”)</w:t>
            </w:r>
          </w:p>
        </w:tc>
        <w:tc>
          <w:tcPr>
            <w:tcW w:w="2418" w:type="pct"/>
            <w:tcBorders>
              <w:top w:val="single" w:sz="4" w:space="0" w:color="auto"/>
              <w:bottom w:val="single" w:sz="4" w:space="0" w:color="auto"/>
            </w:tcBorders>
            <w:shd w:val="clear" w:color="auto" w:fill="auto"/>
          </w:tcPr>
          <w:p w14:paraId="2C8F0500" w14:textId="77777777" w:rsidR="00207B1C" w:rsidRPr="005E3B43" w:rsidRDefault="00207B1C" w:rsidP="00763BCF">
            <w:pPr>
              <w:pStyle w:val="Tabletext"/>
            </w:pPr>
            <w:r w:rsidRPr="005E3B43">
              <w:t>the application of the new label</w:t>
            </w:r>
          </w:p>
        </w:tc>
      </w:tr>
      <w:tr w:rsidR="002D5396" w:rsidRPr="005E3B43" w14:paraId="4A798E85" w14:textId="77777777" w:rsidTr="005A786D">
        <w:tc>
          <w:tcPr>
            <w:tcW w:w="770" w:type="pct"/>
            <w:tcBorders>
              <w:top w:val="single" w:sz="4" w:space="0" w:color="auto"/>
              <w:bottom w:val="single" w:sz="12" w:space="0" w:color="auto"/>
            </w:tcBorders>
            <w:shd w:val="clear" w:color="auto" w:fill="auto"/>
          </w:tcPr>
          <w:p w14:paraId="25A7E4AB" w14:textId="77777777" w:rsidR="002D5396" w:rsidRPr="005E3B43" w:rsidRDefault="002D5396" w:rsidP="00763BCF">
            <w:pPr>
              <w:pStyle w:val="Tabletext"/>
            </w:pPr>
            <w:r w:rsidRPr="005E3B43">
              <w:t>7</w:t>
            </w:r>
          </w:p>
        </w:tc>
        <w:tc>
          <w:tcPr>
            <w:tcW w:w="1812" w:type="pct"/>
            <w:tcBorders>
              <w:top w:val="single" w:sz="4" w:space="0" w:color="auto"/>
              <w:bottom w:val="single" w:sz="12" w:space="0" w:color="auto"/>
            </w:tcBorders>
            <w:shd w:val="clear" w:color="auto" w:fill="auto"/>
          </w:tcPr>
          <w:p w14:paraId="34FC2AAB" w14:textId="77777777" w:rsidR="002D5396" w:rsidRPr="005E3B43" w:rsidRDefault="002D5396" w:rsidP="00763BCF">
            <w:pPr>
              <w:pStyle w:val="Tabletext"/>
            </w:pPr>
            <w:r w:rsidRPr="005E3B43">
              <w:t>charities</w:t>
            </w:r>
          </w:p>
        </w:tc>
        <w:tc>
          <w:tcPr>
            <w:tcW w:w="2418" w:type="pct"/>
            <w:tcBorders>
              <w:top w:val="single" w:sz="4" w:space="0" w:color="auto"/>
              <w:bottom w:val="single" w:sz="12" w:space="0" w:color="auto"/>
            </w:tcBorders>
            <w:shd w:val="clear" w:color="auto" w:fill="auto"/>
          </w:tcPr>
          <w:p w14:paraId="48FDC4F4" w14:textId="654C1D54" w:rsidR="002D5396" w:rsidRPr="005E3B43" w:rsidRDefault="002D5396" w:rsidP="00763BCF">
            <w:pPr>
              <w:pStyle w:val="Tabletext"/>
            </w:pPr>
            <w:r w:rsidRPr="005E3B43">
              <w:t xml:space="preserve">the manufacture of packs mentioned in </w:t>
            </w:r>
            <w:r w:rsidR="007C3215">
              <w:t>item 1</w:t>
            </w:r>
            <w:r w:rsidRPr="005E3B43">
              <w:t>4 of Schedule</w:t>
            </w:r>
            <w:r w:rsidR="004E6D00" w:rsidRPr="005E3B43">
              <w:t> </w:t>
            </w:r>
            <w:r w:rsidRPr="005E3B43">
              <w:t>5A</w:t>
            </w:r>
          </w:p>
        </w:tc>
      </w:tr>
    </w:tbl>
    <w:p w14:paraId="345D61E7" w14:textId="77777777" w:rsidR="004B00FF" w:rsidRPr="005E3B43" w:rsidRDefault="004B00FF" w:rsidP="00763BCF">
      <w:pPr>
        <w:sectPr w:rsidR="004B00FF" w:rsidRPr="005E3B43" w:rsidSect="001444B1">
          <w:headerReference w:type="even" r:id="rId33"/>
          <w:headerReference w:type="default" r:id="rId34"/>
          <w:headerReference w:type="first" r:id="rId35"/>
          <w:pgSz w:w="11907" w:h="16839" w:code="9"/>
          <w:pgMar w:top="2325" w:right="1797" w:bottom="1440" w:left="1797" w:header="720" w:footer="709" w:gutter="0"/>
          <w:cols w:space="720"/>
          <w:docGrid w:linePitch="299"/>
        </w:sectPr>
      </w:pPr>
    </w:p>
    <w:p w14:paraId="7D81AFBC" w14:textId="77777777" w:rsidR="00E41BA5" w:rsidRPr="005E3B43" w:rsidRDefault="00E41BA5" w:rsidP="00763BCF">
      <w:pPr>
        <w:pStyle w:val="ActHead1"/>
        <w:pageBreakBefore/>
      </w:pPr>
      <w:bookmarkStart w:id="429" w:name="_Toc187136019"/>
      <w:r w:rsidRPr="005E3B43">
        <w:rPr>
          <w:rStyle w:val="CharChapNo"/>
        </w:rPr>
        <w:lastRenderedPageBreak/>
        <w:t>Schedule</w:t>
      </w:r>
      <w:r w:rsidR="004E6D00" w:rsidRPr="005E3B43">
        <w:rPr>
          <w:rStyle w:val="CharChapNo"/>
        </w:rPr>
        <w:t> </w:t>
      </w:r>
      <w:r w:rsidRPr="005E3B43">
        <w:rPr>
          <w:rStyle w:val="CharChapNo"/>
        </w:rPr>
        <w:t>9</w:t>
      </w:r>
      <w:r w:rsidR="00E20BA4" w:rsidRPr="005E3B43">
        <w:t>—</w:t>
      </w:r>
      <w:r w:rsidRPr="005E3B43">
        <w:rPr>
          <w:rStyle w:val="CharChapText"/>
        </w:rPr>
        <w:t>Fees</w:t>
      </w:r>
      <w:r w:rsidR="00E20BA4" w:rsidRPr="005E3B43">
        <w:rPr>
          <w:rStyle w:val="CharChapText"/>
        </w:rPr>
        <w:t>—</w:t>
      </w:r>
      <w:r w:rsidRPr="005E3B43">
        <w:rPr>
          <w:rStyle w:val="CharChapText"/>
        </w:rPr>
        <w:t>therapeutic goods other than biologicals</w:t>
      </w:r>
      <w:bookmarkEnd w:id="429"/>
    </w:p>
    <w:p w14:paraId="733FB0CF" w14:textId="77777777" w:rsidR="00E41BA5" w:rsidRPr="005E3B43" w:rsidRDefault="00E41BA5" w:rsidP="00763BCF">
      <w:pPr>
        <w:pStyle w:val="notemargin"/>
      </w:pPr>
      <w:r w:rsidRPr="005E3B43">
        <w:t>(regulation</w:t>
      </w:r>
      <w:r w:rsidR="004E6D00" w:rsidRPr="005E3B43">
        <w:t> </w:t>
      </w:r>
      <w:r w:rsidRPr="005E3B43">
        <w:t>43)</w:t>
      </w:r>
    </w:p>
    <w:p w14:paraId="6D6EFC98" w14:textId="77777777" w:rsidR="00630739" w:rsidRPr="005E3B43" w:rsidRDefault="00630739" w:rsidP="00763BCF">
      <w:pPr>
        <w:pStyle w:val="ActHead2"/>
      </w:pPr>
      <w:bookmarkStart w:id="430" w:name="_Toc187136020"/>
      <w:r w:rsidRPr="005E3B43">
        <w:rPr>
          <w:rStyle w:val="CharPartNo"/>
        </w:rPr>
        <w:t>Part</w:t>
      </w:r>
      <w:r w:rsidR="004E6D00" w:rsidRPr="005E3B43">
        <w:rPr>
          <w:rStyle w:val="CharPartNo"/>
        </w:rPr>
        <w:t> </w:t>
      </w:r>
      <w:r w:rsidRPr="005E3B43">
        <w:rPr>
          <w:rStyle w:val="CharPartNo"/>
        </w:rPr>
        <w:t>1</w:t>
      </w:r>
      <w:r w:rsidRPr="005E3B43">
        <w:t>—</w:t>
      </w:r>
      <w:r w:rsidRPr="005E3B43">
        <w:rPr>
          <w:rStyle w:val="CharPartText"/>
        </w:rPr>
        <w:t>Interpretation</w:t>
      </w:r>
      <w:bookmarkEnd w:id="430"/>
    </w:p>
    <w:p w14:paraId="55DD35C0" w14:textId="77777777" w:rsidR="00B46B77" w:rsidRPr="005E3B43" w:rsidRDefault="00B46B77" w:rsidP="00763BCF">
      <w:pPr>
        <w:pStyle w:val="Header"/>
        <w:tabs>
          <w:tab w:val="clear" w:pos="4150"/>
          <w:tab w:val="clear" w:pos="8307"/>
        </w:tabs>
      </w:pPr>
      <w:r w:rsidRPr="005E3B43">
        <w:rPr>
          <w:rStyle w:val="CharDivNo"/>
        </w:rPr>
        <w:t xml:space="preserve"> </w:t>
      </w:r>
      <w:r w:rsidRPr="005E3B43">
        <w:rPr>
          <w:rStyle w:val="CharDivText"/>
        </w:rPr>
        <w:t xml:space="preserve"> </w:t>
      </w:r>
    </w:p>
    <w:p w14:paraId="2263DB32" w14:textId="77777777" w:rsidR="00207B1C" w:rsidRPr="005E3B43" w:rsidRDefault="00207B1C" w:rsidP="00763BCF">
      <w:pPr>
        <w:pStyle w:val="ActHead5"/>
      </w:pPr>
      <w:bookmarkStart w:id="431" w:name="_Toc187136021"/>
      <w:r w:rsidRPr="005E3B43">
        <w:rPr>
          <w:rStyle w:val="CharSectno"/>
        </w:rPr>
        <w:t>1</w:t>
      </w:r>
      <w:r w:rsidR="00E20BA4" w:rsidRPr="005E3B43">
        <w:t xml:space="preserve">  </w:t>
      </w:r>
      <w:r w:rsidRPr="005E3B43">
        <w:t>Definitions</w:t>
      </w:r>
      <w:bookmarkEnd w:id="431"/>
    </w:p>
    <w:p w14:paraId="6BDCDBD6" w14:textId="77777777" w:rsidR="00207B1C" w:rsidRPr="005E3B43" w:rsidRDefault="00207B1C" w:rsidP="00763BCF">
      <w:pPr>
        <w:pStyle w:val="subsection"/>
      </w:pPr>
      <w:r w:rsidRPr="005E3B43">
        <w:tab/>
        <w:t>(1)</w:t>
      </w:r>
      <w:r w:rsidRPr="005E3B43">
        <w:tab/>
        <w:t>In this table:</w:t>
      </w:r>
    </w:p>
    <w:p w14:paraId="12EA964F" w14:textId="77777777" w:rsidR="00630739" w:rsidRPr="005E3B43" w:rsidRDefault="00630739" w:rsidP="00763BCF">
      <w:pPr>
        <w:pStyle w:val="Definition"/>
      </w:pPr>
      <w:r w:rsidRPr="005E3B43">
        <w:rPr>
          <w:b/>
          <w:i/>
        </w:rPr>
        <w:t>C1 (section</w:t>
      </w:r>
      <w:r w:rsidR="004E6D00" w:rsidRPr="005E3B43">
        <w:rPr>
          <w:b/>
          <w:i/>
        </w:rPr>
        <w:t> </w:t>
      </w:r>
      <w:r w:rsidRPr="005E3B43">
        <w:rPr>
          <w:b/>
          <w:i/>
        </w:rPr>
        <w:t>9D) application</w:t>
      </w:r>
      <w:r w:rsidRPr="005E3B43">
        <w:t xml:space="preserve"> means a request made under subsection</w:t>
      </w:r>
      <w:r w:rsidR="004E6D00" w:rsidRPr="005E3B43">
        <w:t> </w:t>
      </w:r>
      <w:r w:rsidRPr="005E3B43">
        <w:t>9D(1), (2) or (3) of the Act to vary information included in an entry in the Register for a registered OTC medicine, that is made in accordance with a form, and in the manner, approved by the Secretary under subsection</w:t>
      </w:r>
      <w:r w:rsidR="004E6D00" w:rsidRPr="005E3B43">
        <w:t> </w:t>
      </w:r>
      <w:r w:rsidRPr="005E3B43">
        <w:t>9D(6) of the Act for a C1 (section</w:t>
      </w:r>
      <w:r w:rsidR="004E6D00" w:rsidRPr="005E3B43">
        <w:t> </w:t>
      </w:r>
      <w:r w:rsidRPr="005E3B43">
        <w:t>9D) application.</w:t>
      </w:r>
    </w:p>
    <w:p w14:paraId="4C950806" w14:textId="77777777" w:rsidR="00630739" w:rsidRPr="005E3B43" w:rsidRDefault="00630739" w:rsidP="00763BCF">
      <w:pPr>
        <w:pStyle w:val="Definition"/>
      </w:pPr>
      <w:r w:rsidRPr="005E3B43">
        <w:rPr>
          <w:b/>
          <w:i/>
        </w:rPr>
        <w:t>C1 (</w:t>
      </w:r>
      <w:r w:rsidR="00FB7FAA" w:rsidRPr="005E3B43">
        <w:rPr>
          <w:b/>
          <w:i/>
        </w:rPr>
        <w:t>section 2</w:t>
      </w:r>
      <w:r w:rsidRPr="005E3B43">
        <w:rPr>
          <w:b/>
          <w:i/>
        </w:rPr>
        <w:t>3) application</w:t>
      </w:r>
      <w:r w:rsidRPr="005E3B43">
        <w:t xml:space="preserve"> means an application made under </w:t>
      </w:r>
      <w:r w:rsidR="00FB7FAA" w:rsidRPr="005E3B43">
        <w:t>section 2</w:t>
      </w:r>
      <w:r w:rsidR="003D4DF6" w:rsidRPr="005E3B43">
        <w:t>3 of the Act to register an OTC medicine that is made in accordance with the form, or in the manner, approved by the Secretary under</w:t>
      </w:r>
      <w:r w:rsidR="00894510" w:rsidRPr="005E3B43">
        <w:t xml:space="preserve"> </w:t>
      </w:r>
      <w:r w:rsidR="003D4DF6" w:rsidRPr="005E3B43">
        <w:t>paragraph</w:t>
      </w:r>
      <w:r w:rsidR="004E6D00" w:rsidRPr="005E3B43">
        <w:t> </w:t>
      </w:r>
      <w:r w:rsidR="003D4DF6" w:rsidRPr="005E3B43">
        <w:t>23B(2)(a)</w:t>
      </w:r>
      <w:r w:rsidRPr="005E3B43">
        <w:t xml:space="preserve"> of the Act for a C1 (</w:t>
      </w:r>
      <w:r w:rsidR="00FB7FAA" w:rsidRPr="005E3B43">
        <w:t>section 2</w:t>
      </w:r>
      <w:r w:rsidRPr="005E3B43">
        <w:t>3) application.</w:t>
      </w:r>
    </w:p>
    <w:p w14:paraId="0C61B848" w14:textId="77777777" w:rsidR="00630739" w:rsidRPr="005E3B43" w:rsidRDefault="00630739" w:rsidP="00763BCF">
      <w:pPr>
        <w:pStyle w:val="Definition"/>
      </w:pPr>
      <w:r w:rsidRPr="005E3B43">
        <w:rPr>
          <w:b/>
          <w:i/>
        </w:rPr>
        <w:t>C2 (section</w:t>
      </w:r>
      <w:r w:rsidR="004E6D00" w:rsidRPr="005E3B43">
        <w:rPr>
          <w:b/>
          <w:i/>
        </w:rPr>
        <w:t> </w:t>
      </w:r>
      <w:r w:rsidRPr="005E3B43">
        <w:rPr>
          <w:b/>
          <w:i/>
        </w:rPr>
        <w:t>9D) application</w:t>
      </w:r>
      <w:r w:rsidRPr="005E3B43">
        <w:t xml:space="preserve"> means a request made under subsection</w:t>
      </w:r>
      <w:r w:rsidR="004E6D00" w:rsidRPr="005E3B43">
        <w:t> </w:t>
      </w:r>
      <w:r w:rsidRPr="005E3B43">
        <w:t>9D(3) of the Act to vary information included in an entry in the Register for a registered OTC medicine, that is made in accordance with a form, and in the manner, approved by the Secretary under subsection</w:t>
      </w:r>
      <w:r w:rsidR="004E6D00" w:rsidRPr="005E3B43">
        <w:t> </w:t>
      </w:r>
      <w:r w:rsidRPr="005E3B43">
        <w:t>9D(6) of the Act for a C2 (section</w:t>
      </w:r>
      <w:r w:rsidR="004E6D00" w:rsidRPr="005E3B43">
        <w:t> </w:t>
      </w:r>
      <w:r w:rsidRPr="005E3B43">
        <w:t>9D) application.</w:t>
      </w:r>
    </w:p>
    <w:p w14:paraId="1BE75D6D" w14:textId="77777777" w:rsidR="00630739" w:rsidRPr="005E3B43" w:rsidRDefault="00630739" w:rsidP="00763BCF">
      <w:pPr>
        <w:pStyle w:val="Definition"/>
      </w:pPr>
      <w:r w:rsidRPr="005E3B43">
        <w:rPr>
          <w:b/>
          <w:i/>
        </w:rPr>
        <w:t>C2 (</w:t>
      </w:r>
      <w:r w:rsidR="00FB7FAA" w:rsidRPr="005E3B43">
        <w:rPr>
          <w:b/>
          <w:i/>
        </w:rPr>
        <w:t>section 2</w:t>
      </w:r>
      <w:r w:rsidRPr="005E3B43">
        <w:rPr>
          <w:b/>
          <w:i/>
        </w:rPr>
        <w:t>3) application</w:t>
      </w:r>
      <w:r w:rsidRPr="005E3B43">
        <w:t xml:space="preserve"> means an application made under </w:t>
      </w:r>
      <w:r w:rsidR="00FB7FAA" w:rsidRPr="005E3B43">
        <w:t>section 2</w:t>
      </w:r>
      <w:r w:rsidR="003D4DF6" w:rsidRPr="005E3B43">
        <w:t>3 of the Act to register an OTC medicine that is made in accordance with the form, or in the manner, approved by the Secretary under paragraph</w:t>
      </w:r>
      <w:r w:rsidR="004E6D00" w:rsidRPr="005E3B43">
        <w:t> </w:t>
      </w:r>
      <w:r w:rsidR="003D4DF6" w:rsidRPr="005E3B43">
        <w:t>23B(2)(a)</w:t>
      </w:r>
      <w:r w:rsidRPr="005E3B43">
        <w:t xml:space="preserve"> of the Act for a C2 (</w:t>
      </w:r>
      <w:r w:rsidR="00FB7FAA" w:rsidRPr="005E3B43">
        <w:t>section 2</w:t>
      </w:r>
      <w:r w:rsidRPr="005E3B43">
        <w:t>3) application.</w:t>
      </w:r>
    </w:p>
    <w:p w14:paraId="15F7EC14" w14:textId="77777777" w:rsidR="00630739" w:rsidRPr="005E3B43" w:rsidRDefault="00630739" w:rsidP="00763BCF">
      <w:pPr>
        <w:pStyle w:val="Definition"/>
      </w:pPr>
      <w:r w:rsidRPr="005E3B43">
        <w:rPr>
          <w:b/>
          <w:i/>
        </w:rPr>
        <w:t>C3 (section</w:t>
      </w:r>
      <w:r w:rsidR="004E6D00" w:rsidRPr="005E3B43">
        <w:rPr>
          <w:b/>
          <w:i/>
        </w:rPr>
        <w:t> </w:t>
      </w:r>
      <w:r w:rsidRPr="005E3B43">
        <w:rPr>
          <w:b/>
          <w:i/>
        </w:rPr>
        <w:t>9D) application</w:t>
      </w:r>
      <w:r w:rsidRPr="005E3B43">
        <w:t xml:space="preserve"> means a request made under subsection</w:t>
      </w:r>
      <w:r w:rsidR="004E6D00" w:rsidRPr="005E3B43">
        <w:t> </w:t>
      </w:r>
      <w:r w:rsidRPr="005E3B43">
        <w:t>9D(3) of the Act to vary information included in an entry in the Register for a registered OTC medicine, that is made in accordance with a form, and in the manner, approved by the Secretary under subsection</w:t>
      </w:r>
      <w:r w:rsidR="004E6D00" w:rsidRPr="005E3B43">
        <w:t> </w:t>
      </w:r>
      <w:r w:rsidRPr="005E3B43">
        <w:t>9D(6) of the Act for a C3 (section</w:t>
      </w:r>
      <w:r w:rsidR="004E6D00" w:rsidRPr="005E3B43">
        <w:t> </w:t>
      </w:r>
      <w:r w:rsidRPr="005E3B43">
        <w:t>9D) application.</w:t>
      </w:r>
    </w:p>
    <w:p w14:paraId="632867B2" w14:textId="77777777" w:rsidR="00630739" w:rsidRPr="005E3B43" w:rsidRDefault="00630739" w:rsidP="00763BCF">
      <w:pPr>
        <w:pStyle w:val="Definition"/>
      </w:pPr>
      <w:r w:rsidRPr="005E3B43">
        <w:rPr>
          <w:b/>
          <w:i/>
        </w:rPr>
        <w:t>C3 (</w:t>
      </w:r>
      <w:r w:rsidR="00FB7FAA" w:rsidRPr="005E3B43">
        <w:rPr>
          <w:b/>
          <w:i/>
        </w:rPr>
        <w:t>section 2</w:t>
      </w:r>
      <w:r w:rsidRPr="005E3B43">
        <w:rPr>
          <w:b/>
          <w:i/>
        </w:rPr>
        <w:t>3) application</w:t>
      </w:r>
      <w:r w:rsidRPr="005E3B43">
        <w:t xml:space="preserve"> means an application made under </w:t>
      </w:r>
      <w:r w:rsidR="00FB7FAA" w:rsidRPr="005E3B43">
        <w:t>section 2</w:t>
      </w:r>
      <w:r w:rsidR="003D4DF6" w:rsidRPr="005E3B43">
        <w:t>3 of the Act to register an OTC medicine that is made in accordance with the form, or in the manner, approved by the Secretary under paragraph</w:t>
      </w:r>
      <w:r w:rsidR="004E6D00" w:rsidRPr="005E3B43">
        <w:t> </w:t>
      </w:r>
      <w:r w:rsidR="003D4DF6" w:rsidRPr="005E3B43">
        <w:t>23B(2)(a)</w:t>
      </w:r>
      <w:r w:rsidRPr="005E3B43">
        <w:t xml:space="preserve"> of the Act for a C3 (</w:t>
      </w:r>
      <w:r w:rsidR="00FB7FAA" w:rsidRPr="005E3B43">
        <w:t>section 2</w:t>
      </w:r>
      <w:r w:rsidRPr="005E3B43">
        <w:t>3) application.</w:t>
      </w:r>
    </w:p>
    <w:p w14:paraId="201F0CDB" w14:textId="77777777" w:rsidR="00630739" w:rsidRPr="005E3B43" w:rsidRDefault="00630739" w:rsidP="00763BCF">
      <w:pPr>
        <w:pStyle w:val="Definition"/>
      </w:pPr>
      <w:r w:rsidRPr="005E3B43">
        <w:rPr>
          <w:b/>
          <w:i/>
        </w:rPr>
        <w:t>C4 (section</w:t>
      </w:r>
      <w:r w:rsidR="004E6D00" w:rsidRPr="005E3B43">
        <w:rPr>
          <w:b/>
          <w:i/>
        </w:rPr>
        <w:t> </w:t>
      </w:r>
      <w:r w:rsidRPr="005E3B43">
        <w:rPr>
          <w:b/>
          <w:i/>
        </w:rPr>
        <w:t>9D) application</w:t>
      </w:r>
      <w:r w:rsidRPr="005E3B43">
        <w:t xml:space="preserve"> means a request made under subsection</w:t>
      </w:r>
      <w:r w:rsidR="004E6D00" w:rsidRPr="005E3B43">
        <w:t> </w:t>
      </w:r>
      <w:r w:rsidRPr="005E3B43">
        <w:t>9D(3) of the Act to vary information included in an entry in the Register for a registered OTC medicine, that is made in accordance with a form, and in the manner, approved by the Secretary under subsection</w:t>
      </w:r>
      <w:r w:rsidR="004E6D00" w:rsidRPr="005E3B43">
        <w:t> </w:t>
      </w:r>
      <w:r w:rsidRPr="005E3B43">
        <w:t>9D(6) of the Act for a C4 (section</w:t>
      </w:r>
      <w:r w:rsidR="004E6D00" w:rsidRPr="005E3B43">
        <w:t> </w:t>
      </w:r>
      <w:r w:rsidRPr="005E3B43">
        <w:t>9D) application.</w:t>
      </w:r>
    </w:p>
    <w:p w14:paraId="623CE454" w14:textId="77777777" w:rsidR="00630739" w:rsidRPr="005E3B43" w:rsidRDefault="00630739" w:rsidP="00763BCF">
      <w:pPr>
        <w:pStyle w:val="Definition"/>
      </w:pPr>
      <w:r w:rsidRPr="005E3B43">
        <w:rPr>
          <w:b/>
          <w:i/>
        </w:rPr>
        <w:lastRenderedPageBreak/>
        <w:t>C4 (</w:t>
      </w:r>
      <w:r w:rsidR="00FB7FAA" w:rsidRPr="005E3B43">
        <w:rPr>
          <w:b/>
          <w:i/>
        </w:rPr>
        <w:t>section 2</w:t>
      </w:r>
      <w:r w:rsidRPr="005E3B43">
        <w:rPr>
          <w:b/>
          <w:i/>
        </w:rPr>
        <w:t>3) application</w:t>
      </w:r>
      <w:r w:rsidRPr="005E3B43">
        <w:t xml:space="preserve"> means an application made under </w:t>
      </w:r>
      <w:r w:rsidR="00FB7FAA" w:rsidRPr="005E3B43">
        <w:t>section 2</w:t>
      </w:r>
      <w:r w:rsidR="003D4DF6" w:rsidRPr="005E3B43">
        <w:t>3 of the Act to register an OTC medicine that is made in accordance with the form, or in the manner, approved by the Secretary under paragraph</w:t>
      </w:r>
      <w:r w:rsidR="004E6D00" w:rsidRPr="005E3B43">
        <w:t> </w:t>
      </w:r>
      <w:r w:rsidR="003D4DF6" w:rsidRPr="005E3B43">
        <w:t>23B(2)(a) of the Act for a C4</w:t>
      </w:r>
      <w:r w:rsidRPr="005E3B43">
        <w:t xml:space="preserve"> (</w:t>
      </w:r>
      <w:r w:rsidR="00FB7FAA" w:rsidRPr="005E3B43">
        <w:t>section 2</w:t>
      </w:r>
      <w:r w:rsidRPr="005E3B43">
        <w:t>3) application.</w:t>
      </w:r>
    </w:p>
    <w:p w14:paraId="55106240" w14:textId="66F565B3" w:rsidR="00207B1C" w:rsidRPr="005E3B43" w:rsidRDefault="00207B1C" w:rsidP="00763BCF">
      <w:pPr>
        <w:pStyle w:val="Definition"/>
      </w:pPr>
      <w:r w:rsidRPr="005E3B43">
        <w:rPr>
          <w:b/>
          <w:bCs/>
          <w:i/>
          <w:iCs/>
        </w:rPr>
        <w:t>haematopoietic progenitor cells</w:t>
      </w:r>
      <w:r w:rsidRPr="005E3B43">
        <w:rPr>
          <w:b/>
          <w:i/>
        </w:rPr>
        <w:t xml:space="preserve"> </w:t>
      </w:r>
      <w:r w:rsidRPr="005E3B43">
        <w:t>means primitive pluripotent haematopoietic cells capable of self</w:t>
      </w:r>
      <w:r w:rsidR="007C3215">
        <w:noBreakHyphen/>
      </w:r>
      <w:r w:rsidRPr="005E3B43">
        <w:t>renewal as well as maturation into any of the haematopoietic lineages, including committed and lineage</w:t>
      </w:r>
      <w:r w:rsidR="007C3215">
        <w:noBreakHyphen/>
      </w:r>
      <w:r w:rsidRPr="005E3B43">
        <w:t>restricted progenitor cells.</w:t>
      </w:r>
    </w:p>
    <w:p w14:paraId="70961520" w14:textId="77777777" w:rsidR="00207B1C" w:rsidRPr="005E3B43" w:rsidRDefault="00207B1C" w:rsidP="00763BCF">
      <w:pPr>
        <w:pStyle w:val="Definition"/>
      </w:pPr>
      <w:r w:rsidRPr="005E3B43">
        <w:rPr>
          <w:b/>
          <w:i/>
        </w:rPr>
        <w:t>major variation</w:t>
      </w:r>
      <w:r w:rsidRPr="005E3B43">
        <w:t>, for therapeutic goods of a particular kind, means a change to:</w:t>
      </w:r>
    </w:p>
    <w:p w14:paraId="48B571B3" w14:textId="77777777" w:rsidR="00207B1C" w:rsidRPr="005E3B43" w:rsidRDefault="00207B1C" w:rsidP="00763BCF">
      <w:pPr>
        <w:pStyle w:val="paragraph"/>
      </w:pPr>
      <w:r w:rsidRPr="005E3B43">
        <w:tab/>
        <w:t>(a)</w:t>
      </w:r>
      <w:r w:rsidRPr="005E3B43">
        <w:tab/>
        <w:t>the strength, as recorded in the entry in the Register; or</w:t>
      </w:r>
    </w:p>
    <w:p w14:paraId="73D7AA47" w14:textId="77777777" w:rsidR="00207B1C" w:rsidRPr="005E3B43" w:rsidRDefault="00207B1C" w:rsidP="00763BCF">
      <w:pPr>
        <w:pStyle w:val="paragraph"/>
      </w:pPr>
      <w:r w:rsidRPr="005E3B43">
        <w:tab/>
        <w:t>(b)</w:t>
      </w:r>
      <w:r w:rsidRPr="005E3B43">
        <w:tab/>
        <w:t>the dosage, the recommended dose regimen or the maximum daily dose; or</w:t>
      </w:r>
    </w:p>
    <w:p w14:paraId="33AC6639" w14:textId="77777777" w:rsidR="00207B1C" w:rsidRPr="005E3B43" w:rsidRDefault="00207B1C" w:rsidP="00763BCF">
      <w:pPr>
        <w:pStyle w:val="paragraph"/>
      </w:pPr>
      <w:r w:rsidRPr="005E3B43">
        <w:tab/>
        <w:t>(c)</w:t>
      </w:r>
      <w:r w:rsidRPr="005E3B43">
        <w:tab/>
        <w:t>the dosage form; or</w:t>
      </w:r>
    </w:p>
    <w:p w14:paraId="77DA5911" w14:textId="77777777" w:rsidR="00207B1C" w:rsidRPr="005E3B43" w:rsidRDefault="00207B1C" w:rsidP="00763BCF">
      <w:pPr>
        <w:pStyle w:val="paragraph"/>
      </w:pPr>
      <w:r w:rsidRPr="005E3B43">
        <w:tab/>
        <w:t>(d)</w:t>
      </w:r>
      <w:r w:rsidRPr="005E3B43">
        <w:tab/>
        <w:t>the route of administration; or</w:t>
      </w:r>
    </w:p>
    <w:p w14:paraId="0E97E281" w14:textId="77777777" w:rsidR="00207B1C" w:rsidRPr="005E3B43" w:rsidRDefault="00207B1C" w:rsidP="00763BCF">
      <w:pPr>
        <w:pStyle w:val="paragraph"/>
      </w:pPr>
      <w:r w:rsidRPr="005E3B43">
        <w:tab/>
        <w:t>(e)</w:t>
      </w:r>
      <w:r w:rsidRPr="005E3B43">
        <w:tab/>
        <w:t>the intended patient group.</w:t>
      </w:r>
    </w:p>
    <w:p w14:paraId="73D9361E" w14:textId="77777777" w:rsidR="00207B1C" w:rsidRPr="005E3B43" w:rsidRDefault="00207B1C" w:rsidP="00763BCF">
      <w:pPr>
        <w:pStyle w:val="Definition"/>
      </w:pPr>
      <w:r w:rsidRPr="005E3B43">
        <w:rPr>
          <w:b/>
          <w:i/>
        </w:rPr>
        <w:t>minor variation</w:t>
      </w:r>
      <w:r w:rsidRPr="005E3B43">
        <w:t>, for therapeutic goods of a particular kind, means a change (other than a change that is a major variation) to:</w:t>
      </w:r>
    </w:p>
    <w:p w14:paraId="6EFE1322" w14:textId="77777777" w:rsidR="00207B1C" w:rsidRPr="005E3B43" w:rsidRDefault="00207B1C" w:rsidP="00763BCF">
      <w:pPr>
        <w:pStyle w:val="paragraph"/>
      </w:pPr>
      <w:r w:rsidRPr="005E3B43">
        <w:tab/>
        <w:t>(a)</w:t>
      </w:r>
      <w:r w:rsidRPr="005E3B43">
        <w:tab/>
        <w:t>the formulation, composition or design specification; or</w:t>
      </w:r>
    </w:p>
    <w:p w14:paraId="2430F178" w14:textId="77777777" w:rsidR="00207B1C" w:rsidRPr="005E3B43" w:rsidRDefault="00207B1C" w:rsidP="00763BCF">
      <w:pPr>
        <w:pStyle w:val="paragraph"/>
      </w:pPr>
      <w:r w:rsidRPr="005E3B43">
        <w:tab/>
        <w:t>(b)</w:t>
      </w:r>
      <w:r w:rsidRPr="005E3B43">
        <w:tab/>
        <w:t>the container for the goods; or</w:t>
      </w:r>
    </w:p>
    <w:p w14:paraId="04AC54A6" w14:textId="77777777" w:rsidR="00207B1C" w:rsidRPr="005E3B43" w:rsidRDefault="00207B1C" w:rsidP="00763BCF">
      <w:pPr>
        <w:pStyle w:val="paragraph"/>
      </w:pPr>
      <w:r w:rsidRPr="005E3B43">
        <w:tab/>
        <w:t>(c)</w:t>
      </w:r>
      <w:r w:rsidRPr="005E3B43">
        <w:tab/>
        <w:t>any other attribute of the goods that results in the goods being separate and distinct.</w:t>
      </w:r>
    </w:p>
    <w:p w14:paraId="623825CA" w14:textId="77777777" w:rsidR="00630739" w:rsidRPr="005E3B43" w:rsidRDefault="00630739" w:rsidP="00763BCF">
      <w:pPr>
        <w:pStyle w:val="Definition"/>
      </w:pPr>
      <w:r w:rsidRPr="005E3B43">
        <w:rPr>
          <w:b/>
          <w:i/>
        </w:rPr>
        <w:t>N1 application</w:t>
      </w:r>
      <w:r w:rsidRPr="005E3B43">
        <w:t xml:space="preserve"> means an application made under </w:t>
      </w:r>
      <w:r w:rsidR="00FB7FAA" w:rsidRPr="005E3B43">
        <w:t>section 2</w:t>
      </w:r>
      <w:r w:rsidR="003D4DF6" w:rsidRPr="005E3B43">
        <w:t>3 of the Act to register an OTC medicine that is made in accordance with the form, or in the manner, approved by the Secretary under paragraph</w:t>
      </w:r>
      <w:r w:rsidR="004E6D00" w:rsidRPr="005E3B43">
        <w:t> </w:t>
      </w:r>
      <w:r w:rsidR="003D4DF6" w:rsidRPr="005E3B43">
        <w:t>23B(2)(a)</w:t>
      </w:r>
      <w:r w:rsidRPr="005E3B43">
        <w:t xml:space="preserve"> of the Act for an N1 application.</w:t>
      </w:r>
    </w:p>
    <w:p w14:paraId="1F0EAD26" w14:textId="77777777" w:rsidR="00630739" w:rsidRPr="005E3B43" w:rsidRDefault="00630739" w:rsidP="00763BCF">
      <w:pPr>
        <w:pStyle w:val="Definition"/>
      </w:pPr>
      <w:r w:rsidRPr="005E3B43">
        <w:rPr>
          <w:b/>
          <w:i/>
        </w:rPr>
        <w:t>N2 application</w:t>
      </w:r>
      <w:r w:rsidRPr="005E3B43">
        <w:t xml:space="preserve"> means an application made under </w:t>
      </w:r>
      <w:r w:rsidR="00FB7FAA" w:rsidRPr="005E3B43">
        <w:t>section 2</w:t>
      </w:r>
      <w:r w:rsidR="003D4DF6" w:rsidRPr="005E3B43">
        <w:t>3 of the Act to register an OTC medicine that is made in accordance with the form, or in the manner, approved by the Secretary under paragraph</w:t>
      </w:r>
      <w:r w:rsidR="004E6D00" w:rsidRPr="005E3B43">
        <w:t> </w:t>
      </w:r>
      <w:r w:rsidR="003D4DF6" w:rsidRPr="005E3B43">
        <w:t>23B(2)(a)</w:t>
      </w:r>
      <w:r w:rsidRPr="005E3B43">
        <w:t xml:space="preserve"> of the Act for an N2 application.</w:t>
      </w:r>
    </w:p>
    <w:p w14:paraId="11153A76" w14:textId="77777777" w:rsidR="00630739" w:rsidRPr="005E3B43" w:rsidRDefault="00630739" w:rsidP="00763BCF">
      <w:pPr>
        <w:pStyle w:val="Definition"/>
      </w:pPr>
      <w:r w:rsidRPr="005E3B43">
        <w:rPr>
          <w:b/>
          <w:i/>
        </w:rPr>
        <w:t>N3 application</w:t>
      </w:r>
      <w:r w:rsidRPr="005E3B43">
        <w:t xml:space="preserve"> means an application made under </w:t>
      </w:r>
      <w:r w:rsidR="00FB7FAA" w:rsidRPr="005E3B43">
        <w:t>section 2</w:t>
      </w:r>
      <w:r w:rsidR="003D4DF6" w:rsidRPr="005E3B43">
        <w:t>3 of the Act to register an OTC medicine that is made in accordance with the form, or in the manner, approved by the Secretary under paragraph</w:t>
      </w:r>
      <w:r w:rsidR="004E6D00" w:rsidRPr="005E3B43">
        <w:t> </w:t>
      </w:r>
      <w:r w:rsidR="003D4DF6" w:rsidRPr="005E3B43">
        <w:t>23B(2)(a)</w:t>
      </w:r>
      <w:r w:rsidRPr="005E3B43">
        <w:t xml:space="preserve"> of the Act for an N3 application.</w:t>
      </w:r>
    </w:p>
    <w:p w14:paraId="7670886C" w14:textId="77777777" w:rsidR="00630739" w:rsidRPr="005E3B43" w:rsidRDefault="00630739" w:rsidP="00763BCF">
      <w:pPr>
        <w:pStyle w:val="Definition"/>
      </w:pPr>
      <w:r w:rsidRPr="005E3B43">
        <w:rPr>
          <w:b/>
          <w:i/>
        </w:rPr>
        <w:t>N4 application</w:t>
      </w:r>
      <w:r w:rsidRPr="005E3B43">
        <w:t xml:space="preserve"> means an application made under </w:t>
      </w:r>
      <w:r w:rsidR="00FB7FAA" w:rsidRPr="005E3B43">
        <w:t>section 2</w:t>
      </w:r>
      <w:r w:rsidR="003D4DF6" w:rsidRPr="005E3B43">
        <w:t>3 of the Act to register an OTC medicine that is made in accordance with the form, or in the manner, approved by the Secretary under paragraph</w:t>
      </w:r>
      <w:r w:rsidR="004E6D00" w:rsidRPr="005E3B43">
        <w:t> </w:t>
      </w:r>
      <w:r w:rsidR="003D4DF6" w:rsidRPr="005E3B43">
        <w:t>23B(2)(a)</w:t>
      </w:r>
      <w:r w:rsidRPr="005E3B43">
        <w:t xml:space="preserve"> of the Act for an N4 application.</w:t>
      </w:r>
    </w:p>
    <w:p w14:paraId="562E82FB" w14:textId="77777777" w:rsidR="00630739" w:rsidRPr="005E3B43" w:rsidRDefault="00630739" w:rsidP="00763BCF">
      <w:pPr>
        <w:pStyle w:val="Definition"/>
      </w:pPr>
      <w:r w:rsidRPr="005E3B43">
        <w:rPr>
          <w:b/>
          <w:i/>
        </w:rPr>
        <w:t>N5 application</w:t>
      </w:r>
      <w:r w:rsidRPr="005E3B43">
        <w:t xml:space="preserve"> means an application made under </w:t>
      </w:r>
      <w:r w:rsidR="00FB7FAA" w:rsidRPr="005E3B43">
        <w:t>section 2</w:t>
      </w:r>
      <w:r w:rsidR="003D4DF6" w:rsidRPr="005E3B43">
        <w:t>3 of the Act to register an OTC medicine that is made in accordance with the form, or in the manner, approved by the Secretary under paragraph</w:t>
      </w:r>
      <w:r w:rsidR="004E6D00" w:rsidRPr="005E3B43">
        <w:t> </w:t>
      </w:r>
      <w:r w:rsidR="003D4DF6" w:rsidRPr="005E3B43">
        <w:t>23B(2)(a)</w:t>
      </w:r>
      <w:r w:rsidRPr="005E3B43">
        <w:t xml:space="preserve"> of the Act for an N5 application.</w:t>
      </w:r>
    </w:p>
    <w:p w14:paraId="5163B8D0" w14:textId="77777777" w:rsidR="00207B1C" w:rsidRPr="005E3B43" w:rsidRDefault="00207B1C" w:rsidP="00E14879">
      <w:pPr>
        <w:pStyle w:val="Definition"/>
        <w:keepNext/>
      </w:pPr>
      <w:r w:rsidRPr="005E3B43">
        <w:rPr>
          <w:b/>
          <w:i/>
        </w:rPr>
        <w:lastRenderedPageBreak/>
        <w:t xml:space="preserve">new chemical entity </w:t>
      </w:r>
      <w:r w:rsidRPr="005E3B43">
        <w:t>means:</w:t>
      </w:r>
    </w:p>
    <w:p w14:paraId="79B5F766" w14:textId="77777777" w:rsidR="00207B1C" w:rsidRPr="005E3B43" w:rsidRDefault="00207B1C" w:rsidP="00763BCF">
      <w:pPr>
        <w:pStyle w:val="paragraph"/>
      </w:pPr>
      <w:r w:rsidRPr="005E3B43">
        <w:tab/>
        <w:t>(a)</w:t>
      </w:r>
      <w:r w:rsidRPr="005E3B43">
        <w:tab/>
        <w:t>a chemical, biological or radiopharmaceutical substance that has not previously been included in the Register; or</w:t>
      </w:r>
    </w:p>
    <w:p w14:paraId="54E0FD36" w14:textId="77777777" w:rsidR="00207B1C" w:rsidRPr="005E3B43" w:rsidRDefault="00207B1C" w:rsidP="00763BCF">
      <w:pPr>
        <w:pStyle w:val="paragraph"/>
      </w:pPr>
      <w:r w:rsidRPr="005E3B43">
        <w:tab/>
        <w:t>(b)</w:t>
      </w:r>
      <w:r w:rsidRPr="005E3B43">
        <w:tab/>
        <w:t>an isomer, mixture of isomers, complex of, derivative of or salt of, a registered chemical substance that, having previously been included in the Register, differs from the registered substance in having different safety or efficacy properties; or</w:t>
      </w:r>
    </w:p>
    <w:p w14:paraId="565EF5E1" w14:textId="77777777" w:rsidR="00207B1C" w:rsidRPr="005E3B43" w:rsidRDefault="00207B1C" w:rsidP="00763BCF">
      <w:pPr>
        <w:pStyle w:val="paragraph"/>
      </w:pPr>
      <w:r w:rsidRPr="005E3B43">
        <w:tab/>
        <w:t>(c)</w:t>
      </w:r>
      <w:r w:rsidRPr="005E3B43">
        <w:tab/>
        <w:t>a biological substance that, having previously been included in the Register, differs from the registered substance:</w:t>
      </w:r>
    </w:p>
    <w:p w14:paraId="140B9CD8" w14:textId="77777777" w:rsidR="00207B1C" w:rsidRPr="005E3B43" w:rsidRDefault="00207B1C" w:rsidP="00763BCF">
      <w:pPr>
        <w:pStyle w:val="paragraphsub"/>
      </w:pPr>
      <w:r w:rsidRPr="005E3B43">
        <w:tab/>
        <w:t>(i)</w:t>
      </w:r>
      <w:r w:rsidRPr="005E3B43">
        <w:tab/>
        <w:t>in having a different molecular structure; or</w:t>
      </w:r>
    </w:p>
    <w:p w14:paraId="1C8CD7B9" w14:textId="77777777" w:rsidR="00207B1C" w:rsidRPr="005E3B43" w:rsidRDefault="00207B1C" w:rsidP="00763BCF">
      <w:pPr>
        <w:pStyle w:val="paragraphsub"/>
      </w:pPr>
      <w:r w:rsidRPr="005E3B43">
        <w:tab/>
        <w:t>(ii)</w:t>
      </w:r>
      <w:r w:rsidRPr="005E3B43">
        <w:tab/>
        <w:t>in deriving from source material of a different nature or from a different manufacturing process; or</w:t>
      </w:r>
    </w:p>
    <w:p w14:paraId="623C9219" w14:textId="77777777" w:rsidR="00207B1C" w:rsidRPr="005E3B43" w:rsidRDefault="00207B1C" w:rsidP="00763BCF">
      <w:pPr>
        <w:pStyle w:val="paragraph"/>
      </w:pPr>
      <w:r w:rsidRPr="005E3B43">
        <w:tab/>
        <w:t>(d)</w:t>
      </w:r>
      <w:r w:rsidRPr="005E3B43">
        <w:tab/>
        <w:t xml:space="preserve">a radiopharmaceutical substance that: </w:t>
      </w:r>
    </w:p>
    <w:p w14:paraId="48BDA445" w14:textId="77777777" w:rsidR="00207B1C" w:rsidRPr="005E3B43" w:rsidRDefault="00207B1C" w:rsidP="00763BCF">
      <w:pPr>
        <w:pStyle w:val="paragraphsub"/>
      </w:pPr>
      <w:r w:rsidRPr="005E3B43">
        <w:tab/>
        <w:t>(i)</w:t>
      </w:r>
      <w:r w:rsidRPr="005E3B43">
        <w:tab/>
        <w:t>is a radionucleide or ligand that has not previously been included in the Register; or</w:t>
      </w:r>
    </w:p>
    <w:p w14:paraId="2E53C714" w14:textId="77777777" w:rsidR="00207B1C" w:rsidRPr="005E3B43" w:rsidRDefault="00207B1C" w:rsidP="00763BCF">
      <w:pPr>
        <w:pStyle w:val="paragraphsub"/>
      </w:pPr>
      <w:r w:rsidRPr="005E3B43">
        <w:tab/>
        <w:t>(ii)</w:t>
      </w:r>
      <w:r w:rsidRPr="005E3B43">
        <w:tab/>
        <w:t>has a coupling mechanism, linking the molecule and radionucleide, that has not previously been included in the Register; or</w:t>
      </w:r>
    </w:p>
    <w:p w14:paraId="5F092633" w14:textId="77777777" w:rsidR="00207B1C" w:rsidRPr="005E3B43" w:rsidRDefault="00207B1C" w:rsidP="00763BCF">
      <w:pPr>
        <w:pStyle w:val="paragraph"/>
      </w:pPr>
      <w:r w:rsidRPr="005E3B43">
        <w:tab/>
        <w:t>(e)</w:t>
      </w:r>
      <w:r w:rsidRPr="005E3B43">
        <w:tab/>
        <w:t>a fixed combination of active substances that have not previously been included in the Register as that fixed combination.</w:t>
      </w:r>
    </w:p>
    <w:p w14:paraId="7D0B6DDB" w14:textId="77777777" w:rsidR="00207B1C" w:rsidRPr="005E3B43" w:rsidRDefault="00207B1C" w:rsidP="00763BCF">
      <w:pPr>
        <w:pStyle w:val="Definition"/>
      </w:pPr>
      <w:r w:rsidRPr="005E3B43">
        <w:rPr>
          <w:b/>
          <w:i/>
        </w:rPr>
        <w:t xml:space="preserve">page </w:t>
      </w:r>
      <w:r w:rsidRPr="005E3B43">
        <w:t>means:</w:t>
      </w:r>
    </w:p>
    <w:p w14:paraId="3A826A03" w14:textId="77777777" w:rsidR="00207B1C" w:rsidRPr="005E3B43" w:rsidRDefault="00207B1C" w:rsidP="00763BCF">
      <w:pPr>
        <w:pStyle w:val="paragraph"/>
      </w:pPr>
      <w:r w:rsidRPr="005E3B43">
        <w:tab/>
        <w:t>(a)</w:t>
      </w:r>
      <w:r w:rsidRPr="005E3B43">
        <w:tab/>
        <w:t>a legible photocopy of 1 side of 1 leaf of a published work, diagram or chart; or</w:t>
      </w:r>
    </w:p>
    <w:p w14:paraId="3829CDE1" w14:textId="77777777" w:rsidR="00207B1C" w:rsidRPr="005E3B43" w:rsidRDefault="00207B1C" w:rsidP="00763BCF">
      <w:pPr>
        <w:pStyle w:val="paragraph"/>
      </w:pPr>
      <w:r w:rsidRPr="005E3B43">
        <w:tab/>
        <w:t>(b)</w:t>
      </w:r>
      <w:r w:rsidRPr="005E3B43">
        <w:tab/>
        <w:t>in respect of any other work</w:t>
      </w:r>
      <w:r w:rsidR="00E20BA4" w:rsidRPr="005E3B43">
        <w:t>—</w:t>
      </w:r>
      <w:r w:rsidRPr="005E3B43">
        <w:t>1 side o</w:t>
      </w:r>
      <w:r w:rsidR="00EE3EEC" w:rsidRPr="005E3B43">
        <w:t>f 1 leaf (or a copy of 1 </w:t>
      </w:r>
      <w:r w:rsidRPr="005E3B43">
        <w:t>side of 1 leaf):</w:t>
      </w:r>
    </w:p>
    <w:p w14:paraId="36CC13F2" w14:textId="77777777" w:rsidR="00207B1C" w:rsidRPr="005E3B43" w:rsidRDefault="00207B1C" w:rsidP="00763BCF">
      <w:pPr>
        <w:pStyle w:val="paragraphsub"/>
      </w:pPr>
      <w:r w:rsidRPr="005E3B43">
        <w:tab/>
        <w:t>(i)</w:t>
      </w:r>
      <w:r w:rsidRPr="005E3B43">
        <w:tab/>
        <w:t>that has a maximum length of 297 millimetres and a maximum width of 210 millimetres; and</w:t>
      </w:r>
    </w:p>
    <w:p w14:paraId="4E25F145" w14:textId="3C148006" w:rsidR="00207B1C" w:rsidRPr="005E3B43" w:rsidRDefault="00207B1C" w:rsidP="00763BCF">
      <w:pPr>
        <w:pStyle w:val="paragraphsub"/>
      </w:pPr>
      <w:r w:rsidRPr="005E3B43">
        <w:tab/>
        <w:t>(ii)</w:t>
      </w:r>
      <w:r w:rsidRPr="005E3B43">
        <w:tab/>
        <w:t>that has a left</w:t>
      </w:r>
      <w:r w:rsidR="007C3215">
        <w:noBreakHyphen/>
      </w:r>
      <w:r w:rsidRPr="005E3B43">
        <w:t>hand margin that is at least 25 millimetres in width; and</w:t>
      </w:r>
    </w:p>
    <w:p w14:paraId="20A5D369" w14:textId="77777777" w:rsidR="00207B1C" w:rsidRPr="005E3B43" w:rsidRDefault="00207B1C" w:rsidP="00763BCF">
      <w:pPr>
        <w:pStyle w:val="paragraphsub"/>
      </w:pPr>
      <w:r w:rsidRPr="005E3B43">
        <w:tab/>
        <w:t>(iii)</w:t>
      </w:r>
      <w:r w:rsidRPr="005E3B43">
        <w:tab/>
        <w:t>the information on which is typed or printed in legible characters at least 8 points in size; and</w:t>
      </w:r>
    </w:p>
    <w:p w14:paraId="14AC39D7" w14:textId="77777777" w:rsidR="00207B1C" w:rsidRPr="005E3B43" w:rsidRDefault="00207B1C" w:rsidP="00763BCF">
      <w:pPr>
        <w:pStyle w:val="paragraphsub"/>
      </w:pPr>
      <w:r w:rsidRPr="005E3B43">
        <w:tab/>
        <w:t>(iv)</w:t>
      </w:r>
      <w:r w:rsidRPr="005E3B43">
        <w:tab/>
        <w:t>that, if it is part of a document exceeding 1 page in length</w:t>
      </w:r>
      <w:r w:rsidR="00E20BA4" w:rsidRPr="005E3B43">
        <w:t>—</w:t>
      </w:r>
      <w:r w:rsidRPr="005E3B43">
        <w:t>is paginated.</w:t>
      </w:r>
    </w:p>
    <w:p w14:paraId="2E33A6A7" w14:textId="77777777" w:rsidR="00207B1C" w:rsidRPr="005E3B43" w:rsidRDefault="00207B1C" w:rsidP="00763BCF">
      <w:pPr>
        <w:pStyle w:val="Definition"/>
      </w:pPr>
      <w:r w:rsidRPr="005E3B43">
        <w:rPr>
          <w:b/>
          <w:i/>
        </w:rPr>
        <w:t xml:space="preserve">primary site </w:t>
      </w:r>
      <w:r w:rsidRPr="005E3B43">
        <w:t>means the principal manufacturing premises in the capital city of each State and Territory where human blood and blood components are manufactured.</w:t>
      </w:r>
    </w:p>
    <w:p w14:paraId="0E8D1B54" w14:textId="3FE61F78" w:rsidR="00207B1C" w:rsidRPr="005E3B43" w:rsidRDefault="00207B1C" w:rsidP="00763BCF">
      <w:pPr>
        <w:pStyle w:val="subsection"/>
      </w:pPr>
      <w:r w:rsidRPr="005E3B43">
        <w:tab/>
        <w:t>(2)</w:t>
      </w:r>
      <w:r w:rsidRPr="005E3B43">
        <w:tab/>
        <w:t xml:space="preserve">For </w:t>
      </w:r>
      <w:r w:rsidR="004E6D00" w:rsidRPr="005E3B43">
        <w:t>paragraph (</w:t>
      </w:r>
      <w:r w:rsidRPr="005E3B43">
        <w:t xml:space="preserve">a) of </w:t>
      </w:r>
      <w:r w:rsidR="006B5D8E" w:rsidRPr="005E3B43">
        <w:t>item 2</w:t>
      </w:r>
      <w:r w:rsidRPr="005E3B43">
        <w:t xml:space="preserve">A and </w:t>
      </w:r>
      <w:r w:rsidR="007C3215">
        <w:t>items 2</w:t>
      </w:r>
      <w:r w:rsidR="00B528C4" w:rsidRPr="005E3B43">
        <w:t xml:space="preserve">B, </w:t>
      </w:r>
      <w:r w:rsidR="00B4546E" w:rsidRPr="005E3B43">
        <w:t>2C, 2CA</w:t>
      </w:r>
      <w:r w:rsidRPr="005E3B43">
        <w:t xml:space="preserve"> and 4 in </w:t>
      </w:r>
      <w:r w:rsidR="006B5D8E" w:rsidRPr="005E3B43">
        <w:t>Part 2</w:t>
      </w:r>
      <w:r w:rsidRPr="005E3B43">
        <w:t>, an application for registration, or variation of the registration, of therapeutic goods of a kind mentioned in Part</w:t>
      </w:r>
      <w:r w:rsidR="004E6D00" w:rsidRPr="005E3B43">
        <w:t> </w:t>
      </w:r>
      <w:r w:rsidRPr="005E3B43">
        <w:t xml:space="preserve">1 of </w:t>
      </w:r>
      <w:r w:rsidR="008D1B4F" w:rsidRPr="005E3B43">
        <w:t>Schedule 1</w:t>
      </w:r>
      <w:r w:rsidRPr="005E3B43">
        <w:t xml:space="preserve">0 is taken to be a </w:t>
      </w:r>
      <w:r w:rsidRPr="005E3B43">
        <w:rPr>
          <w:b/>
          <w:bCs/>
          <w:i/>
          <w:iCs/>
        </w:rPr>
        <w:t>submission</w:t>
      </w:r>
      <w:r w:rsidRPr="005E3B43">
        <w:t>.</w:t>
      </w:r>
    </w:p>
    <w:p w14:paraId="565E2401" w14:textId="77777777" w:rsidR="00207B1C" w:rsidRPr="005E3B43" w:rsidRDefault="00207B1C" w:rsidP="00763BCF">
      <w:pPr>
        <w:pStyle w:val="subsection"/>
      </w:pPr>
      <w:r w:rsidRPr="005E3B43">
        <w:tab/>
        <w:t>(3)</w:t>
      </w:r>
      <w:r w:rsidRPr="005E3B43">
        <w:tab/>
        <w:t xml:space="preserve">A person making more than 1 application of a kind mentioned in </w:t>
      </w:r>
      <w:r w:rsidR="004E6D00" w:rsidRPr="005E3B43">
        <w:t>subclause (</w:t>
      </w:r>
      <w:r w:rsidRPr="005E3B43">
        <w:t xml:space="preserve">2), simultaneously, is taken to be making a </w:t>
      </w:r>
      <w:r w:rsidRPr="005E3B43">
        <w:rPr>
          <w:b/>
          <w:i/>
        </w:rPr>
        <w:t>submission</w:t>
      </w:r>
      <w:r w:rsidRPr="005E3B43">
        <w:t xml:space="preserve"> that includes all of those applications if the goods concerned contain the same active ingredient.</w:t>
      </w:r>
    </w:p>
    <w:p w14:paraId="749826EE" w14:textId="77777777" w:rsidR="00464100" w:rsidRPr="005E3B43" w:rsidRDefault="00464100" w:rsidP="00763BCF">
      <w:pPr>
        <w:pStyle w:val="ActHead5"/>
      </w:pPr>
      <w:bookmarkStart w:id="432" w:name="_Toc187136022"/>
      <w:r w:rsidRPr="005E3B43">
        <w:rPr>
          <w:rStyle w:val="CharSectno"/>
        </w:rPr>
        <w:lastRenderedPageBreak/>
        <w:t>2</w:t>
      </w:r>
      <w:r w:rsidRPr="005E3B43">
        <w:t xml:space="preserve">  </w:t>
      </w:r>
      <w:r w:rsidR="006B5D8E" w:rsidRPr="005E3B43">
        <w:t>Part 2</w:t>
      </w:r>
      <w:r w:rsidRPr="005E3B43">
        <w:t xml:space="preserve"> fees do not apply in relation to applications etc. covered by </w:t>
      </w:r>
      <w:r w:rsidR="00BB758E" w:rsidRPr="005E3B43">
        <w:t>Part 3</w:t>
      </w:r>
      <w:r w:rsidR="004E2EA8" w:rsidRPr="005E3B43">
        <w:t xml:space="preserve"> or 4</w:t>
      </w:r>
      <w:bookmarkEnd w:id="432"/>
    </w:p>
    <w:p w14:paraId="0C1A803C" w14:textId="77777777" w:rsidR="006E482B" w:rsidRPr="005E3B43" w:rsidRDefault="006E482B" w:rsidP="00763BCF">
      <w:pPr>
        <w:pStyle w:val="subsection"/>
      </w:pPr>
      <w:r w:rsidRPr="005E3B43">
        <w:tab/>
      </w:r>
      <w:r w:rsidRPr="005E3B43">
        <w:tab/>
        <w:t xml:space="preserve">The fees prescribed in </w:t>
      </w:r>
      <w:r w:rsidR="006B5D8E" w:rsidRPr="005E3B43">
        <w:t>Part 2</w:t>
      </w:r>
      <w:r w:rsidRPr="005E3B43">
        <w:t xml:space="preserve"> do not apply in relation to applications</w:t>
      </w:r>
      <w:r w:rsidR="00464100" w:rsidRPr="005E3B43">
        <w:t>, evaluations and requests</w:t>
      </w:r>
      <w:r w:rsidRPr="005E3B43">
        <w:t xml:space="preserve"> covered by </w:t>
      </w:r>
      <w:r w:rsidR="00BB758E" w:rsidRPr="005E3B43">
        <w:t>Part 3</w:t>
      </w:r>
      <w:r w:rsidR="004E2EA8" w:rsidRPr="005E3B43">
        <w:t xml:space="preserve"> or 4</w:t>
      </w:r>
      <w:r w:rsidRPr="005E3B43">
        <w:t>.</w:t>
      </w:r>
    </w:p>
    <w:p w14:paraId="6FB6365D" w14:textId="77777777" w:rsidR="00327B95" w:rsidRPr="005E3B43" w:rsidRDefault="006B5D8E" w:rsidP="00763BCF">
      <w:pPr>
        <w:pStyle w:val="ActHead2"/>
        <w:pageBreakBefore/>
      </w:pPr>
      <w:bookmarkStart w:id="433" w:name="_Toc187136023"/>
      <w:r w:rsidRPr="005E3B43">
        <w:rPr>
          <w:rStyle w:val="CharPartNo"/>
        </w:rPr>
        <w:lastRenderedPageBreak/>
        <w:t>Part 2</w:t>
      </w:r>
      <w:r w:rsidR="00D47841" w:rsidRPr="005E3B43">
        <w:t>—</w:t>
      </w:r>
      <w:r w:rsidR="00D47841" w:rsidRPr="005E3B43">
        <w:rPr>
          <w:rStyle w:val="CharPartText"/>
        </w:rPr>
        <w:t xml:space="preserve">Table of fees other than for applications etc. covered by </w:t>
      </w:r>
      <w:r w:rsidR="00BB758E" w:rsidRPr="005E3B43">
        <w:rPr>
          <w:rStyle w:val="CharPartText"/>
        </w:rPr>
        <w:t>Part 3</w:t>
      </w:r>
      <w:r w:rsidR="00D47841" w:rsidRPr="005E3B43">
        <w:rPr>
          <w:rStyle w:val="CharPartText"/>
        </w:rPr>
        <w:t xml:space="preserve"> or 4</w:t>
      </w:r>
      <w:bookmarkEnd w:id="433"/>
    </w:p>
    <w:p w14:paraId="3C50934F" w14:textId="77777777" w:rsidR="00B46B77" w:rsidRPr="005E3B43" w:rsidRDefault="00B46B77" w:rsidP="00763BCF">
      <w:pPr>
        <w:pStyle w:val="Header"/>
        <w:tabs>
          <w:tab w:val="clear" w:pos="4150"/>
          <w:tab w:val="clear" w:pos="8307"/>
        </w:tabs>
      </w:pPr>
      <w:r w:rsidRPr="005E3B43">
        <w:rPr>
          <w:rStyle w:val="CharDivNo"/>
        </w:rPr>
        <w:t xml:space="preserve"> </w:t>
      </w:r>
      <w:r w:rsidRPr="005E3B43">
        <w:rPr>
          <w:rStyle w:val="CharDivText"/>
        </w:rPr>
        <w:t xml:space="preserve"> </w:t>
      </w:r>
    </w:p>
    <w:p w14:paraId="7A300B8C" w14:textId="77777777" w:rsidR="00452A61" w:rsidRPr="005E3B43" w:rsidRDefault="00452A61" w:rsidP="00763BCF">
      <w:pPr>
        <w:pStyle w:val="ActHead5"/>
      </w:pPr>
      <w:bookmarkStart w:id="434" w:name="_Toc187136024"/>
      <w:r w:rsidRPr="005E3B43">
        <w:rPr>
          <w:rStyle w:val="CharSectno"/>
        </w:rPr>
        <w:t>3</w:t>
      </w:r>
      <w:r w:rsidRPr="005E3B43">
        <w:t xml:space="preserve">  Table of fees</w:t>
      </w:r>
      <w:bookmarkEnd w:id="434"/>
    </w:p>
    <w:p w14:paraId="2037EF80" w14:textId="77777777" w:rsidR="00452A61" w:rsidRPr="005E3B43" w:rsidRDefault="00452A61" w:rsidP="00763BCF">
      <w:pPr>
        <w:pStyle w:val="subsection"/>
      </w:pPr>
      <w:r w:rsidRPr="005E3B43">
        <w:tab/>
      </w:r>
      <w:r w:rsidRPr="005E3B43">
        <w:tab/>
        <w:t>The following table sets out particular fees other than fees for applications</w:t>
      </w:r>
      <w:r w:rsidR="00464100" w:rsidRPr="005E3B43">
        <w:t>, evaluations and requests</w:t>
      </w:r>
      <w:r w:rsidRPr="005E3B43">
        <w:t xml:space="preserve"> covered by </w:t>
      </w:r>
      <w:r w:rsidR="00BB758E" w:rsidRPr="005E3B43">
        <w:t>Part 3</w:t>
      </w:r>
      <w:r w:rsidR="00D47841" w:rsidRPr="005E3B43">
        <w:t xml:space="preserve"> or 4.</w:t>
      </w:r>
    </w:p>
    <w:p w14:paraId="1CEBBBDF" w14:textId="77777777" w:rsidR="00E20BA4" w:rsidRPr="005E3B43" w:rsidRDefault="00E20BA4"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061"/>
        <w:gridCol w:w="5353"/>
        <w:gridCol w:w="2115"/>
      </w:tblGrid>
      <w:tr w:rsidR="00207B1C" w:rsidRPr="005E3B43" w14:paraId="00A10AC0" w14:textId="77777777" w:rsidTr="005A786D">
        <w:trPr>
          <w:tblHeader/>
        </w:trPr>
        <w:tc>
          <w:tcPr>
            <w:tcW w:w="622" w:type="pct"/>
            <w:tcBorders>
              <w:top w:val="single" w:sz="12" w:space="0" w:color="auto"/>
              <w:bottom w:val="single" w:sz="12" w:space="0" w:color="auto"/>
            </w:tcBorders>
            <w:shd w:val="clear" w:color="auto" w:fill="auto"/>
          </w:tcPr>
          <w:p w14:paraId="1A932099" w14:textId="77777777" w:rsidR="00207B1C" w:rsidRPr="005E3B43" w:rsidRDefault="00207B1C" w:rsidP="00763BCF">
            <w:pPr>
              <w:pStyle w:val="TableHeading"/>
              <w:ind w:left="-66" w:right="-52"/>
            </w:pPr>
            <w:r w:rsidRPr="005E3B43">
              <w:t>Column 1</w:t>
            </w:r>
            <w:r w:rsidRPr="005E3B43">
              <w:br/>
              <w:t>Item</w:t>
            </w:r>
          </w:p>
        </w:tc>
        <w:tc>
          <w:tcPr>
            <w:tcW w:w="3138" w:type="pct"/>
            <w:tcBorders>
              <w:top w:val="single" w:sz="12" w:space="0" w:color="auto"/>
              <w:bottom w:val="single" w:sz="12" w:space="0" w:color="auto"/>
            </w:tcBorders>
            <w:shd w:val="clear" w:color="auto" w:fill="auto"/>
          </w:tcPr>
          <w:p w14:paraId="1956451B" w14:textId="77777777" w:rsidR="00207B1C" w:rsidRPr="005E3B43" w:rsidRDefault="00207B1C" w:rsidP="00763BCF">
            <w:pPr>
              <w:pStyle w:val="TableHeading"/>
              <w:ind w:right="-52"/>
            </w:pPr>
            <w:r w:rsidRPr="005E3B43">
              <w:t>Column 2</w:t>
            </w:r>
            <w:r w:rsidRPr="005E3B43">
              <w:br/>
              <w:t>Matter</w:t>
            </w:r>
          </w:p>
        </w:tc>
        <w:tc>
          <w:tcPr>
            <w:tcW w:w="1240" w:type="pct"/>
            <w:tcBorders>
              <w:top w:val="single" w:sz="12" w:space="0" w:color="auto"/>
              <w:bottom w:val="single" w:sz="12" w:space="0" w:color="auto"/>
            </w:tcBorders>
            <w:shd w:val="clear" w:color="auto" w:fill="auto"/>
          </w:tcPr>
          <w:p w14:paraId="1DA5E724" w14:textId="77777777" w:rsidR="00207B1C" w:rsidRPr="005E3B43" w:rsidRDefault="00207B1C" w:rsidP="00763BCF">
            <w:pPr>
              <w:pStyle w:val="TableHeading"/>
            </w:pPr>
            <w:r w:rsidRPr="005E3B43">
              <w:t>Column 3</w:t>
            </w:r>
            <w:r w:rsidRPr="005E3B43">
              <w:br/>
              <w:t>Fee $</w:t>
            </w:r>
          </w:p>
        </w:tc>
      </w:tr>
      <w:tr w:rsidR="00252980" w:rsidRPr="005E3B43" w14:paraId="72FEE756" w14:textId="77777777" w:rsidTr="00550FEB">
        <w:tc>
          <w:tcPr>
            <w:tcW w:w="622" w:type="pct"/>
            <w:tcBorders>
              <w:top w:val="single" w:sz="12" w:space="0" w:color="auto"/>
              <w:bottom w:val="nil"/>
            </w:tcBorders>
            <w:shd w:val="clear" w:color="auto" w:fill="auto"/>
          </w:tcPr>
          <w:p w14:paraId="3D2623D8" w14:textId="77777777" w:rsidR="00252980" w:rsidRPr="005E3B43" w:rsidRDefault="00252980" w:rsidP="00252980">
            <w:pPr>
              <w:pStyle w:val="Tabletext"/>
            </w:pPr>
            <w:r w:rsidRPr="005E3B43">
              <w:t>1A</w:t>
            </w:r>
          </w:p>
        </w:tc>
        <w:tc>
          <w:tcPr>
            <w:tcW w:w="3138" w:type="pct"/>
            <w:tcBorders>
              <w:top w:val="single" w:sz="12" w:space="0" w:color="auto"/>
              <w:bottom w:val="nil"/>
            </w:tcBorders>
            <w:shd w:val="clear" w:color="auto" w:fill="auto"/>
          </w:tcPr>
          <w:p w14:paraId="7B39E2DE" w14:textId="73209984" w:rsidR="00252980" w:rsidRPr="005E3B43" w:rsidRDefault="00252980" w:rsidP="00252980">
            <w:pPr>
              <w:pStyle w:val="Tabletext"/>
              <w:ind w:right="-52"/>
            </w:pPr>
            <w:r w:rsidRPr="005E3B43">
              <w:t xml:space="preserve">Application fee for processing an application for consent under </w:t>
            </w:r>
            <w:r w:rsidR="007C3215">
              <w:t>section 1</w:t>
            </w:r>
            <w:r w:rsidRPr="005E3B43">
              <w:t>4 or 14A of the Act:</w:t>
            </w:r>
          </w:p>
        </w:tc>
        <w:tc>
          <w:tcPr>
            <w:tcW w:w="1240" w:type="pct"/>
            <w:tcBorders>
              <w:top w:val="single" w:sz="12" w:space="0" w:color="auto"/>
              <w:bottom w:val="nil"/>
            </w:tcBorders>
            <w:shd w:val="clear" w:color="auto" w:fill="auto"/>
          </w:tcPr>
          <w:p w14:paraId="76C15C4D" w14:textId="77777777" w:rsidR="00252980" w:rsidRPr="005E3B43" w:rsidRDefault="00252980" w:rsidP="00252980">
            <w:pPr>
              <w:pStyle w:val="Tabletext"/>
            </w:pPr>
          </w:p>
        </w:tc>
      </w:tr>
      <w:tr w:rsidR="00252980" w:rsidRPr="005E3B43" w14:paraId="5A9A50C3" w14:textId="77777777" w:rsidTr="00B421B3">
        <w:tc>
          <w:tcPr>
            <w:tcW w:w="622" w:type="pct"/>
            <w:tcBorders>
              <w:top w:val="nil"/>
              <w:bottom w:val="nil"/>
            </w:tcBorders>
            <w:shd w:val="clear" w:color="auto" w:fill="auto"/>
          </w:tcPr>
          <w:p w14:paraId="37FDC7B4" w14:textId="77777777" w:rsidR="00252980" w:rsidRPr="005E3B43" w:rsidRDefault="00252980" w:rsidP="00252980">
            <w:pPr>
              <w:pStyle w:val="Tabletext"/>
            </w:pPr>
          </w:p>
        </w:tc>
        <w:tc>
          <w:tcPr>
            <w:tcW w:w="3138" w:type="pct"/>
            <w:tcBorders>
              <w:top w:val="nil"/>
              <w:bottom w:val="nil"/>
            </w:tcBorders>
            <w:shd w:val="clear" w:color="auto" w:fill="auto"/>
          </w:tcPr>
          <w:p w14:paraId="1DE308CD" w14:textId="77777777" w:rsidR="00252980" w:rsidRPr="005E3B43" w:rsidRDefault="00252980" w:rsidP="00252980">
            <w:pPr>
              <w:pStyle w:val="Tablea"/>
            </w:pPr>
            <w:r w:rsidRPr="005E3B43">
              <w:t>(a) for an application relating to goods to which a single entry in the Register relates</w:t>
            </w:r>
          </w:p>
          <w:p w14:paraId="29D57418" w14:textId="77777777" w:rsidR="00252980" w:rsidRPr="005E3B43" w:rsidRDefault="00252980" w:rsidP="00252980">
            <w:pPr>
              <w:pStyle w:val="Tablea"/>
              <w:ind w:right="-52"/>
            </w:pPr>
          </w:p>
        </w:tc>
        <w:tc>
          <w:tcPr>
            <w:tcW w:w="1240" w:type="pct"/>
            <w:tcBorders>
              <w:top w:val="nil"/>
              <w:bottom w:val="nil"/>
            </w:tcBorders>
            <w:shd w:val="clear" w:color="auto" w:fill="auto"/>
          </w:tcPr>
          <w:p w14:paraId="7CD38B77" w14:textId="77777777" w:rsidR="00252980" w:rsidRPr="005E3B43" w:rsidDel="00550FEB" w:rsidRDefault="00252980" w:rsidP="00252980">
            <w:pPr>
              <w:pStyle w:val="Tabletext"/>
            </w:pPr>
            <w:r w:rsidRPr="005E3B43">
              <w:t>565 (for all the goods to which the application relates)</w:t>
            </w:r>
          </w:p>
        </w:tc>
      </w:tr>
      <w:tr w:rsidR="00252980" w:rsidRPr="005E3B43" w14:paraId="0FDEC188" w14:textId="77777777" w:rsidTr="00B421B3">
        <w:tc>
          <w:tcPr>
            <w:tcW w:w="622" w:type="pct"/>
            <w:tcBorders>
              <w:top w:val="nil"/>
              <w:bottom w:val="nil"/>
            </w:tcBorders>
            <w:shd w:val="clear" w:color="auto" w:fill="auto"/>
          </w:tcPr>
          <w:p w14:paraId="6D191E7B" w14:textId="77777777" w:rsidR="00252980" w:rsidRPr="005E3B43" w:rsidRDefault="00252980" w:rsidP="00252980">
            <w:pPr>
              <w:pStyle w:val="Tabletext"/>
            </w:pPr>
          </w:p>
        </w:tc>
        <w:tc>
          <w:tcPr>
            <w:tcW w:w="3138" w:type="pct"/>
            <w:tcBorders>
              <w:top w:val="nil"/>
              <w:bottom w:val="nil"/>
            </w:tcBorders>
            <w:shd w:val="clear" w:color="auto" w:fill="auto"/>
          </w:tcPr>
          <w:p w14:paraId="77B3461F" w14:textId="77777777" w:rsidR="00252980" w:rsidRPr="005E3B43" w:rsidRDefault="00252980" w:rsidP="00252980">
            <w:pPr>
              <w:pStyle w:val="Tablea"/>
            </w:pPr>
            <w:r w:rsidRPr="005E3B43">
              <w:t>(b) for an application relating to goods to which both of the following apply:</w:t>
            </w:r>
          </w:p>
          <w:p w14:paraId="339613C4" w14:textId="77777777" w:rsidR="00252980" w:rsidRPr="005E3B43" w:rsidRDefault="00252980" w:rsidP="00252980">
            <w:pPr>
              <w:pStyle w:val="Tablei"/>
            </w:pPr>
            <w:r w:rsidRPr="005E3B43">
              <w:t>(i) there are separate entries in the Register in relation to the goods;</w:t>
            </w:r>
          </w:p>
          <w:p w14:paraId="1F810D76" w14:textId="77777777" w:rsidR="00252980" w:rsidRPr="005E3B43" w:rsidRDefault="00252980" w:rsidP="00252980">
            <w:pPr>
              <w:pStyle w:val="Tablei"/>
            </w:pPr>
            <w:r w:rsidRPr="005E3B43">
              <w:t>(ii) the way in which the goods do not conform with a standard applicable to the goods is the same for all the goods</w:t>
            </w:r>
          </w:p>
          <w:p w14:paraId="34EE37BE" w14:textId="77777777" w:rsidR="00252980" w:rsidRPr="005E3B43" w:rsidRDefault="00252980" w:rsidP="00252980">
            <w:pPr>
              <w:pStyle w:val="Tablei"/>
            </w:pPr>
          </w:p>
        </w:tc>
        <w:tc>
          <w:tcPr>
            <w:tcW w:w="1240" w:type="pct"/>
            <w:tcBorders>
              <w:top w:val="nil"/>
              <w:bottom w:val="nil"/>
            </w:tcBorders>
            <w:shd w:val="clear" w:color="auto" w:fill="auto"/>
          </w:tcPr>
          <w:p w14:paraId="31DD3FA1" w14:textId="77777777" w:rsidR="00252980" w:rsidRPr="005E3B43" w:rsidRDefault="00252980" w:rsidP="00252980">
            <w:pPr>
              <w:pStyle w:val="Tabletext"/>
            </w:pPr>
            <w:r w:rsidRPr="005E3B43">
              <w:t>565 for the first entry plus 113 for each additional entry</w:t>
            </w:r>
          </w:p>
        </w:tc>
      </w:tr>
      <w:tr w:rsidR="00252980" w:rsidRPr="005E3B43" w14:paraId="59C16E1E" w14:textId="77777777" w:rsidTr="00550FEB">
        <w:tc>
          <w:tcPr>
            <w:tcW w:w="622" w:type="pct"/>
            <w:tcBorders>
              <w:top w:val="nil"/>
              <w:bottom w:val="single" w:sz="4" w:space="0" w:color="auto"/>
            </w:tcBorders>
            <w:shd w:val="clear" w:color="auto" w:fill="auto"/>
          </w:tcPr>
          <w:p w14:paraId="6FB3412A" w14:textId="77777777" w:rsidR="00252980" w:rsidRPr="005E3B43" w:rsidRDefault="00252980" w:rsidP="00252980">
            <w:pPr>
              <w:pStyle w:val="Tabletext"/>
            </w:pPr>
          </w:p>
        </w:tc>
        <w:tc>
          <w:tcPr>
            <w:tcW w:w="3138" w:type="pct"/>
            <w:tcBorders>
              <w:top w:val="nil"/>
              <w:bottom w:val="single" w:sz="4" w:space="0" w:color="auto"/>
            </w:tcBorders>
            <w:shd w:val="clear" w:color="auto" w:fill="auto"/>
          </w:tcPr>
          <w:p w14:paraId="4AD7E264" w14:textId="77777777" w:rsidR="00252980" w:rsidRPr="005E3B43" w:rsidRDefault="00252980" w:rsidP="00B421B3">
            <w:pPr>
              <w:pStyle w:val="Tablea"/>
            </w:pPr>
            <w:r w:rsidRPr="005E3B43">
              <w:t>(c) for an application relating to goods to which no entry in the Register relates</w:t>
            </w:r>
          </w:p>
        </w:tc>
        <w:tc>
          <w:tcPr>
            <w:tcW w:w="1240" w:type="pct"/>
            <w:tcBorders>
              <w:top w:val="nil"/>
              <w:bottom w:val="single" w:sz="4" w:space="0" w:color="auto"/>
            </w:tcBorders>
            <w:shd w:val="clear" w:color="auto" w:fill="auto"/>
          </w:tcPr>
          <w:p w14:paraId="5714F32A" w14:textId="77777777" w:rsidR="00252980" w:rsidRPr="005E3B43" w:rsidRDefault="00252980" w:rsidP="00252980">
            <w:pPr>
              <w:pStyle w:val="Tabletext"/>
            </w:pPr>
            <w:r w:rsidRPr="005E3B43">
              <w:t>3,712</w:t>
            </w:r>
          </w:p>
        </w:tc>
      </w:tr>
      <w:tr w:rsidR="00550FEB" w:rsidRPr="005E3B43" w14:paraId="54525512" w14:textId="77777777" w:rsidTr="005A786D">
        <w:tc>
          <w:tcPr>
            <w:tcW w:w="622" w:type="pct"/>
            <w:tcBorders>
              <w:top w:val="single" w:sz="4" w:space="0" w:color="auto"/>
              <w:bottom w:val="nil"/>
            </w:tcBorders>
            <w:shd w:val="clear" w:color="auto" w:fill="auto"/>
          </w:tcPr>
          <w:p w14:paraId="6CAA6942" w14:textId="77777777" w:rsidR="00550FEB" w:rsidRPr="005E3B43" w:rsidRDefault="00550FEB" w:rsidP="00763BCF">
            <w:pPr>
              <w:pStyle w:val="Tabletext"/>
            </w:pPr>
            <w:r w:rsidRPr="005E3B43">
              <w:t>1</w:t>
            </w:r>
          </w:p>
        </w:tc>
        <w:tc>
          <w:tcPr>
            <w:tcW w:w="3138" w:type="pct"/>
            <w:tcBorders>
              <w:top w:val="single" w:sz="4" w:space="0" w:color="auto"/>
              <w:bottom w:val="nil"/>
            </w:tcBorders>
            <w:shd w:val="clear" w:color="auto" w:fill="auto"/>
          </w:tcPr>
          <w:p w14:paraId="60950C8D" w14:textId="77777777" w:rsidR="00550FEB" w:rsidRPr="005E3B43" w:rsidRDefault="00550FEB" w:rsidP="00763BCF">
            <w:pPr>
              <w:pStyle w:val="Tabletext"/>
              <w:ind w:right="-52"/>
            </w:pPr>
            <w:r w:rsidRPr="005E3B43">
              <w:t>Evaluation fee for the purposes of subparagraph</w:t>
            </w:r>
            <w:r w:rsidR="004E6D00" w:rsidRPr="005E3B43">
              <w:t> </w:t>
            </w:r>
            <w:r w:rsidRPr="005E3B43">
              <w:t>19(2)(b)(iii) of the Act</w:t>
            </w:r>
          </w:p>
        </w:tc>
        <w:tc>
          <w:tcPr>
            <w:tcW w:w="1240" w:type="pct"/>
            <w:tcBorders>
              <w:top w:val="single" w:sz="4" w:space="0" w:color="auto"/>
              <w:bottom w:val="nil"/>
            </w:tcBorders>
            <w:shd w:val="clear" w:color="auto" w:fill="auto"/>
          </w:tcPr>
          <w:p w14:paraId="510F5590" w14:textId="77777777" w:rsidR="00550FEB" w:rsidRPr="005E3B43" w:rsidRDefault="00550FEB" w:rsidP="00763BCF">
            <w:pPr>
              <w:pStyle w:val="Tabletext"/>
            </w:pPr>
          </w:p>
        </w:tc>
      </w:tr>
      <w:tr w:rsidR="00550FEB" w:rsidRPr="005E3B43" w14:paraId="6517E141" w14:textId="77777777" w:rsidTr="005A786D">
        <w:trPr>
          <w:trHeight w:val="20"/>
        </w:trPr>
        <w:tc>
          <w:tcPr>
            <w:tcW w:w="622" w:type="pct"/>
            <w:tcBorders>
              <w:top w:val="nil"/>
              <w:bottom w:val="nil"/>
            </w:tcBorders>
            <w:shd w:val="clear" w:color="auto" w:fill="auto"/>
          </w:tcPr>
          <w:p w14:paraId="7596729F" w14:textId="77777777" w:rsidR="00550FEB" w:rsidRPr="005E3B43" w:rsidRDefault="00550FEB" w:rsidP="00763BCF">
            <w:pPr>
              <w:pStyle w:val="Tabletext"/>
            </w:pPr>
          </w:p>
        </w:tc>
        <w:tc>
          <w:tcPr>
            <w:tcW w:w="3138" w:type="pct"/>
            <w:tcBorders>
              <w:top w:val="nil"/>
              <w:bottom w:val="nil"/>
            </w:tcBorders>
            <w:shd w:val="clear" w:color="auto" w:fill="auto"/>
          </w:tcPr>
          <w:p w14:paraId="27B82ADC" w14:textId="77777777" w:rsidR="00550FEB" w:rsidRPr="005E3B43" w:rsidRDefault="00550FEB" w:rsidP="00763BCF">
            <w:pPr>
              <w:pStyle w:val="Tablea"/>
              <w:ind w:right="-52"/>
              <w:rPr>
                <w:rFonts w:eastAsiaTheme="minorHAnsi" w:cstheme="minorBidi"/>
                <w:lang w:eastAsia="en-US"/>
              </w:rPr>
            </w:pPr>
            <w:r w:rsidRPr="005E3B43">
              <w:t>(a) if:</w:t>
            </w:r>
          </w:p>
          <w:p w14:paraId="5F50FF61" w14:textId="77777777" w:rsidR="00550FEB" w:rsidRPr="005E3B43" w:rsidRDefault="00550FEB" w:rsidP="00763BCF">
            <w:pPr>
              <w:pStyle w:val="Tablei"/>
              <w:rPr>
                <w:rFonts w:eastAsiaTheme="minorHAnsi"/>
              </w:rPr>
            </w:pPr>
            <w:r w:rsidRPr="005E3B43">
              <w:t>(i) the goods are medicines for use solely for experimental purposes in humans; and</w:t>
            </w:r>
          </w:p>
          <w:p w14:paraId="416214B0" w14:textId="77777777" w:rsidR="00550FEB" w:rsidRPr="005E3B43" w:rsidRDefault="00550FEB" w:rsidP="00763BCF">
            <w:pPr>
              <w:pStyle w:val="Tablei"/>
              <w:ind w:right="-39"/>
              <w:rPr>
                <w:rFonts w:eastAsiaTheme="minorHAnsi"/>
              </w:rPr>
            </w:pPr>
            <w:r w:rsidRPr="005E3B43">
              <w:t>(ii) the evaluation consists of the consideration of:</w:t>
            </w:r>
          </w:p>
          <w:p w14:paraId="6AC085B7" w14:textId="77777777" w:rsidR="00550FEB" w:rsidRPr="005E3B43" w:rsidRDefault="00550FEB" w:rsidP="00763BCF">
            <w:pPr>
              <w:pStyle w:val="TableAA"/>
            </w:pPr>
            <w:r w:rsidRPr="005E3B43">
              <w:t>(A) a summary of chemical, pharmaceutical and biological information about the goods; and</w:t>
            </w:r>
          </w:p>
          <w:p w14:paraId="76D6BF41" w14:textId="77777777" w:rsidR="00550FEB" w:rsidRPr="005E3B43" w:rsidRDefault="00550FEB" w:rsidP="00763BCF">
            <w:pPr>
              <w:pStyle w:val="TableAA"/>
              <w:rPr>
                <w:rFonts w:eastAsiaTheme="minorHAnsi"/>
              </w:rPr>
            </w:pPr>
            <w:r w:rsidRPr="005E3B43">
              <w:t>(B) descriptive information about the proposed clinical trial of the goods; and</w:t>
            </w:r>
          </w:p>
          <w:p w14:paraId="27741188" w14:textId="77777777" w:rsidR="00550FEB" w:rsidRPr="005E3B43" w:rsidRDefault="00550FEB" w:rsidP="00763BCF">
            <w:pPr>
              <w:pStyle w:val="TableAA"/>
              <w:rPr>
                <w:rFonts w:eastAsiaTheme="minorHAnsi"/>
              </w:rPr>
            </w:pPr>
            <w:r w:rsidRPr="005E3B43">
              <w:t>(C) information about adverse events associated with the use of the goods; and</w:t>
            </w:r>
          </w:p>
          <w:p w14:paraId="2AD15E0F" w14:textId="77777777" w:rsidR="00550FEB" w:rsidRPr="005E3B43" w:rsidRDefault="00550FEB" w:rsidP="00763BCF">
            <w:pPr>
              <w:pStyle w:val="TableAA"/>
              <w:rPr>
                <w:rFonts w:eastAsiaTheme="minorHAnsi"/>
              </w:rPr>
            </w:pPr>
            <w:r w:rsidRPr="005E3B43">
              <w:t>(D) information about the goods provided to the relevant ethics committee;</w:t>
            </w:r>
          </w:p>
          <w:p w14:paraId="3D121C26" w14:textId="77777777" w:rsidR="00550FEB" w:rsidRPr="005E3B43" w:rsidRDefault="00550FEB" w:rsidP="00763BCF">
            <w:pPr>
              <w:pStyle w:val="Tabletext"/>
              <w:ind w:right="-52"/>
            </w:pPr>
            <w:r w:rsidRPr="005E3B43">
              <w:rPr>
                <w:szCs w:val="22"/>
              </w:rPr>
              <w:t>—for each medicine</w:t>
            </w:r>
          </w:p>
        </w:tc>
        <w:tc>
          <w:tcPr>
            <w:tcW w:w="1240" w:type="pct"/>
            <w:tcBorders>
              <w:top w:val="nil"/>
              <w:bottom w:val="nil"/>
            </w:tcBorders>
            <w:shd w:val="clear" w:color="auto" w:fill="auto"/>
          </w:tcPr>
          <w:p w14:paraId="7ACEA835" w14:textId="77777777" w:rsidR="00550FEB" w:rsidRPr="005E3B43" w:rsidRDefault="00C90674" w:rsidP="00763BCF">
            <w:pPr>
              <w:pStyle w:val="Tabletext"/>
            </w:pPr>
            <w:r w:rsidRPr="005E3B43">
              <w:t>2,046</w:t>
            </w:r>
          </w:p>
        </w:tc>
      </w:tr>
      <w:tr w:rsidR="00550FEB" w:rsidRPr="005E3B43" w14:paraId="52754E08" w14:textId="77777777" w:rsidTr="00384B0F">
        <w:tc>
          <w:tcPr>
            <w:tcW w:w="622" w:type="pct"/>
            <w:tcBorders>
              <w:top w:val="nil"/>
              <w:bottom w:val="single" w:sz="4" w:space="0" w:color="auto"/>
            </w:tcBorders>
            <w:shd w:val="clear" w:color="auto" w:fill="auto"/>
          </w:tcPr>
          <w:p w14:paraId="602958F2" w14:textId="77777777" w:rsidR="00550FEB" w:rsidRPr="005E3B43" w:rsidRDefault="00550FEB" w:rsidP="00763BCF">
            <w:pPr>
              <w:pStyle w:val="Tabletext"/>
            </w:pPr>
          </w:p>
        </w:tc>
        <w:tc>
          <w:tcPr>
            <w:tcW w:w="3138" w:type="pct"/>
            <w:tcBorders>
              <w:top w:val="nil"/>
              <w:bottom w:val="single" w:sz="4" w:space="0" w:color="auto"/>
            </w:tcBorders>
            <w:shd w:val="clear" w:color="auto" w:fill="auto"/>
          </w:tcPr>
          <w:p w14:paraId="2D46300E" w14:textId="77777777" w:rsidR="00550FEB" w:rsidRPr="005E3B43" w:rsidRDefault="00550FEB" w:rsidP="00763BCF">
            <w:pPr>
              <w:pStyle w:val="Tablea"/>
              <w:ind w:right="-52"/>
              <w:rPr>
                <w:rFonts w:eastAsiaTheme="minorHAnsi" w:cstheme="minorBidi"/>
                <w:lang w:eastAsia="en-US"/>
              </w:rPr>
            </w:pPr>
            <w:r w:rsidRPr="005E3B43">
              <w:t xml:space="preserve">(b) if the goods are medicines for use solely for experimental purposes in humans (other than medicines to which </w:t>
            </w:r>
            <w:r w:rsidR="004E6D00" w:rsidRPr="005E3B43">
              <w:t>paragraph (</w:t>
            </w:r>
            <w:r w:rsidRPr="005E3B43">
              <w:t>a) applies)—for each medicine</w:t>
            </w:r>
          </w:p>
        </w:tc>
        <w:tc>
          <w:tcPr>
            <w:tcW w:w="1240" w:type="pct"/>
            <w:tcBorders>
              <w:top w:val="nil"/>
              <w:bottom w:val="single" w:sz="4" w:space="0" w:color="auto"/>
            </w:tcBorders>
            <w:shd w:val="clear" w:color="auto" w:fill="auto"/>
          </w:tcPr>
          <w:p w14:paraId="78AE5163" w14:textId="77777777" w:rsidR="00550FEB" w:rsidRPr="005E3B43" w:rsidRDefault="00CF7328" w:rsidP="00763BCF">
            <w:pPr>
              <w:pStyle w:val="Tabletext"/>
            </w:pPr>
            <w:r w:rsidRPr="005E3B43">
              <w:t>25,426</w:t>
            </w:r>
          </w:p>
        </w:tc>
      </w:tr>
      <w:tr w:rsidR="008F518B" w:rsidRPr="005E3B43" w14:paraId="64162E0C" w14:textId="77777777" w:rsidTr="00784468">
        <w:trPr>
          <w:cantSplit/>
        </w:trPr>
        <w:tc>
          <w:tcPr>
            <w:tcW w:w="622" w:type="pct"/>
            <w:tcBorders>
              <w:top w:val="single" w:sz="4" w:space="0" w:color="auto"/>
              <w:bottom w:val="nil"/>
            </w:tcBorders>
            <w:shd w:val="clear" w:color="auto" w:fill="auto"/>
          </w:tcPr>
          <w:p w14:paraId="793F678A" w14:textId="77777777" w:rsidR="008F518B" w:rsidRPr="005E3B43" w:rsidRDefault="008F518B" w:rsidP="00763BCF">
            <w:pPr>
              <w:pStyle w:val="Tabletext"/>
            </w:pPr>
            <w:r w:rsidRPr="005E3B43">
              <w:lastRenderedPageBreak/>
              <w:t>1AAA</w:t>
            </w:r>
          </w:p>
        </w:tc>
        <w:tc>
          <w:tcPr>
            <w:tcW w:w="3138" w:type="pct"/>
            <w:tcBorders>
              <w:top w:val="single" w:sz="4" w:space="0" w:color="auto"/>
              <w:bottom w:val="nil"/>
            </w:tcBorders>
            <w:shd w:val="clear" w:color="auto" w:fill="auto"/>
          </w:tcPr>
          <w:p w14:paraId="107402C9" w14:textId="6DB1D673" w:rsidR="008F518B" w:rsidRPr="005E3B43" w:rsidRDefault="008F518B" w:rsidP="00763BCF">
            <w:pPr>
              <w:pStyle w:val="Tabletext"/>
            </w:pPr>
            <w:r w:rsidRPr="005E3B43">
              <w:t>Fee for the purposes of paragraph 19(4B)(e) of the Act, for a request under sub</w:t>
            </w:r>
            <w:r w:rsidR="007C3215">
              <w:t>section 1</w:t>
            </w:r>
            <w:r w:rsidRPr="005E3B43">
              <w:t>9(4B) to vary the therapeutic goods specified in an approval to use those goods solely for experimental purposes in humans, or to vary the conditions of such an approval:</w:t>
            </w:r>
          </w:p>
        </w:tc>
        <w:tc>
          <w:tcPr>
            <w:tcW w:w="1240" w:type="pct"/>
            <w:tcBorders>
              <w:top w:val="single" w:sz="4" w:space="0" w:color="auto"/>
              <w:bottom w:val="nil"/>
            </w:tcBorders>
            <w:shd w:val="clear" w:color="auto" w:fill="auto"/>
          </w:tcPr>
          <w:p w14:paraId="4D9B90FE" w14:textId="77777777" w:rsidR="008F518B" w:rsidRPr="005E3B43" w:rsidRDefault="008F518B" w:rsidP="00763BCF">
            <w:pPr>
              <w:pStyle w:val="Tabletext"/>
            </w:pPr>
          </w:p>
        </w:tc>
      </w:tr>
      <w:tr w:rsidR="008F518B" w:rsidRPr="005E3B43" w14:paraId="663A6C35" w14:textId="77777777" w:rsidTr="00784468">
        <w:trPr>
          <w:cantSplit/>
        </w:trPr>
        <w:tc>
          <w:tcPr>
            <w:tcW w:w="622" w:type="pct"/>
            <w:tcBorders>
              <w:top w:val="nil"/>
              <w:bottom w:val="nil"/>
            </w:tcBorders>
            <w:shd w:val="clear" w:color="auto" w:fill="auto"/>
          </w:tcPr>
          <w:p w14:paraId="41F17107" w14:textId="77777777" w:rsidR="008F518B" w:rsidRPr="005E3B43" w:rsidRDefault="008F518B" w:rsidP="00763BCF">
            <w:pPr>
              <w:pStyle w:val="Tabletext"/>
            </w:pPr>
          </w:p>
        </w:tc>
        <w:tc>
          <w:tcPr>
            <w:tcW w:w="3138" w:type="pct"/>
            <w:tcBorders>
              <w:top w:val="nil"/>
              <w:bottom w:val="nil"/>
            </w:tcBorders>
            <w:shd w:val="clear" w:color="auto" w:fill="auto"/>
          </w:tcPr>
          <w:p w14:paraId="6689FE3F" w14:textId="77777777" w:rsidR="008F518B" w:rsidRPr="005E3B43" w:rsidRDefault="008F518B" w:rsidP="00763BCF">
            <w:pPr>
              <w:pStyle w:val="Tablea"/>
            </w:pPr>
            <w:r w:rsidRPr="005E3B43">
              <w:t>(a) if the request relates to:</w:t>
            </w:r>
          </w:p>
          <w:p w14:paraId="56EB9585" w14:textId="77777777" w:rsidR="008F518B" w:rsidRPr="005E3B43" w:rsidRDefault="008F518B" w:rsidP="00763BCF">
            <w:pPr>
              <w:pStyle w:val="Tablei"/>
            </w:pPr>
            <w:r w:rsidRPr="005E3B43">
              <w:t>(i) goods that are medicines; and</w:t>
            </w:r>
          </w:p>
          <w:p w14:paraId="26D3F8F8" w14:textId="1C316F89" w:rsidR="008F518B" w:rsidRPr="005E3B43" w:rsidRDefault="008F518B" w:rsidP="00763BCF">
            <w:pPr>
              <w:pStyle w:val="Tablei"/>
            </w:pPr>
            <w:r w:rsidRPr="005E3B43">
              <w:t xml:space="preserve">(ii) paragraph (a) of </w:t>
            </w:r>
            <w:r w:rsidR="007C3215">
              <w:t>item 1</w:t>
            </w:r>
            <w:r w:rsidRPr="005E3B43">
              <w:t xml:space="preserve"> applied to the evaluation of the application for approval</w:t>
            </w:r>
          </w:p>
        </w:tc>
        <w:tc>
          <w:tcPr>
            <w:tcW w:w="1240" w:type="pct"/>
            <w:tcBorders>
              <w:top w:val="nil"/>
              <w:bottom w:val="nil"/>
            </w:tcBorders>
            <w:shd w:val="clear" w:color="auto" w:fill="auto"/>
          </w:tcPr>
          <w:p w14:paraId="2D02F9EB" w14:textId="77777777" w:rsidR="008F518B" w:rsidRPr="005E3B43" w:rsidRDefault="00CF7328" w:rsidP="00763BCF">
            <w:pPr>
              <w:pStyle w:val="Tabletext"/>
            </w:pPr>
            <w:r w:rsidRPr="005E3B43">
              <w:t>562</w:t>
            </w:r>
          </w:p>
        </w:tc>
      </w:tr>
      <w:tr w:rsidR="008F518B" w:rsidRPr="005E3B43" w14:paraId="21838DED" w14:textId="77777777" w:rsidTr="008C520C">
        <w:tc>
          <w:tcPr>
            <w:tcW w:w="622" w:type="pct"/>
            <w:tcBorders>
              <w:top w:val="nil"/>
              <w:bottom w:val="single" w:sz="4" w:space="0" w:color="auto"/>
            </w:tcBorders>
            <w:shd w:val="clear" w:color="auto" w:fill="auto"/>
          </w:tcPr>
          <w:p w14:paraId="6A56242A" w14:textId="77777777" w:rsidR="008F518B" w:rsidRPr="005E3B43" w:rsidRDefault="008F518B" w:rsidP="00763BCF">
            <w:pPr>
              <w:pStyle w:val="Tabletext"/>
            </w:pPr>
          </w:p>
        </w:tc>
        <w:tc>
          <w:tcPr>
            <w:tcW w:w="3138" w:type="pct"/>
            <w:tcBorders>
              <w:top w:val="nil"/>
              <w:bottom w:val="single" w:sz="4" w:space="0" w:color="auto"/>
            </w:tcBorders>
            <w:shd w:val="clear" w:color="auto" w:fill="auto"/>
          </w:tcPr>
          <w:p w14:paraId="05B64337" w14:textId="77777777" w:rsidR="008F518B" w:rsidRPr="005E3B43" w:rsidRDefault="008F518B" w:rsidP="00763BCF">
            <w:pPr>
              <w:pStyle w:val="Tablea"/>
            </w:pPr>
            <w:r w:rsidRPr="005E3B43">
              <w:t>(b) if the request relates to:</w:t>
            </w:r>
          </w:p>
          <w:p w14:paraId="3C3D544C" w14:textId="77777777" w:rsidR="008F518B" w:rsidRPr="005E3B43" w:rsidRDefault="008F518B" w:rsidP="00763BCF">
            <w:pPr>
              <w:pStyle w:val="Tablei"/>
            </w:pPr>
            <w:r w:rsidRPr="005E3B43">
              <w:t>(i) goods that are medicines; and</w:t>
            </w:r>
          </w:p>
          <w:p w14:paraId="17D7ADBF" w14:textId="5B682D9F" w:rsidR="008F518B" w:rsidRPr="005E3B43" w:rsidRDefault="008F518B" w:rsidP="00763BCF">
            <w:pPr>
              <w:pStyle w:val="Tablei"/>
            </w:pPr>
            <w:r w:rsidRPr="005E3B43">
              <w:t xml:space="preserve">(ii) paragraph (b) of </w:t>
            </w:r>
            <w:r w:rsidR="007C3215">
              <w:t>item 1</w:t>
            </w:r>
            <w:r w:rsidRPr="005E3B43">
              <w:t xml:space="preserve"> applied to the evaluation of the application for approval</w:t>
            </w:r>
          </w:p>
        </w:tc>
        <w:tc>
          <w:tcPr>
            <w:tcW w:w="1240" w:type="pct"/>
            <w:tcBorders>
              <w:top w:val="nil"/>
              <w:bottom w:val="single" w:sz="4" w:space="0" w:color="auto"/>
            </w:tcBorders>
            <w:shd w:val="clear" w:color="auto" w:fill="auto"/>
          </w:tcPr>
          <w:p w14:paraId="48312C76" w14:textId="77777777" w:rsidR="008F518B" w:rsidRPr="005E3B43" w:rsidRDefault="00252F3B" w:rsidP="00763BCF">
            <w:pPr>
              <w:pStyle w:val="Tabletext"/>
            </w:pPr>
            <w:r w:rsidRPr="005E3B43">
              <w:t>6,940</w:t>
            </w:r>
          </w:p>
        </w:tc>
      </w:tr>
      <w:tr w:rsidR="00550FEB" w:rsidRPr="005E3B43" w14:paraId="7F7FF3DA" w14:textId="77777777" w:rsidTr="008C520C">
        <w:tblPrEx>
          <w:tblBorders>
            <w:insideH w:val="none" w:sz="0" w:space="0" w:color="auto"/>
          </w:tblBorders>
        </w:tblPrEx>
        <w:tc>
          <w:tcPr>
            <w:tcW w:w="622" w:type="pct"/>
            <w:tcBorders>
              <w:top w:val="single" w:sz="4" w:space="0" w:color="auto"/>
              <w:bottom w:val="single" w:sz="2" w:space="0" w:color="auto"/>
            </w:tcBorders>
            <w:shd w:val="clear" w:color="auto" w:fill="auto"/>
          </w:tcPr>
          <w:p w14:paraId="4EE87585" w14:textId="77777777" w:rsidR="00550FEB" w:rsidRPr="005E3B43" w:rsidRDefault="00550FEB" w:rsidP="00763BCF">
            <w:pPr>
              <w:pStyle w:val="Tabletext"/>
            </w:pPr>
            <w:r w:rsidRPr="005E3B43">
              <w:t>1AA</w:t>
            </w:r>
          </w:p>
        </w:tc>
        <w:tc>
          <w:tcPr>
            <w:tcW w:w="3138" w:type="pct"/>
            <w:tcBorders>
              <w:top w:val="single" w:sz="4" w:space="0" w:color="auto"/>
              <w:bottom w:val="single" w:sz="2" w:space="0" w:color="auto"/>
            </w:tcBorders>
            <w:shd w:val="clear" w:color="auto" w:fill="auto"/>
          </w:tcPr>
          <w:p w14:paraId="46F1408A" w14:textId="77777777" w:rsidR="00550FEB" w:rsidRPr="005E3B43" w:rsidRDefault="00550FEB" w:rsidP="00763BCF">
            <w:pPr>
              <w:pStyle w:val="Tabletext"/>
            </w:pPr>
            <w:r w:rsidRPr="005E3B43">
              <w:t>Application fee for the purposes of paragraph</w:t>
            </w:r>
            <w:r w:rsidR="004E6D00" w:rsidRPr="005E3B43">
              <w:t> </w:t>
            </w:r>
            <w:r w:rsidRPr="005E3B43">
              <w:t>22C(2)(b) of the Act for an application under sub</w:t>
            </w:r>
            <w:r w:rsidR="00FB7FAA" w:rsidRPr="005E3B43">
              <w:t>section 2</w:t>
            </w:r>
            <w:r w:rsidRPr="005E3B43">
              <w:t>2C(1) of the Act</w:t>
            </w:r>
          </w:p>
        </w:tc>
        <w:tc>
          <w:tcPr>
            <w:tcW w:w="1240" w:type="pct"/>
            <w:tcBorders>
              <w:top w:val="single" w:sz="4" w:space="0" w:color="auto"/>
              <w:bottom w:val="single" w:sz="2" w:space="0" w:color="auto"/>
            </w:tcBorders>
            <w:shd w:val="clear" w:color="auto" w:fill="auto"/>
          </w:tcPr>
          <w:p w14:paraId="3045C414" w14:textId="77777777" w:rsidR="00550FEB" w:rsidRPr="005E3B43" w:rsidRDefault="00252F3B" w:rsidP="00763BCF">
            <w:pPr>
              <w:pStyle w:val="Tabletext"/>
            </w:pPr>
            <w:r w:rsidRPr="005E3B43">
              <w:t>14,805</w:t>
            </w:r>
          </w:p>
        </w:tc>
      </w:tr>
      <w:tr w:rsidR="00550FEB" w:rsidRPr="005E3B43" w14:paraId="2A8FC548" w14:textId="77777777" w:rsidTr="005A786D">
        <w:tblPrEx>
          <w:tblBorders>
            <w:insideH w:val="none" w:sz="0" w:space="0" w:color="auto"/>
          </w:tblBorders>
        </w:tblPrEx>
        <w:tc>
          <w:tcPr>
            <w:tcW w:w="622" w:type="pct"/>
            <w:tcBorders>
              <w:top w:val="single" w:sz="2" w:space="0" w:color="auto"/>
              <w:bottom w:val="single" w:sz="2" w:space="0" w:color="auto"/>
            </w:tcBorders>
            <w:shd w:val="clear" w:color="auto" w:fill="auto"/>
          </w:tcPr>
          <w:p w14:paraId="6ABAE210" w14:textId="77777777" w:rsidR="00550FEB" w:rsidRPr="005E3B43" w:rsidRDefault="00550FEB" w:rsidP="00763BCF">
            <w:pPr>
              <w:pStyle w:val="Tabletext"/>
            </w:pPr>
            <w:r w:rsidRPr="005E3B43">
              <w:t>1AB</w:t>
            </w:r>
          </w:p>
        </w:tc>
        <w:tc>
          <w:tcPr>
            <w:tcW w:w="3138" w:type="pct"/>
            <w:tcBorders>
              <w:top w:val="single" w:sz="2" w:space="0" w:color="auto"/>
              <w:bottom w:val="single" w:sz="2" w:space="0" w:color="auto"/>
            </w:tcBorders>
            <w:shd w:val="clear" w:color="auto" w:fill="auto"/>
          </w:tcPr>
          <w:p w14:paraId="1E7F60FF" w14:textId="77777777" w:rsidR="00550FEB" w:rsidRPr="005E3B43" w:rsidRDefault="00550FEB" w:rsidP="00763BCF">
            <w:pPr>
              <w:pStyle w:val="Tabletext"/>
            </w:pPr>
            <w:r w:rsidRPr="005E3B43">
              <w:t>Application fee for the purposes of paragraph</w:t>
            </w:r>
            <w:r w:rsidR="004E6D00" w:rsidRPr="005E3B43">
              <w:t> </w:t>
            </w:r>
            <w:r w:rsidRPr="005E3B43">
              <w:t>22E(4)(c) of the Act for an application under sub</w:t>
            </w:r>
            <w:r w:rsidR="00FB7FAA" w:rsidRPr="005E3B43">
              <w:t>section 2</w:t>
            </w:r>
            <w:r w:rsidRPr="005E3B43">
              <w:t>2E(3) of the Act</w:t>
            </w:r>
          </w:p>
        </w:tc>
        <w:tc>
          <w:tcPr>
            <w:tcW w:w="1240" w:type="pct"/>
            <w:tcBorders>
              <w:top w:val="single" w:sz="2" w:space="0" w:color="auto"/>
              <w:bottom w:val="single" w:sz="2" w:space="0" w:color="auto"/>
            </w:tcBorders>
            <w:shd w:val="clear" w:color="auto" w:fill="auto"/>
          </w:tcPr>
          <w:p w14:paraId="17B8E0AB" w14:textId="77777777" w:rsidR="00550FEB" w:rsidRPr="005E3B43" w:rsidRDefault="003E21A8" w:rsidP="00763BCF">
            <w:pPr>
              <w:pStyle w:val="Tabletext"/>
            </w:pPr>
            <w:r w:rsidRPr="005E3B43">
              <w:t>5,368</w:t>
            </w:r>
          </w:p>
        </w:tc>
      </w:tr>
      <w:tr w:rsidR="00DF1B3D" w:rsidRPr="005E3B43" w14:paraId="64CF08B0" w14:textId="77777777" w:rsidTr="00AE0FF1">
        <w:tblPrEx>
          <w:tblBorders>
            <w:insideH w:val="none" w:sz="0" w:space="0" w:color="auto"/>
          </w:tblBorders>
        </w:tblPrEx>
        <w:trPr>
          <w:cantSplit/>
        </w:trPr>
        <w:tc>
          <w:tcPr>
            <w:tcW w:w="622" w:type="pct"/>
            <w:tcBorders>
              <w:top w:val="single" w:sz="2" w:space="0" w:color="auto"/>
              <w:bottom w:val="single" w:sz="2" w:space="0" w:color="auto"/>
            </w:tcBorders>
            <w:shd w:val="clear" w:color="auto" w:fill="auto"/>
          </w:tcPr>
          <w:p w14:paraId="689027BB" w14:textId="77777777" w:rsidR="00DF1B3D" w:rsidRPr="005E3B43" w:rsidRDefault="00DF1B3D" w:rsidP="00763BCF">
            <w:pPr>
              <w:pStyle w:val="Tabletext"/>
            </w:pPr>
            <w:r w:rsidRPr="005E3B43">
              <w:t>1ABA</w:t>
            </w:r>
          </w:p>
        </w:tc>
        <w:tc>
          <w:tcPr>
            <w:tcW w:w="3138" w:type="pct"/>
            <w:tcBorders>
              <w:top w:val="single" w:sz="2" w:space="0" w:color="auto"/>
              <w:bottom w:val="single" w:sz="2" w:space="0" w:color="auto"/>
            </w:tcBorders>
            <w:shd w:val="clear" w:color="auto" w:fill="auto"/>
          </w:tcPr>
          <w:p w14:paraId="7D512332" w14:textId="77777777" w:rsidR="00DF1B3D" w:rsidRPr="005E3B43" w:rsidRDefault="00DF1B3D" w:rsidP="00763BCF">
            <w:pPr>
              <w:pStyle w:val="Tabletext"/>
            </w:pPr>
            <w:r w:rsidRPr="005E3B43">
              <w:t xml:space="preserve">Fee for the purposes of paragraph 22G(8)(b) of the Act for a request under </w:t>
            </w:r>
            <w:r w:rsidR="00FB7FAA" w:rsidRPr="005E3B43">
              <w:t>section 2</w:t>
            </w:r>
            <w:r w:rsidRPr="005E3B43">
              <w:t>2G of the Act</w:t>
            </w:r>
          </w:p>
        </w:tc>
        <w:tc>
          <w:tcPr>
            <w:tcW w:w="1240" w:type="pct"/>
            <w:tcBorders>
              <w:top w:val="single" w:sz="2" w:space="0" w:color="auto"/>
              <w:bottom w:val="single" w:sz="2" w:space="0" w:color="auto"/>
            </w:tcBorders>
            <w:shd w:val="clear" w:color="auto" w:fill="auto"/>
          </w:tcPr>
          <w:p w14:paraId="2CC03571" w14:textId="77777777" w:rsidR="00DF1B3D" w:rsidRPr="005E3B43" w:rsidRDefault="003E21A8" w:rsidP="00763BCF">
            <w:pPr>
              <w:pStyle w:val="Tabletext"/>
            </w:pPr>
            <w:r w:rsidRPr="005E3B43">
              <w:t>9,786</w:t>
            </w:r>
          </w:p>
        </w:tc>
      </w:tr>
      <w:tr w:rsidR="00550FEB" w:rsidRPr="005E3B43" w14:paraId="5ECB87CE" w14:textId="77777777" w:rsidTr="005A786D">
        <w:tblPrEx>
          <w:tblBorders>
            <w:insideH w:val="none" w:sz="0" w:space="0" w:color="auto"/>
          </w:tblBorders>
        </w:tblPrEx>
        <w:tc>
          <w:tcPr>
            <w:tcW w:w="622" w:type="pct"/>
            <w:tcBorders>
              <w:top w:val="nil"/>
              <w:bottom w:val="nil"/>
            </w:tcBorders>
            <w:shd w:val="clear" w:color="auto" w:fill="auto"/>
          </w:tcPr>
          <w:p w14:paraId="758D4391" w14:textId="77777777" w:rsidR="00550FEB" w:rsidRPr="005E3B43" w:rsidRDefault="00550FEB" w:rsidP="00763BCF">
            <w:pPr>
              <w:pStyle w:val="Tabletext"/>
            </w:pPr>
            <w:r w:rsidRPr="005E3B43">
              <w:t>1AC</w:t>
            </w:r>
          </w:p>
        </w:tc>
        <w:tc>
          <w:tcPr>
            <w:tcW w:w="3138" w:type="pct"/>
            <w:tcBorders>
              <w:top w:val="nil"/>
              <w:bottom w:val="nil"/>
            </w:tcBorders>
            <w:shd w:val="clear" w:color="auto" w:fill="auto"/>
          </w:tcPr>
          <w:p w14:paraId="476606A4" w14:textId="77777777" w:rsidR="00550FEB" w:rsidRPr="005E3B43" w:rsidRDefault="00550FEB" w:rsidP="00763BCF">
            <w:pPr>
              <w:pStyle w:val="Tabletext"/>
            </w:pPr>
            <w:r w:rsidRPr="005E3B43">
              <w:t>Application fee for the purposes of paragraph</w:t>
            </w:r>
            <w:r w:rsidR="004E6D00" w:rsidRPr="005E3B43">
              <w:t> </w:t>
            </w:r>
            <w:r w:rsidRPr="005E3B43">
              <w:t xml:space="preserve">23B(2)(b) of the Act for an application under </w:t>
            </w:r>
            <w:r w:rsidR="00FB7FAA" w:rsidRPr="005E3B43">
              <w:t>section 2</w:t>
            </w:r>
            <w:r w:rsidRPr="005E3B43">
              <w:t xml:space="preserve">3 of the Act for registration of a medicine in relation to which a provisional determination under </w:t>
            </w:r>
            <w:r w:rsidR="00FB7FAA" w:rsidRPr="005E3B43">
              <w:t>section 2</w:t>
            </w:r>
            <w:r w:rsidRPr="005E3B43">
              <w:t>2D of the Act is in force:</w:t>
            </w:r>
          </w:p>
        </w:tc>
        <w:tc>
          <w:tcPr>
            <w:tcW w:w="1240" w:type="pct"/>
            <w:tcBorders>
              <w:top w:val="nil"/>
              <w:bottom w:val="nil"/>
            </w:tcBorders>
            <w:shd w:val="clear" w:color="auto" w:fill="auto"/>
          </w:tcPr>
          <w:p w14:paraId="301989E3" w14:textId="77777777" w:rsidR="00550FEB" w:rsidRPr="005E3B43" w:rsidRDefault="00550FEB" w:rsidP="00763BCF">
            <w:pPr>
              <w:pStyle w:val="Tabletext"/>
            </w:pPr>
          </w:p>
        </w:tc>
      </w:tr>
      <w:tr w:rsidR="00550FEB" w:rsidRPr="005E3B43" w14:paraId="537442F5" w14:textId="77777777" w:rsidTr="005A786D">
        <w:tblPrEx>
          <w:tblBorders>
            <w:insideH w:val="none" w:sz="0" w:space="0" w:color="auto"/>
          </w:tblBorders>
        </w:tblPrEx>
        <w:tc>
          <w:tcPr>
            <w:tcW w:w="622" w:type="pct"/>
            <w:tcBorders>
              <w:top w:val="nil"/>
            </w:tcBorders>
            <w:shd w:val="clear" w:color="auto" w:fill="auto"/>
          </w:tcPr>
          <w:p w14:paraId="4125C878" w14:textId="77777777" w:rsidR="00550FEB" w:rsidRPr="005E3B43" w:rsidRDefault="00550FEB" w:rsidP="00763BCF">
            <w:pPr>
              <w:pStyle w:val="Tabletext"/>
            </w:pPr>
          </w:p>
        </w:tc>
        <w:tc>
          <w:tcPr>
            <w:tcW w:w="3138" w:type="pct"/>
            <w:tcBorders>
              <w:top w:val="nil"/>
            </w:tcBorders>
            <w:shd w:val="clear" w:color="auto" w:fill="auto"/>
          </w:tcPr>
          <w:p w14:paraId="61888D3E" w14:textId="77777777" w:rsidR="00550FEB" w:rsidRPr="005E3B43" w:rsidRDefault="00550FEB" w:rsidP="00763BCF">
            <w:pPr>
              <w:pStyle w:val="Tablea"/>
            </w:pPr>
            <w:r w:rsidRPr="005E3B43">
              <w:t>(a) if the application relates to a new prescription medicine</w:t>
            </w:r>
          </w:p>
        </w:tc>
        <w:tc>
          <w:tcPr>
            <w:tcW w:w="1240" w:type="pct"/>
            <w:tcBorders>
              <w:top w:val="nil"/>
            </w:tcBorders>
            <w:shd w:val="clear" w:color="auto" w:fill="auto"/>
          </w:tcPr>
          <w:p w14:paraId="4E9F61B5" w14:textId="77777777" w:rsidR="00550FEB" w:rsidRPr="005E3B43" w:rsidRDefault="00343FA9" w:rsidP="00763BCF">
            <w:pPr>
              <w:pStyle w:val="Tabletext"/>
            </w:pPr>
            <w:r w:rsidRPr="005E3B43">
              <w:t>56,956</w:t>
            </w:r>
          </w:p>
        </w:tc>
      </w:tr>
      <w:tr w:rsidR="00550FEB" w:rsidRPr="005E3B43" w14:paraId="28D6D8C1" w14:textId="77777777" w:rsidTr="005A786D">
        <w:tblPrEx>
          <w:tblBorders>
            <w:insideH w:val="none" w:sz="0" w:space="0" w:color="auto"/>
          </w:tblBorders>
        </w:tblPrEx>
        <w:tc>
          <w:tcPr>
            <w:tcW w:w="622" w:type="pct"/>
            <w:tcBorders>
              <w:bottom w:val="single" w:sz="2" w:space="0" w:color="auto"/>
            </w:tcBorders>
            <w:shd w:val="clear" w:color="auto" w:fill="auto"/>
          </w:tcPr>
          <w:p w14:paraId="2E39818E" w14:textId="77777777" w:rsidR="00550FEB" w:rsidRPr="005E3B43" w:rsidRDefault="00550FEB" w:rsidP="00763BCF">
            <w:pPr>
              <w:pStyle w:val="Tabletext"/>
            </w:pPr>
          </w:p>
        </w:tc>
        <w:tc>
          <w:tcPr>
            <w:tcW w:w="3138" w:type="pct"/>
            <w:tcBorders>
              <w:bottom w:val="single" w:sz="2" w:space="0" w:color="auto"/>
            </w:tcBorders>
            <w:shd w:val="clear" w:color="auto" w:fill="auto"/>
          </w:tcPr>
          <w:p w14:paraId="6F2BE22D" w14:textId="77777777" w:rsidR="00550FEB" w:rsidRPr="005E3B43" w:rsidRDefault="00550FEB" w:rsidP="00763BCF">
            <w:pPr>
              <w:pStyle w:val="Tablea"/>
            </w:pPr>
            <w:r w:rsidRPr="005E3B43">
              <w:t>(b) if the application relates to a new indications medicine</w:t>
            </w:r>
          </w:p>
        </w:tc>
        <w:tc>
          <w:tcPr>
            <w:tcW w:w="1240" w:type="pct"/>
            <w:tcBorders>
              <w:bottom w:val="single" w:sz="2" w:space="0" w:color="auto"/>
            </w:tcBorders>
            <w:shd w:val="clear" w:color="auto" w:fill="auto"/>
          </w:tcPr>
          <w:p w14:paraId="0190BE08" w14:textId="77777777" w:rsidR="00550FEB" w:rsidRPr="005E3B43" w:rsidRDefault="00343FA9" w:rsidP="00763BCF">
            <w:pPr>
              <w:pStyle w:val="Tabletext"/>
            </w:pPr>
            <w:r w:rsidRPr="005E3B43">
              <w:t>34,016</w:t>
            </w:r>
          </w:p>
        </w:tc>
      </w:tr>
      <w:tr w:rsidR="00550FEB" w:rsidRPr="005E3B43" w14:paraId="34C43C55" w14:textId="77777777" w:rsidTr="005A786D">
        <w:tblPrEx>
          <w:tblBorders>
            <w:insideH w:val="none" w:sz="0" w:space="0" w:color="auto"/>
          </w:tblBorders>
        </w:tblPrEx>
        <w:tc>
          <w:tcPr>
            <w:tcW w:w="622" w:type="pct"/>
            <w:tcBorders>
              <w:top w:val="single" w:sz="2" w:space="0" w:color="auto"/>
              <w:bottom w:val="nil"/>
            </w:tcBorders>
            <w:shd w:val="clear" w:color="auto" w:fill="auto"/>
          </w:tcPr>
          <w:p w14:paraId="55461F28" w14:textId="77777777" w:rsidR="00550FEB" w:rsidRPr="005E3B43" w:rsidRDefault="00550FEB" w:rsidP="00763BCF">
            <w:pPr>
              <w:pStyle w:val="Tabletext"/>
            </w:pPr>
            <w:r w:rsidRPr="005E3B43">
              <w:t>1AD</w:t>
            </w:r>
          </w:p>
        </w:tc>
        <w:tc>
          <w:tcPr>
            <w:tcW w:w="3138" w:type="pct"/>
            <w:tcBorders>
              <w:top w:val="single" w:sz="2" w:space="0" w:color="auto"/>
              <w:bottom w:val="nil"/>
            </w:tcBorders>
            <w:shd w:val="clear" w:color="auto" w:fill="auto"/>
          </w:tcPr>
          <w:p w14:paraId="7E262BF7" w14:textId="77777777" w:rsidR="00550FEB" w:rsidRPr="005E3B43" w:rsidRDefault="00550FEB" w:rsidP="00763BCF">
            <w:pPr>
              <w:pStyle w:val="Tabletext"/>
            </w:pPr>
            <w:r w:rsidRPr="005E3B43">
              <w:t>Evaluation fee for the purposes of sub</w:t>
            </w:r>
            <w:r w:rsidR="00FB7FAA" w:rsidRPr="005E3B43">
              <w:t>section 2</w:t>
            </w:r>
            <w:r w:rsidRPr="005E3B43">
              <w:t xml:space="preserve">4(1A) of the Act for an application under </w:t>
            </w:r>
            <w:r w:rsidR="00FB7FAA" w:rsidRPr="005E3B43">
              <w:t>section 2</w:t>
            </w:r>
            <w:r w:rsidRPr="005E3B43">
              <w:t xml:space="preserve">3 of the Act for registration of a medicine in relation to which a provisional determination under </w:t>
            </w:r>
            <w:r w:rsidR="00FB7FAA" w:rsidRPr="005E3B43">
              <w:t>section 2</w:t>
            </w:r>
            <w:r w:rsidRPr="005E3B43">
              <w:t>2D of the Act is in force:</w:t>
            </w:r>
          </w:p>
        </w:tc>
        <w:tc>
          <w:tcPr>
            <w:tcW w:w="1240" w:type="pct"/>
            <w:tcBorders>
              <w:top w:val="single" w:sz="2" w:space="0" w:color="auto"/>
              <w:bottom w:val="nil"/>
            </w:tcBorders>
            <w:shd w:val="clear" w:color="auto" w:fill="auto"/>
          </w:tcPr>
          <w:p w14:paraId="19719094" w14:textId="77777777" w:rsidR="00550FEB" w:rsidRPr="005E3B43" w:rsidRDefault="00550FEB" w:rsidP="00763BCF">
            <w:pPr>
              <w:pStyle w:val="Tabletext"/>
            </w:pPr>
          </w:p>
        </w:tc>
      </w:tr>
      <w:tr w:rsidR="00550FEB" w:rsidRPr="005E3B43" w14:paraId="100CF6EE" w14:textId="77777777" w:rsidTr="005A786D">
        <w:tblPrEx>
          <w:tblBorders>
            <w:insideH w:val="none" w:sz="0" w:space="0" w:color="auto"/>
          </w:tblBorders>
        </w:tblPrEx>
        <w:tc>
          <w:tcPr>
            <w:tcW w:w="622" w:type="pct"/>
            <w:tcBorders>
              <w:top w:val="nil"/>
              <w:bottom w:val="nil"/>
            </w:tcBorders>
            <w:shd w:val="clear" w:color="auto" w:fill="auto"/>
          </w:tcPr>
          <w:p w14:paraId="674B560E" w14:textId="77777777" w:rsidR="00550FEB" w:rsidRPr="005E3B43" w:rsidRDefault="00550FEB" w:rsidP="00763BCF">
            <w:pPr>
              <w:pStyle w:val="Tabletext"/>
            </w:pPr>
          </w:p>
        </w:tc>
        <w:tc>
          <w:tcPr>
            <w:tcW w:w="3138" w:type="pct"/>
            <w:tcBorders>
              <w:top w:val="nil"/>
              <w:bottom w:val="nil"/>
            </w:tcBorders>
            <w:shd w:val="clear" w:color="auto" w:fill="auto"/>
          </w:tcPr>
          <w:p w14:paraId="5031345F" w14:textId="77777777" w:rsidR="00550FEB" w:rsidRPr="005E3B43" w:rsidRDefault="00550FEB" w:rsidP="00763BCF">
            <w:pPr>
              <w:pStyle w:val="Tablea"/>
            </w:pPr>
            <w:r w:rsidRPr="005E3B43">
              <w:t>(a) if the evaluation relates to a new prescription medicine</w:t>
            </w:r>
          </w:p>
        </w:tc>
        <w:tc>
          <w:tcPr>
            <w:tcW w:w="1240" w:type="pct"/>
            <w:tcBorders>
              <w:top w:val="nil"/>
              <w:bottom w:val="nil"/>
            </w:tcBorders>
            <w:shd w:val="clear" w:color="auto" w:fill="auto"/>
          </w:tcPr>
          <w:p w14:paraId="0AB2FFD3" w14:textId="77777777" w:rsidR="00550FEB" w:rsidRPr="005E3B43" w:rsidRDefault="00E26117" w:rsidP="00763BCF">
            <w:pPr>
              <w:pStyle w:val="Tabletext"/>
            </w:pPr>
            <w:r w:rsidRPr="005E3B43">
              <w:t>297,212</w:t>
            </w:r>
          </w:p>
        </w:tc>
      </w:tr>
      <w:tr w:rsidR="00550FEB" w:rsidRPr="005E3B43" w14:paraId="5D3CE67E" w14:textId="77777777" w:rsidTr="005A786D">
        <w:tblPrEx>
          <w:tblBorders>
            <w:insideH w:val="none" w:sz="0" w:space="0" w:color="auto"/>
          </w:tblBorders>
        </w:tblPrEx>
        <w:tc>
          <w:tcPr>
            <w:tcW w:w="622" w:type="pct"/>
            <w:tcBorders>
              <w:top w:val="nil"/>
              <w:bottom w:val="single" w:sz="2" w:space="0" w:color="auto"/>
            </w:tcBorders>
            <w:shd w:val="clear" w:color="auto" w:fill="auto"/>
          </w:tcPr>
          <w:p w14:paraId="5C69C18E" w14:textId="77777777" w:rsidR="00550FEB" w:rsidRPr="005E3B43" w:rsidRDefault="00550FEB" w:rsidP="00763BCF">
            <w:pPr>
              <w:pStyle w:val="Tabletext"/>
            </w:pPr>
          </w:p>
        </w:tc>
        <w:tc>
          <w:tcPr>
            <w:tcW w:w="3138" w:type="pct"/>
            <w:tcBorders>
              <w:top w:val="nil"/>
              <w:bottom w:val="single" w:sz="2" w:space="0" w:color="auto"/>
            </w:tcBorders>
            <w:shd w:val="clear" w:color="auto" w:fill="auto"/>
          </w:tcPr>
          <w:p w14:paraId="60334E29" w14:textId="77777777" w:rsidR="00550FEB" w:rsidRPr="005E3B43" w:rsidRDefault="00550FEB" w:rsidP="00763BCF">
            <w:pPr>
              <w:pStyle w:val="Tablea"/>
            </w:pPr>
            <w:r w:rsidRPr="005E3B43">
              <w:t>(b) if the evaluation relates to a new indications medicine</w:t>
            </w:r>
          </w:p>
        </w:tc>
        <w:tc>
          <w:tcPr>
            <w:tcW w:w="1240" w:type="pct"/>
            <w:tcBorders>
              <w:top w:val="nil"/>
              <w:bottom w:val="single" w:sz="2" w:space="0" w:color="auto"/>
            </w:tcBorders>
            <w:shd w:val="clear" w:color="auto" w:fill="auto"/>
          </w:tcPr>
          <w:p w14:paraId="2B4A521D" w14:textId="77777777" w:rsidR="00550FEB" w:rsidRPr="005E3B43" w:rsidRDefault="00E26117" w:rsidP="00763BCF">
            <w:pPr>
              <w:pStyle w:val="Tabletext"/>
            </w:pPr>
            <w:r w:rsidRPr="005E3B43">
              <w:t>196,070</w:t>
            </w:r>
          </w:p>
        </w:tc>
      </w:tr>
      <w:tr w:rsidR="00550FEB" w:rsidRPr="005E3B43" w14:paraId="75335153" w14:textId="77777777" w:rsidTr="005A786D">
        <w:tblPrEx>
          <w:tblBorders>
            <w:insideH w:val="none" w:sz="0" w:space="0" w:color="auto"/>
          </w:tblBorders>
        </w:tblPrEx>
        <w:tc>
          <w:tcPr>
            <w:tcW w:w="622" w:type="pct"/>
            <w:tcBorders>
              <w:top w:val="single" w:sz="2" w:space="0" w:color="auto"/>
              <w:bottom w:val="single" w:sz="2" w:space="0" w:color="auto"/>
            </w:tcBorders>
            <w:shd w:val="clear" w:color="auto" w:fill="auto"/>
          </w:tcPr>
          <w:p w14:paraId="04636650" w14:textId="77777777" w:rsidR="00550FEB" w:rsidRPr="005E3B43" w:rsidRDefault="00550FEB" w:rsidP="00763BCF">
            <w:pPr>
              <w:pStyle w:val="Tabletext"/>
            </w:pPr>
            <w:r w:rsidRPr="005E3B43">
              <w:t>1AE</w:t>
            </w:r>
          </w:p>
        </w:tc>
        <w:tc>
          <w:tcPr>
            <w:tcW w:w="3138" w:type="pct"/>
            <w:tcBorders>
              <w:top w:val="single" w:sz="2" w:space="0" w:color="auto"/>
              <w:bottom w:val="single" w:sz="2" w:space="0" w:color="auto"/>
            </w:tcBorders>
            <w:shd w:val="clear" w:color="auto" w:fill="auto"/>
          </w:tcPr>
          <w:p w14:paraId="7458CC2C" w14:textId="77777777" w:rsidR="00550FEB" w:rsidRPr="005E3B43" w:rsidRDefault="00550FEB" w:rsidP="00763BCF">
            <w:pPr>
              <w:pStyle w:val="Tabletext"/>
            </w:pPr>
            <w:r w:rsidRPr="005E3B43">
              <w:t>Application fee for the purposes of paragraph</w:t>
            </w:r>
            <w:r w:rsidR="004E6D00" w:rsidRPr="005E3B43">
              <w:t> </w:t>
            </w:r>
            <w:r w:rsidRPr="005E3B43">
              <w:t xml:space="preserve">23B(2)(b) of the Act for an application under </w:t>
            </w:r>
            <w:r w:rsidR="00FB7FAA" w:rsidRPr="005E3B43">
              <w:t>section 2</w:t>
            </w:r>
            <w:r w:rsidRPr="005E3B43">
              <w:t>3 of the Act for registration of a medicine that is provisionally registered to be included in the part of the Register for goods known as registered goods</w:t>
            </w:r>
          </w:p>
        </w:tc>
        <w:tc>
          <w:tcPr>
            <w:tcW w:w="1240" w:type="pct"/>
            <w:tcBorders>
              <w:top w:val="single" w:sz="2" w:space="0" w:color="auto"/>
              <w:bottom w:val="single" w:sz="2" w:space="0" w:color="auto"/>
            </w:tcBorders>
            <w:shd w:val="clear" w:color="auto" w:fill="auto"/>
          </w:tcPr>
          <w:p w14:paraId="0D9DAE45" w14:textId="77777777" w:rsidR="00550FEB" w:rsidRPr="005E3B43" w:rsidRDefault="00D546F0" w:rsidP="00763BCF">
            <w:pPr>
              <w:pStyle w:val="Tabletext"/>
            </w:pPr>
            <w:r w:rsidRPr="005E3B43">
              <w:t>33,903</w:t>
            </w:r>
          </w:p>
        </w:tc>
      </w:tr>
      <w:tr w:rsidR="00550FEB" w:rsidRPr="005E3B43" w14:paraId="764D339D" w14:textId="77777777" w:rsidTr="005A786D">
        <w:tblPrEx>
          <w:tblBorders>
            <w:insideH w:val="none" w:sz="0" w:space="0" w:color="auto"/>
          </w:tblBorders>
        </w:tblPrEx>
        <w:tc>
          <w:tcPr>
            <w:tcW w:w="622" w:type="pct"/>
            <w:tcBorders>
              <w:top w:val="single" w:sz="2" w:space="0" w:color="auto"/>
              <w:bottom w:val="single" w:sz="2" w:space="0" w:color="auto"/>
            </w:tcBorders>
            <w:shd w:val="clear" w:color="auto" w:fill="auto"/>
          </w:tcPr>
          <w:p w14:paraId="4CC3C933" w14:textId="77777777" w:rsidR="00550FEB" w:rsidRPr="005E3B43" w:rsidRDefault="00550FEB" w:rsidP="00763BCF">
            <w:pPr>
              <w:pStyle w:val="Tabletext"/>
            </w:pPr>
            <w:r w:rsidRPr="005E3B43">
              <w:t>1AF</w:t>
            </w:r>
          </w:p>
        </w:tc>
        <w:tc>
          <w:tcPr>
            <w:tcW w:w="3138" w:type="pct"/>
            <w:tcBorders>
              <w:top w:val="single" w:sz="2" w:space="0" w:color="auto"/>
              <w:bottom w:val="single" w:sz="2" w:space="0" w:color="auto"/>
            </w:tcBorders>
            <w:shd w:val="clear" w:color="auto" w:fill="auto"/>
          </w:tcPr>
          <w:p w14:paraId="0E0A80AC" w14:textId="77777777" w:rsidR="00550FEB" w:rsidRPr="005E3B43" w:rsidRDefault="00550FEB" w:rsidP="00763BCF">
            <w:pPr>
              <w:pStyle w:val="Tabletext"/>
            </w:pPr>
            <w:r w:rsidRPr="005E3B43">
              <w:t>Evaluation fee for the purposes of sub</w:t>
            </w:r>
            <w:r w:rsidR="00FB7FAA" w:rsidRPr="005E3B43">
              <w:t>section 2</w:t>
            </w:r>
            <w:r w:rsidRPr="005E3B43">
              <w:t xml:space="preserve">4(1A) of the Act for an application under </w:t>
            </w:r>
            <w:r w:rsidR="00FB7FAA" w:rsidRPr="005E3B43">
              <w:t>section 2</w:t>
            </w:r>
            <w:r w:rsidRPr="005E3B43">
              <w:t>3 of the Act for registration of a medicine that is provisionally registered to be included in the part of the Register for goods known as registered goods</w:t>
            </w:r>
          </w:p>
        </w:tc>
        <w:tc>
          <w:tcPr>
            <w:tcW w:w="1240" w:type="pct"/>
            <w:tcBorders>
              <w:top w:val="single" w:sz="2" w:space="0" w:color="auto"/>
              <w:bottom w:val="single" w:sz="2" w:space="0" w:color="auto"/>
            </w:tcBorders>
            <w:shd w:val="clear" w:color="auto" w:fill="auto"/>
          </w:tcPr>
          <w:p w14:paraId="43F7037A" w14:textId="77777777" w:rsidR="00550FEB" w:rsidRPr="005E3B43" w:rsidRDefault="00F30A85" w:rsidP="00763BCF">
            <w:pPr>
              <w:pStyle w:val="Tabletext"/>
            </w:pPr>
            <w:r w:rsidRPr="005E3B43">
              <w:t>142,955</w:t>
            </w:r>
          </w:p>
        </w:tc>
      </w:tr>
      <w:tr w:rsidR="00550FEB" w:rsidRPr="005E3B43" w14:paraId="6E8136DD" w14:textId="77777777" w:rsidTr="005A786D">
        <w:tblPrEx>
          <w:tblBorders>
            <w:insideH w:val="none" w:sz="0" w:space="0" w:color="auto"/>
          </w:tblBorders>
        </w:tblPrEx>
        <w:tc>
          <w:tcPr>
            <w:tcW w:w="622" w:type="pct"/>
            <w:tcBorders>
              <w:top w:val="single" w:sz="2" w:space="0" w:color="auto"/>
              <w:bottom w:val="nil"/>
            </w:tcBorders>
            <w:shd w:val="clear" w:color="auto" w:fill="auto"/>
          </w:tcPr>
          <w:p w14:paraId="0AC1F524" w14:textId="77777777" w:rsidR="00550FEB" w:rsidRPr="005E3B43" w:rsidRDefault="00550FEB" w:rsidP="00763BCF">
            <w:pPr>
              <w:pStyle w:val="Tabletext"/>
            </w:pPr>
            <w:r w:rsidRPr="005E3B43">
              <w:t>1AG</w:t>
            </w:r>
          </w:p>
        </w:tc>
        <w:tc>
          <w:tcPr>
            <w:tcW w:w="3138" w:type="pct"/>
            <w:tcBorders>
              <w:top w:val="single" w:sz="2" w:space="0" w:color="auto"/>
              <w:bottom w:val="nil"/>
            </w:tcBorders>
            <w:shd w:val="clear" w:color="auto" w:fill="auto"/>
          </w:tcPr>
          <w:p w14:paraId="4DE61728" w14:textId="77777777" w:rsidR="00550FEB" w:rsidRPr="005E3B43" w:rsidRDefault="00550FEB" w:rsidP="00763BCF">
            <w:pPr>
              <w:pStyle w:val="Tabletext"/>
            </w:pPr>
            <w:r w:rsidRPr="005E3B43">
              <w:t>Application fee for the purposes of paragraph</w:t>
            </w:r>
            <w:r w:rsidR="004E6D00" w:rsidRPr="005E3B43">
              <w:t> </w:t>
            </w:r>
            <w:r w:rsidRPr="005E3B43">
              <w:t>29(5)(d) of the Act for an application under sub</w:t>
            </w:r>
            <w:r w:rsidR="00FB7FAA" w:rsidRPr="005E3B43">
              <w:t>section 2</w:t>
            </w:r>
            <w:r w:rsidRPr="005E3B43">
              <w:t>9(4) of the Act</w:t>
            </w:r>
          </w:p>
        </w:tc>
        <w:tc>
          <w:tcPr>
            <w:tcW w:w="1240" w:type="pct"/>
            <w:tcBorders>
              <w:top w:val="single" w:sz="2" w:space="0" w:color="auto"/>
              <w:bottom w:val="nil"/>
            </w:tcBorders>
            <w:shd w:val="clear" w:color="auto" w:fill="auto"/>
          </w:tcPr>
          <w:p w14:paraId="0F133266" w14:textId="77777777" w:rsidR="00550FEB" w:rsidRPr="005E3B43" w:rsidRDefault="00F30A85" w:rsidP="00763BCF">
            <w:pPr>
              <w:pStyle w:val="Tabletext"/>
            </w:pPr>
            <w:r w:rsidRPr="005E3B43">
              <w:t>20,455</w:t>
            </w:r>
          </w:p>
        </w:tc>
      </w:tr>
      <w:tr w:rsidR="00550FEB" w:rsidRPr="005E3B43" w14:paraId="483FC20A" w14:textId="77777777" w:rsidTr="005A786D">
        <w:tc>
          <w:tcPr>
            <w:tcW w:w="622" w:type="pct"/>
            <w:tcBorders>
              <w:top w:val="single" w:sz="4" w:space="0" w:color="auto"/>
              <w:bottom w:val="single" w:sz="4" w:space="0" w:color="auto"/>
            </w:tcBorders>
            <w:shd w:val="clear" w:color="auto" w:fill="auto"/>
          </w:tcPr>
          <w:p w14:paraId="6E22A4E2" w14:textId="77777777" w:rsidR="00550FEB" w:rsidRPr="005E3B43" w:rsidRDefault="00550FEB" w:rsidP="00763BCF">
            <w:pPr>
              <w:pStyle w:val="Tabletext"/>
            </w:pPr>
            <w:r w:rsidRPr="005E3B43">
              <w:t>1B</w:t>
            </w:r>
          </w:p>
        </w:tc>
        <w:tc>
          <w:tcPr>
            <w:tcW w:w="3138" w:type="pct"/>
            <w:tcBorders>
              <w:top w:val="single" w:sz="4" w:space="0" w:color="auto"/>
              <w:bottom w:val="single" w:sz="4" w:space="0" w:color="auto"/>
            </w:tcBorders>
            <w:shd w:val="clear" w:color="auto" w:fill="auto"/>
          </w:tcPr>
          <w:p w14:paraId="421C61D2" w14:textId="77777777" w:rsidR="00550FEB" w:rsidRPr="005E3B43" w:rsidRDefault="00550FEB" w:rsidP="00763BCF">
            <w:pPr>
              <w:pStyle w:val="Tablea"/>
              <w:ind w:left="0" w:right="-52" w:firstLine="0"/>
            </w:pPr>
            <w:r w:rsidRPr="005E3B43">
              <w:t>Application fee for the purposes of paragraph</w:t>
            </w:r>
            <w:r w:rsidR="004E6D00" w:rsidRPr="005E3B43">
              <w:t> </w:t>
            </w:r>
            <w:r w:rsidRPr="005E3B43">
              <w:t>25AAA(3)(d) of the Act for therapeutic goods (priority applicant) determination in relation to a medicine</w:t>
            </w:r>
          </w:p>
        </w:tc>
        <w:tc>
          <w:tcPr>
            <w:tcW w:w="1240" w:type="pct"/>
            <w:tcBorders>
              <w:top w:val="single" w:sz="4" w:space="0" w:color="auto"/>
              <w:bottom w:val="single" w:sz="4" w:space="0" w:color="auto"/>
            </w:tcBorders>
            <w:shd w:val="clear" w:color="auto" w:fill="auto"/>
          </w:tcPr>
          <w:p w14:paraId="55E18889" w14:textId="77777777" w:rsidR="00550FEB" w:rsidRPr="005E3B43" w:rsidRDefault="00F30A85" w:rsidP="00763BCF">
            <w:pPr>
              <w:pStyle w:val="Tabletext"/>
            </w:pPr>
            <w:r w:rsidRPr="005E3B43">
              <w:t>14,805</w:t>
            </w:r>
          </w:p>
        </w:tc>
      </w:tr>
      <w:tr w:rsidR="00550FEB" w:rsidRPr="005E3B43" w14:paraId="4A90B2CA" w14:textId="77777777" w:rsidTr="005A786D">
        <w:trPr>
          <w:cantSplit/>
        </w:trPr>
        <w:tc>
          <w:tcPr>
            <w:tcW w:w="622" w:type="pct"/>
            <w:tcBorders>
              <w:top w:val="single" w:sz="4" w:space="0" w:color="auto"/>
              <w:bottom w:val="nil"/>
            </w:tcBorders>
            <w:shd w:val="clear" w:color="auto" w:fill="auto"/>
          </w:tcPr>
          <w:p w14:paraId="5103E468" w14:textId="77777777" w:rsidR="00550FEB" w:rsidRPr="005E3B43" w:rsidRDefault="00550FEB" w:rsidP="00763BCF">
            <w:pPr>
              <w:pStyle w:val="Tabletext"/>
            </w:pPr>
            <w:r w:rsidRPr="005E3B43">
              <w:lastRenderedPageBreak/>
              <w:t>2</w:t>
            </w:r>
          </w:p>
        </w:tc>
        <w:tc>
          <w:tcPr>
            <w:tcW w:w="3138" w:type="pct"/>
            <w:tcBorders>
              <w:top w:val="single" w:sz="4" w:space="0" w:color="auto"/>
              <w:bottom w:val="nil"/>
            </w:tcBorders>
            <w:shd w:val="clear" w:color="auto" w:fill="auto"/>
          </w:tcPr>
          <w:p w14:paraId="1D5E3D67" w14:textId="77777777" w:rsidR="00550FEB" w:rsidRPr="005E3B43" w:rsidRDefault="00550FEB" w:rsidP="00763BCF">
            <w:pPr>
              <w:pStyle w:val="Tabletext"/>
              <w:ind w:right="-52"/>
            </w:pPr>
            <w:r w:rsidRPr="005E3B43">
              <w:t>Application fee for the purposes of paragraph</w:t>
            </w:r>
            <w:r w:rsidR="004E6D00" w:rsidRPr="005E3B43">
              <w:t> </w:t>
            </w:r>
            <w:r w:rsidRPr="005E3B43">
              <w:t>23B(2)(b) of the Act for registration of therapeutic goods (if regulation</w:t>
            </w:r>
            <w:r w:rsidR="004E6D00" w:rsidRPr="005E3B43">
              <w:t> </w:t>
            </w:r>
            <w:r w:rsidRPr="005E3B43">
              <w:t>43A does not apply):</w:t>
            </w:r>
          </w:p>
        </w:tc>
        <w:tc>
          <w:tcPr>
            <w:tcW w:w="1240" w:type="pct"/>
            <w:tcBorders>
              <w:top w:val="single" w:sz="4" w:space="0" w:color="auto"/>
              <w:bottom w:val="nil"/>
            </w:tcBorders>
            <w:shd w:val="clear" w:color="auto" w:fill="auto"/>
          </w:tcPr>
          <w:p w14:paraId="4366672B" w14:textId="77777777" w:rsidR="00550FEB" w:rsidRPr="005E3B43" w:rsidRDefault="00550FEB" w:rsidP="00763BCF">
            <w:pPr>
              <w:pStyle w:val="Tabletext"/>
            </w:pPr>
          </w:p>
        </w:tc>
      </w:tr>
      <w:tr w:rsidR="00550FEB" w:rsidRPr="005E3B43" w14:paraId="0ED985F5" w14:textId="77777777" w:rsidTr="005A786D">
        <w:tc>
          <w:tcPr>
            <w:tcW w:w="622" w:type="pct"/>
            <w:tcBorders>
              <w:top w:val="nil"/>
              <w:bottom w:val="nil"/>
            </w:tcBorders>
            <w:shd w:val="clear" w:color="auto" w:fill="auto"/>
          </w:tcPr>
          <w:p w14:paraId="2C27C4E1" w14:textId="77777777" w:rsidR="00550FEB" w:rsidRPr="005E3B43" w:rsidRDefault="00550FEB" w:rsidP="00763BCF">
            <w:pPr>
              <w:pStyle w:val="Tabletext"/>
            </w:pPr>
          </w:p>
        </w:tc>
        <w:tc>
          <w:tcPr>
            <w:tcW w:w="3138" w:type="pct"/>
            <w:tcBorders>
              <w:top w:val="nil"/>
              <w:bottom w:val="nil"/>
            </w:tcBorders>
            <w:shd w:val="clear" w:color="auto" w:fill="auto"/>
          </w:tcPr>
          <w:p w14:paraId="0CB8A8E2" w14:textId="77777777" w:rsidR="00550FEB" w:rsidRPr="005E3B43" w:rsidRDefault="00550FEB" w:rsidP="00763BCF">
            <w:pPr>
              <w:pStyle w:val="Tablea"/>
              <w:ind w:right="-52"/>
              <w:rPr>
                <w:rFonts w:eastAsiaTheme="minorHAnsi" w:cstheme="minorBidi"/>
                <w:lang w:eastAsia="en-US"/>
              </w:rPr>
            </w:pPr>
            <w:r w:rsidRPr="005E3B43">
              <w:t xml:space="preserve">(ba) for an application relating to a medicine in relation to which an evaluation fee is payable under </w:t>
            </w:r>
            <w:r w:rsidR="004E6D00" w:rsidRPr="005E3B43">
              <w:t>paragraph (</w:t>
            </w:r>
            <w:r w:rsidRPr="005E3B43">
              <w:t xml:space="preserve">a) of </w:t>
            </w:r>
            <w:r w:rsidR="006B5D8E" w:rsidRPr="005E3B43">
              <w:t>item 4</w:t>
            </w:r>
          </w:p>
        </w:tc>
        <w:tc>
          <w:tcPr>
            <w:tcW w:w="1240" w:type="pct"/>
            <w:tcBorders>
              <w:top w:val="nil"/>
              <w:bottom w:val="nil"/>
            </w:tcBorders>
            <w:shd w:val="clear" w:color="auto" w:fill="auto"/>
          </w:tcPr>
          <w:p w14:paraId="2333A1F9" w14:textId="77777777" w:rsidR="00550FEB" w:rsidRPr="005E3B43" w:rsidRDefault="00740526" w:rsidP="00763BCF">
            <w:pPr>
              <w:pStyle w:val="Tabletext"/>
            </w:pPr>
            <w:r w:rsidRPr="005E3B43">
              <w:t>56,844</w:t>
            </w:r>
          </w:p>
        </w:tc>
      </w:tr>
      <w:tr w:rsidR="00550FEB" w:rsidRPr="005E3B43" w14:paraId="7C3F188A" w14:textId="77777777" w:rsidTr="005A786D">
        <w:tc>
          <w:tcPr>
            <w:tcW w:w="622" w:type="pct"/>
            <w:tcBorders>
              <w:top w:val="nil"/>
              <w:bottom w:val="nil"/>
            </w:tcBorders>
            <w:shd w:val="clear" w:color="auto" w:fill="auto"/>
          </w:tcPr>
          <w:p w14:paraId="49F4B9D5" w14:textId="77777777" w:rsidR="00550FEB" w:rsidRPr="005E3B43" w:rsidRDefault="00550FEB" w:rsidP="00763BCF">
            <w:pPr>
              <w:pStyle w:val="Tabletext"/>
            </w:pPr>
          </w:p>
        </w:tc>
        <w:tc>
          <w:tcPr>
            <w:tcW w:w="3138" w:type="pct"/>
            <w:tcBorders>
              <w:top w:val="nil"/>
              <w:bottom w:val="nil"/>
            </w:tcBorders>
            <w:shd w:val="clear" w:color="auto" w:fill="auto"/>
          </w:tcPr>
          <w:p w14:paraId="4C89F233" w14:textId="77777777" w:rsidR="00550FEB" w:rsidRPr="005E3B43" w:rsidRDefault="00550FEB" w:rsidP="00763BCF">
            <w:pPr>
              <w:pStyle w:val="Tablea"/>
              <w:ind w:right="-52"/>
              <w:rPr>
                <w:rFonts w:eastAsiaTheme="minorHAnsi" w:cstheme="minorBidi"/>
                <w:lang w:eastAsia="en-US"/>
              </w:rPr>
            </w:pPr>
            <w:r w:rsidRPr="005E3B43">
              <w:t xml:space="preserve">(bb) for an application relating to a medicine in relation to which an evaluation fee is payable under </w:t>
            </w:r>
            <w:r w:rsidR="004E6D00" w:rsidRPr="005E3B43">
              <w:t>subparagraph (</w:t>
            </w:r>
            <w:r w:rsidRPr="005E3B43">
              <w:t xml:space="preserve">aa)(i) or (ii) of </w:t>
            </w:r>
            <w:r w:rsidR="006B5D8E" w:rsidRPr="005E3B43">
              <w:t>item 4</w:t>
            </w:r>
          </w:p>
        </w:tc>
        <w:tc>
          <w:tcPr>
            <w:tcW w:w="1240" w:type="pct"/>
            <w:tcBorders>
              <w:top w:val="nil"/>
              <w:bottom w:val="nil"/>
            </w:tcBorders>
            <w:shd w:val="clear" w:color="auto" w:fill="auto"/>
          </w:tcPr>
          <w:p w14:paraId="631D75DA" w14:textId="77777777" w:rsidR="00550FEB" w:rsidRPr="005E3B43" w:rsidRDefault="008821D4" w:rsidP="00763BCF">
            <w:pPr>
              <w:pStyle w:val="Tabletext"/>
            </w:pPr>
            <w:r w:rsidRPr="005E3B43">
              <w:t>18,872</w:t>
            </w:r>
          </w:p>
        </w:tc>
      </w:tr>
      <w:tr w:rsidR="00550FEB" w:rsidRPr="005E3B43" w14:paraId="5C4C1114" w14:textId="77777777" w:rsidTr="005A786D">
        <w:tc>
          <w:tcPr>
            <w:tcW w:w="622" w:type="pct"/>
            <w:tcBorders>
              <w:top w:val="nil"/>
              <w:bottom w:val="nil"/>
            </w:tcBorders>
            <w:shd w:val="clear" w:color="auto" w:fill="auto"/>
          </w:tcPr>
          <w:p w14:paraId="1B9D5900" w14:textId="77777777" w:rsidR="00550FEB" w:rsidRPr="005E3B43" w:rsidRDefault="00550FEB" w:rsidP="00763BCF">
            <w:pPr>
              <w:pStyle w:val="Tabletext"/>
            </w:pPr>
          </w:p>
        </w:tc>
        <w:tc>
          <w:tcPr>
            <w:tcW w:w="3138" w:type="pct"/>
            <w:tcBorders>
              <w:top w:val="nil"/>
              <w:bottom w:val="nil"/>
            </w:tcBorders>
            <w:shd w:val="clear" w:color="auto" w:fill="auto"/>
          </w:tcPr>
          <w:p w14:paraId="7E6C1A01" w14:textId="77777777" w:rsidR="00550FEB" w:rsidRPr="005E3B43" w:rsidRDefault="00550FEB" w:rsidP="00763BCF">
            <w:pPr>
              <w:pStyle w:val="Tablea"/>
              <w:ind w:right="-52"/>
              <w:rPr>
                <w:rFonts w:eastAsiaTheme="minorHAnsi" w:cstheme="minorBidi"/>
                <w:lang w:eastAsia="en-US"/>
              </w:rPr>
            </w:pPr>
            <w:r w:rsidRPr="005E3B43">
              <w:t xml:space="preserve">(bc) for an application relating to a medicine in relation to which an evaluation fee is payable under </w:t>
            </w:r>
            <w:r w:rsidR="004E6D00" w:rsidRPr="005E3B43">
              <w:t>subparagraph (</w:t>
            </w:r>
            <w:r w:rsidRPr="005E3B43">
              <w:t xml:space="preserve">aa)(iii) of </w:t>
            </w:r>
            <w:r w:rsidR="006B5D8E" w:rsidRPr="005E3B43">
              <w:t>item 4</w:t>
            </w:r>
          </w:p>
        </w:tc>
        <w:tc>
          <w:tcPr>
            <w:tcW w:w="1240" w:type="pct"/>
            <w:tcBorders>
              <w:top w:val="nil"/>
              <w:bottom w:val="nil"/>
            </w:tcBorders>
            <w:shd w:val="clear" w:color="auto" w:fill="auto"/>
          </w:tcPr>
          <w:p w14:paraId="142EA3BC" w14:textId="77777777" w:rsidR="00550FEB" w:rsidRPr="005E3B43" w:rsidRDefault="008821D4" w:rsidP="00763BCF">
            <w:pPr>
              <w:pStyle w:val="Tabletext"/>
            </w:pPr>
            <w:r w:rsidRPr="005E3B43">
              <w:t>37,857</w:t>
            </w:r>
          </w:p>
        </w:tc>
      </w:tr>
      <w:tr w:rsidR="00550FEB" w:rsidRPr="005E3B43" w14:paraId="6B9F802C" w14:textId="77777777" w:rsidTr="005A786D">
        <w:tc>
          <w:tcPr>
            <w:tcW w:w="622" w:type="pct"/>
            <w:tcBorders>
              <w:top w:val="nil"/>
              <w:bottom w:val="nil"/>
            </w:tcBorders>
            <w:shd w:val="clear" w:color="auto" w:fill="auto"/>
          </w:tcPr>
          <w:p w14:paraId="6D38056E" w14:textId="77777777" w:rsidR="00550FEB" w:rsidRPr="005E3B43" w:rsidRDefault="00550FEB" w:rsidP="00763BCF">
            <w:pPr>
              <w:pStyle w:val="Tabletext"/>
            </w:pPr>
          </w:p>
        </w:tc>
        <w:tc>
          <w:tcPr>
            <w:tcW w:w="3138" w:type="pct"/>
            <w:tcBorders>
              <w:top w:val="nil"/>
              <w:bottom w:val="nil"/>
            </w:tcBorders>
            <w:shd w:val="clear" w:color="auto" w:fill="auto"/>
          </w:tcPr>
          <w:p w14:paraId="19352CA6" w14:textId="77777777" w:rsidR="00550FEB" w:rsidRPr="005E3B43" w:rsidRDefault="00550FEB" w:rsidP="00763BCF">
            <w:pPr>
              <w:pStyle w:val="Tablea"/>
              <w:ind w:right="-52"/>
            </w:pPr>
            <w:r w:rsidRPr="005E3B43">
              <w:t xml:space="preserve">(bca) for an application relating to a medicine in relation to which an evaluation fee is payable under </w:t>
            </w:r>
            <w:r w:rsidR="004E6D00" w:rsidRPr="005E3B43">
              <w:t>paragraph (</w:t>
            </w:r>
            <w:r w:rsidRPr="005E3B43">
              <w:t xml:space="preserve">ab) of </w:t>
            </w:r>
            <w:r w:rsidR="006B5D8E" w:rsidRPr="005E3B43">
              <w:t>item 4</w:t>
            </w:r>
          </w:p>
        </w:tc>
        <w:tc>
          <w:tcPr>
            <w:tcW w:w="1240" w:type="pct"/>
            <w:tcBorders>
              <w:top w:val="nil"/>
              <w:bottom w:val="nil"/>
            </w:tcBorders>
            <w:shd w:val="clear" w:color="auto" w:fill="auto"/>
          </w:tcPr>
          <w:p w14:paraId="27FE8E22" w14:textId="77777777" w:rsidR="00550FEB" w:rsidRPr="005E3B43" w:rsidRDefault="005B3CA4" w:rsidP="00763BCF">
            <w:pPr>
              <w:pStyle w:val="Tabletext"/>
            </w:pPr>
            <w:r w:rsidRPr="005E3B43">
              <w:t>60,234</w:t>
            </w:r>
          </w:p>
        </w:tc>
      </w:tr>
      <w:tr w:rsidR="00D80912" w:rsidRPr="005E3B43" w14:paraId="0D0A9B1D" w14:textId="77777777" w:rsidTr="005A786D">
        <w:tc>
          <w:tcPr>
            <w:tcW w:w="622" w:type="pct"/>
            <w:tcBorders>
              <w:top w:val="nil"/>
              <w:bottom w:val="nil"/>
            </w:tcBorders>
            <w:shd w:val="clear" w:color="auto" w:fill="auto"/>
          </w:tcPr>
          <w:p w14:paraId="6104FF4F" w14:textId="77777777" w:rsidR="00D80912" w:rsidRPr="005E3B43" w:rsidRDefault="00D80912" w:rsidP="00D80912">
            <w:pPr>
              <w:pStyle w:val="Tabletext"/>
            </w:pPr>
          </w:p>
        </w:tc>
        <w:tc>
          <w:tcPr>
            <w:tcW w:w="3138" w:type="pct"/>
            <w:tcBorders>
              <w:top w:val="nil"/>
              <w:bottom w:val="nil"/>
            </w:tcBorders>
            <w:shd w:val="clear" w:color="auto" w:fill="auto"/>
          </w:tcPr>
          <w:p w14:paraId="17C36620" w14:textId="77777777" w:rsidR="00D80912" w:rsidRPr="005E3B43" w:rsidRDefault="00D80912" w:rsidP="00D80912">
            <w:pPr>
              <w:pStyle w:val="Tablea"/>
              <w:ind w:right="-52"/>
            </w:pPr>
            <w:r w:rsidRPr="005E3B43">
              <w:t xml:space="preserve">(bcb) for an application relating to a medicine in relation to which an evaluation fee is payable under paragraph (ac) of </w:t>
            </w:r>
            <w:r w:rsidR="006B5D8E" w:rsidRPr="005E3B43">
              <w:t>item 4</w:t>
            </w:r>
          </w:p>
        </w:tc>
        <w:tc>
          <w:tcPr>
            <w:tcW w:w="1240" w:type="pct"/>
            <w:tcBorders>
              <w:top w:val="nil"/>
              <w:bottom w:val="nil"/>
            </w:tcBorders>
            <w:shd w:val="clear" w:color="auto" w:fill="auto"/>
          </w:tcPr>
          <w:p w14:paraId="3E3186BB" w14:textId="77777777" w:rsidR="00D80912" w:rsidRPr="005E3B43" w:rsidRDefault="005B3CA4" w:rsidP="00D80912">
            <w:pPr>
              <w:pStyle w:val="Tabletext"/>
            </w:pPr>
            <w:r w:rsidRPr="005E3B43">
              <w:t>1,299</w:t>
            </w:r>
          </w:p>
        </w:tc>
      </w:tr>
      <w:tr w:rsidR="00550FEB" w:rsidRPr="005E3B43" w14:paraId="4C9556E6" w14:textId="77777777" w:rsidTr="005A786D">
        <w:tc>
          <w:tcPr>
            <w:tcW w:w="622" w:type="pct"/>
            <w:tcBorders>
              <w:top w:val="nil"/>
              <w:bottom w:val="nil"/>
            </w:tcBorders>
            <w:shd w:val="clear" w:color="auto" w:fill="auto"/>
          </w:tcPr>
          <w:p w14:paraId="6AED5F94" w14:textId="77777777" w:rsidR="00550FEB" w:rsidRPr="005E3B43" w:rsidRDefault="00550FEB" w:rsidP="00763BCF">
            <w:pPr>
              <w:pStyle w:val="Tabletext"/>
            </w:pPr>
          </w:p>
        </w:tc>
        <w:tc>
          <w:tcPr>
            <w:tcW w:w="3138" w:type="pct"/>
            <w:tcBorders>
              <w:top w:val="nil"/>
              <w:bottom w:val="nil"/>
            </w:tcBorders>
            <w:shd w:val="clear" w:color="auto" w:fill="auto"/>
          </w:tcPr>
          <w:p w14:paraId="2F78ABE0" w14:textId="77777777" w:rsidR="00550FEB" w:rsidRPr="005E3B43" w:rsidRDefault="00550FEB" w:rsidP="00763BCF">
            <w:pPr>
              <w:pStyle w:val="Tablea"/>
              <w:ind w:right="-52"/>
              <w:rPr>
                <w:rFonts w:eastAsiaTheme="minorHAnsi" w:cstheme="minorBidi"/>
                <w:lang w:eastAsia="en-US"/>
              </w:rPr>
            </w:pPr>
            <w:r w:rsidRPr="005E3B43">
              <w:t xml:space="preserve">(bd) for an application relating to a medicine in relation to which an evaluation fee is payable under </w:t>
            </w:r>
            <w:r w:rsidR="004E6D00" w:rsidRPr="005E3B43">
              <w:t>paragraph (</w:t>
            </w:r>
            <w:r w:rsidRPr="005E3B43">
              <w:t xml:space="preserve">b) of </w:t>
            </w:r>
            <w:r w:rsidR="006B5D8E" w:rsidRPr="005E3B43">
              <w:t>item 4</w:t>
            </w:r>
          </w:p>
        </w:tc>
        <w:tc>
          <w:tcPr>
            <w:tcW w:w="1240" w:type="pct"/>
            <w:tcBorders>
              <w:top w:val="nil"/>
              <w:bottom w:val="nil"/>
            </w:tcBorders>
            <w:shd w:val="clear" w:color="auto" w:fill="auto"/>
          </w:tcPr>
          <w:p w14:paraId="436674A3" w14:textId="77777777" w:rsidR="00550FEB" w:rsidRPr="005E3B43" w:rsidRDefault="00526727" w:rsidP="00763BCF">
            <w:pPr>
              <w:pStyle w:val="Tabletext"/>
            </w:pPr>
            <w:r w:rsidRPr="005E3B43">
              <w:t>33,903</w:t>
            </w:r>
          </w:p>
        </w:tc>
      </w:tr>
      <w:tr w:rsidR="00550FEB" w:rsidRPr="005E3B43" w14:paraId="062108DF" w14:textId="77777777" w:rsidTr="005A786D">
        <w:tc>
          <w:tcPr>
            <w:tcW w:w="622" w:type="pct"/>
            <w:tcBorders>
              <w:top w:val="nil"/>
              <w:bottom w:val="nil"/>
            </w:tcBorders>
            <w:shd w:val="clear" w:color="auto" w:fill="auto"/>
          </w:tcPr>
          <w:p w14:paraId="18338C8D" w14:textId="77777777" w:rsidR="00550FEB" w:rsidRPr="005E3B43" w:rsidRDefault="00550FEB" w:rsidP="00763BCF">
            <w:pPr>
              <w:pStyle w:val="Tabletext"/>
            </w:pPr>
          </w:p>
        </w:tc>
        <w:tc>
          <w:tcPr>
            <w:tcW w:w="3138" w:type="pct"/>
            <w:tcBorders>
              <w:top w:val="nil"/>
              <w:bottom w:val="nil"/>
            </w:tcBorders>
            <w:shd w:val="clear" w:color="auto" w:fill="auto"/>
          </w:tcPr>
          <w:p w14:paraId="0CA3AC48" w14:textId="77777777" w:rsidR="00550FEB" w:rsidRPr="005E3B43" w:rsidRDefault="00550FEB" w:rsidP="00763BCF">
            <w:pPr>
              <w:pStyle w:val="Tablea"/>
              <w:ind w:right="-52"/>
              <w:rPr>
                <w:rFonts w:eastAsiaTheme="minorHAnsi" w:cstheme="minorBidi"/>
                <w:lang w:eastAsia="en-US"/>
              </w:rPr>
            </w:pPr>
            <w:r w:rsidRPr="005E3B43">
              <w:t xml:space="preserve">(be) for an application relating to a medicine in relation to which an evaluation fee is payable under </w:t>
            </w:r>
            <w:r w:rsidR="004E6D00" w:rsidRPr="005E3B43">
              <w:t>subparagraph (</w:t>
            </w:r>
            <w:r w:rsidRPr="005E3B43">
              <w:t xml:space="preserve">bb)(i) or (ii) of </w:t>
            </w:r>
            <w:r w:rsidR="006B5D8E" w:rsidRPr="005E3B43">
              <w:t>item 4</w:t>
            </w:r>
            <w:r w:rsidRPr="005E3B43">
              <w:t xml:space="preserve"> for an evaluation of:</w:t>
            </w:r>
          </w:p>
        </w:tc>
        <w:tc>
          <w:tcPr>
            <w:tcW w:w="1240" w:type="pct"/>
            <w:tcBorders>
              <w:top w:val="nil"/>
              <w:bottom w:val="nil"/>
            </w:tcBorders>
            <w:shd w:val="clear" w:color="auto" w:fill="auto"/>
          </w:tcPr>
          <w:p w14:paraId="7E14FC53" w14:textId="77777777" w:rsidR="00550FEB" w:rsidRPr="005E3B43" w:rsidRDefault="00550FEB" w:rsidP="00763BCF">
            <w:pPr>
              <w:pStyle w:val="Tabletext"/>
            </w:pPr>
          </w:p>
        </w:tc>
      </w:tr>
      <w:tr w:rsidR="00550FEB" w:rsidRPr="005E3B43" w14:paraId="01301119" w14:textId="77777777" w:rsidTr="005A786D">
        <w:tc>
          <w:tcPr>
            <w:tcW w:w="622" w:type="pct"/>
            <w:tcBorders>
              <w:top w:val="nil"/>
              <w:bottom w:val="nil"/>
            </w:tcBorders>
            <w:shd w:val="clear" w:color="auto" w:fill="auto"/>
          </w:tcPr>
          <w:p w14:paraId="3C5E0B49" w14:textId="77777777" w:rsidR="00550FEB" w:rsidRPr="005E3B43" w:rsidRDefault="00550FEB" w:rsidP="00763BCF">
            <w:pPr>
              <w:pStyle w:val="Tabletext"/>
            </w:pPr>
          </w:p>
        </w:tc>
        <w:tc>
          <w:tcPr>
            <w:tcW w:w="3138" w:type="pct"/>
            <w:tcBorders>
              <w:top w:val="nil"/>
              <w:bottom w:val="nil"/>
            </w:tcBorders>
            <w:shd w:val="clear" w:color="auto" w:fill="auto"/>
          </w:tcPr>
          <w:p w14:paraId="7EE3B2CD" w14:textId="77777777" w:rsidR="00550FEB" w:rsidRPr="005E3B43" w:rsidRDefault="00550FEB" w:rsidP="00763BCF">
            <w:pPr>
              <w:pStyle w:val="Tablei"/>
              <w:rPr>
                <w:rFonts w:eastAsiaTheme="minorHAnsi" w:cstheme="minorBidi"/>
                <w:lang w:eastAsia="en-US"/>
              </w:rPr>
            </w:pPr>
            <w:r w:rsidRPr="005E3B43">
              <w:t xml:space="preserve">(i) an extension of indications </w:t>
            </w:r>
          </w:p>
        </w:tc>
        <w:tc>
          <w:tcPr>
            <w:tcW w:w="1240" w:type="pct"/>
            <w:tcBorders>
              <w:top w:val="nil"/>
              <w:bottom w:val="nil"/>
            </w:tcBorders>
            <w:shd w:val="clear" w:color="auto" w:fill="auto"/>
          </w:tcPr>
          <w:p w14:paraId="004F6706" w14:textId="77777777" w:rsidR="00550FEB" w:rsidRPr="005E3B43" w:rsidRDefault="00291DCB" w:rsidP="00763BCF">
            <w:pPr>
              <w:pStyle w:val="Tabletext"/>
              <w:spacing w:before="0"/>
            </w:pPr>
            <w:r w:rsidRPr="005E3B43">
              <w:t>11,267</w:t>
            </w:r>
          </w:p>
        </w:tc>
      </w:tr>
      <w:tr w:rsidR="00550FEB" w:rsidRPr="005E3B43" w14:paraId="018EA092" w14:textId="77777777" w:rsidTr="005A786D">
        <w:tc>
          <w:tcPr>
            <w:tcW w:w="622" w:type="pct"/>
            <w:tcBorders>
              <w:top w:val="nil"/>
              <w:bottom w:val="nil"/>
            </w:tcBorders>
            <w:shd w:val="clear" w:color="auto" w:fill="auto"/>
          </w:tcPr>
          <w:p w14:paraId="2C0C9D3D" w14:textId="77777777" w:rsidR="00550FEB" w:rsidRPr="005E3B43" w:rsidRDefault="00550FEB" w:rsidP="00763BCF">
            <w:pPr>
              <w:pStyle w:val="Tabletext"/>
            </w:pPr>
          </w:p>
        </w:tc>
        <w:tc>
          <w:tcPr>
            <w:tcW w:w="3138" w:type="pct"/>
            <w:tcBorders>
              <w:top w:val="nil"/>
              <w:bottom w:val="nil"/>
            </w:tcBorders>
            <w:shd w:val="clear" w:color="auto" w:fill="auto"/>
          </w:tcPr>
          <w:p w14:paraId="7AF8F500" w14:textId="77777777" w:rsidR="00550FEB" w:rsidRPr="005E3B43" w:rsidRDefault="00550FEB" w:rsidP="00763BCF">
            <w:pPr>
              <w:pStyle w:val="Tablei"/>
            </w:pPr>
            <w:r w:rsidRPr="005E3B43">
              <w:t>(ii) a major variation</w:t>
            </w:r>
          </w:p>
        </w:tc>
        <w:tc>
          <w:tcPr>
            <w:tcW w:w="1240" w:type="pct"/>
            <w:tcBorders>
              <w:top w:val="nil"/>
              <w:bottom w:val="nil"/>
            </w:tcBorders>
            <w:shd w:val="clear" w:color="auto" w:fill="auto"/>
          </w:tcPr>
          <w:p w14:paraId="3BDBFD3B" w14:textId="77777777" w:rsidR="00550FEB" w:rsidRPr="005E3B43" w:rsidRDefault="00291DCB" w:rsidP="00763BCF">
            <w:pPr>
              <w:pStyle w:val="Tabletext"/>
              <w:spacing w:before="0"/>
            </w:pPr>
            <w:r w:rsidRPr="005E3B43">
              <w:t>7,356</w:t>
            </w:r>
          </w:p>
        </w:tc>
      </w:tr>
      <w:tr w:rsidR="00550FEB" w:rsidRPr="005E3B43" w14:paraId="7010E321" w14:textId="77777777" w:rsidTr="005A786D">
        <w:tc>
          <w:tcPr>
            <w:tcW w:w="622" w:type="pct"/>
            <w:tcBorders>
              <w:top w:val="nil"/>
              <w:bottom w:val="nil"/>
            </w:tcBorders>
            <w:shd w:val="clear" w:color="auto" w:fill="auto"/>
          </w:tcPr>
          <w:p w14:paraId="57B2B63D" w14:textId="77777777" w:rsidR="00550FEB" w:rsidRPr="005E3B43" w:rsidRDefault="00550FEB" w:rsidP="00763BCF">
            <w:pPr>
              <w:pStyle w:val="Tabletext"/>
            </w:pPr>
          </w:p>
        </w:tc>
        <w:tc>
          <w:tcPr>
            <w:tcW w:w="3138" w:type="pct"/>
            <w:tcBorders>
              <w:top w:val="nil"/>
              <w:bottom w:val="nil"/>
            </w:tcBorders>
            <w:shd w:val="clear" w:color="auto" w:fill="auto"/>
          </w:tcPr>
          <w:p w14:paraId="7E061AA6" w14:textId="77777777" w:rsidR="00550FEB" w:rsidRPr="005E3B43" w:rsidRDefault="00550FEB" w:rsidP="00763BCF">
            <w:pPr>
              <w:pStyle w:val="Tablea"/>
              <w:ind w:right="-52"/>
              <w:rPr>
                <w:rFonts w:eastAsiaTheme="minorHAnsi" w:cstheme="minorBidi"/>
                <w:lang w:eastAsia="en-US"/>
              </w:rPr>
            </w:pPr>
            <w:r w:rsidRPr="005E3B43">
              <w:t xml:space="preserve">(bf) for an application relating to a medicine in relation to which an evaluation fee is payable under </w:t>
            </w:r>
            <w:r w:rsidR="004E6D00" w:rsidRPr="005E3B43">
              <w:t>subparagraph (</w:t>
            </w:r>
            <w:r w:rsidRPr="005E3B43">
              <w:t xml:space="preserve">bb)(iii) of </w:t>
            </w:r>
            <w:r w:rsidR="006B5D8E" w:rsidRPr="005E3B43">
              <w:t>item 4</w:t>
            </w:r>
            <w:r w:rsidRPr="005E3B43">
              <w:t xml:space="preserve"> for an evaluation of:</w:t>
            </w:r>
          </w:p>
        </w:tc>
        <w:tc>
          <w:tcPr>
            <w:tcW w:w="1240" w:type="pct"/>
            <w:tcBorders>
              <w:top w:val="nil"/>
              <w:bottom w:val="nil"/>
            </w:tcBorders>
            <w:shd w:val="clear" w:color="auto" w:fill="auto"/>
          </w:tcPr>
          <w:p w14:paraId="4B394B77" w14:textId="77777777" w:rsidR="00550FEB" w:rsidRPr="005E3B43" w:rsidRDefault="00550FEB" w:rsidP="00763BCF">
            <w:pPr>
              <w:pStyle w:val="Tabletext"/>
            </w:pPr>
          </w:p>
        </w:tc>
      </w:tr>
      <w:tr w:rsidR="00550FEB" w:rsidRPr="005E3B43" w14:paraId="21751586" w14:textId="77777777" w:rsidTr="005A786D">
        <w:tc>
          <w:tcPr>
            <w:tcW w:w="622" w:type="pct"/>
            <w:tcBorders>
              <w:top w:val="nil"/>
              <w:bottom w:val="nil"/>
            </w:tcBorders>
            <w:shd w:val="clear" w:color="auto" w:fill="auto"/>
          </w:tcPr>
          <w:p w14:paraId="52E64D17" w14:textId="77777777" w:rsidR="00550FEB" w:rsidRPr="005E3B43" w:rsidRDefault="00550FEB" w:rsidP="00763BCF">
            <w:pPr>
              <w:pStyle w:val="Tabletext"/>
            </w:pPr>
          </w:p>
        </w:tc>
        <w:tc>
          <w:tcPr>
            <w:tcW w:w="3138" w:type="pct"/>
            <w:tcBorders>
              <w:top w:val="nil"/>
              <w:bottom w:val="nil"/>
            </w:tcBorders>
            <w:shd w:val="clear" w:color="auto" w:fill="auto"/>
          </w:tcPr>
          <w:p w14:paraId="68285EF8" w14:textId="77777777" w:rsidR="00550FEB" w:rsidRPr="005E3B43" w:rsidRDefault="00550FEB" w:rsidP="00763BCF">
            <w:pPr>
              <w:pStyle w:val="Tablei"/>
              <w:ind w:right="-52"/>
              <w:rPr>
                <w:rFonts w:eastAsiaTheme="minorHAnsi" w:cstheme="minorBidi"/>
                <w:lang w:eastAsia="en-US"/>
              </w:rPr>
            </w:pPr>
            <w:r w:rsidRPr="005E3B43">
              <w:t>(i) an extension of indications</w:t>
            </w:r>
          </w:p>
        </w:tc>
        <w:tc>
          <w:tcPr>
            <w:tcW w:w="1240" w:type="pct"/>
            <w:tcBorders>
              <w:top w:val="nil"/>
              <w:bottom w:val="nil"/>
            </w:tcBorders>
            <w:shd w:val="clear" w:color="auto" w:fill="auto"/>
          </w:tcPr>
          <w:p w14:paraId="6FD03458" w14:textId="77777777" w:rsidR="00550FEB" w:rsidRPr="005E3B43" w:rsidRDefault="00291DCB" w:rsidP="00763BCF">
            <w:pPr>
              <w:pStyle w:val="Tabletext"/>
              <w:spacing w:before="0"/>
            </w:pPr>
            <w:r w:rsidRPr="005E3B43">
              <w:t>22,715</w:t>
            </w:r>
          </w:p>
        </w:tc>
      </w:tr>
      <w:tr w:rsidR="00550FEB" w:rsidRPr="005E3B43" w14:paraId="4222EF77" w14:textId="77777777" w:rsidTr="005A786D">
        <w:tc>
          <w:tcPr>
            <w:tcW w:w="622" w:type="pct"/>
            <w:tcBorders>
              <w:top w:val="nil"/>
              <w:bottom w:val="nil"/>
            </w:tcBorders>
            <w:shd w:val="clear" w:color="auto" w:fill="auto"/>
          </w:tcPr>
          <w:p w14:paraId="23C76B68" w14:textId="77777777" w:rsidR="00550FEB" w:rsidRPr="005E3B43" w:rsidRDefault="00550FEB" w:rsidP="00763BCF">
            <w:pPr>
              <w:pStyle w:val="Tabletext"/>
            </w:pPr>
          </w:p>
        </w:tc>
        <w:tc>
          <w:tcPr>
            <w:tcW w:w="3138" w:type="pct"/>
            <w:tcBorders>
              <w:top w:val="nil"/>
              <w:bottom w:val="nil"/>
            </w:tcBorders>
            <w:shd w:val="clear" w:color="auto" w:fill="auto"/>
          </w:tcPr>
          <w:p w14:paraId="34703153" w14:textId="77777777" w:rsidR="00550FEB" w:rsidRPr="005E3B43" w:rsidRDefault="00550FEB" w:rsidP="00763BCF">
            <w:pPr>
              <w:pStyle w:val="Tablei"/>
              <w:ind w:right="-52"/>
            </w:pPr>
            <w:r w:rsidRPr="005E3B43">
              <w:t>(ii) a major variation</w:t>
            </w:r>
          </w:p>
        </w:tc>
        <w:tc>
          <w:tcPr>
            <w:tcW w:w="1240" w:type="pct"/>
            <w:tcBorders>
              <w:top w:val="nil"/>
              <w:bottom w:val="nil"/>
            </w:tcBorders>
            <w:shd w:val="clear" w:color="auto" w:fill="auto"/>
          </w:tcPr>
          <w:p w14:paraId="4F210E00" w14:textId="77777777" w:rsidR="00550FEB" w:rsidRPr="005E3B43" w:rsidRDefault="00286EDF" w:rsidP="00763BCF">
            <w:pPr>
              <w:pStyle w:val="Tabletext"/>
              <w:spacing w:before="0"/>
            </w:pPr>
            <w:r w:rsidRPr="005E3B43">
              <w:t>14,692</w:t>
            </w:r>
          </w:p>
        </w:tc>
      </w:tr>
      <w:tr w:rsidR="00550FEB" w:rsidRPr="005E3B43" w14:paraId="1A956962" w14:textId="77777777" w:rsidTr="005A786D">
        <w:tc>
          <w:tcPr>
            <w:tcW w:w="622" w:type="pct"/>
            <w:tcBorders>
              <w:top w:val="nil"/>
              <w:bottom w:val="nil"/>
            </w:tcBorders>
            <w:shd w:val="clear" w:color="auto" w:fill="auto"/>
          </w:tcPr>
          <w:p w14:paraId="51497D6C" w14:textId="77777777" w:rsidR="00550FEB" w:rsidRPr="005E3B43" w:rsidRDefault="00550FEB" w:rsidP="00763BCF">
            <w:pPr>
              <w:pStyle w:val="Tabletext"/>
            </w:pPr>
          </w:p>
        </w:tc>
        <w:tc>
          <w:tcPr>
            <w:tcW w:w="3138" w:type="pct"/>
            <w:tcBorders>
              <w:top w:val="nil"/>
              <w:bottom w:val="nil"/>
            </w:tcBorders>
            <w:shd w:val="clear" w:color="auto" w:fill="auto"/>
          </w:tcPr>
          <w:p w14:paraId="0B5D863C" w14:textId="77777777" w:rsidR="00550FEB" w:rsidRPr="005E3B43" w:rsidRDefault="00550FEB" w:rsidP="00763BCF">
            <w:pPr>
              <w:pStyle w:val="Tablea"/>
              <w:ind w:right="-52"/>
            </w:pPr>
            <w:r w:rsidRPr="005E3B43">
              <w:t xml:space="preserve">(bfa) for an application relating to a medicine in relation to which an evaluation fee is payable under </w:t>
            </w:r>
            <w:r w:rsidR="004E6D00" w:rsidRPr="005E3B43">
              <w:t>paragraph (</w:t>
            </w:r>
            <w:r w:rsidRPr="005E3B43">
              <w:t xml:space="preserve">bd) of </w:t>
            </w:r>
            <w:r w:rsidR="006B5D8E" w:rsidRPr="005E3B43">
              <w:t>item 4</w:t>
            </w:r>
          </w:p>
        </w:tc>
        <w:tc>
          <w:tcPr>
            <w:tcW w:w="1240" w:type="pct"/>
            <w:tcBorders>
              <w:top w:val="nil"/>
              <w:bottom w:val="nil"/>
            </w:tcBorders>
            <w:shd w:val="clear" w:color="auto" w:fill="auto"/>
          </w:tcPr>
          <w:p w14:paraId="1DF351CA" w14:textId="77777777" w:rsidR="00550FEB" w:rsidRPr="005E3B43" w:rsidRDefault="00286EDF" w:rsidP="00763BCF">
            <w:pPr>
              <w:pStyle w:val="Tabletext"/>
            </w:pPr>
            <w:r w:rsidRPr="005E3B43">
              <w:t>35,823</w:t>
            </w:r>
          </w:p>
        </w:tc>
      </w:tr>
      <w:tr w:rsidR="00550FEB" w:rsidRPr="005E3B43" w14:paraId="714F85A6" w14:textId="77777777" w:rsidTr="005A786D">
        <w:tc>
          <w:tcPr>
            <w:tcW w:w="622" w:type="pct"/>
            <w:tcBorders>
              <w:top w:val="nil"/>
              <w:bottom w:val="nil"/>
            </w:tcBorders>
            <w:shd w:val="clear" w:color="auto" w:fill="auto"/>
          </w:tcPr>
          <w:p w14:paraId="70F89483" w14:textId="77777777" w:rsidR="00550FEB" w:rsidRPr="005E3B43" w:rsidRDefault="00550FEB" w:rsidP="00763BCF">
            <w:pPr>
              <w:pStyle w:val="Tabletext"/>
            </w:pPr>
          </w:p>
        </w:tc>
        <w:tc>
          <w:tcPr>
            <w:tcW w:w="3138" w:type="pct"/>
            <w:tcBorders>
              <w:top w:val="nil"/>
              <w:bottom w:val="nil"/>
            </w:tcBorders>
            <w:shd w:val="clear" w:color="auto" w:fill="auto"/>
          </w:tcPr>
          <w:p w14:paraId="0B666379" w14:textId="77777777" w:rsidR="00550FEB" w:rsidRPr="005E3B43" w:rsidRDefault="00550FEB" w:rsidP="00763BCF">
            <w:pPr>
              <w:pStyle w:val="Tablea"/>
              <w:ind w:right="-52"/>
              <w:rPr>
                <w:rFonts w:eastAsiaTheme="minorHAnsi" w:cstheme="minorBidi"/>
                <w:lang w:eastAsia="en-US"/>
              </w:rPr>
            </w:pPr>
            <w:r w:rsidRPr="005E3B43">
              <w:t xml:space="preserve">(bg) for an application relating to a medicine in relation to which an evaluation fee is payable under </w:t>
            </w:r>
            <w:r w:rsidR="004E6D00" w:rsidRPr="005E3B43">
              <w:t>paragraph (</w:t>
            </w:r>
            <w:r w:rsidRPr="005E3B43">
              <w:t xml:space="preserve">c) of </w:t>
            </w:r>
            <w:r w:rsidR="006B5D8E" w:rsidRPr="005E3B43">
              <w:t>item 4</w:t>
            </w:r>
            <w:r w:rsidRPr="005E3B43">
              <w:t xml:space="preserve"> </w:t>
            </w:r>
          </w:p>
        </w:tc>
        <w:tc>
          <w:tcPr>
            <w:tcW w:w="1240" w:type="pct"/>
            <w:tcBorders>
              <w:top w:val="nil"/>
              <w:bottom w:val="nil"/>
            </w:tcBorders>
            <w:shd w:val="clear" w:color="auto" w:fill="auto"/>
          </w:tcPr>
          <w:p w14:paraId="7202D26D" w14:textId="77777777" w:rsidR="00550FEB" w:rsidRPr="005E3B43" w:rsidRDefault="001F089C" w:rsidP="00763BCF">
            <w:pPr>
              <w:pStyle w:val="Tabletext"/>
            </w:pPr>
            <w:r w:rsidRPr="005E3B43">
              <w:t>21,923</w:t>
            </w:r>
          </w:p>
        </w:tc>
      </w:tr>
      <w:tr w:rsidR="00550FEB" w:rsidRPr="005E3B43" w14:paraId="2F5AAEBB" w14:textId="77777777" w:rsidTr="005A786D">
        <w:trPr>
          <w:cantSplit/>
        </w:trPr>
        <w:tc>
          <w:tcPr>
            <w:tcW w:w="622" w:type="pct"/>
            <w:tcBorders>
              <w:top w:val="nil"/>
              <w:bottom w:val="nil"/>
            </w:tcBorders>
            <w:shd w:val="clear" w:color="auto" w:fill="auto"/>
          </w:tcPr>
          <w:p w14:paraId="12C71A6F" w14:textId="77777777" w:rsidR="00550FEB" w:rsidRPr="005E3B43" w:rsidRDefault="00550FEB" w:rsidP="00763BCF">
            <w:pPr>
              <w:pStyle w:val="Tabletext"/>
            </w:pPr>
          </w:p>
        </w:tc>
        <w:tc>
          <w:tcPr>
            <w:tcW w:w="3138" w:type="pct"/>
            <w:tcBorders>
              <w:top w:val="nil"/>
              <w:bottom w:val="nil"/>
            </w:tcBorders>
            <w:shd w:val="clear" w:color="auto" w:fill="auto"/>
          </w:tcPr>
          <w:p w14:paraId="7B4DC1CD" w14:textId="77777777" w:rsidR="00550FEB" w:rsidRPr="005E3B43" w:rsidRDefault="00550FEB" w:rsidP="00763BCF">
            <w:pPr>
              <w:pStyle w:val="Tablea"/>
              <w:ind w:right="-52"/>
              <w:rPr>
                <w:rFonts w:eastAsiaTheme="minorHAnsi" w:cstheme="minorBidi"/>
                <w:lang w:eastAsia="en-US"/>
              </w:rPr>
            </w:pPr>
            <w:r w:rsidRPr="005E3B43">
              <w:t xml:space="preserve">(bh) for an application relating to a medicine in relation to which an evaluation fee is payable under </w:t>
            </w:r>
            <w:r w:rsidR="004E6D00" w:rsidRPr="005E3B43">
              <w:t>paragraph (</w:t>
            </w:r>
            <w:r w:rsidRPr="005E3B43">
              <w:t xml:space="preserve">d) of </w:t>
            </w:r>
            <w:r w:rsidR="006B5D8E" w:rsidRPr="005E3B43">
              <w:t>item 4</w:t>
            </w:r>
            <w:r w:rsidRPr="005E3B43">
              <w:t xml:space="preserve"> </w:t>
            </w:r>
          </w:p>
        </w:tc>
        <w:tc>
          <w:tcPr>
            <w:tcW w:w="1240" w:type="pct"/>
            <w:tcBorders>
              <w:top w:val="nil"/>
              <w:bottom w:val="nil"/>
            </w:tcBorders>
            <w:shd w:val="clear" w:color="auto" w:fill="auto"/>
          </w:tcPr>
          <w:p w14:paraId="7110DF7D" w14:textId="77777777" w:rsidR="00550FEB" w:rsidRPr="005E3B43" w:rsidRDefault="001F089C" w:rsidP="00763BCF">
            <w:pPr>
              <w:pStyle w:val="Tabletext"/>
            </w:pPr>
            <w:r w:rsidRPr="005E3B43">
              <w:t>3,582</w:t>
            </w:r>
          </w:p>
        </w:tc>
      </w:tr>
      <w:tr w:rsidR="00550FEB" w:rsidRPr="005E3B43" w14:paraId="2C550DED" w14:textId="77777777" w:rsidTr="005A786D">
        <w:tc>
          <w:tcPr>
            <w:tcW w:w="622" w:type="pct"/>
            <w:tcBorders>
              <w:top w:val="nil"/>
              <w:bottom w:val="nil"/>
            </w:tcBorders>
            <w:shd w:val="clear" w:color="auto" w:fill="auto"/>
          </w:tcPr>
          <w:p w14:paraId="44EDFA33" w14:textId="77777777" w:rsidR="00550FEB" w:rsidRPr="005E3B43" w:rsidRDefault="00550FEB" w:rsidP="00763BCF">
            <w:pPr>
              <w:pStyle w:val="Tabletext"/>
            </w:pPr>
          </w:p>
        </w:tc>
        <w:tc>
          <w:tcPr>
            <w:tcW w:w="3138" w:type="pct"/>
            <w:tcBorders>
              <w:top w:val="nil"/>
              <w:bottom w:val="nil"/>
            </w:tcBorders>
            <w:shd w:val="clear" w:color="auto" w:fill="auto"/>
          </w:tcPr>
          <w:p w14:paraId="78A44E31" w14:textId="77777777" w:rsidR="00550FEB" w:rsidRPr="005E3B43" w:rsidRDefault="00550FEB" w:rsidP="00763BCF">
            <w:pPr>
              <w:pStyle w:val="Tablea"/>
              <w:ind w:right="-52"/>
              <w:rPr>
                <w:rFonts w:eastAsiaTheme="minorHAnsi" w:cstheme="minorBidi"/>
                <w:lang w:eastAsia="en-US"/>
              </w:rPr>
            </w:pPr>
            <w:r w:rsidRPr="005E3B43">
              <w:t xml:space="preserve">(bi) for an application relating to a medicine in relation to which an evaluation fee is payable under </w:t>
            </w:r>
            <w:r w:rsidR="004E6D00" w:rsidRPr="005E3B43">
              <w:t>paragraph (</w:t>
            </w:r>
            <w:r w:rsidRPr="005E3B43">
              <w:t xml:space="preserve">g) of </w:t>
            </w:r>
            <w:r w:rsidR="006B5D8E" w:rsidRPr="005E3B43">
              <w:t>item 4</w:t>
            </w:r>
            <w:r w:rsidRPr="005E3B43">
              <w:t xml:space="preserve"> </w:t>
            </w:r>
          </w:p>
        </w:tc>
        <w:tc>
          <w:tcPr>
            <w:tcW w:w="1240" w:type="pct"/>
            <w:tcBorders>
              <w:top w:val="nil"/>
              <w:bottom w:val="nil"/>
            </w:tcBorders>
            <w:shd w:val="clear" w:color="auto" w:fill="auto"/>
          </w:tcPr>
          <w:p w14:paraId="52589B92" w14:textId="77777777" w:rsidR="00550FEB" w:rsidRPr="005E3B43" w:rsidRDefault="001F089C" w:rsidP="00763BCF">
            <w:pPr>
              <w:pStyle w:val="Tabletext"/>
            </w:pPr>
            <w:r w:rsidRPr="005E3B43">
              <w:t>22,150</w:t>
            </w:r>
          </w:p>
        </w:tc>
      </w:tr>
      <w:tr w:rsidR="00550FEB" w:rsidRPr="005E3B43" w14:paraId="33485477" w14:textId="77777777" w:rsidTr="005A786D">
        <w:tc>
          <w:tcPr>
            <w:tcW w:w="622" w:type="pct"/>
            <w:tcBorders>
              <w:top w:val="nil"/>
              <w:bottom w:val="nil"/>
            </w:tcBorders>
            <w:shd w:val="clear" w:color="auto" w:fill="auto"/>
          </w:tcPr>
          <w:p w14:paraId="5604076D" w14:textId="77777777" w:rsidR="00550FEB" w:rsidRPr="005E3B43" w:rsidRDefault="00550FEB" w:rsidP="00763BCF">
            <w:pPr>
              <w:pStyle w:val="Tabletext"/>
            </w:pPr>
          </w:p>
        </w:tc>
        <w:tc>
          <w:tcPr>
            <w:tcW w:w="3138" w:type="pct"/>
            <w:tcBorders>
              <w:top w:val="nil"/>
              <w:bottom w:val="nil"/>
            </w:tcBorders>
            <w:shd w:val="clear" w:color="auto" w:fill="auto"/>
          </w:tcPr>
          <w:p w14:paraId="739DC1A1" w14:textId="77777777" w:rsidR="00550FEB" w:rsidRPr="005E3B43" w:rsidRDefault="00550FEB" w:rsidP="00763BCF">
            <w:pPr>
              <w:pStyle w:val="Tablea"/>
              <w:ind w:right="-52"/>
              <w:rPr>
                <w:rFonts w:eastAsiaTheme="minorHAnsi" w:cstheme="minorBidi"/>
                <w:lang w:eastAsia="en-US"/>
              </w:rPr>
            </w:pPr>
            <w:r w:rsidRPr="005E3B43">
              <w:t xml:space="preserve">(bj) for an application relating to a medicine in relation to which an evaluation fee is payable under </w:t>
            </w:r>
            <w:r w:rsidR="004E6D00" w:rsidRPr="005E3B43">
              <w:t>paragraph (</w:t>
            </w:r>
            <w:r w:rsidRPr="005E3B43">
              <w:t xml:space="preserve">h) of </w:t>
            </w:r>
            <w:r w:rsidR="006B5D8E" w:rsidRPr="005E3B43">
              <w:t>item 4</w:t>
            </w:r>
            <w:r w:rsidRPr="005E3B43">
              <w:t xml:space="preserve"> </w:t>
            </w:r>
          </w:p>
        </w:tc>
        <w:tc>
          <w:tcPr>
            <w:tcW w:w="1240" w:type="pct"/>
            <w:tcBorders>
              <w:top w:val="nil"/>
              <w:bottom w:val="nil"/>
            </w:tcBorders>
            <w:shd w:val="clear" w:color="auto" w:fill="auto"/>
          </w:tcPr>
          <w:p w14:paraId="061A1FF3" w14:textId="77777777" w:rsidR="00550FEB" w:rsidRPr="005E3B43" w:rsidRDefault="00F154AC" w:rsidP="00763BCF">
            <w:pPr>
              <w:pStyle w:val="Tabletext"/>
            </w:pPr>
            <w:r w:rsidRPr="005E3B43">
              <w:t>1,299</w:t>
            </w:r>
          </w:p>
        </w:tc>
      </w:tr>
      <w:tr w:rsidR="00550FEB" w:rsidRPr="005E3B43" w14:paraId="6EF1DA9E" w14:textId="77777777" w:rsidTr="005A786D">
        <w:tc>
          <w:tcPr>
            <w:tcW w:w="622" w:type="pct"/>
            <w:tcBorders>
              <w:top w:val="nil"/>
              <w:bottom w:val="nil"/>
            </w:tcBorders>
            <w:shd w:val="clear" w:color="auto" w:fill="auto"/>
          </w:tcPr>
          <w:p w14:paraId="78DD32FE" w14:textId="77777777" w:rsidR="00550FEB" w:rsidRPr="005E3B43" w:rsidRDefault="00550FEB" w:rsidP="00763BCF">
            <w:pPr>
              <w:pStyle w:val="Tabletext"/>
            </w:pPr>
          </w:p>
        </w:tc>
        <w:tc>
          <w:tcPr>
            <w:tcW w:w="3138" w:type="pct"/>
            <w:tcBorders>
              <w:top w:val="nil"/>
              <w:bottom w:val="nil"/>
            </w:tcBorders>
            <w:shd w:val="clear" w:color="auto" w:fill="auto"/>
          </w:tcPr>
          <w:p w14:paraId="58FA2B57" w14:textId="77777777" w:rsidR="00550FEB" w:rsidRPr="005E3B43" w:rsidRDefault="00550FEB" w:rsidP="00763BCF">
            <w:pPr>
              <w:pStyle w:val="Tablea"/>
              <w:ind w:right="-52"/>
            </w:pPr>
            <w:r w:rsidRPr="005E3B43">
              <w:t xml:space="preserve">(bk) for an application relating to a medicine in relation to which an evaluation fee is payable under </w:t>
            </w:r>
            <w:r w:rsidR="004E6D00" w:rsidRPr="005E3B43">
              <w:t>paragraph (</w:t>
            </w:r>
            <w:r w:rsidRPr="005E3B43">
              <w:t xml:space="preserve">bc) of </w:t>
            </w:r>
            <w:r w:rsidR="006B5D8E" w:rsidRPr="005E3B43">
              <w:t>item 4</w:t>
            </w:r>
          </w:p>
        </w:tc>
        <w:tc>
          <w:tcPr>
            <w:tcW w:w="1240" w:type="pct"/>
            <w:tcBorders>
              <w:top w:val="nil"/>
              <w:bottom w:val="nil"/>
            </w:tcBorders>
            <w:shd w:val="clear" w:color="auto" w:fill="auto"/>
          </w:tcPr>
          <w:p w14:paraId="105D8632" w14:textId="77777777" w:rsidR="00550FEB" w:rsidRPr="005E3B43" w:rsidRDefault="00F154AC" w:rsidP="00763BCF">
            <w:pPr>
              <w:pStyle w:val="Tabletext"/>
              <w:rPr>
                <w:lang w:eastAsia="en-US"/>
              </w:rPr>
            </w:pPr>
            <w:r w:rsidRPr="005E3B43">
              <w:t>1,299</w:t>
            </w:r>
          </w:p>
        </w:tc>
      </w:tr>
      <w:tr w:rsidR="00550FEB" w:rsidRPr="005E3B43" w14:paraId="5D74EBC1" w14:textId="77777777" w:rsidTr="005A786D">
        <w:tc>
          <w:tcPr>
            <w:tcW w:w="622" w:type="pct"/>
            <w:tcBorders>
              <w:top w:val="nil"/>
              <w:bottom w:val="nil"/>
            </w:tcBorders>
            <w:shd w:val="clear" w:color="auto" w:fill="auto"/>
          </w:tcPr>
          <w:p w14:paraId="4F5CD0EA" w14:textId="77777777" w:rsidR="00550FEB" w:rsidRPr="005E3B43" w:rsidRDefault="00550FEB" w:rsidP="00763BCF">
            <w:pPr>
              <w:pStyle w:val="Tabletext"/>
            </w:pPr>
          </w:p>
        </w:tc>
        <w:tc>
          <w:tcPr>
            <w:tcW w:w="3138" w:type="pct"/>
            <w:tcBorders>
              <w:top w:val="nil"/>
              <w:bottom w:val="nil"/>
            </w:tcBorders>
            <w:shd w:val="clear" w:color="auto" w:fill="auto"/>
          </w:tcPr>
          <w:p w14:paraId="36C7820A" w14:textId="77777777" w:rsidR="00550FEB" w:rsidRPr="005E3B43" w:rsidRDefault="00550FEB" w:rsidP="00763BCF">
            <w:pPr>
              <w:pStyle w:val="Tablea"/>
              <w:ind w:right="-52"/>
            </w:pPr>
            <w:r w:rsidRPr="005E3B43">
              <w:t xml:space="preserve">(c) subject to </w:t>
            </w:r>
            <w:r w:rsidR="004E6D00" w:rsidRPr="005E3B43">
              <w:t>paragraph (</w:t>
            </w:r>
            <w:r w:rsidRPr="005E3B43">
              <w:t>d), for an application in any other case</w:t>
            </w:r>
          </w:p>
        </w:tc>
        <w:tc>
          <w:tcPr>
            <w:tcW w:w="1240" w:type="pct"/>
            <w:tcBorders>
              <w:top w:val="nil"/>
              <w:bottom w:val="nil"/>
            </w:tcBorders>
            <w:shd w:val="clear" w:color="auto" w:fill="auto"/>
          </w:tcPr>
          <w:p w14:paraId="1ED49C17" w14:textId="77777777" w:rsidR="00550FEB" w:rsidRPr="005E3B43" w:rsidRDefault="008B6FED" w:rsidP="00763BCF">
            <w:pPr>
              <w:pStyle w:val="Tabletext"/>
              <w:rPr>
                <w:lang w:eastAsia="en-US"/>
              </w:rPr>
            </w:pPr>
            <w:r w:rsidRPr="005E3B43">
              <w:t>5,175</w:t>
            </w:r>
          </w:p>
        </w:tc>
      </w:tr>
      <w:tr w:rsidR="00550FEB" w:rsidRPr="005E3B43" w14:paraId="506D4B7D" w14:textId="77777777" w:rsidTr="005A786D">
        <w:tc>
          <w:tcPr>
            <w:tcW w:w="622" w:type="pct"/>
            <w:tcBorders>
              <w:top w:val="nil"/>
              <w:bottom w:val="nil"/>
            </w:tcBorders>
            <w:shd w:val="clear" w:color="auto" w:fill="auto"/>
          </w:tcPr>
          <w:p w14:paraId="69853D4D" w14:textId="77777777" w:rsidR="00550FEB" w:rsidRPr="005E3B43" w:rsidRDefault="00550FEB" w:rsidP="00763BCF">
            <w:pPr>
              <w:pStyle w:val="Tabletext"/>
            </w:pPr>
          </w:p>
        </w:tc>
        <w:tc>
          <w:tcPr>
            <w:tcW w:w="3138" w:type="pct"/>
            <w:tcBorders>
              <w:top w:val="nil"/>
              <w:bottom w:val="nil"/>
            </w:tcBorders>
            <w:shd w:val="clear" w:color="auto" w:fill="auto"/>
          </w:tcPr>
          <w:p w14:paraId="378DAC48" w14:textId="77777777" w:rsidR="00550FEB" w:rsidRPr="005E3B43" w:rsidRDefault="00550FEB" w:rsidP="00763BCF">
            <w:pPr>
              <w:pStyle w:val="Tablea"/>
              <w:ind w:right="-52"/>
              <w:rPr>
                <w:rFonts w:eastAsiaTheme="minorHAnsi" w:cstheme="minorBidi"/>
                <w:lang w:eastAsia="en-US"/>
              </w:rPr>
            </w:pPr>
            <w:r w:rsidRPr="005E3B43">
              <w:t>(d) if a person submits more than one application at the same time and:</w:t>
            </w:r>
          </w:p>
          <w:p w14:paraId="511722EB" w14:textId="77777777" w:rsidR="00550FEB" w:rsidRPr="005E3B43" w:rsidRDefault="00550FEB" w:rsidP="00763BCF">
            <w:pPr>
              <w:pStyle w:val="Tablei"/>
              <w:ind w:right="-52"/>
              <w:rPr>
                <w:rFonts w:eastAsiaTheme="minorHAnsi" w:cstheme="minorBidi"/>
                <w:lang w:eastAsia="en-US"/>
              </w:rPr>
            </w:pPr>
            <w:r w:rsidRPr="005E3B43">
              <w:t>(i) the additional application is in relation to goods that contain the same therapeutically active ingredient; and</w:t>
            </w:r>
          </w:p>
          <w:p w14:paraId="7FA36643" w14:textId="77777777" w:rsidR="00550FEB" w:rsidRPr="005E3B43" w:rsidRDefault="00550FEB" w:rsidP="00763BCF">
            <w:pPr>
              <w:pStyle w:val="Tablei"/>
              <w:ind w:right="-52"/>
            </w:pPr>
            <w:r w:rsidRPr="005E3B43">
              <w:t>(ii) the information in support of each application is sufficiently common in respect of the goods to enable a simultaneous evaluation of the goods to be made</w:t>
            </w:r>
          </w:p>
        </w:tc>
        <w:tc>
          <w:tcPr>
            <w:tcW w:w="1240" w:type="pct"/>
            <w:tcBorders>
              <w:top w:val="nil"/>
              <w:bottom w:val="nil"/>
            </w:tcBorders>
            <w:shd w:val="clear" w:color="auto" w:fill="auto"/>
          </w:tcPr>
          <w:p w14:paraId="3A9710D3" w14:textId="77777777" w:rsidR="00550FEB" w:rsidRPr="005E3B43" w:rsidRDefault="00D84210" w:rsidP="00763BCF">
            <w:pPr>
              <w:pStyle w:val="Tabletext"/>
              <w:ind w:right="-52"/>
            </w:pPr>
            <w:r w:rsidRPr="005E3B43">
              <w:t>2,577</w:t>
            </w:r>
            <w:r w:rsidR="00550FEB" w:rsidRPr="005E3B43">
              <w:t xml:space="preserve">—for each additional application, up to a maximum amount payable of </w:t>
            </w:r>
            <w:r w:rsidRPr="005E3B43">
              <w:t>15,031</w:t>
            </w:r>
            <w:r w:rsidR="00550FEB" w:rsidRPr="005E3B43">
              <w:t xml:space="preserve"> (including the fee payable under </w:t>
            </w:r>
            <w:r w:rsidR="004E6D00" w:rsidRPr="005E3B43">
              <w:t>paragraph (</w:t>
            </w:r>
            <w:r w:rsidR="00550FEB" w:rsidRPr="005E3B43">
              <w:t>c))</w:t>
            </w:r>
          </w:p>
        </w:tc>
      </w:tr>
      <w:tr w:rsidR="00237D48" w:rsidRPr="005E3B43" w14:paraId="6998D653" w14:textId="77777777" w:rsidTr="005A786D">
        <w:tc>
          <w:tcPr>
            <w:tcW w:w="622" w:type="pct"/>
            <w:tcBorders>
              <w:top w:val="nil"/>
              <w:bottom w:val="nil"/>
            </w:tcBorders>
            <w:shd w:val="clear" w:color="auto" w:fill="auto"/>
          </w:tcPr>
          <w:p w14:paraId="0BF5D647" w14:textId="77777777" w:rsidR="00237D48" w:rsidRPr="005E3B43" w:rsidRDefault="00237D48" w:rsidP="00237D48">
            <w:pPr>
              <w:pStyle w:val="Tabletext"/>
            </w:pPr>
            <w:r w:rsidRPr="005E3B43">
              <w:t>2A</w:t>
            </w:r>
          </w:p>
        </w:tc>
        <w:tc>
          <w:tcPr>
            <w:tcW w:w="3138" w:type="pct"/>
            <w:tcBorders>
              <w:top w:val="nil"/>
              <w:bottom w:val="nil"/>
            </w:tcBorders>
            <w:shd w:val="clear" w:color="auto" w:fill="auto"/>
          </w:tcPr>
          <w:p w14:paraId="712A096D" w14:textId="77777777" w:rsidR="00237D48" w:rsidRPr="005E3B43" w:rsidRDefault="00237D48" w:rsidP="00237D48">
            <w:pPr>
              <w:pStyle w:val="Tablea"/>
              <w:ind w:right="-52"/>
            </w:pPr>
            <w:r w:rsidRPr="005E3B43">
              <w:t>Fee for varying an entry in the Register (not including evaluation of data) under section 9D (other than subsection 9D(2C)) of the Act, if the variation is for:</w:t>
            </w:r>
          </w:p>
        </w:tc>
        <w:tc>
          <w:tcPr>
            <w:tcW w:w="1240" w:type="pct"/>
            <w:tcBorders>
              <w:top w:val="nil"/>
              <w:bottom w:val="nil"/>
            </w:tcBorders>
            <w:shd w:val="clear" w:color="auto" w:fill="auto"/>
          </w:tcPr>
          <w:p w14:paraId="74B89E2B" w14:textId="77777777" w:rsidR="00237D48" w:rsidRPr="005E3B43" w:rsidRDefault="00237D48" w:rsidP="00237D48">
            <w:pPr>
              <w:pStyle w:val="Tabletext"/>
              <w:ind w:right="-52"/>
            </w:pPr>
          </w:p>
        </w:tc>
      </w:tr>
      <w:tr w:rsidR="00237D48" w:rsidRPr="005E3B43" w14:paraId="7F8DE3C7" w14:textId="77777777" w:rsidTr="005A786D">
        <w:tc>
          <w:tcPr>
            <w:tcW w:w="622" w:type="pct"/>
            <w:tcBorders>
              <w:top w:val="nil"/>
              <w:bottom w:val="nil"/>
            </w:tcBorders>
            <w:shd w:val="clear" w:color="auto" w:fill="auto"/>
          </w:tcPr>
          <w:p w14:paraId="27630DFD" w14:textId="77777777" w:rsidR="00237D48" w:rsidRPr="005E3B43" w:rsidRDefault="00237D48" w:rsidP="00237D48">
            <w:pPr>
              <w:pStyle w:val="Tabletext"/>
            </w:pPr>
          </w:p>
        </w:tc>
        <w:tc>
          <w:tcPr>
            <w:tcW w:w="3138" w:type="pct"/>
            <w:tcBorders>
              <w:top w:val="nil"/>
              <w:bottom w:val="nil"/>
            </w:tcBorders>
            <w:shd w:val="clear" w:color="auto" w:fill="auto"/>
          </w:tcPr>
          <w:p w14:paraId="1E1C629A" w14:textId="77777777" w:rsidR="00237D48" w:rsidRPr="005E3B43" w:rsidRDefault="00237D48" w:rsidP="00237D48">
            <w:pPr>
              <w:pStyle w:val="Tablea"/>
              <w:ind w:right="-52"/>
            </w:pPr>
            <w:r w:rsidRPr="005E3B43">
              <w:t>(a) a registered medicine that is mentioned in Part 1 of Schedule 10—for each submission</w:t>
            </w:r>
          </w:p>
        </w:tc>
        <w:tc>
          <w:tcPr>
            <w:tcW w:w="1240" w:type="pct"/>
            <w:tcBorders>
              <w:top w:val="nil"/>
              <w:bottom w:val="nil"/>
            </w:tcBorders>
            <w:shd w:val="clear" w:color="auto" w:fill="auto"/>
          </w:tcPr>
          <w:p w14:paraId="41FF708F" w14:textId="77777777" w:rsidR="00237D48" w:rsidRPr="005E3B43" w:rsidRDefault="006B2FE8" w:rsidP="00237D48">
            <w:pPr>
              <w:pStyle w:val="Tabletext"/>
              <w:ind w:right="-52"/>
            </w:pPr>
            <w:r w:rsidRPr="005E3B43">
              <w:t>1,989</w:t>
            </w:r>
          </w:p>
        </w:tc>
      </w:tr>
      <w:tr w:rsidR="00237D48" w:rsidRPr="005E3B43" w14:paraId="34B3B67C" w14:textId="77777777" w:rsidTr="005A786D">
        <w:tc>
          <w:tcPr>
            <w:tcW w:w="622" w:type="pct"/>
            <w:tcBorders>
              <w:top w:val="nil"/>
              <w:bottom w:val="nil"/>
            </w:tcBorders>
            <w:shd w:val="clear" w:color="auto" w:fill="auto"/>
          </w:tcPr>
          <w:p w14:paraId="01685497" w14:textId="77777777" w:rsidR="00237D48" w:rsidRPr="005E3B43" w:rsidRDefault="00237D48" w:rsidP="00237D48">
            <w:pPr>
              <w:pStyle w:val="Tabletext"/>
            </w:pPr>
          </w:p>
        </w:tc>
        <w:tc>
          <w:tcPr>
            <w:tcW w:w="3138" w:type="pct"/>
            <w:tcBorders>
              <w:top w:val="nil"/>
              <w:bottom w:val="nil"/>
            </w:tcBorders>
            <w:shd w:val="clear" w:color="auto" w:fill="auto"/>
          </w:tcPr>
          <w:p w14:paraId="1A81CBBF" w14:textId="77777777" w:rsidR="00237D48" w:rsidRPr="005E3B43" w:rsidRDefault="00237D48" w:rsidP="00237D48">
            <w:pPr>
              <w:pStyle w:val="Tablea"/>
              <w:ind w:right="-52"/>
            </w:pPr>
            <w:r w:rsidRPr="005E3B43">
              <w:t>(b) a listed medicine</w:t>
            </w:r>
          </w:p>
        </w:tc>
        <w:tc>
          <w:tcPr>
            <w:tcW w:w="1240" w:type="pct"/>
            <w:tcBorders>
              <w:top w:val="nil"/>
              <w:bottom w:val="nil"/>
            </w:tcBorders>
            <w:shd w:val="clear" w:color="auto" w:fill="auto"/>
          </w:tcPr>
          <w:p w14:paraId="00721C48" w14:textId="77777777" w:rsidR="00237D48" w:rsidRPr="005E3B43" w:rsidRDefault="006B2FE8" w:rsidP="00237D48">
            <w:pPr>
              <w:pStyle w:val="Tabletext"/>
              <w:ind w:right="-52"/>
            </w:pPr>
            <w:r w:rsidRPr="005E3B43">
              <w:t>496</w:t>
            </w:r>
          </w:p>
        </w:tc>
      </w:tr>
      <w:tr w:rsidR="00237D48" w:rsidRPr="005E3B43" w14:paraId="35807FC6" w14:textId="77777777" w:rsidTr="005A786D">
        <w:tc>
          <w:tcPr>
            <w:tcW w:w="622" w:type="pct"/>
            <w:tcBorders>
              <w:top w:val="nil"/>
              <w:bottom w:val="nil"/>
            </w:tcBorders>
            <w:shd w:val="clear" w:color="auto" w:fill="auto"/>
          </w:tcPr>
          <w:p w14:paraId="6D6C7758" w14:textId="77777777" w:rsidR="00237D48" w:rsidRPr="005E3B43" w:rsidRDefault="00237D48" w:rsidP="00237D48">
            <w:pPr>
              <w:pStyle w:val="Tabletext"/>
            </w:pPr>
          </w:p>
        </w:tc>
        <w:tc>
          <w:tcPr>
            <w:tcW w:w="3138" w:type="pct"/>
            <w:tcBorders>
              <w:top w:val="nil"/>
              <w:bottom w:val="nil"/>
            </w:tcBorders>
            <w:shd w:val="clear" w:color="auto" w:fill="auto"/>
          </w:tcPr>
          <w:p w14:paraId="752B52D1" w14:textId="77777777" w:rsidR="00237D48" w:rsidRPr="005E3B43" w:rsidRDefault="00237D48" w:rsidP="00237D48">
            <w:pPr>
              <w:pStyle w:val="Tablea"/>
              <w:ind w:right="-52"/>
            </w:pPr>
            <w:r w:rsidRPr="005E3B43">
              <w:t>(c) a disinfectant</w:t>
            </w:r>
          </w:p>
        </w:tc>
        <w:tc>
          <w:tcPr>
            <w:tcW w:w="1240" w:type="pct"/>
            <w:tcBorders>
              <w:top w:val="nil"/>
              <w:bottom w:val="nil"/>
            </w:tcBorders>
            <w:shd w:val="clear" w:color="auto" w:fill="auto"/>
          </w:tcPr>
          <w:p w14:paraId="1A1512D7" w14:textId="77777777" w:rsidR="00237D48" w:rsidRPr="005E3B43" w:rsidRDefault="006B2FE8" w:rsidP="00237D48">
            <w:pPr>
              <w:pStyle w:val="Tabletext"/>
              <w:ind w:right="-52"/>
            </w:pPr>
            <w:r w:rsidRPr="005E3B43">
              <w:t>1,466</w:t>
            </w:r>
          </w:p>
        </w:tc>
      </w:tr>
      <w:tr w:rsidR="00237D48" w:rsidRPr="005E3B43" w14:paraId="7815AA86" w14:textId="77777777" w:rsidTr="005A786D">
        <w:tc>
          <w:tcPr>
            <w:tcW w:w="622" w:type="pct"/>
            <w:tcBorders>
              <w:top w:val="nil"/>
              <w:bottom w:val="nil"/>
            </w:tcBorders>
            <w:shd w:val="clear" w:color="auto" w:fill="auto"/>
          </w:tcPr>
          <w:p w14:paraId="1DB29537" w14:textId="77777777" w:rsidR="00237D48" w:rsidRPr="005E3B43" w:rsidRDefault="00237D48" w:rsidP="00237D48">
            <w:pPr>
              <w:pStyle w:val="Tabletext"/>
            </w:pPr>
          </w:p>
        </w:tc>
        <w:tc>
          <w:tcPr>
            <w:tcW w:w="3138" w:type="pct"/>
            <w:tcBorders>
              <w:top w:val="nil"/>
              <w:bottom w:val="nil"/>
            </w:tcBorders>
            <w:shd w:val="clear" w:color="auto" w:fill="auto"/>
          </w:tcPr>
          <w:p w14:paraId="671320FE" w14:textId="77777777" w:rsidR="00237D48" w:rsidRPr="005E3B43" w:rsidRDefault="00237D48" w:rsidP="00237D48">
            <w:pPr>
              <w:pStyle w:val="Tablea"/>
              <w:ind w:right="-52"/>
            </w:pPr>
            <w:r w:rsidRPr="005E3B43">
              <w:t>(d) a Class 3 or Class 4 IVD medical device that is not covered by paragraph (g)</w:t>
            </w:r>
          </w:p>
        </w:tc>
        <w:tc>
          <w:tcPr>
            <w:tcW w:w="1240" w:type="pct"/>
            <w:tcBorders>
              <w:top w:val="nil"/>
              <w:bottom w:val="nil"/>
            </w:tcBorders>
            <w:shd w:val="clear" w:color="auto" w:fill="auto"/>
          </w:tcPr>
          <w:p w14:paraId="63E58B16" w14:textId="77777777" w:rsidR="00237D48" w:rsidRPr="005E3B43" w:rsidRDefault="00C44DD9" w:rsidP="00237D48">
            <w:pPr>
              <w:pStyle w:val="Tabletext"/>
              <w:ind w:right="-52"/>
            </w:pPr>
            <w:r w:rsidRPr="005E3B43">
              <w:t>1,832</w:t>
            </w:r>
          </w:p>
        </w:tc>
      </w:tr>
      <w:tr w:rsidR="00237D48" w:rsidRPr="005E3B43" w14:paraId="6383A59D" w14:textId="77777777" w:rsidTr="005A786D">
        <w:tc>
          <w:tcPr>
            <w:tcW w:w="622" w:type="pct"/>
            <w:tcBorders>
              <w:top w:val="nil"/>
              <w:bottom w:val="nil"/>
            </w:tcBorders>
            <w:shd w:val="clear" w:color="auto" w:fill="auto"/>
          </w:tcPr>
          <w:p w14:paraId="723BC738" w14:textId="77777777" w:rsidR="00237D48" w:rsidRPr="005E3B43" w:rsidRDefault="00237D48" w:rsidP="00237D48">
            <w:pPr>
              <w:pStyle w:val="Tabletext"/>
            </w:pPr>
          </w:p>
        </w:tc>
        <w:tc>
          <w:tcPr>
            <w:tcW w:w="3138" w:type="pct"/>
            <w:tcBorders>
              <w:top w:val="nil"/>
              <w:bottom w:val="nil"/>
            </w:tcBorders>
            <w:shd w:val="clear" w:color="auto" w:fill="auto"/>
          </w:tcPr>
          <w:p w14:paraId="7A56A8F3" w14:textId="77777777" w:rsidR="00237D48" w:rsidRPr="005E3B43" w:rsidRDefault="00237D48" w:rsidP="00237D48">
            <w:pPr>
              <w:pStyle w:val="Tablea"/>
              <w:ind w:right="-52"/>
            </w:pPr>
            <w:r w:rsidRPr="005E3B43">
              <w:t>(e) an IVD medical device that is not:</w:t>
            </w:r>
          </w:p>
          <w:p w14:paraId="699C6AFC" w14:textId="77777777" w:rsidR="00237D48" w:rsidRPr="005E3B43" w:rsidRDefault="00237D48" w:rsidP="00237D48">
            <w:pPr>
              <w:pStyle w:val="Tablei"/>
            </w:pPr>
            <w:r w:rsidRPr="005E3B43">
              <w:t>(i) a Class 3 or Class 4 IVD medical device; and</w:t>
            </w:r>
          </w:p>
          <w:p w14:paraId="30C1375D" w14:textId="77777777" w:rsidR="00237D48" w:rsidRPr="005E3B43" w:rsidRDefault="00237D48" w:rsidP="00364801">
            <w:pPr>
              <w:pStyle w:val="Tablei"/>
            </w:pPr>
            <w:r w:rsidRPr="005E3B43">
              <w:t>(ii) covered by paragraph (g)</w:t>
            </w:r>
          </w:p>
        </w:tc>
        <w:tc>
          <w:tcPr>
            <w:tcW w:w="1240" w:type="pct"/>
            <w:tcBorders>
              <w:top w:val="nil"/>
              <w:bottom w:val="nil"/>
            </w:tcBorders>
            <w:shd w:val="clear" w:color="auto" w:fill="auto"/>
          </w:tcPr>
          <w:p w14:paraId="7F75C140" w14:textId="77777777" w:rsidR="00237D48" w:rsidRPr="005E3B43" w:rsidRDefault="00C44DD9" w:rsidP="00237D48">
            <w:pPr>
              <w:pStyle w:val="Tabletext"/>
              <w:ind w:right="-52"/>
            </w:pPr>
            <w:r w:rsidRPr="005E3B43">
              <w:t>1,047</w:t>
            </w:r>
          </w:p>
        </w:tc>
      </w:tr>
      <w:tr w:rsidR="00237D48" w:rsidRPr="005E3B43" w14:paraId="2CEB8BE6" w14:textId="77777777" w:rsidTr="005A786D">
        <w:tc>
          <w:tcPr>
            <w:tcW w:w="622" w:type="pct"/>
            <w:tcBorders>
              <w:top w:val="nil"/>
              <w:bottom w:val="nil"/>
            </w:tcBorders>
            <w:shd w:val="clear" w:color="auto" w:fill="auto"/>
          </w:tcPr>
          <w:p w14:paraId="4C75717E" w14:textId="77777777" w:rsidR="00237D48" w:rsidRPr="005E3B43" w:rsidRDefault="00237D48" w:rsidP="00237D48">
            <w:pPr>
              <w:pStyle w:val="Tabletext"/>
            </w:pPr>
          </w:p>
        </w:tc>
        <w:tc>
          <w:tcPr>
            <w:tcW w:w="3138" w:type="pct"/>
            <w:tcBorders>
              <w:top w:val="nil"/>
              <w:bottom w:val="nil"/>
            </w:tcBorders>
            <w:shd w:val="clear" w:color="auto" w:fill="auto"/>
          </w:tcPr>
          <w:p w14:paraId="508FD978" w14:textId="77777777" w:rsidR="00237D48" w:rsidRPr="005E3B43" w:rsidRDefault="00237D48" w:rsidP="00237D48">
            <w:pPr>
              <w:pStyle w:val="Tablea"/>
              <w:ind w:right="-52"/>
            </w:pPr>
            <w:r w:rsidRPr="005E3B43">
              <w:t>(f) a medical device that is not:</w:t>
            </w:r>
          </w:p>
          <w:p w14:paraId="3996C39C" w14:textId="77777777" w:rsidR="00237D48" w:rsidRPr="005E3B43" w:rsidRDefault="00237D48" w:rsidP="00237D48">
            <w:pPr>
              <w:pStyle w:val="Tablei"/>
            </w:pPr>
            <w:r w:rsidRPr="005E3B43">
              <w:t>(i) an IVD medical device; and</w:t>
            </w:r>
          </w:p>
          <w:p w14:paraId="67DB0A8A" w14:textId="77777777" w:rsidR="00237D48" w:rsidRPr="005E3B43" w:rsidRDefault="00237D48" w:rsidP="00364801">
            <w:pPr>
              <w:pStyle w:val="Tablei"/>
            </w:pPr>
            <w:r w:rsidRPr="005E3B43">
              <w:t>(ii) covered by paragraph (g)</w:t>
            </w:r>
          </w:p>
        </w:tc>
        <w:tc>
          <w:tcPr>
            <w:tcW w:w="1240" w:type="pct"/>
            <w:tcBorders>
              <w:top w:val="nil"/>
              <w:bottom w:val="nil"/>
            </w:tcBorders>
            <w:shd w:val="clear" w:color="auto" w:fill="auto"/>
          </w:tcPr>
          <w:p w14:paraId="59304C4A" w14:textId="77777777" w:rsidR="00237D48" w:rsidRPr="005E3B43" w:rsidRDefault="00C44DD9" w:rsidP="00237D48">
            <w:pPr>
              <w:pStyle w:val="Tabletext"/>
              <w:ind w:right="-52"/>
            </w:pPr>
            <w:r w:rsidRPr="005E3B43">
              <w:t>1,047</w:t>
            </w:r>
          </w:p>
        </w:tc>
      </w:tr>
      <w:tr w:rsidR="00237D48" w:rsidRPr="005E3B43" w14:paraId="7D836193" w14:textId="77777777" w:rsidTr="005A786D">
        <w:tc>
          <w:tcPr>
            <w:tcW w:w="622" w:type="pct"/>
            <w:tcBorders>
              <w:top w:val="nil"/>
              <w:bottom w:val="nil"/>
            </w:tcBorders>
            <w:shd w:val="clear" w:color="auto" w:fill="auto"/>
          </w:tcPr>
          <w:p w14:paraId="6362C84D" w14:textId="77777777" w:rsidR="00237D48" w:rsidRPr="005E3B43" w:rsidRDefault="00237D48" w:rsidP="00237D48">
            <w:pPr>
              <w:pStyle w:val="Tabletext"/>
            </w:pPr>
          </w:p>
        </w:tc>
        <w:tc>
          <w:tcPr>
            <w:tcW w:w="3138" w:type="pct"/>
            <w:tcBorders>
              <w:top w:val="nil"/>
              <w:bottom w:val="nil"/>
            </w:tcBorders>
            <w:shd w:val="clear" w:color="auto" w:fill="auto"/>
          </w:tcPr>
          <w:p w14:paraId="5FAB1254" w14:textId="77777777" w:rsidR="00237D48" w:rsidRPr="005E3B43" w:rsidRDefault="00237D48" w:rsidP="00237D48">
            <w:pPr>
              <w:pStyle w:val="Tablea"/>
              <w:ind w:right="-52"/>
            </w:pPr>
            <w:r w:rsidRPr="005E3B43">
              <w:t>(g) a medical device, if the following are satisfied:</w:t>
            </w:r>
          </w:p>
          <w:p w14:paraId="40EB10FC" w14:textId="21FD8F4E" w:rsidR="00237D48" w:rsidRPr="005E3B43" w:rsidRDefault="00237D48" w:rsidP="00237D48">
            <w:pPr>
              <w:pStyle w:val="Tablei"/>
            </w:pPr>
            <w:r w:rsidRPr="005E3B43">
              <w:rPr>
                <w:rFonts w:eastAsia="Calibri"/>
              </w:rPr>
              <w:t xml:space="preserve">(i) </w:t>
            </w:r>
            <w:r w:rsidRPr="005E3B43">
              <w:t xml:space="preserve">the reason for the variation is that the kind of medical device is </w:t>
            </w:r>
            <w:r w:rsidRPr="005E3B43">
              <w:rPr>
                <w:b/>
                <w:i/>
              </w:rPr>
              <w:t>affected by the EU transition</w:t>
            </w:r>
            <w:r w:rsidRPr="005E3B43">
              <w:t xml:space="preserve"> (within the meaning of subregulation 9.1AA(3) of the </w:t>
            </w:r>
            <w:r w:rsidRPr="005E3B43">
              <w:rPr>
                <w:i/>
              </w:rPr>
              <w:t xml:space="preserve">Therapeutic Goods (Medical Devices) </w:t>
            </w:r>
            <w:r w:rsidR="007C3215">
              <w:rPr>
                <w:i/>
              </w:rPr>
              <w:t>Regulations 2</w:t>
            </w:r>
            <w:r w:rsidRPr="005E3B43">
              <w:rPr>
                <w:i/>
              </w:rPr>
              <w:t>002</w:t>
            </w:r>
            <w:r w:rsidRPr="005E3B43">
              <w:t>);</w:t>
            </w:r>
          </w:p>
          <w:p w14:paraId="14F75FAD" w14:textId="77777777" w:rsidR="00237D48" w:rsidRPr="005E3B43" w:rsidRDefault="00237D48" w:rsidP="00237D48">
            <w:pPr>
              <w:pStyle w:val="Tablei"/>
            </w:pPr>
            <w:r w:rsidRPr="005E3B43">
              <w:t>(ii) the variation only relates to an update to the manufacturer’s evidence for the medical device recorded in the entry in the Register for that kind of medical device;</w:t>
            </w:r>
          </w:p>
          <w:p w14:paraId="711E384D" w14:textId="77777777" w:rsidR="00237D48" w:rsidRPr="005E3B43" w:rsidRDefault="00237D48" w:rsidP="00364801">
            <w:pPr>
              <w:pStyle w:val="Tablei"/>
            </w:pPr>
            <w:r w:rsidRPr="005E3B43">
              <w:t>(iii) the request is to vary one or more entries in the Register and the manufacturer’s evidence to which the update relates is the same for each of the entries</w:t>
            </w:r>
          </w:p>
        </w:tc>
        <w:tc>
          <w:tcPr>
            <w:tcW w:w="1240" w:type="pct"/>
            <w:tcBorders>
              <w:top w:val="nil"/>
              <w:bottom w:val="nil"/>
            </w:tcBorders>
            <w:shd w:val="clear" w:color="auto" w:fill="auto"/>
          </w:tcPr>
          <w:p w14:paraId="2F62D49D" w14:textId="77777777" w:rsidR="00237D48" w:rsidRPr="005E3B43" w:rsidRDefault="00A82914" w:rsidP="00237D48">
            <w:pPr>
              <w:pStyle w:val="Tabletext"/>
              <w:ind w:right="-52"/>
            </w:pPr>
            <w:r w:rsidRPr="005E3B43">
              <w:t>199</w:t>
            </w:r>
            <w:r w:rsidR="00237D48" w:rsidRPr="005E3B43">
              <w:t xml:space="preserve"> per 10 entries (or part thereof)</w:t>
            </w:r>
          </w:p>
        </w:tc>
      </w:tr>
      <w:tr w:rsidR="00550FEB" w:rsidRPr="005E3B43" w14:paraId="3B17991E" w14:textId="77777777" w:rsidTr="005A786D">
        <w:tc>
          <w:tcPr>
            <w:tcW w:w="622" w:type="pct"/>
            <w:tcBorders>
              <w:top w:val="single" w:sz="4" w:space="0" w:color="auto"/>
              <w:bottom w:val="single" w:sz="4" w:space="0" w:color="auto"/>
            </w:tcBorders>
            <w:shd w:val="clear" w:color="auto" w:fill="auto"/>
          </w:tcPr>
          <w:p w14:paraId="34433CBD" w14:textId="77777777" w:rsidR="00550FEB" w:rsidRPr="005E3B43" w:rsidRDefault="00550FEB" w:rsidP="00763BCF">
            <w:pPr>
              <w:pStyle w:val="Tabletext"/>
            </w:pPr>
            <w:r w:rsidRPr="005E3B43">
              <w:t>2AC</w:t>
            </w:r>
          </w:p>
        </w:tc>
        <w:tc>
          <w:tcPr>
            <w:tcW w:w="3138" w:type="pct"/>
            <w:tcBorders>
              <w:top w:val="single" w:sz="4" w:space="0" w:color="auto"/>
              <w:bottom w:val="single" w:sz="4" w:space="0" w:color="auto"/>
            </w:tcBorders>
            <w:shd w:val="clear" w:color="auto" w:fill="auto"/>
          </w:tcPr>
          <w:p w14:paraId="127DEDB6" w14:textId="77777777" w:rsidR="00550FEB" w:rsidRPr="005E3B43" w:rsidRDefault="00550FEB" w:rsidP="00763BCF">
            <w:pPr>
              <w:pStyle w:val="Tabletext"/>
              <w:ind w:right="-52"/>
            </w:pPr>
            <w:r w:rsidRPr="005E3B43">
              <w:t>Application fee for an application under subsection</w:t>
            </w:r>
            <w:r w:rsidR="004E6D00" w:rsidRPr="005E3B43">
              <w:t> </w:t>
            </w:r>
            <w:r w:rsidRPr="005E3B43">
              <w:t>9D(3) of the Act to which regulation</w:t>
            </w:r>
            <w:r w:rsidR="004E6D00" w:rsidRPr="005E3B43">
              <w:t> </w:t>
            </w:r>
            <w:r w:rsidRPr="005E3B43">
              <w:t>16D applies</w:t>
            </w:r>
          </w:p>
        </w:tc>
        <w:tc>
          <w:tcPr>
            <w:tcW w:w="1240" w:type="pct"/>
            <w:tcBorders>
              <w:top w:val="single" w:sz="4" w:space="0" w:color="auto"/>
              <w:bottom w:val="single" w:sz="4" w:space="0" w:color="auto"/>
            </w:tcBorders>
            <w:shd w:val="clear" w:color="auto" w:fill="auto"/>
          </w:tcPr>
          <w:p w14:paraId="04152ACC" w14:textId="77777777" w:rsidR="00550FEB" w:rsidRPr="005E3B43" w:rsidRDefault="00A82914" w:rsidP="00763BCF">
            <w:pPr>
              <w:pStyle w:val="Tabletext"/>
            </w:pPr>
            <w:r w:rsidRPr="005E3B43">
              <w:t>1,299</w:t>
            </w:r>
          </w:p>
        </w:tc>
      </w:tr>
      <w:tr w:rsidR="00550FEB" w:rsidRPr="005E3B43" w:rsidDel="00B4546E" w14:paraId="32DC36A8" w14:textId="77777777" w:rsidTr="005A786D">
        <w:tc>
          <w:tcPr>
            <w:tcW w:w="622" w:type="pct"/>
            <w:tcBorders>
              <w:top w:val="single" w:sz="4" w:space="0" w:color="auto"/>
              <w:bottom w:val="single" w:sz="4" w:space="0" w:color="auto"/>
            </w:tcBorders>
            <w:shd w:val="clear" w:color="auto" w:fill="auto"/>
          </w:tcPr>
          <w:p w14:paraId="1359F8E8" w14:textId="77777777" w:rsidR="00550FEB" w:rsidRPr="005E3B43" w:rsidDel="00B4546E" w:rsidRDefault="00550FEB" w:rsidP="00763BCF">
            <w:pPr>
              <w:pStyle w:val="Tabletext"/>
            </w:pPr>
            <w:r w:rsidRPr="005E3B43">
              <w:t>2B</w:t>
            </w:r>
          </w:p>
        </w:tc>
        <w:tc>
          <w:tcPr>
            <w:tcW w:w="3138" w:type="pct"/>
            <w:tcBorders>
              <w:top w:val="single" w:sz="4" w:space="0" w:color="auto"/>
              <w:bottom w:val="single" w:sz="4" w:space="0" w:color="auto"/>
            </w:tcBorders>
            <w:shd w:val="clear" w:color="auto" w:fill="auto"/>
          </w:tcPr>
          <w:p w14:paraId="7DAE8A0F" w14:textId="77777777" w:rsidR="00550FEB" w:rsidRPr="005E3B43" w:rsidDel="00B4546E" w:rsidRDefault="00550FEB" w:rsidP="00763BCF">
            <w:pPr>
              <w:pStyle w:val="Tabletext"/>
              <w:ind w:right="-52"/>
            </w:pPr>
            <w:r w:rsidRPr="005E3B43">
              <w:t>Evaluation fee in relation to an application under subsection</w:t>
            </w:r>
            <w:r w:rsidR="004E6D00" w:rsidRPr="005E3B43">
              <w:t> </w:t>
            </w:r>
            <w:r w:rsidRPr="005E3B43">
              <w:t>9D(3) of the Act to which regulation</w:t>
            </w:r>
            <w:r w:rsidR="004E6D00" w:rsidRPr="005E3B43">
              <w:t> </w:t>
            </w:r>
            <w:r w:rsidRPr="005E3B43">
              <w:t>16F applies, for the evaluation of data—for each submission</w:t>
            </w:r>
          </w:p>
        </w:tc>
        <w:tc>
          <w:tcPr>
            <w:tcW w:w="1240" w:type="pct"/>
            <w:tcBorders>
              <w:top w:val="single" w:sz="4" w:space="0" w:color="auto"/>
              <w:bottom w:val="single" w:sz="4" w:space="0" w:color="auto"/>
            </w:tcBorders>
            <w:shd w:val="clear" w:color="auto" w:fill="auto"/>
          </w:tcPr>
          <w:p w14:paraId="2BF360FB" w14:textId="77777777" w:rsidR="00550FEB" w:rsidRPr="005E3B43" w:rsidDel="00B4546E" w:rsidRDefault="000E5C02" w:rsidP="00763BCF">
            <w:pPr>
              <w:pStyle w:val="Tabletext"/>
            </w:pPr>
            <w:r w:rsidRPr="005E3B43">
              <w:t>6,486</w:t>
            </w:r>
          </w:p>
        </w:tc>
      </w:tr>
      <w:tr w:rsidR="00550FEB" w:rsidRPr="005E3B43" w:rsidDel="00B4546E" w14:paraId="118F5531" w14:textId="77777777" w:rsidTr="005A786D">
        <w:trPr>
          <w:cantSplit/>
        </w:trPr>
        <w:tc>
          <w:tcPr>
            <w:tcW w:w="622" w:type="pct"/>
            <w:tcBorders>
              <w:top w:val="single" w:sz="4" w:space="0" w:color="auto"/>
              <w:bottom w:val="single" w:sz="4" w:space="0" w:color="auto"/>
            </w:tcBorders>
            <w:shd w:val="clear" w:color="auto" w:fill="auto"/>
          </w:tcPr>
          <w:p w14:paraId="45298AB8" w14:textId="77777777" w:rsidR="00550FEB" w:rsidRPr="005E3B43" w:rsidDel="00B4546E" w:rsidRDefault="00550FEB" w:rsidP="00763BCF">
            <w:pPr>
              <w:pStyle w:val="Tabletext"/>
            </w:pPr>
            <w:r w:rsidRPr="005E3B43">
              <w:t>2C</w:t>
            </w:r>
          </w:p>
        </w:tc>
        <w:tc>
          <w:tcPr>
            <w:tcW w:w="3138" w:type="pct"/>
            <w:tcBorders>
              <w:top w:val="single" w:sz="4" w:space="0" w:color="auto"/>
              <w:bottom w:val="single" w:sz="4" w:space="0" w:color="auto"/>
            </w:tcBorders>
            <w:shd w:val="clear" w:color="auto" w:fill="auto"/>
          </w:tcPr>
          <w:p w14:paraId="65BB9DD1" w14:textId="77777777" w:rsidR="00550FEB" w:rsidRPr="005E3B43" w:rsidDel="00B4546E" w:rsidRDefault="00550FEB" w:rsidP="00763BCF">
            <w:pPr>
              <w:pStyle w:val="Tabletext"/>
              <w:ind w:right="-52"/>
            </w:pPr>
            <w:r w:rsidRPr="005E3B43">
              <w:t>Evaluation fee in relation to an application under subsection</w:t>
            </w:r>
            <w:r w:rsidR="004E6D00" w:rsidRPr="005E3B43">
              <w:t> </w:t>
            </w:r>
            <w:r w:rsidRPr="005E3B43">
              <w:t>9D(3) of the Act to which regulation</w:t>
            </w:r>
            <w:r w:rsidR="004E6D00" w:rsidRPr="005E3B43">
              <w:t> </w:t>
            </w:r>
            <w:r w:rsidRPr="005E3B43">
              <w:t>16D applies, for the evaluation of data</w:t>
            </w:r>
            <w:r w:rsidRPr="005E3B43">
              <w:rPr>
                <w:szCs w:val="22"/>
              </w:rPr>
              <w:t>—for each submission</w:t>
            </w:r>
          </w:p>
        </w:tc>
        <w:tc>
          <w:tcPr>
            <w:tcW w:w="1240" w:type="pct"/>
            <w:tcBorders>
              <w:top w:val="single" w:sz="4" w:space="0" w:color="auto"/>
              <w:bottom w:val="single" w:sz="4" w:space="0" w:color="auto"/>
            </w:tcBorders>
            <w:shd w:val="clear" w:color="auto" w:fill="auto"/>
          </w:tcPr>
          <w:p w14:paraId="69A2471F" w14:textId="77777777" w:rsidR="00550FEB" w:rsidRPr="005E3B43" w:rsidDel="00B4546E" w:rsidRDefault="000E5C02" w:rsidP="00763BCF">
            <w:pPr>
              <w:pStyle w:val="Tabletext"/>
            </w:pPr>
            <w:r w:rsidRPr="005E3B43">
              <w:t>5,187</w:t>
            </w:r>
          </w:p>
        </w:tc>
      </w:tr>
      <w:tr w:rsidR="00550FEB" w:rsidRPr="005E3B43" w:rsidDel="00B4546E" w14:paraId="325CC689" w14:textId="77777777" w:rsidTr="005A786D">
        <w:tc>
          <w:tcPr>
            <w:tcW w:w="622" w:type="pct"/>
            <w:tcBorders>
              <w:top w:val="single" w:sz="4" w:space="0" w:color="auto"/>
              <w:bottom w:val="single" w:sz="4" w:space="0" w:color="auto"/>
            </w:tcBorders>
            <w:shd w:val="clear" w:color="auto" w:fill="auto"/>
          </w:tcPr>
          <w:p w14:paraId="42C405FA" w14:textId="77777777" w:rsidR="00550FEB" w:rsidRPr="005E3B43" w:rsidDel="00B4546E" w:rsidRDefault="00550FEB" w:rsidP="00763BCF">
            <w:pPr>
              <w:pStyle w:val="Tabletext"/>
            </w:pPr>
            <w:r w:rsidRPr="005E3B43">
              <w:t>2CA</w:t>
            </w:r>
          </w:p>
        </w:tc>
        <w:tc>
          <w:tcPr>
            <w:tcW w:w="3138" w:type="pct"/>
            <w:tcBorders>
              <w:top w:val="single" w:sz="4" w:space="0" w:color="auto"/>
              <w:bottom w:val="single" w:sz="4" w:space="0" w:color="auto"/>
            </w:tcBorders>
            <w:shd w:val="clear" w:color="auto" w:fill="auto"/>
          </w:tcPr>
          <w:p w14:paraId="7526251A" w14:textId="77777777" w:rsidR="00550FEB" w:rsidRPr="005E3B43" w:rsidDel="00B4546E" w:rsidRDefault="00550FEB" w:rsidP="00763BCF">
            <w:pPr>
              <w:pStyle w:val="Tabletext"/>
              <w:ind w:right="-52"/>
            </w:pPr>
            <w:r w:rsidRPr="005E3B43">
              <w:t xml:space="preserve">Evaluation fee in relation to an application under </w:t>
            </w:r>
            <w:r w:rsidRPr="005E3B43">
              <w:lastRenderedPageBreak/>
              <w:t>subsection</w:t>
            </w:r>
            <w:r w:rsidR="004E6D00" w:rsidRPr="005E3B43">
              <w:t> </w:t>
            </w:r>
            <w:r w:rsidRPr="005E3B43">
              <w:t>9D(2) of the Act, for the evaluation of data—for each submission</w:t>
            </w:r>
          </w:p>
        </w:tc>
        <w:tc>
          <w:tcPr>
            <w:tcW w:w="1240" w:type="pct"/>
            <w:tcBorders>
              <w:top w:val="single" w:sz="4" w:space="0" w:color="auto"/>
              <w:bottom w:val="single" w:sz="4" w:space="0" w:color="auto"/>
            </w:tcBorders>
            <w:shd w:val="clear" w:color="auto" w:fill="auto"/>
          </w:tcPr>
          <w:p w14:paraId="536A5C1E" w14:textId="77777777" w:rsidR="00550FEB" w:rsidRPr="005E3B43" w:rsidDel="00B4546E" w:rsidRDefault="000E5C02" w:rsidP="00763BCF">
            <w:pPr>
              <w:pStyle w:val="Tabletext"/>
            </w:pPr>
            <w:r w:rsidRPr="005E3B43">
              <w:lastRenderedPageBreak/>
              <w:t>6,486</w:t>
            </w:r>
          </w:p>
        </w:tc>
      </w:tr>
      <w:tr w:rsidR="00550FEB" w:rsidRPr="005E3B43" w:rsidDel="00A35C5E" w14:paraId="5E6D28DA" w14:textId="77777777" w:rsidTr="00923C34">
        <w:trPr>
          <w:cantSplit/>
        </w:trPr>
        <w:tc>
          <w:tcPr>
            <w:tcW w:w="622" w:type="pct"/>
            <w:tcBorders>
              <w:top w:val="single" w:sz="4" w:space="0" w:color="auto"/>
              <w:bottom w:val="nil"/>
            </w:tcBorders>
            <w:shd w:val="clear" w:color="auto" w:fill="auto"/>
          </w:tcPr>
          <w:p w14:paraId="2C39553B" w14:textId="77777777" w:rsidR="00550FEB" w:rsidRPr="005E3B43" w:rsidDel="00A35C5E" w:rsidRDefault="00550FEB" w:rsidP="00763BCF">
            <w:pPr>
              <w:pStyle w:val="Tabletext"/>
            </w:pPr>
            <w:r w:rsidRPr="005E3B43">
              <w:t>2CB</w:t>
            </w:r>
          </w:p>
        </w:tc>
        <w:tc>
          <w:tcPr>
            <w:tcW w:w="3138" w:type="pct"/>
            <w:tcBorders>
              <w:top w:val="single" w:sz="4" w:space="0" w:color="auto"/>
              <w:bottom w:val="nil"/>
            </w:tcBorders>
            <w:shd w:val="clear" w:color="auto" w:fill="auto"/>
          </w:tcPr>
          <w:p w14:paraId="2E877BA5" w14:textId="77777777" w:rsidR="00550FEB" w:rsidRPr="005E3B43" w:rsidDel="00A35C5E" w:rsidRDefault="00550FEB" w:rsidP="00763BCF">
            <w:pPr>
              <w:pStyle w:val="Tabletext"/>
              <w:ind w:right="-52"/>
            </w:pPr>
            <w:r w:rsidRPr="005E3B43">
              <w:t>Fee for a request under subsection</w:t>
            </w:r>
            <w:r w:rsidR="004E6D00" w:rsidRPr="005E3B43">
              <w:t> </w:t>
            </w:r>
            <w:r w:rsidRPr="005E3B43">
              <w:t xml:space="preserve">9D(2C) of the Act (other than a request to which </w:t>
            </w:r>
            <w:r w:rsidR="006B5D8E" w:rsidRPr="005E3B43">
              <w:t>item 2</w:t>
            </w:r>
            <w:r w:rsidRPr="005E3B43">
              <w:t>CC, 2CD or 2CE applies) to make one or more variations of one or more entries in the Register in relation to a medicine:</w:t>
            </w:r>
          </w:p>
        </w:tc>
        <w:tc>
          <w:tcPr>
            <w:tcW w:w="1240" w:type="pct"/>
            <w:tcBorders>
              <w:top w:val="single" w:sz="4" w:space="0" w:color="auto"/>
              <w:bottom w:val="nil"/>
            </w:tcBorders>
            <w:shd w:val="clear" w:color="auto" w:fill="auto"/>
          </w:tcPr>
          <w:p w14:paraId="1E9F4029" w14:textId="77777777" w:rsidR="00550FEB" w:rsidRPr="005E3B43" w:rsidDel="00A35C5E" w:rsidRDefault="00550FEB" w:rsidP="00763BCF">
            <w:pPr>
              <w:pStyle w:val="Tabletext"/>
            </w:pPr>
          </w:p>
        </w:tc>
      </w:tr>
      <w:tr w:rsidR="00550FEB" w:rsidRPr="005E3B43" w:rsidDel="00A35C5E" w14:paraId="71CC826F" w14:textId="77777777" w:rsidTr="005A786D">
        <w:tc>
          <w:tcPr>
            <w:tcW w:w="622" w:type="pct"/>
            <w:tcBorders>
              <w:top w:val="nil"/>
              <w:bottom w:val="nil"/>
            </w:tcBorders>
            <w:shd w:val="clear" w:color="auto" w:fill="auto"/>
          </w:tcPr>
          <w:p w14:paraId="1CC529BC" w14:textId="77777777" w:rsidR="00550FEB" w:rsidRPr="005E3B43" w:rsidDel="00A35C5E" w:rsidRDefault="00550FEB" w:rsidP="00763BCF">
            <w:pPr>
              <w:pStyle w:val="Tabletext"/>
            </w:pPr>
          </w:p>
        </w:tc>
        <w:tc>
          <w:tcPr>
            <w:tcW w:w="3138" w:type="pct"/>
            <w:tcBorders>
              <w:top w:val="nil"/>
              <w:bottom w:val="nil"/>
            </w:tcBorders>
            <w:shd w:val="clear" w:color="auto" w:fill="auto"/>
          </w:tcPr>
          <w:p w14:paraId="52DED269" w14:textId="77777777" w:rsidR="00550FEB" w:rsidRPr="005E3B43" w:rsidDel="00A35C5E" w:rsidRDefault="00550FEB" w:rsidP="00763BCF">
            <w:pPr>
              <w:pStyle w:val="Tablea"/>
            </w:pPr>
            <w:r w:rsidRPr="005E3B43">
              <w:t xml:space="preserve">(a) for each entry, unless </w:t>
            </w:r>
            <w:r w:rsidR="004E6D00" w:rsidRPr="005E3B43">
              <w:t>paragraph (</w:t>
            </w:r>
            <w:r w:rsidRPr="005E3B43">
              <w:t>b) applies</w:t>
            </w:r>
          </w:p>
        </w:tc>
        <w:tc>
          <w:tcPr>
            <w:tcW w:w="1240" w:type="pct"/>
            <w:tcBorders>
              <w:top w:val="nil"/>
              <w:bottom w:val="nil"/>
            </w:tcBorders>
            <w:shd w:val="clear" w:color="auto" w:fill="auto"/>
          </w:tcPr>
          <w:p w14:paraId="493ADA10" w14:textId="77777777" w:rsidR="00550FEB" w:rsidRPr="005E3B43" w:rsidDel="00A35C5E" w:rsidRDefault="001D2EF9" w:rsidP="00763BCF">
            <w:pPr>
              <w:pStyle w:val="Tabletext"/>
            </w:pPr>
            <w:r w:rsidRPr="005E3B43">
              <w:t>950</w:t>
            </w:r>
          </w:p>
        </w:tc>
      </w:tr>
      <w:tr w:rsidR="00550FEB" w:rsidRPr="005E3B43" w:rsidDel="00A35C5E" w14:paraId="23A08F7A" w14:textId="77777777" w:rsidTr="005A786D">
        <w:tc>
          <w:tcPr>
            <w:tcW w:w="622" w:type="pct"/>
            <w:tcBorders>
              <w:top w:val="nil"/>
              <w:bottom w:val="single" w:sz="4" w:space="0" w:color="auto"/>
            </w:tcBorders>
            <w:shd w:val="clear" w:color="auto" w:fill="auto"/>
          </w:tcPr>
          <w:p w14:paraId="4DB4C85F" w14:textId="77777777" w:rsidR="00550FEB" w:rsidRPr="005E3B43" w:rsidDel="00A35C5E" w:rsidRDefault="00550FEB" w:rsidP="00763BCF">
            <w:pPr>
              <w:pStyle w:val="Tabletext"/>
            </w:pPr>
          </w:p>
        </w:tc>
        <w:tc>
          <w:tcPr>
            <w:tcW w:w="3138" w:type="pct"/>
            <w:tcBorders>
              <w:top w:val="nil"/>
              <w:bottom w:val="single" w:sz="4" w:space="0" w:color="auto"/>
            </w:tcBorders>
            <w:shd w:val="clear" w:color="auto" w:fill="auto"/>
          </w:tcPr>
          <w:p w14:paraId="2B77BBA8" w14:textId="77777777" w:rsidR="00550FEB" w:rsidRPr="005E3B43" w:rsidDel="00A35C5E" w:rsidRDefault="00550FEB" w:rsidP="00763BCF">
            <w:pPr>
              <w:pStyle w:val="Tablea"/>
            </w:pPr>
            <w:r w:rsidRPr="005E3B43">
              <w:t xml:space="preserve">(b) in the case of a single entry in the Register, if the request is made together with a request of a kind mentioned in </w:t>
            </w:r>
            <w:r w:rsidR="006B5D8E" w:rsidRPr="005E3B43">
              <w:t>item 5</w:t>
            </w:r>
            <w:r w:rsidRPr="005E3B43">
              <w:t xml:space="preserve"> of </w:t>
            </w:r>
            <w:r w:rsidR="00BB758E" w:rsidRPr="005E3B43">
              <w:t>Part 3</w:t>
            </w:r>
            <w:r w:rsidRPr="005E3B43">
              <w:t xml:space="preserve"> in relation to the same entry</w:t>
            </w:r>
          </w:p>
        </w:tc>
        <w:tc>
          <w:tcPr>
            <w:tcW w:w="1240" w:type="pct"/>
            <w:tcBorders>
              <w:top w:val="nil"/>
              <w:bottom w:val="single" w:sz="4" w:space="0" w:color="auto"/>
            </w:tcBorders>
            <w:shd w:val="clear" w:color="auto" w:fill="auto"/>
          </w:tcPr>
          <w:p w14:paraId="2B66D906" w14:textId="77777777" w:rsidR="00550FEB" w:rsidRPr="005E3B43" w:rsidDel="00A35C5E" w:rsidRDefault="00550FEB" w:rsidP="00763BCF">
            <w:pPr>
              <w:pStyle w:val="Tabletext"/>
            </w:pPr>
            <w:r w:rsidRPr="005E3B43">
              <w:t>Nil</w:t>
            </w:r>
          </w:p>
        </w:tc>
      </w:tr>
      <w:tr w:rsidR="00550FEB" w:rsidRPr="005E3B43" w:rsidDel="00B4546E" w14:paraId="0304B97A" w14:textId="77777777" w:rsidTr="005A786D">
        <w:tc>
          <w:tcPr>
            <w:tcW w:w="622" w:type="pct"/>
            <w:tcBorders>
              <w:top w:val="single" w:sz="4" w:space="0" w:color="auto"/>
              <w:bottom w:val="single" w:sz="4" w:space="0" w:color="auto"/>
            </w:tcBorders>
            <w:shd w:val="clear" w:color="auto" w:fill="auto"/>
          </w:tcPr>
          <w:p w14:paraId="61ACFC0E" w14:textId="77777777" w:rsidR="00550FEB" w:rsidRPr="005E3B43" w:rsidRDefault="00550FEB" w:rsidP="00763BCF">
            <w:pPr>
              <w:pStyle w:val="Tabletext"/>
            </w:pPr>
            <w:r w:rsidRPr="005E3B43">
              <w:t>2CC</w:t>
            </w:r>
          </w:p>
        </w:tc>
        <w:tc>
          <w:tcPr>
            <w:tcW w:w="3138" w:type="pct"/>
            <w:tcBorders>
              <w:top w:val="single" w:sz="4" w:space="0" w:color="auto"/>
              <w:bottom w:val="single" w:sz="4" w:space="0" w:color="auto"/>
            </w:tcBorders>
            <w:shd w:val="clear" w:color="auto" w:fill="auto"/>
          </w:tcPr>
          <w:p w14:paraId="444EA2E4" w14:textId="77777777" w:rsidR="00550FEB" w:rsidRPr="005E3B43" w:rsidRDefault="00550FEB" w:rsidP="00763BCF">
            <w:pPr>
              <w:pStyle w:val="Tabletext"/>
              <w:ind w:right="-52"/>
            </w:pPr>
            <w:r w:rsidRPr="005E3B43">
              <w:t>Fee for a request under subsection</w:t>
            </w:r>
            <w:r w:rsidR="004E6D00" w:rsidRPr="005E3B43">
              <w:t> </w:t>
            </w:r>
            <w:r w:rsidRPr="005E3B43">
              <w:t>9D(2C) of the Act to make the same variation or variations of 2 or more entries in the Register that each relate to a registered complementary medicine—for each group of up to 7 entries</w:t>
            </w:r>
          </w:p>
        </w:tc>
        <w:tc>
          <w:tcPr>
            <w:tcW w:w="1240" w:type="pct"/>
            <w:tcBorders>
              <w:top w:val="single" w:sz="4" w:space="0" w:color="auto"/>
              <w:bottom w:val="single" w:sz="4" w:space="0" w:color="auto"/>
            </w:tcBorders>
            <w:shd w:val="clear" w:color="auto" w:fill="auto"/>
          </w:tcPr>
          <w:p w14:paraId="17CBDDB2" w14:textId="77777777" w:rsidR="00550FEB" w:rsidRPr="005E3B43" w:rsidRDefault="001D2EF9" w:rsidP="00763BCF">
            <w:pPr>
              <w:pStyle w:val="Tabletext"/>
            </w:pPr>
            <w:r w:rsidRPr="005E3B43">
              <w:t>950</w:t>
            </w:r>
          </w:p>
        </w:tc>
      </w:tr>
      <w:tr w:rsidR="00550FEB" w:rsidRPr="005E3B43" w:rsidDel="00A35C5E" w14:paraId="3619BFE7" w14:textId="77777777" w:rsidTr="005A786D">
        <w:tc>
          <w:tcPr>
            <w:tcW w:w="622" w:type="pct"/>
            <w:tcBorders>
              <w:top w:val="single" w:sz="4" w:space="0" w:color="auto"/>
              <w:bottom w:val="nil"/>
            </w:tcBorders>
            <w:shd w:val="clear" w:color="auto" w:fill="auto"/>
          </w:tcPr>
          <w:p w14:paraId="674C3F8E" w14:textId="77777777" w:rsidR="00550FEB" w:rsidRPr="005E3B43" w:rsidDel="00A35C5E" w:rsidRDefault="00550FEB" w:rsidP="00763BCF">
            <w:pPr>
              <w:pStyle w:val="Tabletext"/>
            </w:pPr>
            <w:r w:rsidRPr="005E3B43">
              <w:t>2CD</w:t>
            </w:r>
          </w:p>
        </w:tc>
        <w:tc>
          <w:tcPr>
            <w:tcW w:w="3138" w:type="pct"/>
            <w:tcBorders>
              <w:top w:val="single" w:sz="4" w:space="0" w:color="auto"/>
              <w:bottom w:val="nil"/>
            </w:tcBorders>
            <w:shd w:val="clear" w:color="auto" w:fill="auto"/>
          </w:tcPr>
          <w:p w14:paraId="732F1A4E" w14:textId="77777777" w:rsidR="00550FEB" w:rsidRPr="005E3B43" w:rsidDel="00A35C5E" w:rsidRDefault="00550FEB" w:rsidP="00763BCF">
            <w:pPr>
              <w:pStyle w:val="Tabletext"/>
              <w:ind w:right="-52"/>
            </w:pPr>
            <w:r w:rsidRPr="005E3B43">
              <w:t>Fee for a request under subsection</w:t>
            </w:r>
            <w:r w:rsidR="004E6D00" w:rsidRPr="005E3B43">
              <w:t> </w:t>
            </w:r>
            <w:r w:rsidRPr="005E3B43">
              <w:t>9D(2C) of the Act to make the same variation or variations of 2 or more entries in the Register that each relate to a registered OTC medicine:</w:t>
            </w:r>
          </w:p>
        </w:tc>
        <w:tc>
          <w:tcPr>
            <w:tcW w:w="1240" w:type="pct"/>
            <w:tcBorders>
              <w:top w:val="single" w:sz="4" w:space="0" w:color="auto"/>
              <w:bottom w:val="nil"/>
            </w:tcBorders>
            <w:shd w:val="clear" w:color="auto" w:fill="auto"/>
          </w:tcPr>
          <w:p w14:paraId="71110C82" w14:textId="77777777" w:rsidR="00550FEB" w:rsidRPr="005E3B43" w:rsidDel="00A35C5E" w:rsidRDefault="00550FEB" w:rsidP="00763BCF">
            <w:pPr>
              <w:pStyle w:val="Tabletext"/>
            </w:pPr>
          </w:p>
        </w:tc>
      </w:tr>
      <w:tr w:rsidR="00550FEB" w:rsidRPr="005E3B43" w:rsidDel="00A35C5E" w14:paraId="07DE97D9" w14:textId="77777777" w:rsidTr="005A786D">
        <w:tc>
          <w:tcPr>
            <w:tcW w:w="622" w:type="pct"/>
            <w:tcBorders>
              <w:top w:val="nil"/>
              <w:bottom w:val="nil"/>
            </w:tcBorders>
            <w:shd w:val="clear" w:color="auto" w:fill="auto"/>
          </w:tcPr>
          <w:p w14:paraId="14E3D152" w14:textId="77777777" w:rsidR="00550FEB" w:rsidRPr="005E3B43" w:rsidDel="00A35C5E" w:rsidRDefault="00550FEB" w:rsidP="00763BCF">
            <w:pPr>
              <w:pStyle w:val="Tabletext"/>
            </w:pPr>
          </w:p>
        </w:tc>
        <w:tc>
          <w:tcPr>
            <w:tcW w:w="3138" w:type="pct"/>
            <w:tcBorders>
              <w:top w:val="nil"/>
              <w:bottom w:val="nil"/>
            </w:tcBorders>
            <w:shd w:val="clear" w:color="auto" w:fill="auto"/>
          </w:tcPr>
          <w:p w14:paraId="02E1E673" w14:textId="77777777" w:rsidR="00550FEB" w:rsidRPr="005E3B43" w:rsidDel="00A35C5E" w:rsidRDefault="00550FEB" w:rsidP="00763BCF">
            <w:pPr>
              <w:pStyle w:val="Tablea"/>
            </w:pPr>
            <w:r w:rsidRPr="005E3B43">
              <w:t xml:space="preserve">(a) for each group of up to 7 entries, unless </w:t>
            </w:r>
            <w:r w:rsidR="004E6D00" w:rsidRPr="005E3B43">
              <w:t>paragraph (</w:t>
            </w:r>
            <w:r w:rsidRPr="005E3B43">
              <w:t>b) applies</w:t>
            </w:r>
          </w:p>
        </w:tc>
        <w:tc>
          <w:tcPr>
            <w:tcW w:w="1240" w:type="pct"/>
            <w:tcBorders>
              <w:top w:val="nil"/>
              <w:bottom w:val="nil"/>
            </w:tcBorders>
            <w:shd w:val="clear" w:color="auto" w:fill="auto"/>
          </w:tcPr>
          <w:p w14:paraId="2F526AF9" w14:textId="77777777" w:rsidR="00550FEB" w:rsidRPr="005E3B43" w:rsidDel="00A35C5E" w:rsidRDefault="001D2EF9" w:rsidP="00763BCF">
            <w:pPr>
              <w:pStyle w:val="Tabletext"/>
            </w:pPr>
            <w:r w:rsidRPr="005E3B43">
              <w:t>950</w:t>
            </w:r>
          </w:p>
        </w:tc>
      </w:tr>
      <w:tr w:rsidR="00550FEB" w:rsidRPr="005E3B43" w:rsidDel="00A35C5E" w14:paraId="56F01AB9" w14:textId="77777777" w:rsidTr="005A786D">
        <w:tc>
          <w:tcPr>
            <w:tcW w:w="622" w:type="pct"/>
            <w:tcBorders>
              <w:top w:val="nil"/>
              <w:bottom w:val="single" w:sz="4" w:space="0" w:color="auto"/>
            </w:tcBorders>
            <w:shd w:val="clear" w:color="auto" w:fill="auto"/>
          </w:tcPr>
          <w:p w14:paraId="01740B98" w14:textId="77777777" w:rsidR="00550FEB" w:rsidRPr="005E3B43" w:rsidDel="00A35C5E" w:rsidRDefault="00550FEB" w:rsidP="00763BCF">
            <w:pPr>
              <w:pStyle w:val="Tabletext"/>
            </w:pPr>
          </w:p>
        </w:tc>
        <w:tc>
          <w:tcPr>
            <w:tcW w:w="3138" w:type="pct"/>
            <w:tcBorders>
              <w:top w:val="nil"/>
              <w:bottom w:val="single" w:sz="4" w:space="0" w:color="auto"/>
            </w:tcBorders>
            <w:shd w:val="clear" w:color="auto" w:fill="auto"/>
          </w:tcPr>
          <w:p w14:paraId="5BED7CB1" w14:textId="77777777" w:rsidR="00550FEB" w:rsidRPr="005E3B43" w:rsidDel="00A35C5E" w:rsidRDefault="00550FEB" w:rsidP="00763BCF">
            <w:pPr>
              <w:pStyle w:val="Tablea"/>
            </w:pPr>
            <w:r w:rsidRPr="005E3B43">
              <w:t xml:space="preserve">(b) for each group of up to 20 entries, if the request is made together with a request of a kind mentioned in </w:t>
            </w:r>
            <w:r w:rsidR="006B5D8E" w:rsidRPr="005E3B43">
              <w:t>item 5</w:t>
            </w:r>
            <w:r w:rsidRPr="005E3B43">
              <w:t xml:space="preserve"> of </w:t>
            </w:r>
            <w:r w:rsidR="00BB758E" w:rsidRPr="005E3B43">
              <w:t>Part 3</w:t>
            </w:r>
            <w:r w:rsidRPr="005E3B43">
              <w:t>, in relation to the same group of entries</w:t>
            </w:r>
          </w:p>
        </w:tc>
        <w:tc>
          <w:tcPr>
            <w:tcW w:w="1240" w:type="pct"/>
            <w:tcBorders>
              <w:top w:val="nil"/>
              <w:bottom w:val="single" w:sz="4" w:space="0" w:color="auto"/>
            </w:tcBorders>
            <w:shd w:val="clear" w:color="auto" w:fill="auto"/>
          </w:tcPr>
          <w:p w14:paraId="40D56E2A" w14:textId="77777777" w:rsidR="00550FEB" w:rsidRPr="005E3B43" w:rsidDel="00A35C5E" w:rsidRDefault="00550FEB" w:rsidP="00763BCF">
            <w:pPr>
              <w:pStyle w:val="Tabletext"/>
            </w:pPr>
            <w:r w:rsidRPr="005E3B43">
              <w:t>Nil</w:t>
            </w:r>
          </w:p>
        </w:tc>
      </w:tr>
      <w:tr w:rsidR="00550FEB" w:rsidRPr="005E3B43" w:rsidDel="00B4546E" w14:paraId="2AC96A29" w14:textId="77777777" w:rsidTr="005A786D">
        <w:tc>
          <w:tcPr>
            <w:tcW w:w="622" w:type="pct"/>
            <w:tcBorders>
              <w:top w:val="single" w:sz="4" w:space="0" w:color="auto"/>
              <w:bottom w:val="single" w:sz="4" w:space="0" w:color="auto"/>
            </w:tcBorders>
            <w:shd w:val="clear" w:color="auto" w:fill="auto"/>
          </w:tcPr>
          <w:p w14:paraId="543E0066" w14:textId="77777777" w:rsidR="00550FEB" w:rsidRPr="005E3B43" w:rsidRDefault="00550FEB" w:rsidP="00763BCF">
            <w:pPr>
              <w:pStyle w:val="Tabletext"/>
            </w:pPr>
            <w:r w:rsidRPr="005E3B43">
              <w:t>2CE</w:t>
            </w:r>
          </w:p>
        </w:tc>
        <w:tc>
          <w:tcPr>
            <w:tcW w:w="3138" w:type="pct"/>
            <w:tcBorders>
              <w:top w:val="single" w:sz="4" w:space="0" w:color="auto"/>
              <w:bottom w:val="single" w:sz="4" w:space="0" w:color="auto"/>
            </w:tcBorders>
            <w:shd w:val="clear" w:color="auto" w:fill="auto"/>
          </w:tcPr>
          <w:p w14:paraId="69A2370C" w14:textId="77777777" w:rsidR="00550FEB" w:rsidRPr="005E3B43" w:rsidRDefault="00550FEB" w:rsidP="00763BCF">
            <w:pPr>
              <w:pStyle w:val="Tabletext"/>
            </w:pPr>
            <w:r w:rsidRPr="005E3B43">
              <w:t>Fee for a request under subsection</w:t>
            </w:r>
            <w:r w:rsidR="004E6D00" w:rsidRPr="005E3B43">
              <w:t> </w:t>
            </w:r>
            <w:r w:rsidRPr="005E3B43">
              <w:t>9D(2C) of the Act to make the same variation or variations of 2 or more entries in the Register if:</w:t>
            </w:r>
          </w:p>
          <w:p w14:paraId="0F26BA14" w14:textId="77777777" w:rsidR="00550FEB" w:rsidRPr="005E3B43" w:rsidRDefault="00550FEB" w:rsidP="00763BCF">
            <w:pPr>
              <w:pStyle w:val="Tablea"/>
            </w:pPr>
            <w:r w:rsidRPr="005E3B43">
              <w:t>(a) each entry relates to a prescription medicine or a biological medicine; and</w:t>
            </w:r>
          </w:p>
          <w:p w14:paraId="5BBD4843" w14:textId="77777777" w:rsidR="00550FEB" w:rsidRPr="005E3B43" w:rsidRDefault="00550FEB" w:rsidP="00763BCF">
            <w:pPr>
              <w:pStyle w:val="Tabletext"/>
              <w:ind w:right="-52"/>
            </w:pPr>
            <w:r w:rsidRPr="005E3B43">
              <w:t>(b) 2 or more of those medicines have the same active ingredient</w:t>
            </w:r>
          </w:p>
        </w:tc>
        <w:tc>
          <w:tcPr>
            <w:tcW w:w="1240" w:type="pct"/>
            <w:tcBorders>
              <w:top w:val="single" w:sz="4" w:space="0" w:color="auto"/>
              <w:bottom w:val="single" w:sz="4" w:space="0" w:color="auto"/>
            </w:tcBorders>
            <w:shd w:val="clear" w:color="auto" w:fill="auto"/>
          </w:tcPr>
          <w:p w14:paraId="078A189F" w14:textId="77777777" w:rsidR="00550FEB" w:rsidRPr="005E3B43" w:rsidRDefault="00550FEB" w:rsidP="00763BCF">
            <w:pPr>
              <w:pStyle w:val="Tabletext"/>
            </w:pPr>
            <w:r w:rsidRPr="005E3B43">
              <w:t>The sum of:</w:t>
            </w:r>
          </w:p>
          <w:p w14:paraId="57DF3CEA" w14:textId="77777777" w:rsidR="00550FEB" w:rsidRPr="005E3B43" w:rsidRDefault="00550FEB" w:rsidP="00763BCF">
            <w:pPr>
              <w:pStyle w:val="Tablea"/>
            </w:pPr>
            <w:r w:rsidRPr="005E3B43">
              <w:t>(a) for each group of entries relating to medicines with the same active ingredient—</w:t>
            </w:r>
            <w:r w:rsidR="001D2EF9" w:rsidRPr="005E3B43">
              <w:t>950</w:t>
            </w:r>
            <w:r w:rsidRPr="005E3B43">
              <w:t>; and</w:t>
            </w:r>
          </w:p>
          <w:p w14:paraId="2A30BCD8" w14:textId="77777777" w:rsidR="00550FEB" w:rsidRPr="005E3B43" w:rsidRDefault="00550FEB" w:rsidP="00763BCF">
            <w:pPr>
              <w:pStyle w:val="Tablea"/>
            </w:pPr>
            <w:r w:rsidRPr="005E3B43">
              <w:t>(b) for any other entry—</w:t>
            </w:r>
            <w:r w:rsidR="001D2EF9" w:rsidRPr="005E3B43">
              <w:t>950</w:t>
            </w:r>
          </w:p>
        </w:tc>
      </w:tr>
      <w:tr w:rsidR="00550FEB" w:rsidRPr="005E3B43" w14:paraId="332F806A" w14:textId="77777777" w:rsidTr="005A786D">
        <w:tc>
          <w:tcPr>
            <w:tcW w:w="622" w:type="pct"/>
            <w:tcBorders>
              <w:top w:val="single" w:sz="4" w:space="0" w:color="auto"/>
              <w:bottom w:val="nil"/>
            </w:tcBorders>
            <w:shd w:val="clear" w:color="auto" w:fill="auto"/>
          </w:tcPr>
          <w:p w14:paraId="0BFA6982" w14:textId="77777777" w:rsidR="00550FEB" w:rsidRPr="005E3B43" w:rsidRDefault="00550FEB" w:rsidP="00763BCF">
            <w:pPr>
              <w:pStyle w:val="Tabletext"/>
              <w:keepNext/>
            </w:pPr>
            <w:r w:rsidRPr="005E3B43">
              <w:t>3</w:t>
            </w:r>
          </w:p>
        </w:tc>
        <w:tc>
          <w:tcPr>
            <w:tcW w:w="3138" w:type="pct"/>
            <w:tcBorders>
              <w:top w:val="single" w:sz="4" w:space="0" w:color="auto"/>
              <w:bottom w:val="nil"/>
            </w:tcBorders>
            <w:shd w:val="clear" w:color="auto" w:fill="auto"/>
          </w:tcPr>
          <w:p w14:paraId="20AE6610" w14:textId="77777777" w:rsidR="00550FEB" w:rsidRPr="005E3B43" w:rsidRDefault="00550FEB" w:rsidP="00763BCF">
            <w:pPr>
              <w:pStyle w:val="Tabletext"/>
              <w:ind w:right="-52"/>
            </w:pPr>
            <w:r w:rsidRPr="005E3B43">
              <w:t>Application fee for paragraph</w:t>
            </w:r>
            <w:r w:rsidR="004E6D00" w:rsidRPr="005E3B43">
              <w:t> </w:t>
            </w:r>
            <w:r w:rsidRPr="005E3B43">
              <w:t>23C(2)(c) of the Act for the listing of therapeutic goods (other than for an application to which regulation</w:t>
            </w:r>
            <w:r w:rsidR="004E6D00" w:rsidRPr="005E3B43">
              <w:t> </w:t>
            </w:r>
            <w:r w:rsidRPr="005E3B43">
              <w:t>43A applies) if the goods are:</w:t>
            </w:r>
          </w:p>
        </w:tc>
        <w:tc>
          <w:tcPr>
            <w:tcW w:w="1240" w:type="pct"/>
            <w:tcBorders>
              <w:top w:val="single" w:sz="4" w:space="0" w:color="auto"/>
              <w:bottom w:val="nil"/>
            </w:tcBorders>
            <w:shd w:val="clear" w:color="auto" w:fill="auto"/>
          </w:tcPr>
          <w:p w14:paraId="5D8E3260" w14:textId="77777777" w:rsidR="00550FEB" w:rsidRPr="005E3B43" w:rsidRDefault="00550FEB" w:rsidP="00763BCF">
            <w:pPr>
              <w:pStyle w:val="Tabletext"/>
            </w:pPr>
          </w:p>
        </w:tc>
      </w:tr>
      <w:tr w:rsidR="00550FEB" w:rsidRPr="005E3B43" w14:paraId="383B5ABE" w14:textId="77777777" w:rsidTr="005A786D">
        <w:tc>
          <w:tcPr>
            <w:tcW w:w="622" w:type="pct"/>
            <w:tcBorders>
              <w:top w:val="nil"/>
              <w:bottom w:val="nil"/>
            </w:tcBorders>
            <w:shd w:val="clear" w:color="auto" w:fill="auto"/>
          </w:tcPr>
          <w:p w14:paraId="405E3FCB" w14:textId="77777777" w:rsidR="00550FEB" w:rsidRPr="005E3B43" w:rsidRDefault="00550FEB" w:rsidP="00763BCF">
            <w:pPr>
              <w:pStyle w:val="Tabletext"/>
            </w:pPr>
          </w:p>
        </w:tc>
        <w:tc>
          <w:tcPr>
            <w:tcW w:w="3138" w:type="pct"/>
            <w:tcBorders>
              <w:top w:val="nil"/>
              <w:bottom w:val="nil"/>
            </w:tcBorders>
            <w:shd w:val="clear" w:color="auto" w:fill="auto"/>
          </w:tcPr>
          <w:p w14:paraId="7AC22E0D" w14:textId="77777777" w:rsidR="00550FEB" w:rsidRPr="005E3B43" w:rsidRDefault="00550FEB" w:rsidP="00763BCF">
            <w:pPr>
              <w:pStyle w:val="Tablea"/>
              <w:ind w:right="-52"/>
              <w:rPr>
                <w:rFonts w:eastAsiaTheme="minorHAnsi" w:cstheme="minorBidi"/>
                <w:lang w:eastAsia="en-US"/>
              </w:rPr>
            </w:pPr>
            <w:r w:rsidRPr="005E3B43">
              <w:t xml:space="preserve">(a) a </w:t>
            </w:r>
            <w:r w:rsidR="00354373" w:rsidRPr="005E3B43">
              <w:t>disinfectant</w:t>
            </w:r>
          </w:p>
        </w:tc>
        <w:tc>
          <w:tcPr>
            <w:tcW w:w="1240" w:type="pct"/>
            <w:tcBorders>
              <w:top w:val="nil"/>
              <w:bottom w:val="nil"/>
            </w:tcBorders>
            <w:shd w:val="clear" w:color="auto" w:fill="auto"/>
          </w:tcPr>
          <w:p w14:paraId="066DAABA" w14:textId="77777777" w:rsidR="00550FEB" w:rsidRPr="005E3B43" w:rsidRDefault="001D2EF9" w:rsidP="00763BCF">
            <w:pPr>
              <w:pStyle w:val="Tabletext"/>
              <w:rPr>
                <w:rFonts w:eastAsiaTheme="minorHAnsi" w:cstheme="minorBidi"/>
                <w:snapToGrid w:val="0"/>
                <w:lang w:eastAsia="en-US"/>
              </w:rPr>
            </w:pPr>
            <w:r w:rsidRPr="005E3B43">
              <w:t>2,303</w:t>
            </w:r>
          </w:p>
        </w:tc>
      </w:tr>
      <w:tr w:rsidR="00550FEB" w:rsidRPr="005E3B43" w14:paraId="273C818A" w14:textId="77777777" w:rsidTr="005A786D">
        <w:tc>
          <w:tcPr>
            <w:tcW w:w="622" w:type="pct"/>
            <w:tcBorders>
              <w:top w:val="nil"/>
              <w:bottom w:val="single" w:sz="4" w:space="0" w:color="auto"/>
            </w:tcBorders>
            <w:shd w:val="clear" w:color="auto" w:fill="auto"/>
          </w:tcPr>
          <w:p w14:paraId="5814F534" w14:textId="77777777" w:rsidR="00550FEB" w:rsidRPr="005E3B43" w:rsidRDefault="00550FEB" w:rsidP="00763BCF">
            <w:pPr>
              <w:pStyle w:val="Tabletext"/>
            </w:pPr>
          </w:p>
        </w:tc>
        <w:tc>
          <w:tcPr>
            <w:tcW w:w="3138" w:type="pct"/>
            <w:tcBorders>
              <w:top w:val="nil"/>
              <w:bottom w:val="single" w:sz="4" w:space="0" w:color="auto"/>
            </w:tcBorders>
            <w:shd w:val="clear" w:color="auto" w:fill="auto"/>
          </w:tcPr>
          <w:p w14:paraId="370F9EFD" w14:textId="77777777" w:rsidR="00550FEB" w:rsidRPr="005E3B43" w:rsidRDefault="00550FEB" w:rsidP="00763BCF">
            <w:pPr>
              <w:pStyle w:val="Tablea"/>
              <w:ind w:right="-52"/>
              <w:rPr>
                <w:rFonts w:eastAsiaTheme="minorHAnsi" w:cstheme="minorBidi"/>
                <w:lang w:eastAsia="en-US"/>
              </w:rPr>
            </w:pPr>
            <w:r w:rsidRPr="005E3B43">
              <w:t>(b) a medicine</w:t>
            </w:r>
          </w:p>
        </w:tc>
        <w:tc>
          <w:tcPr>
            <w:tcW w:w="1240" w:type="pct"/>
            <w:tcBorders>
              <w:top w:val="nil"/>
              <w:bottom w:val="single" w:sz="4" w:space="0" w:color="auto"/>
            </w:tcBorders>
            <w:shd w:val="clear" w:color="auto" w:fill="auto"/>
          </w:tcPr>
          <w:p w14:paraId="6D53143E" w14:textId="77777777" w:rsidR="00550FEB" w:rsidRPr="005E3B43" w:rsidRDefault="002E4944" w:rsidP="00763BCF">
            <w:pPr>
              <w:pStyle w:val="Tabletext"/>
              <w:rPr>
                <w:rFonts w:eastAsiaTheme="minorHAnsi" w:cstheme="minorBidi"/>
                <w:snapToGrid w:val="0"/>
                <w:lang w:eastAsia="en-US"/>
              </w:rPr>
            </w:pPr>
            <w:r w:rsidRPr="005E3B43">
              <w:t>983</w:t>
            </w:r>
          </w:p>
        </w:tc>
      </w:tr>
      <w:tr w:rsidR="00550FEB" w:rsidRPr="005E3B43" w14:paraId="1F29E9D0" w14:textId="77777777" w:rsidTr="005A786D">
        <w:trPr>
          <w:cantSplit/>
        </w:trPr>
        <w:tc>
          <w:tcPr>
            <w:tcW w:w="622" w:type="pct"/>
            <w:tcBorders>
              <w:top w:val="single" w:sz="4" w:space="0" w:color="auto"/>
              <w:bottom w:val="nil"/>
            </w:tcBorders>
            <w:shd w:val="clear" w:color="auto" w:fill="auto"/>
          </w:tcPr>
          <w:p w14:paraId="57425E14" w14:textId="77777777" w:rsidR="00550FEB" w:rsidRPr="005E3B43" w:rsidRDefault="00550FEB" w:rsidP="00763BCF">
            <w:pPr>
              <w:pStyle w:val="Tabletext"/>
            </w:pPr>
            <w:r w:rsidRPr="005E3B43">
              <w:t>3AB</w:t>
            </w:r>
          </w:p>
        </w:tc>
        <w:tc>
          <w:tcPr>
            <w:tcW w:w="3138" w:type="pct"/>
            <w:tcBorders>
              <w:top w:val="single" w:sz="4" w:space="0" w:color="auto"/>
              <w:bottom w:val="nil"/>
            </w:tcBorders>
            <w:shd w:val="clear" w:color="auto" w:fill="auto"/>
          </w:tcPr>
          <w:p w14:paraId="28200207" w14:textId="77777777" w:rsidR="00550FEB" w:rsidRPr="005E3B43" w:rsidRDefault="00550FEB" w:rsidP="00763BCF">
            <w:pPr>
              <w:pStyle w:val="Tabletext"/>
              <w:ind w:right="-52"/>
            </w:pPr>
            <w:r w:rsidRPr="005E3B43">
              <w:t>Fee for a notice and declaration under subregulation</w:t>
            </w:r>
            <w:r w:rsidR="004E6D00" w:rsidRPr="005E3B43">
              <w:t> </w:t>
            </w:r>
            <w:r w:rsidRPr="005E3B43">
              <w:t>43AAE(2) relating to an exemption from liability to pay an annual registration charge, annual listing charge or annual charge for inclusion in the Register in respect of therapeutic goods for a financial year:</w:t>
            </w:r>
          </w:p>
        </w:tc>
        <w:tc>
          <w:tcPr>
            <w:tcW w:w="1240" w:type="pct"/>
            <w:tcBorders>
              <w:top w:val="single" w:sz="4" w:space="0" w:color="auto"/>
              <w:bottom w:val="nil"/>
            </w:tcBorders>
            <w:shd w:val="clear" w:color="auto" w:fill="auto"/>
          </w:tcPr>
          <w:p w14:paraId="6EFA9B6F" w14:textId="77777777" w:rsidR="00550FEB" w:rsidRPr="005E3B43" w:rsidRDefault="00550FEB" w:rsidP="00763BCF">
            <w:pPr>
              <w:pStyle w:val="Tabletext"/>
            </w:pPr>
          </w:p>
        </w:tc>
      </w:tr>
      <w:tr w:rsidR="00550FEB" w:rsidRPr="005E3B43" w14:paraId="636927E7" w14:textId="77777777" w:rsidTr="005A786D">
        <w:trPr>
          <w:cantSplit/>
        </w:trPr>
        <w:tc>
          <w:tcPr>
            <w:tcW w:w="622" w:type="pct"/>
            <w:tcBorders>
              <w:top w:val="nil"/>
              <w:bottom w:val="nil"/>
            </w:tcBorders>
            <w:shd w:val="clear" w:color="auto" w:fill="auto"/>
          </w:tcPr>
          <w:p w14:paraId="25FB870A" w14:textId="77777777" w:rsidR="00550FEB" w:rsidRPr="005E3B43" w:rsidRDefault="00550FEB" w:rsidP="00763BCF">
            <w:pPr>
              <w:pStyle w:val="Tabletext"/>
            </w:pPr>
          </w:p>
        </w:tc>
        <w:tc>
          <w:tcPr>
            <w:tcW w:w="3138" w:type="pct"/>
            <w:tcBorders>
              <w:top w:val="nil"/>
              <w:bottom w:val="nil"/>
            </w:tcBorders>
            <w:shd w:val="clear" w:color="auto" w:fill="auto"/>
          </w:tcPr>
          <w:p w14:paraId="3D784022" w14:textId="77777777" w:rsidR="00550FEB" w:rsidRPr="005E3B43" w:rsidRDefault="00550FEB" w:rsidP="00763BCF">
            <w:pPr>
              <w:pStyle w:val="Tablea"/>
              <w:ind w:right="-52"/>
            </w:pPr>
            <w:r w:rsidRPr="005E3B43">
              <w:t>(a) if the notice and declaration relate to not more than 5 entries in the Register</w:t>
            </w:r>
          </w:p>
        </w:tc>
        <w:tc>
          <w:tcPr>
            <w:tcW w:w="1240" w:type="pct"/>
            <w:tcBorders>
              <w:top w:val="nil"/>
              <w:bottom w:val="nil"/>
            </w:tcBorders>
            <w:shd w:val="clear" w:color="auto" w:fill="auto"/>
          </w:tcPr>
          <w:p w14:paraId="4941265A" w14:textId="77777777" w:rsidR="00550FEB" w:rsidRPr="005E3B43" w:rsidDel="004A5BC7" w:rsidRDefault="002E4944" w:rsidP="00763BCF">
            <w:pPr>
              <w:pStyle w:val="Tabletext"/>
            </w:pPr>
            <w:r w:rsidRPr="005E3B43">
              <w:t>496</w:t>
            </w:r>
          </w:p>
        </w:tc>
      </w:tr>
      <w:tr w:rsidR="00550FEB" w:rsidRPr="005E3B43" w14:paraId="6EC41D26" w14:textId="77777777" w:rsidTr="005A786D">
        <w:trPr>
          <w:cantSplit/>
        </w:trPr>
        <w:tc>
          <w:tcPr>
            <w:tcW w:w="622" w:type="pct"/>
            <w:tcBorders>
              <w:top w:val="nil"/>
              <w:bottom w:val="single" w:sz="4" w:space="0" w:color="auto"/>
            </w:tcBorders>
            <w:shd w:val="clear" w:color="auto" w:fill="auto"/>
          </w:tcPr>
          <w:p w14:paraId="542CC79F" w14:textId="77777777" w:rsidR="00550FEB" w:rsidRPr="005E3B43" w:rsidRDefault="00550FEB" w:rsidP="00763BCF">
            <w:pPr>
              <w:pStyle w:val="Tabletext"/>
            </w:pPr>
          </w:p>
        </w:tc>
        <w:tc>
          <w:tcPr>
            <w:tcW w:w="3138" w:type="pct"/>
            <w:tcBorders>
              <w:top w:val="nil"/>
              <w:bottom w:val="single" w:sz="4" w:space="0" w:color="auto"/>
            </w:tcBorders>
            <w:shd w:val="clear" w:color="auto" w:fill="auto"/>
          </w:tcPr>
          <w:p w14:paraId="54F2FE85" w14:textId="77777777" w:rsidR="00550FEB" w:rsidRPr="005E3B43" w:rsidRDefault="00550FEB" w:rsidP="00763BCF">
            <w:pPr>
              <w:pStyle w:val="Tablea"/>
              <w:ind w:right="-52"/>
            </w:pPr>
            <w:r w:rsidRPr="005E3B43">
              <w:t>(b) if the notice and declaration relate to 6 or more entries in the Register</w:t>
            </w:r>
          </w:p>
        </w:tc>
        <w:tc>
          <w:tcPr>
            <w:tcW w:w="1240" w:type="pct"/>
            <w:tcBorders>
              <w:top w:val="nil"/>
              <w:bottom w:val="single" w:sz="4" w:space="0" w:color="auto"/>
            </w:tcBorders>
            <w:shd w:val="clear" w:color="auto" w:fill="auto"/>
          </w:tcPr>
          <w:p w14:paraId="091B1367" w14:textId="77777777" w:rsidR="00550FEB" w:rsidRPr="005E3B43" w:rsidDel="004A5BC7" w:rsidRDefault="002E4944" w:rsidP="00763BCF">
            <w:pPr>
              <w:pStyle w:val="Tabletext"/>
            </w:pPr>
            <w:r w:rsidRPr="005E3B43">
              <w:t>496</w:t>
            </w:r>
            <w:r w:rsidR="00550FEB" w:rsidRPr="005E3B43">
              <w:t xml:space="preserve"> for the first 5 entries plus </w:t>
            </w:r>
            <w:r w:rsidR="00C23106" w:rsidRPr="005E3B43">
              <w:t>57</w:t>
            </w:r>
            <w:r w:rsidR="00550FEB" w:rsidRPr="005E3B43">
              <w:t xml:space="preserve"> for each additional entry</w:t>
            </w:r>
          </w:p>
        </w:tc>
      </w:tr>
      <w:tr w:rsidR="00550FEB" w:rsidRPr="005E3B43" w14:paraId="2B3D0540" w14:textId="77777777" w:rsidTr="005A786D">
        <w:tc>
          <w:tcPr>
            <w:tcW w:w="622" w:type="pct"/>
            <w:tcBorders>
              <w:top w:val="single" w:sz="4" w:space="0" w:color="auto"/>
              <w:bottom w:val="nil"/>
            </w:tcBorders>
            <w:shd w:val="clear" w:color="auto" w:fill="auto"/>
          </w:tcPr>
          <w:p w14:paraId="749F26A0" w14:textId="77777777" w:rsidR="00550FEB" w:rsidRPr="005E3B43" w:rsidRDefault="00550FEB" w:rsidP="009E640C">
            <w:pPr>
              <w:pStyle w:val="Tabletext"/>
              <w:keepNext/>
              <w:keepLines/>
            </w:pPr>
            <w:r w:rsidRPr="005E3B43">
              <w:lastRenderedPageBreak/>
              <w:t>4</w:t>
            </w:r>
          </w:p>
        </w:tc>
        <w:tc>
          <w:tcPr>
            <w:tcW w:w="3138" w:type="pct"/>
            <w:tcBorders>
              <w:top w:val="single" w:sz="4" w:space="0" w:color="auto"/>
              <w:bottom w:val="nil"/>
            </w:tcBorders>
            <w:shd w:val="clear" w:color="auto" w:fill="auto"/>
          </w:tcPr>
          <w:p w14:paraId="1899B0A7" w14:textId="77777777" w:rsidR="00550FEB" w:rsidRPr="005E3B43" w:rsidRDefault="00550FEB" w:rsidP="009E640C">
            <w:pPr>
              <w:pStyle w:val="Tabletext"/>
              <w:keepNext/>
              <w:keepLines/>
              <w:ind w:right="-52"/>
            </w:pPr>
            <w:r w:rsidRPr="005E3B43">
              <w:t>Evaluation fee, for sub</w:t>
            </w:r>
            <w:r w:rsidR="00FB7FAA" w:rsidRPr="005E3B43">
              <w:t>section 2</w:t>
            </w:r>
            <w:r w:rsidRPr="005E3B43">
              <w:t>4(1A) of the Act, under a submission for evaluation relating to:</w:t>
            </w:r>
          </w:p>
        </w:tc>
        <w:tc>
          <w:tcPr>
            <w:tcW w:w="1240" w:type="pct"/>
            <w:tcBorders>
              <w:top w:val="single" w:sz="4" w:space="0" w:color="auto"/>
              <w:bottom w:val="nil"/>
            </w:tcBorders>
            <w:shd w:val="clear" w:color="auto" w:fill="auto"/>
          </w:tcPr>
          <w:p w14:paraId="5B1AB921" w14:textId="77777777" w:rsidR="00550FEB" w:rsidRPr="005E3B43" w:rsidRDefault="00550FEB" w:rsidP="009E640C">
            <w:pPr>
              <w:keepNext/>
              <w:keepLines/>
              <w:rPr>
                <w:rFonts w:ascii="Arial" w:hAnsi="Arial" w:cs="Arial"/>
              </w:rPr>
            </w:pPr>
          </w:p>
        </w:tc>
      </w:tr>
      <w:tr w:rsidR="00550FEB" w:rsidRPr="005E3B43" w14:paraId="6408EA9F" w14:textId="77777777" w:rsidTr="005A786D">
        <w:tc>
          <w:tcPr>
            <w:tcW w:w="622" w:type="pct"/>
            <w:tcBorders>
              <w:top w:val="nil"/>
              <w:bottom w:val="nil"/>
            </w:tcBorders>
            <w:shd w:val="clear" w:color="auto" w:fill="auto"/>
          </w:tcPr>
          <w:p w14:paraId="5EFF2F0E" w14:textId="77777777" w:rsidR="00550FEB" w:rsidRPr="005E3B43" w:rsidRDefault="00550FEB" w:rsidP="00763BCF">
            <w:pPr>
              <w:pStyle w:val="Tabletext"/>
            </w:pPr>
          </w:p>
        </w:tc>
        <w:tc>
          <w:tcPr>
            <w:tcW w:w="3138" w:type="pct"/>
            <w:tcBorders>
              <w:top w:val="nil"/>
              <w:bottom w:val="nil"/>
            </w:tcBorders>
            <w:shd w:val="clear" w:color="auto" w:fill="auto"/>
          </w:tcPr>
          <w:p w14:paraId="7EBD1EDF" w14:textId="2116AE45" w:rsidR="00550FEB" w:rsidRPr="005E3B43" w:rsidRDefault="00550FEB" w:rsidP="00763BCF">
            <w:pPr>
              <w:pStyle w:val="Tablea"/>
              <w:ind w:right="-52"/>
            </w:pPr>
            <w:r w:rsidRPr="005E3B43">
              <w:t xml:space="preserve">(a) a new chemical entity (other than an entity to which </w:t>
            </w:r>
            <w:r w:rsidR="004E6D00" w:rsidRPr="005E3B43">
              <w:t>paragraph (</w:t>
            </w:r>
            <w:r w:rsidRPr="005E3B43">
              <w:t>aa)</w:t>
            </w:r>
            <w:r w:rsidR="00A24401" w:rsidRPr="005E3B43">
              <w:t>, (ab) or (ac)</w:t>
            </w:r>
            <w:r w:rsidRPr="005E3B43">
              <w:t xml:space="preserve"> of this item, </w:t>
            </w:r>
            <w:r w:rsidR="004E6D00" w:rsidRPr="005E3B43">
              <w:t>paragraph (</w:t>
            </w:r>
            <w:r w:rsidRPr="005E3B43">
              <w:t xml:space="preserve">a) of </w:t>
            </w:r>
            <w:r w:rsidR="007C3215">
              <w:t>item 1</w:t>
            </w:r>
            <w:r w:rsidRPr="005E3B43">
              <w:t xml:space="preserve">AD or </w:t>
            </w:r>
            <w:r w:rsidR="007C3215">
              <w:t>item 1</w:t>
            </w:r>
            <w:r w:rsidRPr="005E3B43">
              <w:t>AF applies)</w:t>
            </w:r>
          </w:p>
        </w:tc>
        <w:tc>
          <w:tcPr>
            <w:tcW w:w="1240" w:type="pct"/>
            <w:tcBorders>
              <w:top w:val="nil"/>
              <w:bottom w:val="nil"/>
            </w:tcBorders>
            <w:shd w:val="clear" w:color="auto" w:fill="auto"/>
          </w:tcPr>
          <w:p w14:paraId="38565BB4" w14:textId="77777777" w:rsidR="00550FEB" w:rsidRPr="005E3B43" w:rsidRDefault="00C23106" w:rsidP="00763BCF">
            <w:pPr>
              <w:pStyle w:val="Tabletext"/>
            </w:pPr>
            <w:r w:rsidRPr="005E3B43">
              <w:t>227,825</w:t>
            </w:r>
          </w:p>
        </w:tc>
      </w:tr>
      <w:tr w:rsidR="00550FEB" w:rsidRPr="005E3B43" w14:paraId="31D8F732" w14:textId="77777777" w:rsidTr="005A786D">
        <w:tc>
          <w:tcPr>
            <w:tcW w:w="622" w:type="pct"/>
            <w:tcBorders>
              <w:top w:val="nil"/>
              <w:bottom w:val="nil"/>
            </w:tcBorders>
            <w:shd w:val="clear" w:color="auto" w:fill="auto"/>
          </w:tcPr>
          <w:p w14:paraId="451DB49F" w14:textId="77777777" w:rsidR="00550FEB" w:rsidRPr="005E3B43" w:rsidRDefault="00550FEB" w:rsidP="00763BCF">
            <w:pPr>
              <w:pStyle w:val="Tabletext"/>
            </w:pPr>
          </w:p>
        </w:tc>
        <w:tc>
          <w:tcPr>
            <w:tcW w:w="3138" w:type="pct"/>
            <w:tcBorders>
              <w:top w:val="nil"/>
              <w:bottom w:val="nil"/>
            </w:tcBorders>
            <w:shd w:val="clear" w:color="auto" w:fill="auto"/>
          </w:tcPr>
          <w:p w14:paraId="1FA70FF4" w14:textId="77777777" w:rsidR="00550FEB" w:rsidRPr="005E3B43" w:rsidRDefault="00550FEB" w:rsidP="00763BCF">
            <w:pPr>
              <w:pStyle w:val="Tablea"/>
              <w:ind w:right="-52"/>
            </w:pPr>
            <w:r w:rsidRPr="005E3B43">
              <w:t>(aa) a new chemical entity incorporated as an ancillary medicinal component of a medical device if the evaluation of the new chemical entity involves an evaluation of:</w:t>
            </w:r>
          </w:p>
        </w:tc>
        <w:tc>
          <w:tcPr>
            <w:tcW w:w="1240" w:type="pct"/>
            <w:tcBorders>
              <w:top w:val="nil"/>
              <w:bottom w:val="nil"/>
            </w:tcBorders>
            <w:shd w:val="clear" w:color="auto" w:fill="auto"/>
          </w:tcPr>
          <w:p w14:paraId="671BD576" w14:textId="77777777" w:rsidR="00550FEB" w:rsidRPr="005E3B43" w:rsidRDefault="00550FEB" w:rsidP="00763BCF">
            <w:pPr>
              <w:rPr>
                <w:rFonts w:ascii="Arial" w:hAnsi="Arial" w:cs="Arial"/>
                <w:szCs w:val="22"/>
              </w:rPr>
            </w:pPr>
          </w:p>
        </w:tc>
      </w:tr>
      <w:tr w:rsidR="00550FEB" w:rsidRPr="005E3B43" w14:paraId="4AAD3CC2" w14:textId="77777777" w:rsidTr="005A786D">
        <w:trPr>
          <w:cantSplit/>
        </w:trPr>
        <w:tc>
          <w:tcPr>
            <w:tcW w:w="622" w:type="pct"/>
            <w:tcBorders>
              <w:top w:val="nil"/>
              <w:bottom w:val="nil"/>
            </w:tcBorders>
            <w:shd w:val="clear" w:color="auto" w:fill="auto"/>
          </w:tcPr>
          <w:p w14:paraId="6B8FFF25" w14:textId="77777777" w:rsidR="00550FEB" w:rsidRPr="005E3B43" w:rsidRDefault="00550FEB" w:rsidP="00763BCF">
            <w:pPr>
              <w:pStyle w:val="Tabletext"/>
            </w:pPr>
          </w:p>
        </w:tc>
        <w:tc>
          <w:tcPr>
            <w:tcW w:w="3138" w:type="pct"/>
            <w:tcBorders>
              <w:top w:val="nil"/>
              <w:bottom w:val="nil"/>
            </w:tcBorders>
            <w:shd w:val="clear" w:color="auto" w:fill="auto"/>
          </w:tcPr>
          <w:p w14:paraId="0E3C214F" w14:textId="77777777" w:rsidR="00550FEB" w:rsidRPr="005E3B43" w:rsidRDefault="00550FEB" w:rsidP="00763BCF">
            <w:pPr>
              <w:pStyle w:val="Tablei"/>
              <w:ind w:right="-52"/>
            </w:pPr>
            <w:r w:rsidRPr="005E3B43">
              <w:t>(i) documentation setting out the chemistry, quality control and manufacturing of the new chemical entity; or</w:t>
            </w:r>
          </w:p>
        </w:tc>
        <w:tc>
          <w:tcPr>
            <w:tcW w:w="1240" w:type="pct"/>
            <w:tcBorders>
              <w:top w:val="nil"/>
              <w:bottom w:val="nil"/>
            </w:tcBorders>
            <w:shd w:val="clear" w:color="auto" w:fill="auto"/>
          </w:tcPr>
          <w:p w14:paraId="33D698B6" w14:textId="77777777" w:rsidR="00550FEB" w:rsidRPr="005E3B43" w:rsidRDefault="00D414D9" w:rsidP="00763BCF">
            <w:pPr>
              <w:pStyle w:val="Tabletext"/>
            </w:pPr>
            <w:r w:rsidRPr="005E3B43">
              <w:t>76,055</w:t>
            </w:r>
          </w:p>
        </w:tc>
      </w:tr>
      <w:tr w:rsidR="00550FEB" w:rsidRPr="005E3B43" w14:paraId="61510D96" w14:textId="77777777" w:rsidTr="005A786D">
        <w:tc>
          <w:tcPr>
            <w:tcW w:w="622" w:type="pct"/>
            <w:tcBorders>
              <w:top w:val="nil"/>
              <w:bottom w:val="nil"/>
            </w:tcBorders>
            <w:shd w:val="clear" w:color="auto" w:fill="auto"/>
          </w:tcPr>
          <w:p w14:paraId="7300B29E" w14:textId="77777777" w:rsidR="00550FEB" w:rsidRPr="005E3B43" w:rsidRDefault="00550FEB" w:rsidP="00763BCF">
            <w:pPr>
              <w:pStyle w:val="Tabletext"/>
            </w:pPr>
          </w:p>
        </w:tc>
        <w:tc>
          <w:tcPr>
            <w:tcW w:w="3138" w:type="pct"/>
            <w:tcBorders>
              <w:top w:val="nil"/>
              <w:bottom w:val="nil"/>
            </w:tcBorders>
            <w:shd w:val="clear" w:color="auto" w:fill="auto"/>
          </w:tcPr>
          <w:p w14:paraId="7CD156EC" w14:textId="48195201" w:rsidR="00550FEB" w:rsidRPr="005E3B43" w:rsidRDefault="00550FEB" w:rsidP="00763BCF">
            <w:pPr>
              <w:pStyle w:val="Tablei"/>
              <w:ind w:right="-52"/>
            </w:pPr>
            <w:r w:rsidRPr="005E3B43">
              <w:t>(ii) documentation relating to pre</w:t>
            </w:r>
            <w:r w:rsidR="007C3215">
              <w:noBreakHyphen/>
            </w:r>
            <w:r w:rsidRPr="005E3B43">
              <w:t>clinical studies; or</w:t>
            </w:r>
          </w:p>
        </w:tc>
        <w:tc>
          <w:tcPr>
            <w:tcW w:w="1240" w:type="pct"/>
            <w:tcBorders>
              <w:top w:val="nil"/>
              <w:bottom w:val="nil"/>
            </w:tcBorders>
            <w:shd w:val="clear" w:color="auto" w:fill="auto"/>
          </w:tcPr>
          <w:p w14:paraId="0600A1EF" w14:textId="77777777" w:rsidR="00550FEB" w:rsidRPr="005E3B43" w:rsidRDefault="00D414D9" w:rsidP="00763BCF">
            <w:pPr>
              <w:pStyle w:val="Tabletext"/>
            </w:pPr>
            <w:r w:rsidRPr="005E3B43">
              <w:t>76,055</w:t>
            </w:r>
          </w:p>
        </w:tc>
      </w:tr>
      <w:tr w:rsidR="00550FEB" w:rsidRPr="005E3B43" w14:paraId="722931F2" w14:textId="77777777" w:rsidTr="005A786D">
        <w:tc>
          <w:tcPr>
            <w:tcW w:w="622" w:type="pct"/>
            <w:tcBorders>
              <w:top w:val="nil"/>
              <w:bottom w:val="nil"/>
            </w:tcBorders>
            <w:shd w:val="clear" w:color="auto" w:fill="auto"/>
          </w:tcPr>
          <w:p w14:paraId="7D83236E" w14:textId="77777777" w:rsidR="00550FEB" w:rsidRPr="005E3B43" w:rsidRDefault="00550FEB" w:rsidP="00763BCF">
            <w:pPr>
              <w:pStyle w:val="Tabletext"/>
            </w:pPr>
          </w:p>
        </w:tc>
        <w:tc>
          <w:tcPr>
            <w:tcW w:w="3138" w:type="pct"/>
            <w:tcBorders>
              <w:top w:val="nil"/>
              <w:bottom w:val="nil"/>
            </w:tcBorders>
            <w:shd w:val="clear" w:color="auto" w:fill="auto"/>
          </w:tcPr>
          <w:p w14:paraId="2AF34167" w14:textId="77777777" w:rsidR="00550FEB" w:rsidRPr="005E3B43" w:rsidRDefault="00550FEB" w:rsidP="00763BCF">
            <w:pPr>
              <w:pStyle w:val="Tablei"/>
              <w:ind w:right="-52"/>
            </w:pPr>
            <w:r w:rsidRPr="005E3B43">
              <w:t xml:space="preserve">(iii) documentation mentioned in </w:t>
            </w:r>
            <w:r w:rsidR="004E6D00" w:rsidRPr="005E3B43">
              <w:t>subparagraphs (</w:t>
            </w:r>
            <w:r w:rsidRPr="005E3B43">
              <w:t>i) and (ii)</w:t>
            </w:r>
          </w:p>
        </w:tc>
        <w:tc>
          <w:tcPr>
            <w:tcW w:w="1240" w:type="pct"/>
            <w:tcBorders>
              <w:top w:val="nil"/>
              <w:bottom w:val="nil"/>
            </w:tcBorders>
            <w:shd w:val="clear" w:color="auto" w:fill="auto"/>
          </w:tcPr>
          <w:p w14:paraId="5120CB6F" w14:textId="77777777" w:rsidR="00550FEB" w:rsidRPr="005E3B43" w:rsidRDefault="00D414D9" w:rsidP="00763BCF">
            <w:pPr>
              <w:pStyle w:val="Tabletext"/>
            </w:pPr>
            <w:r w:rsidRPr="005E3B43">
              <w:t>151,545</w:t>
            </w:r>
          </w:p>
        </w:tc>
      </w:tr>
      <w:tr w:rsidR="00550FEB" w:rsidRPr="005E3B43" w14:paraId="140A717E" w14:textId="77777777" w:rsidTr="005A786D">
        <w:tc>
          <w:tcPr>
            <w:tcW w:w="622" w:type="pct"/>
            <w:tcBorders>
              <w:top w:val="nil"/>
              <w:bottom w:val="nil"/>
            </w:tcBorders>
            <w:shd w:val="clear" w:color="auto" w:fill="auto"/>
          </w:tcPr>
          <w:p w14:paraId="316DFBD7" w14:textId="77777777" w:rsidR="00550FEB" w:rsidRPr="005E3B43" w:rsidRDefault="00550FEB" w:rsidP="00763BCF">
            <w:pPr>
              <w:pStyle w:val="Tabletext"/>
            </w:pPr>
          </w:p>
        </w:tc>
        <w:tc>
          <w:tcPr>
            <w:tcW w:w="3138" w:type="pct"/>
            <w:tcBorders>
              <w:top w:val="nil"/>
              <w:bottom w:val="nil"/>
            </w:tcBorders>
            <w:shd w:val="clear" w:color="auto" w:fill="auto"/>
          </w:tcPr>
          <w:p w14:paraId="6363225F" w14:textId="77777777" w:rsidR="00550FEB" w:rsidRPr="005E3B43" w:rsidRDefault="00550FEB" w:rsidP="00763BCF">
            <w:pPr>
              <w:pStyle w:val="Tablea"/>
              <w:ind w:right="-52"/>
            </w:pPr>
            <w:r w:rsidRPr="005E3B43">
              <w:t>(ab) a new prescription medicine in relation to which a therapeutic goods (priority applicant) determination is in force</w:t>
            </w:r>
          </w:p>
        </w:tc>
        <w:tc>
          <w:tcPr>
            <w:tcW w:w="1240" w:type="pct"/>
            <w:tcBorders>
              <w:top w:val="nil"/>
              <w:bottom w:val="nil"/>
            </w:tcBorders>
            <w:shd w:val="clear" w:color="auto" w:fill="auto"/>
          </w:tcPr>
          <w:p w14:paraId="6D2A8A59" w14:textId="77777777" w:rsidR="00550FEB" w:rsidRPr="005E3B43" w:rsidRDefault="00AC6665" w:rsidP="00763BCF">
            <w:pPr>
              <w:pStyle w:val="Tabletext"/>
            </w:pPr>
            <w:r w:rsidRPr="005E3B43">
              <w:t>240,934</w:t>
            </w:r>
          </w:p>
        </w:tc>
      </w:tr>
      <w:tr w:rsidR="00A24401" w:rsidRPr="005E3B43" w14:paraId="04BCD217" w14:textId="77777777" w:rsidTr="005A786D">
        <w:tc>
          <w:tcPr>
            <w:tcW w:w="622" w:type="pct"/>
            <w:tcBorders>
              <w:top w:val="nil"/>
              <w:bottom w:val="nil"/>
            </w:tcBorders>
            <w:shd w:val="clear" w:color="auto" w:fill="auto"/>
          </w:tcPr>
          <w:p w14:paraId="6FB0BDAC" w14:textId="77777777" w:rsidR="00A24401" w:rsidRPr="005E3B43" w:rsidRDefault="00A24401" w:rsidP="00A24401">
            <w:pPr>
              <w:pStyle w:val="Tabletext"/>
            </w:pPr>
          </w:p>
        </w:tc>
        <w:tc>
          <w:tcPr>
            <w:tcW w:w="3138" w:type="pct"/>
            <w:tcBorders>
              <w:top w:val="nil"/>
              <w:bottom w:val="nil"/>
            </w:tcBorders>
            <w:shd w:val="clear" w:color="auto" w:fill="auto"/>
          </w:tcPr>
          <w:p w14:paraId="6A695396" w14:textId="5AA5E2A0" w:rsidR="00A24401" w:rsidRPr="005E3B43" w:rsidRDefault="00A24401" w:rsidP="00A24401">
            <w:pPr>
              <w:pStyle w:val="Tablea"/>
            </w:pPr>
            <w:r w:rsidRPr="005E3B43">
              <w:t>(ac) a vaccine for COVID</w:t>
            </w:r>
            <w:r w:rsidR="007C3215">
              <w:noBreakHyphen/>
            </w:r>
            <w:r w:rsidRPr="005E3B43">
              <w:t>19, respiratory syncytial virus (RSV) or influenza that is a new chemical entity, if:</w:t>
            </w:r>
          </w:p>
          <w:p w14:paraId="65B8951B" w14:textId="77777777" w:rsidR="00A24401" w:rsidRPr="005E3B43" w:rsidRDefault="00A24401" w:rsidP="00A24401">
            <w:pPr>
              <w:pStyle w:val="Tablei"/>
            </w:pPr>
            <w:r w:rsidRPr="005E3B43">
              <w:t>(i) the vaccine is a new chemical entity only because the vaccine is for a new strain; and</w:t>
            </w:r>
          </w:p>
          <w:p w14:paraId="753D110F" w14:textId="77777777" w:rsidR="00A24401" w:rsidRPr="005E3B43" w:rsidRDefault="00A24401" w:rsidP="00260180">
            <w:pPr>
              <w:pStyle w:val="Tablei"/>
            </w:pPr>
            <w:r w:rsidRPr="005E3B43">
              <w:t>(ii) the vaccine is a closely related form of an existing vaccine, for another strain, in the Register in relation to which the applicant is the sponsor</w:t>
            </w:r>
          </w:p>
        </w:tc>
        <w:tc>
          <w:tcPr>
            <w:tcW w:w="1240" w:type="pct"/>
            <w:tcBorders>
              <w:top w:val="nil"/>
              <w:bottom w:val="nil"/>
            </w:tcBorders>
            <w:shd w:val="clear" w:color="auto" w:fill="auto"/>
          </w:tcPr>
          <w:p w14:paraId="42C46E00" w14:textId="77777777" w:rsidR="00A24401" w:rsidRPr="005E3B43" w:rsidRDefault="00AC6665" w:rsidP="00A24401">
            <w:pPr>
              <w:pStyle w:val="Tabletext"/>
            </w:pPr>
            <w:r w:rsidRPr="005E3B43">
              <w:t>5,187</w:t>
            </w:r>
          </w:p>
        </w:tc>
      </w:tr>
      <w:tr w:rsidR="00550FEB" w:rsidRPr="005E3B43" w14:paraId="4B52BB4B" w14:textId="77777777" w:rsidTr="005A786D">
        <w:trPr>
          <w:trHeight w:val="138"/>
        </w:trPr>
        <w:tc>
          <w:tcPr>
            <w:tcW w:w="622" w:type="pct"/>
            <w:tcBorders>
              <w:top w:val="nil"/>
              <w:bottom w:val="nil"/>
            </w:tcBorders>
            <w:shd w:val="clear" w:color="auto" w:fill="auto"/>
          </w:tcPr>
          <w:p w14:paraId="5AD478E5" w14:textId="77777777" w:rsidR="00550FEB" w:rsidRPr="005E3B43" w:rsidRDefault="00550FEB" w:rsidP="00763BCF">
            <w:pPr>
              <w:pStyle w:val="Tabletext"/>
            </w:pPr>
          </w:p>
        </w:tc>
        <w:tc>
          <w:tcPr>
            <w:tcW w:w="3138" w:type="pct"/>
            <w:tcBorders>
              <w:top w:val="nil"/>
              <w:bottom w:val="nil"/>
            </w:tcBorders>
            <w:shd w:val="clear" w:color="auto" w:fill="auto"/>
          </w:tcPr>
          <w:p w14:paraId="242EE068" w14:textId="102B5F5A" w:rsidR="00550FEB" w:rsidRPr="005E3B43" w:rsidRDefault="00550FEB" w:rsidP="00763BCF">
            <w:pPr>
              <w:pStyle w:val="Tablea"/>
              <w:ind w:right="-52"/>
            </w:pPr>
            <w:r w:rsidRPr="005E3B43">
              <w:t xml:space="preserve">(b) an extension of indications (other than an extension of indications to which </w:t>
            </w:r>
            <w:r w:rsidR="004E6D00" w:rsidRPr="005E3B43">
              <w:t>paragraph (</w:t>
            </w:r>
            <w:r w:rsidRPr="005E3B43">
              <w:t xml:space="preserve">bb), (bc) or (bd) of this item, </w:t>
            </w:r>
            <w:r w:rsidR="004E6D00" w:rsidRPr="005E3B43">
              <w:t>paragraph (</w:t>
            </w:r>
            <w:r w:rsidRPr="005E3B43">
              <w:t xml:space="preserve">b) of </w:t>
            </w:r>
            <w:r w:rsidR="007C3215">
              <w:t>item 1</w:t>
            </w:r>
            <w:r w:rsidRPr="005E3B43">
              <w:t xml:space="preserve">AD or </w:t>
            </w:r>
            <w:r w:rsidR="007C3215">
              <w:t>item 1</w:t>
            </w:r>
            <w:r w:rsidRPr="005E3B43">
              <w:t>AF applies)</w:t>
            </w:r>
          </w:p>
        </w:tc>
        <w:tc>
          <w:tcPr>
            <w:tcW w:w="1240" w:type="pct"/>
            <w:tcBorders>
              <w:top w:val="nil"/>
              <w:bottom w:val="nil"/>
            </w:tcBorders>
            <w:shd w:val="clear" w:color="auto" w:fill="auto"/>
          </w:tcPr>
          <w:p w14:paraId="3563A8E2" w14:textId="77777777" w:rsidR="00550FEB" w:rsidRPr="005E3B43" w:rsidRDefault="00AC6665" w:rsidP="00763BCF">
            <w:pPr>
              <w:pStyle w:val="Tabletext"/>
            </w:pPr>
            <w:r w:rsidRPr="005E3B43">
              <w:t>135,158</w:t>
            </w:r>
          </w:p>
        </w:tc>
      </w:tr>
      <w:tr w:rsidR="00550FEB" w:rsidRPr="005E3B43" w14:paraId="5DC8D093" w14:textId="77777777" w:rsidTr="005A786D">
        <w:trPr>
          <w:cantSplit/>
          <w:trHeight w:val="525"/>
        </w:trPr>
        <w:tc>
          <w:tcPr>
            <w:tcW w:w="622" w:type="pct"/>
            <w:tcBorders>
              <w:top w:val="nil"/>
              <w:bottom w:val="nil"/>
            </w:tcBorders>
            <w:shd w:val="clear" w:color="auto" w:fill="auto"/>
          </w:tcPr>
          <w:p w14:paraId="3FE81A3E" w14:textId="77777777" w:rsidR="00550FEB" w:rsidRPr="005E3B43" w:rsidRDefault="00550FEB" w:rsidP="00763BCF">
            <w:pPr>
              <w:pStyle w:val="Tabletext"/>
            </w:pPr>
          </w:p>
        </w:tc>
        <w:tc>
          <w:tcPr>
            <w:tcW w:w="3138" w:type="pct"/>
            <w:tcBorders>
              <w:top w:val="nil"/>
              <w:bottom w:val="nil"/>
            </w:tcBorders>
            <w:shd w:val="clear" w:color="auto" w:fill="auto"/>
          </w:tcPr>
          <w:p w14:paraId="464388E0" w14:textId="77777777" w:rsidR="00550FEB" w:rsidRPr="005E3B43" w:rsidRDefault="00550FEB" w:rsidP="00763BCF">
            <w:pPr>
              <w:pStyle w:val="Tablea"/>
              <w:ind w:right="-52"/>
            </w:pPr>
            <w:r w:rsidRPr="005E3B43">
              <w:t>(bb) an extension of indications or a major variation in respect of a medicine incorporated as an ancillary medicinal component of a medical device if the evaluation of the medicine involves an evaluation of:</w:t>
            </w:r>
          </w:p>
        </w:tc>
        <w:tc>
          <w:tcPr>
            <w:tcW w:w="1240" w:type="pct"/>
            <w:tcBorders>
              <w:top w:val="nil"/>
              <w:bottom w:val="nil"/>
            </w:tcBorders>
            <w:shd w:val="clear" w:color="auto" w:fill="auto"/>
          </w:tcPr>
          <w:p w14:paraId="27E6D6BD" w14:textId="77777777" w:rsidR="00550FEB" w:rsidRPr="005E3B43" w:rsidDel="009F6E65" w:rsidRDefault="00550FEB" w:rsidP="00763BCF">
            <w:pPr>
              <w:pStyle w:val="Tabletext"/>
            </w:pPr>
          </w:p>
        </w:tc>
      </w:tr>
      <w:tr w:rsidR="00550FEB" w:rsidRPr="005E3B43" w14:paraId="10C04940" w14:textId="77777777" w:rsidTr="005A786D">
        <w:tc>
          <w:tcPr>
            <w:tcW w:w="622" w:type="pct"/>
            <w:tcBorders>
              <w:top w:val="nil"/>
              <w:bottom w:val="nil"/>
            </w:tcBorders>
            <w:shd w:val="clear" w:color="auto" w:fill="auto"/>
          </w:tcPr>
          <w:p w14:paraId="7BF66EEA" w14:textId="77777777" w:rsidR="00550FEB" w:rsidRPr="005E3B43" w:rsidRDefault="00550FEB" w:rsidP="00763BCF">
            <w:pPr>
              <w:pStyle w:val="Tabletext"/>
            </w:pPr>
          </w:p>
        </w:tc>
        <w:tc>
          <w:tcPr>
            <w:tcW w:w="3138" w:type="pct"/>
            <w:tcBorders>
              <w:top w:val="nil"/>
              <w:bottom w:val="nil"/>
            </w:tcBorders>
            <w:shd w:val="clear" w:color="auto" w:fill="auto"/>
          </w:tcPr>
          <w:p w14:paraId="380A0D35" w14:textId="77777777" w:rsidR="00550FEB" w:rsidRPr="005E3B43" w:rsidRDefault="00550FEB" w:rsidP="00763BCF">
            <w:pPr>
              <w:pStyle w:val="Tablei"/>
              <w:ind w:right="-52"/>
            </w:pPr>
            <w:r w:rsidRPr="005E3B43">
              <w:t>(i) documentation setting out the chemistry, quality control and manufacturing of the medicine; or</w:t>
            </w:r>
          </w:p>
        </w:tc>
        <w:tc>
          <w:tcPr>
            <w:tcW w:w="1240" w:type="pct"/>
            <w:tcBorders>
              <w:top w:val="nil"/>
              <w:bottom w:val="nil"/>
            </w:tcBorders>
            <w:shd w:val="clear" w:color="auto" w:fill="auto"/>
          </w:tcPr>
          <w:p w14:paraId="74A96A04" w14:textId="77777777" w:rsidR="00550FEB" w:rsidRPr="005E3B43" w:rsidRDefault="00550FEB" w:rsidP="00763BCF">
            <w:pPr>
              <w:pStyle w:val="Tabletext"/>
              <w:ind w:right="-66"/>
            </w:pPr>
            <w:r w:rsidRPr="005E3B43">
              <w:t>for an evaluation relating to:</w:t>
            </w:r>
          </w:p>
          <w:p w14:paraId="22550B66" w14:textId="77777777" w:rsidR="00550FEB" w:rsidRPr="005E3B43" w:rsidRDefault="00550FEB" w:rsidP="00763BCF">
            <w:pPr>
              <w:pStyle w:val="Tablea"/>
              <w:ind w:right="-66"/>
              <w:rPr>
                <w:rFonts w:eastAsiaTheme="minorHAnsi" w:cstheme="minorBidi"/>
                <w:lang w:eastAsia="en-US"/>
              </w:rPr>
            </w:pPr>
            <w:r w:rsidRPr="005E3B43">
              <w:t>(a) an extension of indications—</w:t>
            </w:r>
            <w:r w:rsidR="00DB6A1F" w:rsidRPr="005E3B43">
              <w:t>45,090</w:t>
            </w:r>
          </w:p>
          <w:p w14:paraId="33A309EB" w14:textId="77777777" w:rsidR="00550FEB" w:rsidRPr="005E3B43" w:rsidRDefault="00550FEB" w:rsidP="00763BCF">
            <w:pPr>
              <w:pStyle w:val="Tablea"/>
              <w:ind w:right="-66"/>
              <w:rPr>
                <w:rFonts w:eastAsiaTheme="minorHAnsi" w:cstheme="minorBidi"/>
                <w:lang w:eastAsia="en-US"/>
              </w:rPr>
            </w:pPr>
            <w:r w:rsidRPr="005E3B43">
              <w:t>(b) a major variation—</w:t>
            </w:r>
            <w:r w:rsidR="00450F67" w:rsidRPr="005E3B43">
              <w:t>29,269</w:t>
            </w:r>
          </w:p>
        </w:tc>
      </w:tr>
      <w:tr w:rsidR="00550FEB" w:rsidRPr="005E3B43" w14:paraId="39AF78CC" w14:textId="77777777" w:rsidTr="005A786D">
        <w:tc>
          <w:tcPr>
            <w:tcW w:w="622" w:type="pct"/>
            <w:tcBorders>
              <w:top w:val="nil"/>
              <w:bottom w:val="nil"/>
            </w:tcBorders>
            <w:shd w:val="clear" w:color="auto" w:fill="auto"/>
          </w:tcPr>
          <w:p w14:paraId="3BC6DDAA" w14:textId="77777777" w:rsidR="00550FEB" w:rsidRPr="005E3B43" w:rsidRDefault="00550FEB" w:rsidP="00763BCF">
            <w:pPr>
              <w:pStyle w:val="Tabletext"/>
            </w:pPr>
          </w:p>
        </w:tc>
        <w:tc>
          <w:tcPr>
            <w:tcW w:w="3138" w:type="pct"/>
            <w:tcBorders>
              <w:top w:val="nil"/>
              <w:bottom w:val="nil"/>
            </w:tcBorders>
            <w:shd w:val="clear" w:color="auto" w:fill="auto"/>
          </w:tcPr>
          <w:p w14:paraId="57328C30" w14:textId="35807A6A" w:rsidR="00550FEB" w:rsidRPr="005E3B43" w:rsidRDefault="00550FEB" w:rsidP="00763BCF">
            <w:pPr>
              <w:pStyle w:val="Tablei"/>
              <w:ind w:right="-52"/>
            </w:pPr>
            <w:r w:rsidRPr="005E3B43">
              <w:t>(ii) documentation relating to pre</w:t>
            </w:r>
            <w:r w:rsidR="007C3215">
              <w:noBreakHyphen/>
            </w:r>
            <w:r w:rsidRPr="005E3B43">
              <w:t>clinical studies; or</w:t>
            </w:r>
          </w:p>
        </w:tc>
        <w:tc>
          <w:tcPr>
            <w:tcW w:w="1240" w:type="pct"/>
            <w:tcBorders>
              <w:top w:val="nil"/>
              <w:bottom w:val="nil"/>
            </w:tcBorders>
            <w:shd w:val="clear" w:color="auto" w:fill="auto"/>
          </w:tcPr>
          <w:p w14:paraId="4938E793" w14:textId="77777777" w:rsidR="00550FEB" w:rsidRPr="005E3B43" w:rsidRDefault="00550FEB" w:rsidP="00763BCF">
            <w:pPr>
              <w:pStyle w:val="Tabletext"/>
            </w:pPr>
            <w:r w:rsidRPr="005E3B43">
              <w:t>for an evaluation relating to:</w:t>
            </w:r>
          </w:p>
          <w:p w14:paraId="2718DFF3" w14:textId="77777777" w:rsidR="00550FEB" w:rsidRPr="005E3B43" w:rsidRDefault="00550FEB" w:rsidP="00763BCF">
            <w:pPr>
              <w:pStyle w:val="Tablea"/>
              <w:ind w:right="-66"/>
              <w:rPr>
                <w:rFonts w:eastAsiaTheme="minorHAnsi" w:cstheme="minorBidi"/>
                <w:lang w:eastAsia="en-US"/>
              </w:rPr>
            </w:pPr>
            <w:r w:rsidRPr="005E3B43">
              <w:t>(a) an extension of indications—</w:t>
            </w:r>
            <w:r w:rsidR="0016338F" w:rsidRPr="005E3B43">
              <w:t>45,090</w:t>
            </w:r>
          </w:p>
          <w:p w14:paraId="00543630" w14:textId="77777777" w:rsidR="00550FEB" w:rsidRPr="005E3B43" w:rsidRDefault="00550FEB" w:rsidP="00763BCF">
            <w:pPr>
              <w:pStyle w:val="Tablea"/>
              <w:rPr>
                <w:rFonts w:eastAsiaTheme="minorHAnsi" w:cstheme="minorBidi"/>
                <w:lang w:eastAsia="en-US"/>
              </w:rPr>
            </w:pPr>
            <w:r w:rsidRPr="005E3B43">
              <w:t>(b) a major variation—</w:t>
            </w:r>
            <w:r w:rsidR="0016338F" w:rsidRPr="005E3B43">
              <w:t>29,269</w:t>
            </w:r>
          </w:p>
        </w:tc>
      </w:tr>
      <w:tr w:rsidR="00550FEB" w:rsidRPr="005E3B43" w14:paraId="74972317" w14:textId="77777777" w:rsidTr="00923C34">
        <w:trPr>
          <w:cantSplit/>
        </w:trPr>
        <w:tc>
          <w:tcPr>
            <w:tcW w:w="622" w:type="pct"/>
            <w:tcBorders>
              <w:top w:val="nil"/>
              <w:bottom w:val="nil"/>
            </w:tcBorders>
            <w:shd w:val="clear" w:color="auto" w:fill="auto"/>
          </w:tcPr>
          <w:p w14:paraId="1BBA0E25" w14:textId="77777777" w:rsidR="00550FEB" w:rsidRPr="005E3B43" w:rsidRDefault="00550FEB" w:rsidP="00763BCF">
            <w:pPr>
              <w:pStyle w:val="Tabletext"/>
            </w:pPr>
          </w:p>
        </w:tc>
        <w:tc>
          <w:tcPr>
            <w:tcW w:w="3138" w:type="pct"/>
            <w:tcBorders>
              <w:top w:val="nil"/>
              <w:bottom w:val="nil"/>
            </w:tcBorders>
            <w:shd w:val="clear" w:color="auto" w:fill="auto"/>
          </w:tcPr>
          <w:p w14:paraId="4BBD4FBF" w14:textId="77777777" w:rsidR="00550FEB" w:rsidRPr="005E3B43" w:rsidRDefault="00550FEB" w:rsidP="00763BCF">
            <w:pPr>
              <w:pStyle w:val="Tablei"/>
              <w:ind w:right="-52"/>
            </w:pPr>
            <w:r w:rsidRPr="005E3B43">
              <w:t xml:space="preserve">(iii) documentation mentioned in </w:t>
            </w:r>
            <w:r w:rsidR="004E6D00" w:rsidRPr="005E3B43">
              <w:t>subparagraphs (</w:t>
            </w:r>
            <w:r w:rsidRPr="005E3B43">
              <w:t>i) and (ii)</w:t>
            </w:r>
          </w:p>
        </w:tc>
        <w:tc>
          <w:tcPr>
            <w:tcW w:w="1240" w:type="pct"/>
            <w:tcBorders>
              <w:top w:val="nil"/>
              <w:bottom w:val="nil"/>
            </w:tcBorders>
            <w:shd w:val="clear" w:color="auto" w:fill="auto"/>
          </w:tcPr>
          <w:p w14:paraId="38A935F8" w14:textId="77777777" w:rsidR="00550FEB" w:rsidRPr="005E3B43" w:rsidRDefault="00550FEB" w:rsidP="00763BCF">
            <w:pPr>
              <w:pStyle w:val="Tabletext"/>
            </w:pPr>
            <w:r w:rsidRPr="005E3B43">
              <w:t>for an evaluation relating to:</w:t>
            </w:r>
          </w:p>
          <w:p w14:paraId="4E882DEE" w14:textId="77777777" w:rsidR="00550FEB" w:rsidRPr="005E3B43" w:rsidRDefault="00550FEB" w:rsidP="00763BCF">
            <w:pPr>
              <w:pStyle w:val="Tablea"/>
              <w:rPr>
                <w:rFonts w:eastAsiaTheme="minorHAnsi" w:cstheme="minorBidi"/>
                <w:lang w:eastAsia="en-US"/>
              </w:rPr>
            </w:pPr>
            <w:r w:rsidRPr="005E3B43">
              <w:t>(a) an extension of indications—</w:t>
            </w:r>
            <w:r w:rsidR="002229D4" w:rsidRPr="005E3B43">
              <w:t>90,067</w:t>
            </w:r>
          </w:p>
          <w:p w14:paraId="5956DE33" w14:textId="77777777" w:rsidR="00550FEB" w:rsidRPr="005E3B43" w:rsidRDefault="00550FEB" w:rsidP="00763BCF">
            <w:pPr>
              <w:pStyle w:val="Tablea"/>
              <w:rPr>
                <w:rFonts w:eastAsiaTheme="minorHAnsi" w:cstheme="minorBidi"/>
                <w:lang w:eastAsia="en-US"/>
              </w:rPr>
            </w:pPr>
            <w:r w:rsidRPr="005E3B43">
              <w:t>(b) a major variation—</w:t>
            </w:r>
            <w:r w:rsidR="002229D4" w:rsidRPr="005E3B43">
              <w:t>58,878</w:t>
            </w:r>
          </w:p>
        </w:tc>
      </w:tr>
      <w:tr w:rsidR="00550FEB" w:rsidRPr="005E3B43" w14:paraId="27B2EE0F" w14:textId="77777777" w:rsidTr="005A786D">
        <w:tc>
          <w:tcPr>
            <w:tcW w:w="622" w:type="pct"/>
            <w:tcBorders>
              <w:top w:val="nil"/>
              <w:bottom w:val="nil"/>
            </w:tcBorders>
            <w:shd w:val="clear" w:color="auto" w:fill="auto"/>
          </w:tcPr>
          <w:p w14:paraId="652A1E04" w14:textId="77777777" w:rsidR="00550FEB" w:rsidRPr="005E3B43" w:rsidRDefault="00550FEB" w:rsidP="00763BCF">
            <w:pPr>
              <w:pStyle w:val="Tabletext"/>
            </w:pPr>
          </w:p>
        </w:tc>
        <w:tc>
          <w:tcPr>
            <w:tcW w:w="3138" w:type="pct"/>
            <w:tcBorders>
              <w:top w:val="nil"/>
              <w:bottom w:val="nil"/>
            </w:tcBorders>
            <w:shd w:val="clear" w:color="auto" w:fill="auto"/>
          </w:tcPr>
          <w:p w14:paraId="1BCE789D" w14:textId="77777777" w:rsidR="00550FEB" w:rsidRPr="005E3B43" w:rsidRDefault="00550FEB" w:rsidP="00763BCF">
            <w:pPr>
              <w:pStyle w:val="Tablea"/>
              <w:ind w:right="-52"/>
              <w:rPr>
                <w:rFonts w:eastAsiaTheme="minorHAnsi" w:cstheme="minorBidi"/>
                <w:lang w:eastAsia="en-US"/>
              </w:rPr>
            </w:pPr>
            <w:r w:rsidRPr="005E3B43">
              <w:t>(bc) an extension of indications that is the subject of an application to which regulation</w:t>
            </w:r>
            <w:r w:rsidR="004E6D00" w:rsidRPr="005E3B43">
              <w:t> </w:t>
            </w:r>
            <w:r w:rsidRPr="005E3B43">
              <w:t>16G applies</w:t>
            </w:r>
          </w:p>
        </w:tc>
        <w:tc>
          <w:tcPr>
            <w:tcW w:w="1240" w:type="pct"/>
            <w:tcBorders>
              <w:top w:val="nil"/>
              <w:bottom w:val="nil"/>
            </w:tcBorders>
            <w:shd w:val="clear" w:color="auto" w:fill="auto"/>
          </w:tcPr>
          <w:p w14:paraId="5AF5EDDC" w14:textId="77777777" w:rsidR="00550FEB" w:rsidRPr="005E3B43" w:rsidRDefault="002229D4" w:rsidP="00763BCF">
            <w:pPr>
              <w:pStyle w:val="Tabletext"/>
            </w:pPr>
            <w:r w:rsidRPr="005E3B43">
              <w:t>5,187</w:t>
            </w:r>
          </w:p>
        </w:tc>
      </w:tr>
      <w:tr w:rsidR="00550FEB" w:rsidRPr="005E3B43" w14:paraId="2B5F7123" w14:textId="77777777" w:rsidTr="005A786D">
        <w:tc>
          <w:tcPr>
            <w:tcW w:w="622" w:type="pct"/>
            <w:tcBorders>
              <w:top w:val="nil"/>
              <w:bottom w:val="nil"/>
            </w:tcBorders>
            <w:shd w:val="clear" w:color="auto" w:fill="auto"/>
          </w:tcPr>
          <w:p w14:paraId="166386D3" w14:textId="77777777" w:rsidR="00550FEB" w:rsidRPr="005E3B43" w:rsidRDefault="00550FEB" w:rsidP="00763BCF">
            <w:pPr>
              <w:pStyle w:val="Tabletext"/>
            </w:pPr>
          </w:p>
        </w:tc>
        <w:tc>
          <w:tcPr>
            <w:tcW w:w="3138" w:type="pct"/>
            <w:tcBorders>
              <w:top w:val="nil"/>
              <w:bottom w:val="nil"/>
            </w:tcBorders>
            <w:shd w:val="clear" w:color="auto" w:fill="auto"/>
          </w:tcPr>
          <w:p w14:paraId="03380A2C" w14:textId="77777777" w:rsidR="00550FEB" w:rsidRPr="005E3B43" w:rsidRDefault="00550FEB" w:rsidP="00763BCF">
            <w:pPr>
              <w:pStyle w:val="Tablea"/>
              <w:ind w:right="-52"/>
            </w:pPr>
            <w:r w:rsidRPr="005E3B43">
              <w:t>(bd) a new indications medicine in relation to which a therapeutic goods (priority applicant) determination is in force</w:t>
            </w:r>
          </w:p>
        </w:tc>
        <w:tc>
          <w:tcPr>
            <w:tcW w:w="1240" w:type="pct"/>
            <w:tcBorders>
              <w:top w:val="nil"/>
              <w:bottom w:val="nil"/>
            </w:tcBorders>
            <w:shd w:val="clear" w:color="auto" w:fill="auto"/>
          </w:tcPr>
          <w:p w14:paraId="17EAF255" w14:textId="77777777" w:rsidR="00550FEB" w:rsidRPr="005E3B43" w:rsidRDefault="002957FF" w:rsidP="00763BCF">
            <w:pPr>
              <w:pStyle w:val="Tabletext"/>
            </w:pPr>
            <w:r w:rsidRPr="005E3B43">
              <w:t>143,295</w:t>
            </w:r>
          </w:p>
        </w:tc>
      </w:tr>
      <w:tr w:rsidR="00550FEB" w:rsidRPr="005E3B43" w14:paraId="3AEB9E7E" w14:textId="77777777" w:rsidTr="005A786D">
        <w:tc>
          <w:tcPr>
            <w:tcW w:w="622" w:type="pct"/>
            <w:tcBorders>
              <w:top w:val="nil"/>
              <w:bottom w:val="nil"/>
            </w:tcBorders>
            <w:shd w:val="clear" w:color="auto" w:fill="auto"/>
          </w:tcPr>
          <w:p w14:paraId="0784166C" w14:textId="77777777" w:rsidR="00550FEB" w:rsidRPr="005E3B43" w:rsidRDefault="00550FEB" w:rsidP="00763BCF">
            <w:pPr>
              <w:pStyle w:val="Tabletext"/>
            </w:pPr>
          </w:p>
        </w:tc>
        <w:tc>
          <w:tcPr>
            <w:tcW w:w="3138" w:type="pct"/>
            <w:tcBorders>
              <w:top w:val="nil"/>
              <w:bottom w:val="nil"/>
            </w:tcBorders>
            <w:shd w:val="clear" w:color="auto" w:fill="auto"/>
          </w:tcPr>
          <w:p w14:paraId="715CE461" w14:textId="77777777" w:rsidR="00550FEB" w:rsidRPr="005E3B43" w:rsidRDefault="00550FEB" w:rsidP="00763BCF">
            <w:pPr>
              <w:pStyle w:val="Tablea"/>
              <w:ind w:right="-52"/>
            </w:pPr>
            <w:r w:rsidRPr="005E3B43">
              <w:t>(c) a new generic product</w:t>
            </w:r>
          </w:p>
        </w:tc>
        <w:tc>
          <w:tcPr>
            <w:tcW w:w="1240" w:type="pct"/>
            <w:tcBorders>
              <w:top w:val="nil"/>
              <w:bottom w:val="nil"/>
            </w:tcBorders>
            <w:shd w:val="clear" w:color="auto" w:fill="auto"/>
          </w:tcPr>
          <w:p w14:paraId="13B25175" w14:textId="77777777" w:rsidR="00550FEB" w:rsidRPr="005E3B43" w:rsidRDefault="002957FF" w:rsidP="00763BCF">
            <w:pPr>
              <w:pStyle w:val="Tabletext"/>
            </w:pPr>
            <w:r w:rsidRPr="005E3B43">
              <w:t>87,016</w:t>
            </w:r>
          </w:p>
        </w:tc>
      </w:tr>
      <w:tr w:rsidR="00550FEB" w:rsidRPr="005E3B43" w14:paraId="10A358D5" w14:textId="77777777" w:rsidTr="005A786D">
        <w:tc>
          <w:tcPr>
            <w:tcW w:w="622" w:type="pct"/>
            <w:tcBorders>
              <w:top w:val="nil"/>
              <w:bottom w:val="nil"/>
            </w:tcBorders>
            <w:shd w:val="clear" w:color="auto" w:fill="auto"/>
          </w:tcPr>
          <w:p w14:paraId="7C2C08F5" w14:textId="77777777" w:rsidR="00550FEB" w:rsidRPr="005E3B43" w:rsidRDefault="00550FEB" w:rsidP="00763BCF">
            <w:pPr>
              <w:pStyle w:val="Tabletext"/>
            </w:pPr>
          </w:p>
        </w:tc>
        <w:tc>
          <w:tcPr>
            <w:tcW w:w="3138" w:type="pct"/>
            <w:tcBorders>
              <w:top w:val="nil"/>
              <w:bottom w:val="nil"/>
            </w:tcBorders>
            <w:shd w:val="clear" w:color="auto" w:fill="auto"/>
          </w:tcPr>
          <w:p w14:paraId="4060A041" w14:textId="77777777" w:rsidR="00550FEB" w:rsidRPr="005E3B43" w:rsidRDefault="00550FEB" w:rsidP="00763BCF">
            <w:pPr>
              <w:pStyle w:val="Tablea"/>
              <w:ind w:right="-52"/>
            </w:pPr>
            <w:r w:rsidRPr="005E3B43">
              <w:t>(d) an additional trade name</w:t>
            </w:r>
          </w:p>
        </w:tc>
        <w:tc>
          <w:tcPr>
            <w:tcW w:w="1240" w:type="pct"/>
            <w:tcBorders>
              <w:top w:val="nil"/>
              <w:bottom w:val="nil"/>
            </w:tcBorders>
            <w:shd w:val="clear" w:color="auto" w:fill="auto"/>
          </w:tcPr>
          <w:p w14:paraId="55F0C430" w14:textId="77777777" w:rsidR="00550FEB" w:rsidRPr="005E3B43" w:rsidRDefault="002957FF" w:rsidP="00763BCF">
            <w:pPr>
              <w:pStyle w:val="Tabletext"/>
            </w:pPr>
            <w:r w:rsidRPr="005E3B43">
              <w:t>14,239</w:t>
            </w:r>
          </w:p>
        </w:tc>
      </w:tr>
      <w:tr w:rsidR="00550FEB" w:rsidRPr="005E3B43" w14:paraId="6CAF697D" w14:textId="77777777" w:rsidTr="005A786D">
        <w:tc>
          <w:tcPr>
            <w:tcW w:w="622" w:type="pct"/>
            <w:tcBorders>
              <w:top w:val="nil"/>
              <w:bottom w:val="nil"/>
            </w:tcBorders>
            <w:shd w:val="clear" w:color="auto" w:fill="auto"/>
          </w:tcPr>
          <w:p w14:paraId="65938C5D" w14:textId="77777777" w:rsidR="00550FEB" w:rsidRPr="005E3B43" w:rsidRDefault="00550FEB" w:rsidP="00763BCF">
            <w:pPr>
              <w:pStyle w:val="Tabletext"/>
            </w:pPr>
          </w:p>
        </w:tc>
        <w:tc>
          <w:tcPr>
            <w:tcW w:w="3138" w:type="pct"/>
            <w:tcBorders>
              <w:top w:val="nil"/>
              <w:bottom w:val="nil"/>
            </w:tcBorders>
            <w:shd w:val="clear" w:color="auto" w:fill="auto"/>
          </w:tcPr>
          <w:p w14:paraId="687CB355" w14:textId="77777777" w:rsidR="00550FEB" w:rsidRPr="005E3B43" w:rsidRDefault="00550FEB" w:rsidP="00763BCF">
            <w:pPr>
              <w:pStyle w:val="Tablea"/>
              <w:ind w:right="-52"/>
            </w:pPr>
            <w:r w:rsidRPr="005E3B43">
              <w:t xml:space="preserve">(g) a major variation (that is not a variation mentioned in any of </w:t>
            </w:r>
            <w:r w:rsidR="004E6D00" w:rsidRPr="005E3B43">
              <w:t>paragraphs (</w:t>
            </w:r>
            <w:r w:rsidRPr="005E3B43">
              <w:t>a) to (d))</w:t>
            </w:r>
          </w:p>
        </w:tc>
        <w:tc>
          <w:tcPr>
            <w:tcW w:w="1240" w:type="pct"/>
            <w:tcBorders>
              <w:top w:val="nil"/>
              <w:bottom w:val="nil"/>
            </w:tcBorders>
            <w:shd w:val="clear" w:color="auto" w:fill="auto"/>
          </w:tcPr>
          <w:p w14:paraId="12F8C522" w14:textId="77777777" w:rsidR="00550FEB" w:rsidRPr="005E3B43" w:rsidRDefault="002957FF" w:rsidP="00763BCF">
            <w:pPr>
              <w:pStyle w:val="Tabletext"/>
            </w:pPr>
            <w:r w:rsidRPr="005E3B43">
              <w:t>88,146</w:t>
            </w:r>
          </w:p>
        </w:tc>
      </w:tr>
      <w:tr w:rsidR="00550FEB" w:rsidRPr="005E3B43" w14:paraId="1CCCFB08" w14:textId="77777777" w:rsidTr="005A786D">
        <w:tc>
          <w:tcPr>
            <w:tcW w:w="622" w:type="pct"/>
            <w:tcBorders>
              <w:top w:val="nil"/>
              <w:bottom w:val="single" w:sz="4" w:space="0" w:color="auto"/>
            </w:tcBorders>
            <w:shd w:val="clear" w:color="auto" w:fill="auto"/>
          </w:tcPr>
          <w:p w14:paraId="206ECCD5" w14:textId="77777777" w:rsidR="00550FEB" w:rsidRPr="005E3B43" w:rsidRDefault="00550FEB" w:rsidP="00763BCF">
            <w:pPr>
              <w:pStyle w:val="Tabletext"/>
            </w:pPr>
          </w:p>
        </w:tc>
        <w:tc>
          <w:tcPr>
            <w:tcW w:w="3138" w:type="pct"/>
            <w:tcBorders>
              <w:top w:val="nil"/>
              <w:bottom w:val="single" w:sz="4" w:space="0" w:color="auto"/>
            </w:tcBorders>
            <w:shd w:val="clear" w:color="auto" w:fill="auto"/>
          </w:tcPr>
          <w:p w14:paraId="55B4DAEC" w14:textId="77777777" w:rsidR="00550FEB" w:rsidRPr="005E3B43" w:rsidRDefault="00550FEB" w:rsidP="00763BCF">
            <w:pPr>
              <w:pStyle w:val="Tablea"/>
              <w:ind w:right="-52"/>
            </w:pPr>
            <w:r w:rsidRPr="005E3B43">
              <w:t xml:space="preserve">(h) a minor variation (that is not a variation mentioned in any of </w:t>
            </w:r>
            <w:r w:rsidR="004E6D00" w:rsidRPr="005E3B43">
              <w:t>paragraphs (</w:t>
            </w:r>
            <w:r w:rsidRPr="005E3B43">
              <w:t>a) to (d))</w:t>
            </w:r>
          </w:p>
        </w:tc>
        <w:tc>
          <w:tcPr>
            <w:tcW w:w="1240" w:type="pct"/>
            <w:tcBorders>
              <w:top w:val="nil"/>
              <w:bottom w:val="single" w:sz="4" w:space="0" w:color="auto"/>
            </w:tcBorders>
            <w:shd w:val="clear" w:color="auto" w:fill="auto"/>
          </w:tcPr>
          <w:p w14:paraId="163F7DE2" w14:textId="77777777" w:rsidR="00550FEB" w:rsidRPr="005E3B43" w:rsidRDefault="002957FF" w:rsidP="00763BCF">
            <w:pPr>
              <w:pStyle w:val="Tabletext"/>
            </w:pPr>
            <w:r w:rsidRPr="005E3B43">
              <w:t>5,187</w:t>
            </w:r>
          </w:p>
        </w:tc>
      </w:tr>
      <w:tr w:rsidR="00550FEB" w:rsidRPr="005E3B43" w14:paraId="0C1C91D5" w14:textId="77777777" w:rsidTr="005A786D">
        <w:trPr>
          <w:cantSplit/>
        </w:trPr>
        <w:tc>
          <w:tcPr>
            <w:tcW w:w="622" w:type="pct"/>
            <w:tcBorders>
              <w:top w:val="single" w:sz="4" w:space="0" w:color="auto"/>
              <w:bottom w:val="single" w:sz="4" w:space="0" w:color="auto"/>
            </w:tcBorders>
            <w:shd w:val="clear" w:color="auto" w:fill="auto"/>
          </w:tcPr>
          <w:p w14:paraId="7EC710A8" w14:textId="77777777" w:rsidR="00550FEB" w:rsidRPr="005E3B43" w:rsidRDefault="00550FEB" w:rsidP="00763BCF">
            <w:pPr>
              <w:pStyle w:val="Tabletext"/>
            </w:pPr>
            <w:r w:rsidRPr="005E3B43">
              <w:t>6AA</w:t>
            </w:r>
          </w:p>
        </w:tc>
        <w:tc>
          <w:tcPr>
            <w:tcW w:w="3138" w:type="pct"/>
            <w:tcBorders>
              <w:top w:val="single" w:sz="4" w:space="0" w:color="auto"/>
              <w:bottom w:val="single" w:sz="4" w:space="0" w:color="auto"/>
            </w:tcBorders>
            <w:shd w:val="clear" w:color="auto" w:fill="auto"/>
          </w:tcPr>
          <w:p w14:paraId="35D70A6C" w14:textId="77777777" w:rsidR="00550FEB" w:rsidRPr="005E3B43" w:rsidRDefault="00550FEB" w:rsidP="00763BCF">
            <w:pPr>
              <w:pStyle w:val="Tabletext"/>
              <w:ind w:right="-52"/>
            </w:pPr>
            <w:r w:rsidRPr="005E3B43">
              <w:t>Fee for processing of data in relation to goods, a step in the manufacture of which was carried out outside Australia (in addition to any other fee prescribed in this Schedule in relation to the application) to determine whether the manufacturing and quality control procedures used in the manufacture of the goods are acceptable:</w:t>
            </w:r>
          </w:p>
          <w:p w14:paraId="15B7A1C9" w14:textId="77777777" w:rsidR="00550FEB" w:rsidRPr="005E3B43" w:rsidRDefault="00550FEB" w:rsidP="00763BCF">
            <w:pPr>
              <w:pStyle w:val="Tablea"/>
              <w:ind w:right="-52"/>
            </w:pPr>
            <w:r w:rsidRPr="005E3B43">
              <w:t>(a) for the purposes of subsection</w:t>
            </w:r>
            <w:r w:rsidR="004E6D00" w:rsidRPr="005E3B43">
              <w:t> </w:t>
            </w:r>
            <w:r w:rsidRPr="005E3B43">
              <w:t>9D(1), (2) or (3) of the Act; or</w:t>
            </w:r>
          </w:p>
          <w:p w14:paraId="40C6599C" w14:textId="77777777" w:rsidR="00550FEB" w:rsidRPr="005E3B43" w:rsidRDefault="00550FEB" w:rsidP="00763BCF">
            <w:pPr>
              <w:pStyle w:val="Tablea"/>
              <w:ind w:right="-52"/>
            </w:pPr>
            <w:r w:rsidRPr="005E3B43">
              <w:t>(b) for the purposes of paragraph</w:t>
            </w:r>
            <w:r w:rsidR="004E6D00" w:rsidRPr="005E3B43">
              <w:t> </w:t>
            </w:r>
            <w:r w:rsidRPr="005E3B43">
              <w:t>25(1)(g), 26(1)(g), 31(1)(e) or 31(2)(d) of the Act</w:t>
            </w:r>
          </w:p>
        </w:tc>
        <w:tc>
          <w:tcPr>
            <w:tcW w:w="1240" w:type="pct"/>
            <w:tcBorders>
              <w:top w:val="single" w:sz="4" w:space="0" w:color="auto"/>
              <w:bottom w:val="single" w:sz="4" w:space="0" w:color="auto"/>
            </w:tcBorders>
            <w:shd w:val="clear" w:color="auto" w:fill="auto"/>
          </w:tcPr>
          <w:p w14:paraId="14689B5A" w14:textId="77777777" w:rsidR="00550FEB" w:rsidRPr="005E3B43" w:rsidRDefault="002957FF" w:rsidP="00763BCF">
            <w:pPr>
              <w:pStyle w:val="Tabletext"/>
            </w:pPr>
            <w:r w:rsidRPr="005E3B43">
              <w:t>757</w:t>
            </w:r>
          </w:p>
        </w:tc>
      </w:tr>
      <w:tr w:rsidR="00550FEB" w:rsidRPr="005E3B43" w14:paraId="08B45081" w14:textId="77777777" w:rsidTr="005A786D">
        <w:trPr>
          <w:cantSplit/>
        </w:trPr>
        <w:tc>
          <w:tcPr>
            <w:tcW w:w="622" w:type="pct"/>
            <w:tcBorders>
              <w:top w:val="single" w:sz="4" w:space="0" w:color="auto"/>
              <w:bottom w:val="single" w:sz="4" w:space="0" w:color="auto"/>
            </w:tcBorders>
            <w:shd w:val="clear" w:color="auto" w:fill="auto"/>
          </w:tcPr>
          <w:p w14:paraId="3F134C74" w14:textId="77777777" w:rsidR="00550FEB" w:rsidRPr="005E3B43" w:rsidRDefault="00550FEB" w:rsidP="00763BCF">
            <w:pPr>
              <w:pStyle w:val="Tabletext"/>
            </w:pPr>
            <w:r w:rsidRPr="005E3B43">
              <w:t>6AB</w:t>
            </w:r>
          </w:p>
        </w:tc>
        <w:tc>
          <w:tcPr>
            <w:tcW w:w="3138" w:type="pct"/>
            <w:tcBorders>
              <w:top w:val="single" w:sz="4" w:space="0" w:color="auto"/>
              <w:bottom w:val="single" w:sz="4" w:space="0" w:color="auto"/>
            </w:tcBorders>
            <w:shd w:val="clear" w:color="auto" w:fill="auto"/>
          </w:tcPr>
          <w:p w14:paraId="6268E132" w14:textId="77777777" w:rsidR="00550FEB" w:rsidRPr="005E3B43" w:rsidRDefault="00550FEB" w:rsidP="00763BCF">
            <w:pPr>
              <w:pStyle w:val="Tabletext"/>
              <w:ind w:right="-52"/>
            </w:pPr>
            <w:r w:rsidRPr="005E3B43">
              <w:t>Fee for Department obtaining evidence from overseas regulatory authority of the manufacturing and quality control procedures used in the manufacture of goods, a step in the manufacture of which was carried out outside Australia (in addition to fee prescribed in item</w:t>
            </w:r>
            <w:r w:rsidR="004E6D00" w:rsidRPr="005E3B43">
              <w:t> </w:t>
            </w:r>
            <w:r w:rsidRPr="005E3B43">
              <w:t>6AA)</w:t>
            </w:r>
          </w:p>
        </w:tc>
        <w:tc>
          <w:tcPr>
            <w:tcW w:w="1240" w:type="pct"/>
            <w:tcBorders>
              <w:top w:val="single" w:sz="4" w:space="0" w:color="auto"/>
              <w:bottom w:val="single" w:sz="4" w:space="0" w:color="auto"/>
            </w:tcBorders>
            <w:shd w:val="clear" w:color="auto" w:fill="auto"/>
          </w:tcPr>
          <w:p w14:paraId="6C9419F2" w14:textId="77777777" w:rsidR="00550FEB" w:rsidRPr="005E3B43" w:rsidRDefault="002929B5" w:rsidP="00763BCF">
            <w:pPr>
              <w:pStyle w:val="Tabletext"/>
            </w:pPr>
            <w:r w:rsidRPr="005E3B43">
              <w:t>814</w:t>
            </w:r>
          </w:p>
        </w:tc>
      </w:tr>
      <w:tr w:rsidR="00550FEB" w:rsidRPr="005E3B43" w14:paraId="53EB62C1" w14:textId="77777777" w:rsidTr="005A786D">
        <w:tc>
          <w:tcPr>
            <w:tcW w:w="622" w:type="pct"/>
            <w:tcBorders>
              <w:top w:val="single" w:sz="4" w:space="0" w:color="auto"/>
              <w:bottom w:val="single" w:sz="4" w:space="0" w:color="auto"/>
            </w:tcBorders>
            <w:shd w:val="clear" w:color="auto" w:fill="auto"/>
          </w:tcPr>
          <w:p w14:paraId="08811472" w14:textId="77777777" w:rsidR="00550FEB" w:rsidRPr="005E3B43" w:rsidRDefault="00550FEB" w:rsidP="00763BCF">
            <w:pPr>
              <w:pStyle w:val="Tabletext"/>
            </w:pPr>
            <w:r w:rsidRPr="005E3B43">
              <w:rPr>
                <w:szCs w:val="22"/>
              </w:rPr>
              <w:t>6ABA</w:t>
            </w:r>
          </w:p>
        </w:tc>
        <w:tc>
          <w:tcPr>
            <w:tcW w:w="3138" w:type="pct"/>
            <w:tcBorders>
              <w:top w:val="single" w:sz="4" w:space="0" w:color="auto"/>
              <w:bottom w:val="single" w:sz="4" w:space="0" w:color="auto"/>
            </w:tcBorders>
            <w:shd w:val="clear" w:color="auto" w:fill="auto"/>
          </w:tcPr>
          <w:p w14:paraId="5AFA1A00" w14:textId="77777777" w:rsidR="00550FEB" w:rsidRPr="005E3B43" w:rsidRDefault="00550FEB" w:rsidP="00763BCF">
            <w:pPr>
              <w:pStyle w:val="Tabletext"/>
              <w:ind w:right="-52"/>
            </w:pPr>
            <w:r w:rsidRPr="005E3B43">
              <w:rPr>
                <w:szCs w:val="22"/>
              </w:rPr>
              <w:t>Fee for desk audit of overseas compliance certification to identify third party certifications and review the overseas compliance certification by examining the underlying audit report and obtaining information from the overseas regulators</w:t>
            </w:r>
          </w:p>
        </w:tc>
        <w:tc>
          <w:tcPr>
            <w:tcW w:w="1240" w:type="pct"/>
            <w:tcBorders>
              <w:top w:val="single" w:sz="4" w:space="0" w:color="auto"/>
              <w:bottom w:val="single" w:sz="4" w:space="0" w:color="auto"/>
            </w:tcBorders>
            <w:shd w:val="clear" w:color="auto" w:fill="auto"/>
          </w:tcPr>
          <w:p w14:paraId="47C461DE" w14:textId="77777777" w:rsidR="00550FEB" w:rsidRPr="005E3B43" w:rsidRDefault="002929B5" w:rsidP="00763BCF">
            <w:pPr>
              <w:pStyle w:val="Tabletext"/>
            </w:pPr>
            <w:r w:rsidRPr="005E3B43">
              <w:t>2,894</w:t>
            </w:r>
          </w:p>
        </w:tc>
      </w:tr>
      <w:tr w:rsidR="00550FEB" w:rsidRPr="005E3B43" w14:paraId="3E5AE59E" w14:textId="77777777" w:rsidTr="005A786D">
        <w:tc>
          <w:tcPr>
            <w:tcW w:w="622" w:type="pct"/>
            <w:tcBorders>
              <w:top w:val="single" w:sz="4" w:space="0" w:color="auto"/>
              <w:bottom w:val="single" w:sz="4" w:space="0" w:color="auto"/>
            </w:tcBorders>
            <w:shd w:val="clear" w:color="auto" w:fill="auto"/>
          </w:tcPr>
          <w:p w14:paraId="08386F8B" w14:textId="77777777" w:rsidR="00550FEB" w:rsidRPr="005E3B43" w:rsidRDefault="00550FEB" w:rsidP="00763BCF">
            <w:pPr>
              <w:pStyle w:val="Tabletext"/>
            </w:pPr>
            <w:r w:rsidRPr="005E3B43">
              <w:t>6AC</w:t>
            </w:r>
          </w:p>
        </w:tc>
        <w:tc>
          <w:tcPr>
            <w:tcW w:w="3138" w:type="pct"/>
            <w:tcBorders>
              <w:top w:val="single" w:sz="4" w:space="0" w:color="auto"/>
              <w:bottom w:val="single" w:sz="4" w:space="0" w:color="auto"/>
            </w:tcBorders>
            <w:shd w:val="clear" w:color="auto" w:fill="auto"/>
          </w:tcPr>
          <w:p w14:paraId="781BCA69" w14:textId="77777777" w:rsidR="00550FEB" w:rsidRPr="005E3B43" w:rsidRDefault="00550FEB" w:rsidP="00763BCF">
            <w:pPr>
              <w:pStyle w:val="Tabletext"/>
              <w:ind w:right="-52"/>
            </w:pPr>
            <w:r w:rsidRPr="005E3B43">
              <w:t xml:space="preserve">Fee for reinstatement of acceptance status of data relating to the manufacturing and quality control procedures used in the manufacture of goods, a step in the manufacture of which was carried out outside Australia (in addition to fee prescribed in </w:t>
            </w:r>
            <w:r w:rsidRPr="005E3B43">
              <w:rPr>
                <w:szCs w:val="22"/>
              </w:rPr>
              <w:t>items</w:t>
            </w:r>
            <w:r w:rsidR="004E6D00" w:rsidRPr="005E3B43">
              <w:rPr>
                <w:szCs w:val="22"/>
              </w:rPr>
              <w:t> </w:t>
            </w:r>
            <w:r w:rsidRPr="005E3B43">
              <w:rPr>
                <w:szCs w:val="22"/>
              </w:rPr>
              <w:t>6AA and 6ABA</w:t>
            </w:r>
            <w:r w:rsidRPr="005E3B43">
              <w:t>)</w:t>
            </w:r>
          </w:p>
        </w:tc>
        <w:tc>
          <w:tcPr>
            <w:tcW w:w="1240" w:type="pct"/>
            <w:tcBorders>
              <w:top w:val="single" w:sz="4" w:space="0" w:color="auto"/>
              <w:bottom w:val="single" w:sz="4" w:space="0" w:color="auto"/>
            </w:tcBorders>
            <w:shd w:val="clear" w:color="auto" w:fill="auto"/>
          </w:tcPr>
          <w:p w14:paraId="5D3110B5" w14:textId="77777777" w:rsidR="00550FEB" w:rsidRPr="005E3B43" w:rsidRDefault="002929B5" w:rsidP="00763BCF">
            <w:pPr>
              <w:pStyle w:val="Tabletext"/>
            </w:pPr>
            <w:r w:rsidRPr="005E3B43">
              <w:t>1,367</w:t>
            </w:r>
          </w:p>
        </w:tc>
      </w:tr>
      <w:tr w:rsidR="00550FEB" w:rsidRPr="005E3B43" w14:paraId="7D89AFCB" w14:textId="77777777" w:rsidTr="005A786D">
        <w:tc>
          <w:tcPr>
            <w:tcW w:w="622" w:type="pct"/>
            <w:tcBorders>
              <w:top w:val="single" w:sz="4" w:space="0" w:color="auto"/>
              <w:bottom w:val="single" w:sz="4" w:space="0" w:color="auto"/>
            </w:tcBorders>
            <w:shd w:val="clear" w:color="auto" w:fill="auto"/>
          </w:tcPr>
          <w:p w14:paraId="4027AD86" w14:textId="77777777" w:rsidR="00550FEB" w:rsidRPr="005E3B43" w:rsidRDefault="00550FEB" w:rsidP="00763BCF">
            <w:pPr>
              <w:pStyle w:val="Tabletext"/>
            </w:pPr>
            <w:r w:rsidRPr="005E3B43">
              <w:t>6B</w:t>
            </w:r>
          </w:p>
        </w:tc>
        <w:tc>
          <w:tcPr>
            <w:tcW w:w="3138" w:type="pct"/>
            <w:tcBorders>
              <w:top w:val="single" w:sz="4" w:space="0" w:color="auto"/>
              <w:bottom w:val="single" w:sz="4" w:space="0" w:color="auto"/>
            </w:tcBorders>
            <w:shd w:val="clear" w:color="auto" w:fill="auto"/>
          </w:tcPr>
          <w:p w14:paraId="4D38C053" w14:textId="77777777" w:rsidR="00550FEB" w:rsidRPr="005E3B43" w:rsidRDefault="00550FEB" w:rsidP="00763BCF">
            <w:pPr>
              <w:pStyle w:val="Tabletext"/>
              <w:ind w:right="-52"/>
            </w:pPr>
            <w:r w:rsidRPr="005E3B43">
              <w:t>Fee for evaluation of data, under subsection</w:t>
            </w:r>
            <w:r w:rsidR="004E6D00" w:rsidRPr="005E3B43">
              <w:t> </w:t>
            </w:r>
            <w:r w:rsidRPr="005E3B43">
              <w:t>9D(1), (2) or (3) of the Act, about an entry in the Register relating to disinfectants</w:t>
            </w:r>
          </w:p>
        </w:tc>
        <w:tc>
          <w:tcPr>
            <w:tcW w:w="1240" w:type="pct"/>
            <w:tcBorders>
              <w:top w:val="single" w:sz="4" w:space="0" w:color="auto"/>
              <w:bottom w:val="single" w:sz="4" w:space="0" w:color="auto"/>
            </w:tcBorders>
            <w:shd w:val="clear" w:color="auto" w:fill="auto"/>
          </w:tcPr>
          <w:p w14:paraId="15371768" w14:textId="77777777" w:rsidR="00550FEB" w:rsidRPr="005E3B43" w:rsidRDefault="008C7D2A" w:rsidP="00763BCF">
            <w:pPr>
              <w:pStyle w:val="Tabletext"/>
            </w:pPr>
            <w:r w:rsidRPr="005E3B43">
              <w:t>4,350</w:t>
            </w:r>
          </w:p>
        </w:tc>
      </w:tr>
      <w:tr w:rsidR="00550FEB" w:rsidRPr="005E3B43" w14:paraId="54CB8568" w14:textId="77777777" w:rsidTr="00923C34">
        <w:trPr>
          <w:cantSplit/>
        </w:trPr>
        <w:tc>
          <w:tcPr>
            <w:tcW w:w="622" w:type="pct"/>
            <w:tcBorders>
              <w:top w:val="single" w:sz="4" w:space="0" w:color="auto"/>
              <w:bottom w:val="nil"/>
            </w:tcBorders>
            <w:shd w:val="clear" w:color="auto" w:fill="auto"/>
          </w:tcPr>
          <w:p w14:paraId="2629F5BC" w14:textId="77777777" w:rsidR="00550FEB" w:rsidRPr="005E3B43" w:rsidRDefault="00550FEB" w:rsidP="00763BCF">
            <w:pPr>
              <w:pStyle w:val="Tabletext"/>
            </w:pPr>
            <w:r w:rsidRPr="005E3B43">
              <w:lastRenderedPageBreak/>
              <w:t>6BA</w:t>
            </w:r>
          </w:p>
        </w:tc>
        <w:tc>
          <w:tcPr>
            <w:tcW w:w="3138" w:type="pct"/>
            <w:tcBorders>
              <w:top w:val="single" w:sz="4" w:space="0" w:color="auto"/>
              <w:bottom w:val="nil"/>
            </w:tcBorders>
            <w:shd w:val="clear" w:color="auto" w:fill="auto"/>
          </w:tcPr>
          <w:p w14:paraId="32C4F1DB" w14:textId="77777777" w:rsidR="00550FEB" w:rsidRPr="005E3B43" w:rsidRDefault="00550FEB" w:rsidP="00763BCF">
            <w:pPr>
              <w:pStyle w:val="Tabletext"/>
              <w:ind w:right="-52"/>
            </w:pPr>
            <w:r w:rsidRPr="005E3B43">
              <w:t xml:space="preserve">Application fee for a request, under </w:t>
            </w:r>
            <w:r w:rsidR="00842CCD" w:rsidRPr="005E3B43">
              <w:t>subsection 3</w:t>
            </w:r>
            <w:r w:rsidRPr="005E3B43">
              <w:t>0A(1) of the Act, for the revocation of the cancellation of the registration or listing of therapeutic goods from the Register:</w:t>
            </w:r>
          </w:p>
        </w:tc>
        <w:tc>
          <w:tcPr>
            <w:tcW w:w="1240" w:type="pct"/>
            <w:tcBorders>
              <w:top w:val="single" w:sz="4" w:space="0" w:color="auto"/>
              <w:bottom w:val="nil"/>
            </w:tcBorders>
            <w:shd w:val="clear" w:color="auto" w:fill="auto"/>
          </w:tcPr>
          <w:p w14:paraId="487F401D" w14:textId="77777777" w:rsidR="00550FEB" w:rsidRPr="005E3B43" w:rsidRDefault="00550FEB" w:rsidP="00763BCF">
            <w:pPr>
              <w:pStyle w:val="Tabletext"/>
              <w:rPr>
                <w:lang w:eastAsia="en-US"/>
              </w:rPr>
            </w:pPr>
          </w:p>
        </w:tc>
      </w:tr>
      <w:tr w:rsidR="00550FEB" w:rsidRPr="005E3B43" w14:paraId="4506FECC" w14:textId="77777777" w:rsidTr="005A786D">
        <w:tc>
          <w:tcPr>
            <w:tcW w:w="622" w:type="pct"/>
            <w:tcBorders>
              <w:top w:val="nil"/>
              <w:bottom w:val="nil"/>
            </w:tcBorders>
            <w:shd w:val="clear" w:color="auto" w:fill="auto"/>
          </w:tcPr>
          <w:p w14:paraId="1EC9BDB3" w14:textId="77777777" w:rsidR="00550FEB" w:rsidRPr="005E3B43" w:rsidRDefault="00550FEB" w:rsidP="00763BCF">
            <w:pPr>
              <w:pStyle w:val="Tabletext"/>
            </w:pPr>
          </w:p>
        </w:tc>
        <w:tc>
          <w:tcPr>
            <w:tcW w:w="3138" w:type="pct"/>
            <w:tcBorders>
              <w:top w:val="nil"/>
              <w:bottom w:val="nil"/>
            </w:tcBorders>
            <w:shd w:val="clear" w:color="auto" w:fill="auto"/>
          </w:tcPr>
          <w:p w14:paraId="3C7F4A7A" w14:textId="77777777" w:rsidR="00550FEB" w:rsidRPr="005E3B43" w:rsidRDefault="00550FEB" w:rsidP="00763BCF">
            <w:pPr>
              <w:pStyle w:val="Tablea"/>
              <w:ind w:right="-52"/>
            </w:pPr>
            <w:r w:rsidRPr="005E3B43">
              <w:t>(a) if the request relates to one registration or listing;</w:t>
            </w:r>
          </w:p>
        </w:tc>
        <w:tc>
          <w:tcPr>
            <w:tcW w:w="1240" w:type="pct"/>
            <w:tcBorders>
              <w:top w:val="nil"/>
              <w:bottom w:val="nil"/>
            </w:tcBorders>
            <w:shd w:val="clear" w:color="auto" w:fill="auto"/>
          </w:tcPr>
          <w:p w14:paraId="7A590AF9" w14:textId="77777777" w:rsidR="00550FEB" w:rsidRPr="005E3B43" w:rsidRDefault="008432E8" w:rsidP="00763BCF">
            <w:pPr>
              <w:pStyle w:val="Tabletext"/>
              <w:rPr>
                <w:lang w:eastAsia="en-US"/>
              </w:rPr>
            </w:pPr>
            <w:r w:rsidRPr="005E3B43">
              <w:t>181</w:t>
            </w:r>
          </w:p>
        </w:tc>
      </w:tr>
      <w:tr w:rsidR="00550FEB" w:rsidRPr="005E3B43" w14:paraId="7D5703A6" w14:textId="77777777" w:rsidTr="005A786D">
        <w:tc>
          <w:tcPr>
            <w:tcW w:w="622" w:type="pct"/>
            <w:tcBorders>
              <w:top w:val="nil"/>
              <w:bottom w:val="single" w:sz="4" w:space="0" w:color="auto"/>
            </w:tcBorders>
            <w:shd w:val="clear" w:color="auto" w:fill="auto"/>
          </w:tcPr>
          <w:p w14:paraId="3869BA31" w14:textId="77777777" w:rsidR="00550FEB" w:rsidRPr="005E3B43" w:rsidRDefault="00550FEB" w:rsidP="00763BCF">
            <w:pPr>
              <w:pStyle w:val="Tabletext"/>
            </w:pPr>
          </w:p>
        </w:tc>
        <w:tc>
          <w:tcPr>
            <w:tcW w:w="3138" w:type="pct"/>
            <w:tcBorders>
              <w:top w:val="nil"/>
              <w:bottom w:val="single" w:sz="4" w:space="0" w:color="auto"/>
            </w:tcBorders>
            <w:shd w:val="clear" w:color="auto" w:fill="auto"/>
          </w:tcPr>
          <w:p w14:paraId="4B18BAB9" w14:textId="77777777" w:rsidR="00550FEB" w:rsidRPr="005E3B43" w:rsidRDefault="00550FEB" w:rsidP="00763BCF">
            <w:pPr>
              <w:pStyle w:val="Tablea"/>
              <w:ind w:right="-52"/>
            </w:pPr>
            <w:r w:rsidRPr="005E3B43">
              <w:t>(b) if the request relates to more than one registration or listing</w:t>
            </w:r>
          </w:p>
        </w:tc>
        <w:tc>
          <w:tcPr>
            <w:tcW w:w="1240" w:type="pct"/>
            <w:tcBorders>
              <w:top w:val="nil"/>
              <w:bottom w:val="single" w:sz="4" w:space="0" w:color="auto"/>
            </w:tcBorders>
            <w:shd w:val="clear" w:color="auto" w:fill="auto"/>
          </w:tcPr>
          <w:p w14:paraId="0EC02BA5" w14:textId="77777777" w:rsidR="00550FEB" w:rsidRPr="005E3B43" w:rsidRDefault="008432E8" w:rsidP="00763BCF">
            <w:pPr>
              <w:pStyle w:val="Tabletext"/>
              <w:rPr>
                <w:lang w:eastAsia="en-US"/>
              </w:rPr>
            </w:pPr>
            <w:r w:rsidRPr="005E3B43">
              <w:t>181</w:t>
            </w:r>
            <w:r w:rsidR="00550FEB" w:rsidRPr="005E3B43">
              <w:rPr>
                <w:lang w:eastAsia="en-US"/>
              </w:rPr>
              <w:t xml:space="preserve"> for the first registration or listing plus </w:t>
            </w:r>
            <w:r w:rsidRPr="005E3B43">
              <w:t>57</w:t>
            </w:r>
            <w:r w:rsidR="00550FEB" w:rsidRPr="005E3B43">
              <w:rPr>
                <w:lang w:eastAsia="en-US"/>
              </w:rPr>
              <w:t xml:space="preserve"> for each additional registration or listing</w:t>
            </w:r>
          </w:p>
        </w:tc>
      </w:tr>
      <w:tr w:rsidR="00550FEB" w:rsidRPr="005E3B43" w14:paraId="2C087AC6" w14:textId="77777777" w:rsidTr="005A786D">
        <w:tc>
          <w:tcPr>
            <w:tcW w:w="622" w:type="pct"/>
            <w:tcBorders>
              <w:top w:val="nil"/>
              <w:bottom w:val="nil"/>
            </w:tcBorders>
            <w:shd w:val="clear" w:color="auto" w:fill="auto"/>
          </w:tcPr>
          <w:p w14:paraId="0E33E5AD" w14:textId="77777777" w:rsidR="00550FEB" w:rsidRPr="005E3B43" w:rsidRDefault="00550FEB" w:rsidP="00763BCF">
            <w:pPr>
              <w:pStyle w:val="Tabletext"/>
            </w:pPr>
            <w:r w:rsidRPr="005E3B43">
              <w:t>6BB</w:t>
            </w:r>
          </w:p>
        </w:tc>
        <w:tc>
          <w:tcPr>
            <w:tcW w:w="3138" w:type="pct"/>
            <w:tcBorders>
              <w:top w:val="nil"/>
              <w:bottom w:val="nil"/>
            </w:tcBorders>
            <w:shd w:val="clear" w:color="auto" w:fill="auto"/>
          </w:tcPr>
          <w:p w14:paraId="77FEE6C0" w14:textId="77777777" w:rsidR="00550FEB" w:rsidRPr="005E3B43" w:rsidRDefault="00550FEB" w:rsidP="00763BCF">
            <w:pPr>
              <w:pStyle w:val="Tablea"/>
              <w:ind w:left="0" w:right="-52" w:firstLine="0"/>
            </w:pPr>
            <w:r w:rsidRPr="005E3B43">
              <w:t xml:space="preserve">Application fee for a request, under </w:t>
            </w:r>
            <w:r w:rsidR="00842CCD" w:rsidRPr="005E3B43">
              <w:t>subsection 3</w:t>
            </w:r>
            <w:r w:rsidRPr="005E3B43">
              <w:t>0AA(1) of the Act, for the revocation of the cancellation of the registration or listing of therapeutic goods:</w:t>
            </w:r>
          </w:p>
        </w:tc>
        <w:tc>
          <w:tcPr>
            <w:tcW w:w="1240" w:type="pct"/>
            <w:tcBorders>
              <w:top w:val="nil"/>
              <w:bottom w:val="nil"/>
            </w:tcBorders>
            <w:shd w:val="clear" w:color="auto" w:fill="auto"/>
          </w:tcPr>
          <w:p w14:paraId="08E749D7" w14:textId="77777777" w:rsidR="00550FEB" w:rsidRPr="005E3B43" w:rsidRDefault="00550FEB" w:rsidP="00763BCF">
            <w:pPr>
              <w:pStyle w:val="Tabletext"/>
              <w:rPr>
                <w:lang w:eastAsia="en-US"/>
              </w:rPr>
            </w:pPr>
          </w:p>
        </w:tc>
      </w:tr>
      <w:tr w:rsidR="00550FEB" w:rsidRPr="005E3B43" w14:paraId="53169586" w14:textId="77777777" w:rsidTr="005A786D">
        <w:tc>
          <w:tcPr>
            <w:tcW w:w="622" w:type="pct"/>
            <w:tcBorders>
              <w:top w:val="nil"/>
              <w:bottom w:val="nil"/>
            </w:tcBorders>
            <w:shd w:val="clear" w:color="auto" w:fill="auto"/>
          </w:tcPr>
          <w:p w14:paraId="5C5AC436" w14:textId="77777777" w:rsidR="00550FEB" w:rsidRPr="005E3B43" w:rsidRDefault="00550FEB" w:rsidP="00763BCF">
            <w:pPr>
              <w:pStyle w:val="Tabletext"/>
            </w:pPr>
          </w:p>
        </w:tc>
        <w:tc>
          <w:tcPr>
            <w:tcW w:w="3138" w:type="pct"/>
            <w:tcBorders>
              <w:top w:val="nil"/>
              <w:bottom w:val="nil"/>
            </w:tcBorders>
            <w:shd w:val="clear" w:color="auto" w:fill="auto"/>
          </w:tcPr>
          <w:p w14:paraId="212633FF" w14:textId="77777777" w:rsidR="00550FEB" w:rsidRPr="005E3B43" w:rsidRDefault="00550FEB" w:rsidP="00763BCF">
            <w:pPr>
              <w:pStyle w:val="Tablea"/>
              <w:ind w:right="-52"/>
            </w:pPr>
            <w:r w:rsidRPr="005E3B43">
              <w:t>(a) if the request relates to one registration or listing;</w:t>
            </w:r>
          </w:p>
        </w:tc>
        <w:tc>
          <w:tcPr>
            <w:tcW w:w="1240" w:type="pct"/>
            <w:tcBorders>
              <w:top w:val="nil"/>
              <w:bottom w:val="nil"/>
            </w:tcBorders>
            <w:shd w:val="clear" w:color="auto" w:fill="auto"/>
          </w:tcPr>
          <w:p w14:paraId="51A57216" w14:textId="77777777" w:rsidR="00550FEB" w:rsidRPr="005E3B43" w:rsidRDefault="002712A5" w:rsidP="00763BCF">
            <w:pPr>
              <w:pStyle w:val="Tabletext"/>
              <w:rPr>
                <w:lang w:eastAsia="en-US"/>
              </w:rPr>
            </w:pPr>
            <w:r w:rsidRPr="005E3B43">
              <w:t>181</w:t>
            </w:r>
          </w:p>
        </w:tc>
      </w:tr>
      <w:tr w:rsidR="00550FEB" w:rsidRPr="005E3B43" w14:paraId="5E7E5EA2" w14:textId="77777777" w:rsidTr="005A786D">
        <w:tc>
          <w:tcPr>
            <w:tcW w:w="622" w:type="pct"/>
            <w:tcBorders>
              <w:top w:val="nil"/>
              <w:bottom w:val="single" w:sz="4" w:space="0" w:color="auto"/>
            </w:tcBorders>
            <w:shd w:val="clear" w:color="auto" w:fill="auto"/>
          </w:tcPr>
          <w:p w14:paraId="24732639" w14:textId="77777777" w:rsidR="00550FEB" w:rsidRPr="005E3B43" w:rsidRDefault="00550FEB" w:rsidP="00763BCF">
            <w:pPr>
              <w:pStyle w:val="Tabletext"/>
            </w:pPr>
          </w:p>
        </w:tc>
        <w:tc>
          <w:tcPr>
            <w:tcW w:w="3138" w:type="pct"/>
            <w:tcBorders>
              <w:top w:val="nil"/>
              <w:bottom w:val="single" w:sz="4" w:space="0" w:color="auto"/>
            </w:tcBorders>
            <w:shd w:val="clear" w:color="auto" w:fill="auto"/>
          </w:tcPr>
          <w:p w14:paraId="708E2BCD" w14:textId="77777777" w:rsidR="00550FEB" w:rsidRPr="005E3B43" w:rsidRDefault="00550FEB" w:rsidP="00763BCF">
            <w:pPr>
              <w:pStyle w:val="Tablea"/>
              <w:ind w:right="-52"/>
            </w:pPr>
            <w:r w:rsidRPr="005E3B43">
              <w:t>(b) if the request relates to more than one registration or listing</w:t>
            </w:r>
          </w:p>
        </w:tc>
        <w:tc>
          <w:tcPr>
            <w:tcW w:w="1240" w:type="pct"/>
            <w:tcBorders>
              <w:top w:val="nil"/>
              <w:bottom w:val="single" w:sz="4" w:space="0" w:color="auto"/>
            </w:tcBorders>
            <w:shd w:val="clear" w:color="auto" w:fill="auto"/>
          </w:tcPr>
          <w:p w14:paraId="1933422C" w14:textId="77777777" w:rsidR="00550FEB" w:rsidRPr="005E3B43" w:rsidRDefault="002712A5" w:rsidP="00763BCF">
            <w:pPr>
              <w:pStyle w:val="Tabletext"/>
              <w:rPr>
                <w:lang w:eastAsia="en-US"/>
              </w:rPr>
            </w:pPr>
            <w:r w:rsidRPr="005E3B43">
              <w:t>181</w:t>
            </w:r>
            <w:r w:rsidR="00550FEB" w:rsidRPr="005E3B43">
              <w:rPr>
                <w:lang w:eastAsia="en-US"/>
              </w:rPr>
              <w:t xml:space="preserve"> for the first registration or listing plus </w:t>
            </w:r>
            <w:r w:rsidRPr="005E3B43">
              <w:t>57</w:t>
            </w:r>
            <w:r w:rsidR="00550FEB" w:rsidRPr="005E3B43">
              <w:rPr>
                <w:lang w:eastAsia="en-US"/>
              </w:rPr>
              <w:t xml:space="preserve"> for each additional registration or listing</w:t>
            </w:r>
          </w:p>
        </w:tc>
      </w:tr>
      <w:tr w:rsidR="00550FEB" w:rsidRPr="005E3B43" w14:paraId="40382A04" w14:textId="77777777" w:rsidTr="005A786D">
        <w:tc>
          <w:tcPr>
            <w:tcW w:w="622" w:type="pct"/>
            <w:tcBorders>
              <w:top w:val="single" w:sz="4" w:space="0" w:color="auto"/>
              <w:bottom w:val="single" w:sz="4" w:space="0" w:color="auto"/>
            </w:tcBorders>
            <w:shd w:val="clear" w:color="auto" w:fill="auto"/>
          </w:tcPr>
          <w:p w14:paraId="31016616" w14:textId="77777777" w:rsidR="00550FEB" w:rsidRPr="005E3B43" w:rsidRDefault="00550FEB" w:rsidP="00763BCF">
            <w:pPr>
              <w:pStyle w:val="Tabletext"/>
            </w:pPr>
            <w:r w:rsidRPr="005E3B43">
              <w:t>6C</w:t>
            </w:r>
          </w:p>
        </w:tc>
        <w:tc>
          <w:tcPr>
            <w:tcW w:w="3138" w:type="pct"/>
            <w:tcBorders>
              <w:top w:val="single" w:sz="4" w:space="0" w:color="auto"/>
              <w:bottom w:val="single" w:sz="4" w:space="0" w:color="auto"/>
            </w:tcBorders>
            <w:shd w:val="clear" w:color="auto" w:fill="auto"/>
          </w:tcPr>
          <w:p w14:paraId="1DB62FCA" w14:textId="77777777" w:rsidR="00550FEB" w:rsidRPr="005E3B43" w:rsidRDefault="00550FEB" w:rsidP="00763BCF">
            <w:pPr>
              <w:pStyle w:val="Tabletext"/>
              <w:ind w:right="-52"/>
            </w:pPr>
            <w:r w:rsidRPr="005E3B43">
              <w:t xml:space="preserve">Fee for evaluating documents and other information, relating to the safety of a medicine, obtained under </w:t>
            </w:r>
            <w:r w:rsidR="00842CCD" w:rsidRPr="005E3B43">
              <w:t>paragraph 3</w:t>
            </w:r>
            <w:r w:rsidRPr="005E3B43">
              <w:t>1(2)(f) of the Act (other than an evaluation to which item</w:t>
            </w:r>
            <w:r w:rsidR="004E6D00" w:rsidRPr="005E3B43">
              <w:t> </w:t>
            </w:r>
            <w:r w:rsidRPr="005E3B43">
              <w:t>6D applies)</w:t>
            </w:r>
          </w:p>
        </w:tc>
        <w:tc>
          <w:tcPr>
            <w:tcW w:w="1240" w:type="pct"/>
            <w:tcBorders>
              <w:top w:val="single" w:sz="4" w:space="0" w:color="auto"/>
              <w:bottom w:val="single" w:sz="4" w:space="0" w:color="auto"/>
            </w:tcBorders>
            <w:shd w:val="clear" w:color="auto" w:fill="auto"/>
          </w:tcPr>
          <w:p w14:paraId="71540B08" w14:textId="77777777" w:rsidR="00550FEB" w:rsidRPr="005E3B43" w:rsidRDefault="009C5A22" w:rsidP="00763BCF">
            <w:pPr>
              <w:pStyle w:val="Tabletext"/>
            </w:pPr>
            <w:r w:rsidRPr="005E3B43">
              <w:t>9,447</w:t>
            </w:r>
          </w:p>
        </w:tc>
      </w:tr>
      <w:tr w:rsidR="00550FEB" w:rsidRPr="005E3B43" w14:paraId="534FEFE8" w14:textId="77777777" w:rsidTr="005A786D">
        <w:tc>
          <w:tcPr>
            <w:tcW w:w="622" w:type="pct"/>
            <w:tcBorders>
              <w:top w:val="single" w:sz="4" w:space="0" w:color="auto"/>
              <w:bottom w:val="nil"/>
            </w:tcBorders>
            <w:shd w:val="clear" w:color="auto" w:fill="auto"/>
          </w:tcPr>
          <w:p w14:paraId="45B0BBE3" w14:textId="77777777" w:rsidR="00550FEB" w:rsidRPr="005E3B43" w:rsidRDefault="00550FEB" w:rsidP="00763BCF">
            <w:pPr>
              <w:pStyle w:val="Tabletext"/>
            </w:pPr>
            <w:r w:rsidRPr="005E3B43">
              <w:t>6D</w:t>
            </w:r>
          </w:p>
        </w:tc>
        <w:tc>
          <w:tcPr>
            <w:tcW w:w="3138" w:type="pct"/>
            <w:tcBorders>
              <w:top w:val="single" w:sz="4" w:space="0" w:color="auto"/>
              <w:bottom w:val="nil"/>
            </w:tcBorders>
            <w:shd w:val="clear" w:color="auto" w:fill="auto"/>
          </w:tcPr>
          <w:p w14:paraId="2824C48A" w14:textId="77777777" w:rsidR="00550FEB" w:rsidRPr="005E3B43" w:rsidRDefault="00550FEB" w:rsidP="00763BCF">
            <w:pPr>
              <w:pStyle w:val="Tabletext"/>
              <w:ind w:right="-52"/>
            </w:pPr>
            <w:r w:rsidRPr="005E3B43">
              <w:t>Fee for evaluating documents and other information, relating to the safety, quality and efficacy of a medicine, obtained under paragraphs 31(2)(f) and (h) of the Act, if the total number of pages of the evaluation documentation is:</w:t>
            </w:r>
          </w:p>
        </w:tc>
        <w:tc>
          <w:tcPr>
            <w:tcW w:w="1240" w:type="pct"/>
            <w:tcBorders>
              <w:top w:val="single" w:sz="4" w:space="0" w:color="auto"/>
              <w:bottom w:val="nil"/>
            </w:tcBorders>
            <w:shd w:val="clear" w:color="auto" w:fill="auto"/>
          </w:tcPr>
          <w:p w14:paraId="2594AA24" w14:textId="77777777" w:rsidR="00550FEB" w:rsidRPr="005E3B43" w:rsidRDefault="00550FEB" w:rsidP="00763BCF">
            <w:pPr>
              <w:pStyle w:val="Tabletext"/>
            </w:pPr>
          </w:p>
        </w:tc>
      </w:tr>
      <w:tr w:rsidR="00550FEB" w:rsidRPr="005E3B43" w14:paraId="0F44A2CB" w14:textId="77777777" w:rsidTr="005A786D">
        <w:tc>
          <w:tcPr>
            <w:tcW w:w="622" w:type="pct"/>
            <w:tcBorders>
              <w:top w:val="nil"/>
              <w:bottom w:val="nil"/>
            </w:tcBorders>
            <w:shd w:val="clear" w:color="auto" w:fill="auto"/>
          </w:tcPr>
          <w:p w14:paraId="3CB38667" w14:textId="77777777" w:rsidR="00550FEB" w:rsidRPr="005E3B43" w:rsidRDefault="00550FEB" w:rsidP="00763BCF">
            <w:pPr>
              <w:pStyle w:val="Tabletext"/>
            </w:pPr>
          </w:p>
        </w:tc>
        <w:tc>
          <w:tcPr>
            <w:tcW w:w="3138" w:type="pct"/>
            <w:tcBorders>
              <w:top w:val="nil"/>
              <w:bottom w:val="nil"/>
            </w:tcBorders>
            <w:shd w:val="clear" w:color="auto" w:fill="auto"/>
          </w:tcPr>
          <w:p w14:paraId="4E37DF34" w14:textId="77777777" w:rsidR="00550FEB" w:rsidRPr="005E3B43" w:rsidRDefault="00550FEB" w:rsidP="00763BCF">
            <w:pPr>
              <w:pStyle w:val="Tablea"/>
              <w:ind w:right="-52"/>
            </w:pPr>
            <w:r w:rsidRPr="005E3B43">
              <w:t>(a) not over 50 pages</w:t>
            </w:r>
          </w:p>
        </w:tc>
        <w:tc>
          <w:tcPr>
            <w:tcW w:w="1240" w:type="pct"/>
            <w:tcBorders>
              <w:top w:val="nil"/>
              <w:bottom w:val="nil"/>
            </w:tcBorders>
            <w:shd w:val="clear" w:color="auto" w:fill="auto"/>
          </w:tcPr>
          <w:p w14:paraId="507ABA29" w14:textId="77777777" w:rsidR="00550FEB" w:rsidRPr="005E3B43" w:rsidRDefault="009C5A22" w:rsidP="00763BCF">
            <w:pPr>
              <w:pStyle w:val="Tabletext"/>
            </w:pPr>
            <w:r w:rsidRPr="005E3B43">
              <w:t>12,431</w:t>
            </w:r>
          </w:p>
        </w:tc>
      </w:tr>
      <w:tr w:rsidR="00550FEB" w:rsidRPr="005E3B43" w14:paraId="0074DC1D" w14:textId="77777777" w:rsidTr="005A786D">
        <w:tc>
          <w:tcPr>
            <w:tcW w:w="622" w:type="pct"/>
            <w:tcBorders>
              <w:top w:val="nil"/>
              <w:bottom w:val="nil"/>
            </w:tcBorders>
            <w:shd w:val="clear" w:color="auto" w:fill="auto"/>
          </w:tcPr>
          <w:p w14:paraId="57260ECD" w14:textId="77777777" w:rsidR="00550FEB" w:rsidRPr="005E3B43" w:rsidRDefault="00550FEB" w:rsidP="00763BCF">
            <w:pPr>
              <w:pStyle w:val="Tabletext"/>
            </w:pPr>
          </w:p>
        </w:tc>
        <w:tc>
          <w:tcPr>
            <w:tcW w:w="3138" w:type="pct"/>
            <w:tcBorders>
              <w:top w:val="nil"/>
              <w:bottom w:val="nil"/>
            </w:tcBorders>
            <w:shd w:val="clear" w:color="auto" w:fill="auto"/>
          </w:tcPr>
          <w:p w14:paraId="6A12AC21" w14:textId="77777777" w:rsidR="00550FEB" w:rsidRPr="005E3B43" w:rsidRDefault="00550FEB" w:rsidP="00763BCF">
            <w:pPr>
              <w:pStyle w:val="Tablea"/>
              <w:ind w:right="-52"/>
            </w:pPr>
            <w:r w:rsidRPr="005E3B43">
              <w:t>(b) over 50 pages, but not over 250 pages</w:t>
            </w:r>
          </w:p>
        </w:tc>
        <w:tc>
          <w:tcPr>
            <w:tcW w:w="1240" w:type="pct"/>
            <w:tcBorders>
              <w:top w:val="nil"/>
              <w:bottom w:val="nil"/>
            </w:tcBorders>
            <w:shd w:val="clear" w:color="auto" w:fill="auto"/>
          </w:tcPr>
          <w:p w14:paraId="69627023" w14:textId="77777777" w:rsidR="00550FEB" w:rsidRPr="005E3B43" w:rsidRDefault="009C5A22" w:rsidP="00763BCF">
            <w:pPr>
              <w:pStyle w:val="Tabletext"/>
            </w:pPr>
            <w:r w:rsidRPr="005E3B43">
              <w:t>16,047</w:t>
            </w:r>
          </w:p>
        </w:tc>
      </w:tr>
      <w:tr w:rsidR="00550FEB" w:rsidRPr="005E3B43" w14:paraId="68D1FC1F" w14:textId="77777777" w:rsidTr="005A786D">
        <w:tc>
          <w:tcPr>
            <w:tcW w:w="622" w:type="pct"/>
            <w:tcBorders>
              <w:top w:val="nil"/>
              <w:bottom w:val="nil"/>
            </w:tcBorders>
            <w:shd w:val="clear" w:color="auto" w:fill="auto"/>
          </w:tcPr>
          <w:p w14:paraId="1E2CFF82" w14:textId="77777777" w:rsidR="00550FEB" w:rsidRPr="005E3B43" w:rsidRDefault="00550FEB" w:rsidP="00763BCF">
            <w:pPr>
              <w:pStyle w:val="Tabletext"/>
            </w:pPr>
          </w:p>
        </w:tc>
        <w:tc>
          <w:tcPr>
            <w:tcW w:w="3138" w:type="pct"/>
            <w:tcBorders>
              <w:top w:val="nil"/>
              <w:bottom w:val="nil"/>
            </w:tcBorders>
            <w:shd w:val="clear" w:color="auto" w:fill="auto"/>
          </w:tcPr>
          <w:p w14:paraId="3F52CFD5" w14:textId="77777777" w:rsidR="00550FEB" w:rsidRPr="005E3B43" w:rsidRDefault="00550FEB" w:rsidP="00763BCF">
            <w:pPr>
              <w:pStyle w:val="Tablea"/>
              <w:ind w:right="-52"/>
            </w:pPr>
            <w:r w:rsidRPr="005E3B43">
              <w:t>(c) over 250 pages, but not over 500 pages</w:t>
            </w:r>
          </w:p>
        </w:tc>
        <w:tc>
          <w:tcPr>
            <w:tcW w:w="1240" w:type="pct"/>
            <w:tcBorders>
              <w:top w:val="nil"/>
              <w:bottom w:val="nil"/>
            </w:tcBorders>
            <w:shd w:val="clear" w:color="auto" w:fill="auto"/>
          </w:tcPr>
          <w:p w14:paraId="66FBE6CC" w14:textId="77777777" w:rsidR="00550FEB" w:rsidRPr="005E3B43" w:rsidRDefault="002751CC" w:rsidP="00763BCF">
            <w:pPr>
              <w:pStyle w:val="Tabletext"/>
            </w:pPr>
            <w:r w:rsidRPr="005E3B43">
              <w:t>21,923</w:t>
            </w:r>
          </w:p>
        </w:tc>
      </w:tr>
      <w:tr w:rsidR="00550FEB" w:rsidRPr="005E3B43" w14:paraId="6F6A88C8" w14:textId="77777777" w:rsidTr="005A786D">
        <w:tc>
          <w:tcPr>
            <w:tcW w:w="622" w:type="pct"/>
            <w:tcBorders>
              <w:top w:val="nil"/>
              <w:bottom w:val="nil"/>
            </w:tcBorders>
            <w:shd w:val="clear" w:color="auto" w:fill="auto"/>
          </w:tcPr>
          <w:p w14:paraId="5AC20D33" w14:textId="77777777" w:rsidR="00550FEB" w:rsidRPr="005E3B43" w:rsidRDefault="00550FEB" w:rsidP="00763BCF">
            <w:pPr>
              <w:pStyle w:val="Tabletext"/>
            </w:pPr>
          </w:p>
        </w:tc>
        <w:tc>
          <w:tcPr>
            <w:tcW w:w="3138" w:type="pct"/>
            <w:tcBorders>
              <w:top w:val="nil"/>
              <w:bottom w:val="nil"/>
            </w:tcBorders>
            <w:shd w:val="clear" w:color="auto" w:fill="auto"/>
          </w:tcPr>
          <w:p w14:paraId="6181327F" w14:textId="77777777" w:rsidR="00550FEB" w:rsidRPr="005E3B43" w:rsidRDefault="00550FEB" w:rsidP="00763BCF">
            <w:pPr>
              <w:pStyle w:val="Tablea"/>
              <w:ind w:right="-52"/>
            </w:pPr>
            <w:r w:rsidRPr="005E3B43">
              <w:t>(d) over 500 pages, but not over 1</w:t>
            </w:r>
            <w:r w:rsidR="004E6D00" w:rsidRPr="005E3B43">
              <w:t> </w:t>
            </w:r>
            <w:r w:rsidRPr="005E3B43">
              <w:t>000 pages</w:t>
            </w:r>
          </w:p>
        </w:tc>
        <w:tc>
          <w:tcPr>
            <w:tcW w:w="1240" w:type="pct"/>
            <w:tcBorders>
              <w:top w:val="nil"/>
              <w:bottom w:val="nil"/>
            </w:tcBorders>
            <w:shd w:val="clear" w:color="auto" w:fill="auto"/>
          </w:tcPr>
          <w:p w14:paraId="347B0B3A" w14:textId="77777777" w:rsidR="00550FEB" w:rsidRPr="005E3B43" w:rsidRDefault="002751CC" w:rsidP="00763BCF">
            <w:pPr>
              <w:pStyle w:val="Tabletext"/>
            </w:pPr>
            <w:r w:rsidRPr="005E3B43">
              <w:t>29,043</w:t>
            </w:r>
          </w:p>
        </w:tc>
      </w:tr>
      <w:tr w:rsidR="00550FEB" w:rsidRPr="005E3B43" w14:paraId="0845706E" w14:textId="77777777" w:rsidTr="005A786D">
        <w:tc>
          <w:tcPr>
            <w:tcW w:w="622" w:type="pct"/>
            <w:tcBorders>
              <w:top w:val="nil"/>
              <w:bottom w:val="nil"/>
            </w:tcBorders>
            <w:shd w:val="clear" w:color="auto" w:fill="auto"/>
          </w:tcPr>
          <w:p w14:paraId="650E6341" w14:textId="77777777" w:rsidR="00550FEB" w:rsidRPr="005E3B43" w:rsidRDefault="00550FEB" w:rsidP="00763BCF">
            <w:pPr>
              <w:pStyle w:val="Tabletext"/>
            </w:pPr>
          </w:p>
        </w:tc>
        <w:tc>
          <w:tcPr>
            <w:tcW w:w="3138" w:type="pct"/>
            <w:tcBorders>
              <w:top w:val="nil"/>
              <w:bottom w:val="nil"/>
            </w:tcBorders>
            <w:shd w:val="clear" w:color="auto" w:fill="auto"/>
          </w:tcPr>
          <w:p w14:paraId="7402A587" w14:textId="77777777" w:rsidR="00550FEB" w:rsidRPr="005E3B43" w:rsidRDefault="00550FEB" w:rsidP="00763BCF">
            <w:pPr>
              <w:pStyle w:val="Tablea"/>
              <w:ind w:right="-52"/>
            </w:pPr>
            <w:r w:rsidRPr="005E3B43">
              <w:t>(e) over 1</w:t>
            </w:r>
            <w:r w:rsidR="004E6D00" w:rsidRPr="005E3B43">
              <w:t> </w:t>
            </w:r>
            <w:r w:rsidRPr="005E3B43">
              <w:t>000 pages, but not over 2</w:t>
            </w:r>
            <w:r w:rsidR="004E6D00" w:rsidRPr="005E3B43">
              <w:t> </w:t>
            </w:r>
            <w:r w:rsidRPr="005E3B43">
              <w:t>000 pages</w:t>
            </w:r>
          </w:p>
        </w:tc>
        <w:tc>
          <w:tcPr>
            <w:tcW w:w="1240" w:type="pct"/>
            <w:tcBorders>
              <w:top w:val="nil"/>
              <w:bottom w:val="nil"/>
            </w:tcBorders>
            <w:shd w:val="clear" w:color="auto" w:fill="auto"/>
          </w:tcPr>
          <w:p w14:paraId="249521FB" w14:textId="77777777" w:rsidR="00550FEB" w:rsidRPr="005E3B43" w:rsidRDefault="002751CC" w:rsidP="00763BCF">
            <w:pPr>
              <w:pStyle w:val="Tabletext"/>
            </w:pPr>
            <w:r w:rsidRPr="005E3B43">
              <w:t>43,508</w:t>
            </w:r>
          </w:p>
        </w:tc>
      </w:tr>
      <w:tr w:rsidR="00550FEB" w:rsidRPr="005E3B43" w14:paraId="2850EFC2" w14:textId="77777777" w:rsidTr="005A786D">
        <w:tc>
          <w:tcPr>
            <w:tcW w:w="622" w:type="pct"/>
            <w:tcBorders>
              <w:top w:val="nil"/>
              <w:bottom w:val="nil"/>
            </w:tcBorders>
            <w:shd w:val="clear" w:color="auto" w:fill="auto"/>
          </w:tcPr>
          <w:p w14:paraId="6AF6E20F" w14:textId="77777777" w:rsidR="00550FEB" w:rsidRPr="005E3B43" w:rsidRDefault="00550FEB" w:rsidP="00763BCF">
            <w:pPr>
              <w:pStyle w:val="Tabletext"/>
            </w:pPr>
          </w:p>
        </w:tc>
        <w:tc>
          <w:tcPr>
            <w:tcW w:w="3138" w:type="pct"/>
            <w:tcBorders>
              <w:top w:val="nil"/>
              <w:bottom w:val="nil"/>
            </w:tcBorders>
            <w:shd w:val="clear" w:color="auto" w:fill="auto"/>
          </w:tcPr>
          <w:p w14:paraId="1C4B38D6" w14:textId="77777777" w:rsidR="00550FEB" w:rsidRPr="005E3B43" w:rsidRDefault="00550FEB" w:rsidP="00763BCF">
            <w:pPr>
              <w:pStyle w:val="Tablea"/>
              <w:ind w:right="-52"/>
            </w:pPr>
            <w:r w:rsidRPr="005E3B43">
              <w:t>(f) over 2</w:t>
            </w:r>
            <w:r w:rsidR="004E6D00" w:rsidRPr="005E3B43">
              <w:t> </w:t>
            </w:r>
            <w:r w:rsidRPr="005E3B43">
              <w:t>000 pages, but not over 3</w:t>
            </w:r>
            <w:r w:rsidR="004E6D00" w:rsidRPr="005E3B43">
              <w:t> </w:t>
            </w:r>
            <w:r w:rsidRPr="005E3B43">
              <w:t>000 pages</w:t>
            </w:r>
          </w:p>
        </w:tc>
        <w:tc>
          <w:tcPr>
            <w:tcW w:w="1240" w:type="pct"/>
            <w:tcBorders>
              <w:top w:val="nil"/>
              <w:bottom w:val="nil"/>
            </w:tcBorders>
            <w:shd w:val="clear" w:color="auto" w:fill="auto"/>
          </w:tcPr>
          <w:p w14:paraId="0CD02610" w14:textId="77777777" w:rsidR="00550FEB" w:rsidRPr="005E3B43" w:rsidRDefault="0066241E" w:rsidP="00763BCF">
            <w:pPr>
              <w:pStyle w:val="Tabletext"/>
            </w:pPr>
            <w:r w:rsidRPr="005E3B43">
              <w:t>57,973</w:t>
            </w:r>
          </w:p>
        </w:tc>
      </w:tr>
      <w:tr w:rsidR="00550FEB" w:rsidRPr="005E3B43" w14:paraId="02AEF8D0" w14:textId="77777777" w:rsidTr="005A786D">
        <w:tc>
          <w:tcPr>
            <w:tcW w:w="622" w:type="pct"/>
            <w:tcBorders>
              <w:top w:val="nil"/>
              <w:bottom w:val="single" w:sz="4" w:space="0" w:color="auto"/>
            </w:tcBorders>
            <w:shd w:val="clear" w:color="auto" w:fill="auto"/>
          </w:tcPr>
          <w:p w14:paraId="440AA4F1" w14:textId="77777777" w:rsidR="00550FEB" w:rsidRPr="005E3B43" w:rsidRDefault="00550FEB" w:rsidP="00763BCF">
            <w:pPr>
              <w:pStyle w:val="Tabletext"/>
            </w:pPr>
          </w:p>
        </w:tc>
        <w:tc>
          <w:tcPr>
            <w:tcW w:w="3138" w:type="pct"/>
            <w:tcBorders>
              <w:top w:val="nil"/>
              <w:bottom w:val="single" w:sz="4" w:space="0" w:color="auto"/>
            </w:tcBorders>
            <w:shd w:val="clear" w:color="auto" w:fill="auto"/>
          </w:tcPr>
          <w:p w14:paraId="6766859E" w14:textId="77777777" w:rsidR="00550FEB" w:rsidRPr="005E3B43" w:rsidRDefault="00550FEB" w:rsidP="00763BCF">
            <w:pPr>
              <w:pStyle w:val="Tablea"/>
              <w:ind w:right="-52"/>
            </w:pPr>
            <w:r w:rsidRPr="005E3B43">
              <w:t>(g) over 3</w:t>
            </w:r>
            <w:r w:rsidR="004E6D00" w:rsidRPr="005E3B43">
              <w:t> </w:t>
            </w:r>
            <w:r w:rsidRPr="005E3B43">
              <w:t>000 pages</w:t>
            </w:r>
          </w:p>
        </w:tc>
        <w:tc>
          <w:tcPr>
            <w:tcW w:w="1240" w:type="pct"/>
            <w:tcBorders>
              <w:top w:val="nil"/>
              <w:bottom w:val="single" w:sz="4" w:space="0" w:color="auto"/>
            </w:tcBorders>
            <w:shd w:val="clear" w:color="auto" w:fill="auto"/>
          </w:tcPr>
          <w:p w14:paraId="6320F6F5" w14:textId="77777777" w:rsidR="00550FEB" w:rsidRPr="005E3B43" w:rsidRDefault="0066241E" w:rsidP="00763BCF">
            <w:pPr>
              <w:pStyle w:val="Tabletext"/>
            </w:pPr>
            <w:r w:rsidRPr="005E3B43">
              <w:t>87,016</w:t>
            </w:r>
          </w:p>
        </w:tc>
      </w:tr>
      <w:tr w:rsidR="00550FEB" w:rsidRPr="005E3B43" w14:paraId="2F40916B" w14:textId="77777777" w:rsidTr="005A786D">
        <w:tc>
          <w:tcPr>
            <w:tcW w:w="622" w:type="pct"/>
            <w:tcBorders>
              <w:top w:val="single" w:sz="4" w:space="0" w:color="auto"/>
              <w:bottom w:val="nil"/>
            </w:tcBorders>
            <w:shd w:val="clear" w:color="auto" w:fill="auto"/>
          </w:tcPr>
          <w:p w14:paraId="0D8BF4F2" w14:textId="77777777" w:rsidR="00550FEB" w:rsidRPr="005E3B43" w:rsidRDefault="00550FEB" w:rsidP="00763BCF">
            <w:pPr>
              <w:pStyle w:val="Tabletext"/>
              <w:rPr>
                <w:rFonts w:ascii="Arial" w:hAnsi="Arial" w:cs="Arial"/>
              </w:rPr>
            </w:pPr>
            <w:r w:rsidRPr="005E3B43">
              <w:t>7A</w:t>
            </w:r>
          </w:p>
        </w:tc>
        <w:tc>
          <w:tcPr>
            <w:tcW w:w="3138" w:type="pct"/>
            <w:tcBorders>
              <w:top w:val="single" w:sz="4" w:space="0" w:color="auto"/>
              <w:bottom w:val="nil"/>
            </w:tcBorders>
            <w:shd w:val="clear" w:color="auto" w:fill="auto"/>
          </w:tcPr>
          <w:p w14:paraId="4D408FED" w14:textId="77777777" w:rsidR="00550FEB" w:rsidRPr="005E3B43" w:rsidRDefault="00550FEB" w:rsidP="00763BCF">
            <w:pPr>
              <w:pStyle w:val="Tabletext"/>
              <w:ind w:right="-52"/>
            </w:pPr>
            <w:r w:rsidRPr="005E3B43">
              <w:t>Fee for evaluation under paragraph</w:t>
            </w:r>
            <w:r w:rsidR="004E6D00" w:rsidRPr="005E3B43">
              <w:t> </w:t>
            </w:r>
            <w:r w:rsidRPr="005E3B43">
              <w:t>16GA(1)(a):</w:t>
            </w:r>
          </w:p>
        </w:tc>
        <w:tc>
          <w:tcPr>
            <w:tcW w:w="1240" w:type="pct"/>
            <w:tcBorders>
              <w:top w:val="single" w:sz="4" w:space="0" w:color="auto"/>
              <w:bottom w:val="nil"/>
            </w:tcBorders>
            <w:shd w:val="clear" w:color="auto" w:fill="auto"/>
          </w:tcPr>
          <w:p w14:paraId="40DE67CA" w14:textId="77777777" w:rsidR="00550FEB" w:rsidRPr="005E3B43" w:rsidRDefault="00550FEB" w:rsidP="00763BCF">
            <w:pPr>
              <w:pStyle w:val="Tabletext"/>
            </w:pPr>
          </w:p>
        </w:tc>
      </w:tr>
      <w:tr w:rsidR="00550FEB" w:rsidRPr="005E3B43" w14:paraId="13B4DECC" w14:textId="77777777" w:rsidTr="005A786D">
        <w:trPr>
          <w:trHeight w:val="20"/>
        </w:trPr>
        <w:tc>
          <w:tcPr>
            <w:tcW w:w="622" w:type="pct"/>
            <w:tcBorders>
              <w:top w:val="nil"/>
              <w:bottom w:val="nil"/>
            </w:tcBorders>
            <w:shd w:val="clear" w:color="auto" w:fill="auto"/>
          </w:tcPr>
          <w:p w14:paraId="5B1771F6" w14:textId="77777777" w:rsidR="00550FEB" w:rsidRPr="005E3B43" w:rsidRDefault="00550FEB" w:rsidP="00763BCF">
            <w:pPr>
              <w:pStyle w:val="Tabletext"/>
            </w:pPr>
          </w:p>
        </w:tc>
        <w:tc>
          <w:tcPr>
            <w:tcW w:w="3138" w:type="pct"/>
            <w:tcBorders>
              <w:top w:val="nil"/>
              <w:bottom w:val="nil"/>
            </w:tcBorders>
            <w:shd w:val="clear" w:color="auto" w:fill="auto"/>
          </w:tcPr>
          <w:p w14:paraId="2D7BDE22" w14:textId="77777777" w:rsidR="00550FEB" w:rsidRPr="005E3B43" w:rsidRDefault="00550FEB" w:rsidP="00763BCF">
            <w:pPr>
              <w:pStyle w:val="Tablea"/>
              <w:ind w:right="-52"/>
            </w:pPr>
            <w:r w:rsidRPr="005E3B43">
              <w:t>(a) if the evaluation documentation does not contain clinical or toxicological information</w:t>
            </w:r>
          </w:p>
          <w:p w14:paraId="04058A2F" w14:textId="77777777" w:rsidR="00550FEB" w:rsidRPr="005E3B43" w:rsidRDefault="00550FEB" w:rsidP="00763BCF">
            <w:pPr>
              <w:pStyle w:val="Tablea"/>
              <w:ind w:right="-52"/>
            </w:pPr>
            <w:r w:rsidRPr="005E3B43">
              <w:t>(b) if the evaluation documentation contains clinical or toxicological information, and the total number of pages is:</w:t>
            </w:r>
          </w:p>
        </w:tc>
        <w:tc>
          <w:tcPr>
            <w:tcW w:w="1240" w:type="pct"/>
            <w:tcBorders>
              <w:top w:val="nil"/>
              <w:bottom w:val="nil"/>
            </w:tcBorders>
            <w:shd w:val="clear" w:color="auto" w:fill="auto"/>
          </w:tcPr>
          <w:p w14:paraId="6392D9A8" w14:textId="77777777" w:rsidR="00550FEB" w:rsidRPr="005E3B43" w:rsidRDefault="0066241E" w:rsidP="00763BCF">
            <w:pPr>
              <w:pStyle w:val="Tabletext"/>
              <w:rPr>
                <w:snapToGrid w:val="0"/>
              </w:rPr>
            </w:pPr>
            <w:r w:rsidRPr="005E3B43">
              <w:t>12,431</w:t>
            </w:r>
          </w:p>
        </w:tc>
      </w:tr>
      <w:tr w:rsidR="00550FEB" w:rsidRPr="005E3B43" w14:paraId="51535826" w14:textId="77777777" w:rsidTr="005A786D">
        <w:tc>
          <w:tcPr>
            <w:tcW w:w="622" w:type="pct"/>
            <w:tcBorders>
              <w:top w:val="nil"/>
              <w:bottom w:val="nil"/>
            </w:tcBorders>
            <w:shd w:val="clear" w:color="auto" w:fill="auto"/>
          </w:tcPr>
          <w:p w14:paraId="1CD3E6A4" w14:textId="77777777" w:rsidR="00550FEB" w:rsidRPr="005E3B43" w:rsidRDefault="00550FEB" w:rsidP="00763BCF">
            <w:pPr>
              <w:pStyle w:val="Tabletext"/>
            </w:pPr>
          </w:p>
        </w:tc>
        <w:tc>
          <w:tcPr>
            <w:tcW w:w="3138" w:type="pct"/>
            <w:tcBorders>
              <w:top w:val="nil"/>
              <w:bottom w:val="nil"/>
            </w:tcBorders>
            <w:shd w:val="clear" w:color="auto" w:fill="auto"/>
          </w:tcPr>
          <w:p w14:paraId="0843F3B4" w14:textId="77777777" w:rsidR="00550FEB" w:rsidRPr="005E3B43" w:rsidRDefault="00550FEB" w:rsidP="00763BCF">
            <w:pPr>
              <w:pStyle w:val="Tablei"/>
              <w:ind w:right="-52"/>
            </w:pPr>
            <w:r w:rsidRPr="005E3B43">
              <w:t>(i) not over 50 pages</w:t>
            </w:r>
          </w:p>
        </w:tc>
        <w:tc>
          <w:tcPr>
            <w:tcW w:w="1240" w:type="pct"/>
            <w:tcBorders>
              <w:top w:val="nil"/>
              <w:bottom w:val="nil"/>
            </w:tcBorders>
            <w:shd w:val="clear" w:color="auto" w:fill="auto"/>
          </w:tcPr>
          <w:p w14:paraId="31E8F6DD" w14:textId="77777777" w:rsidR="00550FEB" w:rsidRPr="005E3B43" w:rsidRDefault="00F926E5" w:rsidP="00763BCF">
            <w:pPr>
              <w:pStyle w:val="Tabletext"/>
            </w:pPr>
            <w:r w:rsidRPr="005E3B43">
              <w:t>12,431</w:t>
            </w:r>
          </w:p>
        </w:tc>
      </w:tr>
      <w:tr w:rsidR="00550FEB" w:rsidRPr="005E3B43" w14:paraId="13FB35CA" w14:textId="77777777" w:rsidTr="005A786D">
        <w:tc>
          <w:tcPr>
            <w:tcW w:w="622" w:type="pct"/>
            <w:tcBorders>
              <w:top w:val="nil"/>
              <w:bottom w:val="nil"/>
            </w:tcBorders>
            <w:shd w:val="clear" w:color="auto" w:fill="auto"/>
          </w:tcPr>
          <w:p w14:paraId="056977CF" w14:textId="77777777" w:rsidR="00550FEB" w:rsidRPr="005E3B43" w:rsidRDefault="00550FEB" w:rsidP="00763BCF">
            <w:pPr>
              <w:pStyle w:val="Tabletext"/>
            </w:pPr>
          </w:p>
        </w:tc>
        <w:tc>
          <w:tcPr>
            <w:tcW w:w="3138" w:type="pct"/>
            <w:tcBorders>
              <w:top w:val="nil"/>
              <w:bottom w:val="nil"/>
            </w:tcBorders>
            <w:shd w:val="clear" w:color="auto" w:fill="auto"/>
          </w:tcPr>
          <w:p w14:paraId="3A25F70C" w14:textId="77777777" w:rsidR="00550FEB" w:rsidRPr="005E3B43" w:rsidRDefault="00550FEB" w:rsidP="00763BCF">
            <w:pPr>
              <w:pStyle w:val="Tablei"/>
              <w:ind w:right="-52"/>
            </w:pPr>
            <w:r w:rsidRPr="005E3B43">
              <w:t>(ii) over 50 pages, but not over 250 pages</w:t>
            </w:r>
          </w:p>
        </w:tc>
        <w:tc>
          <w:tcPr>
            <w:tcW w:w="1240" w:type="pct"/>
            <w:tcBorders>
              <w:top w:val="nil"/>
              <w:bottom w:val="nil"/>
            </w:tcBorders>
            <w:shd w:val="clear" w:color="auto" w:fill="auto"/>
          </w:tcPr>
          <w:p w14:paraId="5D835FB3" w14:textId="77777777" w:rsidR="00550FEB" w:rsidRPr="005E3B43" w:rsidRDefault="00563105" w:rsidP="00763BCF">
            <w:pPr>
              <w:pStyle w:val="Tabletext"/>
              <w:rPr>
                <w:snapToGrid w:val="0"/>
              </w:rPr>
            </w:pPr>
            <w:r w:rsidRPr="005E3B43">
              <w:t>16,047</w:t>
            </w:r>
          </w:p>
        </w:tc>
      </w:tr>
      <w:tr w:rsidR="00550FEB" w:rsidRPr="005E3B43" w14:paraId="470B2B17" w14:textId="77777777" w:rsidTr="005A786D">
        <w:tc>
          <w:tcPr>
            <w:tcW w:w="622" w:type="pct"/>
            <w:tcBorders>
              <w:top w:val="nil"/>
              <w:bottom w:val="nil"/>
            </w:tcBorders>
            <w:shd w:val="clear" w:color="auto" w:fill="auto"/>
          </w:tcPr>
          <w:p w14:paraId="274B3F1B" w14:textId="77777777" w:rsidR="00550FEB" w:rsidRPr="005E3B43" w:rsidRDefault="00550FEB" w:rsidP="00763BCF">
            <w:pPr>
              <w:pStyle w:val="Tabletext"/>
            </w:pPr>
          </w:p>
        </w:tc>
        <w:tc>
          <w:tcPr>
            <w:tcW w:w="3138" w:type="pct"/>
            <w:tcBorders>
              <w:top w:val="nil"/>
              <w:bottom w:val="nil"/>
            </w:tcBorders>
            <w:shd w:val="clear" w:color="auto" w:fill="auto"/>
          </w:tcPr>
          <w:p w14:paraId="0CC0B58B" w14:textId="77777777" w:rsidR="00550FEB" w:rsidRPr="005E3B43" w:rsidRDefault="00550FEB" w:rsidP="00763BCF">
            <w:pPr>
              <w:pStyle w:val="Tablei"/>
              <w:ind w:right="-52"/>
            </w:pPr>
            <w:r w:rsidRPr="005E3B43">
              <w:t>(iii) over 250 pages, but not over 500 pages</w:t>
            </w:r>
          </w:p>
        </w:tc>
        <w:tc>
          <w:tcPr>
            <w:tcW w:w="1240" w:type="pct"/>
            <w:tcBorders>
              <w:top w:val="nil"/>
              <w:bottom w:val="nil"/>
            </w:tcBorders>
            <w:shd w:val="clear" w:color="auto" w:fill="auto"/>
          </w:tcPr>
          <w:p w14:paraId="58015AF4" w14:textId="77777777" w:rsidR="00550FEB" w:rsidRPr="005E3B43" w:rsidRDefault="00563105" w:rsidP="00763BCF">
            <w:pPr>
              <w:pStyle w:val="Tabletext"/>
              <w:rPr>
                <w:snapToGrid w:val="0"/>
              </w:rPr>
            </w:pPr>
            <w:r w:rsidRPr="005E3B43">
              <w:t>21,923</w:t>
            </w:r>
          </w:p>
        </w:tc>
      </w:tr>
      <w:tr w:rsidR="00550FEB" w:rsidRPr="005E3B43" w14:paraId="7A401924" w14:textId="77777777" w:rsidTr="005A786D">
        <w:tc>
          <w:tcPr>
            <w:tcW w:w="622" w:type="pct"/>
            <w:tcBorders>
              <w:top w:val="nil"/>
              <w:bottom w:val="nil"/>
            </w:tcBorders>
            <w:shd w:val="clear" w:color="auto" w:fill="auto"/>
          </w:tcPr>
          <w:p w14:paraId="1280F324" w14:textId="77777777" w:rsidR="00550FEB" w:rsidRPr="005E3B43" w:rsidRDefault="00550FEB" w:rsidP="00763BCF">
            <w:pPr>
              <w:pStyle w:val="Tabletext"/>
            </w:pPr>
          </w:p>
        </w:tc>
        <w:tc>
          <w:tcPr>
            <w:tcW w:w="3138" w:type="pct"/>
            <w:tcBorders>
              <w:top w:val="nil"/>
              <w:bottom w:val="nil"/>
            </w:tcBorders>
            <w:shd w:val="clear" w:color="auto" w:fill="auto"/>
          </w:tcPr>
          <w:p w14:paraId="77FC6120" w14:textId="77777777" w:rsidR="00550FEB" w:rsidRPr="005E3B43" w:rsidRDefault="00550FEB" w:rsidP="00763BCF">
            <w:pPr>
              <w:pStyle w:val="Tablei"/>
              <w:ind w:right="-52"/>
            </w:pPr>
            <w:r w:rsidRPr="005E3B43">
              <w:t>(iv) over 500 pages, but not over 1</w:t>
            </w:r>
            <w:r w:rsidR="004E6D00" w:rsidRPr="005E3B43">
              <w:t> </w:t>
            </w:r>
            <w:r w:rsidRPr="005E3B43">
              <w:t>000 pages</w:t>
            </w:r>
          </w:p>
        </w:tc>
        <w:tc>
          <w:tcPr>
            <w:tcW w:w="1240" w:type="pct"/>
            <w:tcBorders>
              <w:top w:val="nil"/>
              <w:bottom w:val="nil"/>
            </w:tcBorders>
            <w:shd w:val="clear" w:color="auto" w:fill="auto"/>
          </w:tcPr>
          <w:p w14:paraId="2826F98B" w14:textId="77777777" w:rsidR="00550FEB" w:rsidRPr="005E3B43" w:rsidRDefault="002340FC" w:rsidP="00763BCF">
            <w:pPr>
              <w:pStyle w:val="Tabletext"/>
              <w:rPr>
                <w:snapToGrid w:val="0"/>
              </w:rPr>
            </w:pPr>
            <w:r w:rsidRPr="005E3B43">
              <w:t>29,043</w:t>
            </w:r>
          </w:p>
        </w:tc>
      </w:tr>
      <w:tr w:rsidR="00550FEB" w:rsidRPr="005E3B43" w14:paraId="39C32B82" w14:textId="77777777" w:rsidTr="005A786D">
        <w:tc>
          <w:tcPr>
            <w:tcW w:w="622" w:type="pct"/>
            <w:tcBorders>
              <w:top w:val="nil"/>
              <w:bottom w:val="nil"/>
            </w:tcBorders>
            <w:shd w:val="clear" w:color="auto" w:fill="auto"/>
          </w:tcPr>
          <w:p w14:paraId="08117D82" w14:textId="77777777" w:rsidR="00550FEB" w:rsidRPr="005E3B43" w:rsidRDefault="00550FEB" w:rsidP="00763BCF">
            <w:pPr>
              <w:pStyle w:val="Tabletext"/>
            </w:pPr>
          </w:p>
        </w:tc>
        <w:tc>
          <w:tcPr>
            <w:tcW w:w="3138" w:type="pct"/>
            <w:tcBorders>
              <w:top w:val="nil"/>
              <w:bottom w:val="nil"/>
            </w:tcBorders>
            <w:shd w:val="clear" w:color="auto" w:fill="auto"/>
          </w:tcPr>
          <w:p w14:paraId="2208886B" w14:textId="77777777" w:rsidR="00550FEB" w:rsidRPr="005E3B43" w:rsidRDefault="00550FEB" w:rsidP="00763BCF">
            <w:pPr>
              <w:pStyle w:val="Tablei"/>
              <w:ind w:right="-52"/>
            </w:pPr>
            <w:r w:rsidRPr="005E3B43">
              <w:t>(v) over 1</w:t>
            </w:r>
            <w:r w:rsidR="004E6D00" w:rsidRPr="005E3B43">
              <w:t> </w:t>
            </w:r>
            <w:r w:rsidRPr="005E3B43">
              <w:t>000 pages, but not over 2</w:t>
            </w:r>
            <w:r w:rsidR="004E6D00" w:rsidRPr="005E3B43">
              <w:t> </w:t>
            </w:r>
            <w:r w:rsidRPr="005E3B43">
              <w:t>000 pages</w:t>
            </w:r>
          </w:p>
        </w:tc>
        <w:tc>
          <w:tcPr>
            <w:tcW w:w="1240" w:type="pct"/>
            <w:tcBorders>
              <w:top w:val="nil"/>
              <w:bottom w:val="nil"/>
            </w:tcBorders>
            <w:shd w:val="clear" w:color="auto" w:fill="auto"/>
          </w:tcPr>
          <w:p w14:paraId="3C664072" w14:textId="77777777" w:rsidR="00550FEB" w:rsidRPr="005E3B43" w:rsidRDefault="00080B9D" w:rsidP="00763BCF">
            <w:pPr>
              <w:pStyle w:val="Tabletext"/>
            </w:pPr>
            <w:r w:rsidRPr="005E3B43">
              <w:t>43,508</w:t>
            </w:r>
          </w:p>
        </w:tc>
      </w:tr>
      <w:tr w:rsidR="00550FEB" w:rsidRPr="005E3B43" w14:paraId="25E6F951" w14:textId="77777777" w:rsidTr="005A786D">
        <w:tc>
          <w:tcPr>
            <w:tcW w:w="622" w:type="pct"/>
            <w:tcBorders>
              <w:top w:val="nil"/>
              <w:bottom w:val="nil"/>
            </w:tcBorders>
            <w:shd w:val="clear" w:color="auto" w:fill="auto"/>
          </w:tcPr>
          <w:p w14:paraId="0F68E8C1" w14:textId="77777777" w:rsidR="00550FEB" w:rsidRPr="005E3B43" w:rsidRDefault="00550FEB" w:rsidP="00763BCF">
            <w:pPr>
              <w:pStyle w:val="Tabletext"/>
            </w:pPr>
          </w:p>
        </w:tc>
        <w:tc>
          <w:tcPr>
            <w:tcW w:w="3138" w:type="pct"/>
            <w:tcBorders>
              <w:top w:val="nil"/>
              <w:bottom w:val="nil"/>
            </w:tcBorders>
            <w:shd w:val="clear" w:color="auto" w:fill="auto"/>
          </w:tcPr>
          <w:p w14:paraId="46B5F560" w14:textId="77777777" w:rsidR="00550FEB" w:rsidRPr="005E3B43" w:rsidRDefault="00550FEB" w:rsidP="00763BCF">
            <w:pPr>
              <w:pStyle w:val="Tablei"/>
              <w:ind w:right="-52"/>
            </w:pPr>
            <w:r w:rsidRPr="005E3B43">
              <w:t>(vi) over 2</w:t>
            </w:r>
            <w:r w:rsidR="004E6D00" w:rsidRPr="005E3B43">
              <w:t> </w:t>
            </w:r>
            <w:r w:rsidRPr="005E3B43">
              <w:t>000 pages, but not over 3</w:t>
            </w:r>
            <w:r w:rsidR="004E6D00" w:rsidRPr="005E3B43">
              <w:t> </w:t>
            </w:r>
            <w:r w:rsidRPr="005E3B43">
              <w:t>000 pages</w:t>
            </w:r>
          </w:p>
        </w:tc>
        <w:tc>
          <w:tcPr>
            <w:tcW w:w="1240" w:type="pct"/>
            <w:tcBorders>
              <w:top w:val="nil"/>
              <w:bottom w:val="nil"/>
            </w:tcBorders>
            <w:shd w:val="clear" w:color="auto" w:fill="auto"/>
          </w:tcPr>
          <w:p w14:paraId="4D9345BB" w14:textId="77777777" w:rsidR="00550FEB" w:rsidRPr="005E3B43" w:rsidRDefault="00080B9D" w:rsidP="00763BCF">
            <w:pPr>
              <w:pStyle w:val="Tabletext"/>
            </w:pPr>
            <w:r w:rsidRPr="005E3B43">
              <w:t>57,973</w:t>
            </w:r>
          </w:p>
        </w:tc>
      </w:tr>
      <w:tr w:rsidR="00550FEB" w:rsidRPr="005E3B43" w14:paraId="7C1E7269" w14:textId="77777777" w:rsidTr="005A786D">
        <w:tc>
          <w:tcPr>
            <w:tcW w:w="622" w:type="pct"/>
            <w:tcBorders>
              <w:top w:val="nil"/>
              <w:bottom w:val="single" w:sz="4" w:space="0" w:color="auto"/>
            </w:tcBorders>
            <w:shd w:val="clear" w:color="auto" w:fill="auto"/>
          </w:tcPr>
          <w:p w14:paraId="28F75EDC" w14:textId="77777777" w:rsidR="00550FEB" w:rsidRPr="005E3B43" w:rsidRDefault="00550FEB" w:rsidP="00763BCF">
            <w:pPr>
              <w:pStyle w:val="Tabletext"/>
            </w:pPr>
          </w:p>
        </w:tc>
        <w:tc>
          <w:tcPr>
            <w:tcW w:w="3138" w:type="pct"/>
            <w:tcBorders>
              <w:top w:val="nil"/>
              <w:bottom w:val="single" w:sz="4" w:space="0" w:color="auto"/>
            </w:tcBorders>
            <w:shd w:val="clear" w:color="auto" w:fill="auto"/>
          </w:tcPr>
          <w:p w14:paraId="34FEEDDF" w14:textId="77777777" w:rsidR="00550FEB" w:rsidRPr="005E3B43" w:rsidRDefault="00550FEB" w:rsidP="00763BCF">
            <w:pPr>
              <w:pStyle w:val="Tablei"/>
              <w:ind w:right="-52"/>
            </w:pPr>
            <w:r w:rsidRPr="005E3B43">
              <w:t>(vii) over 3</w:t>
            </w:r>
            <w:r w:rsidR="004E6D00" w:rsidRPr="005E3B43">
              <w:t> </w:t>
            </w:r>
            <w:r w:rsidRPr="005E3B43">
              <w:t>000 pages</w:t>
            </w:r>
          </w:p>
        </w:tc>
        <w:tc>
          <w:tcPr>
            <w:tcW w:w="1240" w:type="pct"/>
            <w:tcBorders>
              <w:top w:val="nil"/>
              <w:bottom w:val="single" w:sz="4" w:space="0" w:color="auto"/>
            </w:tcBorders>
            <w:shd w:val="clear" w:color="auto" w:fill="auto"/>
          </w:tcPr>
          <w:p w14:paraId="32F85695" w14:textId="77777777" w:rsidR="00550FEB" w:rsidRPr="005E3B43" w:rsidRDefault="00C4337E" w:rsidP="00763BCF">
            <w:pPr>
              <w:pStyle w:val="Tabletext"/>
            </w:pPr>
            <w:r w:rsidRPr="005E3B43">
              <w:t>87,016</w:t>
            </w:r>
          </w:p>
        </w:tc>
      </w:tr>
      <w:tr w:rsidR="00550FEB" w:rsidRPr="005E3B43" w14:paraId="27A395E7" w14:textId="77777777" w:rsidTr="005A786D">
        <w:tc>
          <w:tcPr>
            <w:tcW w:w="622" w:type="pct"/>
            <w:tcBorders>
              <w:top w:val="single" w:sz="4" w:space="0" w:color="auto"/>
              <w:bottom w:val="nil"/>
            </w:tcBorders>
            <w:shd w:val="clear" w:color="auto" w:fill="auto"/>
          </w:tcPr>
          <w:p w14:paraId="37180FA5" w14:textId="77777777" w:rsidR="00550FEB" w:rsidRPr="005E3B43" w:rsidRDefault="00550FEB" w:rsidP="00763BCF">
            <w:pPr>
              <w:pStyle w:val="Tabletext"/>
            </w:pPr>
            <w:r w:rsidRPr="005E3B43">
              <w:t>7B</w:t>
            </w:r>
          </w:p>
        </w:tc>
        <w:tc>
          <w:tcPr>
            <w:tcW w:w="3138" w:type="pct"/>
            <w:tcBorders>
              <w:top w:val="single" w:sz="4" w:space="0" w:color="auto"/>
              <w:bottom w:val="nil"/>
            </w:tcBorders>
            <w:shd w:val="clear" w:color="auto" w:fill="auto"/>
          </w:tcPr>
          <w:p w14:paraId="311CFD31" w14:textId="77777777" w:rsidR="00550FEB" w:rsidRPr="005E3B43" w:rsidRDefault="00550FEB" w:rsidP="00763BCF">
            <w:pPr>
              <w:pStyle w:val="Tabletext"/>
              <w:ind w:right="-52"/>
            </w:pPr>
            <w:r w:rsidRPr="005E3B43">
              <w:t>Fee for evaluation, under paragraph</w:t>
            </w:r>
            <w:r w:rsidR="004E6D00" w:rsidRPr="005E3B43">
              <w:t> </w:t>
            </w:r>
            <w:r w:rsidRPr="005E3B43">
              <w:t>16GA(1)(b), in relation to 1 or more new excipients for use in particular therapeutic goods:</w:t>
            </w:r>
          </w:p>
        </w:tc>
        <w:tc>
          <w:tcPr>
            <w:tcW w:w="1240" w:type="pct"/>
            <w:tcBorders>
              <w:top w:val="single" w:sz="4" w:space="0" w:color="auto"/>
              <w:bottom w:val="nil"/>
            </w:tcBorders>
            <w:shd w:val="clear" w:color="auto" w:fill="auto"/>
          </w:tcPr>
          <w:p w14:paraId="402A08E2" w14:textId="77777777" w:rsidR="00550FEB" w:rsidRPr="005E3B43" w:rsidRDefault="00550FEB" w:rsidP="00763BCF">
            <w:pPr>
              <w:pStyle w:val="Tabletext"/>
            </w:pPr>
          </w:p>
        </w:tc>
      </w:tr>
      <w:tr w:rsidR="00550FEB" w:rsidRPr="005E3B43" w14:paraId="3A92FDA8" w14:textId="77777777" w:rsidTr="005A786D">
        <w:tc>
          <w:tcPr>
            <w:tcW w:w="622" w:type="pct"/>
            <w:tcBorders>
              <w:top w:val="nil"/>
              <w:bottom w:val="nil"/>
            </w:tcBorders>
            <w:shd w:val="clear" w:color="auto" w:fill="auto"/>
          </w:tcPr>
          <w:p w14:paraId="49BA838D" w14:textId="77777777" w:rsidR="00550FEB" w:rsidRPr="005E3B43" w:rsidRDefault="00550FEB" w:rsidP="00763BCF">
            <w:pPr>
              <w:pStyle w:val="Tabletext"/>
            </w:pPr>
          </w:p>
        </w:tc>
        <w:tc>
          <w:tcPr>
            <w:tcW w:w="3138" w:type="pct"/>
            <w:tcBorders>
              <w:top w:val="nil"/>
              <w:bottom w:val="nil"/>
            </w:tcBorders>
            <w:shd w:val="clear" w:color="auto" w:fill="auto"/>
          </w:tcPr>
          <w:p w14:paraId="1355A0C0" w14:textId="77777777" w:rsidR="00550FEB" w:rsidRPr="005E3B43" w:rsidRDefault="00550FEB" w:rsidP="00763BCF">
            <w:pPr>
              <w:pStyle w:val="Tablea"/>
              <w:ind w:right="-52"/>
            </w:pPr>
            <w:r w:rsidRPr="005E3B43">
              <w:t>(a) if the evaluation documentation does not contain clinical or toxicological information</w:t>
            </w:r>
          </w:p>
          <w:p w14:paraId="5704A823" w14:textId="77777777" w:rsidR="00550FEB" w:rsidRPr="005E3B43" w:rsidRDefault="00550FEB" w:rsidP="00763BCF">
            <w:pPr>
              <w:pStyle w:val="Tablea"/>
              <w:ind w:right="-52"/>
            </w:pPr>
            <w:r w:rsidRPr="005E3B43">
              <w:t>(b) if the evaluation documentation contains clinical or toxicological information, and the total number of pages is:</w:t>
            </w:r>
          </w:p>
        </w:tc>
        <w:tc>
          <w:tcPr>
            <w:tcW w:w="1240" w:type="pct"/>
            <w:tcBorders>
              <w:top w:val="nil"/>
              <w:bottom w:val="nil"/>
            </w:tcBorders>
            <w:shd w:val="clear" w:color="auto" w:fill="auto"/>
          </w:tcPr>
          <w:p w14:paraId="68B31E01" w14:textId="77777777" w:rsidR="00550FEB" w:rsidRPr="005E3B43" w:rsidRDefault="00C4337E" w:rsidP="00763BCF">
            <w:pPr>
              <w:pStyle w:val="Tabletext"/>
            </w:pPr>
            <w:r w:rsidRPr="005E3B43">
              <w:t>12,431</w:t>
            </w:r>
          </w:p>
        </w:tc>
      </w:tr>
      <w:tr w:rsidR="00550FEB" w:rsidRPr="005E3B43" w14:paraId="68087DA5" w14:textId="77777777" w:rsidTr="005A786D">
        <w:tc>
          <w:tcPr>
            <w:tcW w:w="622" w:type="pct"/>
            <w:tcBorders>
              <w:top w:val="nil"/>
              <w:bottom w:val="nil"/>
            </w:tcBorders>
            <w:shd w:val="clear" w:color="auto" w:fill="auto"/>
          </w:tcPr>
          <w:p w14:paraId="3419E216" w14:textId="77777777" w:rsidR="00550FEB" w:rsidRPr="005E3B43" w:rsidRDefault="00550FEB" w:rsidP="00763BCF">
            <w:pPr>
              <w:pStyle w:val="Tabletext"/>
            </w:pPr>
          </w:p>
        </w:tc>
        <w:tc>
          <w:tcPr>
            <w:tcW w:w="3138" w:type="pct"/>
            <w:tcBorders>
              <w:top w:val="nil"/>
              <w:bottom w:val="nil"/>
            </w:tcBorders>
            <w:shd w:val="clear" w:color="auto" w:fill="auto"/>
          </w:tcPr>
          <w:p w14:paraId="6003277A" w14:textId="77777777" w:rsidR="00550FEB" w:rsidRPr="005E3B43" w:rsidRDefault="00550FEB" w:rsidP="00763BCF">
            <w:pPr>
              <w:pStyle w:val="Tablei"/>
              <w:ind w:right="-52"/>
            </w:pPr>
            <w:r w:rsidRPr="005E3B43">
              <w:t>(i) not over 50 pages</w:t>
            </w:r>
          </w:p>
        </w:tc>
        <w:tc>
          <w:tcPr>
            <w:tcW w:w="1240" w:type="pct"/>
            <w:tcBorders>
              <w:top w:val="nil"/>
              <w:bottom w:val="nil"/>
            </w:tcBorders>
            <w:shd w:val="clear" w:color="auto" w:fill="auto"/>
          </w:tcPr>
          <w:p w14:paraId="740E6A14" w14:textId="77777777" w:rsidR="00550FEB" w:rsidRPr="005E3B43" w:rsidRDefault="00C4337E" w:rsidP="00763BCF">
            <w:pPr>
              <w:pStyle w:val="Tabletext"/>
            </w:pPr>
            <w:r w:rsidRPr="005E3B43">
              <w:t>12,431</w:t>
            </w:r>
          </w:p>
        </w:tc>
      </w:tr>
      <w:tr w:rsidR="00550FEB" w:rsidRPr="005E3B43" w14:paraId="545261D9" w14:textId="77777777" w:rsidTr="005A786D">
        <w:tc>
          <w:tcPr>
            <w:tcW w:w="622" w:type="pct"/>
            <w:tcBorders>
              <w:top w:val="nil"/>
              <w:bottom w:val="nil"/>
            </w:tcBorders>
            <w:shd w:val="clear" w:color="auto" w:fill="auto"/>
          </w:tcPr>
          <w:p w14:paraId="28C910DD" w14:textId="77777777" w:rsidR="00550FEB" w:rsidRPr="005E3B43" w:rsidRDefault="00550FEB" w:rsidP="00763BCF">
            <w:pPr>
              <w:pStyle w:val="Tabletext"/>
            </w:pPr>
          </w:p>
        </w:tc>
        <w:tc>
          <w:tcPr>
            <w:tcW w:w="3138" w:type="pct"/>
            <w:tcBorders>
              <w:top w:val="nil"/>
              <w:bottom w:val="nil"/>
            </w:tcBorders>
            <w:shd w:val="clear" w:color="auto" w:fill="auto"/>
          </w:tcPr>
          <w:p w14:paraId="4498B3AB" w14:textId="77777777" w:rsidR="00550FEB" w:rsidRPr="005E3B43" w:rsidRDefault="00550FEB" w:rsidP="00763BCF">
            <w:pPr>
              <w:pStyle w:val="Tablei"/>
              <w:ind w:right="-52"/>
            </w:pPr>
            <w:r w:rsidRPr="005E3B43">
              <w:t>(ii) over 50 pages, but not over 250 pages</w:t>
            </w:r>
          </w:p>
        </w:tc>
        <w:tc>
          <w:tcPr>
            <w:tcW w:w="1240" w:type="pct"/>
            <w:tcBorders>
              <w:top w:val="nil"/>
              <w:bottom w:val="nil"/>
            </w:tcBorders>
            <w:shd w:val="clear" w:color="auto" w:fill="auto"/>
          </w:tcPr>
          <w:p w14:paraId="3131889B" w14:textId="77777777" w:rsidR="00550FEB" w:rsidRPr="005E3B43" w:rsidRDefault="00AF6BFD" w:rsidP="00763BCF">
            <w:pPr>
              <w:pStyle w:val="Tabletext"/>
              <w:rPr>
                <w:snapToGrid w:val="0"/>
              </w:rPr>
            </w:pPr>
            <w:r w:rsidRPr="005E3B43">
              <w:t>16,047</w:t>
            </w:r>
          </w:p>
        </w:tc>
      </w:tr>
      <w:tr w:rsidR="00550FEB" w:rsidRPr="005E3B43" w14:paraId="38DD68F2" w14:textId="77777777" w:rsidTr="005A786D">
        <w:tc>
          <w:tcPr>
            <w:tcW w:w="622" w:type="pct"/>
            <w:tcBorders>
              <w:top w:val="nil"/>
              <w:bottom w:val="nil"/>
            </w:tcBorders>
            <w:shd w:val="clear" w:color="auto" w:fill="auto"/>
          </w:tcPr>
          <w:p w14:paraId="77809CDE" w14:textId="77777777" w:rsidR="00550FEB" w:rsidRPr="005E3B43" w:rsidRDefault="00550FEB" w:rsidP="00763BCF">
            <w:pPr>
              <w:pStyle w:val="Tabletext"/>
            </w:pPr>
          </w:p>
        </w:tc>
        <w:tc>
          <w:tcPr>
            <w:tcW w:w="3138" w:type="pct"/>
            <w:tcBorders>
              <w:top w:val="nil"/>
              <w:bottom w:val="nil"/>
            </w:tcBorders>
            <w:shd w:val="clear" w:color="auto" w:fill="auto"/>
          </w:tcPr>
          <w:p w14:paraId="1C0EE517" w14:textId="77777777" w:rsidR="00550FEB" w:rsidRPr="005E3B43" w:rsidRDefault="00550FEB" w:rsidP="00763BCF">
            <w:pPr>
              <w:pStyle w:val="Tablei"/>
              <w:ind w:right="-52"/>
            </w:pPr>
            <w:r w:rsidRPr="005E3B43">
              <w:t>(iii) over 250 pages, but not over 500 pages</w:t>
            </w:r>
          </w:p>
        </w:tc>
        <w:tc>
          <w:tcPr>
            <w:tcW w:w="1240" w:type="pct"/>
            <w:tcBorders>
              <w:top w:val="nil"/>
              <w:bottom w:val="nil"/>
            </w:tcBorders>
            <w:shd w:val="clear" w:color="auto" w:fill="auto"/>
          </w:tcPr>
          <w:p w14:paraId="02776153" w14:textId="77777777" w:rsidR="00550FEB" w:rsidRPr="005E3B43" w:rsidRDefault="00AF6BFD" w:rsidP="00763BCF">
            <w:pPr>
              <w:pStyle w:val="Tabletext"/>
              <w:rPr>
                <w:snapToGrid w:val="0"/>
              </w:rPr>
            </w:pPr>
            <w:r w:rsidRPr="005E3B43">
              <w:t>21,923</w:t>
            </w:r>
          </w:p>
        </w:tc>
      </w:tr>
      <w:tr w:rsidR="00550FEB" w:rsidRPr="005E3B43" w14:paraId="39BF57AF" w14:textId="77777777" w:rsidTr="005A786D">
        <w:tc>
          <w:tcPr>
            <w:tcW w:w="622" w:type="pct"/>
            <w:tcBorders>
              <w:top w:val="nil"/>
              <w:bottom w:val="nil"/>
            </w:tcBorders>
            <w:shd w:val="clear" w:color="auto" w:fill="auto"/>
          </w:tcPr>
          <w:p w14:paraId="210FE3CF" w14:textId="77777777" w:rsidR="00550FEB" w:rsidRPr="005E3B43" w:rsidRDefault="00550FEB" w:rsidP="00763BCF">
            <w:pPr>
              <w:pStyle w:val="Tabletext"/>
            </w:pPr>
          </w:p>
        </w:tc>
        <w:tc>
          <w:tcPr>
            <w:tcW w:w="3138" w:type="pct"/>
            <w:tcBorders>
              <w:top w:val="nil"/>
              <w:bottom w:val="nil"/>
            </w:tcBorders>
            <w:shd w:val="clear" w:color="auto" w:fill="auto"/>
          </w:tcPr>
          <w:p w14:paraId="79A34926" w14:textId="77777777" w:rsidR="00550FEB" w:rsidRPr="005E3B43" w:rsidRDefault="00550FEB" w:rsidP="00763BCF">
            <w:pPr>
              <w:pStyle w:val="Tablei"/>
              <w:ind w:right="-52"/>
            </w:pPr>
            <w:r w:rsidRPr="005E3B43">
              <w:t>(iv) over 500 pages, but not over 1</w:t>
            </w:r>
            <w:r w:rsidR="004E6D00" w:rsidRPr="005E3B43">
              <w:t> </w:t>
            </w:r>
            <w:r w:rsidRPr="005E3B43">
              <w:t>000 pages</w:t>
            </w:r>
          </w:p>
        </w:tc>
        <w:tc>
          <w:tcPr>
            <w:tcW w:w="1240" w:type="pct"/>
            <w:tcBorders>
              <w:top w:val="nil"/>
              <w:bottom w:val="nil"/>
            </w:tcBorders>
            <w:shd w:val="clear" w:color="auto" w:fill="auto"/>
          </w:tcPr>
          <w:p w14:paraId="083A258D" w14:textId="77777777" w:rsidR="00550FEB" w:rsidRPr="005E3B43" w:rsidRDefault="00AF6BFD" w:rsidP="00763BCF">
            <w:pPr>
              <w:pStyle w:val="Tabletext"/>
              <w:rPr>
                <w:snapToGrid w:val="0"/>
              </w:rPr>
            </w:pPr>
            <w:r w:rsidRPr="005E3B43">
              <w:t>29,043</w:t>
            </w:r>
          </w:p>
        </w:tc>
      </w:tr>
      <w:tr w:rsidR="00550FEB" w:rsidRPr="005E3B43" w14:paraId="49340344" w14:textId="77777777" w:rsidTr="005A786D">
        <w:tc>
          <w:tcPr>
            <w:tcW w:w="622" w:type="pct"/>
            <w:tcBorders>
              <w:top w:val="nil"/>
              <w:bottom w:val="nil"/>
            </w:tcBorders>
            <w:shd w:val="clear" w:color="auto" w:fill="auto"/>
          </w:tcPr>
          <w:p w14:paraId="7C9396A8" w14:textId="77777777" w:rsidR="00550FEB" w:rsidRPr="005E3B43" w:rsidRDefault="00550FEB" w:rsidP="00763BCF">
            <w:pPr>
              <w:pStyle w:val="Tabletext"/>
            </w:pPr>
          </w:p>
        </w:tc>
        <w:tc>
          <w:tcPr>
            <w:tcW w:w="3138" w:type="pct"/>
            <w:tcBorders>
              <w:top w:val="nil"/>
              <w:bottom w:val="nil"/>
            </w:tcBorders>
            <w:shd w:val="clear" w:color="auto" w:fill="auto"/>
          </w:tcPr>
          <w:p w14:paraId="4507B32D" w14:textId="77777777" w:rsidR="00550FEB" w:rsidRPr="005E3B43" w:rsidRDefault="00550FEB" w:rsidP="00763BCF">
            <w:pPr>
              <w:pStyle w:val="Tablei"/>
              <w:ind w:right="-52"/>
            </w:pPr>
            <w:r w:rsidRPr="005E3B43">
              <w:t>(v) over 1</w:t>
            </w:r>
            <w:r w:rsidR="004E6D00" w:rsidRPr="005E3B43">
              <w:t> </w:t>
            </w:r>
            <w:r w:rsidRPr="005E3B43">
              <w:t>000 pages, but not over 2</w:t>
            </w:r>
            <w:r w:rsidR="004E6D00" w:rsidRPr="005E3B43">
              <w:t> </w:t>
            </w:r>
            <w:r w:rsidRPr="005E3B43">
              <w:t>000 pages</w:t>
            </w:r>
          </w:p>
        </w:tc>
        <w:tc>
          <w:tcPr>
            <w:tcW w:w="1240" w:type="pct"/>
            <w:tcBorders>
              <w:top w:val="nil"/>
              <w:bottom w:val="nil"/>
            </w:tcBorders>
            <w:shd w:val="clear" w:color="auto" w:fill="auto"/>
          </w:tcPr>
          <w:p w14:paraId="5371A0D6" w14:textId="77777777" w:rsidR="00550FEB" w:rsidRPr="005E3B43" w:rsidRDefault="005B3C01" w:rsidP="00763BCF">
            <w:pPr>
              <w:pStyle w:val="Tabletext"/>
              <w:rPr>
                <w:snapToGrid w:val="0"/>
              </w:rPr>
            </w:pPr>
            <w:r w:rsidRPr="005E3B43">
              <w:t>43,508</w:t>
            </w:r>
          </w:p>
        </w:tc>
      </w:tr>
      <w:tr w:rsidR="00550FEB" w:rsidRPr="005E3B43" w14:paraId="29E31434" w14:textId="77777777" w:rsidTr="005A786D">
        <w:tc>
          <w:tcPr>
            <w:tcW w:w="622" w:type="pct"/>
            <w:tcBorders>
              <w:top w:val="nil"/>
              <w:bottom w:val="nil"/>
            </w:tcBorders>
            <w:shd w:val="clear" w:color="auto" w:fill="auto"/>
          </w:tcPr>
          <w:p w14:paraId="6B6E1327" w14:textId="77777777" w:rsidR="00550FEB" w:rsidRPr="005E3B43" w:rsidRDefault="00550FEB" w:rsidP="00763BCF">
            <w:pPr>
              <w:pStyle w:val="Tabletext"/>
            </w:pPr>
          </w:p>
        </w:tc>
        <w:tc>
          <w:tcPr>
            <w:tcW w:w="3138" w:type="pct"/>
            <w:tcBorders>
              <w:top w:val="nil"/>
              <w:bottom w:val="nil"/>
            </w:tcBorders>
            <w:shd w:val="clear" w:color="auto" w:fill="auto"/>
          </w:tcPr>
          <w:p w14:paraId="78E1BBFF" w14:textId="77777777" w:rsidR="00550FEB" w:rsidRPr="005E3B43" w:rsidRDefault="00550FEB" w:rsidP="00763BCF">
            <w:pPr>
              <w:pStyle w:val="Tablei"/>
              <w:ind w:right="-52"/>
            </w:pPr>
            <w:r w:rsidRPr="005E3B43">
              <w:t>(vi) over 2</w:t>
            </w:r>
            <w:r w:rsidR="004E6D00" w:rsidRPr="005E3B43">
              <w:t> </w:t>
            </w:r>
            <w:r w:rsidRPr="005E3B43">
              <w:t>000 pages, but not over 3</w:t>
            </w:r>
            <w:r w:rsidR="004E6D00" w:rsidRPr="005E3B43">
              <w:t> </w:t>
            </w:r>
            <w:r w:rsidRPr="005E3B43">
              <w:t>000 pages</w:t>
            </w:r>
          </w:p>
        </w:tc>
        <w:tc>
          <w:tcPr>
            <w:tcW w:w="1240" w:type="pct"/>
            <w:tcBorders>
              <w:top w:val="nil"/>
              <w:bottom w:val="nil"/>
            </w:tcBorders>
            <w:shd w:val="clear" w:color="auto" w:fill="auto"/>
          </w:tcPr>
          <w:p w14:paraId="06F61728" w14:textId="77777777" w:rsidR="00550FEB" w:rsidRPr="005E3B43" w:rsidRDefault="005B3C01" w:rsidP="00763BCF">
            <w:pPr>
              <w:pStyle w:val="Tabletext"/>
            </w:pPr>
            <w:r w:rsidRPr="005E3B43">
              <w:t>57,973</w:t>
            </w:r>
          </w:p>
        </w:tc>
      </w:tr>
      <w:tr w:rsidR="00550FEB" w:rsidRPr="005E3B43" w14:paraId="7A7E7EC0" w14:textId="77777777" w:rsidTr="005A786D">
        <w:tc>
          <w:tcPr>
            <w:tcW w:w="622" w:type="pct"/>
            <w:tcBorders>
              <w:top w:val="nil"/>
              <w:bottom w:val="single" w:sz="4" w:space="0" w:color="auto"/>
            </w:tcBorders>
            <w:shd w:val="clear" w:color="auto" w:fill="auto"/>
          </w:tcPr>
          <w:p w14:paraId="078ACAFD" w14:textId="77777777" w:rsidR="00550FEB" w:rsidRPr="005E3B43" w:rsidRDefault="00550FEB" w:rsidP="00763BCF">
            <w:pPr>
              <w:pStyle w:val="Tabletext"/>
            </w:pPr>
          </w:p>
        </w:tc>
        <w:tc>
          <w:tcPr>
            <w:tcW w:w="3138" w:type="pct"/>
            <w:tcBorders>
              <w:top w:val="nil"/>
              <w:bottom w:val="single" w:sz="4" w:space="0" w:color="auto"/>
            </w:tcBorders>
            <w:shd w:val="clear" w:color="auto" w:fill="auto"/>
          </w:tcPr>
          <w:p w14:paraId="7299F2F2" w14:textId="77777777" w:rsidR="00550FEB" w:rsidRPr="005E3B43" w:rsidRDefault="00550FEB" w:rsidP="00763BCF">
            <w:pPr>
              <w:pStyle w:val="Tablei"/>
              <w:ind w:right="-52"/>
            </w:pPr>
            <w:r w:rsidRPr="005E3B43">
              <w:t>(vii) over 3</w:t>
            </w:r>
            <w:r w:rsidR="004E6D00" w:rsidRPr="005E3B43">
              <w:t> </w:t>
            </w:r>
            <w:r w:rsidRPr="005E3B43">
              <w:t>000 pages</w:t>
            </w:r>
          </w:p>
        </w:tc>
        <w:tc>
          <w:tcPr>
            <w:tcW w:w="1240" w:type="pct"/>
            <w:tcBorders>
              <w:top w:val="nil"/>
              <w:bottom w:val="single" w:sz="4" w:space="0" w:color="auto"/>
            </w:tcBorders>
            <w:shd w:val="clear" w:color="auto" w:fill="auto"/>
          </w:tcPr>
          <w:p w14:paraId="170A201C" w14:textId="77777777" w:rsidR="00550FEB" w:rsidRPr="005E3B43" w:rsidRDefault="005B3C01" w:rsidP="00763BCF">
            <w:pPr>
              <w:pStyle w:val="Tabletext"/>
            </w:pPr>
            <w:r w:rsidRPr="005E3B43">
              <w:t>87,016</w:t>
            </w:r>
          </w:p>
        </w:tc>
      </w:tr>
      <w:tr w:rsidR="00550FEB" w:rsidRPr="005E3B43" w14:paraId="1BE4A30F" w14:textId="77777777" w:rsidTr="005A786D">
        <w:tc>
          <w:tcPr>
            <w:tcW w:w="622" w:type="pct"/>
            <w:tcBorders>
              <w:bottom w:val="single" w:sz="4" w:space="0" w:color="auto"/>
            </w:tcBorders>
            <w:shd w:val="clear" w:color="auto" w:fill="auto"/>
          </w:tcPr>
          <w:p w14:paraId="61D18EDF" w14:textId="77777777" w:rsidR="00550FEB" w:rsidRPr="005E3B43" w:rsidRDefault="00550FEB" w:rsidP="00763BCF">
            <w:pPr>
              <w:pStyle w:val="Tabletext"/>
            </w:pPr>
            <w:r w:rsidRPr="005E3B43">
              <w:t>7C</w:t>
            </w:r>
          </w:p>
        </w:tc>
        <w:tc>
          <w:tcPr>
            <w:tcW w:w="3138" w:type="pct"/>
            <w:tcBorders>
              <w:bottom w:val="single" w:sz="4" w:space="0" w:color="auto"/>
            </w:tcBorders>
            <w:shd w:val="clear" w:color="auto" w:fill="auto"/>
          </w:tcPr>
          <w:p w14:paraId="3F62FC6B" w14:textId="77777777" w:rsidR="00550FEB" w:rsidRPr="005E3B43" w:rsidRDefault="00550FEB" w:rsidP="00763BCF">
            <w:pPr>
              <w:pStyle w:val="Tabletext"/>
              <w:ind w:right="-52"/>
            </w:pPr>
            <w:r w:rsidRPr="005E3B43">
              <w:t>Application fee for the purposes of paragraph</w:t>
            </w:r>
            <w:r w:rsidR="004E6D00" w:rsidRPr="005E3B43">
              <w:t> </w:t>
            </w:r>
            <w:r w:rsidRPr="005E3B43">
              <w:t>26BJ(2)(d) of the Act</w:t>
            </w:r>
          </w:p>
        </w:tc>
        <w:tc>
          <w:tcPr>
            <w:tcW w:w="1240" w:type="pct"/>
            <w:tcBorders>
              <w:bottom w:val="single" w:sz="4" w:space="0" w:color="auto"/>
            </w:tcBorders>
            <w:shd w:val="clear" w:color="auto" w:fill="auto"/>
          </w:tcPr>
          <w:p w14:paraId="537A74EE" w14:textId="77777777" w:rsidR="00550FEB" w:rsidRPr="005E3B43" w:rsidRDefault="005B3C01" w:rsidP="00763BCF">
            <w:pPr>
              <w:pStyle w:val="Tabletext"/>
            </w:pPr>
            <w:r w:rsidRPr="005E3B43">
              <w:t>1,231</w:t>
            </w:r>
          </w:p>
        </w:tc>
      </w:tr>
      <w:tr w:rsidR="00550FEB" w:rsidRPr="005E3B43" w14:paraId="7DDDCCE1" w14:textId="77777777" w:rsidTr="005A786D">
        <w:tc>
          <w:tcPr>
            <w:tcW w:w="622" w:type="pct"/>
            <w:tcBorders>
              <w:top w:val="single" w:sz="4" w:space="0" w:color="auto"/>
              <w:bottom w:val="nil"/>
            </w:tcBorders>
            <w:shd w:val="clear" w:color="auto" w:fill="auto"/>
          </w:tcPr>
          <w:p w14:paraId="2D502CB3" w14:textId="77777777" w:rsidR="00550FEB" w:rsidRPr="005E3B43" w:rsidRDefault="00550FEB" w:rsidP="00763BCF">
            <w:pPr>
              <w:pStyle w:val="Tabletext"/>
            </w:pPr>
            <w:r w:rsidRPr="005E3B43">
              <w:t>8</w:t>
            </w:r>
          </w:p>
        </w:tc>
        <w:tc>
          <w:tcPr>
            <w:tcW w:w="3138" w:type="pct"/>
            <w:tcBorders>
              <w:top w:val="single" w:sz="4" w:space="0" w:color="auto"/>
              <w:bottom w:val="nil"/>
            </w:tcBorders>
            <w:shd w:val="clear" w:color="auto" w:fill="auto"/>
          </w:tcPr>
          <w:p w14:paraId="77CF95FB" w14:textId="77777777" w:rsidR="00550FEB" w:rsidRPr="005E3B43" w:rsidRDefault="00550FEB" w:rsidP="00763BCF">
            <w:pPr>
              <w:pStyle w:val="Tablea"/>
              <w:ind w:right="-52"/>
            </w:pPr>
            <w:r w:rsidRPr="005E3B43">
              <w:t xml:space="preserve">(a) Application fee for the purposes of </w:t>
            </w:r>
            <w:r w:rsidR="00842CCD" w:rsidRPr="005E3B43">
              <w:t>paragraph 3</w:t>
            </w:r>
            <w:r w:rsidRPr="005E3B43">
              <w:t>7(1)(g) of the Act, for a licence for:</w:t>
            </w:r>
          </w:p>
        </w:tc>
        <w:tc>
          <w:tcPr>
            <w:tcW w:w="1240" w:type="pct"/>
            <w:tcBorders>
              <w:top w:val="single" w:sz="4" w:space="0" w:color="auto"/>
              <w:bottom w:val="nil"/>
            </w:tcBorders>
            <w:shd w:val="clear" w:color="auto" w:fill="auto"/>
          </w:tcPr>
          <w:p w14:paraId="71B9BEE8" w14:textId="77777777" w:rsidR="00550FEB" w:rsidRPr="005E3B43" w:rsidRDefault="00E866D9" w:rsidP="00763BCF">
            <w:pPr>
              <w:pStyle w:val="Tabletext"/>
            </w:pPr>
            <w:r w:rsidRPr="005E3B43">
              <w:t>927</w:t>
            </w:r>
          </w:p>
        </w:tc>
      </w:tr>
      <w:tr w:rsidR="00550FEB" w:rsidRPr="005E3B43" w14:paraId="120C27D6" w14:textId="77777777" w:rsidTr="005A786D">
        <w:tc>
          <w:tcPr>
            <w:tcW w:w="622" w:type="pct"/>
            <w:tcBorders>
              <w:top w:val="nil"/>
              <w:bottom w:val="nil"/>
            </w:tcBorders>
            <w:shd w:val="clear" w:color="auto" w:fill="auto"/>
          </w:tcPr>
          <w:p w14:paraId="4109C4A8" w14:textId="77777777" w:rsidR="00550FEB" w:rsidRPr="005E3B43" w:rsidRDefault="00550FEB" w:rsidP="00763BCF">
            <w:pPr>
              <w:pStyle w:val="Tabletext"/>
            </w:pPr>
          </w:p>
        </w:tc>
        <w:tc>
          <w:tcPr>
            <w:tcW w:w="3138" w:type="pct"/>
            <w:tcBorders>
              <w:top w:val="nil"/>
              <w:bottom w:val="nil"/>
            </w:tcBorders>
            <w:shd w:val="clear" w:color="auto" w:fill="auto"/>
          </w:tcPr>
          <w:p w14:paraId="2ECA30AE" w14:textId="77777777" w:rsidR="00550FEB" w:rsidRPr="005E3B43" w:rsidRDefault="00550FEB" w:rsidP="00763BCF">
            <w:pPr>
              <w:pStyle w:val="Tablei"/>
              <w:ind w:right="-52"/>
            </w:pPr>
            <w:r w:rsidRPr="005E3B43">
              <w:t>(i) the manufacture of therapeutic goods; or</w:t>
            </w:r>
          </w:p>
        </w:tc>
        <w:tc>
          <w:tcPr>
            <w:tcW w:w="1240" w:type="pct"/>
            <w:tcBorders>
              <w:top w:val="nil"/>
              <w:bottom w:val="nil"/>
            </w:tcBorders>
            <w:shd w:val="clear" w:color="auto" w:fill="auto"/>
            <w:vAlign w:val="bottom"/>
          </w:tcPr>
          <w:p w14:paraId="1DBA6046" w14:textId="77777777" w:rsidR="00550FEB" w:rsidRPr="005E3B43" w:rsidRDefault="00550FEB" w:rsidP="00763BCF">
            <w:pPr>
              <w:pStyle w:val="Tabletext"/>
            </w:pPr>
          </w:p>
        </w:tc>
      </w:tr>
      <w:tr w:rsidR="00550FEB" w:rsidRPr="005E3B43" w14:paraId="743FC2E2" w14:textId="77777777" w:rsidTr="005A786D">
        <w:tc>
          <w:tcPr>
            <w:tcW w:w="622" w:type="pct"/>
            <w:tcBorders>
              <w:top w:val="nil"/>
              <w:bottom w:val="nil"/>
            </w:tcBorders>
            <w:shd w:val="clear" w:color="auto" w:fill="auto"/>
          </w:tcPr>
          <w:p w14:paraId="7760FE60" w14:textId="77777777" w:rsidR="00550FEB" w:rsidRPr="005E3B43" w:rsidRDefault="00550FEB" w:rsidP="00763BCF">
            <w:pPr>
              <w:pStyle w:val="Tabletext"/>
            </w:pPr>
          </w:p>
        </w:tc>
        <w:tc>
          <w:tcPr>
            <w:tcW w:w="3138" w:type="pct"/>
            <w:tcBorders>
              <w:top w:val="nil"/>
              <w:bottom w:val="nil"/>
            </w:tcBorders>
            <w:shd w:val="clear" w:color="auto" w:fill="auto"/>
          </w:tcPr>
          <w:p w14:paraId="5F0BAD92" w14:textId="77777777" w:rsidR="00550FEB" w:rsidRPr="005E3B43" w:rsidRDefault="00550FEB" w:rsidP="00763BCF">
            <w:pPr>
              <w:pStyle w:val="Tablei"/>
              <w:ind w:right="-52"/>
            </w:pPr>
            <w:r w:rsidRPr="005E3B43">
              <w:t>(ii) one or more steps in the manufacture of therapeutic goods; or</w:t>
            </w:r>
          </w:p>
        </w:tc>
        <w:tc>
          <w:tcPr>
            <w:tcW w:w="1240" w:type="pct"/>
            <w:tcBorders>
              <w:top w:val="nil"/>
              <w:bottom w:val="nil"/>
            </w:tcBorders>
            <w:shd w:val="clear" w:color="auto" w:fill="auto"/>
            <w:vAlign w:val="bottom"/>
          </w:tcPr>
          <w:p w14:paraId="5E0EAE40" w14:textId="77777777" w:rsidR="00550FEB" w:rsidRPr="005E3B43" w:rsidRDefault="00550FEB" w:rsidP="00763BCF">
            <w:pPr>
              <w:pStyle w:val="Tabletext"/>
            </w:pPr>
          </w:p>
        </w:tc>
      </w:tr>
      <w:tr w:rsidR="00550FEB" w:rsidRPr="005E3B43" w14:paraId="44448143" w14:textId="77777777" w:rsidTr="005A786D">
        <w:tc>
          <w:tcPr>
            <w:tcW w:w="622" w:type="pct"/>
            <w:tcBorders>
              <w:top w:val="nil"/>
              <w:bottom w:val="nil"/>
            </w:tcBorders>
            <w:shd w:val="clear" w:color="auto" w:fill="auto"/>
          </w:tcPr>
          <w:p w14:paraId="4D245F0C" w14:textId="77777777" w:rsidR="00550FEB" w:rsidRPr="005E3B43" w:rsidRDefault="00550FEB" w:rsidP="00763BCF">
            <w:pPr>
              <w:pStyle w:val="Tabletext"/>
            </w:pPr>
          </w:p>
        </w:tc>
        <w:tc>
          <w:tcPr>
            <w:tcW w:w="3138" w:type="pct"/>
            <w:tcBorders>
              <w:top w:val="nil"/>
              <w:bottom w:val="nil"/>
            </w:tcBorders>
            <w:shd w:val="clear" w:color="auto" w:fill="auto"/>
          </w:tcPr>
          <w:p w14:paraId="075F2E72" w14:textId="77777777" w:rsidR="00550FEB" w:rsidRPr="005E3B43" w:rsidRDefault="00550FEB" w:rsidP="00763BCF">
            <w:pPr>
              <w:pStyle w:val="Tablei"/>
              <w:ind w:right="-52"/>
            </w:pPr>
            <w:r w:rsidRPr="005E3B43">
              <w:t>(iii) the manufacture of ingredients or components for use in the manufacture of therapeutic goods; or</w:t>
            </w:r>
          </w:p>
        </w:tc>
        <w:tc>
          <w:tcPr>
            <w:tcW w:w="1240" w:type="pct"/>
            <w:tcBorders>
              <w:top w:val="nil"/>
              <w:bottom w:val="nil"/>
            </w:tcBorders>
            <w:shd w:val="clear" w:color="auto" w:fill="auto"/>
            <w:vAlign w:val="bottom"/>
          </w:tcPr>
          <w:p w14:paraId="69859225" w14:textId="77777777" w:rsidR="00550FEB" w:rsidRPr="005E3B43" w:rsidRDefault="00550FEB" w:rsidP="00763BCF">
            <w:pPr>
              <w:pStyle w:val="Tabletext"/>
            </w:pPr>
          </w:p>
        </w:tc>
      </w:tr>
      <w:tr w:rsidR="00550FEB" w:rsidRPr="005E3B43" w14:paraId="68C30909" w14:textId="77777777" w:rsidTr="005A786D">
        <w:tc>
          <w:tcPr>
            <w:tcW w:w="622" w:type="pct"/>
            <w:tcBorders>
              <w:top w:val="nil"/>
              <w:bottom w:val="nil"/>
            </w:tcBorders>
            <w:shd w:val="clear" w:color="auto" w:fill="auto"/>
          </w:tcPr>
          <w:p w14:paraId="131FCFCB" w14:textId="77777777" w:rsidR="00550FEB" w:rsidRPr="005E3B43" w:rsidRDefault="00550FEB" w:rsidP="00763BCF">
            <w:pPr>
              <w:pStyle w:val="Tabletext"/>
            </w:pPr>
          </w:p>
        </w:tc>
        <w:tc>
          <w:tcPr>
            <w:tcW w:w="3138" w:type="pct"/>
            <w:tcBorders>
              <w:top w:val="nil"/>
              <w:bottom w:val="nil"/>
            </w:tcBorders>
            <w:shd w:val="clear" w:color="auto" w:fill="auto"/>
          </w:tcPr>
          <w:p w14:paraId="46735A2A" w14:textId="77777777" w:rsidR="00550FEB" w:rsidRPr="005E3B43" w:rsidRDefault="00550FEB" w:rsidP="00763BCF">
            <w:pPr>
              <w:pStyle w:val="Tablei"/>
              <w:ind w:right="-52"/>
            </w:pPr>
            <w:r w:rsidRPr="005E3B43">
              <w:t>(iv) the manufacture of herbal or homoeopathic preparations;</w:t>
            </w:r>
          </w:p>
        </w:tc>
        <w:tc>
          <w:tcPr>
            <w:tcW w:w="1240" w:type="pct"/>
            <w:tcBorders>
              <w:top w:val="nil"/>
              <w:bottom w:val="nil"/>
            </w:tcBorders>
            <w:shd w:val="clear" w:color="auto" w:fill="auto"/>
            <w:vAlign w:val="bottom"/>
          </w:tcPr>
          <w:p w14:paraId="5256D8AB" w14:textId="77777777" w:rsidR="00550FEB" w:rsidRPr="005E3B43" w:rsidRDefault="00550FEB" w:rsidP="00763BCF">
            <w:pPr>
              <w:pStyle w:val="Tabletext"/>
            </w:pPr>
          </w:p>
        </w:tc>
      </w:tr>
      <w:tr w:rsidR="00550FEB" w:rsidRPr="005E3B43" w14:paraId="5A18F02F" w14:textId="77777777" w:rsidTr="005A786D">
        <w:tc>
          <w:tcPr>
            <w:tcW w:w="622" w:type="pct"/>
            <w:tcBorders>
              <w:top w:val="nil"/>
              <w:bottom w:val="nil"/>
            </w:tcBorders>
            <w:shd w:val="clear" w:color="auto" w:fill="auto"/>
          </w:tcPr>
          <w:p w14:paraId="1D3E9436" w14:textId="77777777" w:rsidR="00550FEB" w:rsidRPr="005E3B43" w:rsidRDefault="00550FEB" w:rsidP="00763BCF">
            <w:pPr>
              <w:pStyle w:val="Tabletext"/>
            </w:pPr>
          </w:p>
        </w:tc>
        <w:tc>
          <w:tcPr>
            <w:tcW w:w="3138" w:type="pct"/>
            <w:tcBorders>
              <w:top w:val="nil"/>
              <w:bottom w:val="nil"/>
            </w:tcBorders>
            <w:shd w:val="clear" w:color="auto" w:fill="auto"/>
          </w:tcPr>
          <w:p w14:paraId="04C88B5A" w14:textId="77777777" w:rsidR="00550FEB" w:rsidRPr="005E3B43" w:rsidRDefault="00550FEB" w:rsidP="00763BCF">
            <w:pPr>
              <w:pStyle w:val="Tablei"/>
            </w:pPr>
            <w:r w:rsidRPr="005E3B43">
              <w:t xml:space="preserve">unless </w:t>
            </w:r>
            <w:r w:rsidR="004E6D00" w:rsidRPr="005E3B43">
              <w:t>paragraph (</w:t>
            </w:r>
            <w:r w:rsidRPr="005E3B43">
              <w:t>b) applies</w:t>
            </w:r>
          </w:p>
        </w:tc>
        <w:tc>
          <w:tcPr>
            <w:tcW w:w="1240" w:type="pct"/>
            <w:tcBorders>
              <w:top w:val="nil"/>
              <w:bottom w:val="nil"/>
            </w:tcBorders>
            <w:shd w:val="clear" w:color="auto" w:fill="auto"/>
            <w:vAlign w:val="bottom"/>
          </w:tcPr>
          <w:p w14:paraId="1C96A3DC" w14:textId="77777777" w:rsidR="00550FEB" w:rsidRPr="005E3B43" w:rsidRDefault="00550FEB" w:rsidP="00763BCF">
            <w:pPr>
              <w:pStyle w:val="Tabletext"/>
            </w:pPr>
          </w:p>
        </w:tc>
      </w:tr>
      <w:tr w:rsidR="00550FEB" w:rsidRPr="005E3B43" w14:paraId="0516F9DF" w14:textId="77777777" w:rsidTr="005A786D">
        <w:tblPrEx>
          <w:tblBorders>
            <w:top w:val="none" w:sz="0" w:space="0" w:color="auto"/>
            <w:bottom w:val="none" w:sz="0" w:space="0" w:color="auto"/>
            <w:insideH w:val="none" w:sz="0" w:space="0" w:color="auto"/>
          </w:tblBorders>
        </w:tblPrEx>
        <w:tc>
          <w:tcPr>
            <w:tcW w:w="622" w:type="pct"/>
            <w:shd w:val="clear" w:color="auto" w:fill="auto"/>
          </w:tcPr>
          <w:p w14:paraId="09C31CEF" w14:textId="77777777" w:rsidR="00550FEB" w:rsidRPr="005E3B43" w:rsidRDefault="00550FEB" w:rsidP="00763BCF">
            <w:pPr>
              <w:pStyle w:val="Tabletext"/>
            </w:pPr>
          </w:p>
        </w:tc>
        <w:tc>
          <w:tcPr>
            <w:tcW w:w="3138" w:type="pct"/>
            <w:shd w:val="clear" w:color="auto" w:fill="auto"/>
          </w:tcPr>
          <w:p w14:paraId="1D39B8D8" w14:textId="77777777" w:rsidR="00550FEB" w:rsidRPr="005E3B43" w:rsidRDefault="00550FEB" w:rsidP="00763BCF">
            <w:pPr>
              <w:pStyle w:val="Tablea"/>
              <w:ind w:right="-52"/>
            </w:pPr>
            <w:r w:rsidRPr="005E3B43">
              <w:t xml:space="preserve">(b) Application fee for the purposes of </w:t>
            </w:r>
            <w:r w:rsidR="00842CCD" w:rsidRPr="005E3B43">
              <w:t>paragraph 3</w:t>
            </w:r>
            <w:r w:rsidRPr="005E3B43">
              <w:t>7(1)(g) of the Act, for a licence for:</w:t>
            </w:r>
          </w:p>
        </w:tc>
        <w:tc>
          <w:tcPr>
            <w:tcW w:w="1240" w:type="pct"/>
            <w:shd w:val="clear" w:color="auto" w:fill="auto"/>
          </w:tcPr>
          <w:p w14:paraId="4A74FCE7" w14:textId="77777777" w:rsidR="00550FEB" w:rsidRPr="005E3B43" w:rsidRDefault="00E866D9" w:rsidP="00763BCF">
            <w:pPr>
              <w:pStyle w:val="Tabletext"/>
            </w:pPr>
            <w:r w:rsidRPr="005E3B43">
              <w:t>1,209</w:t>
            </w:r>
          </w:p>
        </w:tc>
      </w:tr>
      <w:tr w:rsidR="00550FEB" w:rsidRPr="005E3B43" w14:paraId="28F26160" w14:textId="77777777" w:rsidTr="005A786D">
        <w:tc>
          <w:tcPr>
            <w:tcW w:w="622" w:type="pct"/>
            <w:tcBorders>
              <w:top w:val="nil"/>
              <w:bottom w:val="nil"/>
            </w:tcBorders>
            <w:shd w:val="clear" w:color="auto" w:fill="auto"/>
          </w:tcPr>
          <w:p w14:paraId="5D7C8C38" w14:textId="77777777" w:rsidR="00550FEB" w:rsidRPr="005E3B43" w:rsidRDefault="00550FEB" w:rsidP="00763BCF">
            <w:pPr>
              <w:pStyle w:val="Tabletext"/>
            </w:pPr>
          </w:p>
        </w:tc>
        <w:tc>
          <w:tcPr>
            <w:tcW w:w="3138" w:type="pct"/>
            <w:tcBorders>
              <w:top w:val="nil"/>
              <w:bottom w:val="nil"/>
            </w:tcBorders>
            <w:shd w:val="clear" w:color="auto" w:fill="auto"/>
          </w:tcPr>
          <w:p w14:paraId="0E1C20A1" w14:textId="77777777" w:rsidR="00550FEB" w:rsidRPr="005E3B43" w:rsidRDefault="00550FEB" w:rsidP="00763BCF">
            <w:pPr>
              <w:pStyle w:val="Tablei"/>
              <w:ind w:right="-52"/>
            </w:pPr>
            <w:r w:rsidRPr="005E3B43">
              <w:t>(i) the manufacture of haematopoietic progenitor cells; or</w:t>
            </w:r>
          </w:p>
        </w:tc>
        <w:tc>
          <w:tcPr>
            <w:tcW w:w="1240" w:type="pct"/>
            <w:tcBorders>
              <w:top w:val="nil"/>
              <w:bottom w:val="nil"/>
            </w:tcBorders>
            <w:shd w:val="clear" w:color="auto" w:fill="auto"/>
            <w:vAlign w:val="bottom"/>
          </w:tcPr>
          <w:p w14:paraId="681C839F" w14:textId="77777777" w:rsidR="00550FEB" w:rsidRPr="005E3B43" w:rsidRDefault="00550FEB" w:rsidP="00763BCF">
            <w:pPr>
              <w:pStyle w:val="Tabletext"/>
            </w:pPr>
          </w:p>
        </w:tc>
      </w:tr>
      <w:tr w:rsidR="00550FEB" w:rsidRPr="005E3B43" w14:paraId="493E3410" w14:textId="77777777" w:rsidTr="005A786D">
        <w:tc>
          <w:tcPr>
            <w:tcW w:w="622" w:type="pct"/>
            <w:tcBorders>
              <w:top w:val="nil"/>
              <w:bottom w:val="single" w:sz="4" w:space="0" w:color="auto"/>
            </w:tcBorders>
            <w:shd w:val="clear" w:color="auto" w:fill="auto"/>
          </w:tcPr>
          <w:p w14:paraId="758E67F4" w14:textId="77777777" w:rsidR="00550FEB" w:rsidRPr="005E3B43" w:rsidRDefault="00550FEB" w:rsidP="00763BCF">
            <w:pPr>
              <w:pStyle w:val="Tabletext"/>
            </w:pPr>
          </w:p>
        </w:tc>
        <w:tc>
          <w:tcPr>
            <w:tcW w:w="3138" w:type="pct"/>
            <w:tcBorders>
              <w:top w:val="nil"/>
              <w:bottom w:val="single" w:sz="4" w:space="0" w:color="auto"/>
            </w:tcBorders>
            <w:shd w:val="clear" w:color="auto" w:fill="auto"/>
          </w:tcPr>
          <w:p w14:paraId="7336F1CD" w14:textId="77777777" w:rsidR="00550FEB" w:rsidRPr="005E3B43" w:rsidRDefault="00550FEB" w:rsidP="00763BCF">
            <w:pPr>
              <w:pStyle w:val="Tablei"/>
              <w:ind w:right="-52"/>
            </w:pPr>
            <w:r w:rsidRPr="005E3B43">
              <w:t>(ii) the manufacture of human blood and blood components (other than haematopoietic progenitor cells)</w:t>
            </w:r>
          </w:p>
        </w:tc>
        <w:tc>
          <w:tcPr>
            <w:tcW w:w="1240" w:type="pct"/>
            <w:tcBorders>
              <w:top w:val="nil"/>
              <w:bottom w:val="single" w:sz="4" w:space="0" w:color="auto"/>
            </w:tcBorders>
            <w:shd w:val="clear" w:color="auto" w:fill="auto"/>
            <w:vAlign w:val="bottom"/>
          </w:tcPr>
          <w:p w14:paraId="1DE7308C" w14:textId="77777777" w:rsidR="00550FEB" w:rsidRPr="005E3B43" w:rsidRDefault="00550FEB" w:rsidP="00763BCF">
            <w:pPr>
              <w:pStyle w:val="Tabletext"/>
            </w:pPr>
          </w:p>
        </w:tc>
      </w:tr>
      <w:tr w:rsidR="00550FEB" w:rsidRPr="005E3B43" w:rsidDel="00AE5E55" w14:paraId="723685DC" w14:textId="77777777" w:rsidTr="005A786D">
        <w:tc>
          <w:tcPr>
            <w:tcW w:w="622" w:type="pct"/>
            <w:tcBorders>
              <w:top w:val="single" w:sz="4" w:space="0" w:color="auto"/>
              <w:bottom w:val="single" w:sz="4" w:space="0" w:color="auto"/>
            </w:tcBorders>
            <w:shd w:val="clear" w:color="auto" w:fill="auto"/>
          </w:tcPr>
          <w:p w14:paraId="72603568" w14:textId="77777777" w:rsidR="00550FEB" w:rsidRPr="005E3B43" w:rsidDel="00AE5E55" w:rsidRDefault="00550FEB" w:rsidP="00763BCF">
            <w:pPr>
              <w:pStyle w:val="Tabletext"/>
            </w:pPr>
            <w:r w:rsidRPr="005E3B43">
              <w:t>8A</w:t>
            </w:r>
          </w:p>
        </w:tc>
        <w:tc>
          <w:tcPr>
            <w:tcW w:w="3138" w:type="pct"/>
            <w:tcBorders>
              <w:top w:val="single" w:sz="4" w:space="0" w:color="auto"/>
              <w:bottom w:val="single" w:sz="4" w:space="0" w:color="auto"/>
            </w:tcBorders>
            <w:shd w:val="clear" w:color="auto" w:fill="auto"/>
          </w:tcPr>
          <w:p w14:paraId="6FEDD0B0" w14:textId="77777777" w:rsidR="00550FEB" w:rsidRPr="005E3B43" w:rsidDel="00AE5E55" w:rsidRDefault="00550FEB" w:rsidP="00763BCF">
            <w:pPr>
              <w:pStyle w:val="Tabletext"/>
              <w:ind w:right="-52"/>
            </w:pPr>
            <w:r w:rsidRPr="005E3B43">
              <w:t>Application fee for the purposes of paragraph</w:t>
            </w:r>
            <w:r w:rsidR="004E6D00" w:rsidRPr="005E3B43">
              <w:t> </w:t>
            </w:r>
            <w:r w:rsidRPr="005E3B43">
              <w:t>40B(2)(g) of the Act, for an application under subsection</w:t>
            </w:r>
            <w:r w:rsidR="004E6D00" w:rsidRPr="005E3B43">
              <w:t> </w:t>
            </w:r>
            <w:r w:rsidRPr="005E3B43">
              <w:t xml:space="preserve">40B(1) of the Act (addition of manufacturing sites) for the variation of a licence to which </w:t>
            </w:r>
            <w:r w:rsidR="004E6D00" w:rsidRPr="005E3B43">
              <w:t>paragraph (</w:t>
            </w:r>
            <w:r w:rsidRPr="005E3B43">
              <w:t>a) of item</w:t>
            </w:r>
            <w:r w:rsidR="004E6D00" w:rsidRPr="005E3B43">
              <w:t> </w:t>
            </w:r>
            <w:r w:rsidRPr="005E3B43">
              <w:t>8 applies</w:t>
            </w:r>
          </w:p>
        </w:tc>
        <w:tc>
          <w:tcPr>
            <w:tcW w:w="1240" w:type="pct"/>
            <w:tcBorders>
              <w:top w:val="single" w:sz="4" w:space="0" w:color="auto"/>
              <w:bottom w:val="single" w:sz="4" w:space="0" w:color="auto"/>
            </w:tcBorders>
            <w:shd w:val="clear" w:color="auto" w:fill="auto"/>
          </w:tcPr>
          <w:p w14:paraId="116BDE29" w14:textId="77777777" w:rsidR="00550FEB" w:rsidRPr="005E3B43" w:rsidDel="00AE5E55" w:rsidRDefault="00E866D9" w:rsidP="00763BCF">
            <w:pPr>
              <w:pStyle w:val="Tabletext"/>
              <w:rPr>
                <w:rFonts w:eastAsia="Calibri"/>
                <w:lang w:eastAsia="en-US"/>
              </w:rPr>
            </w:pPr>
            <w:r w:rsidRPr="005E3B43">
              <w:t>927</w:t>
            </w:r>
          </w:p>
        </w:tc>
      </w:tr>
      <w:tr w:rsidR="00550FEB" w:rsidRPr="005E3B43" w:rsidDel="00AE5E55" w14:paraId="226AA817" w14:textId="77777777" w:rsidTr="005A786D">
        <w:tc>
          <w:tcPr>
            <w:tcW w:w="622" w:type="pct"/>
            <w:tcBorders>
              <w:top w:val="single" w:sz="4" w:space="0" w:color="auto"/>
              <w:bottom w:val="single" w:sz="4" w:space="0" w:color="auto"/>
            </w:tcBorders>
            <w:shd w:val="clear" w:color="auto" w:fill="auto"/>
          </w:tcPr>
          <w:p w14:paraId="30BA4741" w14:textId="77777777" w:rsidR="00550FEB" w:rsidRPr="005E3B43" w:rsidDel="00AE5E55" w:rsidRDefault="00550FEB" w:rsidP="00763BCF">
            <w:pPr>
              <w:pStyle w:val="Tabletext"/>
            </w:pPr>
            <w:r w:rsidRPr="005E3B43">
              <w:t>8B</w:t>
            </w:r>
          </w:p>
        </w:tc>
        <w:tc>
          <w:tcPr>
            <w:tcW w:w="3138" w:type="pct"/>
            <w:tcBorders>
              <w:top w:val="single" w:sz="4" w:space="0" w:color="auto"/>
              <w:bottom w:val="single" w:sz="4" w:space="0" w:color="auto"/>
            </w:tcBorders>
            <w:shd w:val="clear" w:color="auto" w:fill="auto"/>
          </w:tcPr>
          <w:p w14:paraId="754C45AD" w14:textId="77777777" w:rsidR="00550FEB" w:rsidRPr="005E3B43" w:rsidDel="00AE5E55" w:rsidRDefault="00550FEB" w:rsidP="00763BCF">
            <w:pPr>
              <w:pStyle w:val="Tabletext"/>
              <w:ind w:right="-52"/>
            </w:pPr>
            <w:r w:rsidRPr="005E3B43">
              <w:t>Application fee for the purposes of paragraph</w:t>
            </w:r>
            <w:r w:rsidR="004E6D00" w:rsidRPr="005E3B43">
              <w:t> </w:t>
            </w:r>
            <w:r w:rsidRPr="005E3B43">
              <w:t>40B(7)(d) of the Act, for an application under subsection</w:t>
            </w:r>
            <w:r w:rsidR="004E6D00" w:rsidRPr="005E3B43">
              <w:t> </w:t>
            </w:r>
            <w:r w:rsidRPr="005E3B43">
              <w:t xml:space="preserve">40B(6) of the Act for the variation of the manufacturing site authorisation in relation to a licence to which </w:t>
            </w:r>
            <w:r w:rsidR="004E6D00" w:rsidRPr="005E3B43">
              <w:t>paragraph (</w:t>
            </w:r>
            <w:r w:rsidRPr="005E3B43">
              <w:t>a) of item</w:t>
            </w:r>
            <w:r w:rsidR="004E6D00" w:rsidRPr="005E3B43">
              <w:t> </w:t>
            </w:r>
            <w:r w:rsidRPr="005E3B43">
              <w:t>8 applies</w:t>
            </w:r>
          </w:p>
        </w:tc>
        <w:tc>
          <w:tcPr>
            <w:tcW w:w="1240" w:type="pct"/>
            <w:tcBorders>
              <w:top w:val="single" w:sz="4" w:space="0" w:color="auto"/>
              <w:bottom w:val="single" w:sz="4" w:space="0" w:color="auto"/>
            </w:tcBorders>
            <w:shd w:val="clear" w:color="auto" w:fill="auto"/>
          </w:tcPr>
          <w:p w14:paraId="0A19FF7A" w14:textId="77777777" w:rsidR="00550FEB" w:rsidRPr="005E3B43" w:rsidDel="00AE5E55" w:rsidRDefault="00E866D9" w:rsidP="00763BCF">
            <w:pPr>
              <w:pStyle w:val="Tabletext"/>
              <w:rPr>
                <w:rFonts w:eastAsia="Calibri"/>
                <w:lang w:eastAsia="en-US"/>
              </w:rPr>
            </w:pPr>
            <w:r w:rsidRPr="005E3B43">
              <w:t>927</w:t>
            </w:r>
          </w:p>
        </w:tc>
      </w:tr>
      <w:tr w:rsidR="00550FEB" w:rsidRPr="005E3B43" w:rsidDel="00AE5E55" w14:paraId="34AF38F2" w14:textId="77777777" w:rsidTr="005A786D">
        <w:tc>
          <w:tcPr>
            <w:tcW w:w="622" w:type="pct"/>
            <w:tcBorders>
              <w:top w:val="single" w:sz="4" w:space="0" w:color="auto"/>
              <w:bottom w:val="single" w:sz="4" w:space="0" w:color="auto"/>
            </w:tcBorders>
            <w:shd w:val="clear" w:color="auto" w:fill="auto"/>
          </w:tcPr>
          <w:p w14:paraId="70BF39BE" w14:textId="77777777" w:rsidR="00550FEB" w:rsidRPr="005E3B43" w:rsidDel="00AE5E55" w:rsidRDefault="00550FEB" w:rsidP="00763BCF">
            <w:pPr>
              <w:pStyle w:val="Tabletext"/>
            </w:pPr>
            <w:r w:rsidRPr="005E3B43">
              <w:t>8C</w:t>
            </w:r>
          </w:p>
        </w:tc>
        <w:tc>
          <w:tcPr>
            <w:tcW w:w="3138" w:type="pct"/>
            <w:tcBorders>
              <w:top w:val="single" w:sz="4" w:space="0" w:color="auto"/>
              <w:bottom w:val="single" w:sz="4" w:space="0" w:color="auto"/>
            </w:tcBorders>
            <w:shd w:val="clear" w:color="auto" w:fill="auto"/>
          </w:tcPr>
          <w:p w14:paraId="7317217C" w14:textId="77777777" w:rsidR="00550FEB" w:rsidRPr="005E3B43" w:rsidDel="00AE5E55" w:rsidRDefault="00550FEB" w:rsidP="00763BCF">
            <w:pPr>
              <w:pStyle w:val="Tabletext"/>
              <w:ind w:right="-52"/>
            </w:pPr>
            <w:r w:rsidRPr="005E3B43">
              <w:t>Application fee for the purposes of paragraph</w:t>
            </w:r>
            <w:r w:rsidR="004E6D00" w:rsidRPr="005E3B43">
              <w:t> </w:t>
            </w:r>
            <w:r w:rsidRPr="005E3B43">
              <w:t>40B(9B)(c) of the Act, for an application under subsection</w:t>
            </w:r>
            <w:r w:rsidR="004E6D00" w:rsidRPr="005E3B43">
              <w:t> </w:t>
            </w:r>
            <w:r w:rsidRPr="005E3B43">
              <w:t xml:space="preserve">40B(9A) of the Act (removal of manufacturing sites) for the variation of a licence to which </w:t>
            </w:r>
            <w:r w:rsidR="004E6D00" w:rsidRPr="005E3B43">
              <w:t>paragraph (</w:t>
            </w:r>
            <w:r w:rsidRPr="005E3B43">
              <w:t>a) of item</w:t>
            </w:r>
            <w:r w:rsidR="004E6D00" w:rsidRPr="005E3B43">
              <w:t> </w:t>
            </w:r>
            <w:r w:rsidRPr="005E3B43">
              <w:t>8 applies</w:t>
            </w:r>
          </w:p>
        </w:tc>
        <w:tc>
          <w:tcPr>
            <w:tcW w:w="1240" w:type="pct"/>
            <w:tcBorders>
              <w:top w:val="single" w:sz="4" w:space="0" w:color="auto"/>
              <w:bottom w:val="single" w:sz="4" w:space="0" w:color="auto"/>
            </w:tcBorders>
            <w:shd w:val="clear" w:color="auto" w:fill="auto"/>
          </w:tcPr>
          <w:p w14:paraId="596C8ECD" w14:textId="77777777" w:rsidR="00550FEB" w:rsidRPr="005E3B43" w:rsidDel="00AE5E55" w:rsidRDefault="00E866D9" w:rsidP="00763BCF">
            <w:pPr>
              <w:pStyle w:val="Tabletext"/>
              <w:rPr>
                <w:rFonts w:eastAsia="Calibri"/>
                <w:lang w:eastAsia="en-US"/>
              </w:rPr>
            </w:pPr>
            <w:r w:rsidRPr="005E3B43">
              <w:t>927</w:t>
            </w:r>
          </w:p>
        </w:tc>
      </w:tr>
      <w:tr w:rsidR="00550FEB" w:rsidRPr="005E3B43" w14:paraId="0E072BEE" w14:textId="77777777" w:rsidTr="005A786D">
        <w:tc>
          <w:tcPr>
            <w:tcW w:w="622" w:type="pct"/>
            <w:tcBorders>
              <w:top w:val="single" w:sz="4" w:space="0" w:color="auto"/>
              <w:bottom w:val="nil"/>
            </w:tcBorders>
            <w:shd w:val="clear" w:color="auto" w:fill="auto"/>
          </w:tcPr>
          <w:p w14:paraId="41287A06" w14:textId="77777777" w:rsidR="00550FEB" w:rsidRPr="005E3B43" w:rsidRDefault="00550FEB" w:rsidP="00763BCF">
            <w:pPr>
              <w:pStyle w:val="Tabletext"/>
            </w:pPr>
            <w:r w:rsidRPr="005E3B43">
              <w:lastRenderedPageBreak/>
              <w:t>9</w:t>
            </w:r>
          </w:p>
        </w:tc>
        <w:tc>
          <w:tcPr>
            <w:tcW w:w="3138" w:type="pct"/>
            <w:tcBorders>
              <w:top w:val="single" w:sz="4" w:space="0" w:color="auto"/>
              <w:bottom w:val="nil"/>
            </w:tcBorders>
            <w:shd w:val="clear" w:color="auto" w:fill="auto"/>
          </w:tcPr>
          <w:p w14:paraId="48DE176A" w14:textId="77777777" w:rsidR="00550FEB" w:rsidRPr="005E3B43" w:rsidRDefault="00550FEB" w:rsidP="00763BCF">
            <w:pPr>
              <w:pStyle w:val="Tablea"/>
              <w:ind w:right="-52"/>
            </w:pPr>
            <w:r w:rsidRPr="005E3B43">
              <w:t>(a) Fee for paragraphs 38(1)(c) and 58(3)(b) of the Act for inspection within Australia (except for therapeutic goods mentioned in items</w:t>
            </w:r>
            <w:r w:rsidR="004E6D00" w:rsidRPr="005E3B43">
              <w:t> </w:t>
            </w:r>
            <w:r w:rsidRPr="005E3B43">
              <w:t>9AA, 9AB, 9AC and 9ACA), per hour, per inspector, for:</w:t>
            </w:r>
          </w:p>
        </w:tc>
        <w:tc>
          <w:tcPr>
            <w:tcW w:w="1240" w:type="pct"/>
            <w:tcBorders>
              <w:top w:val="single" w:sz="4" w:space="0" w:color="auto"/>
              <w:bottom w:val="nil"/>
            </w:tcBorders>
            <w:shd w:val="clear" w:color="auto" w:fill="auto"/>
          </w:tcPr>
          <w:p w14:paraId="0B35122E" w14:textId="77777777" w:rsidR="00550FEB" w:rsidRPr="005E3B43" w:rsidRDefault="004421A7" w:rsidP="00763BCF">
            <w:pPr>
              <w:pStyle w:val="Tabletext"/>
            </w:pPr>
            <w:r w:rsidRPr="005E3B43">
              <w:t>1,153</w:t>
            </w:r>
          </w:p>
        </w:tc>
      </w:tr>
      <w:tr w:rsidR="00550FEB" w:rsidRPr="005E3B43" w14:paraId="2E95E5DB" w14:textId="77777777" w:rsidTr="005A786D">
        <w:tc>
          <w:tcPr>
            <w:tcW w:w="622" w:type="pct"/>
            <w:tcBorders>
              <w:top w:val="nil"/>
              <w:bottom w:val="nil"/>
            </w:tcBorders>
            <w:shd w:val="clear" w:color="auto" w:fill="auto"/>
          </w:tcPr>
          <w:p w14:paraId="442D0C4C" w14:textId="77777777" w:rsidR="00550FEB" w:rsidRPr="005E3B43" w:rsidRDefault="00550FEB" w:rsidP="00763BCF">
            <w:pPr>
              <w:pStyle w:val="Tabletext"/>
            </w:pPr>
          </w:p>
        </w:tc>
        <w:tc>
          <w:tcPr>
            <w:tcW w:w="3138" w:type="pct"/>
            <w:tcBorders>
              <w:top w:val="nil"/>
              <w:bottom w:val="nil"/>
            </w:tcBorders>
            <w:shd w:val="clear" w:color="auto" w:fill="auto"/>
          </w:tcPr>
          <w:p w14:paraId="0F3D9A5A" w14:textId="77777777" w:rsidR="00550FEB" w:rsidRPr="005E3B43" w:rsidRDefault="00550FEB" w:rsidP="00763BCF">
            <w:pPr>
              <w:pStyle w:val="Tablei"/>
              <w:ind w:right="-52"/>
            </w:pPr>
            <w:r w:rsidRPr="005E3B43">
              <w:t>(i) the manufacture of therapeutic goods; or</w:t>
            </w:r>
          </w:p>
        </w:tc>
        <w:tc>
          <w:tcPr>
            <w:tcW w:w="1240" w:type="pct"/>
            <w:tcBorders>
              <w:top w:val="nil"/>
              <w:bottom w:val="nil"/>
            </w:tcBorders>
            <w:shd w:val="clear" w:color="auto" w:fill="auto"/>
            <w:vAlign w:val="bottom"/>
          </w:tcPr>
          <w:p w14:paraId="495720E6" w14:textId="77777777" w:rsidR="00550FEB" w:rsidRPr="005E3B43" w:rsidRDefault="00550FEB" w:rsidP="00763BCF">
            <w:pPr>
              <w:pStyle w:val="Tabletext"/>
            </w:pPr>
          </w:p>
        </w:tc>
      </w:tr>
      <w:tr w:rsidR="00550FEB" w:rsidRPr="005E3B43" w14:paraId="573C7654" w14:textId="77777777" w:rsidTr="005A786D">
        <w:tc>
          <w:tcPr>
            <w:tcW w:w="622" w:type="pct"/>
            <w:tcBorders>
              <w:top w:val="nil"/>
              <w:bottom w:val="nil"/>
            </w:tcBorders>
            <w:shd w:val="clear" w:color="auto" w:fill="auto"/>
          </w:tcPr>
          <w:p w14:paraId="479FD547" w14:textId="77777777" w:rsidR="00550FEB" w:rsidRPr="005E3B43" w:rsidRDefault="00550FEB" w:rsidP="00763BCF">
            <w:pPr>
              <w:pStyle w:val="Tabletext"/>
            </w:pPr>
          </w:p>
        </w:tc>
        <w:tc>
          <w:tcPr>
            <w:tcW w:w="3138" w:type="pct"/>
            <w:tcBorders>
              <w:top w:val="nil"/>
              <w:bottom w:val="nil"/>
            </w:tcBorders>
            <w:shd w:val="clear" w:color="auto" w:fill="auto"/>
          </w:tcPr>
          <w:p w14:paraId="59C5F303" w14:textId="77777777" w:rsidR="00550FEB" w:rsidRPr="005E3B43" w:rsidRDefault="00550FEB" w:rsidP="00763BCF">
            <w:pPr>
              <w:pStyle w:val="Tablei"/>
              <w:ind w:right="-52"/>
            </w:pPr>
            <w:r w:rsidRPr="005E3B43">
              <w:t>(ii) one or more steps in the manufacture of therapeutic goods; or</w:t>
            </w:r>
          </w:p>
        </w:tc>
        <w:tc>
          <w:tcPr>
            <w:tcW w:w="1240" w:type="pct"/>
            <w:tcBorders>
              <w:top w:val="nil"/>
              <w:bottom w:val="nil"/>
            </w:tcBorders>
            <w:shd w:val="clear" w:color="auto" w:fill="auto"/>
            <w:vAlign w:val="bottom"/>
          </w:tcPr>
          <w:p w14:paraId="1A089B59" w14:textId="77777777" w:rsidR="00550FEB" w:rsidRPr="005E3B43" w:rsidRDefault="00550FEB" w:rsidP="00763BCF">
            <w:pPr>
              <w:pStyle w:val="Tabletext"/>
            </w:pPr>
          </w:p>
        </w:tc>
      </w:tr>
      <w:tr w:rsidR="00550FEB" w:rsidRPr="005E3B43" w14:paraId="3D3F9014" w14:textId="77777777" w:rsidTr="005A786D">
        <w:tc>
          <w:tcPr>
            <w:tcW w:w="622" w:type="pct"/>
            <w:tcBorders>
              <w:top w:val="nil"/>
              <w:bottom w:val="nil"/>
            </w:tcBorders>
            <w:shd w:val="clear" w:color="auto" w:fill="auto"/>
          </w:tcPr>
          <w:p w14:paraId="45945BEB" w14:textId="77777777" w:rsidR="00550FEB" w:rsidRPr="005E3B43" w:rsidRDefault="00550FEB" w:rsidP="00763BCF">
            <w:pPr>
              <w:pStyle w:val="Tabletext"/>
            </w:pPr>
          </w:p>
        </w:tc>
        <w:tc>
          <w:tcPr>
            <w:tcW w:w="3138" w:type="pct"/>
            <w:tcBorders>
              <w:top w:val="nil"/>
              <w:bottom w:val="nil"/>
            </w:tcBorders>
            <w:shd w:val="clear" w:color="auto" w:fill="auto"/>
          </w:tcPr>
          <w:p w14:paraId="67971352" w14:textId="77777777" w:rsidR="00550FEB" w:rsidRPr="005E3B43" w:rsidRDefault="00550FEB" w:rsidP="00763BCF">
            <w:pPr>
              <w:pStyle w:val="Tablei"/>
              <w:ind w:right="-52"/>
            </w:pPr>
            <w:r w:rsidRPr="005E3B43">
              <w:t>(iii) the manufacture of ingredients or components for use in the manufacture of therapeutic goods; or</w:t>
            </w:r>
          </w:p>
        </w:tc>
        <w:tc>
          <w:tcPr>
            <w:tcW w:w="1240" w:type="pct"/>
            <w:tcBorders>
              <w:top w:val="nil"/>
              <w:bottom w:val="nil"/>
            </w:tcBorders>
            <w:shd w:val="clear" w:color="auto" w:fill="auto"/>
            <w:vAlign w:val="bottom"/>
          </w:tcPr>
          <w:p w14:paraId="29CD1F89" w14:textId="77777777" w:rsidR="00550FEB" w:rsidRPr="005E3B43" w:rsidRDefault="00550FEB" w:rsidP="00763BCF">
            <w:pPr>
              <w:pStyle w:val="Tabletext"/>
            </w:pPr>
          </w:p>
        </w:tc>
      </w:tr>
      <w:tr w:rsidR="00550FEB" w:rsidRPr="005E3B43" w14:paraId="25DDF2F4" w14:textId="77777777" w:rsidTr="005A786D">
        <w:tc>
          <w:tcPr>
            <w:tcW w:w="622" w:type="pct"/>
            <w:tcBorders>
              <w:top w:val="nil"/>
              <w:bottom w:val="nil"/>
            </w:tcBorders>
            <w:shd w:val="clear" w:color="auto" w:fill="auto"/>
          </w:tcPr>
          <w:p w14:paraId="4A8729C7" w14:textId="77777777" w:rsidR="00550FEB" w:rsidRPr="005E3B43" w:rsidRDefault="00550FEB" w:rsidP="00763BCF">
            <w:pPr>
              <w:pStyle w:val="Tabletext"/>
            </w:pPr>
          </w:p>
        </w:tc>
        <w:tc>
          <w:tcPr>
            <w:tcW w:w="3138" w:type="pct"/>
            <w:tcBorders>
              <w:top w:val="nil"/>
              <w:bottom w:val="nil"/>
            </w:tcBorders>
            <w:shd w:val="clear" w:color="auto" w:fill="auto"/>
          </w:tcPr>
          <w:p w14:paraId="3E5AA151" w14:textId="77777777" w:rsidR="00550FEB" w:rsidRPr="005E3B43" w:rsidRDefault="00550FEB" w:rsidP="00763BCF">
            <w:pPr>
              <w:pStyle w:val="Tablei"/>
              <w:ind w:right="-52"/>
            </w:pPr>
            <w:r w:rsidRPr="005E3B43">
              <w:t>(iv) the manufacture of herbal or homoeopathic preparations</w:t>
            </w:r>
          </w:p>
        </w:tc>
        <w:tc>
          <w:tcPr>
            <w:tcW w:w="1240" w:type="pct"/>
            <w:tcBorders>
              <w:top w:val="nil"/>
              <w:bottom w:val="nil"/>
            </w:tcBorders>
            <w:shd w:val="clear" w:color="auto" w:fill="auto"/>
            <w:vAlign w:val="bottom"/>
          </w:tcPr>
          <w:p w14:paraId="35EB7B17" w14:textId="77777777" w:rsidR="00550FEB" w:rsidRPr="005E3B43" w:rsidRDefault="00550FEB" w:rsidP="00763BCF">
            <w:pPr>
              <w:pStyle w:val="Tabletext"/>
            </w:pPr>
          </w:p>
        </w:tc>
      </w:tr>
      <w:tr w:rsidR="00550FEB" w:rsidRPr="005E3B43" w14:paraId="30C2F614" w14:textId="77777777" w:rsidTr="005A786D">
        <w:tc>
          <w:tcPr>
            <w:tcW w:w="622" w:type="pct"/>
            <w:tcBorders>
              <w:top w:val="nil"/>
              <w:bottom w:val="single" w:sz="4" w:space="0" w:color="auto"/>
            </w:tcBorders>
            <w:shd w:val="clear" w:color="auto" w:fill="auto"/>
          </w:tcPr>
          <w:p w14:paraId="4EBE4D10" w14:textId="77777777" w:rsidR="00550FEB" w:rsidRPr="005E3B43" w:rsidRDefault="00550FEB" w:rsidP="00763BCF">
            <w:pPr>
              <w:pStyle w:val="Tabletext"/>
            </w:pPr>
          </w:p>
        </w:tc>
        <w:tc>
          <w:tcPr>
            <w:tcW w:w="3138" w:type="pct"/>
            <w:tcBorders>
              <w:top w:val="nil"/>
              <w:bottom w:val="single" w:sz="4" w:space="0" w:color="auto"/>
            </w:tcBorders>
            <w:shd w:val="clear" w:color="auto" w:fill="auto"/>
          </w:tcPr>
          <w:p w14:paraId="759F3128" w14:textId="77777777" w:rsidR="00550FEB" w:rsidRPr="005E3B43" w:rsidRDefault="00550FEB" w:rsidP="00763BCF">
            <w:pPr>
              <w:pStyle w:val="Tablea"/>
              <w:ind w:right="-52"/>
            </w:pPr>
            <w:r w:rsidRPr="005E3B43">
              <w:t xml:space="preserve">(b) Fee for inspection outside Australia, per hour, per inspector, for inspection of a kind mentioned in </w:t>
            </w:r>
            <w:r w:rsidR="004E6D00" w:rsidRPr="005E3B43">
              <w:t>paragraph (</w:t>
            </w:r>
            <w:r w:rsidRPr="005E3B43">
              <w:t>a)</w:t>
            </w:r>
          </w:p>
        </w:tc>
        <w:tc>
          <w:tcPr>
            <w:tcW w:w="1240" w:type="pct"/>
            <w:tcBorders>
              <w:top w:val="nil"/>
              <w:bottom w:val="single" w:sz="4" w:space="0" w:color="auto"/>
            </w:tcBorders>
            <w:shd w:val="clear" w:color="auto" w:fill="auto"/>
          </w:tcPr>
          <w:p w14:paraId="772DBD45" w14:textId="77777777" w:rsidR="00550FEB" w:rsidRPr="005E3B43" w:rsidRDefault="004421A7" w:rsidP="00763BCF">
            <w:pPr>
              <w:pStyle w:val="Tabletext"/>
            </w:pPr>
            <w:r w:rsidRPr="005E3B43">
              <w:t>1,616</w:t>
            </w:r>
          </w:p>
        </w:tc>
      </w:tr>
      <w:tr w:rsidR="00550FEB" w:rsidRPr="005E3B43" w14:paraId="059D300E" w14:textId="77777777" w:rsidTr="005A786D">
        <w:tc>
          <w:tcPr>
            <w:tcW w:w="622" w:type="pct"/>
            <w:tcBorders>
              <w:top w:val="single" w:sz="4" w:space="0" w:color="auto"/>
              <w:bottom w:val="single" w:sz="4" w:space="0" w:color="auto"/>
            </w:tcBorders>
            <w:shd w:val="clear" w:color="auto" w:fill="auto"/>
          </w:tcPr>
          <w:p w14:paraId="42673A67" w14:textId="77777777" w:rsidR="00550FEB" w:rsidRPr="005E3B43" w:rsidRDefault="00550FEB" w:rsidP="00763BCF">
            <w:pPr>
              <w:pStyle w:val="Tabletext"/>
            </w:pPr>
            <w:r w:rsidRPr="005E3B43">
              <w:t>9AA</w:t>
            </w:r>
          </w:p>
        </w:tc>
        <w:tc>
          <w:tcPr>
            <w:tcW w:w="3138" w:type="pct"/>
            <w:tcBorders>
              <w:top w:val="single" w:sz="4" w:space="0" w:color="auto"/>
              <w:bottom w:val="single" w:sz="4" w:space="0" w:color="auto"/>
            </w:tcBorders>
            <w:shd w:val="clear" w:color="auto" w:fill="auto"/>
          </w:tcPr>
          <w:p w14:paraId="0D3852CB" w14:textId="77777777" w:rsidR="00550FEB" w:rsidRPr="005E3B43" w:rsidRDefault="00550FEB" w:rsidP="00763BCF">
            <w:pPr>
              <w:pStyle w:val="Tabletext"/>
              <w:ind w:right="-52"/>
            </w:pPr>
            <w:r w:rsidRPr="005E3B43">
              <w:t>Fee for inspection (including an inspection for paragraph</w:t>
            </w:r>
            <w:r w:rsidR="004E6D00" w:rsidRPr="005E3B43">
              <w:t> </w:t>
            </w:r>
            <w:r w:rsidRPr="005E3B43">
              <w:t>58(3)(b) of the Act) of manufacturing premises or operations for the preparation of haematopoietic progenitor cells under licence, for each inspector engaged per hour, or part of an hour</w:t>
            </w:r>
          </w:p>
        </w:tc>
        <w:tc>
          <w:tcPr>
            <w:tcW w:w="1240" w:type="pct"/>
            <w:tcBorders>
              <w:top w:val="single" w:sz="4" w:space="0" w:color="auto"/>
              <w:bottom w:val="single" w:sz="4" w:space="0" w:color="auto"/>
            </w:tcBorders>
            <w:shd w:val="clear" w:color="auto" w:fill="auto"/>
          </w:tcPr>
          <w:p w14:paraId="44CCF343" w14:textId="77777777" w:rsidR="00550FEB" w:rsidRPr="005E3B43" w:rsidRDefault="00D114EB" w:rsidP="00763BCF">
            <w:pPr>
              <w:pStyle w:val="Tabletext"/>
            </w:pPr>
            <w:r w:rsidRPr="005E3B43">
              <w:t>790</w:t>
            </w:r>
          </w:p>
        </w:tc>
      </w:tr>
      <w:tr w:rsidR="00550FEB" w:rsidRPr="005E3B43" w14:paraId="6DA07FFA" w14:textId="77777777" w:rsidTr="005A786D">
        <w:tc>
          <w:tcPr>
            <w:tcW w:w="622" w:type="pct"/>
            <w:tcBorders>
              <w:top w:val="single" w:sz="4" w:space="0" w:color="auto"/>
              <w:bottom w:val="single" w:sz="4" w:space="0" w:color="auto"/>
            </w:tcBorders>
            <w:shd w:val="clear" w:color="auto" w:fill="auto"/>
          </w:tcPr>
          <w:p w14:paraId="7A492CF9" w14:textId="77777777" w:rsidR="00550FEB" w:rsidRPr="005E3B43" w:rsidRDefault="00550FEB" w:rsidP="00763BCF">
            <w:pPr>
              <w:pStyle w:val="Tabletext"/>
            </w:pPr>
            <w:r w:rsidRPr="005E3B43">
              <w:t>9AB</w:t>
            </w:r>
          </w:p>
        </w:tc>
        <w:tc>
          <w:tcPr>
            <w:tcW w:w="3138" w:type="pct"/>
            <w:tcBorders>
              <w:top w:val="single" w:sz="4" w:space="0" w:color="auto"/>
              <w:bottom w:val="single" w:sz="4" w:space="0" w:color="auto"/>
            </w:tcBorders>
            <w:shd w:val="clear" w:color="auto" w:fill="auto"/>
          </w:tcPr>
          <w:p w14:paraId="644F4CE2" w14:textId="77777777" w:rsidR="00550FEB" w:rsidRPr="005E3B43" w:rsidRDefault="00550FEB" w:rsidP="00763BCF">
            <w:pPr>
              <w:pStyle w:val="Tabletext"/>
              <w:ind w:right="-52"/>
            </w:pPr>
            <w:r w:rsidRPr="005E3B43">
              <w:t>Fee for inspection (including an inspection for paragraph</w:t>
            </w:r>
            <w:r w:rsidR="004E6D00" w:rsidRPr="005E3B43">
              <w:t> </w:t>
            </w:r>
            <w:r w:rsidRPr="005E3B43">
              <w:t xml:space="preserve">58(3)(b) of the Act) of manufacturing premises or operations for the preparation of </w:t>
            </w:r>
            <w:r w:rsidRPr="005E3B43">
              <w:rPr>
                <w:szCs w:val="22"/>
              </w:rPr>
              <w:t>human blood and blood components (other than haematopoietic progenitor cells)</w:t>
            </w:r>
            <w:r w:rsidRPr="005E3B43">
              <w:t xml:space="preserve"> under licence, at the primary site covered by the licence, for each inspector engaged per hour, or part of an hour</w:t>
            </w:r>
          </w:p>
        </w:tc>
        <w:tc>
          <w:tcPr>
            <w:tcW w:w="1240" w:type="pct"/>
            <w:tcBorders>
              <w:top w:val="single" w:sz="4" w:space="0" w:color="auto"/>
              <w:bottom w:val="single" w:sz="4" w:space="0" w:color="auto"/>
            </w:tcBorders>
            <w:shd w:val="clear" w:color="auto" w:fill="auto"/>
          </w:tcPr>
          <w:p w14:paraId="514560D4" w14:textId="77777777" w:rsidR="00550FEB" w:rsidRPr="005E3B43" w:rsidRDefault="00D114EB" w:rsidP="00763BCF">
            <w:pPr>
              <w:pStyle w:val="Tabletext"/>
            </w:pPr>
            <w:r w:rsidRPr="005E3B43">
              <w:t>1,074</w:t>
            </w:r>
          </w:p>
        </w:tc>
      </w:tr>
      <w:tr w:rsidR="00550FEB" w:rsidRPr="005E3B43" w14:paraId="55F904EA" w14:textId="77777777" w:rsidTr="005A786D">
        <w:tc>
          <w:tcPr>
            <w:tcW w:w="622" w:type="pct"/>
            <w:tcBorders>
              <w:top w:val="single" w:sz="4" w:space="0" w:color="auto"/>
              <w:bottom w:val="single" w:sz="4" w:space="0" w:color="auto"/>
            </w:tcBorders>
            <w:shd w:val="clear" w:color="auto" w:fill="auto"/>
          </w:tcPr>
          <w:p w14:paraId="415A874A" w14:textId="77777777" w:rsidR="00550FEB" w:rsidRPr="005E3B43" w:rsidRDefault="00550FEB" w:rsidP="00763BCF">
            <w:pPr>
              <w:pStyle w:val="Tabletext"/>
            </w:pPr>
            <w:r w:rsidRPr="005E3B43">
              <w:t>9AC</w:t>
            </w:r>
          </w:p>
        </w:tc>
        <w:tc>
          <w:tcPr>
            <w:tcW w:w="3138" w:type="pct"/>
            <w:tcBorders>
              <w:top w:val="single" w:sz="4" w:space="0" w:color="auto"/>
              <w:bottom w:val="single" w:sz="4" w:space="0" w:color="auto"/>
            </w:tcBorders>
            <w:shd w:val="clear" w:color="auto" w:fill="auto"/>
          </w:tcPr>
          <w:p w14:paraId="49050A42" w14:textId="77777777" w:rsidR="00550FEB" w:rsidRPr="005E3B43" w:rsidRDefault="00550FEB" w:rsidP="00763BCF">
            <w:pPr>
              <w:pStyle w:val="Tabletext"/>
              <w:ind w:right="-52"/>
            </w:pPr>
            <w:r w:rsidRPr="005E3B43">
              <w:t>Fee for inspection (including an inspection for paragraph</w:t>
            </w:r>
            <w:r w:rsidR="004E6D00" w:rsidRPr="005E3B43">
              <w:t> </w:t>
            </w:r>
            <w:r w:rsidRPr="005E3B43">
              <w:t xml:space="preserve">58(3)(b) of the Act) of manufacturing premises or operations for the preparation of </w:t>
            </w:r>
            <w:r w:rsidRPr="005E3B43">
              <w:rPr>
                <w:szCs w:val="22"/>
              </w:rPr>
              <w:t>human blood and blood components (other than haematopoietic progenitor cells)</w:t>
            </w:r>
            <w:r w:rsidRPr="005E3B43">
              <w:t xml:space="preserve"> under licence, at a site covered by the licence </w:t>
            </w:r>
            <w:r w:rsidRPr="005E3B43">
              <w:rPr>
                <w:szCs w:val="22"/>
              </w:rPr>
              <w:t>(other than a site to which item</w:t>
            </w:r>
            <w:r w:rsidR="004E6D00" w:rsidRPr="005E3B43">
              <w:rPr>
                <w:szCs w:val="22"/>
              </w:rPr>
              <w:t> </w:t>
            </w:r>
            <w:r w:rsidRPr="005E3B43">
              <w:rPr>
                <w:szCs w:val="22"/>
              </w:rPr>
              <w:t xml:space="preserve">9AB applies), </w:t>
            </w:r>
            <w:r w:rsidRPr="005E3B43">
              <w:t>for each inspector engaged per hour, or part of an hour</w:t>
            </w:r>
          </w:p>
        </w:tc>
        <w:tc>
          <w:tcPr>
            <w:tcW w:w="1240" w:type="pct"/>
            <w:tcBorders>
              <w:top w:val="single" w:sz="4" w:space="0" w:color="auto"/>
              <w:bottom w:val="single" w:sz="4" w:space="0" w:color="auto"/>
            </w:tcBorders>
            <w:shd w:val="clear" w:color="auto" w:fill="auto"/>
          </w:tcPr>
          <w:p w14:paraId="616760CA" w14:textId="77777777" w:rsidR="00550FEB" w:rsidRPr="005E3B43" w:rsidRDefault="00F43B00" w:rsidP="00763BCF">
            <w:pPr>
              <w:pStyle w:val="Tabletext"/>
            </w:pPr>
            <w:r w:rsidRPr="005E3B43">
              <w:t>790</w:t>
            </w:r>
          </w:p>
        </w:tc>
      </w:tr>
      <w:tr w:rsidR="00550FEB" w:rsidRPr="005E3B43" w14:paraId="52AC8B47" w14:textId="77777777" w:rsidTr="005A786D">
        <w:tc>
          <w:tcPr>
            <w:tcW w:w="622" w:type="pct"/>
            <w:tcBorders>
              <w:top w:val="single" w:sz="4" w:space="0" w:color="auto"/>
              <w:bottom w:val="single" w:sz="4" w:space="0" w:color="auto"/>
            </w:tcBorders>
            <w:shd w:val="clear" w:color="auto" w:fill="auto"/>
          </w:tcPr>
          <w:p w14:paraId="4D3E758D" w14:textId="77777777" w:rsidR="00550FEB" w:rsidRPr="005E3B43" w:rsidRDefault="00550FEB" w:rsidP="00763BCF">
            <w:pPr>
              <w:pStyle w:val="Tabletext"/>
            </w:pPr>
            <w:r w:rsidRPr="005E3B43">
              <w:t>9ACA</w:t>
            </w:r>
          </w:p>
        </w:tc>
        <w:tc>
          <w:tcPr>
            <w:tcW w:w="3138" w:type="pct"/>
            <w:tcBorders>
              <w:top w:val="single" w:sz="4" w:space="0" w:color="auto"/>
              <w:bottom w:val="single" w:sz="4" w:space="0" w:color="auto"/>
            </w:tcBorders>
            <w:shd w:val="clear" w:color="auto" w:fill="auto"/>
          </w:tcPr>
          <w:p w14:paraId="70307551" w14:textId="77777777" w:rsidR="00550FEB" w:rsidRPr="005E3B43" w:rsidRDefault="00550FEB" w:rsidP="00763BCF">
            <w:pPr>
              <w:pStyle w:val="Tabletext"/>
              <w:ind w:right="-52"/>
            </w:pPr>
            <w:r w:rsidRPr="005E3B43">
              <w:t>Fee for inspection (including an inspection for paragraph</w:t>
            </w:r>
            <w:r w:rsidR="004E6D00" w:rsidRPr="005E3B43">
              <w:t> </w:t>
            </w:r>
            <w:r w:rsidRPr="005E3B43">
              <w:t>58(3)(b) of the Act) of manufacturing premises or operations for the preparation of human tissues under licence, for each inspector engaged per hour, or part of an hour</w:t>
            </w:r>
          </w:p>
        </w:tc>
        <w:tc>
          <w:tcPr>
            <w:tcW w:w="1240" w:type="pct"/>
            <w:tcBorders>
              <w:top w:val="single" w:sz="4" w:space="0" w:color="auto"/>
              <w:bottom w:val="single" w:sz="4" w:space="0" w:color="auto"/>
            </w:tcBorders>
            <w:shd w:val="clear" w:color="auto" w:fill="auto"/>
          </w:tcPr>
          <w:p w14:paraId="0E118F21" w14:textId="77777777" w:rsidR="00550FEB" w:rsidRPr="005E3B43" w:rsidRDefault="00F43B00" w:rsidP="00763BCF">
            <w:pPr>
              <w:pStyle w:val="Tabletext"/>
            </w:pPr>
            <w:r w:rsidRPr="005E3B43">
              <w:t>790</w:t>
            </w:r>
          </w:p>
        </w:tc>
      </w:tr>
      <w:tr w:rsidR="00550FEB" w:rsidRPr="005E3B43" w14:paraId="746097E7" w14:textId="77777777" w:rsidTr="005A786D">
        <w:trPr>
          <w:cantSplit/>
        </w:trPr>
        <w:tc>
          <w:tcPr>
            <w:tcW w:w="622" w:type="pct"/>
            <w:tcBorders>
              <w:top w:val="single" w:sz="4" w:space="0" w:color="auto"/>
              <w:bottom w:val="nil"/>
            </w:tcBorders>
            <w:shd w:val="clear" w:color="auto" w:fill="auto"/>
          </w:tcPr>
          <w:p w14:paraId="4067F5AA" w14:textId="77777777" w:rsidR="00550FEB" w:rsidRPr="005E3B43" w:rsidRDefault="00550FEB" w:rsidP="00763BCF">
            <w:pPr>
              <w:pStyle w:val="Tabletext"/>
            </w:pPr>
            <w:r w:rsidRPr="005E3B43">
              <w:t>9AD</w:t>
            </w:r>
          </w:p>
        </w:tc>
        <w:tc>
          <w:tcPr>
            <w:tcW w:w="3138" w:type="pct"/>
            <w:tcBorders>
              <w:top w:val="single" w:sz="4" w:space="0" w:color="auto"/>
              <w:bottom w:val="nil"/>
            </w:tcBorders>
            <w:shd w:val="clear" w:color="auto" w:fill="auto"/>
          </w:tcPr>
          <w:p w14:paraId="6F48508C" w14:textId="77777777" w:rsidR="00550FEB" w:rsidRPr="005E3B43" w:rsidRDefault="00550FEB" w:rsidP="00763BCF">
            <w:pPr>
              <w:pStyle w:val="Tabletext"/>
              <w:ind w:right="-52"/>
            </w:pPr>
            <w:r w:rsidRPr="005E3B43">
              <w:t>Fee for paragraph</w:t>
            </w:r>
            <w:r w:rsidR="004E6D00" w:rsidRPr="005E3B43">
              <w:t> </w:t>
            </w:r>
            <w:r w:rsidRPr="005E3B43">
              <w:t>25(1)(g) or (h), or 26(1)(g) or (h) of the Act (and, in relation to associated inspections, for paragraphs 38(1)(c), 41(1)(f) and 58(3)(b) of the Act), in respect of the evaluation of the manufacture of human blood and blood components prepared under licence by reference to data contained in files known as technical master files or plasma master files, where the total number of pages of each file referred to is:</w:t>
            </w:r>
          </w:p>
        </w:tc>
        <w:tc>
          <w:tcPr>
            <w:tcW w:w="1240" w:type="pct"/>
            <w:tcBorders>
              <w:top w:val="single" w:sz="4" w:space="0" w:color="auto"/>
              <w:bottom w:val="nil"/>
            </w:tcBorders>
            <w:shd w:val="clear" w:color="auto" w:fill="auto"/>
          </w:tcPr>
          <w:p w14:paraId="44470A3D" w14:textId="77777777" w:rsidR="00550FEB" w:rsidRPr="005E3B43" w:rsidRDefault="00550FEB" w:rsidP="00763BCF">
            <w:pPr>
              <w:pStyle w:val="Tabletext"/>
            </w:pPr>
          </w:p>
        </w:tc>
      </w:tr>
      <w:tr w:rsidR="00550FEB" w:rsidRPr="005E3B43" w14:paraId="1448E6A1" w14:textId="77777777" w:rsidTr="005A786D">
        <w:tc>
          <w:tcPr>
            <w:tcW w:w="622" w:type="pct"/>
            <w:tcBorders>
              <w:top w:val="nil"/>
              <w:bottom w:val="nil"/>
            </w:tcBorders>
            <w:shd w:val="clear" w:color="auto" w:fill="auto"/>
          </w:tcPr>
          <w:p w14:paraId="38B07FA4" w14:textId="77777777" w:rsidR="00550FEB" w:rsidRPr="005E3B43" w:rsidRDefault="00550FEB" w:rsidP="00763BCF">
            <w:pPr>
              <w:pStyle w:val="Tabletext"/>
            </w:pPr>
          </w:p>
        </w:tc>
        <w:tc>
          <w:tcPr>
            <w:tcW w:w="3138" w:type="pct"/>
            <w:tcBorders>
              <w:top w:val="nil"/>
              <w:bottom w:val="nil"/>
            </w:tcBorders>
            <w:shd w:val="clear" w:color="auto" w:fill="auto"/>
          </w:tcPr>
          <w:p w14:paraId="661D80D4" w14:textId="77777777" w:rsidR="00550FEB" w:rsidRPr="005E3B43" w:rsidRDefault="00550FEB" w:rsidP="00763BCF">
            <w:pPr>
              <w:pStyle w:val="Tablea"/>
              <w:ind w:right="-52"/>
            </w:pPr>
            <w:r w:rsidRPr="005E3B43">
              <w:t>(a) not over 10 pages</w:t>
            </w:r>
          </w:p>
        </w:tc>
        <w:tc>
          <w:tcPr>
            <w:tcW w:w="1240" w:type="pct"/>
            <w:tcBorders>
              <w:top w:val="nil"/>
              <w:bottom w:val="nil"/>
            </w:tcBorders>
            <w:shd w:val="clear" w:color="auto" w:fill="auto"/>
          </w:tcPr>
          <w:p w14:paraId="14E44572" w14:textId="77777777" w:rsidR="00550FEB" w:rsidRPr="005E3B43" w:rsidRDefault="00657BCC" w:rsidP="00763BCF">
            <w:pPr>
              <w:pStyle w:val="Tabletext"/>
            </w:pPr>
            <w:r w:rsidRPr="005E3B43">
              <w:t>1,560</w:t>
            </w:r>
          </w:p>
        </w:tc>
      </w:tr>
      <w:tr w:rsidR="00550FEB" w:rsidRPr="005E3B43" w14:paraId="74C7F291" w14:textId="77777777" w:rsidTr="005A786D">
        <w:tc>
          <w:tcPr>
            <w:tcW w:w="622" w:type="pct"/>
            <w:tcBorders>
              <w:top w:val="nil"/>
              <w:bottom w:val="nil"/>
            </w:tcBorders>
            <w:shd w:val="clear" w:color="auto" w:fill="auto"/>
          </w:tcPr>
          <w:p w14:paraId="4BC47B84" w14:textId="77777777" w:rsidR="00550FEB" w:rsidRPr="005E3B43" w:rsidRDefault="00550FEB" w:rsidP="00763BCF">
            <w:pPr>
              <w:pStyle w:val="Tabletext"/>
            </w:pPr>
          </w:p>
        </w:tc>
        <w:tc>
          <w:tcPr>
            <w:tcW w:w="3138" w:type="pct"/>
            <w:tcBorders>
              <w:top w:val="nil"/>
              <w:bottom w:val="nil"/>
            </w:tcBorders>
            <w:shd w:val="clear" w:color="auto" w:fill="auto"/>
          </w:tcPr>
          <w:p w14:paraId="4BC3464D" w14:textId="77777777" w:rsidR="00550FEB" w:rsidRPr="005E3B43" w:rsidRDefault="00550FEB" w:rsidP="00763BCF">
            <w:pPr>
              <w:pStyle w:val="Tablea"/>
              <w:ind w:right="-52"/>
            </w:pPr>
            <w:r w:rsidRPr="005E3B43">
              <w:t>(b) over 10 pages, but not over 50 pages</w:t>
            </w:r>
          </w:p>
        </w:tc>
        <w:tc>
          <w:tcPr>
            <w:tcW w:w="1240" w:type="pct"/>
            <w:tcBorders>
              <w:top w:val="nil"/>
              <w:bottom w:val="nil"/>
            </w:tcBorders>
            <w:shd w:val="clear" w:color="auto" w:fill="auto"/>
          </w:tcPr>
          <w:p w14:paraId="1D6CDF87" w14:textId="77777777" w:rsidR="00550FEB" w:rsidRPr="005E3B43" w:rsidRDefault="00657BCC" w:rsidP="00763BCF">
            <w:pPr>
              <w:pStyle w:val="Tabletext"/>
            </w:pPr>
            <w:r w:rsidRPr="005E3B43">
              <w:t>13,222</w:t>
            </w:r>
          </w:p>
        </w:tc>
      </w:tr>
      <w:tr w:rsidR="00550FEB" w:rsidRPr="005E3B43" w14:paraId="31A8C699" w14:textId="77777777" w:rsidTr="005A786D">
        <w:tc>
          <w:tcPr>
            <w:tcW w:w="622" w:type="pct"/>
            <w:tcBorders>
              <w:top w:val="nil"/>
              <w:bottom w:val="nil"/>
            </w:tcBorders>
            <w:shd w:val="clear" w:color="auto" w:fill="auto"/>
          </w:tcPr>
          <w:p w14:paraId="35B18B2E" w14:textId="77777777" w:rsidR="00550FEB" w:rsidRPr="005E3B43" w:rsidRDefault="00550FEB" w:rsidP="00763BCF">
            <w:pPr>
              <w:pStyle w:val="Tabletext"/>
            </w:pPr>
          </w:p>
        </w:tc>
        <w:tc>
          <w:tcPr>
            <w:tcW w:w="3138" w:type="pct"/>
            <w:tcBorders>
              <w:top w:val="nil"/>
              <w:bottom w:val="nil"/>
            </w:tcBorders>
            <w:shd w:val="clear" w:color="auto" w:fill="auto"/>
          </w:tcPr>
          <w:p w14:paraId="773529C4" w14:textId="77777777" w:rsidR="00550FEB" w:rsidRPr="005E3B43" w:rsidRDefault="00550FEB" w:rsidP="00763BCF">
            <w:pPr>
              <w:pStyle w:val="Tablea"/>
              <w:ind w:right="-52"/>
            </w:pPr>
            <w:r w:rsidRPr="005E3B43">
              <w:t>(c) over 50 pages, but not over 100 pages</w:t>
            </w:r>
          </w:p>
        </w:tc>
        <w:tc>
          <w:tcPr>
            <w:tcW w:w="1240" w:type="pct"/>
            <w:tcBorders>
              <w:top w:val="nil"/>
              <w:bottom w:val="nil"/>
            </w:tcBorders>
            <w:shd w:val="clear" w:color="auto" w:fill="auto"/>
          </w:tcPr>
          <w:p w14:paraId="4D903E09" w14:textId="77777777" w:rsidR="00550FEB" w:rsidRPr="005E3B43" w:rsidRDefault="00657BCC" w:rsidP="00763BCF">
            <w:pPr>
              <w:pStyle w:val="Tabletext"/>
            </w:pPr>
            <w:r w:rsidRPr="005E3B43">
              <w:t>29,833</w:t>
            </w:r>
          </w:p>
        </w:tc>
      </w:tr>
      <w:tr w:rsidR="00550FEB" w:rsidRPr="005E3B43" w14:paraId="082520FB" w14:textId="77777777" w:rsidTr="005A786D">
        <w:tc>
          <w:tcPr>
            <w:tcW w:w="622" w:type="pct"/>
            <w:tcBorders>
              <w:top w:val="nil"/>
              <w:bottom w:val="nil"/>
            </w:tcBorders>
            <w:shd w:val="clear" w:color="auto" w:fill="auto"/>
          </w:tcPr>
          <w:p w14:paraId="32D7A191" w14:textId="77777777" w:rsidR="00550FEB" w:rsidRPr="005E3B43" w:rsidRDefault="00550FEB" w:rsidP="00763BCF">
            <w:pPr>
              <w:pStyle w:val="Tabletext"/>
            </w:pPr>
          </w:p>
        </w:tc>
        <w:tc>
          <w:tcPr>
            <w:tcW w:w="3138" w:type="pct"/>
            <w:tcBorders>
              <w:top w:val="nil"/>
              <w:bottom w:val="nil"/>
            </w:tcBorders>
            <w:shd w:val="clear" w:color="auto" w:fill="auto"/>
          </w:tcPr>
          <w:p w14:paraId="155E042E" w14:textId="77777777" w:rsidR="00550FEB" w:rsidRPr="005E3B43" w:rsidRDefault="00550FEB" w:rsidP="00763BCF">
            <w:pPr>
              <w:pStyle w:val="Tablea"/>
              <w:ind w:right="-52"/>
            </w:pPr>
            <w:r w:rsidRPr="005E3B43">
              <w:t>(d) over 100 pages, but not over 1</w:t>
            </w:r>
            <w:r w:rsidR="004E6D00" w:rsidRPr="005E3B43">
              <w:t> </w:t>
            </w:r>
            <w:r w:rsidRPr="005E3B43">
              <w:t>000 pages</w:t>
            </w:r>
          </w:p>
        </w:tc>
        <w:tc>
          <w:tcPr>
            <w:tcW w:w="1240" w:type="pct"/>
            <w:tcBorders>
              <w:top w:val="nil"/>
              <w:bottom w:val="nil"/>
            </w:tcBorders>
            <w:shd w:val="clear" w:color="auto" w:fill="auto"/>
          </w:tcPr>
          <w:p w14:paraId="52D31DA5" w14:textId="77777777" w:rsidR="00550FEB" w:rsidRPr="005E3B43" w:rsidRDefault="00BF355B" w:rsidP="00763BCF">
            <w:pPr>
              <w:pStyle w:val="Tabletext"/>
            </w:pPr>
            <w:r w:rsidRPr="005E3B43">
              <w:t>40,118</w:t>
            </w:r>
          </w:p>
        </w:tc>
      </w:tr>
      <w:tr w:rsidR="00550FEB" w:rsidRPr="005E3B43" w14:paraId="656462A4" w14:textId="77777777" w:rsidTr="005A786D">
        <w:tc>
          <w:tcPr>
            <w:tcW w:w="622" w:type="pct"/>
            <w:tcBorders>
              <w:top w:val="nil"/>
              <w:bottom w:val="nil"/>
            </w:tcBorders>
            <w:shd w:val="clear" w:color="auto" w:fill="auto"/>
          </w:tcPr>
          <w:p w14:paraId="136EEF17" w14:textId="77777777" w:rsidR="00550FEB" w:rsidRPr="005E3B43" w:rsidRDefault="00550FEB" w:rsidP="00763BCF">
            <w:pPr>
              <w:pStyle w:val="Tabletext"/>
            </w:pPr>
          </w:p>
        </w:tc>
        <w:tc>
          <w:tcPr>
            <w:tcW w:w="3138" w:type="pct"/>
            <w:tcBorders>
              <w:top w:val="nil"/>
              <w:bottom w:val="nil"/>
            </w:tcBorders>
            <w:shd w:val="clear" w:color="auto" w:fill="auto"/>
          </w:tcPr>
          <w:p w14:paraId="21D6F7C9" w14:textId="77777777" w:rsidR="00550FEB" w:rsidRPr="005E3B43" w:rsidRDefault="00550FEB" w:rsidP="00763BCF">
            <w:pPr>
              <w:pStyle w:val="Tablea"/>
              <w:ind w:right="-52"/>
            </w:pPr>
            <w:r w:rsidRPr="005E3B43">
              <w:t>(e) over 1</w:t>
            </w:r>
            <w:r w:rsidR="004E6D00" w:rsidRPr="005E3B43">
              <w:t> </w:t>
            </w:r>
            <w:r w:rsidRPr="005E3B43">
              <w:t>000 pages, but not over 3</w:t>
            </w:r>
            <w:r w:rsidR="004E6D00" w:rsidRPr="005E3B43">
              <w:t> </w:t>
            </w:r>
            <w:r w:rsidRPr="005E3B43">
              <w:t>000 pages</w:t>
            </w:r>
          </w:p>
        </w:tc>
        <w:tc>
          <w:tcPr>
            <w:tcW w:w="1240" w:type="pct"/>
            <w:tcBorders>
              <w:top w:val="nil"/>
              <w:bottom w:val="nil"/>
            </w:tcBorders>
            <w:shd w:val="clear" w:color="auto" w:fill="auto"/>
          </w:tcPr>
          <w:p w14:paraId="4EEC96DC" w14:textId="77777777" w:rsidR="00550FEB" w:rsidRPr="005E3B43" w:rsidRDefault="00BF355B" w:rsidP="00763BCF">
            <w:pPr>
              <w:pStyle w:val="Tabletext"/>
            </w:pPr>
            <w:r w:rsidRPr="005E3B43">
              <w:t>62,493</w:t>
            </w:r>
          </w:p>
        </w:tc>
      </w:tr>
      <w:tr w:rsidR="00550FEB" w:rsidRPr="005E3B43" w14:paraId="6B84E2E2" w14:textId="77777777" w:rsidTr="005A786D">
        <w:tc>
          <w:tcPr>
            <w:tcW w:w="622" w:type="pct"/>
            <w:tcBorders>
              <w:top w:val="nil"/>
              <w:bottom w:val="nil"/>
            </w:tcBorders>
            <w:shd w:val="clear" w:color="auto" w:fill="auto"/>
          </w:tcPr>
          <w:p w14:paraId="57291CEC" w14:textId="77777777" w:rsidR="00550FEB" w:rsidRPr="005E3B43" w:rsidRDefault="00550FEB" w:rsidP="00763BCF">
            <w:pPr>
              <w:pStyle w:val="Tabletext"/>
            </w:pPr>
          </w:p>
        </w:tc>
        <w:tc>
          <w:tcPr>
            <w:tcW w:w="3138" w:type="pct"/>
            <w:tcBorders>
              <w:top w:val="nil"/>
              <w:bottom w:val="nil"/>
            </w:tcBorders>
            <w:shd w:val="clear" w:color="auto" w:fill="auto"/>
          </w:tcPr>
          <w:p w14:paraId="5F47606D" w14:textId="77777777" w:rsidR="00550FEB" w:rsidRPr="005E3B43" w:rsidRDefault="00550FEB" w:rsidP="00763BCF">
            <w:pPr>
              <w:pStyle w:val="Tablea"/>
              <w:ind w:right="-52"/>
            </w:pPr>
            <w:r w:rsidRPr="005E3B43">
              <w:t>(f) over 3</w:t>
            </w:r>
            <w:r w:rsidR="004E6D00" w:rsidRPr="005E3B43">
              <w:t> </w:t>
            </w:r>
            <w:r w:rsidRPr="005E3B43">
              <w:t>000 pages, but not over 4</w:t>
            </w:r>
            <w:r w:rsidR="004E6D00" w:rsidRPr="005E3B43">
              <w:t> </w:t>
            </w:r>
            <w:r w:rsidRPr="005E3B43">
              <w:t>000 pages</w:t>
            </w:r>
          </w:p>
        </w:tc>
        <w:tc>
          <w:tcPr>
            <w:tcW w:w="1240" w:type="pct"/>
            <w:tcBorders>
              <w:top w:val="nil"/>
              <w:bottom w:val="nil"/>
            </w:tcBorders>
            <w:shd w:val="clear" w:color="auto" w:fill="auto"/>
          </w:tcPr>
          <w:p w14:paraId="504B1581" w14:textId="77777777" w:rsidR="00550FEB" w:rsidRPr="005E3B43" w:rsidRDefault="00BF355B" w:rsidP="00763BCF">
            <w:pPr>
              <w:pStyle w:val="Tabletext"/>
            </w:pPr>
            <w:r w:rsidRPr="005E3B43">
              <w:t>83,287</w:t>
            </w:r>
          </w:p>
        </w:tc>
      </w:tr>
      <w:tr w:rsidR="00550FEB" w:rsidRPr="005E3B43" w14:paraId="05377EE6" w14:textId="77777777" w:rsidTr="005A786D">
        <w:tc>
          <w:tcPr>
            <w:tcW w:w="622" w:type="pct"/>
            <w:tcBorders>
              <w:top w:val="nil"/>
              <w:bottom w:val="single" w:sz="4" w:space="0" w:color="auto"/>
            </w:tcBorders>
            <w:shd w:val="clear" w:color="auto" w:fill="auto"/>
          </w:tcPr>
          <w:p w14:paraId="6400DCF4" w14:textId="77777777" w:rsidR="00550FEB" w:rsidRPr="005E3B43" w:rsidRDefault="00550FEB" w:rsidP="00763BCF">
            <w:pPr>
              <w:pStyle w:val="Tabletext"/>
            </w:pPr>
          </w:p>
        </w:tc>
        <w:tc>
          <w:tcPr>
            <w:tcW w:w="3138" w:type="pct"/>
            <w:tcBorders>
              <w:top w:val="nil"/>
              <w:bottom w:val="single" w:sz="4" w:space="0" w:color="auto"/>
            </w:tcBorders>
            <w:shd w:val="clear" w:color="auto" w:fill="auto"/>
          </w:tcPr>
          <w:p w14:paraId="1029695D" w14:textId="77777777" w:rsidR="00550FEB" w:rsidRPr="005E3B43" w:rsidRDefault="00550FEB" w:rsidP="00763BCF">
            <w:pPr>
              <w:pStyle w:val="Tablea"/>
              <w:ind w:right="-52"/>
            </w:pPr>
            <w:r w:rsidRPr="005E3B43">
              <w:t>(g) over 4</w:t>
            </w:r>
            <w:r w:rsidR="004E6D00" w:rsidRPr="005E3B43">
              <w:t> </w:t>
            </w:r>
            <w:r w:rsidRPr="005E3B43">
              <w:t>000 pages</w:t>
            </w:r>
          </w:p>
        </w:tc>
        <w:tc>
          <w:tcPr>
            <w:tcW w:w="1240" w:type="pct"/>
            <w:tcBorders>
              <w:top w:val="nil"/>
              <w:bottom w:val="single" w:sz="4" w:space="0" w:color="auto"/>
            </w:tcBorders>
            <w:shd w:val="clear" w:color="auto" w:fill="auto"/>
          </w:tcPr>
          <w:p w14:paraId="1FBBDDC5" w14:textId="77777777" w:rsidR="00550FEB" w:rsidRPr="005E3B43" w:rsidRDefault="00C22866" w:rsidP="00763BCF">
            <w:pPr>
              <w:pStyle w:val="Tabletext"/>
            </w:pPr>
            <w:r w:rsidRPr="005E3B43">
              <w:t>101,594</w:t>
            </w:r>
          </w:p>
        </w:tc>
      </w:tr>
      <w:tr w:rsidR="00443026" w:rsidRPr="005E3B43" w14:paraId="7074912E" w14:textId="77777777" w:rsidTr="005A786D">
        <w:tc>
          <w:tcPr>
            <w:tcW w:w="622" w:type="pct"/>
            <w:tcBorders>
              <w:top w:val="single" w:sz="4" w:space="0" w:color="auto"/>
              <w:bottom w:val="nil"/>
            </w:tcBorders>
            <w:shd w:val="clear" w:color="auto" w:fill="auto"/>
          </w:tcPr>
          <w:p w14:paraId="3D0BF71A" w14:textId="77777777" w:rsidR="00443026" w:rsidRPr="005E3B43" w:rsidRDefault="00443026" w:rsidP="00763BCF">
            <w:pPr>
              <w:pStyle w:val="Tabletext"/>
            </w:pPr>
            <w:r w:rsidRPr="005E3B43">
              <w:t>9D</w:t>
            </w:r>
          </w:p>
        </w:tc>
        <w:tc>
          <w:tcPr>
            <w:tcW w:w="3138" w:type="pct"/>
            <w:tcBorders>
              <w:top w:val="single" w:sz="4" w:space="0" w:color="auto"/>
              <w:bottom w:val="nil"/>
            </w:tcBorders>
            <w:shd w:val="clear" w:color="auto" w:fill="auto"/>
          </w:tcPr>
          <w:p w14:paraId="0F13671B" w14:textId="77777777" w:rsidR="00443026" w:rsidRPr="005E3B43" w:rsidRDefault="00443026" w:rsidP="00763BCF">
            <w:pPr>
              <w:pStyle w:val="Tabletext"/>
              <w:ind w:right="-52"/>
            </w:pPr>
            <w:r w:rsidRPr="005E3B43">
              <w:t>Fee for evaluation, under subsection 9D(1), (2) or (3), sub</w:t>
            </w:r>
            <w:r w:rsidR="00FB7FAA" w:rsidRPr="005E3B43">
              <w:t>section 2</w:t>
            </w:r>
            <w:r w:rsidRPr="005E3B43">
              <w:t xml:space="preserve">4(1A) or paragraph 26(1)(d) of the Act, of data relating to the device component, to which Chapter 4 of the Act applies, of a medicine (in addition to the fee prescribed in </w:t>
            </w:r>
            <w:r w:rsidR="006B5D8E" w:rsidRPr="005E3B43">
              <w:t>item 4</w:t>
            </w:r>
            <w:r w:rsidRPr="005E3B43">
              <w:t xml:space="preserve">, or in </w:t>
            </w:r>
            <w:r w:rsidR="00BB758E" w:rsidRPr="005E3B43">
              <w:t>Part 3</w:t>
            </w:r>
            <w:r w:rsidRPr="005E3B43">
              <w:t xml:space="preserve"> of this Schedule, for evaluating the medicine)</w:t>
            </w:r>
          </w:p>
        </w:tc>
        <w:tc>
          <w:tcPr>
            <w:tcW w:w="1240" w:type="pct"/>
            <w:tcBorders>
              <w:top w:val="single" w:sz="4" w:space="0" w:color="auto"/>
              <w:bottom w:val="nil"/>
            </w:tcBorders>
            <w:shd w:val="clear" w:color="auto" w:fill="auto"/>
          </w:tcPr>
          <w:p w14:paraId="7667354C" w14:textId="7079DE8C" w:rsidR="00443026" w:rsidRPr="005E3B43" w:rsidRDefault="00443026" w:rsidP="00763BCF">
            <w:pPr>
              <w:pStyle w:val="Tabletext"/>
            </w:pPr>
            <w:r w:rsidRPr="005E3B43">
              <w:t xml:space="preserve">The fee applicable, under </w:t>
            </w:r>
            <w:r w:rsidR="007C3215">
              <w:t>item 1</w:t>
            </w:r>
            <w:r w:rsidRPr="005E3B43">
              <w:t xml:space="preserve">.9, 1.10, 1.12 or 1.16 (and, if applicable, clause 2.2) of Schedule 5 to the </w:t>
            </w:r>
            <w:r w:rsidRPr="005E3B43">
              <w:rPr>
                <w:i/>
              </w:rPr>
              <w:t xml:space="preserve">Therapeutic Goods (Medical Devices) </w:t>
            </w:r>
            <w:r w:rsidR="007C3215">
              <w:rPr>
                <w:i/>
              </w:rPr>
              <w:t>Regulations 2</w:t>
            </w:r>
            <w:r w:rsidRPr="005E3B43">
              <w:rPr>
                <w:i/>
              </w:rPr>
              <w:t>002</w:t>
            </w:r>
            <w:r w:rsidRPr="005E3B43">
              <w:t>, to the kind of work to be undertaken</w:t>
            </w:r>
          </w:p>
        </w:tc>
      </w:tr>
      <w:tr w:rsidR="00443026" w:rsidRPr="005E3B43" w14:paraId="08D4DBEE" w14:textId="77777777" w:rsidTr="005A786D">
        <w:trPr>
          <w:cantSplit/>
        </w:trPr>
        <w:tc>
          <w:tcPr>
            <w:tcW w:w="622" w:type="pct"/>
            <w:tcBorders>
              <w:top w:val="single" w:sz="4" w:space="0" w:color="auto"/>
              <w:bottom w:val="single" w:sz="4" w:space="0" w:color="auto"/>
            </w:tcBorders>
            <w:shd w:val="clear" w:color="auto" w:fill="auto"/>
          </w:tcPr>
          <w:p w14:paraId="42F27331" w14:textId="77777777" w:rsidR="00443026" w:rsidRPr="005E3B43" w:rsidRDefault="00443026" w:rsidP="00763BCF">
            <w:pPr>
              <w:pStyle w:val="Tabletext"/>
            </w:pPr>
            <w:r w:rsidRPr="005E3B43">
              <w:t>10</w:t>
            </w:r>
          </w:p>
        </w:tc>
        <w:tc>
          <w:tcPr>
            <w:tcW w:w="3138" w:type="pct"/>
            <w:tcBorders>
              <w:top w:val="single" w:sz="4" w:space="0" w:color="auto"/>
              <w:bottom w:val="single" w:sz="4" w:space="0" w:color="auto"/>
            </w:tcBorders>
            <w:shd w:val="clear" w:color="auto" w:fill="auto"/>
          </w:tcPr>
          <w:p w14:paraId="6A3A04C7" w14:textId="77777777" w:rsidR="00443026" w:rsidRPr="005E3B43" w:rsidRDefault="00443026" w:rsidP="00763BCF">
            <w:pPr>
              <w:pStyle w:val="Tabletext"/>
              <w:ind w:right="-52"/>
            </w:pPr>
            <w:r w:rsidRPr="005E3B43">
              <w:t>Fee for an application for certification under paragraph 58(3)(a) of the Act</w:t>
            </w:r>
          </w:p>
        </w:tc>
        <w:tc>
          <w:tcPr>
            <w:tcW w:w="1240" w:type="pct"/>
            <w:tcBorders>
              <w:top w:val="single" w:sz="4" w:space="0" w:color="auto"/>
              <w:bottom w:val="single" w:sz="4" w:space="0" w:color="auto"/>
            </w:tcBorders>
            <w:shd w:val="clear" w:color="auto" w:fill="auto"/>
          </w:tcPr>
          <w:p w14:paraId="4ED6284C" w14:textId="77777777" w:rsidR="00443026" w:rsidRPr="005E3B43" w:rsidRDefault="00C22866" w:rsidP="00763BCF">
            <w:pPr>
              <w:pStyle w:val="Tabletext"/>
            </w:pPr>
            <w:r w:rsidRPr="005E3B43">
              <w:t>204</w:t>
            </w:r>
            <w:r w:rsidR="00443026" w:rsidRPr="005E3B43">
              <w:t xml:space="preserve"> multiplied by the number of certifications sought in the application</w:t>
            </w:r>
          </w:p>
        </w:tc>
      </w:tr>
      <w:tr w:rsidR="00443026" w:rsidRPr="005E3B43" w14:paraId="65D72948" w14:textId="77777777" w:rsidTr="005A786D">
        <w:tc>
          <w:tcPr>
            <w:tcW w:w="622" w:type="pct"/>
            <w:tcBorders>
              <w:top w:val="single" w:sz="4" w:space="0" w:color="auto"/>
              <w:bottom w:val="single" w:sz="4" w:space="0" w:color="auto"/>
            </w:tcBorders>
            <w:shd w:val="clear" w:color="auto" w:fill="auto"/>
          </w:tcPr>
          <w:p w14:paraId="6905F7A6" w14:textId="77777777" w:rsidR="00443026" w:rsidRPr="005E3B43" w:rsidRDefault="00443026" w:rsidP="00763BCF">
            <w:pPr>
              <w:pStyle w:val="Tabletext"/>
            </w:pPr>
            <w:r w:rsidRPr="005E3B43">
              <w:t>11</w:t>
            </w:r>
          </w:p>
        </w:tc>
        <w:tc>
          <w:tcPr>
            <w:tcW w:w="3138" w:type="pct"/>
            <w:tcBorders>
              <w:top w:val="single" w:sz="4" w:space="0" w:color="auto"/>
              <w:bottom w:val="single" w:sz="4" w:space="0" w:color="auto"/>
            </w:tcBorders>
            <w:shd w:val="clear" w:color="auto" w:fill="auto"/>
          </w:tcPr>
          <w:p w14:paraId="24FA925E" w14:textId="1944CAF0" w:rsidR="00443026" w:rsidRPr="005E3B43" w:rsidRDefault="00443026" w:rsidP="00763BCF">
            <w:pPr>
              <w:pStyle w:val="Tabletext"/>
              <w:ind w:right="-52"/>
            </w:pPr>
            <w:r w:rsidRPr="005E3B43">
              <w:t xml:space="preserve">Fee for the inspection of manufacturing operations other than for the purposes of </w:t>
            </w:r>
            <w:r w:rsidR="00BB758E" w:rsidRPr="005E3B43">
              <w:t>Part 3</w:t>
            </w:r>
            <w:r w:rsidR="007C3215">
              <w:rPr>
                <w:noProof/>
              </w:rPr>
              <w:noBreakHyphen/>
            </w:r>
            <w:r w:rsidRPr="005E3B43">
              <w:rPr>
                <w:noProof/>
              </w:rPr>
              <w:t>3</w:t>
            </w:r>
            <w:r w:rsidRPr="005E3B43">
              <w:t xml:space="preserve"> of the Act</w:t>
            </w:r>
          </w:p>
        </w:tc>
        <w:tc>
          <w:tcPr>
            <w:tcW w:w="1240" w:type="pct"/>
            <w:tcBorders>
              <w:top w:val="single" w:sz="4" w:space="0" w:color="auto"/>
              <w:bottom w:val="single" w:sz="4" w:space="0" w:color="auto"/>
            </w:tcBorders>
            <w:shd w:val="clear" w:color="auto" w:fill="auto"/>
          </w:tcPr>
          <w:p w14:paraId="3BCDEBAD" w14:textId="77777777" w:rsidR="00443026" w:rsidRPr="005E3B43" w:rsidRDefault="00443026" w:rsidP="00763BCF">
            <w:pPr>
              <w:pStyle w:val="Tabletext"/>
            </w:pPr>
            <w:r w:rsidRPr="005E3B43">
              <w:t>The fee applicable under item 9 for that step of manufacture</w:t>
            </w:r>
          </w:p>
        </w:tc>
      </w:tr>
      <w:tr w:rsidR="00443026" w:rsidRPr="005E3B43" w14:paraId="214C4519" w14:textId="77777777" w:rsidTr="005A786D">
        <w:tc>
          <w:tcPr>
            <w:tcW w:w="622" w:type="pct"/>
            <w:tcBorders>
              <w:top w:val="single" w:sz="4" w:space="0" w:color="auto"/>
              <w:bottom w:val="single" w:sz="4" w:space="0" w:color="auto"/>
            </w:tcBorders>
            <w:shd w:val="clear" w:color="auto" w:fill="auto"/>
          </w:tcPr>
          <w:p w14:paraId="0A579C68" w14:textId="77777777" w:rsidR="00443026" w:rsidRPr="005E3B43" w:rsidRDefault="00443026" w:rsidP="00763BCF">
            <w:pPr>
              <w:pStyle w:val="Tabletext"/>
            </w:pPr>
            <w:r w:rsidRPr="005E3B43">
              <w:t>12</w:t>
            </w:r>
          </w:p>
        </w:tc>
        <w:tc>
          <w:tcPr>
            <w:tcW w:w="3138" w:type="pct"/>
            <w:tcBorders>
              <w:top w:val="single" w:sz="4" w:space="0" w:color="auto"/>
              <w:bottom w:val="single" w:sz="4" w:space="0" w:color="auto"/>
            </w:tcBorders>
            <w:shd w:val="clear" w:color="auto" w:fill="auto"/>
          </w:tcPr>
          <w:p w14:paraId="5E17EED0" w14:textId="77777777" w:rsidR="00443026" w:rsidRPr="005E3B43" w:rsidRDefault="00443026" w:rsidP="00763BCF">
            <w:pPr>
              <w:pStyle w:val="Tabletext"/>
              <w:ind w:right="-52"/>
            </w:pPr>
            <w:r w:rsidRPr="005E3B43">
              <w:t xml:space="preserve">Fee for evaluation of data in relation to therapeutic goods specified in </w:t>
            </w:r>
            <w:r w:rsidR="008D1B4F" w:rsidRPr="005E3B43">
              <w:t>Schedule 1</w:t>
            </w:r>
            <w:r w:rsidRPr="005E3B43">
              <w:t>0 for the purposes of subsection 9D(1), (2) or (3) of the Act</w:t>
            </w:r>
            <w:r w:rsidRPr="005E3B43">
              <w:rPr>
                <w:szCs w:val="22"/>
              </w:rPr>
              <w:t xml:space="preserve"> that is not covered by another item in this Part</w:t>
            </w:r>
          </w:p>
        </w:tc>
        <w:tc>
          <w:tcPr>
            <w:tcW w:w="1240" w:type="pct"/>
            <w:tcBorders>
              <w:top w:val="single" w:sz="4" w:space="0" w:color="auto"/>
              <w:bottom w:val="single" w:sz="4" w:space="0" w:color="auto"/>
            </w:tcBorders>
            <w:shd w:val="clear" w:color="auto" w:fill="auto"/>
          </w:tcPr>
          <w:p w14:paraId="573181C5" w14:textId="6BF9B7A9" w:rsidR="00443026" w:rsidRPr="005E3B43" w:rsidRDefault="00443026" w:rsidP="00763BCF">
            <w:pPr>
              <w:pStyle w:val="Tabletext"/>
            </w:pPr>
            <w:r w:rsidRPr="005E3B43">
              <w:t xml:space="preserve">The fee applicable under </w:t>
            </w:r>
            <w:r w:rsidR="007C3215">
              <w:t>item 1</w:t>
            </w:r>
            <w:r w:rsidRPr="005E3B43">
              <w:t>, 4 or 5 for an evaluation of that nature</w:t>
            </w:r>
          </w:p>
        </w:tc>
      </w:tr>
      <w:tr w:rsidR="00443026" w:rsidRPr="005E3B43" w14:paraId="7DC10E67" w14:textId="77777777" w:rsidTr="005A786D">
        <w:tc>
          <w:tcPr>
            <w:tcW w:w="622" w:type="pct"/>
            <w:tcBorders>
              <w:top w:val="single" w:sz="4" w:space="0" w:color="auto"/>
              <w:bottom w:val="nil"/>
            </w:tcBorders>
            <w:shd w:val="clear" w:color="auto" w:fill="auto"/>
          </w:tcPr>
          <w:p w14:paraId="0603A475" w14:textId="77777777" w:rsidR="00443026" w:rsidRPr="005E3B43" w:rsidRDefault="00443026" w:rsidP="00763BCF">
            <w:pPr>
              <w:pStyle w:val="Tabletext"/>
            </w:pPr>
            <w:r w:rsidRPr="005E3B43">
              <w:t>13</w:t>
            </w:r>
          </w:p>
        </w:tc>
        <w:tc>
          <w:tcPr>
            <w:tcW w:w="3138" w:type="pct"/>
            <w:tcBorders>
              <w:top w:val="single" w:sz="4" w:space="0" w:color="auto"/>
              <w:bottom w:val="single" w:sz="4" w:space="0" w:color="auto"/>
            </w:tcBorders>
            <w:shd w:val="clear" w:color="auto" w:fill="auto"/>
          </w:tcPr>
          <w:p w14:paraId="54C8BDD9" w14:textId="77777777" w:rsidR="00443026" w:rsidRPr="005E3B43" w:rsidRDefault="00443026" w:rsidP="00763BCF">
            <w:pPr>
              <w:pStyle w:val="Tabletext"/>
              <w:ind w:right="-52"/>
            </w:pPr>
            <w:r w:rsidRPr="005E3B43">
              <w:t>Fee for an evaluation under subsection 66(4) of the Act</w:t>
            </w:r>
          </w:p>
        </w:tc>
        <w:tc>
          <w:tcPr>
            <w:tcW w:w="1240" w:type="pct"/>
            <w:tcBorders>
              <w:top w:val="single" w:sz="4" w:space="0" w:color="auto"/>
              <w:bottom w:val="single" w:sz="4" w:space="0" w:color="auto"/>
            </w:tcBorders>
            <w:shd w:val="clear" w:color="auto" w:fill="auto"/>
          </w:tcPr>
          <w:p w14:paraId="34280127" w14:textId="531AC616" w:rsidR="00443026" w:rsidRPr="005E3B43" w:rsidRDefault="00443026" w:rsidP="00763BCF">
            <w:pPr>
              <w:pStyle w:val="Tabletext"/>
            </w:pPr>
            <w:r w:rsidRPr="005E3B43">
              <w:t xml:space="preserve">The fee applicable under </w:t>
            </w:r>
            <w:r w:rsidR="007C3215">
              <w:t>item 1</w:t>
            </w:r>
            <w:r w:rsidRPr="005E3B43">
              <w:t>, 4 or 5 for an evaluation of that nature</w:t>
            </w:r>
          </w:p>
        </w:tc>
      </w:tr>
      <w:tr w:rsidR="00443026" w:rsidRPr="005E3B43" w14:paraId="30C45608" w14:textId="77777777" w:rsidTr="005A786D">
        <w:tc>
          <w:tcPr>
            <w:tcW w:w="622" w:type="pct"/>
            <w:tcBorders>
              <w:top w:val="single" w:sz="4" w:space="0" w:color="auto"/>
              <w:bottom w:val="nil"/>
            </w:tcBorders>
            <w:shd w:val="clear" w:color="auto" w:fill="auto"/>
          </w:tcPr>
          <w:p w14:paraId="7252926E" w14:textId="77777777" w:rsidR="00443026" w:rsidRPr="005E3B43" w:rsidRDefault="00443026" w:rsidP="00763BCF">
            <w:pPr>
              <w:pStyle w:val="Tabletext"/>
            </w:pPr>
            <w:r w:rsidRPr="005E3B43">
              <w:t>14</w:t>
            </w:r>
          </w:p>
        </w:tc>
        <w:tc>
          <w:tcPr>
            <w:tcW w:w="3138" w:type="pct"/>
            <w:tcBorders>
              <w:top w:val="single" w:sz="4" w:space="0" w:color="auto"/>
              <w:bottom w:val="nil"/>
            </w:tcBorders>
            <w:shd w:val="clear" w:color="auto" w:fill="auto"/>
          </w:tcPr>
          <w:p w14:paraId="64C88077" w14:textId="77777777" w:rsidR="00443026" w:rsidRPr="005E3B43" w:rsidRDefault="00443026" w:rsidP="00763BCF">
            <w:pPr>
              <w:pStyle w:val="Tabletext"/>
              <w:ind w:right="-52"/>
            </w:pPr>
            <w:r w:rsidRPr="005E3B43">
              <w:t xml:space="preserve">Fee for notification required under </w:t>
            </w:r>
            <w:r w:rsidR="006B5D8E" w:rsidRPr="005E3B43">
              <w:t>item 3</w:t>
            </w:r>
            <w:r w:rsidRPr="005E3B43">
              <w:t xml:space="preserve"> of Schedule 5A:</w:t>
            </w:r>
          </w:p>
        </w:tc>
        <w:tc>
          <w:tcPr>
            <w:tcW w:w="1240" w:type="pct"/>
            <w:tcBorders>
              <w:top w:val="single" w:sz="4" w:space="0" w:color="auto"/>
              <w:bottom w:val="nil"/>
            </w:tcBorders>
            <w:shd w:val="clear" w:color="auto" w:fill="auto"/>
          </w:tcPr>
          <w:p w14:paraId="7AF554D4" w14:textId="77777777" w:rsidR="00443026" w:rsidRPr="005E3B43" w:rsidRDefault="00443026" w:rsidP="00763BCF">
            <w:pPr>
              <w:pStyle w:val="Tabletext"/>
            </w:pPr>
          </w:p>
        </w:tc>
      </w:tr>
      <w:tr w:rsidR="00443026" w:rsidRPr="005E3B43" w14:paraId="6117D9BC" w14:textId="77777777" w:rsidTr="005A786D">
        <w:tc>
          <w:tcPr>
            <w:tcW w:w="622" w:type="pct"/>
            <w:tcBorders>
              <w:top w:val="nil"/>
              <w:bottom w:val="nil"/>
            </w:tcBorders>
            <w:shd w:val="clear" w:color="auto" w:fill="auto"/>
          </w:tcPr>
          <w:p w14:paraId="7725450C" w14:textId="77777777" w:rsidR="00443026" w:rsidRPr="005E3B43" w:rsidRDefault="00443026" w:rsidP="00763BCF">
            <w:pPr>
              <w:pStyle w:val="Tabletext"/>
            </w:pPr>
          </w:p>
        </w:tc>
        <w:tc>
          <w:tcPr>
            <w:tcW w:w="3138" w:type="pct"/>
            <w:tcBorders>
              <w:top w:val="nil"/>
              <w:bottom w:val="nil"/>
            </w:tcBorders>
            <w:shd w:val="clear" w:color="auto" w:fill="auto"/>
          </w:tcPr>
          <w:p w14:paraId="6BD6DCE3" w14:textId="77777777" w:rsidR="00443026" w:rsidRPr="005E3B43" w:rsidRDefault="00443026" w:rsidP="00763BCF">
            <w:pPr>
              <w:pStyle w:val="Tablea"/>
            </w:pPr>
            <w:r w:rsidRPr="005E3B43">
              <w:t>(a) of intention to sponsor a clinical trial at a trial site using a specified medicine</w:t>
            </w:r>
          </w:p>
        </w:tc>
        <w:tc>
          <w:tcPr>
            <w:tcW w:w="1240" w:type="pct"/>
            <w:tcBorders>
              <w:top w:val="nil"/>
              <w:bottom w:val="nil"/>
            </w:tcBorders>
            <w:shd w:val="clear" w:color="auto" w:fill="auto"/>
          </w:tcPr>
          <w:p w14:paraId="2CE4D04D" w14:textId="77777777" w:rsidR="00443026" w:rsidRPr="005E3B43" w:rsidRDefault="00C22866" w:rsidP="00763BCF">
            <w:pPr>
              <w:pStyle w:val="Tabletext"/>
            </w:pPr>
            <w:r w:rsidRPr="005E3B43">
              <w:t>429</w:t>
            </w:r>
          </w:p>
        </w:tc>
      </w:tr>
      <w:tr w:rsidR="00443026" w:rsidRPr="005E3B43" w14:paraId="675926F8" w14:textId="77777777" w:rsidTr="005A786D">
        <w:tc>
          <w:tcPr>
            <w:tcW w:w="622" w:type="pct"/>
            <w:tcBorders>
              <w:top w:val="nil"/>
              <w:bottom w:val="single" w:sz="4" w:space="0" w:color="auto"/>
            </w:tcBorders>
            <w:shd w:val="clear" w:color="auto" w:fill="auto"/>
          </w:tcPr>
          <w:p w14:paraId="6B08F13D" w14:textId="77777777" w:rsidR="00443026" w:rsidRPr="005E3B43" w:rsidRDefault="00443026" w:rsidP="00763BCF">
            <w:pPr>
              <w:pStyle w:val="Tabletext"/>
            </w:pPr>
          </w:p>
        </w:tc>
        <w:tc>
          <w:tcPr>
            <w:tcW w:w="3138" w:type="pct"/>
            <w:tcBorders>
              <w:top w:val="nil"/>
              <w:bottom w:val="single" w:sz="4" w:space="0" w:color="auto"/>
            </w:tcBorders>
            <w:shd w:val="clear" w:color="auto" w:fill="auto"/>
          </w:tcPr>
          <w:p w14:paraId="511B993C" w14:textId="77777777" w:rsidR="00443026" w:rsidRPr="005E3B43" w:rsidRDefault="00443026" w:rsidP="00763BCF">
            <w:pPr>
              <w:pStyle w:val="Tablea"/>
            </w:pPr>
            <w:r w:rsidRPr="005E3B43">
              <w:t>(b) for each notification of an additional trial site or additional trial sites</w:t>
            </w:r>
          </w:p>
        </w:tc>
        <w:tc>
          <w:tcPr>
            <w:tcW w:w="1240" w:type="pct"/>
            <w:tcBorders>
              <w:top w:val="nil"/>
              <w:bottom w:val="single" w:sz="4" w:space="0" w:color="auto"/>
            </w:tcBorders>
            <w:shd w:val="clear" w:color="auto" w:fill="auto"/>
          </w:tcPr>
          <w:p w14:paraId="2AD2782D" w14:textId="77777777" w:rsidR="00443026" w:rsidRPr="005E3B43" w:rsidRDefault="00C22866" w:rsidP="00763BCF">
            <w:pPr>
              <w:pStyle w:val="Tabletext"/>
            </w:pPr>
            <w:r w:rsidRPr="005E3B43">
              <w:t>429</w:t>
            </w:r>
          </w:p>
        </w:tc>
      </w:tr>
      <w:tr w:rsidR="00443026" w:rsidRPr="005E3B43" w14:paraId="51407B80" w14:textId="77777777" w:rsidTr="005A786D">
        <w:trPr>
          <w:cantSplit/>
        </w:trPr>
        <w:tc>
          <w:tcPr>
            <w:tcW w:w="622" w:type="pct"/>
            <w:tcBorders>
              <w:top w:val="single" w:sz="4" w:space="0" w:color="auto"/>
              <w:bottom w:val="single" w:sz="4" w:space="0" w:color="auto"/>
            </w:tcBorders>
            <w:shd w:val="clear" w:color="auto" w:fill="auto"/>
          </w:tcPr>
          <w:p w14:paraId="6238E304" w14:textId="77777777" w:rsidR="00443026" w:rsidRPr="005E3B43" w:rsidRDefault="00443026" w:rsidP="00763BCF">
            <w:pPr>
              <w:pStyle w:val="Tabletext"/>
            </w:pPr>
            <w:r w:rsidRPr="005E3B43">
              <w:t>16</w:t>
            </w:r>
          </w:p>
        </w:tc>
        <w:tc>
          <w:tcPr>
            <w:tcW w:w="3138" w:type="pct"/>
            <w:tcBorders>
              <w:top w:val="single" w:sz="4" w:space="0" w:color="auto"/>
              <w:bottom w:val="single" w:sz="4" w:space="0" w:color="auto"/>
            </w:tcBorders>
            <w:shd w:val="clear" w:color="auto" w:fill="auto"/>
          </w:tcPr>
          <w:p w14:paraId="3B69F203" w14:textId="77777777" w:rsidR="00443026" w:rsidRPr="005E3B43" w:rsidRDefault="00443026" w:rsidP="00763BCF">
            <w:pPr>
              <w:pStyle w:val="Tabletext"/>
              <w:keepNext/>
              <w:ind w:right="-52"/>
            </w:pPr>
            <w:r w:rsidRPr="005E3B43">
              <w:t>Fee, including deposit, for an application under subsection 61(6) of the Act</w:t>
            </w:r>
          </w:p>
        </w:tc>
        <w:tc>
          <w:tcPr>
            <w:tcW w:w="1240" w:type="pct"/>
            <w:tcBorders>
              <w:top w:val="single" w:sz="4" w:space="0" w:color="auto"/>
              <w:bottom w:val="single" w:sz="4" w:space="0" w:color="auto"/>
            </w:tcBorders>
            <w:shd w:val="clear" w:color="auto" w:fill="auto"/>
          </w:tcPr>
          <w:p w14:paraId="6A762398" w14:textId="04CEA3B2" w:rsidR="00443026" w:rsidRPr="005E3B43" w:rsidRDefault="00443026" w:rsidP="00763BCF">
            <w:pPr>
              <w:pStyle w:val="Tabletext"/>
              <w:keepNext/>
              <w:ind w:right="-38"/>
            </w:pPr>
            <w:r w:rsidRPr="005E3B43">
              <w:t xml:space="preserve">The amount, including a deposit, that would be payable under the </w:t>
            </w:r>
            <w:r w:rsidRPr="005E3B43">
              <w:rPr>
                <w:i/>
              </w:rPr>
              <w:t>Freedom of Information Act 1982</w:t>
            </w:r>
            <w:r w:rsidRPr="005E3B43">
              <w:t xml:space="preserve"> and the Freedom of Information (Fees and Charges) Regulations for a request if the application were a request under </w:t>
            </w:r>
            <w:r w:rsidR="007C3215">
              <w:t>section 1</w:t>
            </w:r>
            <w:r w:rsidRPr="005E3B43">
              <w:t>5 of that Act</w:t>
            </w:r>
          </w:p>
        </w:tc>
      </w:tr>
      <w:tr w:rsidR="00443026" w:rsidRPr="005E3B43" w14:paraId="09D8297C" w14:textId="77777777" w:rsidTr="005A786D">
        <w:tc>
          <w:tcPr>
            <w:tcW w:w="622" w:type="pct"/>
            <w:tcBorders>
              <w:top w:val="single" w:sz="4" w:space="0" w:color="auto"/>
              <w:bottom w:val="single" w:sz="12" w:space="0" w:color="auto"/>
            </w:tcBorders>
            <w:shd w:val="clear" w:color="auto" w:fill="auto"/>
          </w:tcPr>
          <w:p w14:paraId="31CEABF3" w14:textId="77777777" w:rsidR="00443026" w:rsidRPr="005E3B43" w:rsidRDefault="00443026" w:rsidP="00763BCF">
            <w:pPr>
              <w:pStyle w:val="Tabletext"/>
            </w:pPr>
            <w:r w:rsidRPr="005E3B43">
              <w:lastRenderedPageBreak/>
              <w:t>18</w:t>
            </w:r>
          </w:p>
        </w:tc>
        <w:tc>
          <w:tcPr>
            <w:tcW w:w="3138" w:type="pct"/>
            <w:tcBorders>
              <w:top w:val="single" w:sz="4" w:space="0" w:color="auto"/>
              <w:bottom w:val="single" w:sz="12" w:space="0" w:color="auto"/>
            </w:tcBorders>
            <w:shd w:val="clear" w:color="auto" w:fill="auto"/>
          </w:tcPr>
          <w:p w14:paraId="60A769EF" w14:textId="77777777" w:rsidR="00443026" w:rsidRPr="005E3B43" w:rsidRDefault="00443026" w:rsidP="00763BCF">
            <w:pPr>
              <w:pStyle w:val="Tabletext"/>
            </w:pPr>
            <w:r w:rsidRPr="005E3B43">
              <w:t>Fee for providing advice in relation to a prescription medicine at the request of the sponsor of the medicine for the purpose of listing the medicine as a pharmaceutical benefit</w:t>
            </w:r>
          </w:p>
        </w:tc>
        <w:tc>
          <w:tcPr>
            <w:tcW w:w="1240" w:type="pct"/>
            <w:tcBorders>
              <w:top w:val="single" w:sz="4" w:space="0" w:color="auto"/>
              <w:bottom w:val="single" w:sz="12" w:space="0" w:color="auto"/>
            </w:tcBorders>
            <w:shd w:val="clear" w:color="auto" w:fill="auto"/>
          </w:tcPr>
          <w:p w14:paraId="1197DBCE" w14:textId="77777777" w:rsidR="00443026" w:rsidRPr="005E3B43" w:rsidRDefault="001537BC" w:rsidP="00763BCF">
            <w:pPr>
              <w:pStyle w:val="Tabletext"/>
            </w:pPr>
            <w:r w:rsidRPr="005E3B43">
              <w:t>2,622</w:t>
            </w:r>
          </w:p>
        </w:tc>
      </w:tr>
    </w:tbl>
    <w:p w14:paraId="44BC1DA3" w14:textId="77777777" w:rsidR="00464100" w:rsidRPr="005E3B43" w:rsidRDefault="00BB758E" w:rsidP="00763BCF">
      <w:pPr>
        <w:pStyle w:val="ActHead2"/>
        <w:pageBreakBefore/>
      </w:pPr>
      <w:bookmarkStart w:id="435" w:name="_Toc187136025"/>
      <w:r w:rsidRPr="005E3B43">
        <w:rPr>
          <w:rStyle w:val="CharPartNo"/>
        </w:rPr>
        <w:lastRenderedPageBreak/>
        <w:t>Part 3</w:t>
      </w:r>
      <w:r w:rsidR="00464100" w:rsidRPr="005E3B43">
        <w:t>—</w:t>
      </w:r>
      <w:r w:rsidR="00464100" w:rsidRPr="005E3B43">
        <w:rPr>
          <w:rStyle w:val="CharPartText"/>
        </w:rPr>
        <w:t>Table of fees for applications etc. in relation to certain OTC medicines</w:t>
      </w:r>
      <w:bookmarkEnd w:id="435"/>
    </w:p>
    <w:p w14:paraId="7FC9DAC4" w14:textId="77777777" w:rsidR="00712504" w:rsidRPr="005E3B43" w:rsidRDefault="00712504" w:rsidP="00763BCF">
      <w:pPr>
        <w:pStyle w:val="Header"/>
      </w:pPr>
      <w:r w:rsidRPr="005E3B43">
        <w:rPr>
          <w:rStyle w:val="CharDivNo"/>
        </w:rPr>
        <w:t xml:space="preserve"> </w:t>
      </w:r>
      <w:r w:rsidRPr="005E3B43">
        <w:rPr>
          <w:rStyle w:val="CharDivText"/>
        </w:rPr>
        <w:t xml:space="preserve"> </w:t>
      </w:r>
    </w:p>
    <w:p w14:paraId="7DDA8843" w14:textId="77777777" w:rsidR="00464100" w:rsidRPr="005E3B43" w:rsidRDefault="00464100" w:rsidP="00763BCF">
      <w:pPr>
        <w:pStyle w:val="ActHead5"/>
      </w:pPr>
      <w:bookmarkStart w:id="436" w:name="_Toc187136026"/>
      <w:r w:rsidRPr="005E3B43">
        <w:rPr>
          <w:rStyle w:val="CharSectno"/>
        </w:rPr>
        <w:t>4</w:t>
      </w:r>
      <w:r w:rsidRPr="005E3B43">
        <w:t xml:space="preserve">  Table of fees</w:t>
      </w:r>
      <w:bookmarkEnd w:id="436"/>
    </w:p>
    <w:p w14:paraId="43AA644E" w14:textId="77777777" w:rsidR="00712504" w:rsidRPr="005E3B43" w:rsidRDefault="00712504" w:rsidP="00763BCF">
      <w:pPr>
        <w:pStyle w:val="subsection"/>
      </w:pPr>
      <w:r w:rsidRPr="005E3B43">
        <w:tab/>
      </w:r>
      <w:r w:rsidRPr="005E3B43">
        <w:tab/>
        <w:t xml:space="preserve">The following table sets out particular </w:t>
      </w:r>
      <w:r w:rsidR="00464100" w:rsidRPr="005E3B43">
        <w:t>fees for applications, evaluations and requests</w:t>
      </w:r>
      <w:r w:rsidRPr="005E3B43">
        <w:t xml:space="preserve"> in relation to OTC medicines that are, or are to be, registered goods.</w:t>
      </w:r>
    </w:p>
    <w:p w14:paraId="7AD6E8D0" w14:textId="77777777" w:rsidR="00712504" w:rsidRPr="005E3B43" w:rsidRDefault="00712504" w:rsidP="00763BCF">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38"/>
        <w:gridCol w:w="5297"/>
        <w:gridCol w:w="2072"/>
        <w:gridCol w:w="20"/>
      </w:tblGrid>
      <w:tr w:rsidR="00712504" w:rsidRPr="005E3B43" w14:paraId="3A31F3AE" w14:textId="77777777" w:rsidTr="005A786D">
        <w:trPr>
          <w:gridAfter w:val="1"/>
          <w:wAfter w:w="12" w:type="pct"/>
          <w:tblHeader/>
        </w:trPr>
        <w:tc>
          <w:tcPr>
            <w:tcW w:w="4988" w:type="pct"/>
            <w:gridSpan w:val="3"/>
            <w:tcBorders>
              <w:top w:val="single" w:sz="12" w:space="0" w:color="auto"/>
              <w:bottom w:val="single" w:sz="2" w:space="0" w:color="auto"/>
            </w:tcBorders>
            <w:shd w:val="clear" w:color="auto" w:fill="auto"/>
            <w:hideMark/>
          </w:tcPr>
          <w:p w14:paraId="21AE63A8" w14:textId="77777777" w:rsidR="00712504" w:rsidRPr="005E3B43" w:rsidRDefault="00464100" w:rsidP="00763BCF">
            <w:pPr>
              <w:pStyle w:val="TableHeading"/>
            </w:pPr>
            <w:r w:rsidRPr="005E3B43">
              <w:t>Fees</w:t>
            </w:r>
          </w:p>
        </w:tc>
      </w:tr>
      <w:tr w:rsidR="00712504" w:rsidRPr="005E3B43" w14:paraId="4E36E093" w14:textId="77777777" w:rsidTr="005A786D">
        <w:tblPrEx>
          <w:tblCellMar>
            <w:left w:w="108" w:type="dxa"/>
            <w:right w:w="108" w:type="dxa"/>
          </w:tblCellMar>
          <w:tblLook w:val="0000" w:firstRow="0" w:lastRow="0" w:firstColumn="0" w:lastColumn="0" w:noHBand="0" w:noVBand="0"/>
        </w:tblPrEx>
        <w:trPr>
          <w:tblHeader/>
        </w:trPr>
        <w:tc>
          <w:tcPr>
            <w:tcW w:w="667" w:type="pct"/>
            <w:tcBorders>
              <w:bottom w:val="single" w:sz="12" w:space="0" w:color="auto"/>
            </w:tcBorders>
            <w:shd w:val="clear" w:color="auto" w:fill="auto"/>
          </w:tcPr>
          <w:p w14:paraId="295E3746" w14:textId="77777777" w:rsidR="00712504" w:rsidRPr="005E3B43" w:rsidRDefault="00712504" w:rsidP="00763BCF">
            <w:pPr>
              <w:pStyle w:val="TableHeading"/>
              <w:ind w:left="-66" w:right="-52"/>
            </w:pPr>
            <w:r w:rsidRPr="005E3B43">
              <w:t>Column 1</w:t>
            </w:r>
            <w:r w:rsidRPr="005E3B43">
              <w:br/>
              <w:t>Item</w:t>
            </w:r>
          </w:p>
        </w:tc>
        <w:tc>
          <w:tcPr>
            <w:tcW w:w="3106" w:type="pct"/>
            <w:tcBorders>
              <w:bottom w:val="single" w:sz="12" w:space="0" w:color="auto"/>
            </w:tcBorders>
            <w:shd w:val="clear" w:color="auto" w:fill="auto"/>
          </w:tcPr>
          <w:p w14:paraId="1E7B42D6" w14:textId="77777777" w:rsidR="00712504" w:rsidRPr="005E3B43" w:rsidRDefault="00712504" w:rsidP="00763BCF">
            <w:pPr>
              <w:pStyle w:val="TableHeading"/>
              <w:ind w:right="-52"/>
            </w:pPr>
            <w:r w:rsidRPr="005E3B43">
              <w:t>Column 2</w:t>
            </w:r>
            <w:r w:rsidRPr="005E3B43">
              <w:br/>
              <w:t>Matter</w:t>
            </w:r>
          </w:p>
        </w:tc>
        <w:tc>
          <w:tcPr>
            <w:tcW w:w="1227" w:type="pct"/>
            <w:gridSpan w:val="2"/>
            <w:tcBorders>
              <w:bottom w:val="single" w:sz="12" w:space="0" w:color="auto"/>
            </w:tcBorders>
            <w:shd w:val="clear" w:color="auto" w:fill="auto"/>
          </w:tcPr>
          <w:p w14:paraId="79BFCD60" w14:textId="77777777" w:rsidR="00712504" w:rsidRPr="005E3B43" w:rsidRDefault="00712504" w:rsidP="00763BCF">
            <w:pPr>
              <w:pStyle w:val="TableHeading"/>
            </w:pPr>
            <w:r w:rsidRPr="005E3B43">
              <w:t>Column 3</w:t>
            </w:r>
            <w:r w:rsidRPr="005E3B43">
              <w:br/>
              <w:t>Fee $</w:t>
            </w:r>
          </w:p>
        </w:tc>
      </w:tr>
      <w:tr w:rsidR="00712504" w:rsidRPr="005E3B43" w14:paraId="0B28D15F" w14:textId="77777777" w:rsidTr="005A786D">
        <w:tblPrEx>
          <w:tblCellMar>
            <w:left w:w="108" w:type="dxa"/>
            <w:right w:w="108" w:type="dxa"/>
          </w:tblCellMar>
          <w:tblLook w:val="0000" w:firstRow="0" w:lastRow="0" w:firstColumn="0" w:lastColumn="0" w:noHBand="0" w:noVBand="0"/>
        </w:tblPrEx>
        <w:tc>
          <w:tcPr>
            <w:tcW w:w="667" w:type="pct"/>
            <w:tcBorders>
              <w:bottom w:val="nil"/>
            </w:tcBorders>
            <w:shd w:val="clear" w:color="auto" w:fill="auto"/>
          </w:tcPr>
          <w:p w14:paraId="2A523541" w14:textId="77777777" w:rsidR="00712504" w:rsidRPr="005E3B43" w:rsidRDefault="00712504" w:rsidP="00763BCF">
            <w:pPr>
              <w:pStyle w:val="Tabletext"/>
            </w:pPr>
            <w:r w:rsidRPr="005E3B43">
              <w:t>1</w:t>
            </w:r>
          </w:p>
        </w:tc>
        <w:tc>
          <w:tcPr>
            <w:tcW w:w="3106" w:type="pct"/>
            <w:tcBorders>
              <w:bottom w:val="nil"/>
            </w:tcBorders>
            <w:shd w:val="clear" w:color="auto" w:fill="auto"/>
          </w:tcPr>
          <w:p w14:paraId="2ED1CDE4" w14:textId="77777777" w:rsidR="00712504" w:rsidRPr="005E3B43" w:rsidRDefault="00712504" w:rsidP="00763BCF">
            <w:pPr>
              <w:pStyle w:val="Tabletext"/>
              <w:ind w:right="-52"/>
            </w:pPr>
            <w:r w:rsidRPr="005E3B43">
              <w:t xml:space="preserve">Application fee under </w:t>
            </w:r>
            <w:r w:rsidR="00584F84" w:rsidRPr="005E3B43">
              <w:t>paragraph</w:t>
            </w:r>
            <w:r w:rsidR="004E6D00" w:rsidRPr="005E3B43">
              <w:t> </w:t>
            </w:r>
            <w:r w:rsidR="00584F84" w:rsidRPr="005E3B43">
              <w:t>23B(2)(b)</w:t>
            </w:r>
            <w:r w:rsidRPr="005E3B43">
              <w:t xml:space="preserve"> of the Act:</w:t>
            </w:r>
          </w:p>
        </w:tc>
        <w:tc>
          <w:tcPr>
            <w:tcW w:w="1227" w:type="pct"/>
            <w:gridSpan w:val="2"/>
            <w:tcBorders>
              <w:bottom w:val="nil"/>
            </w:tcBorders>
            <w:shd w:val="clear" w:color="auto" w:fill="auto"/>
          </w:tcPr>
          <w:p w14:paraId="41D45E0C" w14:textId="77777777" w:rsidR="00712504" w:rsidRPr="005E3B43" w:rsidRDefault="00712504" w:rsidP="00763BCF">
            <w:pPr>
              <w:pStyle w:val="Tabletext"/>
            </w:pPr>
          </w:p>
        </w:tc>
      </w:tr>
      <w:tr w:rsidR="00712504" w:rsidRPr="005E3B43" w14:paraId="580595CB"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37F4E947" w14:textId="77777777" w:rsidR="00712504" w:rsidRPr="005E3B43" w:rsidRDefault="00712504" w:rsidP="00763BCF">
            <w:pPr>
              <w:pStyle w:val="Tabletext"/>
            </w:pPr>
          </w:p>
        </w:tc>
        <w:tc>
          <w:tcPr>
            <w:tcW w:w="3106" w:type="pct"/>
            <w:tcBorders>
              <w:top w:val="nil"/>
              <w:bottom w:val="nil"/>
            </w:tcBorders>
            <w:shd w:val="clear" w:color="auto" w:fill="auto"/>
          </w:tcPr>
          <w:p w14:paraId="49A6125F" w14:textId="77777777" w:rsidR="00712504" w:rsidRPr="005E3B43" w:rsidRDefault="00712504" w:rsidP="00763BCF">
            <w:pPr>
              <w:pStyle w:val="Tablea"/>
              <w:ind w:right="-52"/>
            </w:pPr>
            <w:r w:rsidRPr="005E3B43">
              <w:t>(a) for an N1 application</w:t>
            </w:r>
          </w:p>
        </w:tc>
        <w:tc>
          <w:tcPr>
            <w:tcW w:w="1227" w:type="pct"/>
            <w:gridSpan w:val="2"/>
            <w:tcBorders>
              <w:top w:val="nil"/>
              <w:bottom w:val="nil"/>
            </w:tcBorders>
            <w:shd w:val="clear" w:color="auto" w:fill="auto"/>
          </w:tcPr>
          <w:p w14:paraId="031BAE97" w14:textId="77777777" w:rsidR="00712504" w:rsidRPr="005E3B43" w:rsidRDefault="00A63444" w:rsidP="00763BCF">
            <w:pPr>
              <w:pStyle w:val="Tabletext"/>
              <w:rPr>
                <w:lang w:eastAsia="en-US"/>
              </w:rPr>
            </w:pPr>
            <w:r w:rsidRPr="005E3B43">
              <w:t>1,921</w:t>
            </w:r>
          </w:p>
        </w:tc>
      </w:tr>
      <w:tr w:rsidR="00712504" w:rsidRPr="005E3B43" w14:paraId="593424FB"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69507CC4" w14:textId="77777777" w:rsidR="00712504" w:rsidRPr="005E3B43" w:rsidRDefault="00712504" w:rsidP="00763BCF">
            <w:pPr>
              <w:pStyle w:val="Tabletext"/>
            </w:pPr>
          </w:p>
        </w:tc>
        <w:tc>
          <w:tcPr>
            <w:tcW w:w="3106" w:type="pct"/>
            <w:tcBorders>
              <w:top w:val="nil"/>
              <w:bottom w:val="nil"/>
            </w:tcBorders>
            <w:shd w:val="clear" w:color="auto" w:fill="auto"/>
          </w:tcPr>
          <w:p w14:paraId="4FCF4AE3" w14:textId="77777777" w:rsidR="00712504" w:rsidRPr="005E3B43" w:rsidRDefault="00712504" w:rsidP="00763BCF">
            <w:pPr>
              <w:pStyle w:val="Tablea"/>
              <w:ind w:right="-52"/>
            </w:pPr>
            <w:r w:rsidRPr="005E3B43">
              <w:t>(b) for an N2 application</w:t>
            </w:r>
          </w:p>
        </w:tc>
        <w:tc>
          <w:tcPr>
            <w:tcW w:w="1227" w:type="pct"/>
            <w:gridSpan w:val="2"/>
            <w:tcBorders>
              <w:top w:val="nil"/>
              <w:bottom w:val="nil"/>
            </w:tcBorders>
            <w:shd w:val="clear" w:color="auto" w:fill="auto"/>
          </w:tcPr>
          <w:p w14:paraId="5E78BE94" w14:textId="77777777" w:rsidR="00712504" w:rsidRPr="005E3B43" w:rsidRDefault="00A63444" w:rsidP="00763BCF">
            <w:pPr>
              <w:pStyle w:val="Tabletext"/>
              <w:rPr>
                <w:lang w:eastAsia="en-US"/>
              </w:rPr>
            </w:pPr>
            <w:r w:rsidRPr="005E3B43">
              <w:t>1,921</w:t>
            </w:r>
          </w:p>
        </w:tc>
      </w:tr>
      <w:tr w:rsidR="00712504" w:rsidRPr="005E3B43" w14:paraId="0233425F"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407B9CA2" w14:textId="77777777" w:rsidR="00712504" w:rsidRPr="005E3B43" w:rsidRDefault="00712504" w:rsidP="00763BCF">
            <w:pPr>
              <w:pStyle w:val="Tabletext"/>
            </w:pPr>
          </w:p>
        </w:tc>
        <w:tc>
          <w:tcPr>
            <w:tcW w:w="3106" w:type="pct"/>
            <w:tcBorders>
              <w:top w:val="nil"/>
              <w:bottom w:val="nil"/>
            </w:tcBorders>
            <w:shd w:val="clear" w:color="auto" w:fill="auto"/>
          </w:tcPr>
          <w:p w14:paraId="6134B875" w14:textId="77777777" w:rsidR="00712504" w:rsidRPr="005E3B43" w:rsidRDefault="00712504" w:rsidP="00763BCF">
            <w:pPr>
              <w:pStyle w:val="Tablea"/>
              <w:ind w:right="-52"/>
              <w:rPr>
                <w:rFonts w:eastAsia="Calibri"/>
                <w:lang w:eastAsia="en-US"/>
              </w:rPr>
            </w:pPr>
            <w:r w:rsidRPr="005E3B43">
              <w:t>(c) for an N3 application</w:t>
            </w:r>
          </w:p>
        </w:tc>
        <w:tc>
          <w:tcPr>
            <w:tcW w:w="1227" w:type="pct"/>
            <w:gridSpan w:val="2"/>
            <w:tcBorders>
              <w:top w:val="nil"/>
              <w:bottom w:val="nil"/>
            </w:tcBorders>
            <w:shd w:val="clear" w:color="auto" w:fill="auto"/>
          </w:tcPr>
          <w:p w14:paraId="3E9556E4" w14:textId="77777777" w:rsidR="00712504" w:rsidRPr="005E3B43" w:rsidRDefault="00A63444" w:rsidP="00763BCF">
            <w:pPr>
              <w:pStyle w:val="Tabletext"/>
            </w:pPr>
            <w:r w:rsidRPr="005E3B43">
              <w:t>3,086</w:t>
            </w:r>
          </w:p>
        </w:tc>
      </w:tr>
      <w:tr w:rsidR="00712504" w:rsidRPr="005E3B43" w14:paraId="27CF481D"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0385EC50" w14:textId="77777777" w:rsidR="00712504" w:rsidRPr="005E3B43" w:rsidRDefault="00712504" w:rsidP="00763BCF">
            <w:pPr>
              <w:pStyle w:val="Tabletext"/>
            </w:pPr>
          </w:p>
        </w:tc>
        <w:tc>
          <w:tcPr>
            <w:tcW w:w="3106" w:type="pct"/>
            <w:tcBorders>
              <w:top w:val="nil"/>
              <w:bottom w:val="nil"/>
            </w:tcBorders>
            <w:shd w:val="clear" w:color="auto" w:fill="auto"/>
          </w:tcPr>
          <w:p w14:paraId="43C77C93" w14:textId="77777777" w:rsidR="00712504" w:rsidRPr="005E3B43" w:rsidRDefault="00712504" w:rsidP="00763BCF">
            <w:pPr>
              <w:pStyle w:val="Tablea"/>
              <w:ind w:right="-52"/>
              <w:rPr>
                <w:rFonts w:eastAsia="Calibri"/>
                <w:lang w:eastAsia="en-US"/>
              </w:rPr>
            </w:pPr>
            <w:r w:rsidRPr="005E3B43">
              <w:t>(d) for an N4 application</w:t>
            </w:r>
          </w:p>
        </w:tc>
        <w:tc>
          <w:tcPr>
            <w:tcW w:w="1227" w:type="pct"/>
            <w:gridSpan w:val="2"/>
            <w:tcBorders>
              <w:top w:val="nil"/>
              <w:bottom w:val="nil"/>
            </w:tcBorders>
            <w:shd w:val="clear" w:color="auto" w:fill="auto"/>
          </w:tcPr>
          <w:p w14:paraId="5702F71F" w14:textId="77777777" w:rsidR="00712504" w:rsidRPr="005E3B43" w:rsidRDefault="00EE4274" w:rsidP="00763BCF">
            <w:pPr>
              <w:pStyle w:val="Tabletext"/>
            </w:pPr>
            <w:r w:rsidRPr="005E3B43">
              <w:t>4,509</w:t>
            </w:r>
          </w:p>
        </w:tc>
      </w:tr>
      <w:tr w:rsidR="00712504" w:rsidRPr="005E3B43" w14:paraId="18A08601"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560E50EF" w14:textId="77777777" w:rsidR="00712504" w:rsidRPr="005E3B43" w:rsidRDefault="00712504" w:rsidP="00763BCF">
            <w:pPr>
              <w:pStyle w:val="Tabletext"/>
            </w:pPr>
          </w:p>
        </w:tc>
        <w:tc>
          <w:tcPr>
            <w:tcW w:w="3106" w:type="pct"/>
            <w:tcBorders>
              <w:top w:val="nil"/>
              <w:bottom w:val="nil"/>
            </w:tcBorders>
            <w:shd w:val="clear" w:color="auto" w:fill="auto"/>
          </w:tcPr>
          <w:p w14:paraId="7E43B6D7" w14:textId="77777777" w:rsidR="00712504" w:rsidRPr="005E3B43" w:rsidRDefault="00712504" w:rsidP="00763BCF">
            <w:pPr>
              <w:pStyle w:val="Tablea"/>
              <w:ind w:right="-52"/>
              <w:rPr>
                <w:rFonts w:eastAsia="Calibri"/>
                <w:lang w:eastAsia="en-US"/>
              </w:rPr>
            </w:pPr>
            <w:r w:rsidRPr="005E3B43">
              <w:t>(e) for an N5 application</w:t>
            </w:r>
          </w:p>
        </w:tc>
        <w:tc>
          <w:tcPr>
            <w:tcW w:w="1227" w:type="pct"/>
            <w:gridSpan w:val="2"/>
            <w:tcBorders>
              <w:top w:val="nil"/>
              <w:bottom w:val="nil"/>
            </w:tcBorders>
            <w:shd w:val="clear" w:color="auto" w:fill="auto"/>
          </w:tcPr>
          <w:p w14:paraId="06CA4407" w14:textId="77777777" w:rsidR="00712504" w:rsidRPr="005E3B43" w:rsidRDefault="00EE4274" w:rsidP="00763BCF">
            <w:pPr>
              <w:pStyle w:val="Tabletext"/>
            </w:pPr>
            <w:r w:rsidRPr="005E3B43">
              <w:t>6,679</w:t>
            </w:r>
          </w:p>
        </w:tc>
      </w:tr>
      <w:tr w:rsidR="00712504" w:rsidRPr="005E3B43" w14:paraId="7BEAF256"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61419673" w14:textId="77777777" w:rsidR="00712504" w:rsidRPr="005E3B43" w:rsidRDefault="00712504" w:rsidP="00763BCF">
            <w:pPr>
              <w:pStyle w:val="Tabletext"/>
            </w:pPr>
          </w:p>
        </w:tc>
        <w:tc>
          <w:tcPr>
            <w:tcW w:w="3106" w:type="pct"/>
            <w:tcBorders>
              <w:top w:val="nil"/>
              <w:bottom w:val="nil"/>
            </w:tcBorders>
            <w:shd w:val="clear" w:color="auto" w:fill="auto"/>
          </w:tcPr>
          <w:p w14:paraId="2C359B8F" w14:textId="77777777" w:rsidR="00712504" w:rsidRPr="005E3B43" w:rsidRDefault="00712504" w:rsidP="00763BCF">
            <w:pPr>
              <w:pStyle w:val="Tablea"/>
            </w:pPr>
            <w:r w:rsidRPr="005E3B43">
              <w:t>(f) for a C1 (</w:t>
            </w:r>
            <w:r w:rsidR="00FB7FAA" w:rsidRPr="005E3B43">
              <w:t>section 2</w:t>
            </w:r>
            <w:r w:rsidRPr="005E3B43">
              <w:t>3) application</w:t>
            </w:r>
          </w:p>
        </w:tc>
        <w:tc>
          <w:tcPr>
            <w:tcW w:w="1227" w:type="pct"/>
            <w:gridSpan w:val="2"/>
            <w:tcBorders>
              <w:top w:val="nil"/>
              <w:bottom w:val="nil"/>
            </w:tcBorders>
            <w:shd w:val="clear" w:color="auto" w:fill="auto"/>
          </w:tcPr>
          <w:p w14:paraId="1F9D985D" w14:textId="77777777" w:rsidR="00712504" w:rsidRPr="005E3B43" w:rsidRDefault="00217401" w:rsidP="00763BCF">
            <w:pPr>
              <w:pStyle w:val="Tabletext"/>
              <w:rPr>
                <w:lang w:eastAsia="en-US"/>
              </w:rPr>
            </w:pPr>
            <w:r w:rsidRPr="005E3B43">
              <w:t>1,921</w:t>
            </w:r>
          </w:p>
        </w:tc>
      </w:tr>
      <w:tr w:rsidR="00712504" w:rsidRPr="005E3B43" w14:paraId="713C16B2"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7F5FC32D" w14:textId="77777777" w:rsidR="00712504" w:rsidRPr="005E3B43" w:rsidRDefault="00712504" w:rsidP="00763BCF">
            <w:pPr>
              <w:pStyle w:val="Tabletext"/>
            </w:pPr>
          </w:p>
        </w:tc>
        <w:tc>
          <w:tcPr>
            <w:tcW w:w="3106" w:type="pct"/>
            <w:tcBorders>
              <w:top w:val="nil"/>
              <w:bottom w:val="nil"/>
            </w:tcBorders>
            <w:shd w:val="clear" w:color="auto" w:fill="auto"/>
          </w:tcPr>
          <w:p w14:paraId="17CF91F5" w14:textId="77777777" w:rsidR="00712504" w:rsidRPr="005E3B43" w:rsidRDefault="00712504" w:rsidP="00763BCF">
            <w:pPr>
              <w:pStyle w:val="Tablea"/>
              <w:ind w:right="-52"/>
            </w:pPr>
            <w:r w:rsidRPr="005E3B43">
              <w:t>(g) for a C2 (</w:t>
            </w:r>
            <w:r w:rsidR="00FB7FAA" w:rsidRPr="005E3B43">
              <w:t>section 2</w:t>
            </w:r>
            <w:r w:rsidRPr="005E3B43">
              <w:t>3) application</w:t>
            </w:r>
          </w:p>
        </w:tc>
        <w:tc>
          <w:tcPr>
            <w:tcW w:w="1227" w:type="pct"/>
            <w:gridSpan w:val="2"/>
            <w:tcBorders>
              <w:top w:val="nil"/>
              <w:bottom w:val="nil"/>
            </w:tcBorders>
            <w:shd w:val="clear" w:color="auto" w:fill="auto"/>
          </w:tcPr>
          <w:p w14:paraId="111F1A2E" w14:textId="77777777" w:rsidR="00712504" w:rsidRPr="005E3B43" w:rsidRDefault="00217401" w:rsidP="00763BCF">
            <w:pPr>
              <w:pStyle w:val="Tabletext"/>
              <w:rPr>
                <w:lang w:eastAsia="en-US"/>
              </w:rPr>
            </w:pPr>
            <w:r w:rsidRPr="005E3B43">
              <w:t>1,921</w:t>
            </w:r>
          </w:p>
        </w:tc>
      </w:tr>
      <w:tr w:rsidR="00712504" w:rsidRPr="005E3B43" w14:paraId="59A4D866"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293FAF83" w14:textId="77777777" w:rsidR="00712504" w:rsidRPr="005E3B43" w:rsidRDefault="00712504" w:rsidP="00763BCF">
            <w:pPr>
              <w:pStyle w:val="Tabletext"/>
            </w:pPr>
          </w:p>
        </w:tc>
        <w:tc>
          <w:tcPr>
            <w:tcW w:w="3106" w:type="pct"/>
            <w:tcBorders>
              <w:top w:val="nil"/>
              <w:bottom w:val="nil"/>
            </w:tcBorders>
            <w:shd w:val="clear" w:color="auto" w:fill="auto"/>
          </w:tcPr>
          <w:p w14:paraId="0B3D1061" w14:textId="77777777" w:rsidR="00712504" w:rsidRPr="005E3B43" w:rsidRDefault="00712504" w:rsidP="00763BCF">
            <w:pPr>
              <w:pStyle w:val="Tablea"/>
              <w:ind w:right="-52"/>
            </w:pPr>
            <w:r w:rsidRPr="005E3B43">
              <w:t>(h) for a C3 (</w:t>
            </w:r>
            <w:r w:rsidR="00FB7FAA" w:rsidRPr="005E3B43">
              <w:t>section 2</w:t>
            </w:r>
            <w:r w:rsidRPr="005E3B43">
              <w:t>3) application</w:t>
            </w:r>
          </w:p>
        </w:tc>
        <w:tc>
          <w:tcPr>
            <w:tcW w:w="1227" w:type="pct"/>
            <w:gridSpan w:val="2"/>
            <w:tcBorders>
              <w:top w:val="nil"/>
              <w:bottom w:val="nil"/>
            </w:tcBorders>
            <w:shd w:val="clear" w:color="auto" w:fill="auto"/>
          </w:tcPr>
          <w:p w14:paraId="40AA2045" w14:textId="77777777" w:rsidR="00712504" w:rsidRPr="005E3B43" w:rsidRDefault="00217401" w:rsidP="00763BCF">
            <w:pPr>
              <w:pStyle w:val="Tabletext"/>
              <w:rPr>
                <w:lang w:eastAsia="en-US"/>
              </w:rPr>
            </w:pPr>
            <w:r w:rsidRPr="005E3B43">
              <w:t>1,921</w:t>
            </w:r>
          </w:p>
        </w:tc>
      </w:tr>
      <w:tr w:rsidR="00712504" w:rsidRPr="005E3B43" w14:paraId="07C45502" w14:textId="77777777" w:rsidTr="005A786D">
        <w:tblPrEx>
          <w:tblCellMar>
            <w:left w:w="108" w:type="dxa"/>
            <w:right w:w="108" w:type="dxa"/>
          </w:tblCellMar>
          <w:tblLook w:val="0000" w:firstRow="0" w:lastRow="0" w:firstColumn="0" w:lastColumn="0" w:noHBand="0" w:noVBand="0"/>
        </w:tblPrEx>
        <w:tc>
          <w:tcPr>
            <w:tcW w:w="667" w:type="pct"/>
            <w:tcBorders>
              <w:top w:val="nil"/>
            </w:tcBorders>
            <w:shd w:val="clear" w:color="auto" w:fill="auto"/>
          </w:tcPr>
          <w:p w14:paraId="240E9906" w14:textId="77777777" w:rsidR="00712504" w:rsidRPr="005E3B43" w:rsidRDefault="00712504" w:rsidP="00763BCF">
            <w:pPr>
              <w:pStyle w:val="Tabletext"/>
            </w:pPr>
          </w:p>
        </w:tc>
        <w:tc>
          <w:tcPr>
            <w:tcW w:w="3106" w:type="pct"/>
            <w:tcBorders>
              <w:top w:val="nil"/>
            </w:tcBorders>
            <w:shd w:val="clear" w:color="auto" w:fill="auto"/>
          </w:tcPr>
          <w:p w14:paraId="5F113818" w14:textId="77777777" w:rsidR="00712504" w:rsidRPr="005E3B43" w:rsidRDefault="00712504" w:rsidP="00763BCF">
            <w:pPr>
              <w:pStyle w:val="Tablea"/>
              <w:ind w:right="-52"/>
            </w:pPr>
            <w:r w:rsidRPr="005E3B43">
              <w:t>(i) for a C4 (</w:t>
            </w:r>
            <w:r w:rsidR="00FB7FAA" w:rsidRPr="005E3B43">
              <w:t>section 2</w:t>
            </w:r>
            <w:r w:rsidRPr="005E3B43">
              <w:t>3) application</w:t>
            </w:r>
          </w:p>
        </w:tc>
        <w:tc>
          <w:tcPr>
            <w:tcW w:w="1227" w:type="pct"/>
            <w:gridSpan w:val="2"/>
            <w:tcBorders>
              <w:top w:val="nil"/>
            </w:tcBorders>
            <w:shd w:val="clear" w:color="auto" w:fill="auto"/>
          </w:tcPr>
          <w:p w14:paraId="32A1E469" w14:textId="77777777" w:rsidR="00712504" w:rsidRPr="005E3B43" w:rsidRDefault="005C070D" w:rsidP="00763BCF">
            <w:pPr>
              <w:pStyle w:val="Tabletext"/>
              <w:rPr>
                <w:lang w:eastAsia="en-US"/>
              </w:rPr>
            </w:pPr>
            <w:r w:rsidRPr="005E3B43">
              <w:t>3,086</w:t>
            </w:r>
          </w:p>
        </w:tc>
      </w:tr>
      <w:tr w:rsidR="00712504" w:rsidRPr="005E3B43" w14:paraId="1BE7AA1E" w14:textId="77777777" w:rsidTr="005A786D">
        <w:tblPrEx>
          <w:tblCellMar>
            <w:left w:w="108" w:type="dxa"/>
            <w:right w:w="108" w:type="dxa"/>
          </w:tblCellMar>
          <w:tblLook w:val="0000" w:firstRow="0" w:lastRow="0" w:firstColumn="0" w:lastColumn="0" w:noHBand="0" w:noVBand="0"/>
        </w:tblPrEx>
        <w:tc>
          <w:tcPr>
            <w:tcW w:w="667" w:type="pct"/>
            <w:tcBorders>
              <w:bottom w:val="nil"/>
            </w:tcBorders>
            <w:shd w:val="clear" w:color="auto" w:fill="auto"/>
          </w:tcPr>
          <w:p w14:paraId="11FDDE6F" w14:textId="77777777" w:rsidR="00712504" w:rsidRPr="005E3B43" w:rsidRDefault="00712504" w:rsidP="00763BCF">
            <w:pPr>
              <w:pStyle w:val="Tabletext"/>
            </w:pPr>
            <w:r w:rsidRPr="005E3B43">
              <w:t>2</w:t>
            </w:r>
          </w:p>
        </w:tc>
        <w:tc>
          <w:tcPr>
            <w:tcW w:w="3106" w:type="pct"/>
            <w:tcBorders>
              <w:bottom w:val="nil"/>
            </w:tcBorders>
            <w:shd w:val="clear" w:color="auto" w:fill="auto"/>
          </w:tcPr>
          <w:p w14:paraId="534AFE59" w14:textId="77777777" w:rsidR="00712504" w:rsidRPr="005E3B43" w:rsidRDefault="00712504" w:rsidP="00763BCF">
            <w:pPr>
              <w:pStyle w:val="Tabletext"/>
              <w:ind w:right="-52"/>
            </w:pPr>
            <w:r w:rsidRPr="005E3B43">
              <w:t xml:space="preserve">Evaluation fee under </w:t>
            </w:r>
            <w:r w:rsidR="00584F84" w:rsidRPr="005E3B43">
              <w:t>sub</w:t>
            </w:r>
            <w:r w:rsidR="00FB7FAA" w:rsidRPr="005E3B43">
              <w:t>section 2</w:t>
            </w:r>
            <w:r w:rsidR="00584F84" w:rsidRPr="005E3B43">
              <w:t>4(1A)</w:t>
            </w:r>
            <w:r w:rsidRPr="005E3B43">
              <w:t xml:space="preserve"> of the Act:</w:t>
            </w:r>
          </w:p>
        </w:tc>
        <w:tc>
          <w:tcPr>
            <w:tcW w:w="1227" w:type="pct"/>
            <w:gridSpan w:val="2"/>
            <w:tcBorders>
              <w:bottom w:val="nil"/>
            </w:tcBorders>
            <w:shd w:val="clear" w:color="auto" w:fill="auto"/>
          </w:tcPr>
          <w:p w14:paraId="7F0C74BE" w14:textId="77777777" w:rsidR="00712504" w:rsidRPr="005E3B43" w:rsidRDefault="00712504" w:rsidP="00763BCF">
            <w:pPr>
              <w:pStyle w:val="Tabletext"/>
            </w:pPr>
          </w:p>
        </w:tc>
      </w:tr>
      <w:tr w:rsidR="00712504" w:rsidRPr="005E3B43" w14:paraId="444B04B8"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2175F593" w14:textId="77777777" w:rsidR="00712504" w:rsidRPr="005E3B43" w:rsidRDefault="00712504" w:rsidP="00763BCF">
            <w:pPr>
              <w:pStyle w:val="Tabletext"/>
            </w:pPr>
          </w:p>
        </w:tc>
        <w:tc>
          <w:tcPr>
            <w:tcW w:w="3106" w:type="pct"/>
            <w:tcBorders>
              <w:top w:val="nil"/>
              <w:bottom w:val="nil"/>
            </w:tcBorders>
            <w:shd w:val="clear" w:color="auto" w:fill="auto"/>
          </w:tcPr>
          <w:p w14:paraId="455AD67A" w14:textId="77777777" w:rsidR="00712504" w:rsidRPr="005E3B43" w:rsidRDefault="00712504" w:rsidP="00763BCF">
            <w:pPr>
              <w:pStyle w:val="Tablea"/>
            </w:pPr>
            <w:r w:rsidRPr="005E3B43">
              <w:t>(a) for an N1 application</w:t>
            </w:r>
          </w:p>
        </w:tc>
        <w:tc>
          <w:tcPr>
            <w:tcW w:w="1227" w:type="pct"/>
            <w:gridSpan w:val="2"/>
            <w:tcBorders>
              <w:top w:val="nil"/>
              <w:bottom w:val="nil"/>
            </w:tcBorders>
            <w:shd w:val="clear" w:color="auto" w:fill="auto"/>
          </w:tcPr>
          <w:p w14:paraId="48E2EA80" w14:textId="77777777" w:rsidR="00712504" w:rsidRPr="005E3B43" w:rsidRDefault="005C070D" w:rsidP="00763BCF">
            <w:pPr>
              <w:pStyle w:val="Tabletext"/>
            </w:pPr>
            <w:r w:rsidRPr="005E3B43">
              <w:t>4,746</w:t>
            </w:r>
          </w:p>
        </w:tc>
      </w:tr>
      <w:tr w:rsidR="00712504" w:rsidRPr="005E3B43" w14:paraId="4001A820"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0D00E6FB" w14:textId="77777777" w:rsidR="00712504" w:rsidRPr="005E3B43" w:rsidRDefault="00712504" w:rsidP="00763BCF">
            <w:pPr>
              <w:pStyle w:val="Tabletext"/>
            </w:pPr>
          </w:p>
        </w:tc>
        <w:tc>
          <w:tcPr>
            <w:tcW w:w="3106" w:type="pct"/>
            <w:tcBorders>
              <w:top w:val="nil"/>
              <w:bottom w:val="nil"/>
            </w:tcBorders>
            <w:shd w:val="clear" w:color="auto" w:fill="auto"/>
          </w:tcPr>
          <w:p w14:paraId="76A9E061" w14:textId="77777777" w:rsidR="00712504" w:rsidRPr="005E3B43" w:rsidRDefault="00712504" w:rsidP="00763BCF">
            <w:pPr>
              <w:pStyle w:val="Tablea"/>
            </w:pPr>
            <w:r w:rsidRPr="005E3B43">
              <w:t>(b) for an N2 application</w:t>
            </w:r>
          </w:p>
        </w:tc>
        <w:tc>
          <w:tcPr>
            <w:tcW w:w="1227" w:type="pct"/>
            <w:gridSpan w:val="2"/>
            <w:tcBorders>
              <w:top w:val="nil"/>
              <w:bottom w:val="nil"/>
            </w:tcBorders>
            <w:shd w:val="clear" w:color="auto" w:fill="auto"/>
          </w:tcPr>
          <w:p w14:paraId="6E11E817" w14:textId="77777777" w:rsidR="00712504" w:rsidRPr="005E3B43" w:rsidRDefault="007B1F8A" w:rsidP="00763BCF">
            <w:pPr>
              <w:pStyle w:val="Tabletext"/>
            </w:pPr>
            <w:r w:rsidRPr="005E3B43">
              <w:t>6,747</w:t>
            </w:r>
          </w:p>
        </w:tc>
      </w:tr>
      <w:tr w:rsidR="00712504" w:rsidRPr="005E3B43" w14:paraId="39EA81E0"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1A9BB183" w14:textId="77777777" w:rsidR="00712504" w:rsidRPr="005E3B43" w:rsidRDefault="00712504" w:rsidP="00763BCF">
            <w:pPr>
              <w:pStyle w:val="Tabletext"/>
            </w:pPr>
          </w:p>
        </w:tc>
        <w:tc>
          <w:tcPr>
            <w:tcW w:w="3106" w:type="pct"/>
            <w:tcBorders>
              <w:top w:val="nil"/>
              <w:bottom w:val="nil"/>
            </w:tcBorders>
            <w:shd w:val="clear" w:color="auto" w:fill="auto"/>
          </w:tcPr>
          <w:p w14:paraId="61F5B8EB" w14:textId="77777777" w:rsidR="00712504" w:rsidRPr="005E3B43" w:rsidRDefault="00712504" w:rsidP="00763BCF">
            <w:pPr>
              <w:pStyle w:val="Tablea"/>
            </w:pPr>
            <w:r w:rsidRPr="005E3B43">
              <w:t>(c) for an N3 application</w:t>
            </w:r>
          </w:p>
        </w:tc>
        <w:tc>
          <w:tcPr>
            <w:tcW w:w="1227" w:type="pct"/>
            <w:gridSpan w:val="2"/>
            <w:tcBorders>
              <w:top w:val="nil"/>
              <w:bottom w:val="nil"/>
            </w:tcBorders>
            <w:shd w:val="clear" w:color="auto" w:fill="auto"/>
          </w:tcPr>
          <w:p w14:paraId="2AC3F068" w14:textId="77777777" w:rsidR="00712504" w:rsidRPr="005E3B43" w:rsidRDefault="007B1F8A" w:rsidP="00763BCF">
            <w:pPr>
              <w:pStyle w:val="Tabletext"/>
            </w:pPr>
            <w:r w:rsidRPr="005E3B43">
              <w:t>10,397</w:t>
            </w:r>
          </w:p>
        </w:tc>
      </w:tr>
      <w:tr w:rsidR="00712504" w:rsidRPr="005E3B43" w14:paraId="330B9B04"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74853BC6" w14:textId="77777777" w:rsidR="00712504" w:rsidRPr="005E3B43" w:rsidRDefault="00712504" w:rsidP="00763BCF">
            <w:pPr>
              <w:pStyle w:val="Tabletext"/>
            </w:pPr>
          </w:p>
        </w:tc>
        <w:tc>
          <w:tcPr>
            <w:tcW w:w="3106" w:type="pct"/>
            <w:tcBorders>
              <w:top w:val="nil"/>
              <w:bottom w:val="nil"/>
            </w:tcBorders>
            <w:shd w:val="clear" w:color="auto" w:fill="auto"/>
          </w:tcPr>
          <w:p w14:paraId="36530D1F" w14:textId="77777777" w:rsidR="00712504" w:rsidRPr="005E3B43" w:rsidRDefault="00712504" w:rsidP="00763BCF">
            <w:pPr>
              <w:pStyle w:val="Tablea"/>
            </w:pPr>
            <w:r w:rsidRPr="005E3B43">
              <w:t>(d) for an N4 application</w:t>
            </w:r>
          </w:p>
        </w:tc>
        <w:tc>
          <w:tcPr>
            <w:tcW w:w="1227" w:type="pct"/>
            <w:gridSpan w:val="2"/>
            <w:tcBorders>
              <w:top w:val="nil"/>
              <w:bottom w:val="nil"/>
            </w:tcBorders>
            <w:shd w:val="clear" w:color="auto" w:fill="auto"/>
          </w:tcPr>
          <w:p w14:paraId="2B2B3135" w14:textId="77777777" w:rsidR="00712504" w:rsidRPr="005E3B43" w:rsidRDefault="007B1F8A" w:rsidP="00763BCF">
            <w:pPr>
              <w:pStyle w:val="Tabletext"/>
            </w:pPr>
            <w:r w:rsidRPr="005E3B43">
              <w:t>17,290</w:t>
            </w:r>
          </w:p>
        </w:tc>
      </w:tr>
      <w:tr w:rsidR="00712504" w:rsidRPr="005E3B43" w14:paraId="487DF1AF"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5F46BD58" w14:textId="77777777" w:rsidR="00712504" w:rsidRPr="005E3B43" w:rsidRDefault="00712504" w:rsidP="00763BCF">
            <w:pPr>
              <w:pStyle w:val="Tabletext"/>
            </w:pPr>
          </w:p>
        </w:tc>
        <w:tc>
          <w:tcPr>
            <w:tcW w:w="3106" w:type="pct"/>
            <w:tcBorders>
              <w:top w:val="nil"/>
              <w:bottom w:val="nil"/>
            </w:tcBorders>
            <w:shd w:val="clear" w:color="auto" w:fill="auto"/>
          </w:tcPr>
          <w:p w14:paraId="37DAD174" w14:textId="77777777" w:rsidR="00712504" w:rsidRPr="005E3B43" w:rsidRDefault="00712504" w:rsidP="00763BCF">
            <w:pPr>
              <w:pStyle w:val="Tablea"/>
            </w:pPr>
            <w:r w:rsidRPr="005E3B43">
              <w:t>(e) for an N5 application</w:t>
            </w:r>
          </w:p>
        </w:tc>
        <w:tc>
          <w:tcPr>
            <w:tcW w:w="1227" w:type="pct"/>
            <w:gridSpan w:val="2"/>
            <w:tcBorders>
              <w:top w:val="nil"/>
              <w:bottom w:val="nil"/>
            </w:tcBorders>
            <w:shd w:val="clear" w:color="auto" w:fill="auto"/>
          </w:tcPr>
          <w:p w14:paraId="60A22BFA" w14:textId="77777777" w:rsidR="00712504" w:rsidRPr="005E3B43" w:rsidRDefault="007B1F8A" w:rsidP="00763BCF">
            <w:pPr>
              <w:pStyle w:val="Tabletext"/>
            </w:pPr>
            <w:r w:rsidRPr="005E3B43">
              <w:t>25,426</w:t>
            </w:r>
          </w:p>
        </w:tc>
      </w:tr>
      <w:tr w:rsidR="00712504" w:rsidRPr="005E3B43" w14:paraId="4F28ADB5"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22AD9494" w14:textId="77777777" w:rsidR="00712504" w:rsidRPr="005E3B43" w:rsidRDefault="00712504" w:rsidP="00763BCF">
            <w:pPr>
              <w:pStyle w:val="Tabletext"/>
            </w:pPr>
          </w:p>
        </w:tc>
        <w:tc>
          <w:tcPr>
            <w:tcW w:w="3106" w:type="pct"/>
            <w:tcBorders>
              <w:top w:val="nil"/>
              <w:bottom w:val="nil"/>
            </w:tcBorders>
            <w:shd w:val="clear" w:color="auto" w:fill="auto"/>
          </w:tcPr>
          <w:p w14:paraId="7829A89C" w14:textId="77777777" w:rsidR="00712504" w:rsidRPr="005E3B43" w:rsidRDefault="00712504" w:rsidP="00763BCF">
            <w:pPr>
              <w:pStyle w:val="Tablea"/>
            </w:pPr>
            <w:r w:rsidRPr="005E3B43">
              <w:t>(f) for a C2 (</w:t>
            </w:r>
            <w:r w:rsidR="00FB7FAA" w:rsidRPr="005E3B43">
              <w:t>section 2</w:t>
            </w:r>
            <w:r w:rsidRPr="005E3B43">
              <w:t>3) application</w:t>
            </w:r>
          </w:p>
        </w:tc>
        <w:tc>
          <w:tcPr>
            <w:tcW w:w="1227" w:type="pct"/>
            <w:gridSpan w:val="2"/>
            <w:tcBorders>
              <w:top w:val="nil"/>
              <w:bottom w:val="nil"/>
            </w:tcBorders>
            <w:shd w:val="clear" w:color="auto" w:fill="auto"/>
          </w:tcPr>
          <w:p w14:paraId="7136675F" w14:textId="77777777" w:rsidR="00712504" w:rsidRPr="005E3B43" w:rsidRDefault="00516CC1" w:rsidP="00763BCF">
            <w:pPr>
              <w:pStyle w:val="Tabletext"/>
            </w:pPr>
            <w:r w:rsidRPr="005E3B43">
              <w:t>4,746</w:t>
            </w:r>
          </w:p>
        </w:tc>
      </w:tr>
      <w:tr w:rsidR="00712504" w:rsidRPr="005E3B43" w14:paraId="2BEF79D3"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669CDEE1" w14:textId="77777777" w:rsidR="00712504" w:rsidRPr="005E3B43" w:rsidRDefault="00712504" w:rsidP="00763BCF">
            <w:pPr>
              <w:pStyle w:val="Tabletext"/>
            </w:pPr>
          </w:p>
        </w:tc>
        <w:tc>
          <w:tcPr>
            <w:tcW w:w="3106" w:type="pct"/>
            <w:tcBorders>
              <w:top w:val="nil"/>
              <w:bottom w:val="nil"/>
            </w:tcBorders>
            <w:shd w:val="clear" w:color="auto" w:fill="auto"/>
          </w:tcPr>
          <w:p w14:paraId="2B1F4DAF" w14:textId="77777777" w:rsidR="00712504" w:rsidRPr="005E3B43" w:rsidRDefault="00712504" w:rsidP="00763BCF">
            <w:pPr>
              <w:pStyle w:val="Tablea"/>
            </w:pPr>
            <w:r w:rsidRPr="005E3B43">
              <w:t>(g) for a C3 (</w:t>
            </w:r>
            <w:r w:rsidR="00FB7FAA" w:rsidRPr="005E3B43">
              <w:t>section 2</w:t>
            </w:r>
            <w:r w:rsidRPr="005E3B43">
              <w:t>3) application</w:t>
            </w:r>
          </w:p>
        </w:tc>
        <w:tc>
          <w:tcPr>
            <w:tcW w:w="1227" w:type="pct"/>
            <w:gridSpan w:val="2"/>
            <w:tcBorders>
              <w:top w:val="nil"/>
              <w:bottom w:val="nil"/>
            </w:tcBorders>
            <w:shd w:val="clear" w:color="auto" w:fill="auto"/>
          </w:tcPr>
          <w:p w14:paraId="6AF3F449" w14:textId="77777777" w:rsidR="00712504" w:rsidRPr="005E3B43" w:rsidRDefault="00516CC1" w:rsidP="00763BCF">
            <w:pPr>
              <w:pStyle w:val="Tabletext"/>
            </w:pPr>
            <w:r w:rsidRPr="005E3B43">
              <w:t>7,967</w:t>
            </w:r>
          </w:p>
        </w:tc>
      </w:tr>
      <w:tr w:rsidR="00712504" w:rsidRPr="005E3B43" w14:paraId="63D52343" w14:textId="77777777" w:rsidTr="005A786D">
        <w:tblPrEx>
          <w:tblCellMar>
            <w:left w:w="108" w:type="dxa"/>
            <w:right w:w="108" w:type="dxa"/>
          </w:tblCellMar>
          <w:tblLook w:val="0000" w:firstRow="0" w:lastRow="0" w:firstColumn="0" w:lastColumn="0" w:noHBand="0" w:noVBand="0"/>
        </w:tblPrEx>
        <w:tc>
          <w:tcPr>
            <w:tcW w:w="667" w:type="pct"/>
            <w:tcBorders>
              <w:top w:val="nil"/>
            </w:tcBorders>
            <w:shd w:val="clear" w:color="auto" w:fill="auto"/>
          </w:tcPr>
          <w:p w14:paraId="1D215D4F" w14:textId="77777777" w:rsidR="00712504" w:rsidRPr="005E3B43" w:rsidRDefault="00712504" w:rsidP="00763BCF">
            <w:pPr>
              <w:pStyle w:val="Tabletext"/>
            </w:pPr>
          </w:p>
        </w:tc>
        <w:tc>
          <w:tcPr>
            <w:tcW w:w="3106" w:type="pct"/>
            <w:tcBorders>
              <w:top w:val="nil"/>
            </w:tcBorders>
            <w:shd w:val="clear" w:color="auto" w:fill="auto"/>
          </w:tcPr>
          <w:p w14:paraId="24056862" w14:textId="77777777" w:rsidR="00712504" w:rsidRPr="005E3B43" w:rsidRDefault="00712504" w:rsidP="00763BCF">
            <w:pPr>
              <w:pStyle w:val="Tablea"/>
            </w:pPr>
            <w:r w:rsidRPr="005E3B43">
              <w:t>(h) for a C4 (</w:t>
            </w:r>
            <w:r w:rsidR="00FB7FAA" w:rsidRPr="005E3B43">
              <w:t>section 2</w:t>
            </w:r>
            <w:r w:rsidRPr="005E3B43">
              <w:t>3) application</w:t>
            </w:r>
          </w:p>
        </w:tc>
        <w:tc>
          <w:tcPr>
            <w:tcW w:w="1227" w:type="pct"/>
            <w:gridSpan w:val="2"/>
            <w:tcBorders>
              <w:top w:val="nil"/>
            </w:tcBorders>
            <w:shd w:val="clear" w:color="auto" w:fill="auto"/>
          </w:tcPr>
          <w:p w14:paraId="7E82326B" w14:textId="77777777" w:rsidR="00712504" w:rsidRPr="005E3B43" w:rsidRDefault="00516CC1" w:rsidP="00763BCF">
            <w:pPr>
              <w:pStyle w:val="Tabletext"/>
            </w:pPr>
            <w:r w:rsidRPr="005E3B43">
              <w:t>10,397</w:t>
            </w:r>
          </w:p>
        </w:tc>
      </w:tr>
      <w:tr w:rsidR="00712504" w:rsidRPr="005E3B43" w14:paraId="263E3A5B" w14:textId="77777777" w:rsidTr="005A786D">
        <w:tblPrEx>
          <w:tblCellMar>
            <w:left w:w="108" w:type="dxa"/>
            <w:right w:w="108" w:type="dxa"/>
          </w:tblCellMar>
          <w:tblLook w:val="0000" w:firstRow="0" w:lastRow="0" w:firstColumn="0" w:lastColumn="0" w:noHBand="0" w:noVBand="0"/>
        </w:tblPrEx>
        <w:tc>
          <w:tcPr>
            <w:tcW w:w="667" w:type="pct"/>
            <w:tcBorders>
              <w:bottom w:val="nil"/>
            </w:tcBorders>
            <w:shd w:val="clear" w:color="auto" w:fill="auto"/>
          </w:tcPr>
          <w:p w14:paraId="02B6ACDE" w14:textId="77777777" w:rsidR="00712504" w:rsidRPr="005E3B43" w:rsidRDefault="00712504" w:rsidP="00763BCF">
            <w:pPr>
              <w:pStyle w:val="Tabletext"/>
            </w:pPr>
            <w:r w:rsidRPr="005E3B43">
              <w:t>3</w:t>
            </w:r>
          </w:p>
        </w:tc>
        <w:tc>
          <w:tcPr>
            <w:tcW w:w="3106" w:type="pct"/>
            <w:tcBorders>
              <w:bottom w:val="nil"/>
            </w:tcBorders>
            <w:shd w:val="clear" w:color="auto" w:fill="auto"/>
          </w:tcPr>
          <w:p w14:paraId="351266DD" w14:textId="14EF3637" w:rsidR="00712504" w:rsidRPr="005E3B43" w:rsidRDefault="00712504" w:rsidP="00763BCF">
            <w:pPr>
              <w:pStyle w:val="Tabletext"/>
              <w:ind w:right="-52"/>
            </w:pPr>
            <w:r w:rsidRPr="005E3B43">
              <w:t xml:space="preserve">If, at the time a person submits an application of a kind mentioned in </w:t>
            </w:r>
            <w:r w:rsidR="004E6D00" w:rsidRPr="005E3B43">
              <w:t>paragraph (</w:t>
            </w:r>
            <w:r w:rsidRPr="005E3B43">
              <w:t xml:space="preserve">a), (b), (c), (d) or (e) of </w:t>
            </w:r>
            <w:r w:rsidR="007C3215">
              <w:t>item 1</w:t>
            </w:r>
            <w:r w:rsidRPr="005E3B43">
              <w:t>:</w:t>
            </w:r>
          </w:p>
        </w:tc>
        <w:tc>
          <w:tcPr>
            <w:tcW w:w="1227" w:type="pct"/>
            <w:gridSpan w:val="2"/>
            <w:tcBorders>
              <w:bottom w:val="nil"/>
            </w:tcBorders>
            <w:shd w:val="clear" w:color="auto" w:fill="auto"/>
          </w:tcPr>
          <w:p w14:paraId="1E00F831" w14:textId="77777777" w:rsidR="00712504" w:rsidRPr="005E3B43" w:rsidRDefault="00712504" w:rsidP="00763BCF">
            <w:pPr>
              <w:pStyle w:val="Tabletext"/>
            </w:pPr>
          </w:p>
        </w:tc>
      </w:tr>
      <w:tr w:rsidR="00712504" w:rsidRPr="005E3B43" w14:paraId="0723CA51"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3C5184A2" w14:textId="77777777" w:rsidR="00712504" w:rsidRPr="005E3B43" w:rsidRDefault="00712504" w:rsidP="00763BCF">
            <w:pPr>
              <w:pStyle w:val="Tabletext"/>
            </w:pPr>
          </w:p>
        </w:tc>
        <w:tc>
          <w:tcPr>
            <w:tcW w:w="3106" w:type="pct"/>
            <w:tcBorders>
              <w:top w:val="nil"/>
              <w:bottom w:val="nil"/>
            </w:tcBorders>
            <w:shd w:val="clear" w:color="auto" w:fill="auto"/>
          </w:tcPr>
          <w:p w14:paraId="1E5A10F2" w14:textId="77777777" w:rsidR="00712504" w:rsidRPr="005E3B43" w:rsidRDefault="00712504" w:rsidP="00763BCF">
            <w:pPr>
              <w:pStyle w:val="Tablea"/>
            </w:pPr>
            <w:r w:rsidRPr="005E3B43">
              <w:t>(a) the person also submits an additional application or applications of the same kind; and</w:t>
            </w:r>
          </w:p>
        </w:tc>
        <w:tc>
          <w:tcPr>
            <w:tcW w:w="1227" w:type="pct"/>
            <w:gridSpan w:val="2"/>
            <w:tcBorders>
              <w:top w:val="nil"/>
              <w:bottom w:val="nil"/>
            </w:tcBorders>
            <w:shd w:val="clear" w:color="auto" w:fill="auto"/>
          </w:tcPr>
          <w:p w14:paraId="0048E271" w14:textId="77777777" w:rsidR="00712504" w:rsidRPr="005E3B43" w:rsidRDefault="00712504" w:rsidP="00763BCF">
            <w:pPr>
              <w:pStyle w:val="Tabletext"/>
            </w:pPr>
          </w:p>
        </w:tc>
      </w:tr>
      <w:tr w:rsidR="00712504" w:rsidRPr="005E3B43" w14:paraId="3C5D0A97"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031540ED" w14:textId="77777777" w:rsidR="00712504" w:rsidRPr="005E3B43" w:rsidRDefault="00712504" w:rsidP="00763BCF">
            <w:pPr>
              <w:pStyle w:val="Tabletext"/>
            </w:pPr>
          </w:p>
        </w:tc>
        <w:tc>
          <w:tcPr>
            <w:tcW w:w="3106" w:type="pct"/>
            <w:tcBorders>
              <w:top w:val="nil"/>
              <w:bottom w:val="nil"/>
            </w:tcBorders>
            <w:shd w:val="clear" w:color="auto" w:fill="auto"/>
          </w:tcPr>
          <w:p w14:paraId="61686821" w14:textId="77777777" w:rsidR="00712504" w:rsidRPr="005E3B43" w:rsidRDefault="00712504" w:rsidP="00763BCF">
            <w:pPr>
              <w:pStyle w:val="Tablea"/>
            </w:pPr>
            <w:r w:rsidRPr="005E3B43">
              <w:t>(b) each application relates to goods that contain the same therapeutically active ingredient; and</w:t>
            </w:r>
          </w:p>
        </w:tc>
        <w:tc>
          <w:tcPr>
            <w:tcW w:w="1227" w:type="pct"/>
            <w:gridSpan w:val="2"/>
            <w:tcBorders>
              <w:top w:val="nil"/>
              <w:bottom w:val="nil"/>
            </w:tcBorders>
            <w:shd w:val="clear" w:color="auto" w:fill="auto"/>
          </w:tcPr>
          <w:p w14:paraId="7D6F92BB" w14:textId="77777777" w:rsidR="00712504" w:rsidRPr="005E3B43" w:rsidRDefault="00712504" w:rsidP="00763BCF">
            <w:pPr>
              <w:pStyle w:val="Tabletext"/>
            </w:pPr>
          </w:p>
        </w:tc>
      </w:tr>
      <w:tr w:rsidR="00712504" w:rsidRPr="005E3B43" w14:paraId="507A9F2B"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586C2A08" w14:textId="77777777" w:rsidR="00712504" w:rsidRPr="005E3B43" w:rsidRDefault="00712504" w:rsidP="00763BCF">
            <w:pPr>
              <w:pStyle w:val="Tabletext"/>
            </w:pPr>
          </w:p>
        </w:tc>
        <w:tc>
          <w:tcPr>
            <w:tcW w:w="3106" w:type="pct"/>
            <w:tcBorders>
              <w:top w:val="nil"/>
              <w:bottom w:val="nil"/>
            </w:tcBorders>
            <w:shd w:val="clear" w:color="auto" w:fill="auto"/>
          </w:tcPr>
          <w:p w14:paraId="48955351" w14:textId="77777777" w:rsidR="00712504" w:rsidRPr="005E3B43" w:rsidRDefault="00712504" w:rsidP="00763BCF">
            <w:pPr>
              <w:pStyle w:val="Tablea"/>
            </w:pPr>
            <w:r w:rsidRPr="005E3B43">
              <w:t>(c) the information in support of each application is sufficiently common in respect of the goods to enable a simultaneous assessment of the goods to be made;</w:t>
            </w:r>
          </w:p>
        </w:tc>
        <w:tc>
          <w:tcPr>
            <w:tcW w:w="1227" w:type="pct"/>
            <w:gridSpan w:val="2"/>
            <w:tcBorders>
              <w:top w:val="nil"/>
              <w:bottom w:val="nil"/>
            </w:tcBorders>
            <w:shd w:val="clear" w:color="auto" w:fill="auto"/>
          </w:tcPr>
          <w:p w14:paraId="23AA1F2C" w14:textId="77777777" w:rsidR="00712504" w:rsidRPr="005E3B43" w:rsidRDefault="00712504" w:rsidP="00763BCF">
            <w:pPr>
              <w:pStyle w:val="Tabletext"/>
            </w:pPr>
          </w:p>
        </w:tc>
      </w:tr>
      <w:tr w:rsidR="00712504" w:rsidRPr="005E3B43" w14:paraId="038FB253"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0B3919B4" w14:textId="77777777" w:rsidR="00712504" w:rsidRPr="005E3B43" w:rsidRDefault="00712504" w:rsidP="00763BCF">
            <w:pPr>
              <w:pStyle w:val="Tabletext"/>
            </w:pPr>
          </w:p>
        </w:tc>
        <w:tc>
          <w:tcPr>
            <w:tcW w:w="3106" w:type="pct"/>
            <w:tcBorders>
              <w:top w:val="nil"/>
              <w:bottom w:val="nil"/>
            </w:tcBorders>
            <w:shd w:val="clear" w:color="auto" w:fill="auto"/>
          </w:tcPr>
          <w:p w14:paraId="289BC324" w14:textId="77777777" w:rsidR="00712504" w:rsidRPr="005E3B43" w:rsidRDefault="00712504" w:rsidP="00763BCF">
            <w:pPr>
              <w:pStyle w:val="Tabletext"/>
            </w:pPr>
            <w:r w:rsidRPr="005E3B43">
              <w:t xml:space="preserve">the application fee under </w:t>
            </w:r>
            <w:r w:rsidR="00584F84" w:rsidRPr="005E3B43">
              <w:t>paragraph</w:t>
            </w:r>
            <w:r w:rsidR="004E6D00" w:rsidRPr="005E3B43">
              <w:t> </w:t>
            </w:r>
            <w:r w:rsidR="00584F84" w:rsidRPr="005E3B43">
              <w:t>23B(2)(b)</w:t>
            </w:r>
            <w:r w:rsidRPr="005E3B43">
              <w:t xml:space="preserve"> of the Act for each additional application is:</w:t>
            </w:r>
          </w:p>
        </w:tc>
        <w:tc>
          <w:tcPr>
            <w:tcW w:w="1227" w:type="pct"/>
            <w:gridSpan w:val="2"/>
            <w:tcBorders>
              <w:top w:val="nil"/>
              <w:bottom w:val="nil"/>
            </w:tcBorders>
            <w:shd w:val="clear" w:color="auto" w:fill="auto"/>
          </w:tcPr>
          <w:p w14:paraId="7A9A111E" w14:textId="77777777" w:rsidR="00712504" w:rsidRPr="005E3B43" w:rsidRDefault="00712504" w:rsidP="00763BCF">
            <w:pPr>
              <w:pStyle w:val="Tabletext"/>
            </w:pPr>
          </w:p>
        </w:tc>
      </w:tr>
      <w:tr w:rsidR="00712504" w:rsidRPr="005E3B43" w14:paraId="03DCB9F6"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3AB8C889" w14:textId="77777777" w:rsidR="00712504" w:rsidRPr="005E3B43" w:rsidRDefault="00712504" w:rsidP="00763BCF">
            <w:pPr>
              <w:pStyle w:val="Tabletext"/>
            </w:pPr>
          </w:p>
        </w:tc>
        <w:tc>
          <w:tcPr>
            <w:tcW w:w="3106" w:type="pct"/>
            <w:tcBorders>
              <w:top w:val="nil"/>
              <w:bottom w:val="nil"/>
            </w:tcBorders>
            <w:shd w:val="clear" w:color="auto" w:fill="auto"/>
          </w:tcPr>
          <w:p w14:paraId="5DF1F3F4" w14:textId="77777777" w:rsidR="00712504" w:rsidRPr="005E3B43" w:rsidRDefault="00712504" w:rsidP="00763BCF">
            <w:pPr>
              <w:pStyle w:val="Tablea"/>
            </w:pPr>
            <w:r w:rsidRPr="005E3B43">
              <w:t>(d) for an additional N1 application</w:t>
            </w:r>
          </w:p>
        </w:tc>
        <w:tc>
          <w:tcPr>
            <w:tcW w:w="1227" w:type="pct"/>
            <w:gridSpan w:val="2"/>
            <w:tcBorders>
              <w:top w:val="nil"/>
              <w:bottom w:val="nil"/>
            </w:tcBorders>
            <w:shd w:val="clear" w:color="auto" w:fill="auto"/>
          </w:tcPr>
          <w:p w14:paraId="2628BCB9" w14:textId="77777777" w:rsidR="00712504" w:rsidRPr="005E3B43" w:rsidRDefault="00483F95" w:rsidP="00763BCF">
            <w:pPr>
              <w:pStyle w:val="Tabletext"/>
            </w:pPr>
            <w:r w:rsidRPr="005E3B43">
              <w:t>972</w:t>
            </w:r>
          </w:p>
        </w:tc>
      </w:tr>
      <w:tr w:rsidR="00712504" w:rsidRPr="005E3B43" w14:paraId="5BE3CBD7"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45D6C10C" w14:textId="77777777" w:rsidR="00712504" w:rsidRPr="005E3B43" w:rsidRDefault="00712504" w:rsidP="00763BCF">
            <w:pPr>
              <w:pStyle w:val="Tabletext"/>
            </w:pPr>
          </w:p>
        </w:tc>
        <w:tc>
          <w:tcPr>
            <w:tcW w:w="3106" w:type="pct"/>
            <w:tcBorders>
              <w:top w:val="nil"/>
              <w:bottom w:val="nil"/>
            </w:tcBorders>
            <w:shd w:val="clear" w:color="auto" w:fill="auto"/>
          </w:tcPr>
          <w:p w14:paraId="5AB8C96B" w14:textId="77777777" w:rsidR="00712504" w:rsidRPr="005E3B43" w:rsidRDefault="00712504" w:rsidP="00763BCF">
            <w:pPr>
              <w:pStyle w:val="Tablea"/>
            </w:pPr>
            <w:r w:rsidRPr="005E3B43">
              <w:t>(e) for an additional N2 application</w:t>
            </w:r>
          </w:p>
        </w:tc>
        <w:tc>
          <w:tcPr>
            <w:tcW w:w="1227" w:type="pct"/>
            <w:gridSpan w:val="2"/>
            <w:tcBorders>
              <w:top w:val="nil"/>
              <w:bottom w:val="nil"/>
            </w:tcBorders>
            <w:shd w:val="clear" w:color="auto" w:fill="auto"/>
          </w:tcPr>
          <w:p w14:paraId="7E13E276" w14:textId="77777777" w:rsidR="00712504" w:rsidRPr="005E3B43" w:rsidRDefault="00483F95" w:rsidP="00763BCF">
            <w:pPr>
              <w:pStyle w:val="Tabletext"/>
            </w:pPr>
            <w:r w:rsidRPr="005E3B43">
              <w:t>972</w:t>
            </w:r>
          </w:p>
        </w:tc>
      </w:tr>
      <w:tr w:rsidR="00712504" w:rsidRPr="005E3B43" w14:paraId="1BB0D520"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4D0FE46D" w14:textId="77777777" w:rsidR="00712504" w:rsidRPr="005E3B43" w:rsidRDefault="00712504" w:rsidP="00763BCF">
            <w:pPr>
              <w:pStyle w:val="Tabletext"/>
            </w:pPr>
          </w:p>
        </w:tc>
        <w:tc>
          <w:tcPr>
            <w:tcW w:w="3106" w:type="pct"/>
            <w:tcBorders>
              <w:top w:val="nil"/>
              <w:bottom w:val="nil"/>
            </w:tcBorders>
            <w:shd w:val="clear" w:color="auto" w:fill="auto"/>
          </w:tcPr>
          <w:p w14:paraId="75BB03F5" w14:textId="77777777" w:rsidR="00712504" w:rsidRPr="005E3B43" w:rsidRDefault="00712504" w:rsidP="00763BCF">
            <w:pPr>
              <w:pStyle w:val="Tablea"/>
            </w:pPr>
            <w:r w:rsidRPr="005E3B43">
              <w:t>(f) for an additional N3 application</w:t>
            </w:r>
          </w:p>
        </w:tc>
        <w:tc>
          <w:tcPr>
            <w:tcW w:w="1227" w:type="pct"/>
            <w:gridSpan w:val="2"/>
            <w:tcBorders>
              <w:top w:val="nil"/>
              <w:bottom w:val="nil"/>
            </w:tcBorders>
            <w:shd w:val="clear" w:color="auto" w:fill="auto"/>
          </w:tcPr>
          <w:p w14:paraId="2293D075" w14:textId="77777777" w:rsidR="00712504" w:rsidRPr="005E3B43" w:rsidRDefault="00867F36" w:rsidP="00763BCF">
            <w:pPr>
              <w:pStyle w:val="Tabletext"/>
            </w:pPr>
            <w:r w:rsidRPr="005E3B43">
              <w:t>1,549</w:t>
            </w:r>
          </w:p>
        </w:tc>
      </w:tr>
      <w:tr w:rsidR="00712504" w:rsidRPr="005E3B43" w14:paraId="0B4376A3"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69ECDE13" w14:textId="77777777" w:rsidR="00712504" w:rsidRPr="005E3B43" w:rsidRDefault="00712504" w:rsidP="00763BCF">
            <w:pPr>
              <w:pStyle w:val="Tabletext"/>
            </w:pPr>
          </w:p>
        </w:tc>
        <w:tc>
          <w:tcPr>
            <w:tcW w:w="3106" w:type="pct"/>
            <w:tcBorders>
              <w:top w:val="nil"/>
              <w:bottom w:val="nil"/>
            </w:tcBorders>
            <w:shd w:val="clear" w:color="auto" w:fill="auto"/>
          </w:tcPr>
          <w:p w14:paraId="3F107A9C" w14:textId="77777777" w:rsidR="00712504" w:rsidRPr="005E3B43" w:rsidRDefault="00712504" w:rsidP="00763BCF">
            <w:pPr>
              <w:pStyle w:val="Tablea"/>
            </w:pPr>
            <w:r w:rsidRPr="005E3B43">
              <w:t>(g) for an additional N4 application</w:t>
            </w:r>
          </w:p>
        </w:tc>
        <w:tc>
          <w:tcPr>
            <w:tcW w:w="1227" w:type="pct"/>
            <w:gridSpan w:val="2"/>
            <w:tcBorders>
              <w:top w:val="nil"/>
              <w:bottom w:val="nil"/>
            </w:tcBorders>
            <w:shd w:val="clear" w:color="auto" w:fill="auto"/>
          </w:tcPr>
          <w:p w14:paraId="763C883D" w14:textId="77777777" w:rsidR="00712504" w:rsidRPr="005E3B43" w:rsidRDefault="00867F36" w:rsidP="00763BCF">
            <w:pPr>
              <w:pStyle w:val="Tabletext"/>
            </w:pPr>
            <w:r w:rsidRPr="005E3B43">
              <w:t>1,549</w:t>
            </w:r>
          </w:p>
        </w:tc>
      </w:tr>
      <w:tr w:rsidR="00712504" w:rsidRPr="005E3B43" w14:paraId="732BA8D1" w14:textId="77777777" w:rsidTr="005A786D">
        <w:tblPrEx>
          <w:tblCellMar>
            <w:left w:w="108" w:type="dxa"/>
            <w:right w:w="108" w:type="dxa"/>
          </w:tblCellMar>
          <w:tblLook w:val="0000" w:firstRow="0" w:lastRow="0" w:firstColumn="0" w:lastColumn="0" w:noHBand="0" w:noVBand="0"/>
        </w:tblPrEx>
        <w:tc>
          <w:tcPr>
            <w:tcW w:w="667" w:type="pct"/>
            <w:tcBorders>
              <w:top w:val="nil"/>
            </w:tcBorders>
            <w:shd w:val="clear" w:color="auto" w:fill="auto"/>
          </w:tcPr>
          <w:p w14:paraId="362B030A" w14:textId="77777777" w:rsidR="00712504" w:rsidRPr="005E3B43" w:rsidRDefault="00712504" w:rsidP="00763BCF">
            <w:pPr>
              <w:pStyle w:val="Tabletext"/>
            </w:pPr>
          </w:p>
        </w:tc>
        <w:tc>
          <w:tcPr>
            <w:tcW w:w="3106" w:type="pct"/>
            <w:tcBorders>
              <w:top w:val="nil"/>
            </w:tcBorders>
            <w:shd w:val="clear" w:color="auto" w:fill="auto"/>
          </w:tcPr>
          <w:p w14:paraId="2B205679" w14:textId="77777777" w:rsidR="00712504" w:rsidRPr="005E3B43" w:rsidRDefault="00712504" w:rsidP="00763BCF">
            <w:pPr>
              <w:pStyle w:val="Tablea"/>
            </w:pPr>
            <w:r w:rsidRPr="005E3B43">
              <w:t>(h) for an additional N5 application</w:t>
            </w:r>
          </w:p>
        </w:tc>
        <w:tc>
          <w:tcPr>
            <w:tcW w:w="1227" w:type="pct"/>
            <w:gridSpan w:val="2"/>
            <w:tcBorders>
              <w:top w:val="nil"/>
            </w:tcBorders>
            <w:shd w:val="clear" w:color="auto" w:fill="auto"/>
          </w:tcPr>
          <w:p w14:paraId="12A23082" w14:textId="77777777" w:rsidR="00712504" w:rsidRPr="005E3B43" w:rsidRDefault="00867F36" w:rsidP="00763BCF">
            <w:pPr>
              <w:pStyle w:val="Tabletext"/>
            </w:pPr>
            <w:r w:rsidRPr="005E3B43">
              <w:t>1,549</w:t>
            </w:r>
          </w:p>
        </w:tc>
      </w:tr>
      <w:tr w:rsidR="00712504" w:rsidRPr="005E3B43" w14:paraId="3166283A" w14:textId="77777777" w:rsidTr="005A786D">
        <w:tblPrEx>
          <w:tblCellMar>
            <w:left w:w="108" w:type="dxa"/>
            <w:right w:w="108" w:type="dxa"/>
          </w:tblCellMar>
          <w:tblLook w:val="0000" w:firstRow="0" w:lastRow="0" w:firstColumn="0" w:lastColumn="0" w:noHBand="0" w:noVBand="0"/>
        </w:tblPrEx>
        <w:tc>
          <w:tcPr>
            <w:tcW w:w="667" w:type="pct"/>
            <w:tcBorders>
              <w:bottom w:val="nil"/>
            </w:tcBorders>
            <w:shd w:val="clear" w:color="auto" w:fill="auto"/>
          </w:tcPr>
          <w:p w14:paraId="6CF83F9A" w14:textId="77777777" w:rsidR="00712504" w:rsidRPr="005E3B43" w:rsidRDefault="00712504" w:rsidP="00763BCF">
            <w:pPr>
              <w:pStyle w:val="Tabletext"/>
            </w:pPr>
            <w:r w:rsidRPr="005E3B43">
              <w:t>4</w:t>
            </w:r>
          </w:p>
        </w:tc>
        <w:tc>
          <w:tcPr>
            <w:tcW w:w="3106" w:type="pct"/>
            <w:tcBorders>
              <w:bottom w:val="nil"/>
            </w:tcBorders>
            <w:shd w:val="clear" w:color="auto" w:fill="auto"/>
          </w:tcPr>
          <w:p w14:paraId="0AACE385" w14:textId="77777777" w:rsidR="00712504" w:rsidRPr="005E3B43" w:rsidRDefault="00712504" w:rsidP="00763BCF">
            <w:pPr>
              <w:pStyle w:val="Tabletext"/>
              <w:ind w:right="-52"/>
            </w:pPr>
            <w:r w:rsidRPr="005E3B43">
              <w:t xml:space="preserve">If, at the time a person submits an application of a kind mentioned in </w:t>
            </w:r>
            <w:r w:rsidR="004E6D00" w:rsidRPr="005E3B43">
              <w:t>paragraph (</w:t>
            </w:r>
            <w:r w:rsidRPr="005E3B43">
              <w:t xml:space="preserve">c), (d) or (e) of </w:t>
            </w:r>
            <w:r w:rsidR="006B5D8E" w:rsidRPr="005E3B43">
              <w:t>item 2</w:t>
            </w:r>
            <w:r w:rsidRPr="005E3B43">
              <w:t>:</w:t>
            </w:r>
          </w:p>
        </w:tc>
        <w:tc>
          <w:tcPr>
            <w:tcW w:w="1227" w:type="pct"/>
            <w:gridSpan w:val="2"/>
            <w:tcBorders>
              <w:bottom w:val="nil"/>
            </w:tcBorders>
            <w:shd w:val="clear" w:color="auto" w:fill="auto"/>
          </w:tcPr>
          <w:p w14:paraId="25A12070" w14:textId="77777777" w:rsidR="00712504" w:rsidRPr="005E3B43" w:rsidRDefault="00712504" w:rsidP="00763BCF">
            <w:pPr>
              <w:pStyle w:val="Tabletext"/>
            </w:pPr>
          </w:p>
        </w:tc>
      </w:tr>
      <w:tr w:rsidR="00712504" w:rsidRPr="005E3B43" w14:paraId="3F6DA565"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3722141C" w14:textId="77777777" w:rsidR="00712504" w:rsidRPr="005E3B43" w:rsidRDefault="00712504" w:rsidP="00763BCF">
            <w:pPr>
              <w:pStyle w:val="Tabletext"/>
            </w:pPr>
          </w:p>
        </w:tc>
        <w:tc>
          <w:tcPr>
            <w:tcW w:w="3106" w:type="pct"/>
            <w:tcBorders>
              <w:top w:val="nil"/>
              <w:bottom w:val="nil"/>
            </w:tcBorders>
            <w:shd w:val="clear" w:color="auto" w:fill="auto"/>
          </w:tcPr>
          <w:p w14:paraId="316A4440" w14:textId="77777777" w:rsidR="00712504" w:rsidRPr="005E3B43" w:rsidRDefault="00712504" w:rsidP="00763BCF">
            <w:pPr>
              <w:pStyle w:val="Tablea"/>
            </w:pPr>
            <w:r w:rsidRPr="005E3B43">
              <w:t>(a) the person also submits an additional application or applications of the same kind; and</w:t>
            </w:r>
          </w:p>
        </w:tc>
        <w:tc>
          <w:tcPr>
            <w:tcW w:w="1227" w:type="pct"/>
            <w:gridSpan w:val="2"/>
            <w:tcBorders>
              <w:top w:val="nil"/>
              <w:bottom w:val="nil"/>
            </w:tcBorders>
            <w:shd w:val="clear" w:color="auto" w:fill="auto"/>
          </w:tcPr>
          <w:p w14:paraId="54C90911" w14:textId="77777777" w:rsidR="00712504" w:rsidRPr="005E3B43" w:rsidRDefault="00712504" w:rsidP="00763BCF">
            <w:pPr>
              <w:pStyle w:val="Tabletext"/>
            </w:pPr>
          </w:p>
        </w:tc>
      </w:tr>
      <w:tr w:rsidR="00712504" w:rsidRPr="005E3B43" w14:paraId="5A12301B"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6C6EF3D2" w14:textId="77777777" w:rsidR="00712504" w:rsidRPr="005E3B43" w:rsidRDefault="00712504" w:rsidP="00763BCF">
            <w:pPr>
              <w:pStyle w:val="Tabletext"/>
            </w:pPr>
          </w:p>
        </w:tc>
        <w:tc>
          <w:tcPr>
            <w:tcW w:w="3106" w:type="pct"/>
            <w:tcBorders>
              <w:top w:val="nil"/>
              <w:bottom w:val="nil"/>
            </w:tcBorders>
            <w:shd w:val="clear" w:color="auto" w:fill="auto"/>
          </w:tcPr>
          <w:p w14:paraId="778CC136" w14:textId="77777777" w:rsidR="00712504" w:rsidRPr="005E3B43" w:rsidRDefault="00712504" w:rsidP="00763BCF">
            <w:pPr>
              <w:pStyle w:val="Tablea"/>
            </w:pPr>
            <w:r w:rsidRPr="005E3B43">
              <w:t>(b) each application relates to goods that contain the same therapeutically active ingredient; and</w:t>
            </w:r>
          </w:p>
        </w:tc>
        <w:tc>
          <w:tcPr>
            <w:tcW w:w="1227" w:type="pct"/>
            <w:gridSpan w:val="2"/>
            <w:tcBorders>
              <w:top w:val="nil"/>
              <w:bottom w:val="nil"/>
            </w:tcBorders>
            <w:shd w:val="clear" w:color="auto" w:fill="auto"/>
          </w:tcPr>
          <w:p w14:paraId="6DDD339E" w14:textId="77777777" w:rsidR="00712504" w:rsidRPr="005E3B43" w:rsidRDefault="00712504" w:rsidP="00763BCF">
            <w:pPr>
              <w:pStyle w:val="Tabletext"/>
            </w:pPr>
          </w:p>
        </w:tc>
      </w:tr>
      <w:tr w:rsidR="00712504" w:rsidRPr="005E3B43" w:rsidDel="004A5BC7" w14:paraId="42350C7D"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06CC5175" w14:textId="77777777" w:rsidR="00712504" w:rsidRPr="005E3B43" w:rsidRDefault="00712504" w:rsidP="00763BCF">
            <w:pPr>
              <w:pStyle w:val="Tabletext"/>
            </w:pPr>
          </w:p>
        </w:tc>
        <w:tc>
          <w:tcPr>
            <w:tcW w:w="3106" w:type="pct"/>
            <w:tcBorders>
              <w:top w:val="nil"/>
              <w:bottom w:val="nil"/>
            </w:tcBorders>
            <w:shd w:val="clear" w:color="auto" w:fill="auto"/>
          </w:tcPr>
          <w:p w14:paraId="675D9A37" w14:textId="77777777" w:rsidR="00712504" w:rsidRPr="005E3B43" w:rsidRDefault="00712504" w:rsidP="00763BCF">
            <w:pPr>
              <w:pStyle w:val="Tablea"/>
            </w:pPr>
            <w:r w:rsidRPr="005E3B43">
              <w:t>(c) the information in support of each application is sufficiently common in respect of the goods to enable a simultaneous evaluation of the goods to be made;</w:t>
            </w:r>
          </w:p>
        </w:tc>
        <w:tc>
          <w:tcPr>
            <w:tcW w:w="1227" w:type="pct"/>
            <w:gridSpan w:val="2"/>
            <w:tcBorders>
              <w:top w:val="nil"/>
              <w:bottom w:val="nil"/>
            </w:tcBorders>
            <w:shd w:val="clear" w:color="auto" w:fill="auto"/>
          </w:tcPr>
          <w:p w14:paraId="0CF23056" w14:textId="77777777" w:rsidR="00712504" w:rsidRPr="005E3B43" w:rsidRDefault="00712504" w:rsidP="00763BCF">
            <w:pPr>
              <w:pStyle w:val="Tabletext"/>
            </w:pPr>
          </w:p>
        </w:tc>
      </w:tr>
      <w:tr w:rsidR="00712504" w:rsidRPr="005E3B43" w:rsidDel="004A5BC7" w14:paraId="74B39A54"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082CE890" w14:textId="77777777" w:rsidR="00712504" w:rsidRPr="005E3B43" w:rsidRDefault="00712504" w:rsidP="00763BCF">
            <w:pPr>
              <w:pStyle w:val="Tabletext"/>
            </w:pPr>
          </w:p>
        </w:tc>
        <w:tc>
          <w:tcPr>
            <w:tcW w:w="3106" w:type="pct"/>
            <w:tcBorders>
              <w:top w:val="nil"/>
              <w:bottom w:val="nil"/>
            </w:tcBorders>
            <w:shd w:val="clear" w:color="auto" w:fill="auto"/>
          </w:tcPr>
          <w:p w14:paraId="3DE284ED" w14:textId="77777777" w:rsidR="00712504" w:rsidRPr="005E3B43" w:rsidRDefault="00712504" w:rsidP="00763BCF">
            <w:pPr>
              <w:pStyle w:val="Tabletext"/>
            </w:pPr>
            <w:r w:rsidRPr="005E3B43">
              <w:t xml:space="preserve">the evaluation fee under </w:t>
            </w:r>
            <w:r w:rsidR="00584F84" w:rsidRPr="005E3B43">
              <w:t>sub</w:t>
            </w:r>
            <w:r w:rsidR="00FB7FAA" w:rsidRPr="005E3B43">
              <w:t>section 2</w:t>
            </w:r>
            <w:r w:rsidR="00584F84" w:rsidRPr="005E3B43">
              <w:t>4(1A)</w:t>
            </w:r>
            <w:r w:rsidRPr="005E3B43">
              <w:t xml:space="preserve"> of the Act for each additional application is:</w:t>
            </w:r>
          </w:p>
        </w:tc>
        <w:tc>
          <w:tcPr>
            <w:tcW w:w="1227" w:type="pct"/>
            <w:gridSpan w:val="2"/>
            <w:tcBorders>
              <w:top w:val="nil"/>
              <w:bottom w:val="nil"/>
            </w:tcBorders>
            <w:shd w:val="clear" w:color="auto" w:fill="auto"/>
          </w:tcPr>
          <w:p w14:paraId="36123CCF" w14:textId="77777777" w:rsidR="00712504" w:rsidRPr="005E3B43" w:rsidRDefault="00712504" w:rsidP="00763BCF">
            <w:pPr>
              <w:pStyle w:val="Tabletext"/>
            </w:pPr>
          </w:p>
        </w:tc>
      </w:tr>
      <w:tr w:rsidR="00712504" w:rsidRPr="005E3B43" w:rsidDel="004A5BC7" w14:paraId="2F3EC678"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29346D25" w14:textId="77777777" w:rsidR="00712504" w:rsidRPr="005E3B43" w:rsidRDefault="00712504" w:rsidP="00763BCF">
            <w:pPr>
              <w:pStyle w:val="Tabletext"/>
            </w:pPr>
          </w:p>
        </w:tc>
        <w:tc>
          <w:tcPr>
            <w:tcW w:w="3106" w:type="pct"/>
            <w:tcBorders>
              <w:top w:val="nil"/>
              <w:bottom w:val="nil"/>
            </w:tcBorders>
            <w:shd w:val="clear" w:color="auto" w:fill="auto"/>
          </w:tcPr>
          <w:p w14:paraId="5B4BFC2E" w14:textId="77777777" w:rsidR="00712504" w:rsidRPr="005E3B43" w:rsidRDefault="00712504" w:rsidP="00763BCF">
            <w:pPr>
              <w:pStyle w:val="Tablea"/>
            </w:pPr>
            <w:r w:rsidRPr="005E3B43">
              <w:t>(d) for an additional N3 application</w:t>
            </w:r>
          </w:p>
        </w:tc>
        <w:tc>
          <w:tcPr>
            <w:tcW w:w="1227" w:type="pct"/>
            <w:gridSpan w:val="2"/>
            <w:tcBorders>
              <w:top w:val="nil"/>
              <w:bottom w:val="nil"/>
            </w:tcBorders>
            <w:shd w:val="clear" w:color="auto" w:fill="auto"/>
          </w:tcPr>
          <w:p w14:paraId="0D166574" w14:textId="77777777" w:rsidR="00712504" w:rsidRPr="005E3B43" w:rsidRDefault="00867F36" w:rsidP="00763BCF">
            <w:pPr>
              <w:pStyle w:val="Tabletext"/>
            </w:pPr>
            <w:r w:rsidRPr="005E3B43">
              <w:t>5,266</w:t>
            </w:r>
          </w:p>
        </w:tc>
      </w:tr>
      <w:tr w:rsidR="00712504" w:rsidRPr="005E3B43" w:rsidDel="004A5BC7" w14:paraId="59FC58F3" w14:textId="7777777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14:paraId="1650AD55" w14:textId="77777777" w:rsidR="00712504" w:rsidRPr="005E3B43" w:rsidRDefault="00712504" w:rsidP="00763BCF">
            <w:pPr>
              <w:pStyle w:val="Tabletext"/>
            </w:pPr>
          </w:p>
        </w:tc>
        <w:tc>
          <w:tcPr>
            <w:tcW w:w="3106" w:type="pct"/>
            <w:tcBorders>
              <w:top w:val="nil"/>
              <w:bottom w:val="nil"/>
            </w:tcBorders>
            <w:shd w:val="clear" w:color="auto" w:fill="auto"/>
          </w:tcPr>
          <w:p w14:paraId="30165126" w14:textId="77777777" w:rsidR="00712504" w:rsidRPr="005E3B43" w:rsidRDefault="00712504" w:rsidP="00763BCF">
            <w:pPr>
              <w:pStyle w:val="Tablea"/>
            </w:pPr>
            <w:r w:rsidRPr="005E3B43">
              <w:t>(e) for an additional N4 application</w:t>
            </w:r>
          </w:p>
        </w:tc>
        <w:tc>
          <w:tcPr>
            <w:tcW w:w="1227" w:type="pct"/>
            <w:gridSpan w:val="2"/>
            <w:tcBorders>
              <w:top w:val="nil"/>
              <w:bottom w:val="nil"/>
            </w:tcBorders>
            <w:shd w:val="clear" w:color="auto" w:fill="auto"/>
          </w:tcPr>
          <w:p w14:paraId="6333EC47" w14:textId="77777777" w:rsidR="00712504" w:rsidRPr="005E3B43" w:rsidRDefault="00867F36" w:rsidP="00763BCF">
            <w:pPr>
              <w:pStyle w:val="Tabletext"/>
            </w:pPr>
            <w:r w:rsidRPr="005E3B43">
              <w:t>5,266</w:t>
            </w:r>
          </w:p>
        </w:tc>
      </w:tr>
      <w:tr w:rsidR="00712504" w:rsidRPr="005E3B43" w:rsidDel="004A5BC7" w14:paraId="1A4F3259" w14:textId="77777777" w:rsidTr="005A786D">
        <w:tblPrEx>
          <w:tblCellMar>
            <w:left w:w="108" w:type="dxa"/>
            <w:right w:w="108" w:type="dxa"/>
          </w:tblCellMar>
          <w:tblLook w:val="0000" w:firstRow="0" w:lastRow="0" w:firstColumn="0" w:lastColumn="0" w:noHBand="0" w:noVBand="0"/>
        </w:tblPrEx>
        <w:tc>
          <w:tcPr>
            <w:tcW w:w="667" w:type="pct"/>
            <w:tcBorders>
              <w:top w:val="nil"/>
            </w:tcBorders>
            <w:shd w:val="clear" w:color="auto" w:fill="auto"/>
          </w:tcPr>
          <w:p w14:paraId="40ED5777" w14:textId="77777777" w:rsidR="00712504" w:rsidRPr="005E3B43" w:rsidRDefault="00712504" w:rsidP="00763BCF">
            <w:pPr>
              <w:pStyle w:val="Tabletext"/>
            </w:pPr>
          </w:p>
        </w:tc>
        <w:tc>
          <w:tcPr>
            <w:tcW w:w="3106" w:type="pct"/>
            <w:tcBorders>
              <w:top w:val="nil"/>
            </w:tcBorders>
            <w:shd w:val="clear" w:color="auto" w:fill="auto"/>
          </w:tcPr>
          <w:p w14:paraId="6C414D5D" w14:textId="77777777" w:rsidR="00712504" w:rsidRPr="005E3B43" w:rsidRDefault="00712504" w:rsidP="00763BCF">
            <w:pPr>
              <w:pStyle w:val="Tablea"/>
            </w:pPr>
            <w:r w:rsidRPr="005E3B43">
              <w:t>(f) for an additional N5 application</w:t>
            </w:r>
          </w:p>
        </w:tc>
        <w:tc>
          <w:tcPr>
            <w:tcW w:w="1227" w:type="pct"/>
            <w:gridSpan w:val="2"/>
            <w:tcBorders>
              <w:top w:val="nil"/>
            </w:tcBorders>
            <w:shd w:val="clear" w:color="auto" w:fill="auto"/>
          </w:tcPr>
          <w:p w14:paraId="2041E086" w14:textId="77777777" w:rsidR="00712504" w:rsidRPr="005E3B43" w:rsidRDefault="00867F36" w:rsidP="00763BCF">
            <w:pPr>
              <w:pStyle w:val="Tabletext"/>
            </w:pPr>
            <w:r w:rsidRPr="005E3B43">
              <w:t>5,266</w:t>
            </w:r>
          </w:p>
        </w:tc>
      </w:tr>
      <w:tr w:rsidR="004D53BC" w:rsidRPr="005E3B43" w:rsidDel="00451672" w14:paraId="52917968" w14:textId="77777777" w:rsidTr="005A786D">
        <w:tblPrEx>
          <w:tblLook w:val="0000" w:firstRow="0" w:lastRow="0" w:firstColumn="0" w:lastColumn="0" w:noHBand="0" w:noVBand="0"/>
        </w:tblPrEx>
        <w:tc>
          <w:tcPr>
            <w:tcW w:w="667" w:type="pct"/>
            <w:tcBorders>
              <w:top w:val="single" w:sz="4" w:space="0" w:color="auto"/>
              <w:bottom w:val="nil"/>
            </w:tcBorders>
            <w:shd w:val="clear" w:color="auto" w:fill="auto"/>
          </w:tcPr>
          <w:p w14:paraId="6B4B469D" w14:textId="77777777" w:rsidR="004D53BC" w:rsidRPr="005E3B43" w:rsidDel="00451672" w:rsidRDefault="004D53BC" w:rsidP="00763BCF">
            <w:pPr>
              <w:pStyle w:val="Tabletext"/>
            </w:pPr>
            <w:r w:rsidRPr="005E3B43">
              <w:t>5</w:t>
            </w:r>
          </w:p>
        </w:tc>
        <w:tc>
          <w:tcPr>
            <w:tcW w:w="3106" w:type="pct"/>
            <w:tcBorders>
              <w:top w:val="single" w:sz="4" w:space="0" w:color="auto"/>
              <w:bottom w:val="nil"/>
            </w:tcBorders>
            <w:shd w:val="clear" w:color="auto" w:fill="auto"/>
          </w:tcPr>
          <w:p w14:paraId="41E0DD69" w14:textId="77777777" w:rsidR="004D53BC" w:rsidRPr="005E3B43" w:rsidDel="00451672" w:rsidRDefault="004D53BC" w:rsidP="00763BCF">
            <w:pPr>
              <w:pStyle w:val="Tabletext"/>
            </w:pPr>
            <w:r w:rsidRPr="005E3B43">
              <w:t>Application fee under paragraph</w:t>
            </w:r>
            <w:r w:rsidR="004E6D00" w:rsidRPr="005E3B43">
              <w:t> </w:t>
            </w:r>
            <w:r w:rsidRPr="005E3B43">
              <w:t>9D(7)(f) of the Act, for any of the following requests in relation to up to 20 entries in the Register:</w:t>
            </w:r>
          </w:p>
        </w:tc>
        <w:tc>
          <w:tcPr>
            <w:tcW w:w="1227" w:type="pct"/>
            <w:gridSpan w:val="2"/>
            <w:tcBorders>
              <w:top w:val="single" w:sz="4" w:space="0" w:color="auto"/>
              <w:bottom w:val="nil"/>
            </w:tcBorders>
            <w:shd w:val="clear" w:color="auto" w:fill="auto"/>
          </w:tcPr>
          <w:p w14:paraId="6A9AE008" w14:textId="77777777" w:rsidR="004D53BC" w:rsidRPr="005E3B43" w:rsidDel="00451672" w:rsidRDefault="004D53BC" w:rsidP="00763BCF">
            <w:pPr>
              <w:pStyle w:val="Tabletext"/>
            </w:pPr>
          </w:p>
        </w:tc>
      </w:tr>
      <w:tr w:rsidR="004D53BC" w:rsidRPr="005E3B43" w:rsidDel="00451672" w14:paraId="4B5D1CFE" w14:textId="77777777" w:rsidTr="005A786D">
        <w:tblPrEx>
          <w:tblLook w:val="0000" w:firstRow="0" w:lastRow="0" w:firstColumn="0" w:lastColumn="0" w:noHBand="0" w:noVBand="0"/>
        </w:tblPrEx>
        <w:tc>
          <w:tcPr>
            <w:tcW w:w="667" w:type="pct"/>
            <w:tcBorders>
              <w:top w:val="nil"/>
              <w:bottom w:val="nil"/>
            </w:tcBorders>
            <w:shd w:val="clear" w:color="auto" w:fill="auto"/>
          </w:tcPr>
          <w:p w14:paraId="31EB7734" w14:textId="77777777" w:rsidR="004D53BC" w:rsidRPr="005E3B43" w:rsidDel="00451672" w:rsidRDefault="004D53BC" w:rsidP="00763BCF">
            <w:pPr>
              <w:pStyle w:val="Tabletext"/>
            </w:pPr>
          </w:p>
        </w:tc>
        <w:tc>
          <w:tcPr>
            <w:tcW w:w="3106" w:type="pct"/>
            <w:tcBorders>
              <w:top w:val="nil"/>
              <w:bottom w:val="nil"/>
            </w:tcBorders>
            <w:shd w:val="clear" w:color="auto" w:fill="auto"/>
          </w:tcPr>
          <w:p w14:paraId="3148D95D" w14:textId="77777777" w:rsidR="004D53BC" w:rsidRPr="005E3B43" w:rsidDel="00451672" w:rsidRDefault="004D53BC" w:rsidP="00763BCF">
            <w:pPr>
              <w:pStyle w:val="Tablea"/>
            </w:pPr>
            <w:r w:rsidRPr="005E3B43">
              <w:t>(a) a C1 (section</w:t>
            </w:r>
            <w:r w:rsidR="004E6D00" w:rsidRPr="005E3B43">
              <w:t> </w:t>
            </w:r>
            <w:r w:rsidRPr="005E3B43">
              <w:t>9D) application</w:t>
            </w:r>
          </w:p>
        </w:tc>
        <w:tc>
          <w:tcPr>
            <w:tcW w:w="1227" w:type="pct"/>
            <w:gridSpan w:val="2"/>
            <w:tcBorders>
              <w:top w:val="nil"/>
              <w:bottom w:val="nil"/>
            </w:tcBorders>
            <w:shd w:val="clear" w:color="auto" w:fill="auto"/>
          </w:tcPr>
          <w:p w14:paraId="52C78599" w14:textId="77777777" w:rsidR="004D53BC" w:rsidRPr="005E3B43" w:rsidDel="00451672" w:rsidRDefault="0098704A" w:rsidP="00763BCF">
            <w:pPr>
              <w:pStyle w:val="Tabletext"/>
            </w:pPr>
            <w:r w:rsidRPr="005E3B43">
              <w:t>1,921</w:t>
            </w:r>
          </w:p>
        </w:tc>
      </w:tr>
      <w:tr w:rsidR="004D53BC" w:rsidRPr="005E3B43" w:rsidDel="00451672" w14:paraId="13FC0462" w14:textId="77777777" w:rsidTr="005A786D">
        <w:tblPrEx>
          <w:tblLook w:val="0000" w:firstRow="0" w:lastRow="0" w:firstColumn="0" w:lastColumn="0" w:noHBand="0" w:noVBand="0"/>
        </w:tblPrEx>
        <w:tc>
          <w:tcPr>
            <w:tcW w:w="667" w:type="pct"/>
            <w:tcBorders>
              <w:top w:val="nil"/>
              <w:bottom w:val="nil"/>
            </w:tcBorders>
            <w:shd w:val="clear" w:color="auto" w:fill="auto"/>
          </w:tcPr>
          <w:p w14:paraId="4E2E1104" w14:textId="77777777" w:rsidR="004D53BC" w:rsidRPr="005E3B43" w:rsidDel="00451672" w:rsidRDefault="004D53BC" w:rsidP="00763BCF">
            <w:pPr>
              <w:pStyle w:val="Tabletext"/>
            </w:pPr>
          </w:p>
        </w:tc>
        <w:tc>
          <w:tcPr>
            <w:tcW w:w="3106" w:type="pct"/>
            <w:tcBorders>
              <w:top w:val="nil"/>
              <w:bottom w:val="nil"/>
            </w:tcBorders>
            <w:shd w:val="clear" w:color="auto" w:fill="auto"/>
          </w:tcPr>
          <w:p w14:paraId="584FB100" w14:textId="77777777" w:rsidR="004D53BC" w:rsidRPr="005E3B43" w:rsidDel="00451672" w:rsidRDefault="004D53BC" w:rsidP="00763BCF">
            <w:pPr>
              <w:pStyle w:val="Tablea"/>
            </w:pPr>
            <w:r w:rsidRPr="005E3B43">
              <w:t>(b) a C2 (section</w:t>
            </w:r>
            <w:r w:rsidR="004E6D00" w:rsidRPr="005E3B43">
              <w:t> </w:t>
            </w:r>
            <w:r w:rsidRPr="005E3B43">
              <w:t>9D) application</w:t>
            </w:r>
          </w:p>
        </w:tc>
        <w:tc>
          <w:tcPr>
            <w:tcW w:w="1227" w:type="pct"/>
            <w:gridSpan w:val="2"/>
            <w:tcBorders>
              <w:top w:val="nil"/>
              <w:bottom w:val="nil"/>
            </w:tcBorders>
            <w:shd w:val="clear" w:color="auto" w:fill="auto"/>
          </w:tcPr>
          <w:p w14:paraId="04463215" w14:textId="77777777" w:rsidR="004D53BC" w:rsidRPr="005E3B43" w:rsidDel="00451672" w:rsidRDefault="0098704A" w:rsidP="00763BCF">
            <w:pPr>
              <w:pStyle w:val="Tabletext"/>
            </w:pPr>
            <w:r w:rsidRPr="005E3B43">
              <w:t>6,679</w:t>
            </w:r>
          </w:p>
        </w:tc>
      </w:tr>
      <w:tr w:rsidR="004D53BC" w:rsidRPr="005E3B43" w:rsidDel="00451672" w14:paraId="3FE10204" w14:textId="77777777" w:rsidTr="005A786D">
        <w:tblPrEx>
          <w:tblLook w:val="0000" w:firstRow="0" w:lastRow="0" w:firstColumn="0" w:lastColumn="0" w:noHBand="0" w:noVBand="0"/>
        </w:tblPrEx>
        <w:tc>
          <w:tcPr>
            <w:tcW w:w="667" w:type="pct"/>
            <w:tcBorders>
              <w:top w:val="nil"/>
              <w:bottom w:val="nil"/>
            </w:tcBorders>
            <w:shd w:val="clear" w:color="auto" w:fill="auto"/>
          </w:tcPr>
          <w:p w14:paraId="4640D248" w14:textId="77777777" w:rsidR="004D53BC" w:rsidRPr="005E3B43" w:rsidDel="00451672" w:rsidRDefault="004D53BC" w:rsidP="00763BCF">
            <w:pPr>
              <w:pStyle w:val="Tabletext"/>
            </w:pPr>
          </w:p>
        </w:tc>
        <w:tc>
          <w:tcPr>
            <w:tcW w:w="3106" w:type="pct"/>
            <w:tcBorders>
              <w:top w:val="nil"/>
              <w:bottom w:val="nil"/>
            </w:tcBorders>
            <w:shd w:val="clear" w:color="auto" w:fill="auto"/>
          </w:tcPr>
          <w:p w14:paraId="3FCFF437" w14:textId="77777777" w:rsidR="004D53BC" w:rsidRPr="005E3B43" w:rsidDel="00451672" w:rsidRDefault="004D53BC" w:rsidP="00763BCF">
            <w:pPr>
              <w:pStyle w:val="Tablea"/>
            </w:pPr>
            <w:r w:rsidRPr="005E3B43">
              <w:t>(c) a C3 (section</w:t>
            </w:r>
            <w:r w:rsidR="004E6D00" w:rsidRPr="005E3B43">
              <w:t> </w:t>
            </w:r>
            <w:r w:rsidRPr="005E3B43">
              <w:t>9D) application</w:t>
            </w:r>
          </w:p>
        </w:tc>
        <w:tc>
          <w:tcPr>
            <w:tcW w:w="1227" w:type="pct"/>
            <w:gridSpan w:val="2"/>
            <w:tcBorders>
              <w:top w:val="nil"/>
              <w:bottom w:val="nil"/>
            </w:tcBorders>
            <w:shd w:val="clear" w:color="auto" w:fill="auto"/>
          </w:tcPr>
          <w:p w14:paraId="27D8B694" w14:textId="77777777" w:rsidR="004D53BC" w:rsidRPr="005E3B43" w:rsidDel="00451672" w:rsidRDefault="0098704A" w:rsidP="00763BCF">
            <w:pPr>
              <w:pStyle w:val="Tabletext"/>
            </w:pPr>
            <w:r w:rsidRPr="005E3B43">
              <w:t>9,899</w:t>
            </w:r>
          </w:p>
        </w:tc>
      </w:tr>
      <w:tr w:rsidR="004D53BC" w:rsidRPr="005E3B43" w:rsidDel="00451672" w14:paraId="19B5C2F8" w14:textId="77777777" w:rsidTr="005A786D">
        <w:tblPrEx>
          <w:tblLook w:val="0000" w:firstRow="0" w:lastRow="0" w:firstColumn="0" w:lastColumn="0" w:noHBand="0" w:noVBand="0"/>
        </w:tblPrEx>
        <w:tc>
          <w:tcPr>
            <w:tcW w:w="667" w:type="pct"/>
            <w:tcBorders>
              <w:top w:val="nil"/>
              <w:bottom w:val="single" w:sz="4" w:space="0" w:color="auto"/>
            </w:tcBorders>
            <w:shd w:val="clear" w:color="auto" w:fill="auto"/>
          </w:tcPr>
          <w:p w14:paraId="36171A69" w14:textId="77777777" w:rsidR="004D53BC" w:rsidRPr="005E3B43" w:rsidDel="00451672" w:rsidRDefault="004D53BC" w:rsidP="00763BCF">
            <w:pPr>
              <w:pStyle w:val="Tabletext"/>
            </w:pPr>
          </w:p>
        </w:tc>
        <w:tc>
          <w:tcPr>
            <w:tcW w:w="3106" w:type="pct"/>
            <w:tcBorders>
              <w:top w:val="nil"/>
              <w:bottom w:val="single" w:sz="4" w:space="0" w:color="auto"/>
            </w:tcBorders>
            <w:shd w:val="clear" w:color="auto" w:fill="auto"/>
          </w:tcPr>
          <w:p w14:paraId="2F5D0882" w14:textId="77777777" w:rsidR="004D53BC" w:rsidRPr="005E3B43" w:rsidDel="00451672" w:rsidRDefault="004D53BC" w:rsidP="00763BCF">
            <w:pPr>
              <w:pStyle w:val="Tablea"/>
            </w:pPr>
            <w:r w:rsidRPr="005E3B43">
              <w:t>(d) a C4 (section</w:t>
            </w:r>
            <w:r w:rsidR="004E6D00" w:rsidRPr="005E3B43">
              <w:t> </w:t>
            </w:r>
            <w:r w:rsidRPr="005E3B43">
              <w:t>9D) application</w:t>
            </w:r>
          </w:p>
        </w:tc>
        <w:tc>
          <w:tcPr>
            <w:tcW w:w="1227" w:type="pct"/>
            <w:gridSpan w:val="2"/>
            <w:tcBorders>
              <w:top w:val="nil"/>
              <w:bottom w:val="single" w:sz="4" w:space="0" w:color="auto"/>
            </w:tcBorders>
            <w:shd w:val="clear" w:color="auto" w:fill="auto"/>
          </w:tcPr>
          <w:p w14:paraId="1F1C3F51" w14:textId="77777777" w:rsidR="004D53BC" w:rsidRPr="005E3B43" w:rsidDel="00451672" w:rsidRDefault="007F2307" w:rsidP="00763BCF">
            <w:pPr>
              <w:pStyle w:val="Tabletext"/>
            </w:pPr>
            <w:r w:rsidRPr="005E3B43">
              <w:t>13,448</w:t>
            </w:r>
          </w:p>
        </w:tc>
      </w:tr>
      <w:tr w:rsidR="00464100" w:rsidRPr="005E3B43" w14:paraId="35E890AE" w14:textId="77777777" w:rsidTr="005A786D">
        <w:tblPrEx>
          <w:tblLook w:val="0000" w:firstRow="0" w:lastRow="0" w:firstColumn="0" w:lastColumn="0" w:noHBand="0" w:noVBand="0"/>
        </w:tblPrEx>
        <w:tc>
          <w:tcPr>
            <w:tcW w:w="667" w:type="pct"/>
            <w:tcBorders>
              <w:top w:val="single" w:sz="4" w:space="0" w:color="auto"/>
              <w:bottom w:val="nil"/>
            </w:tcBorders>
            <w:shd w:val="clear" w:color="auto" w:fill="auto"/>
          </w:tcPr>
          <w:p w14:paraId="6D0574F0" w14:textId="77777777" w:rsidR="00464100" w:rsidRPr="005E3B43" w:rsidRDefault="00464100" w:rsidP="00763BCF">
            <w:pPr>
              <w:pStyle w:val="Tabletext"/>
            </w:pPr>
            <w:r w:rsidRPr="005E3B43">
              <w:t>7</w:t>
            </w:r>
          </w:p>
        </w:tc>
        <w:tc>
          <w:tcPr>
            <w:tcW w:w="3106" w:type="pct"/>
            <w:tcBorders>
              <w:top w:val="single" w:sz="4" w:space="0" w:color="auto"/>
              <w:bottom w:val="nil"/>
            </w:tcBorders>
            <w:shd w:val="clear" w:color="auto" w:fill="auto"/>
          </w:tcPr>
          <w:p w14:paraId="05641B05" w14:textId="77777777" w:rsidR="00464100" w:rsidRPr="005E3B43" w:rsidRDefault="00464100" w:rsidP="00763BCF">
            <w:pPr>
              <w:pStyle w:val="Tabletext"/>
            </w:pPr>
            <w:r w:rsidRPr="005E3B43">
              <w:t>Fee for providing advice in relation to a registered OTC medicine at the request of the sponsor of the medicine for the purpose of listing the medicine as a pharmaceutical benefit:</w:t>
            </w:r>
          </w:p>
        </w:tc>
        <w:tc>
          <w:tcPr>
            <w:tcW w:w="1227" w:type="pct"/>
            <w:gridSpan w:val="2"/>
            <w:tcBorders>
              <w:top w:val="single" w:sz="4" w:space="0" w:color="auto"/>
              <w:bottom w:val="nil"/>
            </w:tcBorders>
            <w:shd w:val="clear" w:color="auto" w:fill="auto"/>
          </w:tcPr>
          <w:p w14:paraId="6C6D3DCB" w14:textId="77777777" w:rsidR="00464100" w:rsidRPr="005E3B43" w:rsidRDefault="00464100" w:rsidP="00763BCF">
            <w:pPr>
              <w:pStyle w:val="Tabletext"/>
            </w:pPr>
          </w:p>
        </w:tc>
      </w:tr>
      <w:tr w:rsidR="00464100" w:rsidRPr="005E3B43" w14:paraId="23CC5A76" w14:textId="77777777" w:rsidTr="005A786D">
        <w:tblPrEx>
          <w:tblLook w:val="0000" w:firstRow="0" w:lastRow="0" w:firstColumn="0" w:lastColumn="0" w:noHBand="0" w:noVBand="0"/>
        </w:tblPrEx>
        <w:tc>
          <w:tcPr>
            <w:tcW w:w="667" w:type="pct"/>
            <w:tcBorders>
              <w:top w:val="nil"/>
              <w:bottom w:val="nil"/>
            </w:tcBorders>
            <w:shd w:val="clear" w:color="auto" w:fill="auto"/>
          </w:tcPr>
          <w:p w14:paraId="36032779" w14:textId="77777777" w:rsidR="00464100" w:rsidRPr="005E3B43" w:rsidRDefault="00464100" w:rsidP="00763BCF">
            <w:pPr>
              <w:pStyle w:val="Tabletext"/>
            </w:pPr>
          </w:p>
        </w:tc>
        <w:tc>
          <w:tcPr>
            <w:tcW w:w="3106" w:type="pct"/>
            <w:tcBorders>
              <w:top w:val="nil"/>
              <w:bottom w:val="nil"/>
            </w:tcBorders>
            <w:shd w:val="clear" w:color="auto" w:fill="auto"/>
          </w:tcPr>
          <w:p w14:paraId="320E12A4" w14:textId="77777777" w:rsidR="00464100" w:rsidRPr="005E3B43" w:rsidRDefault="00464100" w:rsidP="00763BCF">
            <w:pPr>
              <w:pStyle w:val="Tablea"/>
            </w:pPr>
            <w:r w:rsidRPr="005E3B43">
              <w:t>(a) if the request does not contain clinical data</w:t>
            </w:r>
          </w:p>
        </w:tc>
        <w:tc>
          <w:tcPr>
            <w:tcW w:w="1227" w:type="pct"/>
            <w:gridSpan w:val="2"/>
            <w:tcBorders>
              <w:top w:val="nil"/>
              <w:bottom w:val="nil"/>
            </w:tcBorders>
            <w:shd w:val="clear" w:color="auto" w:fill="auto"/>
          </w:tcPr>
          <w:p w14:paraId="60EDF491" w14:textId="77777777" w:rsidR="00464100" w:rsidRPr="005E3B43" w:rsidRDefault="007F2307" w:rsidP="00763BCF">
            <w:pPr>
              <w:pStyle w:val="Tabletext"/>
              <w:rPr>
                <w:lang w:eastAsia="en-US"/>
              </w:rPr>
            </w:pPr>
            <w:r w:rsidRPr="005E3B43">
              <w:t>1,887</w:t>
            </w:r>
          </w:p>
        </w:tc>
      </w:tr>
      <w:tr w:rsidR="00464100" w:rsidRPr="005E3B43" w14:paraId="71EE685B" w14:textId="77777777" w:rsidTr="005A786D">
        <w:tblPrEx>
          <w:tblCellMar>
            <w:left w:w="108" w:type="dxa"/>
            <w:right w:w="108" w:type="dxa"/>
          </w:tblCellMar>
          <w:tblLook w:val="0000" w:firstRow="0" w:lastRow="0" w:firstColumn="0" w:lastColumn="0" w:noHBand="0" w:noVBand="0"/>
        </w:tblPrEx>
        <w:tc>
          <w:tcPr>
            <w:tcW w:w="667" w:type="pct"/>
            <w:tcBorders>
              <w:top w:val="nil"/>
              <w:bottom w:val="single" w:sz="12" w:space="0" w:color="auto"/>
            </w:tcBorders>
            <w:shd w:val="clear" w:color="auto" w:fill="auto"/>
          </w:tcPr>
          <w:p w14:paraId="71B7170A" w14:textId="77777777" w:rsidR="00464100" w:rsidRPr="005E3B43" w:rsidRDefault="00464100" w:rsidP="00763BCF">
            <w:pPr>
              <w:pStyle w:val="Tabletext"/>
            </w:pPr>
          </w:p>
        </w:tc>
        <w:tc>
          <w:tcPr>
            <w:tcW w:w="3106" w:type="pct"/>
            <w:tcBorders>
              <w:top w:val="nil"/>
              <w:bottom w:val="single" w:sz="12" w:space="0" w:color="auto"/>
            </w:tcBorders>
            <w:shd w:val="clear" w:color="auto" w:fill="auto"/>
          </w:tcPr>
          <w:p w14:paraId="17FBC0FD" w14:textId="77777777" w:rsidR="00464100" w:rsidRPr="005E3B43" w:rsidRDefault="00464100" w:rsidP="00763BCF">
            <w:pPr>
              <w:pStyle w:val="Tablea"/>
            </w:pPr>
            <w:r w:rsidRPr="005E3B43">
              <w:t>(b) if the request contains clinical data or a justification as to why such data is not needed</w:t>
            </w:r>
          </w:p>
        </w:tc>
        <w:tc>
          <w:tcPr>
            <w:tcW w:w="1227" w:type="pct"/>
            <w:gridSpan w:val="2"/>
            <w:tcBorders>
              <w:top w:val="nil"/>
              <w:bottom w:val="single" w:sz="12" w:space="0" w:color="auto"/>
            </w:tcBorders>
            <w:shd w:val="clear" w:color="auto" w:fill="auto"/>
          </w:tcPr>
          <w:p w14:paraId="3027622F" w14:textId="77777777" w:rsidR="00464100" w:rsidRPr="005E3B43" w:rsidRDefault="00EF57D3" w:rsidP="00763BCF">
            <w:pPr>
              <w:pStyle w:val="Tabletext"/>
              <w:rPr>
                <w:lang w:eastAsia="en-US"/>
              </w:rPr>
            </w:pPr>
            <w:r w:rsidRPr="005E3B43">
              <w:t>9,674</w:t>
            </w:r>
          </w:p>
        </w:tc>
      </w:tr>
    </w:tbl>
    <w:p w14:paraId="62266F9B" w14:textId="77777777" w:rsidR="00B64EEA" w:rsidRPr="005E3B43" w:rsidRDefault="00B64EEA" w:rsidP="00763BCF">
      <w:pPr>
        <w:pStyle w:val="ActHead2"/>
        <w:pageBreakBefore/>
      </w:pPr>
      <w:bookmarkStart w:id="437" w:name="_Toc187136027"/>
      <w:r w:rsidRPr="005E3B43">
        <w:rPr>
          <w:rStyle w:val="CharPartNo"/>
        </w:rPr>
        <w:lastRenderedPageBreak/>
        <w:t>Part</w:t>
      </w:r>
      <w:r w:rsidR="004E6D00" w:rsidRPr="005E3B43">
        <w:rPr>
          <w:rStyle w:val="CharPartNo"/>
        </w:rPr>
        <w:t> </w:t>
      </w:r>
      <w:r w:rsidRPr="005E3B43">
        <w:rPr>
          <w:rStyle w:val="CharPartNo"/>
        </w:rPr>
        <w:t>4</w:t>
      </w:r>
      <w:r w:rsidRPr="005E3B43">
        <w:t>—</w:t>
      </w:r>
      <w:r w:rsidRPr="005E3B43">
        <w:rPr>
          <w:rStyle w:val="CharPartText"/>
        </w:rPr>
        <w:t>Table of fees for applications etc. in relation to certain complementary medicines</w:t>
      </w:r>
      <w:r w:rsidR="00E94EB6" w:rsidRPr="005E3B43">
        <w:rPr>
          <w:rStyle w:val="CharPartText"/>
        </w:rPr>
        <w:t xml:space="preserve"> and certain other listed medicines</w:t>
      </w:r>
      <w:bookmarkEnd w:id="437"/>
    </w:p>
    <w:p w14:paraId="77947395" w14:textId="77777777" w:rsidR="00B64EEA" w:rsidRPr="005E3B43" w:rsidRDefault="00B64EEA" w:rsidP="00763BCF">
      <w:pPr>
        <w:pStyle w:val="Header"/>
      </w:pPr>
      <w:r w:rsidRPr="005E3B43">
        <w:rPr>
          <w:rStyle w:val="CharDivNo"/>
        </w:rPr>
        <w:t xml:space="preserve"> </w:t>
      </w:r>
      <w:r w:rsidRPr="005E3B43">
        <w:rPr>
          <w:rStyle w:val="CharDivText"/>
        </w:rPr>
        <w:t xml:space="preserve"> </w:t>
      </w:r>
    </w:p>
    <w:p w14:paraId="15231903" w14:textId="77777777" w:rsidR="00B64EEA" w:rsidRPr="005E3B43" w:rsidRDefault="00B64EEA" w:rsidP="00763BCF">
      <w:pPr>
        <w:pStyle w:val="ActHead5"/>
      </w:pPr>
      <w:bookmarkStart w:id="438" w:name="_Toc187136028"/>
      <w:r w:rsidRPr="005E3B43">
        <w:rPr>
          <w:rStyle w:val="CharSectno"/>
        </w:rPr>
        <w:t>5</w:t>
      </w:r>
      <w:r w:rsidRPr="005E3B43">
        <w:t xml:space="preserve">  Table of fees</w:t>
      </w:r>
      <w:bookmarkEnd w:id="438"/>
    </w:p>
    <w:p w14:paraId="7E83418E" w14:textId="77777777" w:rsidR="00B64EEA" w:rsidRPr="005E3B43" w:rsidRDefault="00B64EEA" w:rsidP="00763BCF">
      <w:pPr>
        <w:pStyle w:val="subsection"/>
      </w:pPr>
      <w:r w:rsidRPr="005E3B43">
        <w:tab/>
      </w:r>
      <w:r w:rsidRPr="005E3B43">
        <w:tab/>
        <w:t>The following table sets out particular fees for applications, evaluations and requests in relation to certain medicines.</w:t>
      </w:r>
    </w:p>
    <w:p w14:paraId="0C76F101" w14:textId="77777777" w:rsidR="00B64EEA" w:rsidRPr="005E3B43" w:rsidRDefault="00B64EEA" w:rsidP="00763BC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45"/>
        <w:gridCol w:w="6779"/>
        <w:gridCol w:w="1105"/>
      </w:tblGrid>
      <w:tr w:rsidR="00B64EEA" w:rsidRPr="005E3B43" w14:paraId="41A87D65" w14:textId="77777777" w:rsidTr="005A786D">
        <w:trPr>
          <w:tblHeader/>
        </w:trPr>
        <w:tc>
          <w:tcPr>
            <w:tcW w:w="5000" w:type="pct"/>
            <w:gridSpan w:val="3"/>
            <w:tcBorders>
              <w:top w:val="single" w:sz="12" w:space="0" w:color="auto"/>
              <w:bottom w:val="single" w:sz="6" w:space="0" w:color="auto"/>
            </w:tcBorders>
            <w:shd w:val="clear" w:color="auto" w:fill="auto"/>
          </w:tcPr>
          <w:p w14:paraId="4A087620" w14:textId="77777777" w:rsidR="00B64EEA" w:rsidRPr="005E3B43" w:rsidRDefault="00B64EEA" w:rsidP="00763BCF">
            <w:pPr>
              <w:pStyle w:val="TableHeading"/>
            </w:pPr>
            <w:r w:rsidRPr="005E3B43">
              <w:t>Fees</w:t>
            </w:r>
          </w:p>
        </w:tc>
      </w:tr>
      <w:tr w:rsidR="00B64EEA" w:rsidRPr="005E3B43" w14:paraId="2F5AC25B" w14:textId="77777777" w:rsidTr="005A786D">
        <w:trPr>
          <w:tblHeader/>
        </w:trPr>
        <w:tc>
          <w:tcPr>
            <w:tcW w:w="378" w:type="pct"/>
            <w:tcBorders>
              <w:top w:val="single" w:sz="6" w:space="0" w:color="auto"/>
              <w:bottom w:val="single" w:sz="12" w:space="0" w:color="auto"/>
            </w:tcBorders>
            <w:shd w:val="clear" w:color="auto" w:fill="auto"/>
          </w:tcPr>
          <w:p w14:paraId="77DF6860" w14:textId="77777777" w:rsidR="00B64EEA" w:rsidRPr="005E3B43" w:rsidRDefault="00B64EEA" w:rsidP="00763BCF">
            <w:pPr>
              <w:pStyle w:val="TableHeading"/>
            </w:pPr>
            <w:r w:rsidRPr="005E3B43">
              <w:t>Item</w:t>
            </w:r>
          </w:p>
        </w:tc>
        <w:tc>
          <w:tcPr>
            <w:tcW w:w="3974" w:type="pct"/>
            <w:tcBorders>
              <w:top w:val="single" w:sz="6" w:space="0" w:color="auto"/>
              <w:bottom w:val="single" w:sz="12" w:space="0" w:color="auto"/>
            </w:tcBorders>
            <w:shd w:val="clear" w:color="auto" w:fill="auto"/>
          </w:tcPr>
          <w:p w14:paraId="50B41F2A" w14:textId="77777777" w:rsidR="00B64EEA" w:rsidRPr="005E3B43" w:rsidRDefault="00B64EEA" w:rsidP="00763BCF">
            <w:pPr>
              <w:pStyle w:val="TableHeading"/>
            </w:pPr>
            <w:r w:rsidRPr="005E3B43">
              <w:t>Column 1</w:t>
            </w:r>
          </w:p>
          <w:p w14:paraId="291C6481" w14:textId="77777777" w:rsidR="00B64EEA" w:rsidRPr="005E3B43" w:rsidRDefault="00B64EEA" w:rsidP="00763BCF">
            <w:pPr>
              <w:pStyle w:val="TableHeading"/>
            </w:pPr>
            <w:r w:rsidRPr="005E3B43">
              <w:t>Matter</w:t>
            </w:r>
          </w:p>
        </w:tc>
        <w:tc>
          <w:tcPr>
            <w:tcW w:w="648" w:type="pct"/>
            <w:tcBorders>
              <w:top w:val="single" w:sz="6" w:space="0" w:color="auto"/>
              <w:bottom w:val="single" w:sz="12" w:space="0" w:color="auto"/>
            </w:tcBorders>
            <w:shd w:val="clear" w:color="auto" w:fill="auto"/>
          </w:tcPr>
          <w:p w14:paraId="41485EF6" w14:textId="77777777" w:rsidR="00B64EEA" w:rsidRPr="005E3B43" w:rsidRDefault="00B64EEA" w:rsidP="00763BCF">
            <w:pPr>
              <w:pStyle w:val="TableHeading"/>
              <w:jc w:val="right"/>
            </w:pPr>
            <w:r w:rsidRPr="005E3B43">
              <w:t>Column 2</w:t>
            </w:r>
          </w:p>
          <w:p w14:paraId="106FE2C1" w14:textId="77777777" w:rsidR="00B64EEA" w:rsidRPr="005E3B43" w:rsidRDefault="00B64EEA" w:rsidP="00763BCF">
            <w:pPr>
              <w:pStyle w:val="TableHeading"/>
              <w:jc w:val="right"/>
            </w:pPr>
            <w:r w:rsidRPr="005E3B43">
              <w:t>Fee $</w:t>
            </w:r>
          </w:p>
        </w:tc>
      </w:tr>
      <w:tr w:rsidR="00560D9F" w:rsidRPr="005E3B43" w14:paraId="77F40225" w14:textId="77777777" w:rsidTr="005A786D">
        <w:tc>
          <w:tcPr>
            <w:tcW w:w="378" w:type="pct"/>
            <w:tcBorders>
              <w:top w:val="single" w:sz="12" w:space="0" w:color="auto"/>
              <w:bottom w:val="single" w:sz="4" w:space="0" w:color="auto"/>
            </w:tcBorders>
            <w:shd w:val="clear" w:color="auto" w:fill="auto"/>
          </w:tcPr>
          <w:p w14:paraId="47DEF865" w14:textId="77777777" w:rsidR="00560D9F" w:rsidRPr="005E3B43" w:rsidRDefault="00560D9F" w:rsidP="00763BCF">
            <w:pPr>
              <w:pStyle w:val="Tabletext"/>
            </w:pPr>
            <w:r w:rsidRPr="005E3B43">
              <w:t>1A</w:t>
            </w:r>
          </w:p>
        </w:tc>
        <w:tc>
          <w:tcPr>
            <w:tcW w:w="3974" w:type="pct"/>
            <w:tcBorders>
              <w:top w:val="single" w:sz="12" w:space="0" w:color="auto"/>
              <w:bottom w:val="single" w:sz="4" w:space="0" w:color="auto"/>
            </w:tcBorders>
            <w:shd w:val="clear" w:color="auto" w:fill="auto"/>
          </w:tcPr>
          <w:p w14:paraId="4FEC24A4" w14:textId="77777777" w:rsidR="00560D9F" w:rsidRPr="005E3B43" w:rsidRDefault="00560D9F" w:rsidP="00763BCF">
            <w:pPr>
              <w:pStyle w:val="Tabletext"/>
            </w:pPr>
            <w:r w:rsidRPr="005E3B43">
              <w:t>Application fee under paragraph</w:t>
            </w:r>
            <w:r w:rsidR="004E6D00" w:rsidRPr="005E3B43">
              <w:t> </w:t>
            </w:r>
            <w:r w:rsidRPr="005E3B43">
              <w:t>9D(7)(f) of the Act for an L(A)C1 (section</w:t>
            </w:r>
            <w:r w:rsidR="004E6D00" w:rsidRPr="005E3B43">
              <w:t> </w:t>
            </w:r>
            <w:r w:rsidRPr="005E3B43">
              <w:t>9D) request</w:t>
            </w:r>
          </w:p>
        </w:tc>
        <w:tc>
          <w:tcPr>
            <w:tcW w:w="648" w:type="pct"/>
            <w:tcBorders>
              <w:top w:val="single" w:sz="12" w:space="0" w:color="auto"/>
              <w:bottom w:val="single" w:sz="4" w:space="0" w:color="auto"/>
            </w:tcBorders>
            <w:shd w:val="clear" w:color="auto" w:fill="auto"/>
          </w:tcPr>
          <w:p w14:paraId="31467B46" w14:textId="77777777" w:rsidR="00560D9F" w:rsidRPr="005E3B43" w:rsidRDefault="002535CD" w:rsidP="00763BCF">
            <w:pPr>
              <w:pStyle w:val="Tabletext"/>
              <w:jc w:val="right"/>
            </w:pPr>
            <w:r w:rsidRPr="005E3B43">
              <w:t>2,316</w:t>
            </w:r>
          </w:p>
        </w:tc>
      </w:tr>
      <w:tr w:rsidR="00560D9F" w:rsidRPr="005E3B43" w14:paraId="21EB54A1" w14:textId="77777777" w:rsidTr="005A786D">
        <w:tc>
          <w:tcPr>
            <w:tcW w:w="378" w:type="pct"/>
            <w:tcBorders>
              <w:top w:val="single" w:sz="4" w:space="0" w:color="auto"/>
              <w:bottom w:val="single" w:sz="4" w:space="0" w:color="auto"/>
            </w:tcBorders>
            <w:shd w:val="clear" w:color="auto" w:fill="auto"/>
          </w:tcPr>
          <w:p w14:paraId="67033DD9" w14:textId="77777777" w:rsidR="00560D9F" w:rsidRPr="005E3B43" w:rsidRDefault="00560D9F" w:rsidP="00763BCF">
            <w:pPr>
              <w:pStyle w:val="Tabletext"/>
            </w:pPr>
            <w:r w:rsidRPr="005E3B43">
              <w:t>1B</w:t>
            </w:r>
          </w:p>
        </w:tc>
        <w:tc>
          <w:tcPr>
            <w:tcW w:w="3974" w:type="pct"/>
            <w:tcBorders>
              <w:top w:val="single" w:sz="4" w:space="0" w:color="auto"/>
              <w:bottom w:val="single" w:sz="4" w:space="0" w:color="auto"/>
            </w:tcBorders>
            <w:shd w:val="clear" w:color="auto" w:fill="auto"/>
          </w:tcPr>
          <w:p w14:paraId="0268AA24" w14:textId="77777777" w:rsidR="00560D9F" w:rsidRPr="005E3B43" w:rsidRDefault="00560D9F" w:rsidP="00763BCF">
            <w:pPr>
              <w:pStyle w:val="Tabletext"/>
            </w:pPr>
            <w:r w:rsidRPr="005E3B43">
              <w:t>Application fee under paragraph</w:t>
            </w:r>
            <w:r w:rsidR="004E6D00" w:rsidRPr="005E3B43">
              <w:t> </w:t>
            </w:r>
            <w:r w:rsidRPr="005E3B43">
              <w:t>9D(7)(f) of the Act for an L(A)C2 (section</w:t>
            </w:r>
            <w:r w:rsidR="004E6D00" w:rsidRPr="005E3B43">
              <w:t> </w:t>
            </w:r>
            <w:r w:rsidRPr="005E3B43">
              <w:t>9D) request</w:t>
            </w:r>
          </w:p>
        </w:tc>
        <w:tc>
          <w:tcPr>
            <w:tcW w:w="648" w:type="pct"/>
            <w:tcBorders>
              <w:top w:val="single" w:sz="4" w:space="0" w:color="auto"/>
              <w:bottom w:val="single" w:sz="4" w:space="0" w:color="auto"/>
            </w:tcBorders>
            <w:shd w:val="clear" w:color="auto" w:fill="auto"/>
          </w:tcPr>
          <w:p w14:paraId="0453E7AC" w14:textId="77777777" w:rsidR="00560D9F" w:rsidRPr="005E3B43" w:rsidRDefault="002535CD" w:rsidP="00763BCF">
            <w:pPr>
              <w:pStyle w:val="Tabletext"/>
              <w:jc w:val="right"/>
            </w:pPr>
            <w:r w:rsidRPr="005E3B43">
              <w:t>10,115</w:t>
            </w:r>
          </w:p>
        </w:tc>
      </w:tr>
      <w:tr w:rsidR="00560D9F" w:rsidRPr="005E3B43" w14:paraId="3DCE307D" w14:textId="77777777" w:rsidTr="005A786D">
        <w:tc>
          <w:tcPr>
            <w:tcW w:w="378" w:type="pct"/>
            <w:tcBorders>
              <w:top w:val="single" w:sz="4" w:space="0" w:color="auto"/>
              <w:bottom w:val="single" w:sz="4" w:space="0" w:color="auto"/>
            </w:tcBorders>
            <w:shd w:val="clear" w:color="auto" w:fill="auto"/>
          </w:tcPr>
          <w:p w14:paraId="5C1A7639" w14:textId="77777777" w:rsidR="00560D9F" w:rsidRPr="005E3B43" w:rsidRDefault="00560D9F" w:rsidP="00763BCF">
            <w:pPr>
              <w:pStyle w:val="Tabletext"/>
            </w:pPr>
            <w:r w:rsidRPr="005E3B43">
              <w:t>1C</w:t>
            </w:r>
          </w:p>
        </w:tc>
        <w:tc>
          <w:tcPr>
            <w:tcW w:w="3974" w:type="pct"/>
            <w:tcBorders>
              <w:top w:val="single" w:sz="4" w:space="0" w:color="auto"/>
              <w:bottom w:val="single" w:sz="4" w:space="0" w:color="auto"/>
            </w:tcBorders>
            <w:shd w:val="clear" w:color="auto" w:fill="auto"/>
          </w:tcPr>
          <w:p w14:paraId="7E36602D" w14:textId="77777777" w:rsidR="00560D9F" w:rsidRPr="005E3B43" w:rsidRDefault="00560D9F" w:rsidP="00763BCF">
            <w:pPr>
              <w:pStyle w:val="Tabletext"/>
            </w:pPr>
            <w:r w:rsidRPr="005E3B43">
              <w:t>Application fee under paragraph</w:t>
            </w:r>
            <w:r w:rsidR="004E6D00" w:rsidRPr="005E3B43">
              <w:t> </w:t>
            </w:r>
            <w:r w:rsidRPr="005E3B43">
              <w:t>9D(7)(f) of the Act for an L(A)CN (section</w:t>
            </w:r>
            <w:r w:rsidR="004E6D00" w:rsidRPr="005E3B43">
              <w:t> </w:t>
            </w:r>
            <w:r w:rsidRPr="005E3B43">
              <w:t>9D) request</w:t>
            </w:r>
          </w:p>
        </w:tc>
        <w:tc>
          <w:tcPr>
            <w:tcW w:w="648" w:type="pct"/>
            <w:tcBorders>
              <w:top w:val="single" w:sz="4" w:space="0" w:color="auto"/>
              <w:bottom w:val="single" w:sz="4" w:space="0" w:color="auto"/>
            </w:tcBorders>
            <w:shd w:val="clear" w:color="auto" w:fill="auto"/>
          </w:tcPr>
          <w:p w14:paraId="0714A36D" w14:textId="77777777" w:rsidR="00560D9F" w:rsidRPr="005E3B43" w:rsidRDefault="00E723FD" w:rsidP="00763BCF">
            <w:pPr>
              <w:pStyle w:val="Tabletext"/>
              <w:jc w:val="right"/>
            </w:pPr>
            <w:r w:rsidRPr="005E3B43">
              <w:t>927</w:t>
            </w:r>
          </w:p>
        </w:tc>
      </w:tr>
      <w:tr w:rsidR="00560D9F" w:rsidRPr="005E3B43" w14:paraId="02AF4676" w14:textId="77777777" w:rsidTr="005A786D">
        <w:tc>
          <w:tcPr>
            <w:tcW w:w="378" w:type="pct"/>
            <w:tcBorders>
              <w:top w:val="single" w:sz="4" w:space="0" w:color="auto"/>
              <w:bottom w:val="single" w:sz="4" w:space="0" w:color="auto"/>
            </w:tcBorders>
            <w:shd w:val="clear" w:color="auto" w:fill="auto"/>
          </w:tcPr>
          <w:p w14:paraId="2A27057A" w14:textId="77777777" w:rsidR="00560D9F" w:rsidRPr="005E3B43" w:rsidRDefault="00583FA1" w:rsidP="00763BCF">
            <w:pPr>
              <w:pStyle w:val="Tabletext"/>
            </w:pPr>
            <w:r w:rsidRPr="005E3B43">
              <w:t>1D</w:t>
            </w:r>
          </w:p>
        </w:tc>
        <w:tc>
          <w:tcPr>
            <w:tcW w:w="3974" w:type="pct"/>
            <w:tcBorders>
              <w:top w:val="single" w:sz="4" w:space="0" w:color="auto"/>
              <w:bottom w:val="single" w:sz="4" w:space="0" w:color="auto"/>
            </w:tcBorders>
            <w:shd w:val="clear" w:color="auto" w:fill="auto"/>
          </w:tcPr>
          <w:p w14:paraId="3609D989" w14:textId="77777777" w:rsidR="00560D9F" w:rsidRPr="005E3B43" w:rsidRDefault="00583FA1" w:rsidP="00763BCF">
            <w:pPr>
              <w:pStyle w:val="Tabletext"/>
            </w:pPr>
            <w:r w:rsidRPr="005E3B43">
              <w:t>Application fee under paragraph</w:t>
            </w:r>
            <w:r w:rsidR="004E6D00" w:rsidRPr="005E3B43">
              <w:t> </w:t>
            </w:r>
            <w:r w:rsidRPr="005E3B43">
              <w:t>23B(2)(b) of the Act for an L(A)C1 (</w:t>
            </w:r>
            <w:r w:rsidR="00FB7FAA" w:rsidRPr="005E3B43">
              <w:t>section 2</w:t>
            </w:r>
            <w:r w:rsidRPr="005E3B43">
              <w:t>3) application</w:t>
            </w:r>
          </w:p>
        </w:tc>
        <w:tc>
          <w:tcPr>
            <w:tcW w:w="648" w:type="pct"/>
            <w:tcBorders>
              <w:top w:val="single" w:sz="4" w:space="0" w:color="auto"/>
              <w:bottom w:val="single" w:sz="4" w:space="0" w:color="auto"/>
            </w:tcBorders>
            <w:shd w:val="clear" w:color="auto" w:fill="auto"/>
          </w:tcPr>
          <w:p w14:paraId="32EB29CC" w14:textId="77777777" w:rsidR="00560D9F" w:rsidRPr="005E3B43" w:rsidRDefault="00E723FD" w:rsidP="00763BCF">
            <w:pPr>
              <w:pStyle w:val="Tabletext"/>
              <w:jc w:val="right"/>
            </w:pPr>
            <w:r w:rsidRPr="005E3B43">
              <w:t>1,074</w:t>
            </w:r>
          </w:p>
        </w:tc>
      </w:tr>
      <w:tr w:rsidR="00583FA1" w:rsidRPr="005E3B43" w14:paraId="1E63DAB9" w14:textId="77777777" w:rsidTr="005A786D">
        <w:tc>
          <w:tcPr>
            <w:tcW w:w="378" w:type="pct"/>
            <w:tcBorders>
              <w:top w:val="single" w:sz="4" w:space="0" w:color="auto"/>
              <w:bottom w:val="single" w:sz="4" w:space="0" w:color="auto"/>
            </w:tcBorders>
            <w:shd w:val="clear" w:color="auto" w:fill="auto"/>
          </w:tcPr>
          <w:p w14:paraId="192EDE0F" w14:textId="77777777" w:rsidR="00583FA1" w:rsidRPr="005E3B43" w:rsidRDefault="00583FA1" w:rsidP="00763BCF">
            <w:pPr>
              <w:pStyle w:val="Tabletext"/>
            </w:pPr>
            <w:r w:rsidRPr="005E3B43">
              <w:t>1E</w:t>
            </w:r>
          </w:p>
        </w:tc>
        <w:tc>
          <w:tcPr>
            <w:tcW w:w="3974" w:type="pct"/>
            <w:tcBorders>
              <w:top w:val="single" w:sz="4" w:space="0" w:color="auto"/>
              <w:bottom w:val="single" w:sz="4" w:space="0" w:color="auto"/>
            </w:tcBorders>
            <w:shd w:val="clear" w:color="auto" w:fill="auto"/>
          </w:tcPr>
          <w:p w14:paraId="360999FA" w14:textId="77777777" w:rsidR="00583FA1" w:rsidRPr="005E3B43" w:rsidRDefault="00583FA1" w:rsidP="00763BCF">
            <w:pPr>
              <w:pStyle w:val="Tabletext"/>
            </w:pPr>
            <w:r w:rsidRPr="005E3B43">
              <w:t>Application fee under paragraph</w:t>
            </w:r>
            <w:r w:rsidR="004E6D00" w:rsidRPr="005E3B43">
              <w:t> </w:t>
            </w:r>
            <w:r w:rsidRPr="005E3B43">
              <w:t>23B(2)(b) of the Act for an L(A)C2 (</w:t>
            </w:r>
            <w:r w:rsidR="00FB7FAA" w:rsidRPr="005E3B43">
              <w:t>section 2</w:t>
            </w:r>
            <w:r w:rsidRPr="005E3B43">
              <w:t>3) application</w:t>
            </w:r>
          </w:p>
        </w:tc>
        <w:tc>
          <w:tcPr>
            <w:tcW w:w="648" w:type="pct"/>
            <w:tcBorders>
              <w:top w:val="single" w:sz="4" w:space="0" w:color="auto"/>
              <w:bottom w:val="single" w:sz="4" w:space="0" w:color="auto"/>
            </w:tcBorders>
            <w:shd w:val="clear" w:color="auto" w:fill="auto"/>
          </w:tcPr>
          <w:p w14:paraId="2964E2F7" w14:textId="77777777" w:rsidR="00583FA1" w:rsidRPr="005E3B43" w:rsidRDefault="00E723FD" w:rsidP="00763BCF">
            <w:pPr>
              <w:pStyle w:val="Tabletext"/>
              <w:jc w:val="right"/>
            </w:pPr>
            <w:r w:rsidRPr="005E3B43">
              <w:t>1,074</w:t>
            </w:r>
          </w:p>
        </w:tc>
      </w:tr>
      <w:tr w:rsidR="00583FA1" w:rsidRPr="005E3B43" w14:paraId="1BE945D5" w14:textId="77777777" w:rsidTr="005A786D">
        <w:tc>
          <w:tcPr>
            <w:tcW w:w="378" w:type="pct"/>
            <w:tcBorders>
              <w:top w:val="single" w:sz="4" w:space="0" w:color="auto"/>
              <w:bottom w:val="single" w:sz="4" w:space="0" w:color="auto"/>
            </w:tcBorders>
            <w:shd w:val="clear" w:color="auto" w:fill="auto"/>
          </w:tcPr>
          <w:p w14:paraId="77CABF80" w14:textId="77777777" w:rsidR="00583FA1" w:rsidRPr="005E3B43" w:rsidRDefault="00583FA1" w:rsidP="00763BCF">
            <w:pPr>
              <w:pStyle w:val="Tabletext"/>
            </w:pPr>
            <w:r w:rsidRPr="005E3B43">
              <w:t>1F</w:t>
            </w:r>
          </w:p>
        </w:tc>
        <w:tc>
          <w:tcPr>
            <w:tcW w:w="3974" w:type="pct"/>
            <w:tcBorders>
              <w:top w:val="single" w:sz="4" w:space="0" w:color="auto"/>
              <w:bottom w:val="single" w:sz="4" w:space="0" w:color="auto"/>
            </w:tcBorders>
            <w:shd w:val="clear" w:color="auto" w:fill="auto"/>
          </w:tcPr>
          <w:p w14:paraId="3821789A" w14:textId="77777777" w:rsidR="00583FA1" w:rsidRPr="005E3B43" w:rsidRDefault="00583FA1" w:rsidP="00763BCF">
            <w:pPr>
              <w:pStyle w:val="Tabletext"/>
            </w:pPr>
            <w:r w:rsidRPr="005E3B43">
              <w:t>Application fee under paragraph</w:t>
            </w:r>
            <w:r w:rsidR="004E6D00" w:rsidRPr="005E3B43">
              <w:t> </w:t>
            </w:r>
            <w:r w:rsidRPr="005E3B43">
              <w:t>23B(2)(b) of the Act for an L(A)CN (</w:t>
            </w:r>
            <w:r w:rsidR="00FB7FAA" w:rsidRPr="005E3B43">
              <w:t>section 2</w:t>
            </w:r>
            <w:r w:rsidRPr="005E3B43">
              <w:t>3) application</w:t>
            </w:r>
          </w:p>
        </w:tc>
        <w:tc>
          <w:tcPr>
            <w:tcW w:w="648" w:type="pct"/>
            <w:tcBorders>
              <w:top w:val="single" w:sz="4" w:space="0" w:color="auto"/>
              <w:bottom w:val="single" w:sz="4" w:space="0" w:color="auto"/>
            </w:tcBorders>
            <w:shd w:val="clear" w:color="auto" w:fill="auto"/>
          </w:tcPr>
          <w:p w14:paraId="771C8362" w14:textId="77777777" w:rsidR="00583FA1" w:rsidRPr="005E3B43" w:rsidRDefault="00E723FD" w:rsidP="00763BCF">
            <w:pPr>
              <w:pStyle w:val="Tabletext"/>
              <w:jc w:val="right"/>
            </w:pPr>
            <w:r w:rsidRPr="005E3B43">
              <w:t>927</w:t>
            </w:r>
          </w:p>
        </w:tc>
      </w:tr>
      <w:tr w:rsidR="00583FA1" w:rsidRPr="005E3B43" w14:paraId="0671AF7D" w14:textId="77777777" w:rsidTr="005A786D">
        <w:tc>
          <w:tcPr>
            <w:tcW w:w="378" w:type="pct"/>
            <w:tcBorders>
              <w:top w:val="single" w:sz="4" w:space="0" w:color="auto"/>
              <w:bottom w:val="single" w:sz="4" w:space="0" w:color="auto"/>
            </w:tcBorders>
            <w:shd w:val="clear" w:color="auto" w:fill="auto"/>
          </w:tcPr>
          <w:p w14:paraId="5F28C056" w14:textId="77777777" w:rsidR="00583FA1" w:rsidRPr="005E3B43" w:rsidRDefault="00583FA1" w:rsidP="00763BCF">
            <w:pPr>
              <w:pStyle w:val="Tabletext"/>
            </w:pPr>
            <w:r w:rsidRPr="005E3B43">
              <w:t>1G</w:t>
            </w:r>
          </w:p>
        </w:tc>
        <w:tc>
          <w:tcPr>
            <w:tcW w:w="3974" w:type="pct"/>
            <w:tcBorders>
              <w:top w:val="single" w:sz="4" w:space="0" w:color="auto"/>
              <w:bottom w:val="single" w:sz="4" w:space="0" w:color="auto"/>
            </w:tcBorders>
            <w:shd w:val="clear" w:color="auto" w:fill="auto"/>
          </w:tcPr>
          <w:p w14:paraId="396799C8" w14:textId="77777777" w:rsidR="00583FA1" w:rsidRPr="005E3B43" w:rsidRDefault="00583FA1" w:rsidP="00763BCF">
            <w:pPr>
              <w:pStyle w:val="Tabletext"/>
            </w:pPr>
            <w:r w:rsidRPr="005E3B43">
              <w:t>Evaluation fee under sub</w:t>
            </w:r>
            <w:r w:rsidR="00FB7FAA" w:rsidRPr="005E3B43">
              <w:t>section 2</w:t>
            </w:r>
            <w:r w:rsidRPr="005E3B43">
              <w:t>6AC(2) of the Act for an L(A)C1 (</w:t>
            </w:r>
            <w:r w:rsidR="00FB7FAA" w:rsidRPr="005E3B43">
              <w:t>section 2</w:t>
            </w:r>
            <w:r w:rsidRPr="005E3B43">
              <w:t>3) application</w:t>
            </w:r>
          </w:p>
        </w:tc>
        <w:tc>
          <w:tcPr>
            <w:tcW w:w="648" w:type="pct"/>
            <w:tcBorders>
              <w:top w:val="single" w:sz="4" w:space="0" w:color="auto"/>
              <w:bottom w:val="single" w:sz="4" w:space="0" w:color="auto"/>
            </w:tcBorders>
            <w:shd w:val="clear" w:color="auto" w:fill="auto"/>
          </w:tcPr>
          <w:p w14:paraId="56834EC5" w14:textId="77777777" w:rsidR="00583FA1" w:rsidRPr="005E3B43" w:rsidRDefault="00860760" w:rsidP="00763BCF">
            <w:pPr>
              <w:pStyle w:val="Tabletext"/>
              <w:jc w:val="right"/>
            </w:pPr>
            <w:r w:rsidRPr="005E3B43">
              <w:t>1,244</w:t>
            </w:r>
          </w:p>
        </w:tc>
      </w:tr>
      <w:tr w:rsidR="00583FA1" w:rsidRPr="005E3B43" w14:paraId="3883CA74" w14:textId="77777777" w:rsidTr="005A786D">
        <w:tc>
          <w:tcPr>
            <w:tcW w:w="378" w:type="pct"/>
            <w:tcBorders>
              <w:top w:val="single" w:sz="4" w:space="0" w:color="auto"/>
              <w:bottom w:val="single" w:sz="4" w:space="0" w:color="auto"/>
            </w:tcBorders>
            <w:shd w:val="clear" w:color="auto" w:fill="auto"/>
          </w:tcPr>
          <w:p w14:paraId="526612AB" w14:textId="77777777" w:rsidR="00583FA1" w:rsidRPr="005E3B43" w:rsidRDefault="00583FA1" w:rsidP="00763BCF">
            <w:pPr>
              <w:pStyle w:val="Tabletext"/>
            </w:pPr>
            <w:r w:rsidRPr="005E3B43">
              <w:t>1H</w:t>
            </w:r>
          </w:p>
        </w:tc>
        <w:tc>
          <w:tcPr>
            <w:tcW w:w="3974" w:type="pct"/>
            <w:tcBorders>
              <w:top w:val="single" w:sz="4" w:space="0" w:color="auto"/>
              <w:bottom w:val="single" w:sz="4" w:space="0" w:color="auto"/>
            </w:tcBorders>
            <w:shd w:val="clear" w:color="auto" w:fill="auto"/>
          </w:tcPr>
          <w:p w14:paraId="30E7162B" w14:textId="77777777" w:rsidR="00583FA1" w:rsidRPr="005E3B43" w:rsidRDefault="00583FA1" w:rsidP="00763BCF">
            <w:pPr>
              <w:pStyle w:val="Tabletext"/>
            </w:pPr>
            <w:r w:rsidRPr="005E3B43">
              <w:t>Evaluation fee under sub</w:t>
            </w:r>
            <w:r w:rsidR="00FB7FAA" w:rsidRPr="005E3B43">
              <w:t>section 2</w:t>
            </w:r>
            <w:r w:rsidRPr="005E3B43">
              <w:t>6AC(2) of the Act for an L(A)C2 (</w:t>
            </w:r>
            <w:r w:rsidR="00FB7FAA" w:rsidRPr="005E3B43">
              <w:t>section 2</w:t>
            </w:r>
            <w:r w:rsidRPr="005E3B43">
              <w:t>3) application</w:t>
            </w:r>
          </w:p>
        </w:tc>
        <w:tc>
          <w:tcPr>
            <w:tcW w:w="648" w:type="pct"/>
            <w:tcBorders>
              <w:top w:val="single" w:sz="4" w:space="0" w:color="auto"/>
              <w:bottom w:val="single" w:sz="4" w:space="0" w:color="auto"/>
            </w:tcBorders>
            <w:shd w:val="clear" w:color="auto" w:fill="auto"/>
          </w:tcPr>
          <w:p w14:paraId="2C4A469D" w14:textId="77777777" w:rsidR="00583FA1" w:rsidRPr="005E3B43" w:rsidRDefault="00860760" w:rsidP="00763BCF">
            <w:pPr>
              <w:pStyle w:val="Tabletext"/>
              <w:jc w:val="right"/>
            </w:pPr>
            <w:r w:rsidRPr="005E3B43">
              <w:t>9,041</w:t>
            </w:r>
          </w:p>
        </w:tc>
      </w:tr>
      <w:tr w:rsidR="00583FA1" w:rsidRPr="005E3B43" w14:paraId="111AB0CE" w14:textId="77777777" w:rsidTr="005A786D">
        <w:tc>
          <w:tcPr>
            <w:tcW w:w="378" w:type="pct"/>
            <w:tcBorders>
              <w:top w:val="single" w:sz="4" w:space="0" w:color="auto"/>
            </w:tcBorders>
            <w:shd w:val="clear" w:color="auto" w:fill="auto"/>
          </w:tcPr>
          <w:p w14:paraId="32FAA0AE" w14:textId="77777777" w:rsidR="00583FA1" w:rsidRPr="005E3B43" w:rsidRDefault="00583FA1" w:rsidP="00763BCF">
            <w:pPr>
              <w:pStyle w:val="Tabletext"/>
            </w:pPr>
            <w:r w:rsidRPr="005E3B43">
              <w:t>1</w:t>
            </w:r>
          </w:p>
        </w:tc>
        <w:tc>
          <w:tcPr>
            <w:tcW w:w="3974" w:type="pct"/>
            <w:tcBorders>
              <w:top w:val="single" w:sz="4" w:space="0" w:color="auto"/>
            </w:tcBorders>
            <w:shd w:val="clear" w:color="auto" w:fill="auto"/>
          </w:tcPr>
          <w:p w14:paraId="53F2F333" w14:textId="77777777" w:rsidR="00583FA1" w:rsidRPr="005E3B43" w:rsidRDefault="00583FA1" w:rsidP="00763BCF">
            <w:pPr>
              <w:pStyle w:val="Tabletext"/>
            </w:pPr>
            <w:r w:rsidRPr="005E3B43">
              <w:t>Application fee under paragraph</w:t>
            </w:r>
            <w:r w:rsidR="004E6D00" w:rsidRPr="005E3B43">
              <w:t> </w:t>
            </w:r>
            <w:r w:rsidRPr="005E3B43">
              <w:t>9D(7)(f) of the Act for an RCMC1 (section</w:t>
            </w:r>
            <w:r w:rsidR="004E6D00" w:rsidRPr="005E3B43">
              <w:t> </w:t>
            </w:r>
            <w:r w:rsidRPr="005E3B43">
              <w:t>9D) request</w:t>
            </w:r>
          </w:p>
        </w:tc>
        <w:tc>
          <w:tcPr>
            <w:tcW w:w="648" w:type="pct"/>
            <w:tcBorders>
              <w:top w:val="single" w:sz="4" w:space="0" w:color="auto"/>
            </w:tcBorders>
            <w:shd w:val="clear" w:color="auto" w:fill="auto"/>
          </w:tcPr>
          <w:p w14:paraId="2A68CA03" w14:textId="77777777" w:rsidR="00583FA1" w:rsidRPr="005E3B43" w:rsidRDefault="00860760" w:rsidP="00763BCF">
            <w:pPr>
              <w:pStyle w:val="Tabletext"/>
              <w:jc w:val="right"/>
            </w:pPr>
            <w:r w:rsidRPr="005E3B43">
              <w:t>1,685</w:t>
            </w:r>
          </w:p>
        </w:tc>
      </w:tr>
      <w:tr w:rsidR="00583FA1" w:rsidRPr="005E3B43" w14:paraId="1DF3E93B" w14:textId="77777777" w:rsidTr="005A786D">
        <w:tc>
          <w:tcPr>
            <w:tcW w:w="378" w:type="pct"/>
            <w:shd w:val="clear" w:color="auto" w:fill="auto"/>
          </w:tcPr>
          <w:p w14:paraId="47FD8EE6" w14:textId="77777777" w:rsidR="00583FA1" w:rsidRPr="005E3B43" w:rsidRDefault="00583FA1" w:rsidP="00763BCF">
            <w:pPr>
              <w:pStyle w:val="Tabletext"/>
            </w:pPr>
            <w:r w:rsidRPr="005E3B43">
              <w:t>2</w:t>
            </w:r>
          </w:p>
        </w:tc>
        <w:tc>
          <w:tcPr>
            <w:tcW w:w="3974" w:type="pct"/>
            <w:shd w:val="clear" w:color="auto" w:fill="auto"/>
          </w:tcPr>
          <w:p w14:paraId="655FF301" w14:textId="77777777" w:rsidR="00583FA1" w:rsidRPr="005E3B43" w:rsidRDefault="00583FA1" w:rsidP="00763BCF">
            <w:pPr>
              <w:pStyle w:val="Tabletext"/>
            </w:pPr>
            <w:r w:rsidRPr="005E3B43">
              <w:t>Application fee under paragraph</w:t>
            </w:r>
            <w:r w:rsidR="004E6D00" w:rsidRPr="005E3B43">
              <w:t> </w:t>
            </w:r>
            <w:r w:rsidRPr="005E3B43">
              <w:t>9D(7)(f) of the Act for an RCMC2 (section</w:t>
            </w:r>
            <w:r w:rsidR="004E6D00" w:rsidRPr="005E3B43">
              <w:t> </w:t>
            </w:r>
            <w:r w:rsidRPr="005E3B43">
              <w:t>9D) request</w:t>
            </w:r>
          </w:p>
        </w:tc>
        <w:tc>
          <w:tcPr>
            <w:tcW w:w="648" w:type="pct"/>
            <w:shd w:val="clear" w:color="auto" w:fill="auto"/>
          </w:tcPr>
          <w:p w14:paraId="2CFA6B52" w14:textId="77777777" w:rsidR="00583FA1" w:rsidRPr="005E3B43" w:rsidRDefault="00860760" w:rsidP="00763BCF">
            <w:pPr>
              <w:pStyle w:val="Tabletext"/>
              <w:jc w:val="right"/>
            </w:pPr>
            <w:r w:rsidRPr="005E3B43">
              <w:t>5,684</w:t>
            </w:r>
          </w:p>
        </w:tc>
      </w:tr>
      <w:tr w:rsidR="00583FA1" w:rsidRPr="005E3B43" w14:paraId="373C090D" w14:textId="77777777" w:rsidTr="005A786D">
        <w:tc>
          <w:tcPr>
            <w:tcW w:w="378" w:type="pct"/>
            <w:shd w:val="clear" w:color="auto" w:fill="auto"/>
          </w:tcPr>
          <w:p w14:paraId="31473801" w14:textId="77777777" w:rsidR="00583FA1" w:rsidRPr="005E3B43" w:rsidRDefault="00583FA1" w:rsidP="00763BCF">
            <w:pPr>
              <w:pStyle w:val="Tabletext"/>
            </w:pPr>
            <w:r w:rsidRPr="005E3B43">
              <w:t>3</w:t>
            </w:r>
          </w:p>
        </w:tc>
        <w:tc>
          <w:tcPr>
            <w:tcW w:w="3974" w:type="pct"/>
            <w:shd w:val="clear" w:color="auto" w:fill="auto"/>
          </w:tcPr>
          <w:p w14:paraId="143C415A" w14:textId="77777777" w:rsidR="00583FA1" w:rsidRPr="005E3B43" w:rsidRDefault="00583FA1" w:rsidP="00763BCF">
            <w:pPr>
              <w:pStyle w:val="Tabletext"/>
            </w:pPr>
            <w:r w:rsidRPr="005E3B43">
              <w:t>Application fee under paragraph</w:t>
            </w:r>
            <w:r w:rsidR="004E6D00" w:rsidRPr="005E3B43">
              <w:t> </w:t>
            </w:r>
            <w:r w:rsidRPr="005E3B43">
              <w:t>9D(7)(f) of the Act for an RCMC3 (section</w:t>
            </w:r>
            <w:r w:rsidR="004E6D00" w:rsidRPr="005E3B43">
              <w:t> </w:t>
            </w:r>
            <w:r w:rsidRPr="005E3B43">
              <w:t>9D) request</w:t>
            </w:r>
          </w:p>
        </w:tc>
        <w:tc>
          <w:tcPr>
            <w:tcW w:w="648" w:type="pct"/>
            <w:shd w:val="clear" w:color="auto" w:fill="auto"/>
          </w:tcPr>
          <w:p w14:paraId="66A3DC01" w14:textId="77777777" w:rsidR="00583FA1" w:rsidRPr="005E3B43" w:rsidRDefault="001D52D2" w:rsidP="00763BCF">
            <w:pPr>
              <w:pStyle w:val="Tabletext"/>
              <w:jc w:val="right"/>
            </w:pPr>
            <w:r w:rsidRPr="005E3B43">
              <w:t>8,442</w:t>
            </w:r>
          </w:p>
        </w:tc>
      </w:tr>
      <w:tr w:rsidR="00583FA1" w:rsidRPr="005E3B43" w14:paraId="4CACF637" w14:textId="77777777" w:rsidTr="005A786D">
        <w:tc>
          <w:tcPr>
            <w:tcW w:w="378" w:type="pct"/>
            <w:shd w:val="clear" w:color="auto" w:fill="auto"/>
          </w:tcPr>
          <w:p w14:paraId="153406C6" w14:textId="77777777" w:rsidR="00583FA1" w:rsidRPr="005E3B43" w:rsidRDefault="00583FA1" w:rsidP="00763BCF">
            <w:pPr>
              <w:pStyle w:val="Tabletext"/>
            </w:pPr>
            <w:r w:rsidRPr="005E3B43">
              <w:t>4</w:t>
            </w:r>
          </w:p>
        </w:tc>
        <w:tc>
          <w:tcPr>
            <w:tcW w:w="3974" w:type="pct"/>
            <w:shd w:val="clear" w:color="auto" w:fill="auto"/>
          </w:tcPr>
          <w:p w14:paraId="07F4A59C" w14:textId="77777777" w:rsidR="00583FA1" w:rsidRPr="005E3B43" w:rsidRDefault="00583FA1" w:rsidP="00763BCF">
            <w:pPr>
              <w:pStyle w:val="Tabletext"/>
            </w:pPr>
            <w:r w:rsidRPr="005E3B43">
              <w:t>Application fee under paragraph</w:t>
            </w:r>
            <w:r w:rsidR="004E6D00" w:rsidRPr="005E3B43">
              <w:t> </w:t>
            </w:r>
            <w:r w:rsidRPr="005E3B43">
              <w:t>9D(7)(f) of the Act for an RCMC4 (section</w:t>
            </w:r>
            <w:r w:rsidR="004E6D00" w:rsidRPr="005E3B43">
              <w:t> </w:t>
            </w:r>
            <w:r w:rsidRPr="005E3B43">
              <w:t>9D) request</w:t>
            </w:r>
          </w:p>
        </w:tc>
        <w:tc>
          <w:tcPr>
            <w:tcW w:w="648" w:type="pct"/>
            <w:shd w:val="clear" w:color="auto" w:fill="auto"/>
          </w:tcPr>
          <w:p w14:paraId="4F8216AE" w14:textId="77777777" w:rsidR="00583FA1" w:rsidRPr="005E3B43" w:rsidRDefault="001D52D2" w:rsidP="00763BCF">
            <w:pPr>
              <w:pStyle w:val="Tabletext"/>
              <w:jc w:val="right"/>
            </w:pPr>
            <w:r w:rsidRPr="005E3B43">
              <w:t>11,980</w:t>
            </w:r>
          </w:p>
        </w:tc>
      </w:tr>
      <w:tr w:rsidR="00583FA1" w:rsidRPr="005E3B43" w14:paraId="47CFC94B" w14:textId="77777777" w:rsidTr="005A786D">
        <w:tc>
          <w:tcPr>
            <w:tcW w:w="378" w:type="pct"/>
            <w:shd w:val="clear" w:color="auto" w:fill="auto"/>
          </w:tcPr>
          <w:p w14:paraId="226E7021" w14:textId="77777777" w:rsidR="00583FA1" w:rsidRPr="005E3B43" w:rsidRDefault="00583FA1" w:rsidP="00763BCF">
            <w:pPr>
              <w:pStyle w:val="Tabletext"/>
            </w:pPr>
            <w:r w:rsidRPr="005E3B43">
              <w:t>5</w:t>
            </w:r>
          </w:p>
        </w:tc>
        <w:tc>
          <w:tcPr>
            <w:tcW w:w="3974" w:type="pct"/>
            <w:shd w:val="clear" w:color="auto" w:fill="auto"/>
          </w:tcPr>
          <w:p w14:paraId="01D054CB" w14:textId="77777777" w:rsidR="00583FA1" w:rsidRPr="005E3B43" w:rsidRDefault="00583FA1" w:rsidP="00763BCF">
            <w:pPr>
              <w:pStyle w:val="Tabletext"/>
            </w:pPr>
            <w:r w:rsidRPr="005E3B43">
              <w:t>Application fee under paragraph</w:t>
            </w:r>
            <w:r w:rsidR="004E6D00" w:rsidRPr="005E3B43">
              <w:t> </w:t>
            </w:r>
            <w:r w:rsidRPr="005E3B43">
              <w:t>23B(2)(b) of the Act for an RCMC1 (</w:t>
            </w:r>
            <w:r w:rsidR="00FB7FAA" w:rsidRPr="005E3B43">
              <w:t>section 2</w:t>
            </w:r>
            <w:r w:rsidRPr="005E3B43">
              <w:t>3) application</w:t>
            </w:r>
          </w:p>
        </w:tc>
        <w:tc>
          <w:tcPr>
            <w:tcW w:w="648" w:type="pct"/>
            <w:shd w:val="clear" w:color="auto" w:fill="auto"/>
          </w:tcPr>
          <w:p w14:paraId="3051A911" w14:textId="77777777" w:rsidR="00583FA1" w:rsidRPr="005E3B43" w:rsidRDefault="001D52D2" w:rsidP="00763BCF">
            <w:pPr>
              <w:pStyle w:val="Tabletext"/>
              <w:jc w:val="right"/>
            </w:pPr>
            <w:r w:rsidRPr="005E3B43">
              <w:t>1,685</w:t>
            </w:r>
          </w:p>
        </w:tc>
      </w:tr>
      <w:tr w:rsidR="00583FA1" w:rsidRPr="005E3B43" w14:paraId="7A387DB9" w14:textId="77777777" w:rsidTr="005A786D">
        <w:tc>
          <w:tcPr>
            <w:tcW w:w="378" w:type="pct"/>
            <w:shd w:val="clear" w:color="auto" w:fill="auto"/>
          </w:tcPr>
          <w:p w14:paraId="096A241B" w14:textId="77777777" w:rsidR="00583FA1" w:rsidRPr="005E3B43" w:rsidRDefault="00583FA1" w:rsidP="00763BCF">
            <w:pPr>
              <w:pStyle w:val="Tabletext"/>
            </w:pPr>
            <w:r w:rsidRPr="005E3B43">
              <w:t>6</w:t>
            </w:r>
          </w:p>
        </w:tc>
        <w:tc>
          <w:tcPr>
            <w:tcW w:w="3974" w:type="pct"/>
            <w:shd w:val="clear" w:color="auto" w:fill="auto"/>
          </w:tcPr>
          <w:p w14:paraId="47F7DBD3" w14:textId="77777777" w:rsidR="00583FA1" w:rsidRPr="005E3B43" w:rsidRDefault="00583FA1" w:rsidP="00763BCF">
            <w:pPr>
              <w:pStyle w:val="Tabletext"/>
            </w:pPr>
            <w:r w:rsidRPr="005E3B43">
              <w:t>Application fee under paragraph</w:t>
            </w:r>
            <w:r w:rsidR="004E6D00" w:rsidRPr="005E3B43">
              <w:t> </w:t>
            </w:r>
            <w:r w:rsidRPr="005E3B43">
              <w:t>23B(2)(b) of the Act for an RCMC2 (</w:t>
            </w:r>
            <w:r w:rsidR="00FB7FAA" w:rsidRPr="005E3B43">
              <w:t>section 2</w:t>
            </w:r>
            <w:r w:rsidRPr="005E3B43">
              <w:t>3) application</w:t>
            </w:r>
          </w:p>
        </w:tc>
        <w:tc>
          <w:tcPr>
            <w:tcW w:w="648" w:type="pct"/>
            <w:shd w:val="clear" w:color="auto" w:fill="auto"/>
          </w:tcPr>
          <w:p w14:paraId="0AB91A74" w14:textId="77777777" w:rsidR="00583FA1" w:rsidRPr="005E3B43" w:rsidRDefault="00F15178" w:rsidP="00763BCF">
            <w:pPr>
              <w:pStyle w:val="Tabletext"/>
              <w:jc w:val="right"/>
            </w:pPr>
            <w:r w:rsidRPr="005E3B43">
              <w:t>882</w:t>
            </w:r>
          </w:p>
        </w:tc>
      </w:tr>
      <w:tr w:rsidR="00583FA1" w:rsidRPr="005E3B43" w14:paraId="2B695FEA" w14:textId="77777777" w:rsidTr="00923C34">
        <w:trPr>
          <w:cantSplit/>
        </w:trPr>
        <w:tc>
          <w:tcPr>
            <w:tcW w:w="378" w:type="pct"/>
            <w:shd w:val="clear" w:color="auto" w:fill="auto"/>
          </w:tcPr>
          <w:p w14:paraId="643C1B24" w14:textId="77777777" w:rsidR="00583FA1" w:rsidRPr="005E3B43" w:rsidRDefault="00583FA1" w:rsidP="00763BCF">
            <w:pPr>
              <w:pStyle w:val="Tabletext"/>
            </w:pPr>
            <w:r w:rsidRPr="005E3B43">
              <w:lastRenderedPageBreak/>
              <w:t>7</w:t>
            </w:r>
          </w:p>
        </w:tc>
        <w:tc>
          <w:tcPr>
            <w:tcW w:w="3974" w:type="pct"/>
            <w:shd w:val="clear" w:color="auto" w:fill="auto"/>
          </w:tcPr>
          <w:p w14:paraId="70EA1482" w14:textId="77777777" w:rsidR="00583FA1" w:rsidRPr="005E3B43" w:rsidRDefault="00583FA1" w:rsidP="00763BCF">
            <w:pPr>
              <w:pStyle w:val="Tabletext"/>
            </w:pPr>
            <w:r w:rsidRPr="005E3B43">
              <w:t>Evaluation fee under sub</w:t>
            </w:r>
            <w:r w:rsidR="00FB7FAA" w:rsidRPr="005E3B43">
              <w:t>section 2</w:t>
            </w:r>
            <w:r w:rsidRPr="005E3B43">
              <w:t>4(1A) of the Act for an RCMC2 (</w:t>
            </w:r>
            <w:r w:rsidR="00FB7FAA" w:rsidRPr="005E3B43">
              <w:t>section 2</w:t>
            </w:r>
            <w:r w:rsidRPr="005E3B43">
              <w:t>3) application</w:t>
            </w:r>
          </w:p>
        </w:tc>
        <w:tc>
          <w:tcPr>
            <w:tcW w:w="648" w:type="pct"/>
            <w:shd w:val="clear" w:color="auto" w:fill="auto"/>
          </w:tcPr>
          <w:p w14:paraId="5F21B6A9" w14:textId="77777777" w:rsidR="00583FA1" w:rsidRPr="005E3B43" w:rsidRDefault="00F15178" w:rsidP="00763BCF">
            <w:pPr>
              <w:pStyle w:val="Tabletext"/>
              <w:jc w:val="right"/>
            </w:pPr>
            <w:r w:rsidRPr="005E3B43">
              <w:t>4,791</w:t>
            </w:r>
          </w:p>
        </w:tc>
      </w:tr>
      <w:tr w:rsidR="00583FA1" w:rsidRPr="005E3B43" w14:paraId="39781087" w14:textId="77777777" w:rsidTr="005A786D">
        <w:tc>
          <w:tcPr>
            <w:tcW w:w="378" w:type="pct"/>
            <w:shd w:val="clear" w:color="auto" w:fill="auto"/>
          </w:tcPr>
          <w:p w14:paraId="04916AC7" w14:textId="77777777" w:rsidR="00583FA1" w:rsidRPr="005E3B43" w:rsidRDefault="00583FA1" w:rsidP="00763BCF">
            <w:pPr>
              <w:pStyle w:val="Tabletext"/>
            </w:pPr>
            <w:r w:rsidRPr="005E3B43">
              <w:t>8</w:t>
            </w:r>
          </w:p>
        </w:tc>
        <w:tc>
          <w:tcPr>
            <w:tcW w:w="3974" w:type="pct"/>
            <w:shd w:val="clear" w:color="auto" w:fill="auto"/>
          </w:tcPr>
          <w:p w14:paraId="59BA14CE" w14:textId="77777777" w:rsidR="00583FA1" w:rsidRPr="005E3B43" w:rsidRDefault="00583FA1" w:rsidP="00763BCF">
            <w:pPr>
              <w:pStyle w:val="Tabletext"/>
            </w:pPr>
            <w:r w:rsidRPr="005E3B43">
              <w:t>Application fee under paragraph</w:t>
            </w:r>
            <w:r w:rsidR="004E6D00" w:rsidRPr="005E3B43">
              <w:t> </w:t>
            </w:r>
            <w:r w:rsidRPr="005E3B43">
              <w:t>23B(2)(b) of the Act for an RCMC3 (</w:t>
            </w:r>
            <w:r w:rsidR="00FB7FAA" w:rsidRPr="005E3B43">
              <w:t>section 2</w:t>
            </w:r>
            <w:r w:rsidRPr="005E3B43">
              <w:t>3) application</w:t>
            </w:r>
          </w:p>
        </w:tc>
        <w:tc>
          <w:tcPr>
            <w:tcW w:w="648" w:type="pct"/>
            <w:shd w:val="clear" w:color="auto" w:fill="auto"/>
          </w:tcPr>
          <w:p w14:paraId="52BD0BBC" w14:textId="77777777" w:rsidR="00583FA1" w:rsidRPr="005E3B43" w:rsidRDefault="00F15178" w:rsidP="00763BCF">
            <w:pPr>
              <w:pStyle w:val="Tabletext"/>
              <w:jc w:val="right"/>
            </w:pPr>
            <w:r w:rsidRPr="005E3B43">
              <w:t>950</w:t>
            </w:r>
          </w:p>
        </w:tc>
      </w:tr>
      <w:tr w:rsidR="00583FA1" w:rsidRPr="005E3B43" w14:paraId="42C1755C" w14:textId="77777777" w:rsidTr="005A786D">
        <w:tc>
          <w:tcPr>
            <w:tcW w:w="378" w:type="pct"/>
            <w:shd w:val="clear" w:color="auto" w:fill="auto"/>
          </w:tcPr>
          <w:p w14:paraId="4E1ECDBB" w14:textId="77777777" w:rsidR="00583FA1" w:rsidRPr="005E3B43" w:rsidRDefault="00583FA1" w:rsidP="00763BCF">
            <w:pPr>
              <w:pStyle w:val="Tabletext"/>
            </w:pPr>
            <w:r w:rsidRPr="005E3B43">
              <w:t>9</w:t>
            </w:r>
          </w:p>
        </w:tc>
        <w:tc>
          <w:tcPr>
            <w:tcW w:w="3974" w:type="pct"/>
            <w:shd w:val="clear" w:color="auto" w:fill="auto"/>
          </w:tcPr>
          <w:p w14:paraId="0EC74BBD" w14:textId="77777777" w:rsidR="00583FA1" w:rsidRPr="005E3B43" w:rsidRDefault="00583FA1" w:rsidP="00763BCF">
            <w:pPr>
              <w:pStyle w:val="Tabletext"/>
            </w:pPr>
            <w:r w:rsidRPr="005E3B43">
              <w:t>Evaluation fee under sub</w:t>
            </w:r>
            <w:r w:rsidR="00FB7FAA" w:rsidRPr="005E3B43">
              <w:t>section 2</w:t>
            </w:r>
            <w:r w:rsidRPr="005E3B43">
              <w:t>4(1A) of the Act for an RCMC3 (</w:t>
            </w:r>
            <w:r w:rsidR="00FB7FAA" w:rsidRPr="005E3B43">
              <w:t>section 2</w:t>
            </w:r>
            <w:r w:rsidRPr="005E3B43">
              <w:t>3) application</w:t>
            </w:r>
          </w:p>
        </w:tc>
        <w:tc>
          <w:tcPr>
            <w:tcW w:w="648" w:type="pct"/>
            <w:shd w:val="clear" w:color="auto" w:fill="auto"/>
          </w:tcPr>
          <w:p w14:paraId="0EB14C1C" w14:textId="77777777" w:rsidR="00583FA1" w:rsidRPr="005E3B43" w:rsidRDefault="00F15178" w:rsidP="00763BCF">
            <w:pPr>
              <w:pStyle w:val="Tabletext"/>
              <w:jc w:val="right"/>
            </w:pPr>
            <w:r w:rsidRPr="005E3B43">
              <w:t>7,504</w:t>
            </w:r>
          </w:p>
        </w:tc>
      </w:tr>
      <w:tr w:rsidR="00583FA1" w:rsidRPr="005E3B43" w14:paraId="542EF8B4" w14:textId="77777777" w:rsidTr="005A786D">
        <w:tc>
          <w:tcPr>
            <w:tcW w:w="378" w:type="pct"/>
            <w:shd w:val="clear" w:color="auto" w:fill="auto"/>
          </w:tcPr>
          <w:p w14:paraId="12C02430" w14:textId="77777777" w:rsidR="00583FA1" w:rsidRPr="005E3B43" w:rsidRDefault="00583FA1" w:rsidP="00763BCF">
            <w:pPr>
              <w:pStyle w:val="Tabletext"/>
            </w:pPr>
            <w:r w:rsidRPr="005E3B43">
              <w:t>10</w:t>
            </w:r>
          </w:p>
        </w:tc>
        <w:tc>
          <w:tcPr>
            <w:tcW w:w="3974" w:type="pct"/>
            <w:shd w:val="clear" w:color="auto" w:fill="auto"/>
          </w:tcPr>
          <w:p w14:paraId="70391023" w14:textId="77777777" w:rsidR="00583FA1" w:rsidRPr="005E3B43" w:rsidRDefault="00583FA1" w:rsidP="00763BCF">
            <w:pPr>
              <w:pStyle w:val="Tabletext"/>
            </w:pPr>
            <w:r w:rsidRPr="005E3B43">
              <w:t>Application fee under paragraph</w:t>
            </w:r>
            <w:r w:rsidR="004E6D00" w:rsidRPr="005E3B43">
              <w:t> </w:t>
            </w:r>
            <w:r w:rsidRPr="005E3B43">
              <w:t>23B(2)(b) of the Act for an RCMC4 (</w:t>
            </w:r>
            <w:r w:rsidR="00FB7FAA" w:rsidRPr="005E3B43">
              <w:t>section 2</w:t>
            </w:r>
            <w:r w:rsidRPr="005E3B43">
              <w:t>3) application</w:t>
            </w:r>
          </w:p>
        </w:tc>
        <w:tc>
          <w:tcPr>
            <w:tcW w:w="648" w:type="pct"/>
            <w:shd w:val="clear" w:color="auto" w:fill="auto"/>
          </w:tcPr>
          <w:p w14:paraId="582D1296" w14:textId="77777777" w:rsidR="00583FA1" w:rsidRPr="005E3B43" w:rsidRDefault="009178AD" w:rsidP="00763BCF">
            <w:pPr>
              <w:pStyle w:val="Tabletext"/>
              <w:jc w:val="right"/>
            </w:pPr>
            <w:r w:rsidRPr="005E3B43">
              <w:t>972</w:t>
            </w:r>
          </w:p>
        </w:tc>
      </w:tr>
      <w:tr w:rsidR="00583FA1" w:rsidRPr="005E3B43" w14:paraId="405426FB" w14:textId="77777777" w:rsidTr="005A786D">
        <w:tc>
          <w:tcPr>
            <w:tcW w:w="378" w:type="pct"/>
            <w:shd w:val="clear" w:color="auto" w:fill="auto"/>
          </w:tcPr>
          <w:p w14:paraId="29080708" w14:textId="77777777" w:rsidR="00583FA1" w:rsidRPr="005E3B43" w:rsidRDefault="00583FA1" w:rsidP="00763BCF">
            <w:pPr>
              <w:pStyle w:val="Tabletext"/>
            </w:pPr>
            <w:r w:rsidRPr="005E3B43">
              <w:t>11</w:t>
            </w:r>
          </w:p>
        </w:tc>
        <w:tc>
          <w:tcPr>
            <w:tcW w:w="3974" w:type="pct"/>
            <w:shd w:val="clear" w:color="auto" w:fill="auto"/>
          </w:tcPr>
          <w:p w14:paraId="34027820" w14:textId="77777777" w:rsidR="00583FA1" w:rsidRPr="005E3B43" w:rsidRDefault="00583FA1" w:rsidP="00763BCF">
            <w:pPr>
              <w:pStyle w:val="Tabletext"/>
            </w:pPr>
            <w:r w:rsidRPr="005E3B43">
              <w:t>Evaluation fee under sub</w:t>
            </w:r>
            <w:r w:rsidR="00FB7FAA" w:rsidRPr="005E3B43">
              <w:t>section 2</w:t>
            </w:r>
            <w:r w:rsidRPr="005E3B43">
              <w:t>4(1A) of the Act for an RCMC4 (</w:t>
            </w:r>
            <w:r w:rsidR="00FB7FAA" w:rsidRPr="005E3B43">
              <w:t>section 2</w:t>
            </w:r>
            <w:r w:rsidRPr="005E3B43">
              <w:t>3) application</w:t>
            </w:r>
          </w:p>
        </w:tc>
        <w:tc>
          <w:tcPr>
            <w:tcW w:w="648" w:type="pct"/>
            <w:shd w:val="clear" w:color="auto" w:fill="auto"/>
          </w:tcPr>
          <w:p w14:paraId="5DC742A2" w14:textId="77777777" w:rsidR="00583FA1" w:rsidRPr="005E3B43" w:rsidRDefault="009178AD" w:rsidP="00763BCF">
            <w:pPr>
              <w:pStyle w:val="Tabletext"/>
              <w:jc w:val="right"/>
            </w:pPr>
            <w:r w:rsidRPr="005E3B43">
              <w:t>11,086</w:t>
            </w:r>
          </w:p>
        </w:tc>
      </w:tr>
      <w:tr w:rsidR="00583FA1" w:rsidRPr="005E3B43" w14:paraId="016828AB" w14:textId="77777777" w:rsidTr="005A786D">
        <w:tc>
          <w:tcPr>
            <w:tcW w:w="378" w:type="pct"/>
            <w:shd w:val="clear" w:color="auto" w:fill="auto"/>
          </w:tcPr>
          <w:p w14:paraId="776834C3" w14:textId="77777777" w:rsidR="00583FA1" w:rsidRPr="005E3B43" w:rsidRDefault="00583FA1" w:rsidP="00763BCF">
            <w:pPr>
              <w:pStyle w:val="Tabletext"/>
            </w:pPr>
            <w:r w:rsidRPr="005E3B43">
              <w:t>12</w:t>
            </w:r>
          </w:p>
        </w:tc>
        <w:tc>
          <w:tcPr>
            <w:tcW w:w="3974" w:type="pct"/>
            <w:shd w:val="clear" w:color="auto" w:fill="auto"/>
          </w:tcPr>
          <w:p w14:paraId="73BD04EA" w14:textId="77777777" w:rsidR="00583FA1" w:rsidRPr="005E3B43" w:rsidRDefault="00583FA1" w:rsidP="00763BCF">
            <w:pPr>
              <w:pStyle w:val="Tabletext"/>
            </w:pPr>
            <w:r w:rsidRPr="005E3B43">
              <w:t>Application fee under paragraph</w:t>
            </w:r>
            <w:r w:rsidR="004E6D00" w:rsidRPr="005E3B43">
              <w:t> </w:t>
            </w:r>
            <w:r w:rsidRPr="005E3B43">
              <w:t>23B(2)(b) of the Act for an RCM1 application</w:t>
            </w:r>
          </w:p>
        </w:tc>
        <w:tc>
          <w:tcPr>
            <w:tcW w:w="648" w:type="pct"/>
            <w:shd w:val="clear" w:color="auto" w:fill="auto"/>
          </w:tcPr>
          <w:p w14:paraId="35726A63" w14:textId="77777777" w:rsidR="00583FA1" w:rsidRPr="005E3B43" w:rsidRDefault="009178AD" w:rsidP="00763BCF">
            <w:pPr>
              <w:pStyle w:val="Tabletext"/>
              <w:jc w:val="right"/>
            </w:pPr>
            <w:r w:rsidRPr="005E3B43">
              <w:t>644</w:t>
            </w:r>
          </w:p>
        </w:tc>
      </w:tr>
      <w:tr w:rsidR="00583FA1" w:rsidRPr="005E3B43" w14:paraId="7C41730B" w14:textId="77777777" w:rsidTr="005A786D">
        <w:tc>
          <w:tcPr>
            <w:tcW w:w="378" w:type="pct"/>
            <w:shd w:val="clear" w:color="auto" w:fill="auto"/>
          </w:tcPr>
          <w:p w14:paraId="13ECCD4A" w14:textId="77777777" w:rsidR="00583FA1" w:rsidRPr="005E3B43" w:rsidRDefault="00583FA1" w:rsidP="00763BCF">
            <w:pPr>
              <w:pStyle w:val="Tabletext"/>
            </w:pPr>
            <w:r w:rsidRPr="005E3B43">
              <w:t>13</w:t>
            </w:r>
          </w:p>
        </w:tc>
        <w:tc>
          <w:tcPr>
            <w:tcW w:w="3974" w:type="pct"/>
            <w:shd w:val="clear" w:color="auto" w:fill="auto"/>
          </w:tcPr>
          <w:p w14:paraId="7E8C46F4" w14:textId="77777777" w:rsidR="00583FA1" w:rsidRPr="005E3B43" w:rsidRDefault="00583FA1" w:rsidP="00763BCF">
            <w:pPr>
              <w:pStyle w:val="Tabletext"/>
            </w:pPr>
            <w:r w:rsidRPr="005E3B43">
              <w:t>Evaluation fee under sub</w:t>
            </w:r>
            <w:r w:rsidR="00FB7FAA" w:rsidRPr="005E3B43">
              <w:t>section 2</w:t>
            </w:r>
            <w:r w:rsidRPr="005E3B43">
              <w:t>4(1A) of the Act for a RCM1 application</w:t>
            </w:r>
          </w:p>
        </w:tc>
        <w:tc>
          <w:tcPr>
            <w:tcW w:w="648" w:type="pct"/>
            <w:shd w:val="clear" w:color="auto" w:fill="auto"/>
          </w:tcPr>
          <w:p w14:paraId="668AF763" w14:textId="77777777" w:rsidR="00583FA1" w:rsidRPr="005E3B43" w:rsidRDefault="009178AD" w:rsidP="00763BCF">
            <w:pPr>
              <w:pStyle w:val="Tabletext"/>
              <w:jc w:val="right"/>
            </w:pPr>
            <w:r w:rsidRPr="005E3B43">
              <w:t>3,695</w:t>
            </w:r>
          </w:p>
        </w:tc>
      </w:tr>
      <w:tr w:rsidR="00583FA1" w:rsidRPr="005E3B43" w14:paraId="4D94CD56" w14:textId="77777777" w:rsidTr="005A786D">
        <w:tc>
          <w:tcPr>
            <w:tcW w:w="378" w:type="pct"/>
            <w:shd w:val="clear" w:color="auto" w:fill="auto"/>
          </w:tcPr>
          <w:p w14:paraId="75E76447" w14:textId="77777777" w:rsidR="00583FA1" w:rsidRPr="005E3B43" w:rsidRDefault="00583FA1" w:rsidP="00763BCF">
            <w:pPr>
              <w:pStyle w:val="Tabletext"/>
            </w:pPr>
            <w:r w:rsidRPr="005E3B43">
              <w:t>14</w:t>
            </w:r>
          </w:p>
        </w:tc>
        <w:tc>
          <w:tcPr>
            <w:tcW w:w="3974" w:type="pct"/>
            <w:shd w:val="clear" w:color="auto" w:fill="auto"/>
          </w:tcPr>
          <w:p w14:paraId="48FEFE97" w14:textId="77777777" w:rsidR="00583FA1" w:rsidRPr="005E3B43" w:rsidRDefault="00583FA1" w:rsidP="00763BCF">
            <w:pPr>
              <w:pStyle w:val="Tabletext"/>
            </w:pPr>
            <w:r w:rsidRPr="005E3B43">
              <w:t>Application fee under paragraph</w:t>
            </w:r>
            <w:r w:rsidR="004E6D00" w:rsidRPr="005E3B43">
              <w:t> </w:t>
            </w:r>
            <w:r w:rsidRPr="005E3B43">
              <w:t>23B(2)(b) of the Act for an RCM2 application</w:t>
            </w:r>
          </w:p>
        </w:tc>
        <w:tc>
          <w:tcPr>
            <w:tcW w:w="648" w:type="pct"/>
            <w:shd w:val="clear" w:color="auto" w:fill="auto"/>
          </w:tcPr>
          <w:p w14:paraId="7979B800" w14:textId="77777777" w:rsidR="00583FA1" w:rsidRPr="005E3B43" w:rsidRDefault="009178AD" w:rsidP="00763BCF">
            <w:pPr>
              <w:pStyle w:val="Tabletext"/>
              <w:jc w:val="right"/>
            </w:pPr>
            <w:r w:rsidRPr="005E3B43">
              <w:t>2,316</w:t>
            </w:r>
          </w:p>
        </w:tc>
      </w:tr>
      <w:tr w:rsidR="00583FA1" w:rsidRPr="005E3B43" w14:paraId="1FD4610E" w14:textId="77777777" w:rsidTr="005A786D">
        <w:tc>
          <w:tcPr>
            <w:tcW w:w="378" w:type="pct"/>
            <w:shd w:val="clear" w:color="auto" w:fill="auto"/>
          </w:tcPr>
          <w:p w14:paraId="60964777" w14:textId="77777777" w:rsidR="00583FA1" w:rsidRPr="005E3B43" w:rsidRDefault="00583FA1" w:rsidP="00763BCF">
            <w:pPr>
              <w:pStyle w:val="Tabletext"/>
            </w:pPr>
            <w:r w:rsidRPr="005E3B43">
              <w:t>15</w:t>
            </w:r>
          </w:p>
        </w:tc>
        <w:tc>
          <w:tcPr>
            <w:tcW w:w="3974" w:type="pct"/>
            <w:shd w:val="clear" w:color="auto" w:fill="auto"/>
          </w:tcPr>
          <w:p w14:paraId="0040774D" w14:textId="77777777" w:rsidR="00583FA1" w:rsidRPr="005E3B43" w:rsidRDefault="00583FA1" w:rsidP="00763BCF">
            <w:pPr>
              <w:pStyle w:val="Tabletext"/>
            </w:pPr>
            <w:r w:rsidRPr="005E3B43">
              <w:t>Evaluation fee under sub</w:t>
            </w:r>
            <w:r w:rsidR="00FB7FAA" w:rsidRPr="005E3B43">
              <w:t>section 2</w:t>
            </w:r>
            <w:r w:rsidRPr="005E3B43">
              <w:t>4(1A) of the Act for a RCM2 application</w:t>
            </w:r>
          </w:p>
        </w:tc>
        <w:tc>
          <w:tcPr>
            <w:tcW w:w="648" w:type="pct"/>
            <w:shd w:val="clear" w:color="auto" w:fill="auto"/>
          </w:tcPr>
          <w:p w14:paraId="442D7AFF" w14:textId="77777777" w:rsidR="00583FA1" w:rsidRPr="005E3B43" w:rsidRDefault="009178AD" w:rsidP="00763BCF">
            <w:pPr>
              <w:pStyle w:val="Tabletext"/>
              <w:jc w:val="right"/>
            </w:pPr>
            <w:r w:rsidRPr="005E3B43">
              <w:t>24,748</w:t>
            </w:r>
          </w:p>
        </w:tc>
      </w:tr>
      <w:tr w:rsidR="00583FA1" w:rsidRPr="005E3B43" w14:paraId="07E3F539" w14:textId="77777777" w:rsidTr="005A786D">
        <w:tc>
          <w:tcPr>
            <w:tcW w:w="378" w:type="pct"/>
            <w:shd w:val="clear" w:color="auto" w:fill="auto"/>
          </w:tcPr>
          <w:p w14:paraId="319C24D6" w14:textId="77777777" w:rsidR="00583FA1" w:rsidRPr="005E3B43" w:rsidRDefault="00583FA1" w:rsidP="00763BCF">
            <w:pPr>
              <w:pStyle w:val="Tabletext"/>
            </w:pPr>
            <w:r w:rsidRPr="005E3B43">
              <w:t>16</w:t>
            </w:r>
          </w:p>
        </w:tc>
        <w:tc>
          <w:tcPr>
            <w:tcW w:w="3974" w:type="pct"/>
            <w:shd w:val="clear" w:color="auto" w:fill="auto"/>
          </w:tcPr>
          <w:p w14:paraId="4E3DFBE9" w14:textId="77777777" w:rsidR="00583FA1" w:rsidRPr="005E3B43" w:rsidRDefault="00583FA1" w:rsidP="00763BCF">
            <w:pPr>
              <w:pStyle w:val="Tabletext"/>
            </w:pPr>
            <w:r w:rsidRPr="005E3B43">
              <w:t>Application fee under paragraph</w:t>
            </w:r>
            <w:r w:rsidR="004E6D00" w:rsidRPr="005E3B43">
              <w:t> </w:t>
            </w:r>
            <w:r w:rsidRPr="005E3B43">
              <w:t>23B(2)(b) of the Act for an RCM3 application</w:t>
            </w:r>
          </w:p>
        </w:tc>
        <w:tc>
          <w:tcPr>
            <w:tcW w:w="648" w:type="pct"/>
            <w:shd w:val="clear" w:color="auto" w:fill="auto"/>
          </w:tcPr>
          <w:p w14:paraId="3AF5EF23" w14:textId="77777777" w:rsidR="00583FA1" w:rsidRPr="005E3B43" w:rsidRDefault="009178AD" w:rsidP="00763BCF">
            <w:pPr>
              <w:pStyle w:val="Tabletext"/>
              <w:jc w:val="right"/>
            </w:pPr>
            <w:r w:rsidRPr="005E3B43">
              <w:t>2,316</w:t>
            </w:r>
          </w:p>
        </w:tc>
      </w:tr>
      <w:tr w:rsidR="00583FA1" w:rsidRPr="005E3B43" w14:paraId="24FA463B" w14:textId="77777777" w:rsidTr="005A786D">
        <w:tc>
          <w:tcPr>
            <w:tcW w:w="378" w:type="pct"/>
            <w:shd w:val="clear" w:color="auto" w:fill="auto"/>
          </w:tcPr>
          <w:p w14:paraId="4F434793" w14:textId="77777777" w:rsidR="00583FA1" w:rsidRPr="005E3B43" w:rsidRDefault="00583FA1" w:rsidP="00763BCF">
            <w:pPr>
              <w:pStyle w:val="Tabletext"/>
            </w:pPr>
            <w:r w:rsidRPr="005E3B43">
              <w:t>17</w:t>
            </w:r>
          </w:p>
        </w:tc>
        <w:tc>
          <w:tcPr>
            <w:tcW w:w="3974" w:type="pct"/>
            <w:shd w:val="clear" w:color="auto" w:fill="auto"/>
          </w:tcPr>
          <w:p w14:paraId="631DB142" w14:textId="77777777" w:rsidR="00583FA1" w:rsidRPr="005E3B43" w:rsidRDefault="00583FA1" w:rsidP="00763BCF">
            <w:pPr>
              <w:pStyle w:val="Tabletext"/>
            </w:pPr>
            <w:r w:rsidRPr="005E3B43">
              <w:t>Evaluation fee under sub</w:t>
            </w:r>
            <w:r w:rsidR="00FB7FAA" w:rsidRPr="005E3B43">
              <w:t>section 2</w:t>
            </w:r>
            <w:r w:rsidRPr="005E3B43">
              <w:t>4(1A) of the Act for a RCM3 application</w:t>
            </w:r>
          </w:p>
        </w:tc>
        <w:tc>
          <w:tcPr>
            <w:tcW w:w="648" w:type="pct"/>
            <w:shd w:val="clear" w:color="auto" w:fill="auto"/>
          </w:tcPr>
          <w:p w14:paraId="05262F89" w14:textId="77777777" w:rsidR="00583FA1" w:rsidRPr="005E3B43" w:rsidRDefault="009178AD" w:rsidP="00763BCF">
            <w:pPr>
              <w:pStyle w:val="Tabletext"/>
              <w:jc w:val="right"/>
            </w:pPr>
            <w:r w:rsidRPr="005E3B43">
              <w:t>24,748</w:t>
            </w:r>
          </w:p>
        </w:tc>
      </w:tr>
      <w:tr w:rsidR="00583FA1" w:rsidRPr="005E3B43" w14:paraId="104F84A7" w14:textId="77777777" w:rsidTr="005A786D">
        <w:tc>
          <w:tcPr>
            <w:tcW w:w="378" w:type="pct"/>
            <w:shd w:val="clear" w:color="auto" w:fill="auto"/>
          </w:tcPr>
          <w:p w14:paraId="30650666" w14:textId="77777777" w:rsidR="00583FA1" w:rsidRPr="005E3B43" w:rsidRDefault="00583FA1" w:rsidP="00763BCF">
            <w:pPr>
              <w:pStyle w:val="Tabletext"/>
            </w:pPr>
            <w:r w:rsidRPr="005E3B43">
              <w:t>18</w:t>
            </w:r>
          </w:p>
        </w:tc>
        <w:tc>
          <w:tcPr>
            <w:tcW w:w="3974" w:type="pct"/>
            <w:shd w:val="clear" w:color="auto" w:fill="auto"/>
          </w:tcPr>
          <w:p w14:paraId="2EB33D0A" w14:textId="77777777" w:rsidR="00583FA1" w:rsidRPr="005E3B43" w:rsidRDefault="00583FA1" w:rsidP="00763BCF">
            <w:pPr>
              <w:pStyle w:val="Tabletext"/>
            </w:pPr>
            <w:r w:rsidRPr="005E3B43">
              <w:t>Application fee under paragraph</w:t>
            </w:r>
            <w:r w:rsidR="004E6D00" w:rsidRPr="005E3B43">
              <w:t> </w:t>
            </w:r>
            <w:r w:rsidRPr="005E3B43">
              <w:t>23B(2)(b) of the Act for an RCM4 application</w:t>
            </w:r>
          </w:p>
        </w:tc>
        <w:tc>
          <w:tcPr>
            <w:tcW w:w="648" w:type="pct"/>
            <w:shd w:val="clear" w:color="auto" w:fill="auto"/>
          </w:tcPr>
          <w:p w14:paraId="2D397523" w14:textId="77777777" w:rsidR="00583FA1" w:rsidRPr="005E3B43" w:rsidRDefault="009178AD" w:rsidP="00763BCF">
            <w:pPr>
              <w:pStyle w:val="Tabletext"/>
              <w:jc w:val="right"/>
            </w:pPr>
            <w:r w:rsidRPr="005E3B43">
              <w:t>3,062</w:t>
            </w:r>
          </w:p>
        </w:tc>
      </w:tr>
      <w:tr w:rsidR="00583FA1" w:rsidRPr="005E3B43" w14:paraId="078E15AE" w14:textId="77777777" w:rsidTr="005A786D">
        <w:tc>
          <w:tcPr>
            <w:tcW w:w="378" w:type="pct"/>
            <w:shd w:val="clear" w:color="auto" w:fill="auto"/>
          </w:tcPr>
          <w:p w14:paraId="55A0B257" w14:textId="77777777" w:rsidR="00583FA1" w:rsidRPr="005E3B43" w:rsidRDefault="00583FA1" w:rsidP="00763BCF">
            <w:pPr>
              <w:pStyle w:val="Tabletext"/>
            </w:pPr>
            <w:r w:rsidRPr="005E3B43">
              <w:t>19</w:t>
            </w:r>
          </w:p>
        </w:tc>
        <w:tc>
          <w:tcPr>
            <w:tcW w:w="3974" w:type="pct"/>
            <w:shd w:val="clear" w:color="auto" w:fill="auto"/>
          </w:tcPr>
          <w:p w14:paraId="10E68BE0" w14:textId="77777777" w:rsidR="00583FA1" w:rsidRPr="005E3B43" w:rsidRDefault="00583FA1" w:rsidP="00763BCF">
            <w:pPr>
              <w:pStyle w:val="Tabletext"/>
            </w:pPr>
            <w:r w:rsidRPr="005E3B43">
              <w:t>Evaluation fee under sub</w:t>
            </w:r>
            <w:r w:rsidR="00FB7FAA" w:rsidRPr="005E3B43">
              <w:t>section 2</w:t>
            </w:r>
            <w:r w:rsidRPr="005E3B43">
              <w:t>4(1A) of the Act for a RCM4 application</w:t>
            </w:r>
          </w:p>
        </w:tc>
        <w:tc>
          <w:tcPr>
            <w:tcW w:w="648" w:type="pct"/>
            <w:shd w:val="clear" w:color="auto" w:fill="auto"/>
          </w:tcPr>
          <w:p w14:paraId="7790C2CC" w14:textId="77777777" w:rsidR="00583FA1" w:rsidRPr="005E3B43" w:rsidRDefault="009178AD" w:rsidP="00763BCF">
            <w:pPr>
              <w:pStyle w:val="Tabletext"/>
              <w:jc w:val="right"/>
            </w:pPr>
            <w:r w:rsidRPr="005E3B43">
              <w:t>33,677</w:t>
            </w:r>
          </w:p>
        </w:tc>
      </w:tr>
      <w:tr w:rsidR="00583FA1" w:rsidRPr="005E3B43" w14:paraId="60CF74E0" w14:textId="77777777" w:rsidTr="005A786D">
        <w:tc>
          <w:tcPr>
            <w:tcW w:w="378" w:type="pct"/>
            <w:shd w:val="clear" w:color="auto" w:fill="auto"/>
          </w:tcPr>
          <w:p w14:paraId="70E27A91" w14:textId="77777777" w:rsidR="00583FA1" w:rsidRPr="005E3B43" w:rsidRDefault="00583FA1" w:rsidP="00763BCF">
            <w:pPr>
              <w:pStyle w:val="Tabletext"/>
            </w:pPr>
            <w:r w:rsidRPr="005E3B43">
              <w:t>20</w:t>
            </w:r>
          </w:p>
        </w:tc>
        <w:tc>
          <w:tcPr>
            <w:tcW w:w="3974" w:type="pct"/>
            <w:shd w:val="clear" w:color="auto" w:fill="auto"/>
          </w:tcPr>
          <w:p w14:paraId="3B84FC05" w14:textId="77777777" w:rsidR="00583FA1" w:rsidRPr="005E3B43" w:rsidRDefault="00583FA1" w:rsidP="00763BCF">
            <w:pPr>
              <w:pStyle w:val="Tabletext"/>
            </w:pPr>
            <w:r w:rsidRPr="005E3B43">
              <w:t>Application fee under paragraph</w:t>
            </w:r>
            <w:r w:rsidR="004E6D00" w:rsidRPr="005E3B43">
              <w:t> </w:t>
            </w:r>
            <w:r w:rsidRPr="005E3B43">
              <w:t>23B(2)(b) of the Act for an RCM5 application</w:t>
            </w:r>
          </w:p>
        </w:tc>
        <w:tc>
          <w:tcPr>
            <w:tcW w:w="648" w:type="pct"/>
            <w:shd w:val="clear" w:color="auto" w:fill="auto"/>
          </w:tcPr>
          <w:p w14:paraId="77C522A8" w14:textId="77777777" w:rsidR="00583FA1" w:rsidRPr="005E3B43" w:rsidRDefault="009178AD" w:rsidP="00763BCF">
            <w:pPr>
              <w:pStyle w:val="Tabletext"/>
              <w:jc w:val="right"/>
            </w:pPr>
            <w:r w:rsidRPr="005E3B43">
              <w:t>3,356</w:t>
            </w:r>
          </w:p>
        </w:tc>
      </w:tr>
      <w:tr w:rsidR="00583FA1" w:rsidRPr="005E3B43" w14:paraId="7D555DAE" w14:textId="77777777" w:rsidTr="005A786D">
        <w:tc>
          <w:tcPr>
            <w:tcW w:w="378" w:type="pct"/>
            <w:shd w:val="clear" w:color="auto" w:fill="auto"/>
          </w:tcPr>
          <w:p w14:paraId="11C39A4E" w14:textId="77777777" w:rsidR="00583FA1" w:rsidRPr="005E3B43" w:rsidRDefault="00583FA1" w:rsidP="00763BCF">
            <w:pPr>
              <w:pStyle w:val="Tabletext"/>
            </w:pPr>
            <w:r w:rsidRPr="005E3B43">
              <w:t>21</w:t>
            </w:r>
          </w:p>
        </w:tc>
        <w:tc>
          <w:tcPr>
            <w:tcW w:w="3974" w:type="pct"/>
            <w:shd w:val="clear" w:color="auto" w:fill="auto"/>
          </w:tcPr>
          <w:p w14:paraId="18036F84" w14:textId="77777777" w:rsidR="00583FA1" w:rsidRPr="005E3B43" w:rsidRDefault="00583FA1" w:rsidP="00763BCF">
            <w:pPr>
              <w:pStyle w:val="Tabletext"/>
            </w:pPr>
            <w:r w:rsidRPr="005E3B43">
              <w:t>Evaluation fee under sub</w:t>
            </w:r>
            <w:r w:rsidR="00FB7FAA" w:rsidRPr="005E3B43">
              <w:t>section 2</w:t>
            </w:r>
            <w:r w:rsidRPr="005E3B43">
              <w:t>4(1A) of the Act for a RCM5 application</w:t>
            </w:r>
          </w:p>
        </w:tc>
        <w:tc>
          <w:tcPr>
            <w:tcW w:w="648" w:type="pct"/>
            <w:shd w:val="clear" w:color="auto" w:fill="auto"/>
          </w:tcPr>
          <w:p w14:paraId="56D9D1E0" w14:textId="77777777" w:rsidR="00583FA1" w:rsidRPr="005E3B43" w:rsidRDefault="009178AD" w:rsidP="00763BCF">
            <w:pPr>
              <w:pStyle w:val="Tabletext"/>
              <w:jc w:val="right"/>
            </w:pPr>
            <w:r w:rsidRPr="005E3B43">
              <w:t>42,943</w:t>
            </w:r>
          </w:p>
        </w:tc>
      </w:tr>
      <w:tr w:rsidR="00583FA1" w:rsidRPr="005E3B43" w14:paraId="6603486D" w14:textId="77777777" w:rsidTr="005A786D">
        <w:tc>
          <w:tcPr>
            <w:tcW w:w="378" w:type="pct"/>
            <w:shd w:val="clear" w:color="auto" w:fill="auto"/>
          </w:tcPr>
          <w:p w14:paraId="4EF7DE36" w14:textId="77777777" w:rsidR="00583FA1" w:rsidRPr="005E3B43" w:rsidRDefault="00583FA1" w:rsidP="00763BCF">
            <w:pPr>
              <w:pStyle w:val="Tabletext"/>
            </w:pPr>
            <w:r w:rsidRPr="005E3B43">
              <w:t>22</w:t>
            </w:r>
          </w:p>
        </w:tc>
        <w:tc>
          <w:tcPr>
            <w:tcW w:w="3974" w:type="pct"/>
            <w:shd w:val="clear" w:color="auto" w:fill="auto"/>
          </w:tcPr>
          <w:p w14:paraId="16149D27" w14:textId="77777777" w:rsidR="00583FA1" w:rsidRPr="005E3B43" w:rsidRDefault="00583FA1" w:rsidP="00763BCF">
            <w:pPr>
              <w:pStyle w:val="Tabletext"/>
            </w:pPr>
            <w:r w:rsidRPr="005E3B43">
              <w:t>Application fee under paragraph</w:t>
            </w:r>
            <w:r w:rsidR="004E6D00" w:rsidRPr="005E3B43">
              <w:t> </w:t>
            </w:r>
            <w:r w:rsidRPr="005E3B43">
              <w:t>23B(2)(b) of the Act for an L(A)1 application</w:t>
            </w:r>
          </w:p>
        </w:tc>
        <w:tc>
          <w:tcPr>
            <w:tcW w:w="648" w:type="pct"/>
            <w:shd w:val="clear" w:color="auto" w:fill="auto"/>
          </w:tcPr>
          <w:p w14:paraId="2FDDAB59" w14:textId="77777777" w:rsidR="00583FA1" w:rsidRPr="005E3B43" w:rsidRDefault="00935C27" w:rsidP="00763BCF">
            <w:pPr>
              <w:pStyle w:val="Tabletext"/>
              <w:jc w:val="right"/>
            </w:pPr>
            <w:r w:rsidRPr="005E3B43">
              <w:t>520</w:t>
            </w:r>
          </w:p>
        </w:tc>
      </w:tr>
      <w:tr w:rsidR="00583FA1" w:rsidRPr="005E3B43" w14:paraId="04D6EE6A" w14:textId="77777777" w:rsidTr="005A786D">
        <w:tc>
          <w:tcPr>
            <w:tcW w:w="378" w:type="pct"/>
            <w:shd w:val="clear" w:color="auto" w:fill="auto"/>
          </w:tcPr>
          <w:p w14:paraId="26FE684C" w14:textId="77777777" w:rsidR="00583FA1" w:rsidRPr="005E3B43" w:rsidRDefault="00583FA1" w:rsidP="00763BCF">
            <w:pPr>
              <w:pStyle w:val="Tabletext"/>
            </w:pPr>
            <w:r w:rsidRPr="005E3B43">
              <w:t>23</w:t>
            </w:r>
          </w:p>
        </w:tc>
        <w:tc>
          <w:tcPr>
            <w:tcW w:w="3974" w:type="pct"/>
            <w:shd w:val="clear" w:color="auto" w:fill="auto"/>
          </w:tcPr>
          <w:p w14:paraId="08F3F844" w14:textId="77777777" w:rsidR="00583FA1" w:rsidRPr="005E3B43" w:rsidRDefault="00583FA1" w:rsidP="00763BCF">
            <w:pPr>
              <w:pStyle w:val="Tabletext"/>
            </w:pPr>
            <w:r w:rsidRPr="005E3B43">
              <w:t>Evaluation fee under sub</w:t>
            </w:r>
            <w:r w:rsidR="00FB7FAA" w:rsidRPr="005E3B43">
              <w:t>section 2</w:t>
            </w:r>
            <w:r w:rsidRPr="005E3B43">
              <w:t>6AC(2) of the Act for an L(A)1 application</w:t>
            </w:r>
          </w:p>
        </w:tc>
        <w:tc>
          <w:tcPr>
            <w:tcW w:w="648" w:type="pct"/>
            <w:shd w:val="clear" w:color="auto" w:fill="auto"/>
          </w:tcPr>
          <w:p w14:paraId="1287F537" w14:textId="77777777" w:rsidR="00583FA1" w:rsidRPr="005E3B43" w:rsidRDefault="00935C27" w:rsidP="00763BCF">
            <w:pPr>
              <w:pStyle w:val="Tabletext"/>
              <w:jc w:val="right"/>
            </w:pPr>
            <w:r w:rsidRPr="005E3B43">
              <w:t>1,978</w:t>
            </w:r>
          </w:p>
        </w:tc>
      </w:tr>
      <w:tr w:rsidR="00583FA1" w:rsidRPr="005E3B43" w14:paraId="2A8FE54B" w14:textId="77777777" w:rsidTr="005A786D">
        <w:tc>
          <w:tcPr>
            <w:tcW w:w="378" w:type="pct"/>
            <w:shd w:val="clear" w:color="auto" w:fill="auto"/>
          </w:tcPr>
          <w:p w14:paraId="44850B29" w14:textId="77777777" w:rsidR="00583FA1" w:rsidRPr="005E3B43" w:rsidRDefault="00583FA1" w:rsidP="00763BCF">
            <w:pPr>
              <w:pStyle w:val="Tabletext"/>
            </w:pPr>
            <w:r w:rsidRPr="005E3B43">
              <w:t>24</w:t>
            </w:r>
          </w:p>
        </w:tc>
        <w:tc>
          <w:tcPr>
            <w:tcW w:w="3974" w:type="pct"/>
            <w:shd w:val="clear" w:color="auto" w:fill="auto"/>
          </w:tcPr>
          <w:p w14:paraId="3F09F5A4" w14:textId="77777777" w:rsidR="00583FA1" w:rsidRPr="005E3B43" w:rsidRDefault="00583FA1" w:rsidP="00763BCF">
            <w:pPr>
              <w:pStyle w:val="Tabletext"/>
            </w:pPr>
            <w:r w:rsidRPr="005E3B43">
              <w:t>Application fee under paragraph</w:t>
            </w:r>
            <w:r w:rsidR="004E6D00" w:rsidRPr="005E3B43">
              <w:t> </w:t>
            </w:r>
            <w:r w:rsidRPr="005E3B43">
              <w:t>23B(2)(b) of the Act for an L(A)2 application</w:t>
            </w:r>
          </w:p>
        </w:tc>
        <w:tc>
          <w:tcPr>
            <w:tcW w:w="648" w:type="pct"/>
            <w:shd w:val="clear" w:color="auto" w:fill="auto"/>
          </w:tcPr>
          <w:p w14:paraId="7C2174EF" w14:textId="77777777" w:rsidR="00583FA1" w:rsidRPr="005E3B43" w:rsidRDefault="00935C27" w:rsidP="00763BCF">
            <w:pPr>
              <w:pStyle w:val="Tabletext"/>
              <w:jc w:val="right"/>
            </w:pPr>
            <w:r w:rsidRPr="005E3B43">
              <w:t>2,136</w:t>
            </w:r>
          </w:p>
        </w:tc>
      </w:tr>
      <w:tr w:rsidR="00583FA1" w:rsidRPr="005E3B43" w14:paraId="2B2CCF21" w14:textId="77777777" w:rsidTr="005A786D">
        <w:tc>
          <w:tcPr>
            <w:tcW w:w="378" w:type="pct"/>
            <w:shd w:val="clear" w:color="auto" w:fill="auto"/>
          </w:tcPr>
          <w:p w14:paraId="6D5C3A72" w14:textId="77777777" w:rsidR="00583FA1" w:rsidRPr="005E3B43" w:rsidRDefault="00583FA1" w:rsidP="00763BCF">
            <w:pPr>
              <w:pStyle w:val="Tabletext"/>
            </w:pPr>
            <w:r w:rsidRPr="005E3B43">
              <w:t>25</w:t>
            </w:r>
          </w:p>
        </w:tc>
        <w:tc>
          <w:tcPr>
            <w:tcW w:w="3974" w:type="pct"/>
            <w:shd w:val="clear" w:color="auto" w:fill="auto"/>
          </w:tcPr>
          <w:p w14:paraId="063B1D35" w14:textId="77777777" w:rsidR="00583FA1" w:rsidRPr="005E3B43" w:rsidRDefault="00583FA1" w:rsidP="00763BCF">
            <w:pPr>
              <w:pStyle w:val="Tabletext"/>
            </w:pPr>
            <w:r w:rsidRPr="005E3B43">
              <w:t>Evaluation fee under sub</w:t>
            </w:r>
            <w:r w:rsidR="00FB7FAA" w:rsidRPr="005E3B43">
              <w:t>section 2</w:t>
            </w:r>
            <w:r w:rsidRPr="005E3B43">
              <w:t>6AC(2) of the Act for an L(A)2 application</w:t>
            </w:r>
          </w:p>
        </w:tc>
        <w:tc>
          <w:tcPr>
            <w:tcW w:w="648" w:type="pct"/>
            <w:shd w:val="clear" w:color="auto" w:fill="auto"/>
          </w:tcPr>
          <w:p w14:paraId="24DC1C0C" w14:textId="77777777" w:rsidR="00583FA1" w:rsidRPr="005E3B43" w:rsidRDefault="00935C27" w:rsidP="00763BCF">
            <w:pPr>
              <w:pStyle w:val="Tabletext"/>
              <w:jc w:val="right"/>
            </w:pPr>
            <w:r w:rsidRPr="005E3B43">
              <w:t>16,387</w:t>
            </w:r>
          </w:p>
        </w:tc>
      </w:tr>
      <w:tr w:rsidR="00583FA1" w:rsidRPr="005E3B43" w14:paraId="009BF149" w14:textId="77777777" w:rsidTr="005A786D">
        <w:tc>
          <w:tcPr>
            <w:tcW w:w="378" w:type="pct"/>
            <w:shd w:val="clear" w:color="auto" w:fill="auto"/>
          </w:tcPr>
          <w:p w14:paraId="7112E580" w14:textId="77777777" w:rsidR="00583FA1" w:rsidRPr="005E3B43" w:rsidRDefault="00583FA1" w:rsidP="00763BCF">
            <w:pPr>
              <w:pStyle w:val="Tabletext"/>
            </w:pPr>
            <w:r w:rsidRPr="005E3B43">
              <w:t>26</w:t>
            </w:r>
          </w:p>
        </w:tc>
        <w:tc>
          <w:tcPr>
            <w:tcW w:w="3974" w:type="pct"/>
            <w:shd w:val="clear" w:color="auto" w:fill="auto"/>
          </w:tcPr>
          <w:p w14:paraId="7CFB4865" w14:textId="77777777" w:rsidR="00583FA1" w:rsidRPr="005E3B43" w:rsidRDefault="00583FA1" w:rsidP="00763BCF">
            <w:pPr>
              <w:pStyle w:val="Tabletext"/>
            </w:pPr>
            <w:r w:rsidRPr="005E3B43">
              <w:t>Application fee under paragraph</w:t>
            </w:r>
            <w:r w:rsidR="004E6D00" w:rsidRPr="005E3B43">
              <w:t> </w:t>
            </w:r>
            <w:r w:rsidRPr="005E3B43">
              <w:t>23B(2)(b) of the Act for an L(A)3 application</w:t>
            </w:r>
          </w:p>
        </w:tc>
        <w:tc>
          <w:tcPr>
            <w:tcW w:w="648" w:type="pct"/>
            <w:shd w:val="clear" w:color="auto" w:fill="auto"/>
          </w:tcPr>
          <w:p w14:paraId="4F155648" w14:textId="77777777" w:rsidR="00583FA1" w:rsidRPr="005E3B43" w:rsidRDefault="00E23492" w:rsidP="00763BCF">
            <w:pPr>
              <w:pStyle w:val="Tabletext"/>
              <w:jc w:val="right"/>
            </w:pPr>
            <w:r w:rsidRPr="005E3B43">
              <w:t>2,136</w:t>
            </w:r>
          </w:p>
        </w:tc>
      </w:tr>
      <w:tr w:rsidR="00583FA1" w:rsidRPr="005E3B43" w14:paraId="48CE941C" w14:textId="77777777" w:rsidTr="005A786D">
        <w:tc>
          <w:tcPr>
            <w:tcW w:w="378" w:type="pct"/>
            <w:shd w:val="clear" w:color="auto" w:fill="auto"/>
          </w:tcPr>
          <w:p w14:paraId="79842AEC" w14:textId="77777777" w:rsidR="00583FA1" w:rsidRPr="005E3B43" w:rsidRDefault="00583FA1" w:rsidP="00763BCF">
            <w:pPr>
              <w:pStyle w:val="Tabletext"/>
            </w:pPr>
            <w:r w:rsidRPr="005E3B43">
              <w:t>27</w:t>
            </w:r>
          </w:p>
        </w:tc>
        <w:tc>
          <w:tcPr>
            <w:tcW w:w="3974" w:type="pct"/>
            <w:shd w:val="clear" w:color="auto" w:fill="auto"/>
          </w:tcPr>
          <w:p w14:paraId="5E6FA2C9" w14:textId="77777777" w:rsidR="00583FA1" w:rsidRPr="005E3B43" w:rsidRDefault="00583FA1" w:rsidP="00763BCF">
            <w:pPr>
              <w:pStyle w:val="Tabletext"/>
            </w:pPr>
            <w:r w:rsidRPr="005E3B43">
              <w:t>Evaluation fee under sub</w:t>
            </w:r>
            <w:r w:rsidR="00FB7FAA" w:rsidRPr="005E3B43">
              <w:t>section 2</w:t>
            </w:r>
            <w:r w:rsidRPr="005E3B43">
              <w:t>6AC(2) of the Act for an L(A)3 application</w:t>
            </w:r>
          </w:p>
        </w:tc>
        <w:tc>
          <w:tcPr>
            <w:tcW w:w="648" w:type="pct"/>
            <w:shd w:val="clear" w:color="auto" w:fill="auto"/>
          </w:tcPr>
          <w:p w14:paraId="7BC4D28E" w14:textId="77777777" w:rsidR="00583FA1" w:rsidRPr="005E3B43" w:rsidRDefault="00E23492" w:rsidP="00763BCF">
            <w:pPr>
              <w:pStyle w:val="Tabletext"/>
              <w:jc w:val="right"/>
            </w:pPr>
            <w:r w:rsidRPr="005E3B43">
              <w:t>16,387</w:t>
            </w:r>
          </w:p>
        </w:tc>
      </w:tr>
      <w:tr w:rsidR="00583FA1" w:rsidRPr="005E3B43" w14:paraId="0FF44F76" w14:textId="77777777" w:rsidTr="005A786D">
        <w:tc>
          <w:tcPr>
            <w:tcW w:w="378" w:type="pct"/>
            <w:shd w:val="clear" w:color="auto" w:fill="auto"/>
          </w:tcPr>
          <w:p w14:paraId="3814E032" w14:textId="77777777" w:rsidR="00583FA1" w:rsidRPr="005E3B43" w:rsidRDefault="00583FA1" w:rsidP="00763BCF">
            <w:pPr>
              <w:pStyle w:val="Tabletext"/>
            </w:pPr>
            <w:r w:rsidRPr="005E3B43">
              <w:t>28</w:t>
            </w:r>
          </w:p>
        </w:tc>
        <w:tc>
          <w:tcPr>
            <w:tcW w:w="3974" w:type="pct"/>
            <w:shd w:val="clear" w:color="auto" w:fill="auto"/>
          </w:tcPr>
          <w:p w14:paraId="13E9B8D5" w14:textId="77777777" w:rsidR="00583FA1" w:rsidRPr="005E3B43" w:rsidRDefault="00583FA1" w:rsidP="00763BCF">
            <w:pPr>
              <w:pStyle w:val="Tabletext"/>
            </w:pPr>
            <w:r w:rsidRPr="005E3B43">
              <w:t xml:space="preserve">Application fee under </w:t>
            </w:r>
            <w:r w:rsidR="0030232D" w:rsidRPr="005E3B43">
              <w:t>paragraph 26BD(3)(c)</w:t>
            </w:r>
            <w:r w:rsidRPr="005E3B43">
              <w:t xml:space="preserve"> of the Act for an IN1 application</w:t>
            </w:r>
          </w:p>
        </w:tc>
        <w:tc>
          <w:tcPr>
            <w:tcW w:w="648" w:type="pct"/>
            <w:shd w:val="clear" w:color="auto" w:fill="auto"/>
          </w:tcPr>
          <w:p w14:paraId="08646E9E" w14:textId="77777777" w:rsidR="00583FA1" w:rsidRPr="005E3B43" w:rsidRDefault="00800BF7" w:rsidP="00763BCF">
            <w:pPr>
              <w:pStyle w:val="Tabletext"/>
              <w:jc w:val="right"/>
            </w:pPr>
            <w:r w:rsidRPr="005E3B43">
              <w:t>1,266</w:t>
            </w:r>
          </w:p>
        </w:tc>
      </w:tr>
      <w:tr w:rsidR="00583FA1" w:rsidRPr="005E3B43" w14:paraId="3190120B" w14:textId="77777777" w:rsidTr="005A786D">
        <w:tc>
          <w:tcPr>
            <w:tcW w:w="378" w:type="pct"/>
            <w:shd w:val="clear" w:color="auto" w:fill="auto"/>
          </w:tcPr>
          <w:p w14:paraId="2A990DDA" w14:textId="77777777" w:rsidR="00583FA1" w:rsidRPr="005E3B43" w:rsidRDefault="00583FA1" w:rsidP="00763BCF">
            <w:pPr>
              <w:pStyle w:val="Tabletext"/>
            </w:pPr>
            <w:r w:rsidRPr="005E3B43">
              <w:t>29</w:t>
            </w:r>
          </w:p>
        </w:tc>
        <w:tc>
          <w:tcPr>
            <w:tcW w:w="3974" w:type="pct"/>
            <w:shd w:val="clear" w:color="auto" w:fill="auto"/>
          </w:tcPr>
          <w:p w14:paraId="4CB52F93" w14:textId="77777777" w:rsidR="00583FA1" w:rsidRPr="005E3B43" w:rsidRDefault="00583FA1" w:rsidP="00763BCF">
            <w:pPr>
              <w:pStyle w:val="Tabletext"/>
            </w:pPr>
            <w:r w:rsidRPr="005E3B43">
              <w:t>Evaluation fee under paragraph</w:t>
            </w:r>
            <w:r w:rsidR="004E6D00" w:rsidRPr="005E3B43">
              <w:t> </w:t>
            </w:r>
            <w:r w:rsidRPr="005E3B43">
              <w:t>26BE(3)(b) of the Act for an IN1 application</w:t>
            </w:r>
          </w:p>
        </w:tc>
        <w:tc>
          <w:tcPr>
            <w:tcW w:w="648" w:type="pct"/>
            <w:shd w:val="clear" w:color="auto" w:fill="auto"/>
          </w:tcPr>
          <w:p w14:paraId="5DEEE9E6" w14:textId="77777777" w:rsidR="00583FA1" w:rsidRPr="005E3B43" w:rsidRDefault="00800BF7" w:rsidP="00763BCF">
            <w:pPr>
              <w:pStyle w:val="Tabletext"/>
              <w:jc w:val="right"/>
            </w:pPr>
            <w:r w:rsidRPr="005E3B43">
              <w:t>17,065</w:t>
            </w:r>
          </w:p>
        </w:tc>
      </w:tr>
      <w:tr w:rsidR="00583FA1" w:rsidRPr="005E3B43" w14:paraId="07FB490F" w14:textId="77777777" w:rsidTr="005A786D">
        <w:tc>
          <w:tcPr>
            <w:tcW w:w="378" w:type="pct"/>
            <w:shd w:val="clear" w:color="auto" w:fill="auto"/>
          </w:tcPr>
          <w:p w14:paraId="7F1102A3" w14:textId="77777777" w:rsidR="00583FA1" w:rsidRPr="005E3B43" w:rsidRDefault="00583FA1" w:rsidP="00763BCF">
            <w:pPr>
              <w:pStyle w:val="Tabletext"/>
            </w:pPr>
            <w:r w:rsidRPr="005E3B43">
              <w:t>30</w:t>
            </w:r>
          </w:p>
        </w:tc>
        <w:tc>
          <w:tcPr>
            <w:tcW w:w="3974" w:type="pct"/>
            <w:shd w:val="clear" w:color="auto" w:fill="auto"/>
          </w:tcPr>
          <w:p w14:paraId="4A9F34D4" w14:textId="77777777" w:rsidR="00583FA1" w:rsidRPr="005E3B43" w:rsidRDefault="00583FA1" w:rsidP="00763BCF">
            <w:pPr>
              <w:pStyle w:val="Tabletext"/>
            </w:pPr>
            <w:r w:rsidRPr="005E3B43">
              <w:t xml:space="preserve">Application fee under </w:t>
            </w:r>
            <w:r w:rsidR="0030232D" w:rsidRPr="005E3B43">
              <w:t>paragraph 26BD(3)(c)</w:t>
            </w:r>
            <w:r w:rsidRPr="005E3B43">
              <w:t xml:space="preserve"> of the Act for an IN2 application</w:t>
            </w:r>
          </w:p>
        </w:tc>
        <w:tc>
          <w:tcPr>
            <w:tcW w:w="648" w:type="pct"/>
            <w:shd w:val="clear" w:color="auto" w:fill="auto"/>
          </w:tcPr>
          <w:p w14:paraId="58BA8E8B" w14:textId="77777777" w:rsidR="00583FA1" w:rsidRPr="005E3B43" w:rsidRDefault="00800BF7" w:rsidP="00763BCF">
            <w:pPr>
              <w:pStyle w:val="Tabletext"/>
              <w:jc w:val="right"/>
            </w:pPr>
            <w:r w:rsidRPr="005E3B43">
              <w:t>1,266</w:t>
            </w:r>
          </w:p>
        </w:tc>
      </w:tr>
      <w:tr w:rsidR="00583FA1" w:rsidRPr="005E3B43" w14:paraId="244AB328" w14:textId="77777777" w:rsidTr="005A786D">
        <w:tc>
          <w:tcPr>
            <w:tcW w:w="378" w:type="pct"/>
            <w:shd w:val="clear" w:color="auto" w:fill="auto"/>
          </w:tcPr>
          <w:p w14:paraId="4E2E80C4" w14:textId="77777777" w:rsidR="00583FA1" w:rsidRPr="005E3B43" w:rsidRDefault="00583FA1" w:rsidP="00763BCF">
            <w:pPr>
              <w:pStyle w:val="Tabletext"/>
            </w:pPr>
            <w:r w:rsidRPr="005E3B43">
              <w:t>31</w:t>
            </w:r>
          </w:p>
        </w:tc>
        <w:tc>
          <w:tcPr>
            <w:tcW w:w="3974" w:type="pct"/>
            <w:shd w:val="clear" w:color="auto" w:fill="auto"/>
          </w:tcPr>
          <w:p w14:paraId="690EC182" w14:textId="77777777" w:rsidR="00583FA1" w:rsidRPr="005E3B43" w:rsidRDefault="00583FA1" w:rsidP="00763BCF">
            <w:pPr>
              <w:pStyle w:val="Tabletext"/>
            </w:pPr>
            <w:r w:rsidRPr="005E3B43">
              <w:t>Evaluation fee under paragraph</w:t>
            </w:r>
            <w:r w:rsidR="004E6D00" w:rsidRPr="005E3B43">
              <w:t> </w:t>
            </w:r>
            <w:r w:rsidRPr="005E3B43">
              <w:t>26BE(3)(b) of the Act for an IN2 application</w:t>
            </w:r>
          </w:p>
        </w:tc>
        <w:tc>
          <w:tcPr>
            <w:tcW w:w="648" w:type="pct"/>
            <w:shd w:val="clear" w:color="auto" w:fill="auto"/>
          </w:tcPr>
          <w:p w14:paraId="76227E0D" w14:textId="77777777" w:rsidR="00583FA1" w:rsidRPr="005E3B43" w:rsidRDefault="0048502C" w:rsidP="00763BCF">
            <w:pPr>
              <w:pStyle w:val="Tabletext"/>
              <w:jc w:val="right"/>
            </w:pPr>
            <w:r w:rsidRPr="005E3B43">
              <w:t>17,065</w:t>
            </w:r>
          </w:p>
        </w:tc>
      </w:tr>
      <w:tr w:rsidR="00583FA1" w:rsidRPr="005E3B43" w14:paraId="26147C41" w14:textId="77777777" w:rsidTr="005A786D">
        <w:tc>
          <w:tcPr>
            <w:tcW w:w="378" w:type="pct"/>
            <w:shd w:val="clear" w:color="auto" w:fill="auto"/>
          </w:tcPr>
          <w:p w14:paraId="60C7D7E0" w14:textId="77777777" w:rsidR="00583FA1" w:rsidRPr="005E3B43" w:rsidRDefault="00583FA1" w:rsidP="00763BCF">
            <w:pPr>
              <w:pStyle w:val="Tabletext"/>
            </w:pPr>
            <w:r w:rsidRPr="005E3B43">
              <w:t>32</w:t>
            </w:r>
          </w:p>
        </w:tc>
        <w:tc>
          <w:tcPr>
            <w:tcW w:w="3974" w:type="pct"/>
            <w:shd w:val="clear" w:color="auto" w:fill="auto"/>
          </w:tcPr>
          <w:p w14:paraId="6DB19E1D" w14:textId="77777777" w:rsidR="00583FA1" w:rsidRPr="005E3B43" w:rsidRDefault="00583FA1" w:rsidP="00763BCF">
            <w:pPr>
              <w:pStyle w:val="Tabletext"/>
            </w:pPr>
            <w:r w:rsidRPr="005E3B43">
              <w:t xml:space="preserve">Application fee under </w:t>
            </w:r>
            <w:r w:rsidR="0030232D" w:rsidRPr="005E3B43">
              <w:t>paragraph 26BD(3)(c)</w:t>
            </w:r>
            <w:r w:rsidRPr="005E3B43">
              <w:t xml:space="preserve"> of the Act for an IN3 application</w:t>
            </w:r>
          </w:p>
        </w:tc>
        <w:tc>
          <w:tcPr>
            <w:tcW w:w="648" w:type="pct"/>
            <w:shd w:val="clear" w:color="auto" w:fill="auto"/>
          </w:tcPr>
          <w:p w14:paraId="520BB466" w14:textId="77777777" w:rsidR="00583FA1" w:rsidRPr="005E3B43" w:rsidRDefault="0048502C" w:rsidP="00763BCF">
            <w:pPr>
              <w:pStyle w:val="Tabletext"/>
              <w:jc w:val="right"/>
            </w:pPr>
            <w:r w:rsidRPr="005E3B43">
              <w:t>3,356</w:t>
            </w:r>
          </w:p>
        </w:tc>
      </w:tr>
      <w:tr w:rsidR="00583FA1" w:rsidRPr="005E3B43" w14:paraId="1347FC22" w14:textId="77777777" w:rsidTr="005A786D">
        <w:tc>
          <w:tcPr>
            <w:tcW w:w="378" w:type="pct"/>
            <w:shd w:val="clear" w:color="auto" w:fill="auto"/>
          </w:tcPr>
          <w:p w14:paraId="7AEFA339" w14:textId="77777777" w:rsidR="00583FA1" w:rsidRPr="005E3B43" w:rsidRDefault="00583FA1" w:rsidP="00763BCF">
            <w:pPr>
              <w:pStyle w:val="Tabletext"/>
            </w:pPr>
            <w:r w:rsidRPr="005E3B43">
              <w:t>33</w:t>
            </w:r>
          </w:p>
        </w:tc>
        <w:tc>
          <w:tcPr>
            <w:tcW w:w="3974" w:type="pct"/>
            <w:shd w:val="clear" w:color="auto" w:fill="auto"/>
          </w:tcPr>
          <w:p w14:paraId="5655CB33" w14:textId="77777777" w:rsidR="00583FA1" w:rsidRPr="005E3B43" w:rsidRDefault="00583FA1" w:rsidP="00763BCF">
            <w:pPr>
              <w:pStyle w:val="Tabletext"/>
            </w:pPr>
            <w:r w:rsidRPr="005E3B43">
              <w:t>Evaluation fee under paragraph</w:t>
            </w:r>
            <w:r w:rsidR="004E6D00" w:rsidRPr="005E3B43">
              <w:t> </w:t>
            </w:r>
            <w:r w:rsidRPr="005E3B43">
              <w:t>26BE(3)(b) of the Act for an IN3 application</w:t>
            </w:r>
          </w:p>
        </w:tc>
        <w:tc>
          <w:tcPr>
            <w:tcW w:w="648" w:type="pct"/>
            <w:shd w:val="clear" w:color="auto" w:fill="auto"/>
          </w:tcPr>
          <w:p w14:paraId="3461495B" w14:textId="77777777" w:rsidR="00583FA1" w:rsidRPr="005E3B43" w:rsidRDefault="0048502C" w:rsidP="00763BCF">
            <w:pPr>
              <w:pStyle w:val="Tabletext"/>
              <w:jc w:val="right"/>
            </w:pPr>
            <w:r w:rsidRPr="005E3B43">
              <w:t>27,800</w:t>
            </w:r>
          </w:p>
        </w:tc>
      </w:tr>
      <w:tr w:rsidR="00583FA1" w:rsidRPr="005E3B43" w14:paraId="18409E10" w14:textId="77777777" w:rsidTr="005A786D">
        <w:tc>
          <w:tcPr>
            <w:tcW w:w="378" w:type="pct"/>
            <w:tcBorders>
              <w:bottom w:val="single" w:sz="2" w:space="0" w:color="auto"/>
            </w:tcBorders>
            <w:shd w:val="clear" w:color="auto" w:fill="auto"/>
          </w:tcPr>
          <w:p w14:paraId="4BA0502F" w14:textId="77777777" w:rsidR="00583FA1" w:rsidRPr="005E3B43" w:rsidRDefault="00583FA1" w:rsidP="00763BCF">
            <w:pPr>
              <w:pStyle w:val="Tabletext"/>
            </w:pPr>
            <w:r w:rsidRPr="005E3B43">
              <w:t>34</w:t>
            </w:r>
          </w:p>
        </w:tc>
        <w:tc>
          <w:tcPr>
            <w:tcW w:w="3974" w:type="pct"/>
            <w:tcBorders>
              <w:bottom w:val="single" w:sz="2" w:space="0" w:color="auto"/>
            </w:tcBorders>
            <w:shd w:val="clear" w:color="auto" w:fill="auto"/>
          </w:tcPr>
          <w:p w14:paraId="6030FEE1" w14:textId="77777777" w:rsidR="00583FA1" w:rsidRPr="005E3B43" w:rsidRDefault="00583FA1" w:rsidP="00763BCF">
            <w:pPr>
              <w:pStyle w:val="Tabletext"/>
            </w:pPr>
            <w:r w:rsidRPr="005E3B43">
              <w:t xml:space="preserve">Application fee under </w:t>
            </w:r>
            <w:r w:rsidR="0030232D" w:rsidRPr="005E3B43">
              <w:t>paragraph 26BD(3)(c)</w:t>
            </w:r>
            <w:r w:rsidRPr="005E3B43">
              <w:t xml:space="preserve"> of the Act for an IN4 application</w:t>
            </w:r>
          </w:p>
        </w:tc>
        <w:tc>
          <w:tcPr>
            <w:tcW w:w="648" w:type="pct"/>
            <w:tcBorders>
              <w:bottom w:val="single" w:sz="2" w:space="0" w:color="auto"/>
            </w:tcBorders>
            <w:shd w:val="clear" w:color="auto" w:fill="auto"/>
          </w:tcPr>
          <w:p w14:paraId="52AED57A" w14:textId="77777777" w:rsidR="00583FA1" w:rsidRPr="005E3B43" w:rsidRDefault="0048502C" w:rsidP="00763BCF">
            <w:pPr>
              <w:pStyle w:val="Tabletext"/>
              <w:jc w:val="right"/>
            </w:pPr>
            <w:r w:rsidRPr="005E3B43">
              <w:t>3,356</w:t>
            </w:r>
          </w:p>
        </w:tc>
      </w:tr>
      <w:tr w:rsidR="00583FA1" w:rsidRPr="005E3B43" w14:paraId="7EF2FEA4" w14:textId="77777777" w:rsidTr="005A786D">
        <w:tc>
          <w:tcPr>
            <w:tcW w:w="378" w:type="pct"/>
            <w:tcBorders>
              <w:top w:val="single" w:sz="2" w:space="0" w:color="auto"/>
              <w:bottom w:val="single" w:sz="12" w:space="0" w:color="auto"/>
            </w:tcBorders>
            <w:shd w:val="clear" w:color="auto" w:fill="auto"/>
          </w:tcPr>
          <w:p w14:paraId="01FC7F24" w14:textId="77777777" w:rsidR="00583FA1" w:rsidRPr="005E3B43" w:rsidRDefault="00583FA1" w:rsidP="00763BCF">
            <w:pPr>
              <w:pStyle w:val="Tabletext"/>
            </w:pPr>
            <w:r w:rsidRPr="005E3B43">
              <w:t>35</w:t>
            </w:r>
          </w:p>
        </w:tc>
        <w:tc>
          <w:tcPr>
            <w:tcW w:w="3974" w:type="pct"/>
            <w:tcBorders>
              <w:top w:val="single" w:sz="2" w:space="0" w:color="auto"/>
              <w:bottom w:val="single" w:sz="12" w:space="0" w:color="auto"/>
            </w:tcBorders>
            <w:shd w:val="clear" w:color="auto" w:fill="auto"/>
          </w:tcPr>
          <w:p w14:paraId="4EA64BD0" w14:textId="77777777" w:rsidR="00583FA1" w:rsidRPr="005E3B43" w:rsidRDefault="00583FA1" w:rsidP="00763BCF">
            <w:pPr>
              <w:pStyle w:val="Tabletext"/>
            </w:pPr>
            <w:r w:rsidRPr="005E3B43">
              <w:t>Evaluation fee under paragraph</w:t>
            </w:r>
            <w:r w:rsidR="004E6D00" w:rsidRPr="005E3B43">
              <w:t> </w:t>
            </w:r>
            <w:r w:rsidRPr="005E3B43">
              <w:t>26BE(3)(b) of the Act for an IN4 application</w:t>
            </w:r>
          </w:p>
        </w:tc>
        <w:tc>
          <w:tcPr>
            <w:tcW w:w="648" w:type="pct"/>
            <w:tcBorders>
              <w:top w:val="single" w:sz="2" w:space="0" w:color="auto"/>
              <w:bottom w:val="single" w:sz="12" w:space="0" w:color="auto"/>
            </w:tcBorders>
            <w:shd w:val="clear" w:color="auto" w:fill="auto"/>
          </w:tcPr>
          <w:p w14:paraId="5CB74C32" w14:textId="77777777" w:rsidR="00583FA1" w:rsidRPr="005E3B43" w:rsidRDefault="0048502C" w:rsidP="00763BCF">
            <w:pPr>
              <w:pStyle w:val="Tabletext"/>
              <w:jc w:val="right"/>
            </w:pPr>
            <w:r w:rsidRPr="005E3B43">
              <w:t>27,800</w:t>
            </w:r>
          </w:p>
        </w:tc>
      </w:tr>
    </w:tbl>
    <w:p w14:paraId="4B1FC9AC" w14:textId="77777777" w:rsidR="00E41BA5" w:rsidRPr="005E3B43" w:rsidRDefault="00E41BA5" w:rsidP="00763BCF">
      <w:pPr>
        <w:pStyle w:val="ActHead1"/>
        <w:pageBreakBefore/>
      </w:pPr>
      <w:bookmarkStart w:id="439" w:name="_Toc187136029"/>
      <w:r w:rsidRPr="005E3B43">
        <w:rPr>
          <w:rStyle w:val="CharChapNo"/>
        </w:rPr>
        <w:lastRenderedPageBreak/>
        <w:t>Schedule</w:t>
      </w:r>
      <w:r w:rsidR="004E6D00" w:rsidRPr="005E3B43">
        <w:rPr>
          <w:rStyle w:val="CharChapNo"/>
        </w:rPr>
        <w:t> </w:t>
      </w:r>
      <w:r w:rsidRPr="005E3B43">
        <w:rPr>
          <w:rStyle w:val="CharChapNo"/>
        </w:rPr>
        <w:t>9A</w:t>
      </w:r>
      <w:r w:rsidR="00E20BA4" w:rsidRPr="005E3B43">
        <w:t>—</w:t>
      </w:r>
      <w:r w:rsidRPr="005E3B43">
        <w:rPr>
          <w:rStyle w:val="CharChapText"/>
        </w:rPr>
        <w:t>Fees</w:t>
      </w:r>
      <w:r w:rsidR="00E20BA4" w:rsidRPr="005E3B43">
        <w:rPr>
          <w:rStyle w:val="CharChapText"/>
        </w:rPr>
        <w:t>—</w:t>
      </w:r>
      <w:r w:rsidRPr="005E3B43">
        <w:rPr>
          <w:rStyle w:val="CharChapText"/>
        </w:rPr>
        <w:t>biologicals</w:t>
      </w:r>
      <w:bookmarkEnd w:id="439"/>
    </w:p>
    <w:p w14:paraId="1D889B23" w14:textId="77777777" w:rsidR="00E41BA5" w:rsidRPr="005E3B43" w:rsidRDefault="00E41BA5" w:rsidP="00763BCF">
      <w:pPr>
        <w:pStyle w:val="notemargin"/>
      </w:pPr>
      <w:r w:rsidRPr="005E3B43">
        <w:t>(regulation</w:t>
      </w:r>
      <w:r w:rsidR="004E6D00" w:rsidRPr="005E3B43">
        <w:t> </w:t>
      </w:r>
      <w:r w:rsidRPr="005E3B43">
        <w:t>43)</w:t>
      </w:r>
    </w:p>
    <w:p w14:paraId="1CB4446A" w14:textId="77777777" w:rsidR="00E41BA5" w:rsidRPr="005E3B43" w:rsidRDefault="00E41BA5" w:rsidP="00763BCF">
      <w:pPr>
        <w:pStyle w:val="ActHead2"/>
      </w:pPr>
      <w:bookmarkStart w:id="440" w:name="_Toc187136030"/>
      <w:r w:rsidRPr="005E3B43">
        <w:rPr>
          <w:rStyle w:val="CharPartNo"/>
        </w:rPr>
        <w:t>Part</w:t>
      </w:r>
      <w:r w:rsidR="004E6D00" w:rsidRPr="005E3B43">
        <w:rPr>
          <w:rStyle w:val="CharPartNo"/>
        </w:rPr>
        <w:t> </w:t>
      </w:r>
      <w:r w:rsidRPr="005E3B43">
        <w:rPr>
          <w:rStyle w:val="CharPartNo"/>
        </w:rPr>
        <w:t>1</w:t>
      </w:r>
      <w:r w:rsidR="00E20BA4" w:rsidRPr="005E3B43">
        <w:t>—</w:t>
      </w:r>
      <w:r w:rsidRPr="005E3B43">
        <w:rPr>
          <w:rStyle w:val="CharPartText"/>
        </w:rPr>
        <w:t>Interpretation of table</w:t>
      </w:r>
      <w:bookmarkEnd w:id="440"/>
    </w:p>
    <w:p w14:paraId="4AB160E9" w14:textId="77777777" w:rsidR="00B46B77" w:rsidRPr="005E3B43" w:rsidRDefault="00B46B77" w:rsidP="00763BCF">
      <w:pPr>
        <w:pStyle w:val="Header"/>
        <w:tabs>
          <w:tab w:val="clear" w:pos="4150"/>
          <w:tab w:val="clear" w:pos="8307"/>
        </w:tabs>
      </w:pPr>
      <w:r w:rsidRPr="005E3B43">
        <w:rPr>
          <w:rStyle w:val="CharDivNo"/>
        </w:rPr>
        <w:t xml:space="preserve"> </w:t>
      </w:r>
      <w:r w:rsidRPr="005E3B43">
        <w:rPr>
          <w:rStyle w:val="CharDivText"/>
        </w:rPr>
        <w:t xml:space="preserve"> </w:t>
      </w:r>
    </w:p>
    <w:p w14:paraId="11DFB2A6" w14:textId="77777777" w:rsidR="00E41BA5" w:rsidRPr="005E3B43" w:rsidRDefault="00E41BA5" w:rsidP="00763BCF">
      <w:pPr>
        <w:pStyle w:val="ActHead5"/>
      </w:pPr>
      <w:bookmarkStart w:id="441" w:name="_Toc187136031"/>
      <w:r w:rsidRPr="005E3B43">
        <w:rPr>
          <w:rStyle w:val="CharSectno"/>
        </w:rPr>
        <w:t>1</w:t>
      </w:r>
      <w:r w:rsidR="00E20BA4" w:rsidRPr="005E3B43">
        <w:t xml:space="preserve">  </w:t>
      </w:r>
      <w:r w:rsidRPr="005E3B43">
        <w:t>Definitions</w:t>
      </w:r>
      <w:bookmarkEnd w:id="441"/>
    </w:p>
    <w:p w14:paraId="4DD54247" w14:textId="77777777" w:rsidR="00E41BA5" w:rsidRPr="005E3B43" w:rsidRDefault="00E41BA5" w:rsidP="00763BCF">
      <w:pPr>
        <w:pStyle w:val="subsection"/>
      </w:pPr>
      <w:r w:rsidRPr="005E3B43">
        <w:tab/>
      </w:r>
      <w:r w:rsidRPr="005E3B43">
        <w:tab/>
        <w:t>In this table:</w:t>
      </w:r>
    </w:p>
    <w:p w14:paraId="095C6B92" w14:textId="77777777" w:rsidR="00E41BA5" w:rsidRPr="005E3B43" w:rsidRDefault="00E41BA5" w:rsidP="00763BCF">
      <w:pPr>
        <w:pStyle w:val="Definition"/>
      </w:pPr>
      <w:r w:rsidRPr="005E3B43">
        <w:rPr>
          <w:b/>
          <w:i/>
        </w:rPr>
        <w:t>major variation</w:t>
      </w:r>
      <w:r w:rsidRPr="005E3B43">
        <w:t>, for a biological, means a change to the entry of the biological in the Register for any of the following</w:t>
      </w:r>
      <w:r w:rsidR="00A33FD0" w:rsidRPr="005E3B43">
        <w:t>, other than a change that would result in the biological becoming separate and distinct from other biologicals</w:t>
      </w:r>
      <w:r w:rsidRPr="005E3B43">
        <w:t>:</w:t>
      </w:r>
    </w:p>
    <w:p w14:paraId="39978858" w14:textId="77777777" w:rsidR="00E41BA5" w:rsidRPr="005E3B43" w:rsidRDefault="00E41BA5" w:rsidP="00763BCF">
      <w:pPr>
        <w:pStyle w:val="paragraph"/>
      </w:pPr>
      <w:r w:rsidRPr="005E3B43">
        <w:tab/>
        <w:t>(a)</w:t>
      </w:r>
      <w:r w:rsidRPr="005E3B43">
        <w:tab/>
        <w:t>a change requiring submission and evaluation of clinical data;</w:t>
      </w:r>
    </w:p>
    <w:p w14:paraId="05567CAD" w14:textId="77777777" w:rsidR="00E41BA5" w:rsidRPr="005E3B43" w:rsidRDefault="00E41BA5" w:rsidP="00763BCF">
      <w:pPr>
        <w:pStyle w:val="paragraph"/>
      </w:pPr>
      <w:r w:rsidRPr="005E3B43">
        <w:tab/>
        <w:t>(c)</w:t>
      </w:r>
      <w:r w:rsidRPr="005E3B43">
        <w:tab/>
        <w:t>a new strength;</w:t>
      </w:r>
    </w:p>
    <w:p w14:paraId="61F9B11E" w14:textId="77777777" w:rsidR="00E41BA5" w:rsidRPr="005E3B43" w:rsidRDefault="00E41BA5" w:rsidP="00763BCF">
      <w:pPr>
        <w:pStyle w:val="paragraph"/>
      </w:pPr>
      <w:r w:rsidRPr="005E3B43">
        <w:tab/>
        <w:t>(d)</w:t>
      </w:r>
      <w:r w:rsidRPr="005E3B43">
        <w:tab/>
        <w:t>a new route of administration;</w:t>
      </w:r>
    </w:p>
    <w:p w14:paraId="430CB58C" w14:textId="77777777" w:rsidR="00E41BA5" w:rsidRPr="005E3B43" w:rsidRDefault="00E41BA5" w:rsidP="00763BCF">
      <w:pPr>
        <w:pStyle w:val="paragraph"/>
      </w:pPr>
      <w:r w:rsidRPr="005E3B43">
        <w:tab/>
        <w:t>(e)</w:t>
      </w:r>
      <w:r w:rsidRPr="005E3B43">
        <w:tab/>
        <w:t>a change in the intended patient group;</w:t>
      </w:r>
    </w:p>
    <w:p w14:paraId="599D9A0B" w14:textId="77777777" w:rsidR="00E41BA5" w:rsidRPr="005E3B43" w:rsidRDefault="00E41BA5" w:rsidP="00763BCF">
      <w:pPr>
        <w:pStyle w:val="paragraph"/>
      </w:pPr>
      <w:r w:rsidRPr="005E3B43">
        <w:tab/>
        <w:t>(f)</w:t>
      </w:r>
      <w:r w:rsidRPr="005E3B43">
        <w:tab/>
        <w:t>a change in dosage.</w:t>
      </w:r>
    </w:p>
    <w:p w14:paraId="0E2B7E34" w14:textId="77777777" w:rsidR="00A33FD0" w:rsidRPr="005E3B43" w:rsidRDefault="00A33FD0" w:rsidP="00763BCF">
      <w:pPr>
        <w:pStyle w:val="Definition"/>
      </w:pPr>
      <w:r w:rsidRPr="005E3B43">
        <w:rPr>
          <w:b/>
          <w:i/>
        </w:rPr>
        <w:t>minor variation</w:t>
      </w:r>
      <w:r w:rsidRPr="005E3B43">
        <w:t>, for a biological, means a change to the entry of the biological in the Register that requires the evaluation of quality and manufacturing information, other than a change that is a major variation for the biological or that would result in the biological becoming separate and distinct from other biologicals.</w:t>
      </w:r>
    </w:p>
    <w:p w14:paraId="35953B14" w14:textId="77777777" w:rsidR="0028010C" w:rsidRPr="005E3B43" w:rsidRDefault="0028010C" w:rsidP="00763BCF">
      <w:pPr>
        <w:sectPr w:rsidR="0028010C" w:rsidRPr="005E3B43" w:rsidSect="001444B1">
          <w:headerReference w:type="even" r:id="rId36"/>
          <w:headerReference w:type="default" r:id="rId37"/>
          <w:headerReference w:type="first" r:id="rId38"/>
          <w:pgSz w:w="11907" w:h="16839" w:code="9"/>
          <w:pgMar w:top="2325" w:right="1797" w:bottom="1440" w:left="1797" w:header="720" w:footer="709" w:gutter="0"/>
          <w:cols w:space="720"/>
          <w:docGrid w:linePitch="299"/>
        </w:sectPr>
      </w:pPr>
    </w:p>
    <w:p w14:paraId="39082BDC" w14:textId="77777777" w:rsidR="00E41BA5" w:rsidRPr="005E3B43" w:rsidRDefault="006B5D8E" w:rsidP="00763BCF">
      <w:pPr>
        <w:pStyle w:val="ActHead2"/>
        <w:pageBreakBefore/>
      </w:pPr>
      <w:bookmarkStart w:id="442" w:name="_Toc187136032"/>
      <w:r w:rsidRPr="005E3B43">
        <w:rPr>
          <w:rStyle w:val="CharPartNo"/>
        </w:rPr>
        <w:lastRenderedPageBreak/>
        <w:t>Part 2</w:t>
      </w:r>
      <w:r w:rsidR="00E20BA4" w:rsidRPr="005E3B43">
        <w:t>—</w:t>
      </w:r>
      <w:r w:rsidR="00E41BA5" w:rsidRPr="005E3B43">
        <w:rPr>
          <w:rStyle w:val="CharPartText"/>
        </w:rPr>
        <w:t>Table of fees</w:t>
      </w:r>
      <w:bookmarkEnd w:id="442"/>
    </w:p>
    <w:p w14:paraId="0987563D" w14:textId="77777777" w:rsidR="005342C7" w:rsidRPr="005E3B43" w:rsidRDefault="005342C7" w:rsidP="00763BCF">
      <w:pPr>
        <w:pStyle w:val="Header"/>
        <w:tabs>
          <w:tab w:val="clear" w:pos="4150"/>
          <w:tab w:val="clear" w:pos="8307"/>
        </w:tabs>
      </w:pPr>
      <w:r w:rsidRPr="005E3B43">
        <w:rPr>
          <w:rStyle w:val="CharDivNo"/>
        </w:rPr>
        <w:t xml:space="preserve"> </w:t>
      </w:r>
      <w:r w:rsidRPr="005E3B43">
        <w:rPr>
          <w:rStyle w:val="CharDivText"/>
        </w:rPr>
        <w:t xml:space="preserve"> </w:t>
      </w:r>
    </w:p>
    <w:p w14:paraId="2804284B" w14:textId="77777777" w:rsidR="00E20BA4" w:rsidRPr="005E3B43" w:rsidRDefault="00E20BA4" w:rsidP="00763BCF">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7"/>
        <w:gridCol w:w="4288"/>
        <w:gridCol w:w="3514"/>
      </w:tblGrid>
      <w:tr w:rsidR="00E41BA5" w:rsidRPr="005E3B43" w14:paraId="30B008A7" w14:textId="77777777" w:rsidTr="005A786D">
        <w:trPr>
          <w:tblHeader/>
        </w:trPr>
        <w:tc>
          <w:tcPr>
            <w:tcW w:w="426" w:type="pct"/>
            <w:tcBorders>
              <w:top w:val="single" w:sz="12" w:space="0" w:color="auto"/>
              <w:bottom w:val="single" w:sz="12" w:space="0" w:color="auto"/>
            </w:tcBorders>
            <w:shd w:val="clear" w:color="auto" w:fill="auto"/>
          </w:tcPr>
          <w:p w14:paraId="428A9FAF" w14:textId="77777777" w:rsidR="00E41BA5" w:rsidRPr="005E3B43" w:rsidRDefault="00E41BA5" w:rsidP="00763BCF">
            <w:pPr>
              <w:pStyle w:val="TableHeading"/>
            </w:pPr>
            <w:r w:rsidRPr="005E3B43">
              <w:t>Item</w:t>
            </w:r>
          </w:p>
        </w:tc>
        <w:tc>
          <w:tcPr>
            <w:tcW w:w="2514" w:type="pct"/>
            <w:tcBorders>
              <w:top w:val="single" w:sz="12" w:space="0" w:color="auto"/>
              <w:bottom w:val="single" w:sz="12" w:space="0" w:color="auto"/>
            </w:tcBorders>
            <w:shd w:val="clear" w:color="auto" w:fill="auto"/>
          </w:tcPr>
          <w:p w14:paraId="5B1CDFA1" w14:textId="77777777" w:rsidR="00E41BA5" w:rsidRPr="005E3B43" w:rsidRDefault="00E41BA5" w:rsidP="00763BCF">
            <w:pPr>
              <w:pStyle w:val="TableHeading"/>
            </w:pPr>
            <w:r w:rsidRPr="005E3B43">
              <w:t>Matter</w:t>
            </w:r>
          </w:p>
        </w:tc>
        <w:tc>
          <w:tcPr>
            <w:tcW w:w="2060" w:type="pct"/>
            <w:tcBorders>
              <w:top w:val="single" w:sz="12" w:space="0" w:color="auto"/>
              <w:bottom w:val="single" w:sz="12" w:space="0" w:color="auto"/>
            </w:tcBorders>
            <w:shd w:val="clear" w:color="auto" w:fill="auto"/>
          </w:tcPr>
          <w:p w14:paraId="7DBC0245" w14:textId="77777777" w:rsidR="00E41BA5" w:rsidRPr="005E3B43" w:rsidRDefault="00756B7B">
            <w:pPr>
              <w:pStyle w:val="TableHeading"/>
            </w:pPr>
            <w:r w:rsidRPr="005E3B43">
              <w:t xml:space="preserve">  Fee $</w:t>
            </w:r>
          </w:p>
        </w:tc>
      </w:tr>
      <w:tr w:rsidR="00E41BA5" w:rsidRPr="005E3B43" w14:paraId="7FEA2B55" w14:textId="77777777" w:rsidTr="005A786D">
        <w:tc>
          <w:tcPr>
            <w:tcW w:w="426" w:type="pct"/>
            <w:tcBorders>
              <w:top w:val="single" w:sz="12" w:space="0" w:color="auto"/>
              <w:bottom w:val="single" w:sz="4" w:space="0" w:color="auto"/>
            </w:tcBorders>
            <w:shd w:val="clear" w:color="auto" w:fill="auto"/>
          </w:tcPr>
          <w:p w14:paraId="6C48C49C" w14:textId="77777777" w:rsidR="00E41BA5" w:rsidRPr="005E3B43" w:rsidRDefault="00E41BA5" w:rsidP="00763BCF">
            <w:pPr>
              <w:pStyle w:val="Tabletext"/>
            </w:pPr>
            <w:r w:rsidRPr="005E3B43">
              <w:t>1</w:t>
            </w:r>
          </w:p>
        </w:tc>
        <w:tc>
          <w:tcPr>
            <w:tcW w:w="2514" w:type="pct"/>
            <w:tcBorders>
              <w:top w:val="single" w:sz="12" w:space="0" w:color="auto"/>
              <w:bottom w:val="single" w:sz="4" w:space="0" w:color="auto"/>
            </w:tcBorders>
            <w:shd w:val="clear" w:color="auto" w:fill="auto"/>
          </w:tcPr>
          <w:p w14:paraId="3EAB7BA0" w14:textId="77777777" w:rsidR="00E41BA5" w:rsidRPr="005E3B43" w:rsidRDefault="00E41BA5" w:rsidP="00763BCF">
            <w:pPr>
              <w:pStyle w:val="Tabletext"/>
            </w:pPr>
            <w:r w:rsidRPr="005E3B43">
              <w:t xml:space="preserve">Application for inclusion of a Class 1 biological in the Register for </w:t>
            </w:r>
            <w:r w:rsidR="00842CCD" w:rsidRPr="005E3B43">
              <w:t>paragraph 3</w:t>
            </w:r>
            <w:r w:rsidRPr="005E3B43">
              <w:t>2DA(2)(d) of the Act</w:t>
            </w:r>
          </w:p>
        </w:tc>
        <w:tc>
          <w:tcPr>
            <w:tcW w:w="2060" w:type="pct"/>
            <w:tcBorders>
              <w:top w:val="single" w:sz="12" w:space="0" w:color="auto"/>
              <w:bottom w:val="single" w:sz="4" w:space="0" w:color="auto"/>
            </w:tcBorders>
            <w:shd w:val="clear" w:color="auto" w:fill="auto"/>
          </w:tcPr>
          <w:p w14:paraId="53B272C7" w14:textId="77777777" w:rsidR="00E41BA5" w:rsidRPr="005E3B43" w:rsidRDefault="000B08AF" w:rsidP="00763BCF">
            <w:pPr>
              <w:pStyle w:val="Tabletext"/>
            </w:pPr>
            <w:r w:rsidRPr="005E3B43">
              <w:t>1,289</w:t>
            </w:r>
            <w:r w:rsidR="00E41BA5" w:rsidRPr="005E3B43">
              <w:t xml:space="preserve"> for each application </w:t>
            </w:r>
          </w:p>
        </w:tc>
      </w:tr>
      <w:tr w:rsidR="00E41BA5" w:rsidRPr="005E3B43" w14:paraId="04AC8DC7" w14:textId="77777777" w:rsidTr="005A786D">
        <w:tc>
          <w:tcPr>
            <w:tcW w:w="426" w:type="pct"/>
            <w:tcBorders>
              <w:top w:val="single" w:sz="4" w:space="0" w:color="auto"/>
              <w:bottom w:val="single" w:sz="4" w:space="0" w:color="auto"/>
            </w:tcBorders>
            <w:shd w:val="clear" w:color="auto" w:fill="auto"/>
          </w:tcPr>
          <w:p w14:paraId="558D636C" w14:textId="77777777" w:rsidR="00E41BA5" w:rsidRPr="005E3B43" w:rsidRDefault="00E41BA5" w:rsidP="00763BCF">
            <w:pPr>
              <w:pStyle w:val="Tabletext"/>
            </w:pPr>
            <w:r w:rsidRPr="005E3B43">
              <w:t>2</w:t>
            </w:r>
          </w:p>
        </w:tc>
        <w:tc>
          <w:tcPr>
            <w:tcW w:w="2514" w:type="pct"/>
            <w:tcBorders>
              <w:top w:val="single" w:sz="4" w:space="0" w:color="auto"/>
              <w:bottom w:val="single" w:sz="4" w:space="0" w:color="auto"/>
            </w:tcBorders>
            <w:shd w:val="clear" w:color="auto" w:fill="auto"/>
          </w:tcPr>
          <w:p w14:paraId="2C2C16B4" w14:textId="77777777" w:rsidR="00E41BA5" w:rsidRPr="005E3B43" w:rsidRDefault="00E41BA5" w:rsidP="00763BCF">
            <w:pPr>
              <w:pStyle w:val="Tabletext"/>
            </w:pPr>
            <w:r w:rsidRPr="005E3B43">
              <w:t xml:space="preserve">Application for inclusion of a Class 2, Class 3 or Class 4 biological in the Register for </w:t>
            </w:r>
            <w:r w:rsidR="00842CCD" w:rsidRPr="005E3B43">
              <w:t>paragraph 3</w:t>
            </w:r>
            <w:r w:rsidR="00584F84" w:rsidRPr="005E3B43">
              <w:t>2DDA(2)(b)</w:t>
            </w:r>
            <w:r w:rsidRPr="005E3B43">
              <w:t xml:space="preserve"> of the Act</w:t>
            </w:r>
          </w:p>
        </w:tc>
        <w:tc>
          <w:tcPr>
            <w:tcW w:w="2060" w:type="pct"/>
            <w:tcBorders>
              <w:top w:val="single" w:sz="4" w:space="0" w:color="auto"/>
              <w:bottom w:val="single" w:sz="4" w:space="0" w:color="auto"/>
            </w:tcBorders>
            <w:shd w:val="clear" w:color="auto" w:fill="auto"/>
          </w:tcPr>
          <w:p w14:paraId="326FC385" w14:textId="77777777" w:rsidR="00E41BA5" w:rsidRPr="005E3B43" w:rsidRDefault="000B08AF" w:rsidP="00763BCF">
            <w:pPr>
              <w:pStyle w:val="Tabletext"/>
            </w:pPr>
            <w:r w:rsidRPr="005E3B43">
              <w:t>1,289</w:t>
            </w:r>
            <w:r w:rsidR="00E41BA5" w:rsidRPr="005E3B43">
              <w:t xml:space="preserve"> for each application</w:t>
            </w:r>
          </w:p>
        </w:tc>
      </w:tr>
      <w:tr w:rsidR="0091727F" w:rsidRPr="005E3B43" w14:paraId="1C8B089F" w14:textId="77777777" w:rsidTr="005A786D">
        <w:tc>
          <w:tcPr>
            <w:tcW w:w="426" w:type="pct"/>
            <w:tcBorders>
              <w:top w:val="single" w:sz="4" w:space="0" w:color="auto"/>
              <w:bottom w:val="single" w:sz="4" w:space="0" w:color="auto"/>
            </w:tcBorders>
            <w:shd w:val="clear" w:color="auto" w:fill="auto"/>
          </w:tcPr>
          <w:p w14:paraId="6AC7B134" w14:textId="77777777" w:rsidR="0091727F" w:rsidRPr="005E3B43" w:rsidRDefault="0091727F" w:rsidP="0091727F">
            <w:pPr>
              <w:pStyle w:val="Tabletext"/>
            </w:pPr>
            <w:r w:rsidRPr="005E3B43">
              <w:t>2AA</w:t>
            </w:r>
          </w:p>
        </w:tc>
        <w:tc>
          <w:tcPr>
            <w:tcW w:w="2514" w:type="pct"/>
            <w:tcBorders>
              <w:top w:val="single" w:sz="4" w:space="0" w:color="auto"/>
              <w:bottom w:val="single" w:sz="4" w:space="0" w:color="auto"/>
            </w:tcBorders>
            <w:shd w:val="clear" w:color="auto" w:fill="auto"/>
          </w:tcPr>
          <w:p w14:paraId="09E614A6" w14:textId="77777777" w:rsidR="0091727F" w:rsidRPr="005E3B43" w:rsidRDefault="0091727F" w:rsidP="0091727F">
            <w:pPr>
              <w:pStyle w:val="Tabletext"/>
            </w:pPr>
            <w:r w:rsidRPr="005E3B43">
              <w:t>Application fee for the purposes of paragraph 32DCA(2)(c) of the Act for an application to include an export only biological in the Register</w:t>
            </w:r>
          </w:p>
        </w:tc>
        <w:tc>
          <w:tcPr>
            <w:tcW w:w="2060" w:type="pct"/>
            <w:tcBorders>
              <w:top w:val="single" w:sz="4" w:space="0" w:color="auto"/>
              <w:bottom w:val="single" w:sz="4" w:space="0" w:color="auto"/>
            </w:tcBorders>
            <w:shd w:val="clear" w:color="auto" w:fill="auto"/>
          </w:tcPr>
          <w:p w14:paraId="5AB2E86A" w14:textId="77777777" w:rsidR="0091727F" w:rsidRPr="005E3B43" w:rsidRDefault="000B08AF" w:rsidP="0091727F">
            <w:pPr>
              <w:pStyle w:val="Tabletext"/>
            </w:pPr>
            <w:r w:rsidRPr="005E3B43">
              <w:t>1,289</w:t>
            </w:r>
            <w:r w:rsidR="0091727F" w:rsidRPr="005E3B43">
              <w:t xml:space="preserve"> for each application</w:t>
            </w:r>
          </w:p>
        </w:tc>
      </w:tr>
      <w:tr w:rsidR="0091727F" w:rsidRPr="005E3B43" w14:paraId="66029E64" w14:textId="77777777" w:rsidTr="005A786D">
        <w:tc>
          <w:tcPr>
            <w:tcW w:w="426" w:type="pct"/>
            <w:tcBorders>
              <w:top w:val="single" w:sz="4" w:space="0" w:color="auto"/>
              <w:bottom w:val="single" w:sz="4" w:space="0" w:color="auto"/>
            </w:tcBorders>
            <w:shd w:val="clear" w:color="auto" w:fill="auto"/>
          </w:tcPr>
          <w:p w14:paraId="1CD674A3" w14:textId="77777777" w:rsidR="0091727F" w:rsidRPr="005E3B43" w:rsidRDefault="0091727F" w:rsidP="0091727F">
            <w:pPr>
              <w:pStyle w:val="Tabletext"/>
            </w:pPr>
            <w:r w:rsidRPr="005E3B43">
              <w:t>2A</w:t>
            </w:r>
          </w:p>
        </w:tc>
        <w:tc>
          <w:tcPr>
            <w:tcW w:w="2514" w:type="pct"/>
            <w:tcBorders>
              <w:top w:val="single" w:sz="4" w:space="0" w:color="auto"/>
              <w:bottom w:val="single" w:sz="4" w:space="0" w:color="auto"/>
            </w:tcBorders>
            <w:shd w:val="clear" w:color="auto" w:fill="auto"/>
          </w:tcPr>
          <w:p w14:paraId="6A453F85" w14:textId="77777777" w:rsidR="0091727F" w:rsidRPr="005E3B43" w:rsidRDefault="0091727F" w:rsidP="0091727F">
            <w:pPr>
              <w:pStyle w:val="Tabletext"/>
            </w:pPr>
            <w:r w:rsidRPr="005E3B43">
              <w:t>Application fee for the purposes of paragraph 32DEA(3)(d) of the Act for a biologicals (priority applicant) determination in relation to a biological</w:t>
            </w:r>
          </w:p>
        </w:tc>
        <w:tc>
          <w:tcPr>
            <w:tcW w:w="2060" w:type="pct"/>
            <w:tcBorders>
              <w:top w:val="single" w:sz="4" w:space="0" w:color="auto"/>
              <w:bottom w:val="single" w:sz="4" w:space="0" w:color="auto"/>
            </w:tcBorders>
            <w:shd w:val="clear" w:color="auto" w:fill="auto"/>
          </w:tcPr>
          <w:p w14:paraId="7DA2B4E5" w14:textId="77777777" w:rsidR="0091727F" w:rsidRPr="005E3B43" w:rsidRDefault="000B08AF" w:rsidP="0091727F">
            <w:pPr>
              <w:pStyle w:val="Tabletext"/>
            </w:pPr>
            <w:r w:rsidRPr="005E3B43">
              <w:t>15,388</w:t>
            </w:r>
          </w:p>
        </w:tc>
      </w:tr>
      <w:tr w:rsidR="0091727F" w:rsidRPr="005E3B43" w14:paraId="63C3C2F2" w14:textId="77777777" w:rsidTr="005A786D">
        <w:tc>
          <w:tcPr>
            <w:tcW w:w="426" w:type="pct"/>
            <w:tcBorders>
              <w:top w:val="single" w:sz="4" w:space="0" w:color="auto"/>
              <w:bottom w:val="single" w:sz="4" w:space="0" w:color="auto"/>
            </w:tcBorders>
            <w:shd w:val="clear" w:color="auto" w:fill="auto"/>
          </w:tcPr>
          <w:p w14:paraId="0D833D12" w14:textId="77777777" w:rsidR="0091727F" w:rsidRPr="005E3B43" w:rsidRDefault="0091727F" w:rsidP="0091727F">
            <w:pPr>
              <w:pStyle w:val="Tabletext"/>
            </w:pPr>
            <w:r w:rsidRPr="005E3B43">
              <w:t>3</w:t>
            </w:r>
          </w:p>
        </w:tc>
        <w:tc>
          <w:tcPr>
            <w:tcW w:w="2514" w:type="pct"/>
            <w:tcBorders>
              <w:top w:val="single" w:sz="4" w:space="0" w:color="auto"/>
              <w:bottom w:val="single" w:sz="4" w:space="0" w:color="auto"/>
            </w:tcBorders>
            <w:shd w:val="clear" w:color="auto" w:fill="auto"/>
          </w:tcPr>
          <w:p w14:paraId="7ECA8DBD" w14:textId="77777777" w:rsidR="0091727F" w:rsidRPr="005E3B43" w:rsidRDefault="0091727F" w:rsidP="0091727F">
            <w:pPr>
              <w:pStyle w:val="Tabletext"/>
            </w:pPr>
            <w:r w:rsidRPr="005E3B43">
              <w:t>Application for a manufacturing licence for paragraph 37(1)(g) of the Act</w:t>
            </w:r>
          </w:p>
        </w:tc>
        <w:tc>
          <w:tcPr>
            <w:tcW w:w="2060" w:type="pct"/>
            <w:tcBorders>
              <w:top w:val="single" w:sz="4" w:space="0" w:color="auto"/>
              <w:bottom w:val="single" w:sz="4" w:space="0" w:color="auto"/>
            </w:tcBorders>
            <w:shd w:val="clear" w:color="auto" w:fill="auto"/>
          </w:tcPr>
          <w:p w14:paraId="3BAC8053" w14:textId="77777777" w:rsidR="0091727F" w:rsidRPr="005E3B43" w:rsidRDefault="001F4A53" w:rsidP="0091727F">
            <w:pPr>
              <w:pStyle w:val="Tabletext"/>
            </w:pPr>
            <w:r w:rsidRPr="005E3B43">
              <w:t>1,289</w:t>
            </w:r>
            <w:r w:rsidR="0091727F" w:rsidRPr="005E3B43">
              <w:t xml:space="preserve"> for each application</w:t>
            </w:r>
          </w:p>
        </w:tc>
      </w:tr>
      <w:tr w:rsidR="0091727F" w:rsidRPr="005E3B43" w14:paraId="79225460" w14:textId="77777777" w:rsidTr="005A786D">
        <w:tc>
          <w:tcPr>
            <w:tcW w:w="426" w:type="pct"/>
            <w:tcBorders>
              <w:top w:val="single" w:sz="4" w:space="0" w:color="auto"/>
              <w:bottom w:val="nil"/>
            </w:tcBorders>
            <w:shd w:val="clear" w:color="auto" w:fill="auto"/>
          </w:tcPr>
          <w:p w14:paraId="681AB31A" w14:textId="77777777" w:rsidR="0091727F" w:rsidRPr="005E3B43" w:rsidRDefault="0091727F" w:rsidP="0091727F">
            <w:pPr>
              <w:pStyle w:val="Tabletext"/>
            </w:pPr>
            <w:r w:rsidRPr="005E3B43">
              <w:t>3A</w:t>
            </w:r>
          </w:p>
        </w:tc>
        <w:tc>
          <w:tcPr>
            <w:tcW w:w="2514" w:type="pct"/>
            <w:tcBorders>
              <w:top w:val="single" w:sz="4" w:space="0" w:color="auto"/>
              <w:bottom w:val="nil"/>
            </w:tcBorders>
            <w:shd w:val="clear" w:color="auto" w:fill="auto"/>
          </w:tcPr>
          <w:p w14:paraId="6355C994" w14:textId="77777777" w:rsidR="0091727F" w:rsidRPr="005E3B43" w:rsidRDefault="0091727F" w:rsidP="0091727F">
            <w:pPr>
              <w:pStyle w:val="Tabletext"/>
            </w:pPr>
            <w:r w:rsidRPr="005E3B43">
              <w:t>Fee for a notice and declaration under subregulation 43AAE(2) relating to an exemption from liability to pay an annual charge for inclusion of a biological in the Register for a financial year:</w:t>
            </w:r>
          </w:p>
        </w:tc>
        <w:tc>
          <w:tcPr>
            <w:tcW w:w="2060" w:type="pct"/>
            <w:tcBorders>
              <w:top w:val="single" w:sz="4" w:space="0" w:color="auto"/>
              <w:bottom w:val="nil"/>
            </w:tcBorders>
            <w:shd w:val="clear" w:color="auto" w:fill="auto"/>
          </w:tcPr>
          <w:p w14:paraId="6D232A80" w14:textId="77777777" w:rsidR="0091727F" w:rsidRPr="005E3B43" w:rsidRDefault="0091727F" w:rsidP="0091727F">
            <w:pPr>
              <w:pStyle w:val="Tabletext"/>
            </w:pPr>
          </w:p>
        </w:tc>
      </w:tr>
      <w:tr w:rsidR="0091727F" w:rsidRPr="005E3B43" w14:paraId="595F7643" w14:textId="77777777" w:rsidTr="005A786D">
        <w:tc>
          <w:tcPr>
            <w:tcW w:w="426" w:type="pct"/>
            <w:tcBorders>
              <w:top w:val="nil"/>
              <w:bottom w:val="nil"/>
            </w:tcBorders>
            <w:shd w:val="clear" w:color="auto" w:fill="auto"/>
          </w:tcPr>
          <w:p w14:paraId="350BEC06" w14:textId="77777777" w:rsidR="0091727F" w:rsidRPr="005E3B43" w:rsidRDefault="0091727F" w:rsidP="0091727F">
            <w:pPr>
              <w:pStyle w:val="Tabletext"/>
            </w:pPr>
          </w:p>
        </w:tc>
        <w:tc>
          <w:tcPr>
            <w:tcW w:w="2514" w:type="pct"/>
            <w:tcBorders>
              <w:top w:val="nil"/>
              <w:bottom w:val="nil"/>
            </w:tcBorders>
            <w:shd w:val="clear" w:color="auto" w:fill="auto"/>
          </w:tcPr>
          <w:p w14:paraId="256A737B" w14:textId="77777777" w:rsidR="0091727F" w:rsidRPr="005E3B43" w:rsidRDefault="0091727F" w:rsidP="0091727F">
            <w:pPr>
              <w:pStyle w:val="Tablea"/>
            </w:pPr>
            <w:r w:rsidRPr="005E3B43">
              <w:t>(a) if the notice and declaration relate to not more than 5 entries in the Register</w:t>
            </w:r>
          </w:p>
        </w:tc>
        <w:tc>
          <w:tcPr>
            <w:tcW w:w="2060" w:type="pct"/>
            <w:tcBorders>
              <w:top w:val="nil"/>
              <w:bottom w:val="nil"/>
            </w:tcBorders>
            <w:shd w:val="clear" w:color="auto" w:fill="auto"/>
          </w:tcPr>
          <w:p w14:paraId="7FDCEC3A" w14:textId="77777777" w:rsidR="0091727F" w:rsidRPr="005E3B43" w:rsidRDefault="001F4A53" w:rsidP="0091727F">
            <w:pPr>
              <w:pStyle w:val="Tabletext"/>
            </w:pPr>
            <w:r w:rsidRPr="005E3B43">
              <w:t>496</w:t>
            </w:r>
          </w:p>
        </w:tc>
      </w:tr>
      <w:tr w:rsidR="0091727F" w:rsidRPr="005E3B43" w14:paraId="76A4F353" w14:textId="77777777" w:rsidTr="005A786D">
        <w:tc>
          <w:tcPr>
            <w:tcW w:w="426" w:type="pct"/>
            <w:tcBorders>
              <w:top w:val="nil"/>
              <w:bottom w:val="single" w:sz="4" w:space="0" w:color="auto"/>
            </w:tcBorders>
            <w:shd w:val="clear" w:color="auto" w:fill="auto"/>
          </w:tcPr>
          <w:p w14:paraId="3E48D8A8" w14:textId="77777777" w:rsidR="0091727F" w:rsidRPr="005E3B43" w:rsidRDefault="0091727F" w:rsidP="0091727F">
            <w:pPr>
              <w:pStyle w:val="Tabletext"/>
            </w:pPr>
          </w:p>
        </w:tc>
        <w:tc>
          <w:tcPr>
            <w:tcW w:w="2514" w:type="pct"/>
            <w:tcBorders>
              <w:top w:val="nil"/>
              <w:bottom w:val="single" w:sz="4" w:space="0" w:color="auto"/>
            </w:tcBorders>
            <w:shd w:val="clear" w:color="auto" w:fill="auto"/>
          </w:tcPr>
          <w:p w14:paraId="0BAC8997" w14:textId="77777777" w:rsidR="0091727F" w:rsidRPr="005E3B43" w:rsidRDefault="0091727F" w:rsidP="0091727F">
            <w:pPr>
              <w:pStyle w:val="Tablea"/>
            </w:pPr>
            <w:r w:rsidRPr="005E3B43">
              <w:t>(b) if the notice and declaration relate to 6 or more entries in the Register</w:t>
            </w:r>
          </w:p>
        </w:tc>
        <w:tc>
          <w:tcPr>
            <w:tcW w:w="2060" w:type="pct"/>
            <w:tcBorders>
              <w:top w:val="nil"/>
              <w:bottom w:val="single" w:sz="4" w:space="0" w:color="auto"/>
            </w:tcBorders>
            <w:shd w:val="clear" w:color="auto" w:fill="auto"/>
          </w:tcPr>
          <w:p w14:paraId="75271030" w14:textId="77777777" w:rsidR="0091727F" w:rsidRPr="005E3B43" w:rsidRDefault="001F4A53" w:rsidP="0091727F">
            <w:pPr>
              <w:pStyle w:val="Tabletext"/>
            </w:pPr>
            <w:r w:rsidRPr="005E3B43">
              <w:t>496</w:t>
            </w:r>
            <w:r w:rsidR="0091727F" w:rsidRPr="005E3B43">
              <w:t xml:space="preserve"> for the first 5 entries plus </w:t>
            </w:r>
            <w:r w:rsidRPr="005E3B43">
              <w:t>57</w:t>
            </w:r>
            <w:r w:rsidR="0091727F" w:rsidRPr="005E3B43">
              <w:t xml:space="preserve"> for each additional entry</w:t>
            </w:r>
          </w:p>
        </w:tc>
      </w:tr>
      <w:tr w:rsidR="0091727F" w:rsidRPr="005E3B43" w14:paraId="43795C27" w14:textId="77777777" w:rsidTr="007F5E99">
        <w:tblPrEx>
          <w:tblBorders>
            <w:insideH w:val="single" w:sz="2" w:space="0" w:color="auto"/>
          </w:tblBorders>
        </w:tblPrEx>
        <w:tc>
          <w:tcPr>
            <w:tcW w:w="426" w:type="pct"/>
            <w:tcBorders>
              <w:top w:val="nil"/>
              <w:bottom w:val="nil"/>
            </w:tcBorders>
            <w:shd w:val="clear" w:color="auto" w:fill="auto"/>
          </w:tcPr>
          <w:p w14:paraId="3117BAF4" w14:textId="77777777" w:rsidR="0091727F" w:rsidRPr="005E3B43" w:rsidRDefault="0091727F" w:rsidP="0091727F">
            <w:pPr>
              <w:pStyle w:val="Tabletext"/>
            </w:pPr>
            <w:r w:rsidRPr="005E3B43">
              <w:t>4</w:t>
            </w:r>
          </w:p>
        </w:tc>
        <w:tc>
          <w:tcPr>
            <w:tcW w:w="2514" w:type="pct"/>
            <w:tcBorders>
              <w:top w:val="nil"/>
              <w:bottom w:val="nil"/>
            </w:tcBorders>
            <w:shd w:val="clear" w:color="auto" w:fill="auto"/>
          </w:tcPr>
          <w:p w14:paraId="766BE998" w14:textId="77777777" w:rsidR="0091727F" w:rsidRPr="005E3B43" w:rsidRDefault="0091727F" w:rsidP="0091727F">
            <w:pPr>
              <w:pStyle w:val="Tabletext"/>
            </w:pPr>
            <w:r w:rsidRPr="005E3B43">
              <w:t>Evaluation of a Class 2 biological for inclusion in the Register for subsection 32DI(1) of the Act:</w:t>
            </w:r>
          </w:p>
        </w:tc>
        <w:tc>
          <w:tcPr>
            <w:tcW w:w="2060" w:type="pct"/>
            <w:tcBorders>
              <w:top w:val="nil"/>
              <w:bottom w:val="nil"/>
            </w:tcBorders>
            <w:shd w:val="clear" w:color="auto" w:fill="auto"/>
          </w:tcPr>
          <w:p w14:paraId="24ED6CF3" w14:textId="77777777" w:rsidR="0091727F" w:rsidRPr="005E3B43" w:rsidRDefault="0091727F" w:rsidP="0091727F">
            <w:pPr>
              <w:pStyle w:val="Tabletext"/>
            </w:pPr>
          </w:p>
        </w:tc>
      </w:tr>
      <w:tr w:rsidR="0091727F" w:rsidRPr="005E3B43" w14:paraId="0E3E2813" w14:textId="77777777" w:rsidTr="007F5E99">
        <w:tblPrEx>
          <w:tblBorders>
            <w:insideH w:val="single" w:sz="2" w:space="0" w:color="auto"/>
          </w:tblBorders>
        </w:tblPrEx>
        <w:tc>
          <w:tcPr>
            <w:tcW w:w="426" w:type="pct"/>
            <w:tcBorders>
              <w:top w:val="nil"/>
              <w:bottom w:val="nil"/>
            </w:tcBorders>
            <w:shd w:val="clear" w:color="auto" w:fill="auto"/>
          </w:tcPr>
          <w:p w14:paraId="21D10EA6" w14:textId="77777777" w:rsidR="0091727F" w:rsidRPr="005E3B43" w:rsidRDefault="0091727F" w:rsidP="0091727F">
            <w:pPr>
              <w:pStyle w:val="Tabletext"/>
            </w:pPr>
          </w:p>
        </w:tc>
        <w:tc>
          <w:tcPr>
            <w:tcW w:w="2514" w:type="pct"/>
            <w:tcBorders>
              <w:top w:val="nil"/>
              <w:bottom w:val="nil"/>
            </w:tcBorders>
            <w:shd w:val="clear" w:color="auto" w:fill="auto"/>
          </w:tcPr>
          <w:p w14:paraId="6C2BBEE8" w14:textId="77777777" w:rsidR="0091727F" w:rsidRPr="005E3B43" w:rsidRDefault="0091727F" w:rsidP="0091727F">
            <w:pPr>
              <w:pStyle w:val="Tablea"/>
            </w:pPr>
            <w:r w:rsidRPr="005E3B43">
              <w:t>(a) for a biological in relation to which a biologicals (priority applicant) determination is in place</w:t>
            </w:r>
          </w:p>
        </w:tc>
        <w:tc>
          <w:tcPr>
            <w:tcW w:w="2060" w:type="pct"/>
            <w:tcBorders>
              <w:top w:val="nil"/>
              <w:bottom w:val="nil"/>
            </w:tcBorders>
            <w:shd w:val="clear" w:color="auto" w:fill="auto"/>
          </w:tcPr>
          <w:p w14:paraId="6547CADB" w14:textId="77777777" w:rsidR="0091727F" w:rsidRPr="005E3B43" w:rsidRDefault="00200414" w:rsidP="0091727F">
            <w:pPr>
              <w:pStyle w:val="Tabletext"/>
            </w:pPr>
            <w:r w:rsidRPr="005E3B43">
              <w:t>89,655</w:t>
            </w:r>
            <w:r w:rsidR="0091727F" w:rsidRPr="005E3B43">
              <w:t xml:space="preserve"> for each evaluation</w:t>
            </w:r>
          </w:p>
        </w:tc>
      </w:tr>
      <w:tr w:rsidR="0091727F" w:rsidRPr="005E3B43" w14:paraId="5FCCD3D5" w14:textId="77777777" w:rsidTr="007F5E99">
        <w:tblPrEx>
          <w:tblBorders>
            <w:insideH w:val="single" w:sz="2" w:space="0" w:color="auto"/>
          </w:tblBorders>
        </w:tblPrEx>
        <w:tc>
          <w:tcPr>
            <w:tcW w:w="426" w:type="pct"/>
            <w:tcBorders>
              <w:top w:val="nil"/>
            </w:tcBorders>
            <w:shd w:val="clear" w:color="auto" w:fill="auto"/>
          </w:tcPr>
          <w:p w14:paraId="019425B1" w14:textId="77777777" w:rsidR="0091727F" w:rsidRPr="005E3B43" w:rsidRDefault="0091727F" w:rsidP="0091727F">
            <w:pPr>
              <w:pStyle w:val="Tabletext"/>
            </w:pPr>
          </w:p>
        </w:tc>
        <w:tc>
          <w:tcPr>
            <w:tcW w:w="2514" w:type="pct"/>
            <w:tcBorders>
              <w:top w:val="nil"/>
            </w:tcBorders>
            <w:shd w:val="clear" w:color="auto" w:fill="auto"/>
          </w:tcPr>
          <w:p w14:paraId="2B76A10A" w14:textId="77777777" w:rsidR="0091727F" w:rsidRPr="005E3B43" w:rsidRDefault="0091727F" w:rsidP="0091727F">
            <w:pPr>
              <w:pStyle w:val="Tablea"/>
            </w:pPr>
            <w:r w:rsidRPr="005E3B43">
              <w:t>(b) in any other case</w:t>
            </w:r>
          </w:p>
        </w:tc>
        <w:tc>
          <w:tcPr>
            <w:tcW w:w="2060" w:type="pct"/>
            <w:tcBorders>
              <w:top w:val="nil"/>
            </w:tcBorders>
            <w:shd w:val="clear" w:color="auto" w:fill="auto"/>
          </w:tcPr>
          <w:p w14:paraId="010CB6C8" w14:textId="77777777" w:rsidR="0091727F" w:rsidRPr="005E3B43" w:rsidRDefault="00200414" w:rsidP="0091727F">
            <w:pPr>
              <w:pStyle w:val="Tabletext"/>
            </w:pPr>
            <w:r w:rsidRPr="005E3B43">
              <w:t>85,772</w:t>
            </w:r>
            <w:r w:rsidR="0091727F" w:rsidRPr="005E3B43">
              <w:t xml:space="preserve"> for each evaluation</w:t>
            </w:r>
          </w:p>
        </w:tc>
      </w:tr>
      <w:tr w:rsidR="0091727F" w:rsidRPr="005E3B43" w14:paraId="3AAE72F6" w14:textId="77777777" w:rsidTr="007F5E99">
        <w:tblPrEx>
          <w:tblBorders>
            <w:insideH w:val="single" w:sz="2" w:space="0" w:color="auto"/>
          </w:tblBorders>
        </w:tblPrEx>
        <w:tc>
          <w:tcPr>
            <w:tcW w:w="426" w:type="pct"/>
            <w:tcBorders>
              <w:bottom w:val="nil"/>
            </w:tcBorders>
            <w:shd w:val="clear" w:color="auto" w:fill="auto"/>
          </w:tcPr>
          <w:p w14:paraId="4FE78B47" w14:textId="77777777" w:rsidR="0091727F" w:rsidRPr="005E3B43" w:rsidRDefault="0091727F" w:rsidP="0091727F">
            <w:pPr>
              <w:pStyle w:val="Tabletext"/>
            </w:pPr>
            <w:r w:rsidRPr="005E3B43">
              <w:t>5</w:t>
            </w:r>
          </w:p>
        </w:tc>
        <w:tc>
          <w:tcPr>
            <w:tcW w:w="2514" w:type="pct"/>
            <w:tcBorders>
              <w:bottom w:val="nil"/>
            </w:tcBorders>
            <w:shd w:val="clear" w:color="auto" w:fill="auto"/>
          </w:tcPr>
          <w:p w14:paraId="00D6F7EA" w14:textId="77777777" w:rsidR="0091727F" w:rsidRPr="005E3B43" w:rsidRDefault="0091727F" w:rsidP="0091727F">
            <w:pPr>
              <w:pStyle w:val="Tabletext"/>
            </w:pPr>
            <w:r w:rsidRPr="005E3B43">
              <w:t>Evaluation of a Class 3 biological for inclusion in the Register for subsection 32DI(1) of the Act:</w:t>
            </w:r>
          </w:p>
        </w:tc>
        <w:tc>
          <w:tcPr>
            <w:tcW w:w="2060" w:type="pct"/>
            <w:tcBorders>
              <w:bottom w:val="nil"/>
            </w:tcBorders>
            <w:shd w:val="clear" w:color="auto" w:fill="auto"/>
          </w:tcPr>
          <w:p w14:paraId="51F18CAC" w14:textId="77777777" w:rsidR="0091727F" w:rsidRPr="005E3B43" w:rsidRDefault="0091727F" w:rsidP="0091727F">
            <w:pPr>
              <w:pStyle w:val="Tabletext"/>
            </w:pPr>
          </w:p>
        </w:tc>
      </w:tr>
      <w:tr w:rsidR="0091727F" w:rsidRPr="005E3B43" w14:paraId="74BFF95B" w14:textId="77777777" w:rsidTr="007F5E99">
        <w:tblPrEx>
          <w:tblBorders>
            <w:insideH w:val="single" w:sz="2" w:space="0" w:color="auto"/>
          </w:tblBorders>
        </w:tblPrEx>
        <w:tc>
          <w:tcPr>
            <w:tcW w:w="426" w:type="pct"/>
            <w:tcBorders>
              <w:top w:val="nil"/>
              <w:bottom w:val="nil"/>
            </w:tcBorders>
            <w:shd w:val="clear" w:color="auto" w:fill="auto"/>
          </w:tcPr>
          <w:p w14:paraId="517D0974" w14:textId="77777777" w:rsidR="0091727F" w:rsidRPr="005E3B43" w:rsidRDefault="0091727F" w:rsidP="0091727F">
            <w:pPr>
              <w:pStyle w:val="Tabletext"/>
            </w:pPr>
          </w:p>
        </w:tc>
        <w:tc>
          <w:tcPr>
            <w:tcW w:w="2514" w:type="pct"/>
            <w:tcBorders>
              <w:top w:val="nil"/>
              <w:bottom w:val="nil"/>
            </w:tcBorders>
            <w:shd w:val="clear" w:color="auto" w:fill="auto"/>
          </w:tcPr>
          <w:p w14:paraId="44E088EC" w14:textId="77777777" w:rsidR="0091727F" w:rsidRPr="005E3B43" w:rsidRDefault="0091727F" w:rsidP="0091727F">
            <w:pPr>
              <w:pStyle w:val="Tablea"/>
            </w:pPr>
            <w:r w:rsidRPr="005E3B43">
              <w:t>(a) for a biological in relation to which a biologicals (priority applicant) determination is in place</w:t>
            </w:r>
          </w:p>
        </w:tc>
        <w:tc>
          <w:tcPr>
            <w:tcW w:w="2060" w:type="pct"/>
            <w:tcBorders>
              <w:top w:val="nil"/>
              <w:bottom w:val="nil"/>
            </w:tcBorders>
            <w:shd w:val="clear" w:color="auto" w:fill="auto"/>
          </w:tcPr>
          <w:p w14:paraId="74F1A125" w14:textId="77777777" w:rsidR="0091727F" w:rsidRPr="005E3B43" w:rsidRDefault="00200414" w:rsidP="0091727F">
            <w:pPr>
              <w:pStyle w:val="Tabletext"/>
            </w:pPr>
            <w:r w:rsidRPr="005E3B43">
              <w:t>179,752</w:t>
            </w:r>
            <w:r w:rsidR="0091727F" w:rsidRPr="005E3B43">
              <w:t xml:space="preserve"> for each evaluation</w:t>
            </w:r>
          </w:p>
        </w:tc>
      </w:tr>
      <w:tr w:rsidR="0091727F" w:rsidRPr="005E3B43" w14:paraId="3D1CDB39" w14:textId="77777777" w:rsidTr="007F5E99">
        <w:tblPrEx>
          <w:tblBorders>
            <w:insideH w:val="single" w:sz="2" w:space="0" w:color="auto"/>
          </w:tblBorders>
        </w:tblPrEx>
        <w:tc>
          <w:tcPr>
            <w:tcW w:w="426" w:type="pct"/>
            <w:tcBorders>
              <w:top w:val="nil"/>
              <w:bottom w:val="single" w:sz="2" w:space="0" w:color="auto"/>
            </w:tcBorders>
            <w:shd w:val="clear" w:color="auto" w:fill="auto"/>
          </w:tcPr>
          <w:p w14:paraId="03CE0E13" w14:textId="77777777" w:rsidR="0091727F" w:rsidRPr="005E3B43" w:rsidRDefault="0091727F" w:rsidP="0091727F">
            <w:pPr>
              <w:pStyle w:val="Tabletext"/>
            </w:pPr>
          </w:p>
        </w:tc>
        <w:tc>
          <w:tcPr>
            <w:tcW w:w="2514" w:type="pct"/>
            <w:tcBorders>
              <w:top w:val="nil"/>
              <w:bottom w:val="single" w:sz="2" w:space="0" w:color="auto"/>
            </w:tcBorders>
            <w:shd w:val="clear" w:color="auto" w:fill="auto"/>
          </w:tcPr>
          <w:p w14:paraId="12FEA5AE" w14:textId="77777777" w:rsidR="0091727F" w:rsidRPr="005E3B43" w:rsidRDefault="0091727F" w:rsidP="0091727F">
            <w:pPr>
              <w:pStyle w:val="Tablea"/>
            </w:pPr>
            <w:r w:rsidRPr="005E3B43">
              <w:t>(b) in any other case</w:t>
            </w:r>
          </w:p>
        </w:tc>
        <w:tc>
          <w:tcPr>
            <w:tcW w:w="2060" w:type="pct"/>
            <w:tcBorders>
              <w:top w:val="nil"/>
              <w:bottom w:val="single" w:sz="2" w:space="0" w:color="auto"/>
            </w:tcBorders>
            <w:shd w:val="clear" w:color="auto" w:fill="auto"/>
          </w:tcPr>
          <w:p w14:paraId="4E26AF38" w14:textId="77777777" w:rsidR="0091727F" w:rsidRPr="005E3B43" w:rsidRDefault="001C6E68" w:rsidP="0091727F">
            <w:pPr>
              <w:pStyle w:val="Tabletext"/>
            </w:pPr>
            <w:r w:rsidRPr="005E3B43">
              <w:t>171,659</w:t>
            </w:r>
            <w:r w:rsidR="0091727F" w:rsidRPr="005E3B43">
              <w:t xml:space="preserve"> for each evaluation</w:t>
            </w:r>
          </w:p>
        </w:tc>
      </w:tr>
      <w:tr w:rsidR="0091727F" w:rsidRPr="005E3B43" w14:paraId="3A95BA84" w14:textId="77777777" w:rsidTr="00422814">
        <w:tblPrEx>
          <w:tblBorders>
            <w:insideH w:val="single" w:sz="2" w:space="0" w:color="auto"/>
          </w:tblBorders>
        </w:tblPrEx>
        <w:trPr>
          <w:cantSplit/>
        </w:trPr>
        <w:tc>
          <w:tcPr>
            <w:tcW w:w="426" w:type="pct"/>
            <w:tcBorders>
              <w:top w:val="single" w:sz="2" w:space="0" w:color="auto"/>
              <w:bottom w:val="nil"/>
            </w:tcBorders>
            <w:shd w:val="clear" w:color="auto" w:fill="auto"/>
          </w:tcPr>
          <w:p w14:paraId="1712F86B" w14:textId="77777777" w:rsidR="0091727F" w:rsidRPr="005E3B43" w:rsidRDefault="0091727F" w:rsidP="0091727F">
            <w:pPr>
              <w:pStyle w:val="Tabletext"/>
            </w:pPr>
            <w:r w:rsidRPr="005E3B43">
              <w:t>6</w:t>
            </w:r>
          </w:p>
        </w:tc>
        <w:tc>
          <w:tcPr>
            <w:tcW w:w="2514" w:type="pct"/>
            <w:tcBorders>
              <w:top w:val="single" w:sz="2" w:space="0" w:color="auto"/>
              <w:bottom w:val="nil"/>
            </w:tcBorders>
            <w:shd w:val="clear" w:color="auto" w:fill="auto"/>
          </w:tcPr>
          <w:p w14:paraId="4DD0EB20" w14:textId="77777777" w:rsidR="0091727F" w:rsidRPr="005E3B43" w:rsidRDefault="0091727F" w:rsidP="0091727F">
            <w:pPr>
              <w:pStyle w:val="Tabletext"/>
            </w:pPr>
            <w:r w:rsidRPr="005E3B43">
              <w:t>Evaluation of a Class 4 biological for inclusion in the Register for subsection 32DI(1) of the Act:</w:t>
            </w:r>
          </w:p>
        </w:tc>
        <w:tc>
          <w:tcPr>
            <w:tcW w:w="2060" w:type="pct"/>
            <w:tcBorders>
              <w:top w:val="single" w:sz="2" w:space="0" w:color="auto"/>
              <w:bottom w:val="nil"/>
            </w:tcBorders>
            <w:shd w:val="clear" w:color="auto" w:fill="auto"/>
          </w:tcPr>
          <w:p w14:paraId="62D904B0" w14:textId="77777777" w:rsidR="0091727F" w:rsidRPr="005E3B43" w:rsidRDefault="0091727F" w:rsidP="0091727F">
            <w:pPr>
              <w:pStyle w:val="Tabletext"/>
            </w:pPr>
          </w:p>
        </w:tc>
      </w:tr>
      <w:tr w:rsidR="0091727F" w:rsidRPr="005E3B43" w14:paraId="58A143E4" w14:textId="77777777" w:rsidTr="00422814">
        <w:tblPrEx>
          <w:tblBorders>
            <w:insideH w:val="single" w:sz="2" w:space="0" w:color="auto"/>
          </w:tblBorders>
        </w:tblPrEx>
        <w:trPr>
          <w:cantSplit/>
        </w:trPr>
        <w:tc>
          <w:tcPr>
            <w:tcW w:w="426" w:type="pct"/>
            <w:tcBorders>
              <w:top w:val="nil"/>
              <w:bottom w:val="nil"/>
            </w:tcBorders>
            <w:shd w:val="clear" w:color="auto" w:fill="auto"/>
          </w:tcPr>
          <w:p w14:paraId="1D2126FB" w14:textId="77777777" w:rsidR="0091727F" w:rsidRPr="005E3B43" w:rsidRDefault="0091727F" w:rsidP="0091727F">
            <w:pPr>
              <w:pStyle w:val="Tabletext"/>
            </w:pPr>
          </w:p>
        </w:tc>
        <w:tc>
          <w:tcPr>
            <w:tcW w:w="2514" w:type="pct"/>
            <w:tcBorders>
              <w:top w:val="nil"/>
              <w:bottom w:val="nil"/>
            </w:tcBorders>
            <w:shd w:val="clear" w:color="auto" w:fill="auto"/>
          </w:tcPr>
          <w:p w14:paraId="1BE13A89" w14:textId="77777777" w:rsidR="0091727F" w:rsidRPr="005E3B43" w:rsidRDefault="0091727F" w:rsidP="0091727F">
            <w:pPr>
              <w:pStyle w:val="Tablea"/>
            </w:pPr>
            <w:r w:rsidRPr="005E3B43">
              <w:t>(a) for a biological in relation to which a biologicals (priority applicant) determination is in place</w:t>
            </w:r>
          </w:p>
        </w:tc>
        <w:tc>
          <w:tcPr>
            <w:tcW w:w="2060" w:type="pct"/>
            <w:tcBorders>
              <w:top w:val="nil"/>
              <w:bottom w:val="nil"/>
            </w:tcBorders>
            <w:shd w:val="clear" w:color="auto" w:fill="auto"/>
          </w:tcPr>
          <w:p w14:paraId="2A8F5AF5" w14:textId="77777777" w:rsidR="0091727F" w:rsidRPr="005E3B43" w:rsidRDefault="001C6E68" w:rsidP="0091727F">
            <w:pPr>
              <w:pStyle w:val="Tabletext"/>
            </w:pPr>
            <w:r w:rsidRPr="005E3B43">
              <w:t>290,462</w:t>
            </w:r>
            <w:r w:rsidR="0091727F" w:rsidRPr="005E3B43">
              <w:t xml:space="preserve"> for each evaluation</w:t>
            </w:r>
          </w:p>
        </w:tc>
      </w:tr>
      <w:tr w:rsidR="0091727F" w:rsidRPr="005E3B43" w14:paraId="41AC9035" w14:textId="77777777" w:rsidTr="007F5E99">
        <w:tblPrEx>
          <w:tblBorders>
            <w:insideH w:val="single" w:sz="2" w:space="0" w:color="auto"/>
          </w:tblBorders>
        </w:tblPrEx>
        <w:tc>
          <w:tcPr>
            <w:tcW w:w="426" w:type="pct"/>
            <w:tcBorders>
              <w:top w:val="nil"/>
              <w:bottom w:val="nil"/>
            </w:tcBorders>
            <w:shd w:val="clear" w:color="auto" w:fill="auto"/>
          </w:tcPr>
          <w:p w14:paraId="3DB66855" w14:textId="77777777" w:rsidR="0091727F" w:rsidRPr="005E3B43" w:rsidRDefault="0091727F" w:rsidP="0091727F">
            <w:pPr>
              <w:pStyle w:val="Tabletext"/>
            </w:pPr>
          </w:p>
        </w:tc>
        <w:tc>
          <w:tcPr>
            <w:tcW w:w="2514" w:type="pct"/>
            <w:tcBorders>
              <w:top w:val="nil"/>
              <w:bottom w:val="nil"/>
            </w:tcBorders>
            <w:shd w:val="clear" w:color="auto" w:fill="auto"/>
          </w:tcPr>
          <w:p w14:paraId="19CD4AF1" w14:textId="77777777" w:rsidR="0091727F" w:rsidRPr="005E3B43" w:rsidRDefault="0091727F" w:rsidP="0091727F">
            <w:pPr>
              <w:pStyle w:val="Tablea"/>
            </w:pPr>
            <w:r w:rsidRPr="005E3B43">
              <w:t>(b) in any other case</w:t>
            </w:r>
          </w:p>
        </w:tc>
        <w:tc>
          <w:tcPr>
            <w:tcW w:w="2060" w:type="pct"/>
            <w:tcBorders>
              <w:top w:val="nil"/>
              <w:bottom w:val="nil"/>
            </w:tcBorders>
            <w:shd w:val="clear" w:color="auto" w:fill="auto"/>
          </w:tcPr>
          <w:p w14:paraId="73C0ACA8" w14:textId="77777777" w:rsidR="0091727F" w:rsidRPr="005E3B43" w:rsidRDefault="001C6E68" w:rsidP="0091727F">
            <w:pPr>
              <w:pStyle w:val="Tabletext"/>
            </w:pPr>
            <w:r w:rsidRPr="005E3B43">
              <w:t>278,904</w:t>
            </w:r>
            <w:r w:rsidR="0091727F" w:rsidRPr="005E3B43">
              <w:t xml:space="preserve"> for each evaluation</w:t>
            </w:r>
          </w:p>
        </w:tc>
      </w:tr>
      <w:tr w:rsidR="0091727F" w:rsidRPr="005E3B43" w14:paraId="7954EFB6" w14:textId="77777777" w:rsidTr="005A786D">
        <w:tc>
          <w:tcPr>
            <w:tcW w:w="426" w:type="pct"/>
            <w:tcBorders>
              <w:top w:val="single" w:sz="4" w:space="0" w:color="auto"/>
              <w:bottom w:val="single" w:sz="4" w:space="0" w:color="auto"/>
            </w:tcBorders>
            <w:shd w:val="clear" w:color="auto" w:fill="auto"/>
          </w:tcPr>
          <w:p w14:paraId="14251FBE" w14:textId="77777777" w:rsidR="0091727F" w:rsidRPr="005E3B43" w:rsidRDefault="0091727F" w:rsidP="0091727F">
            <w:pPr>
              <w:pStyle w:val="Tabletext"/>
            </w:pPr>
            <w:r w:rsidRPr="005E3B43">
              <w:t>7</w:t>
            </w:r>
          </w:p>
        </w:tc>
        <w:tc>
          <w:tcPr>
            <w:tcW w:w="2514" w:type="pct"/>
            <w:tcBorders>
              <w:top w:val="single" w:sz="4" w:space="0" w:color="auto"/>
              <w:bottom w:val="single" w:sz="4" w:space="0" w:color="auto"/>
            </w:tcBorders>
            <w:shd w:val="clear" w:color="auto" w:fill="auto"/>
          </w:tcPr>
          <w:p w14:paraId="6F3F715F" w14:textId="77777777" w:rsidR="0091727F" w:rsidRPr="005E3B43" w:rsidRDefault="0091727F" w:rsidP="0091727F">
            <w:pPr>
              <w:pStyle w:val="Tabletext"/>
            </w:pPr>
            <w:r w:rsidRPr="005E3B43">
              <w:t>Evaluation of an ingredient or component of a biological under regulation 16GF, for use in multiple biologicals (for which application for registration would later be made)</w:t>
            </w:r>
          </w:p>
        </w:tc>
        <w:tc>
          <w:tcPr>
            <w:tcW w:w="2060" w:type="pct"/>
            <w:tcBorders>
              <w:top w:val="single" w:sz="4" w:space="0" w:color="auto"/>
              <w:bottom w:val="single" w:sz="4" w:space="0" w:color="auto"/>
            </w:tcBorders>
            <w:shd w:val="clear" w:color="auto" w:fill="auto"/>
          </w:tcPr>
          <w:p w14:paraId="6FED2FF0" w14:textId="77777777" w:rsidR="0091727F" w:rsidRPr="005E3B43" w:rsidRDefault="001C6E68" w:rsidP="0091727F">
            <w:pPr>
              <w:pStyle w:val="Tabletext"/>
            </w:pPr>
            <w:r w:rsidRPr="005E3B43">
              <w:t>27,913</w:t>
            </w:r>
            <w:r w:rsidR="0091727F" w:rsidRPr="005E3B43">
              <w:t xml:space="preserve"> for each evaluation</w:t>
            </w:r>
          </w:p>
        </w:tc>
      </w:tr>
      <w:tr w:rsidR="0091727F" w:rsidRPr="005E3B43" w14:paraId="7E574111" w14:textId="77777777" w:rsidTr="005A786D">
        <w:tc>
          <w:tcPr>
            <w:tcW w:w="426" w:type="pct"/>
            <w:tcBorders>
              <w:top w:val="single" w:sz="4" w:space="0" w:color="auto"/>
              <w:bottom w:val="single" w:sz="4" w:space="0" w:color="auto"/>
            </w:tcBorders>
            <w:shd w:val="clear" w:color="auto" w:fill="auto"/>
          </w:tcPr>
          <w:p w14:paraId="4A7D1E1D" w14:textId="77777777" w:rsidR="0091727F" w:rsidRPr="005E3B43" w:rsidRDefault="0091727F" w:rsidP="0091727F">
            <w:pPr>
              <w:pStyle w:val="Tabletext"/>
            </w:pPr>
            <w:r w:rsidRPr="005E3B43">
              <w:t>8</w:t>
            </w:r>
          </w:p>
        </w:tc>
        <w:tc>
          <w:tcPr>
            <w:tcW w:w="2514" w:type="pct"/>
            <w:tcBorders>
              <w:top w:val="single" w:sz="4" w:space="0" w:color="auto"/>
              <w:bottom w:val="single" w:sz="4" w:space="0" w:color="auto"/>
            </w:tcBorders>
            <w:shd w:val="clear" w:color="auto" w:fill="auto"/>
          </w:tcPr>
          <w:p w14:paraId="3CF92842" w14:textId="77777777" w:rsidR="0091727F" w:rsidRPr="005E3B43" w:rsidRDefault="0091727F" w:rsidP="0091727F">
            <w:pPr>
              <w:pStyle w:val="Tabletext"/>
            </w:pPr>
            <w:r w:rsidRPr="005E3B43">
              <w:t>Application under subsection 9D(3AA) or (3A) of the Act to vary the entry of a biological in the Register</w:t>
            </w:r>
          </w:p>
        </w:tc>
        <w:tc>
          <w:tcPr>
            <w:tcW w:w="2060" w:type="pct"/>
            <w:tcBorders>
              <w:top w:val="single" w:sz="4" w:space="0" w:color="auto"/>
              <w:bottom w:val="single" w:sz="4" w:space="0" w:color="auto"/>
            </w:tcBorders>
            <w:shd w:val="clear" w:color="auto" w:fill="auto"/>
          </w:tcPr>
          <w:p w14:paraId="3D8A5121" w14:textId="77777777" w:rsidR="0091727F" w:rsidRPr="005E3B43" w:rsidRDefault="00B61A79" w:rsidP="0091727F">
            <w:pPr>
              <w:pStyle w:val="Tabletext"/>
            </w:pPr>
            <w:r w:rsidRPr="005E3B43">
              <w:t>1,289</w:t>
            </w:r>
            <w:r w:rsidR="0091727F" w:rsidRPr="005E3B43">
              <w:t xml:space="preserve"> for each application</w:t>
            </w:r>
          </w:p>
        </w:tc>
      </w:tr>
      <w:tr w:rsidR="0091727F" w:rsidRPr="005E3B43" w14:paraId="1B066A3D" w14:textId="77777777" w:rsidTr="005A786D">
        <w:tc>
          <w:tcPr>
            <w:tcW w:w="426" w:type="pct"/>
            <w:tcBorders>
              <w:top w:val="single" w:sz="4" w:space="0" w:color="auto"/>
              <w:bottom w:val="single" w:sz="4" w:space="0" w:color="auto"/>
            </w:tcBorders>
            <w:shd w:val="clear" w:color="auto" w:fill="auto"/>
          </w:tcPr>
          <w:p w14:paraId="74682075" w14:textId="77777777" w:rsidR="0091727F" w:rsidRPr="005E3B43" w:rsidRDefault="0091727F" w:rsidP="0091727F">
            <w:pPr>
              <w:pStyle w:val="Tabletext"/>
            </w:pPr>
            <w:r w:rsidRPr="005E3B43">
              <w:t>8A</w:t>
            </w:r>
          </w:p>
        </w:tc>
        <w:tc>
          <w:tcPr>
            <w:tcW w:w="2514" w:type="pct"/>
            <w:tcBorders>
              <w:top w:val="single" w:sz="4" w:space="0" w:color="auto"/>
              <w:bottom w:val="single" w:sz="4" w:space="0" w:color="auto"/>
            </w:tcBorders>
            <w:shd w:val="clear" w:color="auto" w:fill="auto"/>
          </w:tcPr>
          <w:p w14:paraId="59B22F4C" w14:textId="77777777" w:rsidR="0091727F" w:rsidRPr="005E3B43" w:rsidRDefault="0091727F" w:rsidP="0091727F">
            <w:pPr>
              <w:pStyle w:val="Tabletext"/>
            </w:pPr>
            <w:r w:rsidRPr="005E3B43">
              <w:t>Evaluation of an application under subsection 9D(3AA) of the Act to vary the entry of a biological in the Register</w:t>
            </w:r>
          </w:p>
        </w:tc>
        <w:tc>
          <w:tcPr>
            <w:tcW w:w="2060" w:type="pct"/>
            <w:tcBorders>
              <w:top w:val="single" w:sz="4" w:space="0" w:color="auto"/>
              <w:bottom w:val="single" w:sz="4" w:space="0" w:color="auto"/>
            </w:tcBorders>
            <w:shd w:val="clear" w:color="auto" w:fill="auto"/>
          </w:tcPr>
          <w:p w14:paraId="23CD6E1F" w14:textId="77777777" w:rsidR="0091727F" w:rsidRPr="005E3B43" w:rsidRDefault="00B61A79" w:rsidP="0091727F">
            <w:pPr>
              <w:pStyle w:val="Tabletext"/>
            </w:pPr>
            <w:r w:rsidRPr="005E3B43">
              <w:t>7,865</w:t>
            </w:r>
            <w:r w:rsidR="0091727F" w:rsidRPr="005E3B43">
              <w:rPr>
                <w:lang w:eastAsia="en-US"/>
              </w:rPr>
              <w:t xml:space="preserve"> for each evaluation</w:t>
            </w:r>
          </w:p>
        </w:tc>
      </w:tr>
      <w:tr w:rsidR="0091727F" w:rsidRPr="005E3B43" w14:paraId="28DD626C" w14:textId="77777777" w:rsidTr="005A786D">
        <w:tc>
          <w:tcPr>
            <w:tcW w:w="426" w:type="pct"/>
            <w:tcBorders>
              <w:top w:val="single" w:sz="4" w:space="0" w:color="auto"/>
              <w:bottom w:val="single" w:sz="4" w:space="0" w:color="auto"/>
            </w:tcBorders>
            <w:shd w:val="clear" w:color="auto" w:fill="auto"/>
          </w:tcPr>
          <w:p w14:paraId="60266ADE" w14:textId="77777777" w:rsidR="0091727F" w:rsidRPr="005E3B43" w:rsidRDefault="0091727F" w:rsidP="0091727F">
            <w:pPr>
              <w:pStyle w:val="Tabletext"/>
            </w:pPr>
            <w:r w:rsidRPr="005E3B43">
              <w:t>9</w:t>
            </w:r>
          </w:p>
        </w:tc>
        <w:tc>
          <w:tcPr>
            <w:tcW w:w="2514" w:type="pct"/>
            <w:tcBorders>
              <w:top w:val="single" w:sz="4" w:space="0" w:color="auto"/>
              <w:bottom w:val="single" w:sz="4" w:space="0" w:color="auto"/>
            </w:tcBorders>
            <w:shd w:val="clear" w:color="auto" w:fill="auto"/>
          </w:tcPr>
          <w:p w14:paraId="3CDEB624" w14:textId="77777777" w:rsidR="0091727F" w:rsidRPr="005E3B43" w:rsidRDefault="0091727F" w:rsidP="0091727F">
            <w:pPr>
              <w:pStyle w:val="Tabletext"/>
            </w:pPr>
            <w:r w:rsidRPr="005E3B43">
              <w:t>Evaluation of an application under subsection 9D(3A) of the Act to vary the entry of a Class 2 biological in the Register</w:t>
            </w:r>
          </w:p>
        </w:tc>
        <w:tc>
          <w:tcPr>
            <w:tcW w:w="2060" w:type="pct"/>
            <w:tcBorders>
              <w:top w:val="single" w:sz="4" w:space="0" w:color="auto"/>
              <w:bottom w:val="single" w:sz="4" w:space="0" w:color="auto"/>
            </w:tcBorders>
            <w:shd w:val="clear" w:color="auto" w:fill="auto"/>
          </w:tcPr>
          <w:p w14:paraId="46FE67B5" w14:textId="77777777" w:rsidR="0091727F" w:rsidRPr="005E3B43" w:rsidRDefault="00B61A79" w:rsidP="0091727F">
            <w:pPr>
              <w:pStyle w:val="Tabletext"/>
            </w:pPr>
            <w:r w:rsidRPr="005E3B43">
              <w:t>7,865</w:t>
            </w:r>
            <w:r w:rsidR="0091727F" w:rsidRPr="005E3B43">
              <w:t xml:space="preserve"> for each evaluation</w:t>
            </w:r>
          </w:p>
        </w:tc>
      </w:tr>
      <w:tr w:rsidR="0091727F" w:rsidRPr="005E3B43" w14:paraId="6F543117" w14:textId="77777777" w:rsidTr="005A786D">
        <w:trPr>
          <w:cantSplit/>
        </w:trPr>
        <w:tc>
          <w:tcPr>
            <w:tcW w:w="426" w:type="pct"/>
            <w:tcBorders>
              <w:top w:val="single" w:sz="4" w:space="0" w:color="auto"/>
              <w:bottom w:val="single" w:sz="4" w:space="0" w:color="auto"/>
            </w:tcBorders>
            <w:shd w:val="clear" w:color="auto" w:fill="auto"/>
          </w:tcPr>
          <w:p w14:paraId="501590A4" w14:textId="77777777" w:rsidR="0091727F" w:rsidRPr="005E3B43" w:rsidRDefault="0091727F" w:rsidP="0091727F">
            <w:pPr>
              <w:pStyle w:val="Tabletext"/>
            </w:pPr>
            <w:r w:rsidRPr="005E3B43">
              <w:t>10</w:t>
            </w:r>
          </w:p>
        </w:tc>
        <w:tc>
          <w:tcPr>
            <w:tcW w:w="2514" w:type="pct"/>
            <w:tcBorders>
              <w:top w:val="single" w:sz="4" w:space="0" w:color="auto"/>
              <w:bottom w:val="single" w:sz="4" w:space="0" w:color="auto"/>
            </w:tcBorders>
            <w:shd w:val="clear" w:color="auto" w:fill="auto"/>
          </w:tcPr>
          <w:p w14:paraId="665AC163" w14:textId="77777777" w:rsidR="0091727F" w:rsidRPr="005E3B43" w:rsidRDefault="0091727F" w:rsidP="0091727F">
            <w:pPr>
              <w:pStyle w:val="Tabletext"/>
            </w:pPr>
            <w:r w:rsidRPr="005E3B43">
              <w:t>Evaluation of an application under subsection 9D(3A) of the Act to vary the entry of a Class 3 or Class 4 biological in the Register, if the variation is a minor variation</w:t>
            </w:r>
          </w:p>
        </w:tc>
        <w:tc>
          <w:tcPr>
            <w:tcW w:w="2060" w:type="pct"/>
            <w:tcBorders>
              <w:top w:val="single" w:sz="4" w:space="0" w:color="auto"/>
              <w:bottom w:val="single" w:sz="4" w:space="0" w:color="auto"/>
            </w:tcBorders>
            <w:shd w:val="clear" w:color="auto" w:fill="auto"/>
          </w:tcPr>
          <w:p w14:paraId="42B9DCB0" w14:textId="77777777" w:rsidR="0091727F" w:rsidRPr="005E3B43" w:rsidRDefault="00B61A79" w:rsidP="0091727F">
            <w:pPr>
              <w:pStyle w:val="Tabletext"/>
            </w:pPr>
            <w:r w:rsidRPr="005E3B43">
              <w:t>20,680</w:t>
            </w:r>
            <w:r w:rsidR="0091727F" w:rsidRPr="005E3B43">
              <w:t xml:space="preserve"> for each evaluation</w:t>
            </w:r>
          </w:p>
        </w:tc>
      </w:tr>
      <w:tr w:rsidR="0091727F" w:rsidRPr="005E3B43" w14:paraId="7ABFA9C5" w14:textId="77777777" w:rsidTr="005A786D">
        <w:trPr>
          <w:cantSplit/>
        </w:trPr>
        <w:tc>
          <w:tcPr>
            <w:tcW w:w="426" w:type="pct"/>
            <w:tcBorders>
              <w:top w:val="single" w:sz="4" w:space="0" w:color="auto"/>
              <w:bottom w:val="single" w:sz="4" w:space="0" w:color="auto"/>
            </w:tcBorders>
            <w:shd w:val="clear" w:color="auto" w:fill="auto"/>
          </w:tcPr>
          <w:p w14:paraId="0BEC2171" w14:textId="77777777" w:rsidR="0091727F" w:rsidRPr="005E3B43" w:rsidRDefault="0091727F" w:rsidP="0091727F">
            <w:pPr>
              <w:pStyle w:val="Tabletext"/>
            </w:pPr>
            <w:r w:rsidRPr="005E3B43">
              <w:t>11</w:t>
            </w:r>
          </w:p>
        </w:tc>
        <w:tc>
          <w:tcPr>
            <w:tcW w:w="2514" w:type="pct"/>
            <w:tcBorders>
              <w:top w:val="single" w:sz="4" w:space="0" w:color="auto"/>
              <w:bottom w:val="single" w:sz="4" w:space="0" w:color="auto"/>
            </w:tcBorders>
            <w:shd w:val="clear" w:color="auto" w:fill="auto"/>
          </w:tcPr>
          <w:p w14:paraId="7CCB96AE" w14:textId="77777777" w:rsidR="0091727F" w:rsidRPr="005E3B43" w:rsidRDefault="0091727F" w:rsidP="0091727F">
            <w:pPr>
              <w:pStyle w:val="Tabletext"/>
            </w:pPr>
            <w:r w:rsidRPr="005E3B43">
              <w:t>Evaluation of an application under subsection 9D(3A) of the Act to vary the entry of a Class 3 or Class 4 biological in the Register, if the variation is a major variation</w:t>
            </w:r>
          </w:p>
        </w:tc>
        <w:tc>
          <w:tcPr>
            <w:tcW w:w="2060" w:type="pct"/>
            <w:tcBorders>
              <w:top w:val="single" w:sz="4" w:space="0" w:color="auto"/>
              <w:bottom w:val="single" w:sz="4" w:space="0" w:color="auto"/>
            </w:tcBorders>
            <w:shd w:val="clear" w:color="auto" w:fill="auto"/>
          </w:tcPr>
          <w:p w14:paraId="29609EFA" w14:textId="77777777" w:rsidR="0091727F" w:rsidRPr="005E3B43" w:rsidRDefault="00F0316D" w:rsidP="0091727F">
            <w:pPr>
              <w:pStyle w:val="Tabletext"/>
            </w:pPr>
            <w:r w:rsidRPr="005E3B43">
              <w:t>40,683</w:t>
            </w:r>
            <w:r w:rsidR="0091727F" w:rsidRPr="005E3B43">
              <w:t xml:space="preserve"> for each evaluation</w:t>
            </w:r>
          </w:p>
        </w:tc>
      </w:tr>
      <w:tr w:rsidR="0091727F" w:rsidRPr="005E3B43" w14:paraId="63728DFC" w14:textId="77777777" w:rsidTr="000C6FCB">
        <w:trPr>
          <w:cantSplit/>
        </w:trPr>
        <w:tc>
          <w:tcPr>
            <w:tcW w:w="426" w:type="pct"/>
            <w:tcBorders>
              <w:top w:val="single" w:sz="4" w:space="0" w:color="auto"/>
              <w:bottom w:val="nil"/>
            </w:tcBorders>
            <w:shd w:val="clear" w:color="auto" w:fill="auto"/>
          </w:tcPr>
          <w:p w14:paraId="25E0D950" w14:textId="77777777" w:rsidR="0091727F" w:rsidRPr="005E3B43" w:rsidRDefault="0091727F" w:rsidP="0091727F">
            <w:pPr>
              <w:pStyle w:val="Tabletext"/>
            </w:pPr>
            <w:r w:rsidRPr="005E3B43">
              <w:t>11A</w:t>
            </w:r>
          </w:p>
        </w:tc>
        <w:tc>
          <w:tcPr>
            <w:tcW w:w="2514" w:type="pct"/>
            <w:tcBorders>
              <w:top w:val="single" w:sz="4" w:space="0" w:color="auto"/>
              <w:bottom w:val="nil"/>
            </w:tcBorders>
            <w:shd w:val="clear" w:color="auto" w:fill="auto"/>
          </w:tcPr>
          <w:p w14:paraId="3DFD9785" w14:textId="404F479B" w:rsidR="0091727F" w:rsidRPr="005E3B43" w:rsidRDefault="0091727F" w:rsidP="0091727F">
            <w:pPr>
              <w:pStyle w:val="Tabletext"/>
            </w:pPr>
            <w:r w:rsidRPr="005E3B43">
              <w:t xml:space="preserve">Application fee for processing an application for consent under </w:t>
            </w:r>
            <w:r w:rsidR="007C3215">
              <w:t>section 1</w:t>
            </w:r>
            <w:r w:rsidRPr="005E3B43">
              <w:t>4 or 14A of the Act:</w:t>
            </w:r>
          </w:p>
        </w:tc>
        <w:tc>
          <w:tcPr>
            <w:tcW w:w="2060" w:type="pct"/>
            <w:tcBorders>
              <w:top w:val="single" w:sz="4" w:space="0" w:color="auto"/>
              <w:bottom w:val="nil"/>
            </w:tcBorders>
            <w:shd w:val="clear" w:color="auto" w:fill="auto"/>
          </w:tcPr>
          <w:p w14:paraId="44AAB1C4" w14:textId="77777777" w:rsidR="0091727F" w:rsidRPr="005E3B43" w:rsidRDefault="0091727F" w:rsidP="0091727F">
            <w:pPr>
              <w:pStyle w:val="Tabletext"/>
            </w:pPr>
          </w:p>
        </w:tc>
      </w:tr>
      <w:tr w:rsidR="0091727F" w:rsidRPr="005E3B43" w14:paraId="723B57CA" w14:textId="77777777" w:rsidTr="000C6FCB">
        <w:trPr>
          <w:cantSplit/>
        </w:trPr>
        <w:tc>
          <w:tcPr>
            <w:tcW w:w="426" w:type="pct"/>
            <w:tcBorders>
              <w:top w:val="nil"/>
              <w:bottom w:val="nil"/>
            </w:tcBorders>
            <w:shd w:val="clear" w:color="auto" w:fill="auto"/>
          </w:tcPr>
          <w:p w14:paraId="3CBDD7F6" w14:textId="77777777" w:rsidR="0091727F" w:rsidRPr="005E3B43" w:rsidRDefault="0091727F" w:rsidP="0091727F">
            <w:pPr>
              <w:pStyle w:val="Tabletext"/>
            </w:pPr>
          </w:p>
        </w:tc>
        <w:tc>
          <w:tcPr>
            <w:tcW w:w="2514" w:type="pct"/>
            <w:tcBorders>
              <w:top w:val="nil"/>
              <w:bottom w:val="nil"/>
            </w:tcBorders>
            <w:shd w:val="clear" w:color="auto" w:fill="auto"/>
          </w:tcPr>
          <w:p w14:paraId="5A12C2EB" w14:textId="77777777" w:rsidR="0091727F" w:rsidRPr="005E3B43" w:rsidRDefault="0091727F" w:rsidP="0091727F">
            <w:pPr>
              <w:pStyle w:val="Tablea"/>
              <w:ind w:right="-52"/>
            </w:pPr>
            <w:r w:rsidRPr="005E3B43">
              <w:t>(a) for an application relating to goods that are biologicals to which a single entry in the Register relates</w:t>
            </w:r>
          </w:p>
        </w:tc>
        <w:tc>
          <w:tcPr>
            <w:tcW w:w="2060" w:type="pct"/>
            <w:tcBorders>
              <w:top w:val="nil"/>
              <w:bottom w:val="nil"/>
            </w:tcBorders>
            <w:shd w:val="clear" w:color="auto" w:fill="auto"/>
          </w:tcPr>
          <w:p w14:paraId="1CCCA750" w14:textId="77777777" w:rsidR="0091727F" w:rsidRPr="005E3B43" w:rsidRDefault="00F0316D" w:rsidP="0091727F">
            <w:pPr>
              <w:pStyle w:val="Tabletext"/>
            </w:pPr>
            <w:r w:rsidRPr="005E3B43">
              <w:t>565</w:t>
            </w:r>
            <w:r w:rsidR="0091727F" w:rsidRPr="005E3B43">
              <w:t xml:space="preserve"> (for all the goods to which the application relates)</w:t>
            </w:r>
          </w:p>
        </w:tc>
      </w:tr>
      <w:tr w:rsidR="0091727F" w:rsidRPr="005E3B43" w14:paraId="0AA39101" w14:textId="77777777" w:rsidTr="000C6FCB">
        <w:trPr>
          <w:cantSplit/>
        </w:trPr>
        <w:tc>
          <w:tcPr>
            <w:tcW w:w="426" w:type="pct"/>
            <w:tcBorders>
              <w:top w:val="nil"/>
              <w:bottom w:val="single" w:sz="4" w:space="0" w:color="auto"/>
            </w:tcBorders>
            <w:shd w:val="clear" w:color="auto" w:fill="auto"/>
          </w:tcPr>
          <w:p w14:paraId="69A3D545" w14:textId="77777777" w:rsidR="0091727F" w:rsidRPr="005E3B43" w:rsidRDefault="0091727F" w:rsidP="0091727F">
            <w:pPr>
              <w:pStyle w:val="Tabletext"/>
            </w:pPr>
          </w:p>
        </w:tc>
        <w:tc>
          <w:tcPr>
            <w:tcW w:w="2514" w:type="pct"/>
            <w:tcBorders>
              <w:top w:val="nil"/>
              <w:bottom w:val="single" w:sz="4" w:space="0" w:color="auto"/>
            </w:tcBorders>
            <w:shd w:val="clear" w:color="auto" w:fill="auto"/>
          </w:tcPr>
          <w:p w14:paraId="4D399FB1" w14:textId="77777777" w:rsidR="0091727F" w:rsidRPr="005E3B43" w:rsidRDefault="0091727F" w:rsidP="0091727F">
            <w:pPr>
              <w:pStyle w:val="Tablea"/>
              <w:ind w:right="-52"/>
            </w:pPr>
            <w:r w:rsidRPr="005E3B43">
              <w:t>(b) for an application relating to goods that are biologicals to which both of the following apply:</w:t>
            </w:r>
          </w:p>
          <w:p w14:paraId="36B02B28" w14:textId="77777777" w:rsidR="0091727F" w:rsidRPr="005E3B43" w:rsidRDefault="0091727F" w:rsidP="0091727F">
            <w:pPr>
              <w:pStyle w:val="Tablei"/>
            </w:pPr>
            <w:r w:rsidRPr="005E3B43">
              <w:t>(i) there are separate entries in the Register in relation to the goods;</w:t>
            </w:r>
          </w:p>
          <w:p w14:paraId="1F747FEA" w14:textId="77777777" w:rsidR="0091727F" w:rsidRPr="005E3B43" w:rsidRDefault="0091727F" w:rsidP="0091727F">
            <w:pPr>
              <w:pStyle w:val="Tablei"/>
            </w:pPr>
            <w:r w:rsidRPr="005E3B43">
              <w:t>(ii) the way in which the goods do not conform with a standard applicable to the goods is the same for all the goods</w:t>
            </w:r>
          </w:p>
        </w:tc>
        <w:tc>
          <w:tcPr>
            <w:tcW w:w="2060" w:type="pct"/>
            <w:tcBorders>
              <w:top w:val="nil"/>
              <w:bottom w:val="single" w:sz="4" w:space="0" w:color="auto"/>
            </w:tcBorders>
            <w:shd w:val="clear" w:color="auto" w:fill="auto"/>
          </w:tcPr>
          <w:p w14:paraId="535BFA71" w14:textId="77777777" w:rsidR="0091727F" w:rsidRPr="005E3B43" w:rsidRDefault="00F0316D" w:rsidP="0091727F">
            <w:pPr>
              <w:pStyle w:val="Tabletext"/>
            </w:pPr>
            <w:r w:rsidRPr="005E3B43">
              <w:t>565</w:t>
            </w:r>
            <w:r w:rsidR="0091727F" w:rsidRPr="005E3B43">
              <w:t xml:space="preserve"> for the first entry plus </w:t>
            </w:r>
            <w:r w:rsidR="002E266B" w:rsidRPr="005E3B43">
              <w:t>113</w:t>
            </w:r>
            <w:r w:rsidR="0091727F" w:rsidRPr="005E3B43">
              <w:t xml:space="preserve"> for each additional entry</w:t>
            </w:r>
          </w:p>
        </w:tc>
      </w:tr>
      <w:tr w:rsidR="0091727F" w:rsidRPr="005E3B43" w14:paraId="66C87221" w14:textId="77777777" w:rsidTr="005A786D">
        <w:tc>
          <w:tcPr>
            <w:tcW w:w="426" w:type="pct"/>
            <w:tcBorders>
              <w:top w:val="single" w:sz="4" w:space="0" w:color="auto"/>
              <w:bottom w:val="single" w:sz="4" w:space="0" w:color="auto"/>
            </w:tcBorders>
            <w:shd w:val="clear" w:color="auto" w:fill="auto"/>
          </w:tcPr>
          <w:p w14:paraId="3FFE7F92" w14:textId="77777777" w:rsidR="0091727F" w:rsidRPr="005E3B43" w:rsidRDefault="0091727F" w:rsidP="0091727F">
            <w:pPr>
              <w:pStyle w:val="Tabletext"/>
            </w:pPr>
            <w:r w:rsidRPr="005E3B43">
              <w:t>12</w:t>
            </w:r>
          </w:p>
        </w:tc>
        <w:tc>
          <w:tcPr>
            <w:tcW w:w="2514" w:type="pct"/>
            <w:tcBorders>
              <w:top w:val="single" w:sz="4" w:space="0" w:color="auto"/>
              <w:bottom w:val="single" w:sz="4" w:space="0" w:color="auto"/>
            </w:tcBorders>
            <w:shd w:val="clear" w:color="auto" w:fill="auto"/>
          </w:tcPr>
          <w:p w14:paraId="2170E453" w14:textId="77777777" w:rsidR="0091727F" w:rsidRPr="005E3B43" w:rsidRDefault="0091727F" w:rsidP="0091727F">
            <w:pPr>
              <w:pStyle w:val="Tabletext"/>
            </w:pPr>
            <w:r w:rsidRPr="005E3B43">
              <w:t>Inspection fee—initial manufacturing audit (Australia and overseas) for paragraphs 32DE (1) (e), 38(1)(c) and 58(3)(b) of the Act</w:t>
            </w:r>
          </w:p>
        </w:tc>
        <w:tc>
          <w:tcPr>
            <w:tcW w:w="2060" w:type="pct"/>
            <w:tcBorders>
              <w:top w:val="single" w:sz="4" w:space="0" w:color="auto"/>
              <w:bottom w:val="single" w:sz="4" w:space="0" w:color="auto"/>
            </w:tcBorders>
            <w:shd w:val="clear" w:color="auto" w:fill="auto"/>
          </w:tcPr>
          <w:p w14:paraId="02F4074B" w14:textId="77777777" w:rsidR="0091727F" w:rsidRPr="005E3B43" w:rsidRDefault="002E266B" w:rsidP="0091727F">
            <w:pPr>
              <w:pStyle w:val="Tabletext"/>
            </w:pPr>
            <w:r w:rsidRPr="005E3B43">
              <w:t>25,426</w:t>
            </w:r>
            <w:r w:rsidR="0091727F" w:rsidRPr="005E3B43">
              <w:t xml:space="preserve"> for each inspection</w:t>
            </w:r>
          </w:p>
        </w:tc>
      </w:tr>
      <w:tr w:rsidR="0091727F" w:rsidRPr="005E3B43" w14:paraId="4D6E0CEF" w14:textId="77777777" w:rsidTr="005A786D">
        <w:tc>
          <w:tcPr>
            <w:tcW w:w="426" w:type="pct"/>
            <w:tcBorders>
              <w:top w:val="single" w:sz="4" w:space="0" w:color="auto"/>
              <w:bottom w:val="single" w:sz="4" w:space="0" w:color="auto"/>
            </w:tcBorders>
            <w:shd w:val="clear" w:color="auto" w:fill="auto"/>
          </w:tcPr>
          <w:p w14:paraId="32CF4A70" w14:textId="77777777" w:rsidR="0091727F" w:rsidRPr="005E3B43" w:rsidRDefault="0091727F" w:rsidP="0091727F">
            <w:pPr>
              <w:pStyle w:val="Tabletext"/>
            </w:pPr>
            <w:r w:rsidRPr="005E3B43">
              <w:t>13</w:t>
            </w:r>
          </w:p>
        </w:tc>
        <w:tc>
          <w:tcPr>
            <w:tcW w:w="2514" w:type="pct"/>
            <w:tcBorders>
              <w:top w:val="single" w:sz="4" w:space="0" w:color="auto"/>
              <w:bottom w:val="single" w:sz="4" w:space="0" w:color="auto"/>
            </w:tcBorders>
            <w:shd w:val="clear" w:color="auto" w:fill="auto"/>
          </w:tcPr>
          <w:p w14:paraId="55676B20" w14:textId="77777777" w:rsidR="0091727F" w:rsidRPr="005E3B43" w:rsidRDefault="0091727F" w:rsidP="0091727F">
            <w:pPr>
              <w:pStyle w:val="Tabletext"/>
            </w:pPr>
            <w:r w:rsidRPr="005E3B43">
              <w:t>Inspection fee—subsequent Manufacturing Audit (Australia and overseas) for paragraphs 41 (1)(f) and 58(3)(b) of the Act</w:t>
            </w:r>
          </w:p>
        </w:tc>
        <w:tc>
          <w:tcPr>
            <w:tcW w:w="2060" w:type="pct"/>
            <w:tcBorders>
              <w:top w:val="single" w:sz="4" w:space="0" w:color="auto"/>
              <w:bottom w:val="single" w:sz="4" w:space="0" w:color="auto"/>
            </w:tcBorders>
            <w:shd w:val="clear" w:color="auto" w:fill="auto"/>
          </w:tcPr>
          <w:p w14:paraId="7B858C8E" w14:textId="77777777" w:rsidR="0091727F" w:rsidRPr="005E3B43" w:rsidRDefault="002E266B" w:rsidP="0091727F">
            <w:pPr>
              <w:pStyle w:val="Tabletext"/>
            </w:pPr>
            <w:r w:rsidRPr="005E3B43">
              <w:t>19,324</w:t>
            </w:r>
            <w:r w:rsidR="0091727F" w:rsidRPr="005E3B43">
              <w:t xml:space="preserve"> for each inspection</w:t>
            </w:r>
          </w:p>
        </w:tc>
      </w:tr>
      <w:tr w:rsidR="0091727F" w:rsidRPr="005E3B43" w14:paraId="16DDD57A" w14:textId="77777777" w:rsidTr="005A786D">
        <w:tc>
          <w:tcPr>
            <w:tcW w:w="426" w:type="pct"/>
            <w:tcBorders>
              <w:top w:val="single" w:sz="4" w:space="0" w:color="auto"/>
              <w:bottom w:val="single" w:sz="4" w:space="0" w:color="auto"/>
            </w:tcBorders>
            <w:shd w:val="clear" w:color="auto" w:fill="auto"/>
          </w:tcPr>
          <w:p w14:paraId="11F315A7" w14:textId="77777777" w:rsidR="0091727F" w:rsidRPr="005E3B43" w:rsidRDefault="0091727F" w:rsidP="0091727F">
            <w:pPr>
              <w:pStyle w:val="Tabletext"/>
            </w:pPr>
            <w:r w:rsidRPr="005E3B43">
              <w:t>14</w:t>
            </w:r>
          </w:p>
        </w:tc>
        <w:tc>
          <w:tcPr>
            <w:tcW w:w="2514" w:type="pct"/>
            <w:tcBorders>
              <w:top w:val="single" w:sz="4" w:space="0" w:color="auto"/>
              <w:bottom w:val="single" w:sz="4" w:space="0" w:color="auto"/>
            </w:tcBorders>
            <w:shd w:val="clear" w:color="auto" w:fill="auto"/>
          </w:tcPr>
          <w:p w14:paraId="35925F91" w14:textId="65068C74" w:rsidR="0091727F" w:rsidRPr="005E3B43" w:rsidRDefault="0091727F" w:rsidP="0091727F">
            <w:pPr>
              <w:pStyle w:val="Tabletext"/>
            </w:pPr>
            <w:r w:rsidRPr="005E3B43">
              <w:t xml:space="preserve">Inspection fee—in addition to an inspection fee mentioned in </w:t>
            </w:r>
            <w:r w:rsidR="007C3215">
              <w:t>item 1</w:t>
            </w:r>
            <w:r w:rsidRPr="005E3B43">
              <w:t>2 or 13 above for an inspection that is required to be conducted outside Australia</w:t>
            </w:r>
          </w:p>
        </w:tc>
        <w:tc>
          <w:tcPr>
            <w:tcW w:w="2060" w:type="pct"/>
            <w:tcBorders>
              <w:top w:val="single" w:sz="4" w:space="0" w:color="auto"/>
              <w:bottom w:val="single" w:sz="4" w:space="0" w:color="auto"/>
            </w:tcBorders>
            <w:shd w:val="clear" w:color="auto" w:fill="auto"/>
          </w:tcPr>
          <w:p w14:paraId="4B69047C" w14:textId="77777777" w:rsidR="0091727F" w:rsidRPr="005E3B43" w:rsidRDefault="002E266B" w:rsidP="0091727F">
            <w:pPr>
              <w:pStyle w:val="Tabletext"/>
            </w:pPr>
            <w:r w:rsidRPr="005E3B43">
              <w:t>790</w:t>
            </w:r>
            <w:r w:rsidR="0091727F" w:rsidRPr="005E3B43">
              <w:t xml:space="preserve"> for each hour of preparation by each inspector</w:t>
            </w:r>
          </w:p>
        </w:tc>
      </w:tr>
      <w:tr w:rsidR="0091727F" w:rsidRPr="005E3B43" w14:paraId="052D47FA" w14:textId="77777777" w:rsidTr="00422814">
        <w:trPr>
          <w:cantSplit/>
        </w:trPr>
        <w:tc>
          <w:tcPr>
            <w:tcW w:w="426" w:type="pct"/>
            <w:tcBorders>
              <w:top w:val="single" w:sz="4" w:space="0" w:color="auto"/>
              <w:bottom w:val="single" w:sz="4" w:space="0" w:color="auto"/>
            </w:tcBorders>
            <w:shd w:val="clear" w:color="auto" w:fill="auto"/>
          </w:tcPr>
          <w:p w14:paraId="57536749" w14:textId="77777777" w:rsidR="0091727F" w:rsidRPr="005E3B43" w:rsidRDefault="0091727F" w:rsidP="0091727F">
            <w:pPr>
              <w:pStyle w:val="Tabletext"/>
            </w:pPr>
            <w:r w:rsidRPr="005E3B43">
              <w:lastRenderedPageBreak/>
              <w:t>15</w:t>
            </w:r>
          </w:p>
        </w:tc>
        <w:tc>
          <w:tcPr>
            <w:tcW w:w="2514" w:type="pct"/>
            <w:tcBorders>
              <w:top w:val="single" w:sz="4" w:space="0" w:color="auto"/>
              <w:bottom w:val="single" w:sz="4" w:space="0" w:color="auto"/>
            </w:tcBorders>
            <w:shd w:val="clear" w:color="auto" w:fill="auto"/>
          </w:tcPr>
          <w:p w14:paraId="35AE3DAD" w14:textId="1218B430" w:rsidR="0091727F" w:rsidRPr="005E3B43" w:rsidRDefault="0091727F" w:rsidP="0091727F">
            <w:pPr>
              <w:pStyle w:val="Tabletext"/>
            </w:pPr>
            <w:r w:rsidRPr="005E3B43">
              <w:t xml:space="preserve">Inspection fee—in addition to an inspection fee mentioned in </w:t>
            </w:r>
            <w:r w:rsidR="007C3215">
              <w:t>item 1</w:t>
            </w:r>
            <w:r w:rsidRPr="005E3B43">
              <w:t>2 or 13 above for an inspection that is required to be conducted outside Australia</w:t>
            </w:r>
          </w:p>
        </w:tc>
        <w:tc>
          <w:tcPr>
            <w:tcW w:w="2060" w:type="pct"/>
            <w:tcBorders>
              <w:top w:val="single" w:sz="4" w:space="0" w:color="auto"/>
              <w:bottom w:val="single" w:sz="4" w:space="0" w:color="auto"/>
            </w:tcBorders>
            <w:shd w:val="clear" w:color="auto" w:fill="auto"/>
          </w:tcPr>
          <w:p w14:paraId="7880EDBC" w14:textId="77777777" w:rsidR="0091727F" w:rsidRPr="005E3B43" w:rsidRDefault="0091727F" w:rsidP="0091727F">
            <w:pPr>
              <w:pStyle w:val="Tabletext"/>
            </w:pPr>
            <w:r w:rsidRPr="005E3B43">
              <w:t>Amount of costs and reasonable expenses of travel by each inspector, including costs for accommodation and allowance outside Australia</w:t>
            </w:r>
          </w:p>
        </w:tc>
      </w:tr>
      <w:tr w:rsidR="0091727F" w:rsidRPr="005E3B43" w14:paraId="5BFC4F60" w14:textId="77777777" w:rsidTr="005A786D">
        <w:tc>
          <w:tcPr>
            <w:tcW w:w="426" w:type="pct"/>
            <w:tcBorders>
              <w:top w:val="single" w:sz="4" w:space="0" w:color="auto"/>
              <w:bottom w:val="single" w:sz="4" w:space="0" w:color="auto"/>
            </w:tcBorders>
            <w:shd w:val="clear" w:color="auto" w:fill="auto"/>
          </w:tcPr>
          <w:p w14:paraId="352EECE8" w14:textId="77777777" w:rsidR="0091727F" w:rsidRPr="005E3B43" w:rsidRDefault="0091727F" w:rsidP="0091727F">
            <w:pPr>
              <w:pStyle w:val="Tabletext"/>
            </w:pPr>
            <w:r w:rsidRPr="005E3B43">
              <w:t>16</w:t>
            </w:r>
          </w:p>
        </w:tc>
        <w:tc>
          <w:tcPr>
            <w:tcW w:w="2514" w:type="pct"/>
            <w:tcBorders>
              <w:top w:val="single" w:sz="4" w:space="0" w:color="auto"/>
              <w:bottom w:val="single" w:sz="4" w:space="0" w:color="auto"/>
            </w:tcBorders>
            <w:shd w:val="clear" w:color="auto" w:fill="auto"/>
          </w:tcPr>
          <w:p w14:paraId="644344C4" w14:textId="77777777" w:rsidR="0091727F" w:rsidRPr="005E3B43" w:rsidRDefault="0091727F" w:rsidP="0091727F">
            <w:pPr>
              <w:pStyle w:val="Tabletext"/>
            </w:pPr>
            <w:r w:rsidRPr="005E3B43">
              <w:t>Evaluation fee for subsection 32CK(4) of the Act</w:t>
            </w:r>
          </w:p>
        </w:tc>
        <w:tc>
          <w:tcPr>
            <w:tcW w:w="2060" w:type="pct"/>
            <w:tcBorders>
              <w:top w:val="single" w:sz="4" w:space="0" w:color="auto"/>
              <w:bottom w:val="single" w:sz="4" w:space="0" w:color="auto"/>
            </w:tcBorders>
            <w:shd w:val="clear" w:color="auto" w:fill="auto"/>
          </w:tcPr>
          <w:p w14:paraId="03B1EDCC" w14:textId="77777777" w:rsidR="0091727F" w:rsidRPr="005E3B43" w:rsidRDefault="003729F2" w:rsidP="0091727F">
            <w:pPr>
              <w:pStyle w:val="Tabletext"/>
            </w:pPr>
            <w:r w:rsidRPr="005E3B43">
              <w:t>30,964</w:t>
            </w:r>
            <w:r w:rsidR="0091727F" w:rsidRPr="005E3B43">
              <w:t xml:space="preserve"> for each evaluation</w:t>
            </w:r>
          </w:p>
        </w:tc>
      </w:tr>
      <w:tr w:rsidR="0091727F" w:rsidRPr="005E3B43" w14:paraId="2FA6D912" w14:textId="77777777" w:rsidTr="005A786D">
        <w:tc>
          <w:tcPr>
            <w:tcW w:w="426" w:type="pct"/>
            <w:tcBorders>
              <w:top w:val="single" w:sz="4" w:space="0" w:color="auto"/>
              <w:bottom w:val="single" w:sz="4" w:space="0" w:color="auto"/>
            </w:tcBorders>
            <w:shd w:val="clear" w:color="auto" w:fill="auto"/>
          </w:tcPr>
          <w:p w14:paraId="797DEC6A" w14:textId="77777777" w:rsidR="0091727F" w:rsidRPr="005E3B43" w:rsidRDefault="0091727F" w:rsidP="0091727F">
            <w:pPr>
              <w:pStyle w:val="Tabletext"/>
            </w:pPr>
            <w:r w:rsidRPr="005E3B43">
              <w:t>16AA</w:t>
            </w:r>
          </w:p>
        </w:tc>
        <w:tc>
          <w:tcPr>
            <w:tcW w:w="2514" w:type="pct"/>
            <w:tcBorders>
              <w:top w:val="single" w:sz="4" w:space="0" w:color="auto"/>
              <w:bottom w:val="single" w:sz="4" w:space="0" w:color="auto"/>
            </w:tcBorders>
            <w:shd w:val="clear" w:color="auto" w:fill="auto"/>
          </w:tcPr>
          <w:p w14:paraId="6EE396D7" w14:textId="77777777" w:rsidR="0091727F" w:rsidRPr="005E3B43" w:rsidRDefault="0091727F" w:rsidP="0091727F">
            <w:pPr>
              <w:pStyle w:val="Tabletext"/>
            </w:pPr>
            <w:r w:rsidRPr="005E3B43">
              <w:t>Fee for the purposes of paragraph 32CK(9A)(e) of the Act, for a request under subsection 32CK(9A) of the Act to vary the biological specified in an approval to use the biological solely for experimental purposes in humans, or to vary the conditions of such an approval</w:t>
            </w:r>
          </w:p>
        </w:tc>
        <w:tc>
          <w:tcPr>
            <w:tcW w:w="2060" w:type="pct"/>
            <w:tcBorders>
              <w:top w:val="single" w:sz="4" w:space="0" w:color="auto"/>
              <w:bottom w:val="single" w:sz="4" w:space="0" w:color="auto"/>
            </w:tcBorders>
            <w:shd w:val="clear" w:color="auto" w:fill="auto"/>
          </w:tcPr>
          <w:p w14:paraId="2C1EAB85" w14:textId="77777777" w:rsidR="0091727F" w:rsidRPr="005E3B43" w:rsidRDefault="003729F2" w:rsidP="0091727F">
            <w:pPr>
              <w:pStyle w:val="Tabletext"/>
            </w:pPr>
            <w:r w:rsidRPr="005E3B43">
              <w:t>$8,448</w:t>
            </w:r>
          </w:p>
        </w:tc>
      </w:tr>
      <w:tr w:rsidR="0091727F" w:rsidRPr="005E3B43" w14:paraId="0979F4FD" w14:textId="77777777" w:rsidTr="005A786D">
        <w:tc>
          <w:tcPr>
            <w:tcW w:w="426" w:type="pct"/>
            <w:tcBorders>
              <w:top w:val="single" w:sz="4" w:space="0" w:color="auto"/>
              <w:bottom w:val="nil"/>
            </w:tcBorders>
            <w:shd w:val="clear" w:color="auto" w:fill="auto"/>
          </w:tcPr>
          <w:p w14:paraId="2EE25385" w14:textId="77777777" w:rsidR="0091727F" w:rsidRPr="005E3B43" w:rsidRDefault="0091727F" w:rsidP="0091727F">
            <w:pPr>
              <w:pStyle w:val="Tabletext"/>
            </w:pPr>
            <w:r w:rsidRPr="005E3B43">
              <w:t>16A</w:t>
            </w:r>
          </w:p>
        </w:tc>
        <w:tc>
          <w:tcPr>
            <w:tcW w:w="2514" w:type="pct"/>
            <w:tcBorders>
              <w:top w:val="single" w:sz="4" w:space="0" w:color="auto"/>
              <w:bottom w:val="nil"/>
            </w:tcBorders>
            <w:shd w:val="clear" w:color="auto" w:fill="auto"/>
          </w:tcPr>
          <w:p w14:paraId="3BAACFD6" w14:textId="77777777" w:rsidR="0091727F" w:rsidRPr="005E3B43" w:rsidRDefault="0091727F" w:rsidP="0091727F">
            <w:pPr>
              <w:pStyle w:val="Tabletext"/>
            </w:pPr>
            <w:r w:rsidRPr="005E3B43">
              <w:t>Application fee for a request, under subsection 32GD(1) of the Act, for the revocation of the cancellation of an entry of a biological from the Register:</w:t>
            </w:r>
          </w:p>
        </w:tc>
        <w:tc>
          <w:tcPr>
            <w:tcW w:w="2060" w:type="pct"/>
            <w:tcBorders>
              <w:top w:val="single" w:sz="4" w:space="0" w:color="auto"/>
              <w:bottom w:val="nil"/>
            </w:tcBorders>
            <w:shd w:val="clear" w:color="auto" w:fill="auto"/>
          </w:tcPr>
          <w:p w14:paraId="22F41943" w14:textId="77777777" w:rsidR="0091727F" w:rsidRPr="005E3B43" w:rsidRDefault="0091727F" w:rsidP="0091727F">
            <w:pPr>
              <w:pStyle w:val="Tabletext"/>
            </w:pPr>
          </w:p>
        </w:tc>
      </w:tr>
      <w:tr w:rsidR="0091727F" w:rsidRPr="005E3B43" w14:paraId="09BB2298" w14:textId="77777777" w:rsidTr="005A786D">
        <w:tc>
          <w:tcPr>
            <w:tcW w:w="426" w:type="pct"/>
            <w:tcBorders>
              <w:top w:val="nil"/>
              <w:bottom w:val="nil"/>
            </w:tcBorders>
            <w:shd w:val="clear" w:color="auto" w:fill="auto"/>
          </w:tcPr>
          <w:p w14:paraId="26B832A0" w14:textId="77777777" w:rsidR="0091727F" w:rsidRPr="005E3B43" w:rsidRDefault="0091727F" w:rsidP="0091727F">
            <w:pPr>
              <w:pStyle w:val="Tabletext"/>
            </w:pPr>
          </w:p>
        </w:tc>
        <w:tc>
          <w:tcPr>
            <w:tcW w:w="2514" w:type="pct"/>
            <w:tcBorders>
              <w:top w:val="nil"/>
              <w:bottom w:val="nil"/>
            </w:tcBorders>
            <w:shd w:val="clear" w:color="auto" w:fill="auto"/>
          </w:tcPr>
          <w:p w14:paraId="037AFE1E" w14:textId="77777777" w:rsidR="0091727F" w:rsidRPr="005E3B43" w:rsidRDefault="0091727F" w:rsidP="0091727F">
            <w:pPr>
              <w:pStyle w:val="Tablea"/>
            </w:pPr>
            <w:r w:rsidRPr="005E3B43">
              <w:t>(a) if the request relates to one entry;</w:t>
            </w:r>
          </w:p>
        </w:tc>
        <w:tc>
          <w:tcPr>
            <w:tcW w:w="2060" w:type="pct"/>
            <w:tcBorders>
              <w:top w:val="nil"/>
              <w:bottom w:val="nil"/>
            </w:tcBorders>
            <w:shd w:val="clear" w:color="auto" w:fill="auto"/>
          </w:tcPr>
          <w:p w14:paraId="20737E25" w14:textId="77777777" w:rsidR="0091727F" w:rsidRPr="005E3B43" w:rsidRDefault="00C918F2" w:rsidP="0091727F">
            <w:pPr>
              <w:pStyle w:val="Tabletext"/>
            </w:pPr>
            <w:r w:rsidRPr="005E3B43">
              <w:t>181</w:t>
            </w:r>
          </w:p>
        </w:tc>
      </w:tr>
      <w:tr w:rsidR="0091727F" w:rsidRPr="005E3B43" w14:paraId="2CADE58C" w14:textId="77777777" w:rsidTr="005A786D">
        <w:tc>
          <w:tcPr>
            <w:tcW w:w="426" w:type="pct"/>
            <w:tcBorders>
              <w:top w:val="nil"/>
              <w:bottom w:val="single" w:sz="4" w:space="0" w:color="auto"/>
            </w:tcBorders>
            <w:shd w:val="clear" w:color="auto" w:fill="auto"/>
          </w:tcPr>
          <w:p w14:paraId="6B2AC9D4" w14:textId="77777777" w:rsidR="0091727F" w:rsidRPr="005E3B43" w:rsidRDefault="0091727F" w:rsidP="0091727F">
            <w:pPr>
              <w:pStyle w:val="Tabletext"/>
            </w:pPr>
          </w:p>
        </w:tc>
        <w:tc>
          <w:tcPr>
            <w:tcW w:w="2514" w:type="pct"/>
            <w:tcBorders>
              <w:top w:val="nil"/>
              <w:bottom w:val="single" w:sz="4" w:space="0" w:color="auto"/>
            </w:tcBorders>
            <w:shd w:val="clear" w:color="auto" w:fill="auto"/>
          </w:tcPr>
          <w:p w14:paraId="638DB516" w14:textId="77777777" w:rsidR="0091727F" w:rsidRPr="005E3B43" w:rsidRDefault="0091727F" w:rsidP="0091727F">
            <w:pPr>
              <w:pStyle w:val="Tablea"/>
            </w:pPr>
            <w:r w:rsidRPr="005E3B43">
              <w:t>(b) if the request relates to more than one entry</w:t>
            </w:r>
          </w:p>
        </w:tc>
        <w:tc>
          <w:tcPr>
            <w:tcW w:w="2060" w:type="pct"/>
            <w:tcBorders>
              <w:top w:val="nil"/>
              <w:bottom w:val="single" w:sz="4" w:space="0" w:color="auto"/>
            </w:tcBorders>
            <w:shd w:val="clear" w:color="auto" w:fill="auto"/>
          </w:tcPr>
          <w:p w14:paraId="4E68FC8F" w14:textId="77777777" w:rsidR="0091727F" w:rsidRPr="005E3B43" w:rsidRDefault="00C918F2" w:rsidP="0091727F">
            <w:pPr>
              <w:pStyle w:val="Tabletext"/>
            </w:pPr>
            <w:r w:rsidRPr="005E3B43">
              <w:t>181</w:t>
            </w:r>
            <w:r w:rsidR="0091727F" w:rsidRPr="005E3B43">
              <w:rPr>
                <w:lang w:eastAsia="en-US"/>
              </w:rPr>
              <w:t xml:space="preserve"> for the first entry plus </w:t>
            </w:r>
            <w:r w:rsidRPr="005E3B43">
              <w:t>57</w:t>
            </w:r>
            <w:r w:rsidR="0091727F" w:rsidRPr="005E3B43">
              <w:rPr>
                <w:lang w:eastAsia="en-US"/>
              </w:rPr>
              <w:t xml:space="preserve"> for each additional entry</w:t>
            </w:r>
          </w:p>
        </w:tc>
      </w:tr>
      <w:tr w:rsidR="0091727F" w:rsidRPr="005E3B43" w14:paraId="7B9BDF0F" w14:textId="77777777" w:rsidTr="005A786D">
        <w:tc>
          <w:tcPr>
            <w:tcW w:w="426" w:type="pct"/>
            <w:tcBorders>
              <w:top w:val="single" w:sz="4" w:space="0" w:color="auto"/>
              <w:bottom w:val="nil"/>
            </w:tcBorders>
            <w:shd w:val="clear" w:color="auto" w:fill="auto"/>
          </w:tcPr>
          <w:p w14:paraId="264BFF68" w14:textId="77777777" w:rsidR="0091727F" w:rsidRPr="005E3B43" w:rsidRDefault="0091727F" w:rsidP="0091727F">
            <w:pPr>
              <w:pStyle w:val="Tabletext"/>
            </w:pPr>
            <w:r w:rsidRPr="005E3B43">
              <w:t>16B</w:t>
            </w:r>
          </w:p>
        </w:tc>
        <w:tc>
          <w:tcPr>
            <w:tcW w:w="2514" w:type="pct"/>
            <w:tcBorders>
              <w:top w:val="single" w:sz="4" w:space="0" w:color="auto"/>
              <w:bottom w:val="nil"/>
            </w:tcBorders>
            <w:shd w:val="clear" w:color="auto" w:fill="auto"/>
          </w:tcPr>
          <w:p w14:paraId="4C920090" w14:textId="77777777" w:rsidR="0091727F" w:rsidRPr="005E3B43" w:rsidRDefault="0091727F" w:rsidP="0091727F">
            <w:pPr>
              <w:pStyle w:val="Tablea"/>
              <w:ind w:left="0" w:firstLine="0"/>
            </w:pPr>
            <w:r w:rsidRPr="005E3B43">
              <w:t>Application fee for a request, under subsection 32GDA(1) of the Act, for the revocation of the cancellation of an entry of a biological from the Register:</w:t>
            </w:r>
          </w:p>
        </w:tc>
        <w:tc>
          <w:tcPr>
            <w:tcW w:w="2060" w:type="pct"/>
            <w:tcBorders>
              <w:top w:val="single" w:sz="4" w:space="0" w:color="auto"/>
              <w:bottom w:val="nil"/>
            </w:tcBorders>
            <w:shd w:val="clear" w:color="auto" w:fill="auto"/>
          </w:tcPr>
          <w:p w14:paraId="182C6E9B" w14:textId="77777777" w:rsidR="0091727F" w:rsidRPr="005E3B43" w:rsidRDefault="0091727F" w:rsidP="0091727F">
            <w:pPr>
              <w:pStyle w:val="Tabletext"/>
              <w:rPr>
                <w:lang w:eastAsia="en-US"/>
              </w:rPr>
            </w:pPr>
          </w:p>
        </w:tc>
      </w:tr>
      <w:tr w:rsidR="0091727F" w:rsidRPr="005E3B43" w14:paraId="45908E70" w14:textId="77777777" w:rsidTr="005A786D">
        <w:tc>
          <w:tcPr>
            <w:tcW w:w="426" w:type="pct"/>
            <w:tcBorders>
              <w:top w:val="nil"/>
              <w:bottom w:val="nil"/>
            </w:tcBorders>
            <w:shd w:val="clear" w:color="auto" w:fill="auto"/>
          </w:tcPr>
          <w:p w14:paraId="25C94FD7" w14:textId="77777777" w:rsidR="0091727F" w:rsidRPr="005E3B43" w:rsidRDefault="0091727F" w:rsidP="0091727F">
            <w:pPr>
              <w:pStyle w:val="Tabletext"/>
            </w:pPr>
          </w:p>
        </w:tc>
        <w:tc>
          <w:tcPr>
            <w:tcW w:w="2514" w:type="pct"/>
            <w:tcBorders>
              <w:top w:val="nil"/>
              <w:bottom w:val="nil"/>
            </w:tcBorders>
            <w:shd w:val="clear" w:color="auto" w:fill="auto"/>
          </w:tcPr>
          <w:p w14:paraId="3708BBA7" w14:textId="77777777" w:rsidR="0091727F" w:rsidRPr="005E3B43" w:rsidRDefault="0091727F" w:rsidP="0091727F">
            <w:pPr>
              <w:pStyle w:val="Tablea"/>
            </w:pPr>
            <w:r w:rsidRPr="005E3B43">
              <w:t>(a) if the request relates to one entry;</w:t>
            </w:r>
          </w:p>
        </w:tc>
        <w:tc>
          <w:tcPr>
            <w:tcW w:w="2060" w:type="pct"/>
            <w:tcBorders>
              <w:top w:val="nil"/>
              <w:bottom w:val="nil"/>
            </w:tcBorders>
            <w:shd w:val="clear" w:color="auto" w:fill="auto"/>
          </w:tcPr>
          <w:p w14:paraId="6513D99F" w14:textId="77777777" w:rsidR="0091727F" w:rsidRPr="005E3B43" w:rsidRDefault="00D05527" w:rsidP="0091727F">
            <w:pPr>
              <w:pStyle w:val="Tabletext"/>
              <w:rPr>
                <w:lang w:eastAsia="en-US"/>
              </w:rPr>
            </w:pPr>
            <w:r w:rsidRPr="005E3B43">
              <w:t>181</w:t>
            </w:r>
          </w:p>
        </w:tc>
      </w:tr>
      <w:tr w:rsidR="0091727F" w:rsidRPr="005E3B43" w14:paraId="375FD0BA" w14:textId="77777777" w:rsidTr="005A786D">
        <w:tc>
          <w:tcPr>
            <w:tcW w:w="426" w:type="pct"/>
            <w:tcBorders>
              <w:top w:val="nil"/>
              <w:bottom w:val="single" w:sz="4" w:space="0" w:color="auto"/>
            </w:tcBorders>
            <w:shd w:val="clear" w:color="auto" w:fill="auto"/>
          </w:tcPr>
          <w:p w14:paraId="55B54B2F" w14:textId="77777777" w:rsidR="0091727F" w:rsidRPr="005E3B43" w:rsidRDefault="0091727F" w:rsidP="0091727F">
            <w:pPr>
              <w:pStyle w:val="Tabletext"/>
            </w:pPr>
          </w:p>
        </w:tc>
        <w:tc>
          <w:tcPr>
            <w:tcW w:w="2514" w:type="pct"/>
            <w:tcBorders>
              <w:top w:val="nil"/>
              <w:bottom w:val="single" w:sz="4" w:space="0" w:color="auto"/>
            </w:tcBorders>
            <w:shd w:val="clear" w:color="auto" w:fill="auto"/>
          </w:tcPr>
          <w:p w14:paraId="27122484" w14:textId="77777777" w:rsidR="0091727F" w:rsidRPr="005E3B43" w:rsidRDefault="0091727F" w:rsidP="0091727F">
            <w:pPr>
              <w:pStyle w:val="Tablea"/>
            </w:pPr>
            <w:r w:rsidRPr="005E3B43">
              <w:t>(b) if the request relates to more than one entry</w:t>
            </w:r>
          </w:p>
        </w:tc>
        <w:tc>
          <w:tcPr>
            <w:tcW w:w="2060" w:type="pct"/>
            <w:tcBorders>
              <w:top w:val="nil"/>
              <w:bottom w:val="single" w:sz="4" w:space="0" w:color="auto"/>
            </w:tcBorders>
            <w:shd w:val="clear" w:color="auto" w:fill="auto"/>
          </w:tcPr>
          <w:p w14:paraId="7E0F98A4" w14:textId="77777777" w:rsidR="0091727F" w:rsidRPr="005E3B43" w:rsidRDefault="00D05527" w:rsidP="0091727F">
            <w:pPr>
              <w:pStyle w:val="Tabletext"/>
              <w:rPr>
                <w:lang w:eastAsia="en-US"/>
              </w:rPr>
            </w:pPr>
            <w:r w:rsidRPr="005E3B43">
              <w:t>181</w:t>
            </w:r>
            <w:r w:rsidR="0091727F" w:rsidRPr="005E3B43">
              <w:rPr>
                <w:lang w:eastAsia="en-US"/>
              </w:rPr>
              <w:t xml:space="preserve"> for the first entry plus </w:t>
            </w:r>
            <w:r w:rsidRPr="005E3B43">
              <w:t>57</w:t>
            </w:r>
            <w:r w:rsidR="0091727F" w:rsidRPr="005E3B43">
              <w:rPr>
                <w:lang w:eastAsia="en-US"/>
              </w:rPr>
              <w:t xml:space="preserve"> for each additional entry</w:t>
            </w:r>
          </w:p>
        </w:tc>
      </w:tr>
      <w:tr w:rsidR="0091727F" w:rsidRPr="005E3B43" w14:paraId="364AFB89" w14:textId="77777777" w:rsidTr="005A786D">
        <w:tc>
          <w:tcPr>
            <w:tcW w:w="426" w:type="pct"/>
            <w:tcBorders>
              <w:top w:val="single" w:sz="4" w:space="0" w:color="auto"/>
              <w:bottom w:val="nil"/>
            </w:tcBorders>
            <w:shd w:val="clear" w:color="auto" w:fill="auto"/>
          </w:tcPr>
          <w:p w14:paraId="71D740DD" w14:textId="77777777" w:rsidR="0091727F" w:rsidRPr="005E3B43" w:rsidRDefault="0091727F" w:rsidP="0091727F">
            <w:pPr>
              <w:pStyle w:val="Tabletext"/>
            </w:pPr>
            <w:r w:rsidRPr="005E3B43">
              <w:t>17</w:t>
            </w:r>
          </w:p>
        </w:tc>
        <w:tc>
          <w:tcPr>
            <w:tcW w:w="2514" w:type="pct"/>
            <w:tcBorders>
              <w:top w:val="single" w:sz="4" w:space="0" w:color="auto"/>
              <w:bottom w:val="nil"/>
            </w:tcBorders>
            <w:shd w:val="clear" w:color="auto" w:fill="auto"/>
          </w:tcPr>
          <w:p w14:paraId="69E0618F" w14:textId="77777777" w:rsidR="0091727F" w:rsidRPr="005E3B43" w:rsidRDefault="0091727F" w:rsidP="0091727F">
            <w:pPr>
              <w:pStyle w:val="Tabletext"/>
            </w:pPr>
            <w:r w:rsidRPr="005E3B43">
              <w:t xml:space="preserve">Fee for notification required under </w:t>
            </w:r>
            <w:r w:rsidR="006B5D8E" w:rsidRPr="005E3B43">
              <w:t>item 3</w:t>
            </w:r>
            <w:r w:rsidRPr="005E3B43">
              <w:t xml:space="preserve"> of Schedule 5A for a biological to which that Schedule applies:</w:t>
            </w:r>
          </w:p>
        </w:tc>
        <w:tc>
          <w:tcPr>
            <w:tcW w:w="2060" w:type="pct"/>
            <w:tcBorders>
              <w:top w:val="single" w:sz="4" w:space="0" w:color="auto"/>
              <w:bottom w:val="nil"/>
            </w:tcBorders>
            <w:shd w:val="clear" w:color="auto" w:fill="auto"/>
          </w:tcPr>
          <w:p w14:paraId="600B8DC7" w14:textId="77777777" w:rsidR="0091727F" w:rsidRPr="005E3B43" w:rsidRDefault="0091727F" w:rsidP="0091727F">
            <w:pPr>
              <w:pStyle w:val="Tabletext"/>
            </w:pPr>
          </w:p>
        </w:tc>
      </w:tr>
      <w:tr w:rsidR="0091727F" w:rsidRPr="005E3B43" w14:paraId="38C598C9" w14:textId="77777777" w:rsidTr="005A786D">
        <w:tc>
          <w:tcPr>
            <w:tcW w:w="426" w:type="pct"/>
            <w:tcBorders>
              <w:top w:val="nil"/>
              <w:bottom w:val="nil"/>
            </w:tcBorders>
            <w:shd w:val="clear" w:color="auto" w:fill="auto"/>
          </w:tcPr>
          <w:p w14:paraId="75A0945A" w14:textId="77777777" w:rsidR="0091727F" w:rsidRPr="005E3B43" w:rsidRDefault="0091727F" w:rsidP="0091727F">
            <w:pPr>
              <w:pStyle w:val="Tabletext"/>
            </w:pPr>
          </w:p>
        </w:tc>
        <w:tc>
          <w:tcPr>
            <w:tcW w:w="2514" w:type="pct"/>
            <w:tcBorders>
              <w:top w:val="nil"/>
              <w:bottom w:val="nil"/>
            </w:tcBorders>
            <w:shd w:val="clear" w:color="auto" w:fill="auto"/>
          </w:tcPr>
          <w:p w14:paraId="2C683BE1" w14:textId="77777777" w:rsidR="0091727F" w:rsidRPr="005E3B43" w:rsidRDefault="0091727F" w:rsidP="0091727F">
            <w:pPr>
              <w:pStyle w:val="Tablea"/>
            </w:pPr>
            <w:r w:rsidRPr="005E3B43">
              <w:t>(a) of intention to sponsor a clinical trial at a trial site using a biological</w:t>
            </w:r>
          </w:p>
        </w:tc>
        <w:tc>
          <w:tcPr>
            <w:tcW w:w="2060" w:type="pct"/>
            <w:tcBorders>
              <w:top w:val="nil"/>
              <w:bottom w:val="nil"/>
            </w:tcBorders>
            <w:shd w:val="clear" w:color="auto" w:fill="auto"/>
          </w:tcPr>
          <w:p w14:paraId="35CDF1E4" w14:textId="77777777" w:rsidR="0091727F" w:rsidRPr="005E3B43" w:rsidRDefault="00D05527" w:rsidP="0091727F">
            <w:pPr>
              <w:pStyle w:val="Tabletext"/>
            </w:pPr>
            <w:r w:rsidRPr="005E3B43">
              <w:t>429</w:t>
            </w:r>
          </w:p>
        </w:tc>
      </w:tr>
      <w:tr w:rsidR="0091727F" w:rsidRPr="005E3B43" w14:paraId="7FCBF45B" w14:textId="77777777" w:rsidTr="005A786D">
        <w:tc>
          <w:tcPr>
            <w:tcW w:w="426" w:type="pct"/>
            <w:tcBorders>
              <w:top w:val="nil"/>
              <w:bottom w:val="single" w:sz="12" w:space="0" w:color="auto"/>
            </w:tcBorders>
            <w:shd w:val="clear" w:color="auto" w:fill="auto"/>
          </w:tcPr>
          <w:p w14:paraId="0F833283" w14:textId="77777777" w:rsidR="0091727F" w:rsidRPr="005E3B43" w:rsidRDefault="0091727F" w:rsidP="0091727F">
            <w:pPr>
              <w:pStyle w:val="Tabletext"/>
            </w:pPr>
          </w:p>
        </w:tc>
        <w:tc>
          <w:tcPr>
            <w:tcW w:w="2514" w:type="pct"/>
            <w:tcBorders>
              <w:top w:val="nil"/>
              <w:bottom w:val="single" w:sz="12" w:space="0" w:color="auto"/>
            </w:tcBorders>
            <w:shd w:val="clear" w:color="auto" w:fill="auto"/>
          </w:tcPr>
          <w:p w14:paraId="373576C0" w14:textId="77777777" w:rsidR="0091727F" w:rsidRPr="005E3B43" w:rsidRDefault="0091727F" w:rsidP="0091727F">
            <w:pPr>
              <w:pStyle w:val="Tablea"/>
            </w:pPr>
            <w:r w:rsidRPr="005E3B43">
              <w:t>(b) for each notification of an additional trial site or additional trial sites</w:t>
            </w:r>
          </w:p>
        </w:tc>
        <w:tc>
          <w:tcPr>
            <w:tcW w:w="2060" w:type="pct"/>
            <w:tcBorders>
              <w:top w:val="nil"/>
              <w:bottom w:val="single" w:sz="12" w:space="0" w:color="auto"/>
            </w:tcBorders>
            <w:shd w:val="clear" w:color="auto" w:fill="auto"/>
          </w:tcPr>
          <w:p w14:paraId="19196F35" w14:textId="77777777" w:rsidR="0091727F" w:rsidRPr="005E3B43" w:rsidRDefault="00D05527" w:rsidP="0091727F">
            <w:pPr>
              <w:pStyle w:val="Tabletext"/>
            </w:pPr>
            <w:r w:rsidRPr="005E3B43">
              <w:t>429</w:t>
            </w:r>
          </w:p>
        </w:tc>
      </w:tr>
    </w:tbl>
    <w:p w14:paraId="4E6A386D" w14:textId="77777777" w:rsidR="00207B1C" w:rsidRPr="005E3B43" w:rsidRDefault="008D1B4F" w:rsidP="00763BCF">
      <w:pPr>
        <w:pStyle w:val="ActHead1"/>
        <w:pageBreakBefore/>
        <w:spacing w:before="240"/>
      </w:pPr>
      <w:bookmarkStart w:id="443" w:name="_Toc187136033"/>
      <w:r w:rsidRPr="005E3B43">
        <w:rPr>
          <w:rStyle w:val="CharChapNo"/>
        </w:rPr>
        <w:lastRenderedPageBreak/>
        <w:t>Schedule 1</w:t>
      </w:r>
      <w:r w:rsidR="00207B1C" w:rsidRPr="005E3B43">
        <w:rPr>
          <w:rStyle w:val="CharChapNo"/>
        </w:rPr>
        <w:t>0</w:t>
      </w:r>
      <w:r w:rsidR="00E20BA4" w:rsidRPr="005E3B43">
        <w:t>—</w:t>
      </w:r>
      <w:r w:rsidR="00207B1C" w:rsidRPr="005E3B43">
        <w:rPr>
          <w:rStyle w:val="CharChapText"/>
        </w:rPr>
        <w:t>Therapeutic goods for evaluation</w:t>
      </w:r>
      <w:bookmarkEnd w:id="443"/>
    </w:p>
    <w:p w14:paraId="5C0380B1" w14:textId="77777777" w:rsidR="004525E2" w:rsidRPr="005E3B43" w:rsidRDefault="004525E2" w:rsidP="00763BCF">
      <w:pPr>
        <w:pStyle w:val="notemargin"/>
      </w:pPr>
      <w:r w:rsidRPr="005E3B43">
        <w:t>Note:</w:t>
      </w:r>
      <w:r w:rsidRPr="005E3B43">
        <w:tab/>
        <w:t>See regulations</w:t>
      </w:r>
      <w:r w:rsidR="004E6D00" w:rsidRPr="005E3B43">
        <w:t> </w:t>
      </w:r>
      <w:r w:rsidRPr="005E3B43">
        <w:t>16C, 16D, 16F, 16G and 45.</w:t>
      </w:r>
    </w:p>
    <w:p w14:paraId="0D6CF101" w14:textId="77777777" w:rsidR="00D41A73" w:rsidRPr="005E3B43" w:rsidRDefault="00D41A73" w:rsidP="00763BCF">
      <w:pPr>
        <w:pStyle w:val="ActHead2"/>
      </w:pPr>
      <w:bookmarkStart w:id="444" w:name="_Toc187136034"/>
      <w:r w:rsidRPr="005E3B43">
        <w:rPr>
          <w:rStyle w:val="CharPartNo"/>
        </w:rPr>
        <w:t>Part</w:t>
      </w:r>
      <w:r w:rsidR="004E6D00" w:rsidRPr="005E3B43">
        <w:rPr>
          <w:rStyle w:val="CharPartNo"/>
        </w:rPr>
        <w:t> </w:t>
      </w:r>
      <w:r w:rsidRPr="005E3B43">
        <w:rPr>
          <w:rStyle w:val="CharPartNo"/>
        </w:rPr>
        <w:t>1</w:t>
      </w:r>
      <w:r w:rsidRPr="005E3B43">
        <w:t>—</w:t>
      </w:r>
      <w:r w:rsidRPr="005E3B43">
        <w:rPr>
          <w:rStyle w:val="CharPartText"/>
        </w:rPr>
        <w:t>Evaluation of prescription and other medicines by the Prescription Medicines Authorisation Branch</w:t>
      </w:r>
      <w:bookmarkEnd w:id="444"/>
    </w:p>
    <w:p w14:paraId="276659A7" w14:textId="77777777" w:rsidR="005342C7" w:rsidRPr="005E3B43" w:rsidRDefault="005342C7" w:rsidP="00763BCF">
      <w:pPr>
        <w:pStyle w:val="Header"/>
        <w:tabs>
          <w:tab w:val="clear" w:pos="4150"/>
          <w:tab w:val="clear" w:pos="8307"/>
        </w:tabs>
      </w:pPr>
      <w:r w:rsidRPr="005E3B43">
        <w:rPr>
          <w:rStyle w:val="CharDivNo"/>
        </w:rPr>
        <w:t xml:space="preserve"> </w:t>
      </w:r>
      <w:r w:rsidRPr="005E3B43">
        <w:rPr>
          <w:rStyle w:val="CharDivText"/>
        </w:rPr>
        <w:t xml:space="preserve"> </w:t>
      </w:r>
    </w:p>
    <w:p w14:paraId="1C8A2E8B" w14:textId="77777777" w:rsidR="00E20BA4" w:rsidRPr="005E3B43" w:rsidRDefault="00E20BA4" w:rsidP="00763BCF">
      <w:pPr>
        <w:pStyle w:val="Tabletext"/>
      </w:pPr>
    </w:p>
    <w:tbl>
      <w:tblPr>
        <w:tblW w:w="5000" w:type="pct"/>
        <w:tblBorders>
          <w:top w:val="single" w:sz="4" w:space="0" w:color="auto"/>
          <w:bottom w:val="single" w:sz="2" w:space="0" w:color="auto"/>
          <w:insideH w:val="single" w:sz="4" w:space="0" w:color="auto"/>
        </w:tblBorders>
        <w:tblCellMar>
          <w:left w:w="79" w:type="dxa"/>
          <w:right w:w="79" w:type="dxa"/>
        </w:tblCellMar>
        <w:tblLook w:val="0000" w:firstRow="0" w:lastRow="0" w:firstColumn="0" w:lastColumn="0" w:noHBand="0" w:noVBand="0"/>
      </w:tblPr>
      <w:tblGrid>
        <w:gridCol w:w="1218"/>
        <w:gridCol w:w="7253"/>
      </w:tblGrid>
      <w:tr w:rsidR="00207B1C" w:rsidRPr="005E3B43" w14:paraId="5E1AB448" w14:textId="77777777" w:rsidTr="005A786D">
        <w:trPr>
          <w:tblHeader/>
        </w:trPr>
        <w:tc>
          <w:tcPr>
            <w:tcW w:w="719" w:type="pct"/>
            <w:tcBorders>
              <w:top w:val="single" w:sz="12" w:space="0" w:color="auto"/>
              <w:bottom w:val="single" w:sz="12" w:space="0" w:color="auto"/>
            </w:tcBorders>
            <w:shd w:val="clear" w:color="auto" w:fill="auto"/>
          </w:tcPr>
          <w:p w14:paraId="7C2839EC" w14:textId="77777777" w:rsidR="00207B1C" w:rsidRPr="005E3B43" w:rsidRDefault="00207B1C" w:rsidP="00763BCF">
            <w:pPr>
              <w:pStyle w:val="TableHeading"/>
            </w:pPr>
            <w:r w:rsidRPr="005E3B43">
              <w:t>Column 1</w:t>
            </w:r>
            <w:r w:rsidRPr="005E3B43">
              <w:br/>
              <w:t>Item</w:t>
            </w:r>
          </w:p>
        </w:tc>
        <w:tc>
          <w:tcPr>
            <w:tcW w:w="4281" w:type="pct"/>
            <w:tcBorders>
              <w:top w:val="single" w:sz="12" w:space="0" w:color="auto"/>
              <w:bottom w:val="single" w:sz="12" w:space="0" w:color="auto"/>
            </w:tcBorders>
            <w:shd w:val="clear" w:color="auto" w:fill="auto"/>
          </w:tcPr>
          <w:p w14:paraId="2E43121D" w14:textId="77777777" w:rsidR="00207B1C" w:rsidRPr="005E3B43" w:rsidRDefault="00207B1C" w:rsidP="00763BCF">
            <w:pPr>
              <w:pStyle w:val="TableHeading"/>
            </w:pPr>
            <w:r w:rsidRPr="005E3B43">
              <w:t>Column 2</w:t>
            </w:r>
            <w:r w:rsidRPr="005E3B43">
              <w:br/>
              <w:t>Product</w:t>
            </w:r>
          </w:p>
        </w:tc>
      </w:tr>
      <w:tr w:rsidR="00207B1C" w:rsidRPr="005E3B43" w14:paraId="7C8EA00E" w14:textId="77777777" w:rsidTr="005A786D">
        <w:tc>
          <w:tcPr>
            <w:tcW w:w="719" w:type="pct"/>
            <w:tcBorders>
              <w:top w:val="single" w:sz="12" w:space="0" w:color="auto"/>
              <w:bottom w:val="single" w:sz="4" w:space="0" w:color="auto"/>
            </w:tcBorders>
            <w:shd w:val="clear" w:color="auto" w:fill="auto"/>
          </w:tcPr>
          <w:p w14:paraId="41830E84" w14:textId="77777777" w:rsidR="00207B1C" w:rsidRPr="005E3B43" w:rsidRDefault="00207B1C" w:rsidP="00763BCF">
            <w:pPr>
              <w:pStyle w:val="Tabletext"/>
            </w:pPr>
            <w:r w:rsidRPr="005E3B43">
              <w:t>1</w:t>
            </w:r>
          </w:p>
        </w:tc>
        <w:tc>
          <w:tcPr>
            <w:tcW w:w="4281" w:type="pct"/>
            <w:tcBorders>
              <w:top w:val="single" w:sz="12" w:space="0" w:color="auto"/>
              <w:bottom w:val="single" w:sz="4" w:space="0" w:color="auto"/>
            </w:tcBorders>
            <w:shd w:val="clear" w:color="auto" w:fill="auto"/>
          </w:tcPr>
          <w:p w14:paraId="5BD0A80E" w14:textId="77777777" w:rsidR="00207B1C" w:rsidRPr="005E3B43" w:rsidRDefault="00207B1C" w:rsidP="00763BCF">
            <w:pPr>
              <w:pStyle w:val="Tabletext"/>
            </w:pPr>
            <w:r w:rsidRPr="005E3B43">
              <w:t>therapeutic goods (except therapeutic goods mentioned in another Part of this Schedule), that:</w:t>
            </w:r>
          </w:p>
          <w:p w14:paraId="6ECC1393" w14:textId="77777777" w:rsidR="00207B1C" w:rsidRPr="005E3B43" w:rsidRDefault="00E20BA4" w:rsidP="00763BCF">
            <w:pPr>
              <w:pStyle w:val="Tablea"/>
              <w:rPr>
                <w:rFonts w:eastAsiaTheme="minorHAnsi" w:cstheme="minorBidi"/>
                <w:lang w:eastAsia="en-US"/>
              </w:rPr>
            </w:pPr>
            <w:r w:rsidRPr="005E3B43">
              <w:t>(</w:t>
            </w:r>
            <w:r w:rsidR="00207B1C" w:rsidRPr="005E3B43">
              <w:t>a</w:t>
            </w:r>
            <w:r w:rsidRPr="005E3B43">
              <w:t xml:space="preserve">) </w:t>
            </w:r>
            <w:r w:rsidR="00207B1C" w:rsidRPr="005E3B43">
              <w:t>contain a substance mentioned in Schedule</w:t>
            </w:r>
            <w:r w:rsidR="004E6D00" w:rsidRPr="005E3B43">
              <w:t> </w:t>
            </w:r>
            <w:r w:rsidR="00207B1C" w:rsidRPr="005E3B43">
              <w:t>4, 8 or 9 to the Poisons Standard; or</w:t>
            </w:r>
          </w:p>
          <w:p w14:paraId="2617DD39" w14:textId="77777777" w:rsidR="00207B1C" w:rsidRPr="005E3B43" w:rsidRDefault="00E20BA4" w:rsidP="00763BCF">
            <w:pPr>
              <w:pStyle w:val="Tablea"/>
              <w:rPr>
                <w:rFonts w:eastAsiaTheme="minorHAnsi" w:cstheme="minorBidi"/>
                <w:lang w:eastAsia="en-US"/>
              </w:rPr>
            </w:pPr>
            <w:r w:rsidRPr="005E3B43">
              <w:t>(</w:t>
            </w:r>
            <w:r w:rsidR="00207B1C" w:rsidRPr="005E3B43">
              <w:t>b</w:t>
            </w:r>
            <w:r w:rsidRPr="005E3B43">
              <w:t xml:space="preserve">) </w:t>
            </w:r>
            <w:r w:rsidR="00207B1C" w:rsidRPr="005E3B43">
              <w:t>contain a substance not mentioned in any of those Schedules but which meets the criteria for mention in any of those Schedules</w:t>
            </w:r>
          </w:p>
        </w:tc>
      </w:tr>
      <w:tr w:rsidR="00207B1C" w:rsidRPr="005E3B43" w14:paraId="054D5A95" w14:textId="77777777" w:rsidTr="005A786D">
        <w:tc>
          <w:tcPr>
            <w:tcW w:w="719" w:type="pct"/>
            <w:tcBorders>
              <w:top w:val="single" w:sz="4" w:space="0" w:color="auto"/>
              <w:bottom w:val="single" w:sz="4" w:space="0" w:color="auto"/>
            </w:tcBorders>
            <w:shd w:val="clear" w:color="auto" w:fill="auto"/>
          </w:tcPr>
          <w:p w14:paraId="069F3CD0" w14:textId="77777777" w:rsidR="00207B1C" w:rsidRPr="005E3B43" w:rsidRDefault="00207B1C" w:rsidP="00763BCF">
            <w:pPr>
              <w:pStyle w:val="Tabletext"/>
            </w:pPr>
            <w:r w:rsidRPr="005E3B43">
              <w:t>2</w:t>
            </w:r>
          </w:p>
        </w:tc>
        <w:tc>
          <w:tcPr>
            <w:tcW w:w="4281" w:type="pct"/>
            <w:tcBorders>
              <w:top w:val="single" w:sz="4" w:space="0" w:color="auto"/>
              <w:bottom w:val="single" w:sz="4" w:space="0" w:color="auto"/>
            </w:tcBorders>
            <w:shd w:val="clear" w:color="auto" w:fill="auto"/>
          </w:tcPr>
          <w:p w14:paraId="25ECB7A1" w14:textId="77777777" w:rsidR="00207B1C" w:rsidRPr="005E3B43" w:rsidRDefault="00207B1C" w:rsidP="00763BCF">
            <w:pPr>
              <w:pStyle w:val="Tabletext"/>
            </w:pPr>
            <w:r w:rsidRPr="005E3B43">
              <w:t>a medical gas</w:t>
            </w:r>
          </w:p>
        </w:tc>
      </w:tr>
      <w:tr w:rsidR="00207B1C" w:rsidRPr="005E3B43" w14:paraId="7F2A4DDA" w14:textId="77777777" w:rsidTr="005A786D">
        <w:tc>
          <w:tcPr>
            <w:tcW w:w="719" w:type="pct"/>
            <w:tcBorders>
              <w:top w:val="single" w:sz="4" w:space="0" w:color="auto"/>
              <w:bottom w:val="single" w:sz="4" w:space="0" w:color="auto"/>
            </w:tcBorders>
            <w:shd w:val="clear" w:color="auto" w:fill="auto"/>
          </w:tcPr>
          <w:p w14:paraId="0398B75C" w14:textId="77777777" w:rsidR="00207B1C" w:rsidRPr="005E3B43" w:rsidRDefault="00207B1C" w:rsidP="00763BCF">
            <w:pPr>
              <w:pStyle w:val="Tabletext"/>
            </w:pPr>
            <w:r w:rsidRPr="005E3B43">
              <w:t>3</w:t>
            </w:r>
          </w:p>
        </w:tc>
        <w:tc>
          <w:tcPr>
            <w:tcW w:w="4281" w:type="pct"/>
            <w:tcBorders>
              <w:top w:val="single" w:sz="4" w:space="0" w:color="auto"/>
              <w:bottom w:val="single" w:sz="4" w:space="0" w:color="auto"/>
            </w:tcBorders>
            <w:shd w:val="clear" w:color="auto" w:fill="auto"/>
          </w:tcPr>
          <w:p w14:paraId="14BF04DD" w14:textId="77777777" w:rsidR="00207B1C" w:rsidRPr="005E3B43" w:rsidRDefault="00207B1C" w:rsidP="00763BCF">
            <w:pPr>
              <w:pStyle w:val="Tabletext"/>
            </w:pPr>
            <w:r w:rsidRPr="005E3B43">
              <w:t>a vaccine</w:t>
            </w:r>
          </w:p>
        </w:tc>
      </w:tr>
      <w:tr w:rsidR="00207B1C" w:rsidRPr="005E3B43" w14:paraId="6071860C" w14:textId="77777777" w:rsidTr="005A786D">
        <w:tc>
          <w:tcPr>
            <w:tcW w:w="719" w:type="pct"/>
            <w:tcBorders>
              <w:top w:val="single" w:sz="4" w:space="0" w:color="auto"/>
              <w:bottom w:val="single" w:sz="4" w:space="0" w:color="auto"/>
            </w:tcBorders>
            <w:shd w:val="clear" w:color="auto" w:fill="auto"/>
          </w:tcPr>
          <w:p w14:paraId="14F98D8C" w14:textId="77777777" w:rsidR="00207B1C" w:rsidRPr="005E3B43" w:rsidRDefault="00207B1C" w:rsidP="00763BCF">
            <w:pPr>
              <w:pStyle w:val="Tabletext"/>
            </w:pPr>
            <w:r w:rsidRPr="005E3B43">
              <w:t>4</w:t>
            </w:r>
          </w:p>
        </w:tc>
        <w:tc>
          <w:tcPr>
            <w:tcW w:w="4281" w:type="pct"/>
            <w:tcBorders>
              <w:top w:val="single" w:sz="4" w:space="0" w:color="auto"/>
              <w:bottom w:val="single" w:sz="4" w:space="0" w:color="auto"/>
            </w:tcBorders>
            <w:shd w:val="clear" w:color="auto" w:fill="auto"/>
          </w:tcPr>
          <w:p w14:paraId="44B7F652" w14:textId="77777777" w:rsidR="00207B1C" w:rsidRPr="005E3B43" w:rsidRDefault="00207B1C" w:rsidP="00763BCF">
            <w:pPr>
              <w:pStyle w:val="Tabletext"/>
            </w:pPr>
            <w:r w:rsidRPr="005E3B43">
              <w:t>an allergen, except an allergen for skin patch testing on unbroken skin</w:t>
            </w:r>
          </w:p>
        </w:tc>
      </w:tr>
      <w:tr w:rsidR="00207B1C" w:rsidRPr="005E3B43" w14:paraId="0BF407B6" w14:textId="77777777" w:rsidTr="005A786D">
        <w:tc>
          <w:tcPr>
            <w:tcW w:w="719" w:type="pct"/>
            <w:tcBorders>
              <w:top w:val="single" w:sz="4" w:space="0" w:color="auto"/>
              <w:bottom w:val="single" w:sz="4" w:space="0" w:color="auto"/>
            </w:tcBorders>
            <w:shd w:val="clear" w:color="auto" w:fill="auto"/>
          </w:tcPr>
          <w:p w14:paraId="7E306787" w14:textId="77777777" w:rsidR="00207B1C" w:rsidRPr="005E3B43" w:rsidRDefault="00207B1C" w:rsidP="00763BCF">
            <w:pPr>
              <w:pStyle w:val="Tabletext"/>
            </w:pPr>
            <w:r w:rsidRPr="005E3B43">
              <w:t>5</w:t>
            </w:r>
          </w:p>
        </w:tc>
        <w:tc>
          <w:tcPr>
            <w:tcW w:w="4281" w:type="pct"/>
            <w:tcBorders>
              <w:top w:val="single" w:sz="4" w:space="0" w:color="auto"/>
              <w:bottom w:val="single" w:sz="4" w:space="0" w:color="auto"/>
            </w:tcBorders>
            <w:shd w:val="clear" w:color="auto" w:fill="auto"/>
          </w:tcPr>
          <w:p w14:paraId="220098D6" w14:textId="77777777" w:rsidR="00207B1C" w:rsidRPr="005E3B43" w:rsidRDefault="00207B1C" w:rsidP="00763BCF">
            <w:pPr>
              <w:pStyle w:val="Tabletext"/>
            </w:pPr>
            <w:r w:rsidRPr="005E3B43">
              <w:t>a biotechnology medicine</w:t>
            </w:r>
          </w:p>
        </w:tc>
      </w:tr>
      <w:tr w:rsidR="00207B1C" w:rsidRPr="005E3B43" w14:paraId="52A8CA15" w14:textId="77777777" w:rsidTr="005A786D">
        <w:tc>
          <w:tcPr>
            <w:tcW w:w="719" w:type="pct"/>
            <w:tcBorders>
              <w:top w:val="single" w:sz="4" w:space="0" w:color="auto"/>
              <w:bottom w:val="single" w:sz="4" w:space="0" w:color="auto"/>
            </w:tcBorders>
            <w:shd w:val="clear" w:color="auto" w:fill="auto"/>
          </w:tcPr>
          <w:p w14:paraId="2BD88CE9" w14:textId="77777777" w:rsidR="00207B1C" w:rsidRPr="005E3B43" w:rsidRDefault="00207B1C" w:rsidP="00763BCF">
            <w:pPr>
              <w:pStyle w:val="Tabletext"/>
            </w:pPr>
            <w:r w:rsidRPr="005E3B43">
              <w:t>6</w:t>
            </w:r>
          </w:p>
        </w:tc>
        <w:tc>
          <w:tcPr>
            <w:tcW w:w="4281" w:type="pct"/>
            <w:tcBorders>
              <w:top w:val="single" w:sz="4" w:space="0" w:color="auto"/>
              <w:bottom w:val="single" w:sz="4" w:space="0" w:color="auto"/>
            </w:tcBorders>
            <w:shd w:val="clear" w:color="auto" w:fill="auto"/>
          </w:tcPr>
          <w:p w14:paraId="2DA29E89" w14:textId="77777777" w:rsidR="00207B1C" w:rsidRPr="005E3B43" w:rsidRDefault="00207B1C" w:rsidP="00763BCF">
            <w:pPr>
              <w:pStyle w:val="Tabletext"/>
            </w:pPr>
            <w:r w:rsidRPr="005E3B43">
              <w:t>an immunoglobulin</w:t>
            </w:r>
          </w:p>
        </w:tc>
      </w:tr>
      <w:tr w:rsidR="00207B1C" w:rsidRPr="005E3B43" w14:paraId="11D55857" w14:textId="77777777" w:rsidTr="005A786D">
        <w:tc>
          <w:tcPr>
            <w:tcW w:w="719" w:type="pct"/>
            <w:tcBorders>
              <w:top w:val="single" w:sz="4" w:space="0" w:color="auto"/>
              <w:bottom w:val="single" w:sz="4" w:space="0" w:color="auto"/>
            </w:tcBorders>
            <w:shd w:val="clear" w:color="auto" w:fill="auto"/>
          </w:tcPr>
          <w:p w14:paraId="305D5914" w14:textId="77777777" w:rsidR="00207B1C" w:rsidRPr="005E3B43" w:rsidRDefault="00207B1C" w:rsidP="00763BCF">
            <w:pPr>
              <w:pStyle w:val="Tabletext"/>
            </w:pPr>
            <w:r w:rsidRPr="005E3B43">
              <w:t>7</w:t>
            </w:r>
          </w:p>
        </w:tc>
        <w:tc>
          <w:tcPr>
            <w:tcW w:w="4281" w:type="pct"/>
            <w:tcBorders>
              <w:top w:val="single" w:sz="4" w:space="0" w:color="auto"/>
              <w:bottom w:val="single" w:sz="4" w:space="0" w:color="auto"/>
            </w:tcBorders>
            <w:shd w:val="clear" w:color="auto" w:fill="auto"/>
          </w:tcPr>
          <w:p w14:paraId="082F18C1" w14:textId="77777777" w:rsidR="00207B1C" w:rsidRPr="005E3B43" w:rsidRDefault="00207B1C" w:rsidP="00763BCF">
            <w:pPr>
              <w:pStyle w:val="Tabletext"/>
            </w:pPr>
            <w:r w:rsidRPr="005E3B43">
              <w:t>a radio contrast agent, except barium sulphate preparation for radiological use</w:t>
            </w:r>
          </w:p>
        </w:tc>
      </w:tr>
      <w:tr w:rsidR="00207B1C" w:rsidRPr="005E3B43" w14:paraId="42360B94" w14:textId="77777777" w:rsidTr="005A786D">
        <w:tc>
          <w:tcPr>
            <w:tcW w:w="719" w:type="pct"/>
            <w:tcBorders>
              <w:top w:val="single" w:sz="4" w:space="0" w:color="auto"/>
              <w:bottom w:val="single" w:sz="4" w:space="0" w:color="auto"/>
            </w:tcBorders>
            <w:shd w:val="clear" w:color="auto" w:fill="auto"/>
          </w:tcPr>
          <w:p w14:paraId="40AACC3C" w14:textId="77777777" w:rsidR="00207B1C" w:rsidRPr="005E3B43" w:rsidRDefault="00207B1C" w:rsidP="00763BCF">
            <w:pPr>
              <w:pStyle w:val="Tabletext"/>
            </w:pPr>
            <w:r w:rsidRPr="005E3B43">
              <w:t>8</w:t>
            </w:r>
          </w:p>
        </w:tc>
        <w:tc>
          <w:tcPr>
            <w:tcW w:w="4281" w:type="pct"/>
            <w:tcBorders>
              <w:top w:val="single" w:sz="4" w:space="0" w:color="auto"/>
              <w:bottom w:val="single" w:sz="4" w:space="0" w:color="auto"/>
            </w:tcBorders>
            <w:shd w:val="clear" w:color="auto" w:fill="auto"/>
          </w:tcPr>
          <w:p w14:paraId="7369F056" w14:textId="77777777" w:rsidR="00207B1C" w:rsidRPr="005E3B43" w:rsidRDefault="00207B1C" w:rsidP="00763BCF">
            <w:pPr>
              <w:pStyle w:val="Tabletext"/>
            </w:pPr>
            <w:r w:rsidRPr="005E3B43">
              <w:t>a radiopharmaceutical</w:t>
            </w:r>
          </w:p>
        </w:tc>
      </w:tr>
      <w:tr w:rsidR="00207B1C" w:rsidRPr="005E3B43" w:rsidDel="005B2829" w14:paraId="41A29B51" w14:textId="77777777" w:rsidTr="005A786D">
        <w:tc>
          <w:tcPr>
            <w:tcW w:w="719" w:type="pct"/>
            <w:tcBorders>
              <w:top w:val="single" w:sz="4" w:space="0" w:color="auto"/>
              <w:bottom w:val="single" w:sz="4" w:space="0" w:color="auto"/>
            </w:tcBorders>
            <w:shd w:val="clear" w:color="auto" w:fill="auto"/>
          </w:tcPr>
          <w:p w14:paraId="2E66FBD1" w14:textId="77777777" w:rsidR="00207B1C" w:rsidRPr="005E3B43" w:rsidDel="005B2829" w:rsidRDefault="00207B1C" w:rsidP="00763BCF">
            <w:pPr>
              <w:pStyle w:val="Tabletext"/>
            </w:pPr>
            <w:r w:rsidRPr="005E3B43">
              <w:t>9</w:t>
            </w:r>
          </w:p>
        </w:tc>
        <w:tc>
          <w:tcPr>
            <w:tcW w:w="4281" w:type="pct"/>
            <w:tcBorders>
              <w:top w:val="single" w:sz="4" w:space="0" w:color="auto"/>
              <w:bottom w:val="single" w:sz="4" w:space="0" w:color="auto"/>
            </w:tcBorders>
            <w:shd w:val="clear" w:color="auto" w:fill="auto"/>
          </w:tcPr>
          <w:p w14:paraId="3FD74C9B" w14:textId="77777777" w:rsidR="00207B1C" w:rsidRPr="005E3B43" w:rsidDel="005B2829" w:rsidRDefault="00207B1C" w:rsidP="00763BCF">
            <w:pPr>
              <w:pStyle w:val="Tabletext"/>
            </w:pPr>
            <w:r w:rsidRPr="005E3B43">
              <w:t>a dialysis solution, except a haemodialysis solution</w:t>
            </w:r>
          </w:p>
        </w:tc>
      </w:tr>
      <w:tr w:rsidR="00207B1C" w:rsidRPr="005E3B43" w14:paraId="1A6B43FA" w14:textId="77777777" w:rsidTr="005A786D">
        <w:tc>
          <w:tcPr>
            <w:tcW w:w="719" w:type="pct"/>
            <w:tcBorders>
              <w:top w:val="single" w:sz="4" w:space="0" w:color="auto"/>
              <w:bottom w:val="single" w:sz="4" w:space="0" w:color="auto"/>
            </w:tcBorders>
            <w:shd w:val="clear" w:color="auto" w:fill="auto"/>
          </w:tcPr>
          <w:p w14:paraId="162D576F" w14:textId="77777777" w:rsidR="00207B1C" w:rsidRPr="005E3B43" w:rsidRDefault="00207B1C" w:rsidP="00763BCF">
            <w:pPr>
              <w:pStyle w:val="Tabletext"/>
            </w:pPr>
            <w:r w:rsidRPr="005E3B43">
              <w:t>11</w:t>
            </w:r>
          </w:p>
        </w:tc>
        <w:tc>
          <w:tcPr>
            <w:tcW w:w="4281" w:type="pct"/>
            <w:tcBorders>
              <w:top w:val="single" w:sz="4" w:space="0" w:color="auto"/>
              <w:bottom w:val="single" w:sz="4" w:space="0" w:color="auto"/>
            </w:tcBorders>
            <w:shd w:val="clear" w:color="auto" w:fill="auto"/>
          </w:tcPr>
          <w:p w14:paraId="647FEB1A" w14:textId="77777777" w:rsidR="00207B1C" w:rsidRPr="005E3B43" w:rsidRDefault="00207B1C" w:rsidP="00763BCF">
            <w:pPr>
              <w:pStyle w:val="Tabletext"/>
            </w:pPr>
            <w:r w:rsidRPr="005E3B43">
              <w:t>a special dosage form, such as a transdermal system or osmotic pump</w:t>
            </w:r>
          </w:p>
        </w:tc>
      </w:tr>
      <w:tr w:rsidR="00207B1C" w:rsidRPr="005E3B43" w14:paraId="670A7104" w14:textId="77777777" w:rsidTr="005A786D">
        <w:tc>
          <w:tcPr>
            <w:tcW w:w="719" w:type="pct"/>
            <w:tcBorders>
              <w:top w:val="single" w:sz="4" w:space="0" w:color="auto"/>
              <w:bottom w:val="single" w:sz="4" w:space="0" w:color="auto"/>
            </w:tcBorders>
            <w:shd w:val="clear" w:color="auto" w:fill="auto"/>
          </w:tcPr>
          <w:p w14:paraId="201B8725" w14:textId="77777777" w:rsidR="00207B1C" w:rsidRPr="005E3B43" w:rsidRDefault="00207B1C" w:rsidP="00763BCF">
            <w:pPr>
              <w:pStyle w:val="Tabletext"/>
            </w:pPr>
            <w:r w:rsidRPr="005E3B43">
              <w:t>12</w:t>
            </w:r>
          </w:p>
        </w:tc>
        <w:tc>
          <w:tcPr>
            <w:tcW w:w="4281" w:type="pct"/>
            <w:tcBorders>
              <w:top w:val="single" w:sz="4" w:space="0" w:color="auto"/>
              <w:bottom w:val="single" w:sz="4" w:space="0" w:color="auto"/>
            </w:tcBorders>
            <w:shd w:val="clear" w:color="auto" w:fill="auto"/>
          </w:tcPr>
          <w:p w14:paraId="5B1C4831" w14:textId="77777777" w:rsidR="00207B1C" w:rsidRPr="005E3B43" w:rsidRDefault="00207B1C" w:rsidP="00763BCF">
            <w:pPr>
              <w:pStyle w:val="Tabletext"/>
            </w:pPr>
            <w:r w:rsidRPr="005E3B43">
              <w:t>an injectable medicine dosage form</w:t>
            </w:r>
          </w:p>
        </w:tc>
      </w:tr>
      <w:tr w:rsidR="00207B1C" w:rsidRPr="005E3B43" w14:paraId="0696DB12" w14:textId="77777777" w:rsidTr="005A786D">
        <w:tc>
          <w:tcPr>
            <w:tcW w:w="719" w:type="pct"/>
            <w:tcBorders>
              <w:top w:val="single" w:sz="4" w:space="0" w:color="auto"/>
              <w:bottom w:val="single" w:sz="4" w:space="0" w:color="auto"/>
            </w:tcBorders>
            <w:shd w:val="clear" w:color="auto" w:fill="auto"/>
          </w:tcPr>
          <w:p w14:paraId="169E91E7" w14:textId="77777777" w:rsidR="00207B1C" w:rsidRPr="005E3B43" w:rsidRDefault="00207B1C" w:rsidP="00763BCF">
            <w:pPr>
              <w:pStyle w:val="Tabletext"/>
            </w:pPr>
            <w:r w:rsidRPr="005E3B43">
              <w:t>13</w:t>
            </w:r>
          </w:p>
        </w:tc>
        <w:tc>
          <w:tcPr>
            <w:tcW w:w="4281" w:type="pct"/>
            <w:tcBorders>
              <w:top w:val="single" w:sz="4" w:space="0" w:color="auto"/>
              <w:bottom w:val="single" w:sz="4" w:space="0" w:color="auto"/>
            </w:tcBorders>
            <w:shd w:val="clear" w:color="auto" w:fill="auto"/>
          </w:tcPr>
          <w:p w14:paraId="5C501086" w14:textId="77777777" w:rsidR="00207B1C" w:rsidRPr="005E3B43" w:rsidRDefault="00207B1C" w:rsidP="00763BCF">
            <w:pPr>
              <w:pStyle w:val="Tabletext"/>
            </w:pPr>
            <w:r w:rsidRPr="005E3B43">
              <w:t>a blood product</w:t>
            </w:r>
          </w:p>
        </w:tc>
      </w:tr>
      <w:tr w:rsidR="00FF08C9" w:rsidRPr="005E3B43" w:rsidDel="00FF08C9" w14:paraId="68293973" w14:textId="77777777" w:rsidTr="005A786D">
        <w:tc>
          <w:tcPr>
            <w:tcW w:w="719" w:type="pct"/>
            <w:tcBorders>
              <w:top w:val="single" w:sz="4" w:space="0" w:color="auto"/>
              <w:bottom w:val="single" w:sz="4" w:space="0" w:color="auto"/>
            </w:tcBorders>
            <w:shd w:val="clear" w:color="auto" w:fill="auto"/>
          </w:tcPr>
          <w:p w14:paraId="645EF4B7" w14:textId="77777777" w:rsidR="00FF08C9" w:rsidRPr="005E3B43" w:rsidDel="00FF08C9" w:rsidRDefault="00FF08C9" w:rsidP="00763BCF">
            <w:pPr>
              <w:pStyle w:val="Tabletext"/>
            </w:pPr>
            <w:r w:rsidRPr="005E3B43">
              <w:t>14</w:t>
            </w:r>
          </w:p>
        </w:tc>
        <w:tc>
          <w:tcPr>
            <w:tcW w:w="4281" w:type="pct"/>
            <w:tcBorders>
              <w:top w:val="single" w:sz="4" w:space="0" w:color="auto"/>
              <w:bottom w:val="single" w:sz="4" w:space="0" w:color="auto"/>
            </w:tcBorders>
            <w:shd w:val="clear" w:color="auto" w:fill="auto"/>
          </w:tcPr>
          <w:p w14:paraId="29DEECA5" w14:textId="77777777" w:rsidR="00FF08C9" w:rsidRPr="005E3B43" w:rsidDel="00FF08C9" w:rsidRDefault="00FF08C9" w:rsidP="00763BCF">
            <w:pPr>
              <w:pStyle w:val="Tabletext"/>
            </w:pPr>
            <w:r w:rsidRPr="005E3B43">
              <w:t xml:space="preserve">therapeutic goods referred to the </w:t>
            </w:r>
            <w:r w:rsidR="006F1577" w:rsidRPr="005E3B43">
              <w:t>Prescription Medicines Authorisation Branch</w:t>
            </w:r>
            <w:r w:rsidRPr="005E3B43">
              <w:t xml:space="preserve"> of the Therapeutic Goods Administration within the Department for the purpose of evaluation as a prescription medicine</w:t>
            </w:r>
          </w:p>
        </w:tc>
      </w:tr>
      <w:tr w:rsidR="00FF08C9" w:rsidRPr="005E3B43" w14:paraId="7052AE14" w14:textId="77777777" w:rsidTr="005A786D">
        <w:tc>
          <w:tcPr>
            <w:tcW w:w="719" w:type="pct"/>
            <w:tcBorders>
              <w:top w:val="single" w:sz="4" w:space="0" w:color="auto"/>
              <w:bottom w:val="single" w:sz="12" w:space="0" w:color="auto"/>
            </w:tcBorders>
            <w:shd w:val="clear" w:color="auto" w:fill="auto"/>
          </w:tcPr>
          <w:p w14:paraId="108DE3DF" w14:textId="77777777" w:rsidR="00FF08C9" w:rsidRPr="005E3B43" w:rsidRDefault="00FF08C9" w:rsidP="00763BCF">
            <w:pPr>
              <w:pStyle w:val="Tabletext"/>
            </w:pPr>
            <w:r w:rsidRPr="005E3B43">
              <w:t>15</w:t>
            </w:r>
          </w:p>
        </w:tc>
        <w:tc>
          <w:tcPr>
            <w:tcW w:w="4281" w:type="pct"/>
            <w:tcBorders>
              <w:top w:val="single" w:sz="4" w:space="0" w:color="auto"/>
              <w:bottom w:val="single" w:sz="12" w:space="0" w:color="auto"/>
            </w:tcBorders>
            <w:shd w:val="clear" w:color="auto" w:fill="auto"/>
          </w:tcPr>
          <w:p w14:paraId="2E6B957D" w14:textId="77777777" w:rsidR="00FF08C9" w:rsidRPr="005E3B43" w:rsidRDefault="00FF08C9" w:rsidP="00763BCF">
            <w:pPr>
              <w:pStyle w:val="Tabletext"/>
            </w:pPr>
            <w:r w:rsidRPr="005E3B43">
              <w:t>an excipient in therapeutic goods mentioned in this Part</w:t>
            </w:r>
          </w:p>
        </w:tc>
      </w:tr>
    </w:tbl>
    <w:p w14:paraId="2EED3505" w14:textId="77777777" w:rsidR="006F1577" w:rsidRPr="005E3B43" w:rsidRDefault="006B5D8E" w:rsidP="00763BCF">
      <w:pPr>
        <w:pStyle w:val="ActHead2"/>
        <w:pageBreakBefore/>
      </w:pPr>
      <w:bookmarkStart w:id="445" w:name="_Toc187136035"/>
      <w:r w:rsidRPr="005E3B43">
        <w:rPr>
          <w:rStyle w:val="CharPartNo"/>
        </w:rPr>
        <w:lastRenderedPageBreak/>
        <w:t>Part 2</w:t>
      </w:r>
      <w:r w:rsidR="006F1577" w:rsidRPr="005E3B43">
        <w:t>—</w:t>
      </w:r>
      <w:r w:rsidR="006F1577" w:rsidRPr="005E3B43">
        <w:rPr>
          <w:rStyle w:val="CharPartText"/>
        </w:rPr>
        <w:t>Evaluation of complementary medicines by the Complementary and OTC Medicines Branch</w:t>
      </w:r>
      <w:bookmarkEnd w:id="445"/>
    </w:p>
    <w:p w14:paraId="5D17CF1D" w14:textId="77777777" w:rsidR="005342C7" w:rsidRPr="005E3B43" w:rsidRDefault="005342C7" w:rsidP="00763BCF">
      <w:pPr>
        <w:pStyle w:val="Header"/>
        <w:tabs>
          <w:tab w:val="clear" w:pos="4150"/>
          <w:tab w:val="clear" w:pos="8307"/>
        </w:tabs>
      </w:pPr>
      <w:r w:rsidRPr="005E3B43">
        <w:rPr>
          <w:rStyle w:val="CharDivNo"/>
        </w:rPr>
        <w:t xml:space="preserve"> </w:t>
      </w:r>
      <w:r w:rsidRPr="005E3B43">
        <w:rPr>
          <w:rStyle w:val="CharDivText"/>
        </w:rPr>
        <w:t xml:space="preserve"> </w:t>
      </w:r>
    </w:p>
    <w:p w14:paraId="7571849E" w14:textId="77777777" w:rsidR="00207B1C" w:rsidRPr="005E3B43" w:rsidRDefault="00207B1C" w:rsidP="00763BCF">
      <w:pPr>
        <w:pStyle w:val="subsection"/>
        <w:tabs>
          <w:tab w:val="clear" w:pos="1021"/>
        </w:tabs>
        <w:ind w:left="0" w:firstLine="0"/>
      </w:pPr>
      <w:r w:rsidRPr="005E3B43">
        <w:t>The following therapeutic goods, if the sponsor has satisfied the Secretary that the goods do not meet the criteria for mention in Schedule</w:t>
      </w:r>
      <w:r w:rsidR="004E6D00" w:rsidRPr="005E3B43">
        <w:t> </w:t>
      </w:r>
      <w:r w:rsidRPr="005E3B43">
        <w:t>4, 8 or 9 of the Poisons Standard:</w:t>
      </w:r>
    </w:p>
    <w:p w14:paraId="1EF98F9F" w14:textId="77777777" w:rsidR="00E20BA4" w:rsidRPr="005E3B43" w:rsidRDefault="00E20BA4" w:rsidP="00763BCF">
      <w:pPr>
        <w:pStyle w:val="Tabletext"/>
      </w:pPr>
    </w:p>
    <w:tbl>
      <w:tblPr>
        <w:tblW w:w="5000" w:type="pct"/>
        <w:tblBorders>
          <w:top w:val="single" w:sz="4" w:space="0" w:color="auto"/>
          <w:bottom w:val="single" w:sz="2" w:space="0" w:color="auto"/>
          <w:insideH w:val="single" w:sz="4" w:space="0" w:color="auto"/>
        </w:tblBorders>
        <w:tblCellMar>
          <w:left w:w="79" w:type="dxa"/>
          <w:right w:w="79" w:type="dxa"/>
        </w:tblCellMar>
        <w:tblLook w:val="0000" w:firstRow="0" w:lastRow="0" w:firstColumn="0" w:lastColumn="0" w:noHBand="0" w:noVBand="0"/>
      </w:tblPr>
      <w:tblGrid>
        <w:gridCol w:w="1233"/>
        <w:gridCol w:w="7238"/>
      </w:tblGrid>
      <w:tr w:rsidR="00745026" w:rsidRPr="005E3B43" w14:paraId="37F6ECD6" w14:textId="77777777" w:rsidTr="005A786D">
        <w:trPr>
          <w:tblHeader/>
        </w:trPr>
        <w:tc>
          <w:tcPr>
            <w:tcW w:w="728" w:type="pct"/>
            <w:tcBorders>
              <w:top w:val="single" w:sz="12" w:space="0" w:color="auto"/>
              <w:bottom w:val="single" w:sz="12" w:space="0" w:color="auto"/>
            </w:tcBorders>
            <w:shd w:val="clear" w:color="auto" w:fill="auto"/>
          </w:tcPr>
          <w:p w14:paraId="670781BA" w14:textId="77777777" w:rsidR="00745026" w:rsidRPr="005E3B43" w:rsidRDefault="00745026" w:rsidP="00763BCF">
            <w:pPr>
              <w:pStyle w:val="TableHeading"/>
            </w:pPr>
            <w:r w:rsidRPr="005E3B43">
              <w:t>Column 1</w:t>
            </w:r>
            <w:r w:rsidRPr="005E3B43">
              <w:br/>
              <w:t>Item</w:t>
            </w:r>
          </w:p>
        </w:tc>
        <w:tc>
          <w:tcPr>
            <w:tcW w:w="4272" w:type="pct"/>
            <w:tcBorders>
              <w:top w:val="single" w:sz="12" w:space="0" w:color="auto"/>
              <w:bottom w:val="single" w:sz="12" w:space="0" w:color="auto"/>
            </w:tcBorders>
            <w:shd w:val="clear" w:color="auto" w:fill="auto"/>
          </w:tcPr>
          <w:p w14:paraId="2608BAE7" w14:textId="77777777" w:rsidR="00745026" w:rsidRPr="005E3B43" w:rsidRDefault="00745026" w:rsidP="00763BCF">
            <w:pPr>
              <w:pStyle w:val="TableHeading"/>
            </w:pPr>
            <w:r w:rsidRPr="005E3B43">
              <w:t>Column 2</w:t>
            </w:r>
            <w:r w:rsidRPr="005E3B43">
              <w:br/>
              <w:t>Product</w:t>
            </w:r>
          </w:p>
        </w:tc>
      </w:tr>
      <w:tr w:rsidR="00207B1C" w:rsidRPr="005E3B43" w14:paraId="17750E20" w14:textId="77777777" w:rsidTr="005A786D">
        <w:tc>
          <w:tcPr>
            <w:tcW w:w="728" w:type="pct"/>
            <w:tcBorders>
              <w:top w:val="single" w:sz="12" w:space="0" w:color="auto"/>
              <w:bottom w:val="single" w:sz="4" w:space="0" w:color="auto"/>
            </w:tcBorders>
            <w:shd w:val="clear" w:color="auto" w:fill="auto"/>
          </w:tcPr>
          <w:p w14:paraId="16E89B12" w14:textId="77777777" w:rsidR="00207B1C" w:rsidRPr="005E3B43" w:rsidRDefault="00207B1C" w:rsidP="00763BCF">
            <w:pPr>
              <w:pStyle w:val="Tabletext"/>
            </w:pPr>
            <w:r w:rsidRPr="005E3B43">
              <w:t>1</w:t>
            </w:r>
          </w:p>
        </w:tc>
        <w:tc>
          <w:tcPr>
            <w:tcW w:w="4272" w:type="pct"/>
            <w:tcBorders>
              <w:top w:val="single" w:sz="12" w:space="0" w:color="auto"/>
              <w:bottom w:val="single" w:sz="4" w:space="0" w:color="auto"/>
            </w:tcBorders>
            <w:shd w:val="clear" w:color="auto" w:fill="auto"/>
          </w:tcPr>
          <w:p w14:paraId="7491C665" w14:textId="77777777" w:rsidR="00207B1C" w:rsidRPr="005E3B43" w:rsidRDefault="00207B1C" w:rsidP="00763BCF">
            <w:pPr>
              <w:pStyle w:val="Tabletext"/>
            </w:pPr>
            <w:r w:rsidRPr="005E3B43">
              <w:t>a complementary medicine</w:t>
            </w:r>
          </w:p>
        </w:tc>
      </w:tr>
      <w:tr w:rsidR="00207B1C" w:rsidRPr="005E3B43" w14:paraId="4BEDB45A" w14:textId="77777777" w:rsidTr="005A786D">
        <w:tc>
          <w:tcPr>
            <w:tcW w:w="728" w:type="pct"/>
            <w:tcBorders>
              <w:top w:val="single" w:sz="4" w:space="0" w:color="auto"/>
              <w:bottom w:val="single" w:sz="4" w:space="0" w:color="auto"/>
            </w:tcBorders>
            <w:shd w:val="clear" w:color="auto" w:fill="auto"/>
          </w:tcPr>
          <w:p w14:paraId="00AB97CD" w14:textId="77777777" w:rsidR="00207B1C" w:rsidRPr="005E3B43" w:rsidRDefault="00207B1C" w:rsidP="00763BCF">
            <w:pPr>
              <w:pStyle w:val="Tabletext"/>
            </w:pPr>
            <w:r w:rsidRPr="005E3B43">
              <w:t>2</w:t>
            </w:r>
          </w:p>
        </w:tc>
        <w:tc>
          <w:tcPr>
            <w:tcW w:w="4272" w:type="pct"/>
            <w:tcBorders>
              <w:top w:val="single" w:sz="4" w:space="0" w:color="auto"/>
              <w:bottom w:val="single" w:sz="4" w:space="0" w:color="auto"/>
            </w:tcBorders>
            <w:shd w:val="clear" w:color="auto" w:fill="auto"/>
          </w:tcPr>
          <w:p w14:paraId="51EB5376" w14:textId="77777777" w:rsidR="00207B1C" w:rsidRPr="005E3B43" w:rsidRDefault="00207B1C" w:rsidP="00763BCF">
            <w:pPr>
              <w:pStyle w:val="Tabletext"/>
            </w:pPr>
            <w:r w:rsidRPr="005E3B43">
              <w:t>an excipient in complementary medicine</w:t>
            </w:r>
          </w:p>
        </w:tc>
      </w:tr>
      <w:tr w:rsidR="001B5198" w:rsidRPr="005E3B43" w14:paraId="05D6C7FB" w14:textId="77777777" w:rsidTr="005A786D">
        <w:tc>
          <w:tcPr>
            <w:tcW w:w="728" w:type="pct"/>
            <w:tcBorders>
              <w:top w:val="single" w:sz="4" w:space="0" w:color="auto"/>
              <w:bottom w:val="single" w:sz="12" w:space="0" w:color="auto"/>
            </w:tcBorders>
            <w:shd w:val="clear" w:color="auto" w:fill="auto"/>
          </w:tcPr>
          <w:p w14:paraId="792CC7DE" w14:textId="77777777" w:rsidR="001B5198" w:rsidRPr="005E3B43" w:rsidRDefault="001B5198" w:rsidP="00763BCF">
            <w:pPr>
              <w:pStyle w:val="Tabletext"/>
            </w:pPr>
            <w:r w:rsidRPr="005E3B43">
              <w:t>3</w:t>
            </w:r>
          </w:p>
        </w:tc>
        <w:tc>
          <w:tcPr>
            <w:tcW w:w="4272" w:type="pct"/>
            <w:tcBorders>
              <w:top w:val="single" w:sz="4" w:space="0" w:color="auto"/>
              <w:bottom w:val="single" w:sz="12" w:space="0" w:color="auto"/>
            </w:tcBorders>
            <w:shd w:val="clear" w:color="auto" w:fill="auto"/>
          </w:tcPr>
          <w:p w14:paraId="45FC946C" w14:textId="77777777" w:rsidR="001B5198" w:rsidRPr="005E3B43" w:rsidRDefault="001B5198" w:rsidP="00763BCF">
            <w:pPr>
              <w:pStyle w:val="Tabletext"/>
            </w:pPr>
            <w:r w:rsidRPr="005E3B43">
              <w:t xml:space="preserve">therapeutic goods referred for evaluation to the </w:t>
            </w:r>
            <w:r w:rsidR="006F1577" w:rsidRPr="005E3B43">
              <w:t>Complementary and OTC Medicines Branch</w:t>
            </w:r>
            <w:r w:rsidRPr="005E3B43">
              <w:t xml:space="preserve"> of the Therapeutic Goods Administration within the Department</w:t>
            </w:r>
          </w:p>
        </w:tc>
      </w:tr>
    </w:tbl>
    <w:p w14:paraId="1BC2AC5F" w14:textId="0F67B711" w:rsidR="006F1577" w:rsidRPr="005E3B43" w:rsidRDefault="00BB758E" w:rsidP="00763BCF">
      <w:pPr>
        <w:pStyle w:val="ActHead2"/>
        <w:pageBreakBefore/>
      </w:pPr>
      <w:bookmarkStart w:id="446" w:name="f_Check_Lines_above"/>
      <w:bookmarkStart w:id="447" w:name="_Toc187136036"/>
      <w:bookmarkEnd w:id="446"/>
      <w:r w:rsidRPr="005E3B43">
        <w:rPr>
          <w:rStyle w:val="CharPartNo"/>
        </w:rPr>
        <w:lastRenderedPageBreak/>
        <w:t>Part 3</w:t>
      </w:r>
      <w:r w:rsidR="006F1577" w:rsidRPr="005E3B43">
        <w:t>—</w:t>
      </w:r>
      <w:r w:rsidR="006F1577" w:rsidRPr="005E3B43">
        <w:rPr>
          <w:rStyle w:val="CharPartText"/>
        </w:rPr>
        <w:t>Evaluation of non</w:t>
      </w:r>
      <w:r w:rsidR="007C3215">
        <w:rPr>
          <w:rStyle w:val="CharPartText"/>
        </w:rPr>
        <w:noBreakHyphen/>
      </w:r>
      <w:r w:rsidR="006F1577" w:rsidRPr="005E3B43">
        <w:rPr>
          <w:rStyle w:val="CharPartText"/>
        </w:rPr>
        <w:t>prescription and other medicines by the Complementary and OTC Medicines Branch</w:t>
      </w:r>
      <w:bookmarkEnd w:id="447"/>
    </w:p>
    <w:p w14:paraId="165B773B" w14:textId="77777777" w:rsidR="005342C7" w:rsidRPr="005E3B43" w:rsidRDefault="005342C7" w:rsidP="00763BCF">
      <w:pPr>
        <w:pStyle w:val="Header"/>
        <w:tabs>
          <w:tab w:val="clear" w:pos="4150"/>
          <w:tab w:val="clear" w:pos="8307"/>
        </w:tabs>
      </w:pPr>
      <w:r w:rsidRPr="005E3B43">
        <w:rPr>
          <w:rStyle w:val="CharDivNo"/>
        </w:rPr>
        <w:t xml:space="preserve"> </w:t>
      </w:r>
      <w:r w:rsidRPr="005E3B43">
        <w:rPr>
          <w:rStyle w:val="CharDivText"/>
        </w:rPr>
        <w:t xml:space="preserve"> </w:t>
      </w:r>
    </w:p>
    <w:p w14:paraId="4DF9C72F" w14:textId="77777777" w:rsidR="00207B1C" w:rsidRPr="005E3B43" w:rsidRDefault="00207B1C" w:rsidP="00763BCF">
      <w:pPr>
        <w:pStyle w:val="subsection"/>
        <w:tabs>
          <w:tab w:val="clear" w:pos="1021"/>
        </w:tabs>
        <w:ind w:left="0" w:firstLine="0"/>
      </w:pPr>
      <w:r w:rsidRPr="005E3B43">
        <w:t>The following therapeutic goods, if the sponsor has satisfied the Secretary that the goods do not meet the criteria for mention in Schedule</w:t>
      </w:r>
      <w:r w:rsidR="004E6D00" w:rsidRPr="005E3B43">
        <w:t> </w:t>
      </w:r>
      <w:r w:rsidRPr="005E3B43">
        <w:t>4, 8 or 9 of the Poisons Standard:</w:t>
      </w:r>
    </w:p>
    <w:p w14:paraId="025B2B1F" w14:textId="77777777" w:rsidR="00E20BA4" w:rsidRPr="005E3B43" w:rsidRDefault="00E20BA4"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458"/>
        <w:gridCol w:w="7071"/>
      </w:tblGrid>
      <w:tr w:rsidR="00207B1C" w:rsidRPr="005E3B43" w14:paraId="422E0532" w14:textId="77777777" w:rsidTr="005A786D">
        <w:trPr>
          <w:tblHeader/>
        </w:trPr>
        <w:tc>
          <w:tcPr>
            <w:tcW w:w="855" w:type="pct"/>
            <w:tcBorders>
              <w:top w:val="single" w:sz="12" w:space="0" w:color="auto"/>
              <w:bottom w:val="single" w:sz="12" w:space="0" w:color="auto"/>
            </w:tcBorders>
            <w:shd w:val="clear" w:color="auto" w:fill="auto"/>
          </w:tcPr>
          <w:p w14:paraId="7E91FDF4" w14:textId="77777777" w:rsidR="00207B1C" w:rsidRPr="005E3B43" w:rsidRDefault="00207B1C" w:rsidP="00763BCF">
            <w:pPr>
              <w:pStyle w:val="TableHeading"/>
            </w:pPr>
            <w:r w:rsidRPr="005E3B43">
              <w:t>Column 1</w:t>
            </w:r>
            <w:r w:rsidRPr="005E3B43">
              <w:br/>
              <w:t>Item</w:t>
            </w:r>
          </w:p>
        </w:tc>
        <w:tc>
          <w:tcPr>
            <w:tcW w:w="4145" w:type="pct"/>
            <w:tcBorders>
              <w:top w:val="single" w:sz="12" w:space="0" w:color="auto"/>
              <w:bottom w:val="single" w:sz="12" w:space="0" w:color="auto"/>
            </w:tcBorders>
            <w:shd w:val="clear" w:color="auto" w:fill="auto"/>
          </w:tcPr>
          <w:p w14:paraId="41C8749A" w14:textId="77777777" w:rsidR="00207B1C" w:rsidRPr="005E3B43" w:rsidRDefault="00207B1C" w:rsidP="00763BCF">
            <w:pPr>
              <w:pStyle w:val="TableHeading"/>
            </w:pPr>
            <w:r w:rsidRPr="005E3B43">
              <w:t>Column 2</w:t>
            </w:r>
            <w:r w:rsidRPr="005E3B43">
              <w:br/>
              <w:t>Product</w:t>
            </w:r>
          </w:p>
        </w:tc>
      </w:tr>
      <w:tr w:rsidR="00207B1C" w:rsidRPr="005E3B43" w14:paraId="098EFA8A" w14:textId="77777777" w:rsidTr="005A786D">
        <w:tc>
          <w:tcPr>
            <w:tcW w:w="855" w:type="pct"/>
            <w:tcBorders>
              <w:top w:val="single" w:sz="12" w:space="0" w:color="auto"/>
              <w:bottom w:val="single" w:sz="4" w:space="0" w:color="auto"/>
            </w:tcBorders>
            <w:shd w:val="clear" w:color="auto" w:fill="auto"/>
          </w:tcPr>
          <w:p w14:paraId="7A8A336A" w14:textId="77777777" w:rsidR="00207B1C" w:rsidRPr="005E3B43" w:rsidRDefault="00207B1C" w:rsidP="00763BCF">
            <w:pPr>
              <w:pStyle w:val="Tabletext"/>
            </w:pPr>
            <w:r w:rsidRPr="005E3B43">
              <w:t>1</w:t>
            </w:r>
          </w:p>
        </w:tc>
        <w:tc>
          <w:tcPr>
            <w:tcW w:w="4145" w:type="pct"/>
            <w:tcBorders>
              <w:top w:val="single" w:sz="12" w:space="0" w:color="auto"/>
              <w:bottom w:val="single" w:sz="4" w:space="0" w:color="auto"/>
            </w:tcBorders>
            <w:shd w:val="clear" w:color="auto" w:fill="auto"/>
          </w:tcPr>
          <w:p w14:paraId="22E36B10" w14:textId="77777777" w:rsidR="00207B1C" w:rsidRPr="005E3B43" w:rsidRDefault="00207B1C" w:rsidP="00763BCF">
            <w:pPr>
              <w:pStyle w:val="Tabletext"/>
            </w:pPr>
            <w:r w:rsidRPr="005E3B43">
              <w:t>an antiseptic</w:t>
            </w:r>
          </w:p>
        </w:tc>
      </w:tr>
      <w:tr w:rsidR="00207B1C" w:rsidRPr="005E3B43" w14:paraId="37E14B21" w14:textId="77777777" w:rsidTr="005A786D">
        <w:tc>
          <w:tcPr>
            <w:tcW w:w="855" w:type="pct"/>
            <w:tcBorders>
              <w:top w:val="single" w:sz="4" w:space="0" w:color="auto"/>
              <w:bottom w:val="single" w:sz="4" w:space="0" w:color="auto"/>
            </w:tcBorders>
            <w:shd w:val="clear" w:color="auto" w:fill="auto"/>
          </w:tcPr>
          <w:p w14:paraId="4D2E3CAD" w14:textId="77777777" w:rsidR="00207B1C" w:rsidRPr="005E3B43" w:rsidRDefault="00207B1C" w:rsidP="00763BCF">
            <w:pPr>
              <w:pStyle w:val="Tabletext"/>
            </w:pPr>
            <w:r w:rsidRPr="005E3B43">
              <w:t>2</w:t>
            </w:r>
          </w:p>
        </w:tc>
        <w:tc>
          <w:tcPr>
            <w:tcW w:w="4145" w:type="pct"/>
            <w:tcBorders>
              <w:top w:val="single" w:sz="4" w:space="0" w:color="auto"/>
              <w:bottom w:val="single" w:sz="4" w:space="0" w:color="auto"/>
            </w:tcBorders>
            <w:shd w:val="clear" w:color="auto" w:fill="auto"/>
          </w:tcPr>
          <w:p w14:paraId="01DA89B3" w14:textId="77777777" w:rsidR="00207B1C" w:rsidRPr="005E3B43" w:rsidRDefault="00207B1C" w:rsidP="00763BCF">
            <w:pPr>
              <w:pStyle w:val="Tabletext"/>
            </w:pPr>
            <w:r w:rsidRPr="005E3B43">
              <w:t>a sunscreen preparation</w:t>
            </w:r>
          </w:p>
        </w:tc>
      </w:tr>
      <w:tr w:rsidR="00207B1C" w:rsidRPr="005E3B43" w14:paraId="2AD86468" w14:textId="77777777" w:rsidTr="005A786D">
        <w:tc>
          <w:tcPr>
            <w:tcW w:w="855" w:type="pct"/>
            <w:tcBorders>
              <w:top w:val="single" w:sz="4" w:space="0" w:color="auto"/>
              <w:bottom w:val="single" w:sz="4" w:space="0" w:color="auto"/>
            </w:tcBorders>
            <w:shd w:val="clear" w:color="auto" w:fill="auto"/>
          </w:tcPr>
          <w:p w14:paraId="590C062F" w14:textId="77777777" w:rsidR="00207B1C" w:rsidRPr="005E3B43" w:rsidRDefault="00207B1C" w:rsidP="00763BCF">
            <w:pPr>
              <w:pStyle w:val="Tabletext"/>
            </w:pPr>
            <w:r w:rsidRPr="005E3B43">
              <w:t>3</w:t>
            </w:r>
          </w:p>
        </w:tc>
        <w:tc>
          <w:tcPr>
            <w:tcW w:w="4145" w:type="pct"/>
            <w:tcBorders>
              <w:top w:val="single" w:sz="4" w:space="0" w:color="auto"/>
              <w:bottom w:val="single" w:sz="4" w:space="0" w:color="auto"/>
            </w:tcBorders>
            <w:shd w:val="clear" w:color="auto" w:fill="auto"/>
          </w:tcPr>
          <w:p w14:paraId="3D5617B6" w14:textId="77777777" w:rsidR="00207B1C" w:rsidRPr="005E3B43" w:rsidRDefault="00207B1C" w:rsidP="00763BCF">
            <w:pPr>
              <w:pStyle w:val="Tabletext"/>
            </w:pPr>
            <w:r w:rsidRPr="005E3B43">
              <w:t>all other therapeutic goods not mentioned in another Part of this Schedule</w:t>
            </w:r>
          </w:p>
        </w:tc>
      </w:tr>
      <w:tr w:rsidR="00207B1C" w:rsidRPr="005E3B43" w14:paraId="3FABBD5A" w14:textId="77777777" w:rsidTr="005A786D">
        <w:tc>
          <w:tcPr>
            <w:tcW w:w="855" w:type="pct"/>
            <w:tcBorders>
              <w:top w:val="single" w:sz="4" w:space="0" w:color="auto"/>
              <w:bottom w:val="single" w:sz="4" w:space="0" w:color="auto"/>
            </w:tcBorders>
            <w:shd w:val="clear" w:color="auto" w:fill="auto"/>
          </w:tcPr>
          <w:p w14:paraId="4A90A19A" w14:textId="77777777" w:rsidR="00207B1C" w:rsidRPr="005E3B43" w:rsidRDefault="00207B1C" w:rsidP="00763BCF">
            <w:pPr>
              <w:pStyle w:val="Tabletext"/>
            </w:pPr>
            <w:r w:rsidRPr="005E3B43">
              <w:t>4</w:t>
            </w:r>
          </w:p>
        </w:tc>
        <w:tc>
          <w:tcPr>
            <w:tcW w:w="4145" w:type="pct"/>
            <w:tcBorders>
              <w:top w:val="single" w:sz="4" w:space="0" w:color="auto"/>
              <w:bottom w:val="single" w:sz="4" w:space="0" w:color="auto"/>
            </w:tcBorders>
            <w:shd w:val="clear" w:color="auto" w:fill="auto"/>
          </w:tcPr>
          <w:p w14:paraId="29947726" w14:textId="77777777" w:rsidR="00207B1C" w:rsidRPr="005E3B43" w:rsidRDefault="00207B1C" w:rsidP="00763BCF">
            <w:pPr>
              <w:pStyle w:val="Tabletext"/>
            </w:pPr>
            <w:r w:rsidRPr="005E3B43">
              <w:t>an excipient in therapeutic goods mentioned in this Part</w:t>
            </w:r>
          </w:p>
        </w:tc>
      </w:tr>
      <w:tr w:rsidR="00FF08C9" w:rsidRPr="005E3B43" w:rsidDel="00FF08C9" w14:paraId="24C12BAF" w14:textId="77777777" w:rsidTr="005A786D">
        <w:tc>
          <w:tcPr>
            <w:tcW w:w="855" w:type="pct"/>
            <w:tcBorders>
              <w:top w:val="single" w:sz="4" w:space="0" w:color="auto"/>
              <w:bottom w:val="single" w:sz="12" w:space="0" w:color="auto"/>
            </w:tcBorders>
            <w:shd w:val="clear" w:color="auto" w:fill="auto"/>
          </w:tcPr>
          <w:p w14:paraId="3A8C09A6" w14:textId="77777777" w:rsidR="00FF08C9" w:rsidRPr="005E3B43" w:rsidDel="00FF08C9" w:rsidRDefault="00FF08C9" w:rsidP="00763BCF">
            <w:pPr>
              <w:pStyle w:val="Tabletext"/>
            </w:pPr>
            <w:r w:rsidRPr="005E3B43">
              <w:t>5</w:t>
            </w:r>
          </w:p>
        </w:tc>
        <w:tc>
          <w:tcPr>
            <w:tcW w:w="4145" w:type="pct"/>
            <w:tcBorders>
              <w:top w:val="single" w:sz="4" w:space="0" w:color="auto"/>
              <w:bottom w:val="single" w:sz="12" w:space="0" w:color="auto"/>
            </w:tcBorders>
            <w:shd w:val="clear" w:color="auto" w:fill="auto"/>
          </w:tcPr>
          <w:p w14:paraId="295B0AFC" w14:textId="7A324E97" w:rsidR="00FF08C9" w:rsidRPr="005E3B43" w:rsidDel="00FF08C9" w:rsidRDefault="00FF08C9" w:rsidP="00763BCF">
            <w:pPr>
              <w:pStyle w:val="Tabletext"/>
            </w:pPr>
            <w:r w:rsidRPr="005E3B43">
              <w:t xml:space="preserve">therapeutic goods referred to the </w:t>
            </w:r>
            <w:r w:rsidR="006F1577" w:rsidRPr="005E3B43">
              <w:t>Complementary and OTC Medicines Branch</w:t>
            </w:r>
            <w:r w:rsidRPr="005E3B43">
              <w:t xml:space="preserve"> of the Therapeutic Goods Administration within the Department for the purpose of evaluation as a non</w:t>
            </w:r>
            <w:r w:rsidR="007C3215">
              <w:noBreakHyphen/>
            </w:r>
            <w:r w:rsidRPr="005E3B43">
              <w:t>prescription medicine</w:t>
            </w:r>
          </w:p>
        </w:tc>
      </w:tr>
    </w:tbl>
    <w:p w14:paraId="21B58CA7" w14:textId="77777777" w:rsidR="00824FEC" w:rsidRPr="005E3B43" w:rsidRDefault="00824FEC" w:rsidP="00763BCF">
      <w:pPr>
        <w:sectPr w:rsidR="00824FEC" w:rsidRPr="005E3B43" w:rsidSect="001444B1">
          <w:headerReference w:type="even" r:id="rId39"/>
          <w:headerReference w:type="default" r:id="rId40"/>
          <w:headerReference w:type="first" r:id="rId41"/>
          <w:pgSz w:w="11907" w:h="16839" w:code="9"/>
          <w:pgMar w:top="2325" w:right="1797" w:bottom="1440" w:left="1797" w:header="720" w:footer="709" w:gutter="0"/>
          <w:cols w:space="720"/>
          <w:docGrid w:linePitch="299"/>
        </w:sectPr>
      </w:pPr>
    </w:p>
    <w:p w14:paraId="4CE19F5C" w14:textId="77777777" w:rsidR="00AF01CF" w:rsidRPr="005E3B43" w:rsidRDefault="008D1B4F" w:rsidP="00763BCF">
      <w:pPr>
        <w:pStyle w:val="ActHead1"/>
        <w:pageBreakBefore/>
      </w:pPr>
      <w:bookmarkStart w:id="448" w:name="_Toc187136037"/>
      <w:r w:rsidRPr="005E3B43">
        <w:rPr>
          <w:rStyle w:val="CharChapNo"/>
        </w:rPr>
        <w:lastRenderedPageBreak/>
        <w:t>Schedule 1</w:t>
      </w:r>
      <w:r w:rsidR="00AF01CF" w:rsidRPr="005E3B43">
        <w:rPr>
          <w:rStyle w:val="CharChapNo"/>
        </w:rPr>
        <w:t>2</w:t>
      </w:r>
      <w:r w:rsidR="00AF01CF" w:rsidRPr="005E3B43">
        <w:t>—</w:t>
      </w:r>
      <w:r w:rsidR="00AF01CF" w:rsidRPr="005E3B43">
        <w:rPr>
          <w:rStyle w:val="CharChapText"/>
        </w:rPr>
        <w:t>Consumer medicine information documents</w:t>
      </w:r>
      <w:bookmarkEnd w:id="448"/>
    </w:p>
    <w:p w14:paraId="06AB6B36" w14:textId="77777777" w:rsidR="00AF01CF" w:rsidRPr="005E3B43" w:rsidRDefault="00AF01CF" w:rsidP="00763BCF">
      <w:pPr>
        <w:pStyle w:val="notemargin"/>
      </w:pPr>
      <w:r w:rsidRPr="005E3B43">
        <w:t>Note:</w:t>
      </w:r>
      <w:r w:rsidRPr="005E3B43">
        <w:tab/>
        <w:t>See subregulation 9A(1).</w:t>
      </w:r>
    </w:p>
    <w:p w14:paraId="793CA179" w14:textId="77777777" w:rsidR="00AF01CF" w:rsidRPr="005E3B43" w:rsidRDefault="00AF01CF" w:rsidP="00763BCF">
      <w:pPr>
        <w:pStyle w:val="Header"/>
      </w:pPr>
      <w:r w:rsidRPr="005E3B43">
        <w:rPr>
          <w:rStyle w:val="CharPartNo"/>
        </w:rPr>
        <w:t xml:space="preserve"> </w:t>
      </w:r>
      <w:r w:rsidRPr="005E3B43">
        <w:rPr>
          <w:rStyle w:val="CharPartText"/>
        </w:rPr>
        <w:t xml:space="preserve"> </w:t>
      </w:r>
    </w:p>
    <w:p w14:paraId="260B9B44" w14:textId="77777777" w:rsidR="00AF01CF" w:rsidRPr="005E3B43" w:rsidRDefault="00AF01CF" w:rsidP="00763BCF">
      <w:pPr>
        <w:pStyle w:val="Header"/>
      </w:pPr>
      <w:r w:rsidRPr="005E3B43">
        <w:rPr>
          <w:rStyle w:val="CharDivNo"/>
        </w:rPr>
        <w:t xml:space="preserve"> </w:t>
      </w:r>
      <w:r w:rsidRPr="005E3B43">
        <w:rPr>
          <w:rStyle w:val="CharDivText"/>
        </w:rPr>
        <w:t xml:space="preserve"> </w:t>
      </w:r>
    </w:p>
    <w:p w14:paraId="2650405E" w14:textId="77777777" w:rsidR="00AF01CF" w:rsidRPr="005E3B43" w:rsidRDefault="00AF01CF" w:rsidP="00763BCF">
      <w:pPr>
        <w:pStyle w:val="ActHead5"/>
      </w:pPr>
      <w:bookmarkStart w:id="449" w:name="_Toc187136038"/>
      <w:r w:rsidRPr="005E3B43">
        <w:rPr>
          <w:rStyle w:val="CharSectno"/>
        </w:rPr>
        <w:t>1</w:t>
      </w:r>
      <w:r w:rsidRPr="005E3B43">
        <w:t xml:space="preserve">  General requirements</w:t>
      </w:r>
      <w:bookmarkEnd w:id="449"/>
    </w:p>
    <w:p w14:paraId="6FC2269E" w14:textId="77777777" w:rsidR="00AF01CF" w:rsidRPr="005E3B43" w:rsidRDefault="00AF01CF" w:rsidP="00763BCF">
      <w:pPr>
        <w:pStyle w:val="subsection"/>
      </w:pPr>
      <w:r w:rsidRPr="005E3B43">
        <w:tab/>
      </w:r>
      <w:r w:rsidRPr="005E3B43">
        <w:tab/>
        <w:t>A consumer medicine information document about a medicine must:</w:t>
      </w:r>
    </w:p>
    <w:p w14:paraId="06507EC0" w14:textId="77777777" w:rsidR="00AF01CF" w:rsidRPr="005E3B43" w:rsidRDefault="00AF01CF" w:rsidP="00763BCF">
      <w:pPr>
        <w:pStyle w:val="paragraph"/>
      </w:pPr>
      <w:r w:rsidRPr="005E3B43">
        <w:tab/>
        <w:t>(a)</w:t>
      </w:r>
      <w:r w:rsidRPr="005E3B43">
        <w:tab/>
        <w:t>be written in English; and</w:t>
      </w:r>
    </w:p>
    <w:p w14:paraId="591B4F42" w14:textId="77777777" w:rsidR="00AF01CF" w:rsidRPr="005E3B43" w:rsidRDefault="00AF01CF" w:rsidP="00763BCF">
      <w:pPr>
        <w:pStyle w:val="paragraph"/>
      </w:pPr>
      <w:r w:rsidRPr="005E3B43">
        <w:tab/>
        <w:t>(b)</w:t>
      </w:r>
      <w:r w:rsidRPr="005E3B43">
        <w:tab/>
        <w:t>be clearly legible; and</w:t>
      </w:r>
    </w:p>
    <w:p w14:paraId="07BC8A12" w14:textId="77777777" w:rsidR="00AF01CF" w:rsidRPr="005E3B43" w:rsidRDefault="00AF01CF" w:rsidP="00763BCF">
      <w:pPr>
        <w:pStyle w:val="paragraph"/>
      </w:pPr>
      <w:r w:rsidRPr="005E3B43">
        <w:tab/>
        <w:t>(c)</w:t>
      </w:r>
      <w:r w:rsidRPr="005E3B43">
        <w:tab/>
        <w:t>be written in language that will easily be understood by patients; and</w:t>
      </w:r>
    </w:p>
    <w:p w14:paraId="67098803" w14:textId="77777777" w:rsidR="00AF01CF" w:rsidRPr="005E3B43" w:rsidRDefault="00AF01CF" w:rsidP="00763BCF">
      <w:pPr>
        <w:pStyle w:val="paragraph"/>
      </w:pPr>
      <w:r w:rsidRPr="005E3B43">
        <w:tab/>
        <w:t>(d)</w:t>
      </w:r>
      <w:r w:rsidRPr="005E3B43">
        <w:tab/>
        <w:t>be consistent with product information about the product.</w:t>
      </w:r>
    </w:p>
    <w:p w14:paraId="73B3D31F" w14:textId="77777777" w:rsidR="00AF01CF" w:rsidRPr="005E3B43" w:rsidRDefault="00AF01CF" w:rsidP="00763BCF">
      <w:pPr>
        <w:pStyle w:val="ActHead5"/>
      </w:pPr>
      <w:bookmarkStart w:id="450" w:name="_Toc187136039"/>
      <w:r w:rsidRPr="005E3B43">
        <w:rPr>
          <w:rStyle w:val="CharSectno"/>
        </w:rPr>
        <w:t>2</w:t>
      </w:r>
      <w:r w:rsidRPr="005E3B43">
        <w:t xml:space="preserve">  Specific requirements—document enclosed within packaging etc.</w:t>
      </w:r>
      <w:bookmarkEnd w:id="450"/>
    </w:p>
    <w:p w14:paraId="54B74C03" w14:textId="77777777" w:rsidR="00AF01CF" w:rsidRPr="005E3B43" w:rsidRDefault="00AF01CF" w:rsidP="00763BCF">
      <w:pPr>
        <w:pStyle w:val="subsection"/>
      </w:pPr>
      <w:r w:rsidRPr="005E3B43">
        <w:tab/>
      </w:r>
      <w:r w:rsidRPr="005E3B43">
        <w:tab/>
        <w:t>Also, if the consumer medicine information document about a medicine is enclosed within, on a surface of, or affixed to a surface of, the packaging of the medicine, it must set out all of the information required by the “TGA Consumer Medicine Information (Prescription Medicine) Template” (published by the Therapeutic Goods Administration on its website) but:</w:t>
      </w:r>
    </w:p>
    <w:p w14:paraId="16EC03C2" w14:textId="77777777" w:rsidR="00AF01CF" w:rsidRPr="005E3B43" w:rsidRDefault="00AF01CF" w:rsidP="00763BCF">
      <w:pPr>
        <w:pStyle w:val="paragraph"/>
      </w:pPr>
      <w:r w:rsidRPr="005E3B43">
        <w:tab/>
        <w:t>(a)</w:t>
      </w:r>
      <w:r w:rsidRPr="005E3B43">
        <w:tab/>
        <w:t>it is not required to set out the information in the same order as the Template; and</w:t>
      </w:r>
    </w:p>
    <w:p w14:paraId="7758D5D5" w14:textId="77777777" w:rsidR="00AF01CF" w:rsidRPr="005E3B43" w:rsidRDefault="00AF01CF" w:rsidP="00763BCF">
      <w:pPr>
        <w:pStyle w:val="paragraph"/>
      </w:pPr>
      <w:r w:rsidRPr="005E3B43">
        <w:tab/>
        <w:t>(b)</w:t>
      </w:r>
      <w:r w:rsidRPr="005E3B43">
        <w:tab/>
        <w:t>it is not required to include any Consumer Medicine Information (CMI) summary that forms part of that Template.</w:t>
      </w:r>
    </w:p>
    <w:p w14:paraId="26103A9A" w14:textId="77777777" w:rsidR="00AF01CF" w:rsidRPr="005E3B43" w:rsidRDefault="00AF01CF" w:rsidP="00763BCF">
      <w:pPr>
        <w:pStyle w:val="ActHead5"/>
      </w:pPr>
      <w:bookmarkStart w:id="451" w:name="_Toc187136040"/>
      <w:r w:rsidRPr="005E3B43">
        <w:rPr>
          <w:rStyle w:val="CharSectno"/>
        </w:rPr>
        <w:t>3</w:t>
      </w:r>
      <w:r w:rsidRPr="005E3B43">
        <w:t xml:space="preserve">  Specific requirements—document not enclosed within packaging etc.</w:t>
      </w:r>
      <w:bookmarkEnd w:id="451"/>
    </w:p>
    <w:p w14:paraId="57A4E0EA" w14:textId="77777777" w:rsidR="00AF01CF" w:rsidRPr="005E3B43" w:rsidRDefault="00AF01CF" w:rsidP="00763BCF">
      <w:pPr>
        <w:pStyle w:val="subsection"/>
      </w:pPr>
      <w:r w:rsidRPr="005E3B43">
        <w:tab/>
      </w:r>
      <w:r w:rsidRPr="005E3B43">
        <w:tab/>
        <w:t>Also, if the consumer medicine information document about a medicine is not enclosed within, on a surface of, or affixed to a surface of, the packaging of the medicine:</w:t>
      </w:r>
    </w:p>
    <w:p w14:paraId="6B5548F9" w14:textId="77777777" w:rsidR="00AF01CF" w:rsidRPr="005E3B43" w:rsidRDefault="00AF01CF" w:rsidP="00763BCF">
      <w:pPr>
        <w:pStyle w:val="paragraph"/>
      </w:pPr>
      <w:r w:rsidRPr="005E3B43">
        <w:tab/>
        <w:t>(a)</w:t>
      </w:r>
      <w:r w:rsidRPr="005E3B43">
        <w:tab/>
        <w:t>it must set out all of the information required by the “TGA Consumer Medicine Information (Prescription Medicine) Template” (published by the Therapeutic Goods Administration on its website) in the same order as the Template; and</w:t>
      </w:r>
    </w:p>
    <w:p w14:paraId="41DD5BBD" w14:textId="77777777" w:rsidR="00AF01CF" w:rsidRPr="005E3B43" w:rsidRDefault="00AF01CF" w:rsidP="00763BCF">
      <w:pPr>
        <w:pStyle w:val="paragraph"/>
      </w:pPr>
      <w:r w:rsidRPr="005E3B43">
        <w:tab/>
        <w:t>(b)</w:t>
      </w:r>
      <w:r w:rsidRPr="005E3B43">
        <w:tab/>
        <w:t>if it is supplied in electronic form, it must be in the form of a PDF file or an HTML file.</w:t>
      </w:r>
    </w:p>
    <w:p w14:paraId="64152F0F" w14:textId="77777777" w:rsidR="000D358F" w:rsidRPr="005E3B43" w:rsidRDefault="008D1B4F" w:rsidP="00763BCF">
      <w:pPr>
        <w:pStyle w:val="ActHead1"/>
        <w:pageBreakBefore/>
      </w:pPr>
      <w:bookmarkStart w:id="452" w:name="_Toc187136041"/>
      <w:r w:rsidRPr="005E3B43">
        <w:rPr>
          <w:rStyle w:val="CharChapNo"/>
        </w:rPr>
        <w:lastRenderedPageBreak/>
        <w:t>Schedule 1</w:t>
      </w:r>
      <w:r w:rsidR="000D358F" w:rsidRPr="005E3B43">
        <w:rPr>
          <w:rStyle w:val="CharChapNo"/>
        </w:rPr>
        <w:t>3</w:t>
      </w:r>
      <w:r w:rsidR="000D358F" w:rsidRPr="005E3B43">
        <w:t>—</w:t>
      </w:r>
      <w:r w:rsidR="000D358F" w:rsidRPr="005E3B43">
        <w:rPr>
          <w:rStyle w:val="CharChapText"/>
        </w:rPr>
        <w:t>Consumer medicine information documents</w:t>
      </w:r>
      <w:bookmarkEnd w:id="452"/>
    </w:p>
    <w:p w14:paraId="1BBB44A4" w14:textId="77777777" w:rsidR="000D358F" w:rsidRPr="005E3B43" w:rsidRDefault="000D358F" w:rsidP="00763BCF">
      <w:pPr>
        <w:pStyle w:val="notemargin"/>
      </w:pPr>
      <w:r w:rsidRPr="005E3B43">
        <w:t>Note:</w:t>
      </w:r>
      <w:r w:rsidRPr="005E3B43">
        <w:tab/>
        <w:t>See subregulation 9A(1A).</w:t>
      </w:r>
    </w:p>
    <w:p w14:paraId="7A451A85" w14:textId="77777777" w:rsidR="000D358F" w:rsidRPr="005E3B43" w:rsidRDefault="000D358F" w:rsidP="00763BCF">
      <w:pPr>
        <w:pStyle w:val="Header"/>
      </w:pPr>
      <w:r w:rsidRPr="005E3B43">
        <w:rPr>
          <w:rStyle w:val="CharPartNo"/>
        </w:rPr>
        <w:t xml:space="preserve"> </w:t>
      </w:r>
      <w:r w:rsidRPr="005E3B43">
        <w:rPr>
          <w:rStyle w:val="CharPartText"/>
        </w:rPr>
        <w:t xml:space="preserve"> </w:t>
      </w:r>
    </w:p>
    <w:p w14:paraId="48176371" w14:textId="77777777" w:rsidR="000D358F" w:rsidRPr="005E3B43" w:rsidRDefault="000D358F" w:rsidP="00763BCF">
      <w:pPr>
        <w:pStyle w:val="Header"/>
      </w:pPr>
      <w:r w:rsidRPr="005E3B43">
        <w:rPr>
          <w:rStyle w:val="CharDivNo"/>
        </w:rPr>
        <w:t xml:space="preserve"> </w:t>
      </w:r>
      <w:r w:rsidRPr="005E3B43">
        <w:rPr>
          <w:rStyle w:val="CharDivText"/>
        </w:rPr>
        <w:t xml:space="preserve"> </w:t>
      </w:r>
    </w:p>
    <w:p w14:paraId="444EBB18" w14:textId="77777777" w:rsidR="000D358F" w:rsidRPr="005E3B43" w:rsidRDefault="000D358F" w:rsidP="00763BCF">
      <w:pPr>
        <w:pStyle w:val="ActHead5"/>
      </w:pPr>
      <w:bookmarkStart w:id="453" w:name="_Toc187136042"/>
      <w:r w:rsidRPr="005E3B43">
        <w:rPr>
          <w:rStyle w:val="CharSectno"/>
        </w:rPr>
        <w:t>1</w:t>
      </w:r>
      <w:r w:rsidRPr="005E3B43">
        <w:t xml:space="preserve">  General requirements</w:t>
      </w:r>
      <w:bookmarkEnd w:id="453"/>
    </w:p>
    <w:p w14:paraId="1B6C67C8" w14:textId="77777777" w:rsidR="000D358F" w:rsidRPr="005E3B43" w:rsidRDefault="000D358F" w:rsidP="00763BCF">
      <w:pPr>
        <w:pStyle w:val="subsection"/>
      </w:pPr>
      <w:r w:rsidRPr="005E3B43">
        <w:tab/>
      </w:r>
      <w:r w:rsidRPr="005E3B43">
        <w:tab/>
        <w:t>A consumer medicine information document about a medicine must:</w:t>
      </w:r>
    </w:p>
    <w:p w14:paraId="28D611E4" w14:textId="77777777" w:rsidR="000D358F" w:rsidRPr="005E3B43" w:rsidRDefault="000D358F" w:rsidP="00763BCF">
      <w:pPr>
        <w:pStyle w:val="paragraph"/>
      </w:pPr>
      <w:r w:rsidRPr="005E3B43">
        <w:tab/>
        <w:t>(a)</w:t>
      </w:r>
      <w:r w:rsidRPr="005E3B43">
        <w:tab/>
        <w:t>be written in English; and</w:t>
      </w:r>
    </w:p>
    <w:p w14:paraId="37790E14" w14:textId="77777777" w:rsidR="000D358F" w:rsidRPr="005E3B43" w:rsidRDefault="000D358F" w:rsidP="00763BCF">
      <w:pPr>
        <w:pStyle w:val="paragraph"/>
      </w:pPr>
      <w:r w:rsidRPr="005E3B43">
        <w:tab/>
        <w:t>(b)</w:t>
      </w:r>
      <w:r w:rsidRPr="005E3B43">
        <w:tab/>
        <w:t>be clearly legible; and</w:t>
      </w:r>
    </w:p>
    <w:p w14:paraId="3A1DDC39" w14:textId="77777777" w:rsidR="000D358F" w:rsidRPr="005E3B43" w:rsidRDefault="000D358F" w:rsidP="00763BCF">
      <w:pPr>
        <w:pStyle w:val="paragraph"/>
      </w:pPr>
      <w:r w:rsidRPr="005E3B43">
        <w:tab/>
        <w:t>(c)</w:t>
      </w:r>
      <w:r w:rsidRPr="005E3B43">
        <w:tab/>
        <w:t>be written in language that will easily be understood by patients; and</w:t>
      </w:r>
    </w:p>
    <w:p w14:paraId="26965113" w14:textId="77777777" w:rsidR="000D358F" w:rsidRPr="005E3B43" w:rsidRDefault="000D358F" w:rsidP="00763BCF">
      <w:pPr>
        <w:pStyle w:val="paragraph"/>
      </w:pPr>
      <w:r w:rsidRPr="005E3B43">
        <w:tab/>
        <w:t>(d)</w:t>
      </w:r>
      <w:r w:rsidRPr="005E3B43">
        <w:tab/>
        <w:t>be consistent with product information about the product.</w:t>
      </w:r>
    </w:p>
    <w:p w14:paraId="6FB0FBA0" w14:textId="77777777" w:rsidR="000D358F" w:rsidRPr="005E3B43" w:rsidRDefault="000D358F" w:rsidP="00763BCF">
      <w:pPr>
        <w:pStyle w:val="ActHead5"/>
      </w:pPr>
      <w:bookmarkStart w:id="454" w:name="_Toc187136043"/>
      <w:r w:rsidRPr="005E3B43">
        <w:rPr>
          <w:rStyle w:val="CharSectno"/>
        </w:rPr>
        <w:t>2</w:t>
      </w:r>
      <w:r w:rsidRPr="005E3B43">
        <w:t xml:space="preserve">  Specific requirements—document enclosed within packaging etc.</w:t>
      </w:r>
      <w:bookmarkEnd w:id="454"/>
    </w:p>
    <w:p w14:paraId="73B20C07" w14:textId="05162D91" w:rsidR="000D358F" w:rsidRPr="005E3B43" w:rsidRDefault="000D358F" w:rsidP="00763BCF">
      <w:pPr>
        <w:pStyle w:val="subsection"/>
      </w:pPr>
      <w:r w:rsidRPr="005E3B43">
        <w:tab/>
      </w:r>
      <w:r w:rsidRPr="005E3B43">
        <w:tab/>
        <w:t>Also, if the consumer medicine information document about a medicine is enclosed within, on a surface of, or affixed to a surface of, the packaging of the medicine, it must set out all of the information required by the “TGA Consumer Medicine Information (Non</w:t>
      </w:r>
      <w:r w:rsidR="007C3215">
        <w:noBreakHyphen/>
      </w:r>
      <w:r w:rsidRPr="005E3B43">
        <w:t>prescription Medicine) Template” (published by the Therapeutic Goods Administration on its website) but:</w:t>
      </w:r>
    </w:p>
    <w:p w14:paraId="10845FC2" w14:textId="77777777" w:rsidR="000D358F" w:rsidRPr="005E3B43" w:rsidRDefault="000D358F" w:rsidP="00763BCF">
      <w:pPr>
        <w:pStyle w:val="paragraph"/>
      </w:pPr>
      <w:r w:rsidRPr="005E3B43">
        <w:tab/>
        <w:t>(a)</w:t>
      </w:r>
      <w:r w:rsidRPr="005E3B43">
        <w:tab/>
        <w:t>it is not required to set out the information in the same order as the Template; and</w:t>
      </w:r>
    </w:p>
    <w:p w14:paraId="415A48A7" w14:textId="77777777" w:rsidR="000D358F" w:rsidRPr="005E3B43" w:rsidRDefault="000D358F" w:rsidP="00763BCF">
      <w:pPr>
        <w:pStyle w:val="paragraph"/>
      </w:pPr>
      <w:r w:rsidRPr="005E3B43">
        <w:tab/>
        <w:t>(b)</w:t>
      </w:r>
      <w:r w:rsidRPr="005E3B43">
        <w:tab/>
        <w:t>it is not required to include any Consumer Medicine Information (CMI) summary that forms part of that Template.</w:t>
      </w:r>
    </w:p>
    <w:p w14:paraId="3FA20AD5" w14:textId="77777777" w:rsidR="000D358F" w:rsidRPr="005E3B43" w:rsidRDefault="000D358F" w:rsidP="00763BCF">
      <w:pPr>
        <w:pStyle w:val="ActHead5"/>
      </w:pPr>
      <w:bookmarkStart w:id="455" w:name="_Toc187136044"/>
      <w:r w:rsidRPr="005E3B43">
        <w:rPr>
          <w:rStyle w:val="CharSectno"/>
        </w:rPr>
        <w:t>3</w:t>
      </w:r>
      <w:r w:rsidRPr="005E3B43">
        <w:t xml:space="preserve">  Specific requirements—document not enclosed within packaging etc.</w:t>
      </w:r>
      <w:bookmarkEnd w:id="455"/>
    </w:p>
    <w:p w14:paraId="468650E4" w14:textId="77777777" w:rsidR="000D358F" w:rsidRPr="005E3B43" w:rsidRDefault="000D358F" w:rsidP="00763BCF">
      <w:pPr>
        <w:pStyle w:val="subsection"/>
      </w:pPr>
      <w:r w:rsidRPr="005E3B43">
        <w:tab/>
      </w:r>
      <w:r w:rsidRPr="005E3B43">
        <w:tab/>
        <w:t>Also, if the consumer medicine information document about a medicine is not enclosed within, on a surface of, or affixed to a surface of, the packaging of the medicine:</w:t>
      </w:r>
    </w:p>
    <w:p w14:paraId="29DA078E" w14:textId="02E43C58" w:rsidR="000D358F" w:rsidRPr="005E3B43" w:rsidRDefault="000D358F" w:rsidP="00763BCF">
      <w:pPr>
        <w:pStyle w:val="paragraph"/>
      </w:pPr>
      <w:r w:rsidRPr="005E3B43">
        <w:tab/>
        <w:t>(a)</w:t>
      </w:r>
      <w:r w:rsidRPr="005E3B43">
        <w:tab/>
        <w:t>it must set out all of the information required by the “TGA Consumer Medicine Information (Non</w:t>
      </w:r>
      <w:r w:rsidR="007C3215">
        <w:noBreakHyphen/>
      </w:r>
      <w:r w:rsidRPr="005E3B43">
        <w:t>prescription Medicine) Template” (published by the Therapeutic Goods Administration on its website) in the same order as the Template; and</w:t>
      </w:r>
    </w:p>
    <w:p w14:paraId="2C60AC6D" w14:textId="77777777" w:rsidR="000D358F" w:rsidRPr="005E3B43" w:rsidRDefault="000D358F" w:rsidP="00763BCF">
      <w:pPr>
        <w:pStyle w:val="paragraph"/>
      </w:pPr>
      <w:r w:rsidRPr="005E3B43">
        <w:tab/>
        <w:t>(b)</w:t>
      </w:r>
      <w:r w:rsidRPr="005E3B43">
        <w:tab/>
        <w:t>if it is supplied in electronic form, it must be in the form of a PDF file or an HTML file.</w:t>
      </w:r>
    </w:p>
    <w:p w14:paraId="13C3A346" w14:textId="77777777" w:rsidR="00824FEC" w:rsidRPr="005E3B43" w:rsidRDefault="00824FEC" w:rsidP="00763BCF">
      <w:pPr>
        <w:sectPr w:rsidR="00824FEC" w:rsidRPr="005E3B43" w:rsidSect="001444B1">
          <w:headerReference w:type="even" r:id="rId42"/>
          <w:headerReference w:type="default" r:id="rId43"/>
          <w:headerReference w:type="first" r:id="rId44"/>
          <w:pgSz w:w="11907" w:h="16839" w:code="9"/>
          <w:pgMar w:top="2325" w:right="1797" w:bottom="1440" w:left="1797" w:header="720" w:footer="709" w:gutter="0"/>
          <w:cols w:space="720"/>
          <w:docGrid w:linePitch="299"/>
        </w:sectPr>
      </w:pPr>
    </w:p>
    <w:p w14:paraId="535B6774" w14:textId="77777777" w:rsidR="00FF08C9" w:rsidRPr="005E3B43" w:rsidRDefault="008D1B4F" w:rsidP="00763BCF">
      <w:pPr>
        <w:pStyle w:val="ActHead1"/>
        <w:pageBreakBefore/>
      </w:pPr>
      <w:bookmarkStart w:id="456" w:name="_Toc187136045"/>
      <w:r w:rsidRPr="005E3B43">
        <w:rPr>
          <w:rStyle w:val="CharChapNo"/>
        </w:rPr>
        <w:lastRenderedPageBreak/>
        <w:t>Schedule 1</w:t>
      </w:r>
      <w:r w:rsidR="00FF08C9" w:rsidRPr="005E3B43">
        <w:rPr>
          <w:rStyle w:val="CharChapNo"/>
        </w:rPr>
        <w:t>4</w:t>
      </w:r>
      <w:r w:rsidR="00E20BA4" w:rsidRPr="005E3B43">
        <w:t>—</w:t>
      </w:r>
      <w:r w:rsidR="00FF08C9" w:rsidRPr="005E3B43">
        <w:rPr>
          <w:rStyle w:val="CharChapText"/>
        </w:rPr>
        <w:t>Designated active ingredients</w:t>
      </w:r>
      <w:bookmarkEnd w:id="456"/>
    </w:p>
    <w:p w14:paraId="749CC1BA" w14:textId="77777777" w:rsidR="00FF08C9" w:rsidRPr="005E3B43" w:rsidRDefault="00FF08C9" w:rsidP="00763BCF">
      <w:pPr>
        <w:pStyle w:val="notemargin"/>
      </w:pPr>
      <w:r w:rsidRPr="005E3B43">
        <w:t>(regulation</w:t>
      </w:r>
      <w:r w:rsidR="004E6D00" w:rsidRPr="005E3B43">
        <w:t> </w:t>
      </w:r>
      <w:r w:rsidRPr="005E3B43">
        <w:t>2)</w:t>
      </w:r>
    </w:p>
    <w:p w14:paraId="3CC0EEB0" w14:textId="77777777" w:rsidR="00207B1C" w:rsidRPr="005E3B43" w:rsidRDefault="00E20BA4" w:rsidP="00763BCF">
      <w:pPr>
        <w:pStyle w:val="Header"/>
      </w:pPr>
      <w:r w:rsidRPr="005E3B43">
        <w:rPr>
          <w:rStyle w:val="CharPartNo"/>
        </w:rPr>
        <w:t xml:space="preserve"> </w:t>
      </w:r>
      <w:r w:rsidRPr="005E3B43">
        <w:rPr>
          <w:rStyle w:val="CharPartText"/>
        </w:rPr>
        <w:t xml:space="preserve"> </w:t>
      </w:r>
    </w:p>
    <w:p w14:paraId="5091A1FD" w14:textId="77777777" w:rsidR="00E20BA4" w:rsidRPr="005E3B43" w:rsidRDefault="00E20BA4" w:rsidP="00763BCF">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820"/>
        <w:gridCol w:w="7707"/>
      </w:tblGrid>
      <w:tr w:rsidR="00207B1C" w:rsidRPr="005E3B43" w14:paraId="10847D42" w14:textId="77777777" w:rsidTr="005A786D">
        <w:trPr>
          <w:tblHeader/>
        </w:trPr>
        <w:tc>
          <w:tcPr>
            <w:tcW w:w="481" w:type="pct"/>
            <w:tcBorders>
              <w:top w:val="single" w:sz="12" w:space="0" w:color="auto"/>
              <w:bottom w:val="single" w:sz="12" w:space="0" w:color="auto"/>
            </w:tcBorders>
            <w:shd w:val="clear" w:color="auto" w:fill="auto"/>
          </w:tcPr>
          <w:p w14:paraId="7E004EC2" w14:textId="77777777" w:rsidR="00207B1C" w:rsidRPr="005E3B43" w:rsidRDefault="00207B1C" w:rsidP="00763BCF">
            <w:pPr>
              <w:pStyle w:val="TableHeading"/>
            </w:pPr>
            <w:r w:rsidRPr="005E3B43">
              <w:t>Item</w:t>
            </w:r>
          </w:p>
        </w:tc>
        <w:tc>
          <w:tcPr>
            <w:tcW w:w="4519" w:type="pct"/>
            <w:tcBorders>
              <w:top w:val="single" w:sz="12" w:space="0" w:color="auto"/>
              <w:bottom w:val="single" w:sz="12" w:space="0" w:color="auto"/>
            </w:tcBorders>
            <w:shd w:val="clear" w:color="auto" w:fill="auto"/>
          </w:tcPr>
          <w:p w14:paraId="6CDA5F3C" w14:textId="77777777" w:rsidR="00207B1C" w:rsidRPr="005E3B43" w:rsidRDefault="00207B1C" w:rsidP="00763BCF">
            <w:pPr>
              <w:pStyle w:val="TableHeading"/>
            </w:pPr>
            <w:r w:rsidRPr="005E3B43">
              <w:t>Ingredient or kind of ingredient</w:t>
            </w:r>
          </w:p>
        </w:tc>
      </w:tr>
      <w:tr w:rsidR="00207B1C" w:rsidRPr="005E3B43" w14:paraId="49EA805A" w14:textId="77777777" w:rsidTr="005A786D">
        <w:tc>
          <w:tcPr>
            <w:tcW w:w="481" w:type="pct"/>
            <w:tcBorders>
              <w:top w:val="single" w:sz="12" w:space="0" w:color="auto"/>
              <w:bottom w:val="single" w:sz="4" w:space="0" w:color="auto"/>
            </w:tcBorders>
            <w:shd w:val="clear" w:color="auto" w:fill="auto"/>
          </w:tcPr>
          <w:p w14:paraId="45C5F537" w14:textId="77777777" w:rsidR="00207B1C" w:rsidRPr="005E3B43" w:rsidRDefault="00207B1C" w:rsidP="00763BCF">
            <w:pPr>
              <w:pStyle w:val="Tabletext"/>
            </w:pPr>
            <w:r w:rsidRPr="005E3B43">
              <w:t>1</w:t>
            </w:r>
          </w:p>
        </w:tc>
        <w:tc>
          <w:tcPr>
            <w:tcW w:w="4519" w:type="pct"/>
            <w:tcBorders>
              <w:top w:val="single" w:sz="12" w:space="0" w:color="auto"/>
              <w:bottom w:val="single" w:sz="4" w:space="0" w:color="auto"/>
            </w:tcBorders>
            <w:shd w:val="clear" w:color="auto" w:fill="auto"/>
          </w:tcPr>
          <w:p w14:paraId="565D0736" w14:textId="77777777" w:rsidR="00207B1C" w:rsidRPr="005E3B43" w:rsidRDefault="00207B1C" w:rsidP="00763BCF">
            <w:pPr>
              <w:pStyle w:val="Tabletext"/>
            </w:pPr>
            <w:r w:rsidRPr="005E3B43">
              <w:t>an amino acid</w:t>
            </w:r>
          </w:p>
        </w:tc>
      </w:tr>
      <w:tr w:rsidR="00207B1C" w:rsidRPr="005E3B43" w14:paraId="34EC5C6E" w14:textId="77777777" w:rsidTr="005A786D">
        <w:tc>
          <w:tcPr>
            <w:tcW w:w="481" w:type="pct"/>
            <w:tcBorders>
              <w:top w:val="single" w:sz="4" w:space="0" w:color="auto"/>
              <w:bottom w:val="single" w:sz="4" w:space="0" w:color="auto"/>
            </w:tcBorders>
            <w:shd w:val="clear" w:color="auto" w:fill="auto"/>
          </w:tcPr>
          <w:p w14:paraId="444ADF73" w14:textId="77777777" w:rsidR="00207B1C" w:rsidRPr="005E3B43" w:rsidRDefault="00207B1C" w:rsidP="00763BCF">
            <w:pPr>
              <w:pStyle w:val="Tabletext"/>
            </w:pPr>
            <w:r w:rsidRPr="005E3B43">
              <w:t>2</w:t>
            </w:r>
          </w:p>
        </w:tc>
        <w:tc>
          <w:tcPr>
            <w:tcW w:w="4519" w:type="pct"/>
            <w:tcBorders>
              <w:top w:val="single" w:sz="4" w:space="0" w:color="auto"/>
              <w:bottom w:val="single" w:sz="4" w:space="0" w:color="auto"/>
            </w:tcBorders>
            <w:shd w:val="clear" w:color="auto" w:fill="auto"/>
          </w:tcPr>
          <w:p w14:paraId="076B280E" w14:textId="77777777" w:rsidR="00207B1C" w:rsidRPr="005E3B43" w:rsidRDefault="00207B1C" w:rsidP="00763BCF">
            <w:pPr>
              <w:pStyle w:val="Tabletext"/>
            </w:pPr>
            <w:r w:rsidRPr="005E3B43">
              <w:t>charcoal</w:t>
            </w:r>
          </w:p>
        </w:tc>
      </w:tr>
      <w:tr w:rsidR="00207B1C" w:rsidRPr="005E3B43" w14:paraId="4DD847B4" w14:textId="77777777" w:rsidTr="005A786D">
        <w:tc>
          <w:tcPr>
            <w:tcW w:w="481" w:type="pct"/>
            <w:tcBorders>
              <w:top w:val="single" w:sz="4" w:space="0" w:color="auto"/>
              <w:bottom w:val="single" w:sz="4" w:space="0" w:color="auto"/>
            </w:tcBorders>
            <w:shd w:val="clear" w:color="auto" w:fill="auto"/>
          </w:tcPr>
          <w:p w14:paraId="6AA2BC67" w14:textId="77777777" w:rsidR="00207B1C" w:rsidRPr="005E3B43" w:rsidRDefault="00207B1C" w:rsidP="00763BCF">
            <w:pPr>
              <w:pStyle w:val="Tabletext"/>
            </w:pPr>
            <w:r w:rsidRPr="005E3B43">
              <w:t>3</w:t>
            </w:r>
          </w:p>
        </w:tc>
        <w:tc>
          <w:tcPr>
            <w:tcW w:w="4519" w:type="pct"/>
            <w:tcBorders>
              <w:top w:val="single" w:sz="4" w:space="0" w:color="auto"/>
              <w:bottom w:val="single" w:sz="4" w:space="0" w:color="auto"/>
            </w:tcBorders>
            <w:shd w:val="clear" w:color="auto" w:fill="auto"/>
          </w:tcPr>
          <w:p w14:paraId="0022B076" w14:textId="77777777" w:rsidR="00207B1C" w:rsidRPr="005E3B43" w:rsidRDefault="00207B1C" w:rsidP="00763BCF">
            <w:pPr>
              <w:pStyle w:val="Tabletext"/>
            </w:pPr>
            <w:r w:rsidRPr="005E3B43">
              <w:t>a choline salt</w:t>
            </w:r>
          </w:p>
        </w:tc>
      </w:tr>
      <w:tr w:rsidR="00207B1C" w:rsidRPr="005E3B43" w14:paraId="081701C6" w14:textId="77777777" w:rsidTr="005A786D">
        <w:tc>
          <w:tcPr>
            <w:tcW w:w="481" w:type="pct"/>
            <w:tcBorders>
              <w:top w:val="single" w:sz="4" w:space="0" w:color="auto"/>
              <w:bottom w:val="single" w:sz="4" w:space="0" w:color="auto"/>
            </w:tcBorders>
            <w:shd w:val="clear" w:color="auto" w:fill="auto"/>
          </w:tcPr>
          <w:p w14:paraId="7D439E01" w14:textId="77777777" w:rsidR="00207B1C" w:rsidRPr="005E3B43" w:rsidRDefault="00207B1C" w:rsidP="00763BCF">
            <w:pPr>
              <w:pStyle w:val="Tabletext"/>
            </w:pPr>
            <w:r w:rsidRPr="005E3B43">
              <w:t>4</w:t>
            </w:r>
          </w:p>
        </w:tc>
        <w:tc>
          <w:tcPr>
            <w:tcW w:w="4519" w:type="pct"/>
            <w:tcBorders>
              <w:top w:val="single" w:sz="4" w:space="0" w:color="auto"/>
              <w:bottom w:val="single" w:sz="4" w:space="0" w:color="auto"/>
            </w:tcBorders>
            <w:shd w:val="clear" w:color="auto" w:fill="auto"/>
          </w:tcPr>
          <w:p w14:paraId="26117DE2" w14:textId="77777777" w:rsidR="00207B1C" w:rsidRPr="005E3B43" w:rsidRDefault="00207B1C" w:rsidP="00763BCF">
            <w:pPr>
              <w:pStyle w:val="Tabletext"/>
            </w:pPr>
            <w:r w:rsidRPr="005E3B43">
              <w:t>an essential oil</w:t>
            </w:r>
          </w:p>
        </w:tc>
      </w:tr>
      <w:tr w:rsidR="00207B1C" w:rsidRPr="005E3B43" w14:paraId="26FDD408" w14:textId="77777777" w:rsidTr="005A786D">
        <w:tc>
          <w:tcPr>
            <w:tcW w:w="481" w:type="pct"/>
            <w:tcBorders>
              <w:top w:val="single" w:sz="4" w:space="0" w:color="auto"/>
              <w:bottom w:val="single" w:sz="4" w:space="0" w:color="auto"/>
            </w:tcBorders>
            <w:shd w:val="clear" w:color="auto" w:fill="auto"/>
          </w:tcPr>
          <w:p w14:paraId="75ABC505" w14:textId="77777777" w:rsidR="00207B1C" w:rsidRPr="005E3B43" w:rsidRDefault="00207B1C" w:rsidP="00763BCF">
            <w:pPr>
              <w:pStyle w:val="Tabletext"/>
            </w:pPr>
            <w:r w:rsidRPr="005E3B43">
              <w:t>5</w:t>
            </w:r>
          </w:p>
        </w:tc>
        <w:tc>
          <w:tcPr>
            <w:tcW w:w="4519" w:type="pct"/>
            <w:tcBorders>
              <w:top w:val="single" w:sz="4" w:space="0" w:color="auto"/>
              <w:bottom w:val="single" w:sz="4" w:space="0" w:color="auto"/>
            </w:tcBorders>
            <w:shd w:val="clear" w:color="auto" w:fill="auto"/>
          </w:tcPr>
          <w:p w14:paraId="59B24494" w14:textId="77777777" w:rsidR="00207B1C" w:rsidRPr="005E3B43" w:rsidRDefault="00207B1C" w:rsidP="00763BCF">
            <w:pPr>
              <w:pStyle w:val="Tabletext"/>
            </w:pPr>
            <w:r w:rsidRPr="005E3B43">
              <w:t>plant or herbal material (or a synthetically produced substitute for material of that kind), including plant fibres, enzymes, algae, fungi, cellulose and derivatives of cellulose and chlorophyll</w:t>
            </w:r>
          </w:p>
        </w:tc>
      </w:tr>
      <w:tr w:rsidR="00207B1C" w:rsidRPr="005E3B43" w14:paraId="6BA21FCD" w14:textId="77777777" w:rsidTr="005A786D">
        <w:tc>
          <w:tcPr>
            <w:tcW w:w="481" w:type="pct"/>
            <w:tcBorders>
              <w:top w:val="single" w:sz="4" w:space="0" w:color="auto"/>
              <w:bottom w:val="single" w:sz="4" w:space="0" w:color="auto"/>
            </w:tcBorders>
            <w:shd w:val="clear" w:color="auto" w:fill="auto"/>
          </w:tcPr>
          <w:p w14:paraId="72BC10D1" w14:textId="77777777" w:rsidR="00207B1C" w:rsidRPr="005E3B43" w:rsidRDefault="00207B1C" w:rsidP="00763BCF">
            <w:pPr>
              <w:pStyle w:val="Tabletext"/>
            </w:pPr>
            <w:r w:rsidRPr="005E3B43">
              <w:t>6</w:t>
            </w:r>
          </w:p>
        </w:tc>
        <w:tc>
          <w:tcPr>
            <w:tcW w:w="4519" w:type="pct"/>
            <w:tcBorders>
              <w:top w:val="single" w:sz="4" w:space="0" w:color="auto"/>
              <w:bottom w:val="single" w:sz="4" w:space="0" w:color="auto"/>
            </w:tcBorders>
            <w:shd w:val="clear" w:color="auto" w:fill="auto"/>
          </w:tcPr>
          <w:p w14:paraId="33DE20EE" w14:textId="77777777" w:rsidR="00207B1C" w:rsidRPr="005E3B43" w:rsidRDefault="00207B1C" w:rsidP="00763BCF">
            <w:pPr>
              <w:pStyle w:val="Tabletext"/>
            </w:pPr>
            <w:r w:rsidRPr="005E3B43">
              <w:t xml:space="preserve">a </w:t>
            </w:r>
            <w:r w:rsidR="009C169B" w:rsidRPr="005E3B43">
              <w:t>homoeopathic</w:t>
            </w:r>
            <w:r w:rsidRPr="005E3B43">
              <w:t xml:space="preserve"> preparation </w:t>
            </w:r>
          </w:p>
        </w:tc>
      </w:tr>
      <w:tr w:rsidR="00207B1C" w:rsidRPr="005E3B43" w14:paraId="5E4E0CAE" w14:textId="77777777" w:rsidTr="005A786D">
        <w:tc>
          <w:tcPr>
            <w:tcW w:w="481" w:type="pct"/>
            <w:tcBorders>
              <w:top w:val="single" w:sz="4" w:space="0" w:color="auto"/>
              <w:bottom w:val="single" w:sz="4" w:space="0" w:color="auto"/>
            </w:tcBorders>
            <w:shd w:val="clear" w:color="auto" w:fill="auto"/>
          </w:tcPr>
          <w:p w14:paraId="45AAF767" w14:textId="77777777" w:rsidR="00207B1C" w:rsidRPr="005E3B43" w:rsidRDefault="00207B1C" w:rsidP="00763BCF">
            <w:pPr>
              <w:pStyle w:val="Tabletext"/>
            </w:pPr>
            <w:r w:rsidRPr="005E3B43">
              <w:t>7</w:t>
            </w:r>
          </w:p>
        </w:tc>
        <w:tc>
          <w:tcPr>
            <w:tcW w:w="4519" w:type="pct"/>
            <w:tcBorders>
              <w:top w:val="single" w:sz="4" w:space="0" w:color="auto"/>
              <w:bottom w:val="single" w:sz="4" w:space="0" w:color="auto"/>
            </w:tcBorders>
            <w:shd w:val="clear" w:color="auto" w:fill="auto"/>
          </w:tcPr>
          <w:p w14:paraId="4AE2150A" w14:textId="77777777" w:rsidR="00207B1C" w:rsidRPr="005E3B43" w:rsidRDefault="00207B1C" w:rsidP="00763BCF">
            <w:pPr>
              <w:pStyle w:val="Tabletext"/>
            </w:pPr>
            <w:r w:rsidRPr="005E3B43">
              <w:t>a microorganism, whole or extracted, except a vaccine</w:t>
            </w:r>
          </w:p>
        </w:tc>
      </w:tr>
      <w:tr w:rsidR="00207B1C" w:rsidRPr="005E3B43" w14:paraId="588CC93C" w14:textId="77777777" w:rsidTr="005A786D">
        <w:tc>
          <w:tcPr>
            <w:tcW w:w="481" w:type="pct"/>
            <w:tcBorders>
              <w:top w:val="single" w:sz="4" w:space="0" w:color="auto"/>
              <w:bottom w:val="single" w:sz="4" w:space="0" w:color="auto"/>
            </w:tcBorders>
            <w:shd w:val="clear" w:color="auto" w:fill="auto"/>
          </w:tcPr>
          <w:p w14:paraId="73494633" w14:textId="77777777" w:rsidR="00207B1C" w:rsidRPr="005E3B43" w:rsidRDefault="00207B1C" w:rsidP="00763BCF">
            <w:pPr>
              <w:pStyle w:val="Tabletext"/>
            </w:pPr>
            <w:r w:rsidRPr="005E3B43">
              <w:t>8</w:t>
            </w:r>
          </w:p>
        </w:tc>
        <w:tc>
          <w:tcPr>
            <w:tcW w:w="4519" w:type="pct"/>
            <w:tcBorders>
              <w:top w:val="single" w:sz="4" w:space="0" w:color="auto"/>
              <w:bottom w:val="single" w:sz="4" w:space="0" w:color="auto"/>
            </w:tcBorders>
            <w:shd w:val="clear" w:color="auto" w:fill="auto"/>
          </w:tcPr>
          <w:p w14:paraId="5D170E4F" w14:textId="77777777" w:rsidR="00207B1C" w:rsidRPr="005E3B43" w:rsidRDefault="00207B1C" w:rsidP="00763BCF">
            <w:pPr>
              <w:pStyle w:val="Tabletext"/>
            </w:pPr>
            <w:r w:rsidRPr="005E3B43">
              <w:t xml:space="preserve">a mineral including a mineral salt and a naturally occurring mineral </w:t>
            </w:r>
          </w:p>
        </w:tc>
      </w:tr>
      <w:tr w:rsidR="00207B1C" w:rsidRPr="005E3B43" w14:paraId="1E823399" w14:textId="77777777" w:rsidTr="005A786D">
        <w:tc>
          <w:tcPr>
            <w:tcW w:w="481" w:type="pct"/>
            <w:tcBorders>
              <w:top w:val="single" w:sz="4" w:space="0" w:color="auto"/>
              <w:bottom w:val="single" w:sz="4" w:space="0" w:color="auto"/>
            </w:tcBorders>
            <w:shd w:val="clear" w:color="auto" w:fill="auto"/>
          </w:tcPr>
          <w:p w14:paraId="2C10E927" w14:textId="77777777" w:rsidR="00207B1C" w:rsidRPr="005E3B43" w:rsidRDefault="00207B1C" w:rsidP="00763BCF">
            <w:pPr>
              <w:pStyle w:val="Tabletext"/>
            </w:pPr>
            <w:r w:rsidRPr="005E3B43">
              <w:t>9</w:t>
            </w:r>
          </w:p>
        </w:tc>
        <w:tc>
          <w:tcPr>
            <w:tcW w:w="4519" w:type="pct"/>
            <w:tcBorders>
              <w:top w:val="single" w:sz="4" w:space="0" w:color="auto"/>
              <w:bottom w:val="single" w:sz="4" w:space="0" w:color="auto"/>
            </w:tcBorders>
            <w:shd w:val="clear" w:color="auto" w:fill="auto"/>
          </w:tcPr>
          <w:p w14:paraId="1FCD354B" w14:textId="77777777" w:rsidR="00207B1C" w:rsidRPr="005E3B43" w:rsidRDefault="00207B1C" w:rsidP="00763BCF">
            <w:pPr>
              <w:pStyle w:val="Tabletext"/>
            </w:pPr>
            <w:r w:rsidRPr="005E3B43">
              <w:t>a mucopolysaccharide</w:t>
            </w:r>
          </w:p>
        </w:tc>
      </w:tr>
      <w:tr w:rsidR="00207B1C" w:rsidRPr="005E3B43" w14:paraId="1F7F9149" w14:textId="77777777" w:rsidTr="005A786D">
        <w:tc>
          <w:tcPr>
            <w:tcW w:w="481" w:type="pct"/>
            <w:tcBorders>
              <w:top w:val="single" w:sz="4" w:space="0" w:color="auto"/>
              <w:bottom w:val="single" w:sz="4" w:space="0" w:color="auto"/>
            </w:tcBorders>
            <w:shd w:val="clear" w:color="auto" w:fill="auto"/>
          </w:tcPr>
          <w:p w14:paraId="040234A6" w14:textId="77777777" w:rsidR="00207B1C" w:rsidRPr="005E3B43" w:rsidRDefault="00207B1C" w:rsidP="00763BCF">
            <w:pPr>
              <w:pStyle w:val="Tabletext"/>
            </w:pPr>
            <w:r w:rsidRPr="005E3B43">
              <w:t>10</w:t>
            </w:r>
          </w:p>
        </w:tc>
        <w:tc>
          <w:tcPr>
            <w:tcW w:w="4519" w:type="pct"/>
            <w:tcBorders>
              <w:top w:val="single" w:sz="4" w:space="0" w:color="auto"/>
              <w:bottom w:val="single" w:sz="4" w:space="0" w:color="auto"/>
            </w:tcBorders>
            <w:shd w:val="clear" w:color="auto" w:fill="auto"/>
          </w:tcPr>
          <w:p w14:paraId="63AA8364" w14:textId="55F86B9A" w:rsidR="00207B1C" w:rsidRPr="005E3B43" w:rsidRDefault="00207B1C" w:rsidP="00763BCF">
            <w:pPr>
              <w:pStyle w:val="Tabletext"/>
            </w:pPr>
            <w:r w:rsidRPr="005E3B43">
              <w:t>non</w:t>
            </w:r>
            <w:r w:rsidR="007C3215">
              <w:noBreakHyphen/>
            </w:r>
            <w:r w:rsidRPr="005E3B43">
              <w:t>human animal material (or a synthetically produced substitute for material of that kind) including dried material, bone and cartilage, fats and oils and other extracts or concentrates</w:t>
            </w:r>
          </w:p>
        </w:tc>
      </w:tr>
      <w:tr w:rsidR="00207B1C" w:rsidRPr="005E3B43" w14:paraId="3513F740" w14:textId="77777777" w:rsidTr="005A786D">
        <w:tc>
          <w:tcPr>
            <w:tcW w:w="481" w:type="pct"/>
            <w:tcBorders>
              <w:top w:val="single" w:sz="4" w:space="0" w:color="auto"/>
              <w:bottom w:val="single" w:sz="4" w:space="0" w:color="auto"/>
            </w:tcBorders>
            <w:shd w:val="clear" w:color="auto" w:fill="auto"/>
          </w:tcPr>
          <w:p w14:paraId="7BF55DF4" w14:textId="77777777" w:rsidR="00207B1C" w:rsidRPr="005E3B43" w:rsidRDefault="00207B1C" w:rsidP="00763BCF">
            <w:pPr>
              <w:pStyle w:val="Tabletext"/>
            </w:pPr>
            <w:r w:rsidRPr="005E3B43">
              <w:t>11</w:t>
            </w:r>
          </w:p>
        </w:tc>
        <w:tc>
          <w:tcPr>
            <w:tcW w:w="4519" w:type="pct"/>
            <w:tcBorders>
              <w:top w:val="single" w:sz="4" w:space="0" w:color="auto"/>
              <w:bottom w:val="single" w:sz="4" w:space="0" w:color="auto"/>
            </w:tcBorders>
            <w:shd w:val="clear" w:color="auto" w:fill="auto"/>
          </w:tcPr>
          <w:p w14:paraId="0F2261F0" w14:textId="77777777" w:rsidR="00207B1C" w:rsidRPr="005E3B43" w:rsidRDefault="00207B1C" w:rsidP="00763BCF">
            <w:pPr>
              <w:pStyle w:val="Tabletext"/>
            </w:pPr>
            <w:r w:rsidRPr="005E3B43">
              <w:t>a lipid, including an essential fatty acid or phospholipid</w:t>
            </w:r>
          </w:p>
        </w:tc>
      </w:tr>
      <w:tr w:rsidR="00207B1C" w:rsidRPr="005E3B43" w14:paraId="03ACBC1A" w14:textId="77777777" w:rsidTr="005A786D">
        <w:tc>
          <w:tcPr>
            <w:tcW w:w="481" w:type="pct"/>
            <w:tcBorders>
              <w:top w:val="single" w:sz="4" w:space="0" w:color="auto"/>
              <w:bottom w:val="single" w:sz="4" w:space="0" w:color="auto"/>
            </w:tcBorders>
            <w:shd w:val="clear" w:color="auto" w:fill="auto"/>
          </w:tcPr>
          <w:p w14:paraId="5A011B87" w14:textId="77777777" w:rsidR="00207B1C" w:rsidRPr="005E3B43" w:rsidRDefault="00207B1C" w:rsidP="00763BCF">
            <w:pPr>
              <w:pStyle w:val="Tabletext"/>
            </w:pPr>
            <w:r w:rsidRPr="005E3B43">
              <w:t>12</w:t>
            </w:r>
          </w:p>
        </w:tc>
        <w:tc>
          <w:tcPr>
            <w:tcW w:w="4519" w:type="pct"/>
            <w:tcBorders>
              <w:top w:val="single" w:sz="4" w:space="0" w:color="auto"/>
              <w:bottom w:val="single" w:sz="4" w:space="0" w:color="auto"/>
            </w:tcBorders>
            <w:shd w:val="clear" w:color="auto" w:fill="auto"/>
          </w:tcPr>
          <w:p w14:paraId="7789FC9B" w14:textId="77777777" w:rsidR="00207B1C" w:rsidRPr="005E3B43" w:rsidRDefault="00207B1C" w:rsidP="00763BCF">
            <w:pPr>
              <w:pStyle w:val="Tabletext"/>
            </w:pPr>
            <w:r w:rsidRPr="005E3B43">
              <w:t xml:space="preserve">a substance produced by or obtained from bees, including royal jelly, bee pollen and propolis </w:t>
            </w:r>
          </w:p>
        </w:tc>
      </w:tr>
      <w:tr w:rsidR="00207B1C" w:rsidRPr="005E3B43" w14:paraId="5B2CE7F9" w14:textId="77777777" w:rsidTr="005A786D">
        <w:tc>
          <w:tcPr>
            <w:tcW w:w="481" w:type="pct"/>
            <w:tcBorders>
              <w:top w:val="single" w:sz="4" w:space="0" w:color="auto"/>
              <w:bottom w:val="single" w:sz="4" w:space="0" w:color="auto"/>
            </w:tcBorders>
            <w:shd w:val="clear" w:color="auto" w:fill="auto"/>
          </w:tcPr>
          <w:p w14:paraId="14B8D33E" w14:textId="77777777" w:rsidR="00207B1C" w:rsidRPr="005E3B43" w:rsidRDefault="00207B1C" w:rsidP="00763BCF">
            <w:pPr>
              <w:pStyle w:val="Tabletext"/>
            </w:pPr>
            <w:r w:rsidRPr="005E3B43">
              <w:t>13</w:t>
            </w:r>
          </w:p>
        </w:tc>
        <w:tc>
          <w:tcPr>
            <w:tcW w:w="4519" w:type="pct"/>
            <w:tcBorders>
              <w:top w:val="single" w:sz="4" w:space="0" w:color="auto"/>
              <w:bottom w:val="single" w:sz="4" w:space="0" w:color="auto"/>
            </w:tcBorders>
            <w:shd w:val="clear" w:color="auto" w:fill="auto"/>
          </w:tcPr>
          <w:p w14:paraId="118CA1EE" w14:textId="77777777" w:rsidR="00207B1C" w:rsidRPr="005E3B43" w:rsidRDefault="00207B1C" w:rsidP="00763BCF">
            <w:pPr>
              <w:pStyle w:val="Tabletext"/>
            </w:pPr>
            <w:r w:rsidRPr="005E3B43">
              <w:t xml:space="preserve">a sugar, polysaccharide or carbohydrate </w:t>
            </w:r>
          </w:p>
        </w:tc>
      </w:tr>
      <w:tr w:rsidR="00207B1C" w:rsidRPr="005E3B43" w14:paraId="1AC78592" w14:textId="77777777" w:rsidTr="005A786D">
        <w:tc>
          <w:tcPr>
            <w:tcW w:w="481" w:type="pct"/>
            <w:tcBorders>
              <w:top w:val="single" w:sz="4" w:space="0" w:color="auto"/>
              <w:bottom w:val="single" w:sz="12" w:space="0" w:color="auto"/>
            </w:tcBorders>
            <w:shd w:val="clear" w:color="auto" w:fill="auto"/>
          </w:tcPr>
          <w:p w14:paraId="64CC245B" w14:textId="77777777" w:rsidR="00207B1C" w:rsidRPr="005E3B43" w:rsidRDefault="00207B1C" w:rsidP="00763BCF">
            <w:pPr>
              <w:pStyle w:val="Tabletext"/>
            </w:pPr>
            <w:r w:rsidRPr="005E3B43">
              <w:t>14</w:t>
            </w:r>
          </w:p>
        </w:tc>
        <w:tc>
          <w:tcPr>
            <w:tcW w:w="4519" w:type="pct"/>
            <w:tcBorders>
              <w:top w:val="single" w:sz="4" w:space="0" w:color="auto"/>
              <w:bottom w:val="single" w:sz="12" w:space="0" w:color="auto"/>
            </w:tcBorders>
            <w:shd w:val="clear" w:color="auto" w:fill="auto"/>
          </w:tcPr>
          <w:p w14:paraId="069B9C4A" w14:textId="77777777" w:rsidR="00207B1C" w:rsidRPr="005E3B43" w:rsidRDefault="00207B1C" w:rsidP="00763BCF">
            <w:pPr>
              <w:pStyle w:val="Tabletext"/>
            </w:pPr>
            <w:r w:rsidRPr="005E3B43">
              <w:t>a vitamin or provitamin</w:t>
            </w:r>
          </w:p>
        </w:tc>
      </w:tr>
    </w:tbl>
    <w:p w14:paraId="735BFED6" w14:textId="77777777" w:rsidR="00592BBC" w:rsidRPr="005E3B43" w:rsidRDefault="00592BBC" w:rsidP="00763BCF">
      <w:pPr>
        <w:sectPr w:rsidR="00592BBC" w:rsidRPr="005E3B43" w:rsidSect="001444B1">
          <w:headerReference w:type="even" r:id="rId45"/>
          <w:headerReference w:type="default" r:id="rId46"/>
          <w:headerReference w:type="first" r:id="rId47"/>
          <w:pgSz w:w="11907" w:h="16839" w:code="9"/>
          <w:pgMar w:top="2325" w:right="1797" w:bottom="1440" w:left="1797" w:header="720" w:footer="709" w:gutter="0"/>
          <w:cols w:space="720"/>
          <w:docGrid w:linePitch="299"/>
        </w:sectPr>
      </w:pPr>
    </w:p>
    <w:p w14:paraId="2B4C5EEA" w14:textId="77777777" w:rsidR="00045D06" w:rsidRPr="005E3B43" w:rsidRDefault="008D1B4F" w:rsidP="00763BCF">
      <w:pPr>
        <w:pStyle w:val="ActHead1"/>
      </w:pPr>
      <w:bookmarkStart w:id="457" w:name="_Toc187136046"/>
      <w:r w:rsidRPr="005E3B43">
        <w:rPr>
          <w:rStyle w:val="CharChapNo"/>
        </w:rPr>
        <w:lastRenderedPageBreak/>
        <w:t>Schedule 1</w:t>
      </w:r>
      <w:r w:rsidR="00045D06" w:rsidRPr="005E3B43">
        <w:rPr>
          <w:rStyle w:val="CharChapNo"/>
        </w:rPr>
        <w:t>6</w:t>
      </w:r>
      <w:r w:rsidR="00045D06" w:rsidRPr="005E3B43">
        <w:t>—</w:t>
      </w:r>
      <w:r w:rsidR="00045D06" w:rsidRPr="005E3B43">
        <w:rPr>
          <w:rStyle w:val="CharChapText"/>
        </w:rPr>
        <w:t>Classes of biologicals</w:t>
      </w:r>
      <w:bookmarkEnd w:id="457"/>
    </w:p>
    <w:p w14:paraId="2BE2048F" w14:textId="77777777" w:rsidR="00045D06" w:rsidRPr="005E3B43" w:rsidRDefault="00045D06" w:rsidP="00763BCF">
      <w:pPr>
        <w:pStyle w:val="notemargin"/>
      </w:pPr>
      <w:r w:rsidRPr="005E3B43">
        <w:t>Note:</w:t>
      </w:r>
      <w:r w:rsidRPr="005E3B43">
        <w:tab/>
        <w:t>See regulation</w:t>
      </w:r>
      <w:r w:rsidR="004E6D00" w:rsidRPr="005E3B43">
        <w:t> </w:t>
      </w:r>
      <w:r w:rsidRPr="005E3B43">
        <w:t>2.</w:t>
      </w:r>
    </w:p>
    <w:p w14:paraId="18D5BBB7" w14:textId="77777777" w:rsidR="00045D06" w:rsidRPr="005E3B43" w:rsidRDefault="00045D06" w:rsidP="00763BCF">
      <w:pPr>
        <w:pStyle w:val="Header"/>
      </w:pPr>
      <w:bookmarkStart w:id="458" w:name="f_Check_Lines_below"/>
      <w:bookmarkEnd w:id="458"/>
      <w:r w:rsidRPr="005E3B43">
        <w:rPr>
          <w:rStyle w:val="CharPartNo"/>
        </w:rPr>
        <w:t xml:space="preserve"> </w:t>
      </w:r>
      <w:r w:rsidRPr="005E3B43">
        <w:rPr>
          <w:rStyle w:val="CharPartText"/>
        </w:rPr>
        <w:t xml:space="preserve"> </w:t>
      </w:r>
    </w:p>
    <w:p w14:paraId="5A8F262F" w14:textId="77777777" w:rsidR="00045D06" w:rsidRPr="005E3B43" w:rsidRDefault="00045D06" w:rsidP="00763BCF">
      <w:pPr>
        <w:pStyle w:val="Header"/>
      </w:pPr>
      <w:r w:rsidRPr="005E3B43">
        <w:rPr>
          <w:rStyle w:val="CharDivNo"/>
        </w:rPr>
        <w:t xml:space="preserve"> </w:t>
      </w:r>
      <w:r w:rsidRPr="005E3B43">
        <w:rPr>
          <w:rStyle w:val="CharDivText"/>
        </w:rPr>
        <w:t xml:space="preserve"> </w:t>
      </w:r>
    </w:p>
    <w:p w14:paraId="40B8B696" w14:textId="77777777" w:rsidR="006A3FAC" w:rsidRPr="005E3B43" w:rsidRDefault="006A3FAC" w:rsidP="00763BCF">
      <w:pPr>
        <w:pStyle w:val="ActHead5"/>
      </w:pPr>
      <w:bookmarkStart w:id="459" w:name="_Toc187136047"/>
      <w:r w:rsidRPr="005E3B43">
        <w:rPr>
          <w:rStyle w:val="CharSectno"/>
        </w:rPr>
        <w:t>1A</w:t>
      </w:r>
      <w:r w:rsidRPr="005E3B43">
        <w:t xml:space="preserve">  Class 1 biologicals</w:t>
      </w:r>
      <w:bookmarkEnd w:id="459"/>
    </w:p>
    <w:p w14:paraId="09416659" w14:textId="77777777" w:rsidR="006A3FAC" w:rsidRPr="005E3B43" w:rsidRDefault="006A3FAC" w:rsidP="00763BCF">
      <w:pPr>
        <w:pStyle w:val="subsection"/>
      </w:pPr>
      <w:r w:rsidRPr="005E3B43">
        <w:tab/>
      </w:r>
      <w:r w:rsidRPr="005E3B43">
        <w:tab/>
        <w:t xml:space="preserve">For the purposes of the definition of </w:t>
      </w:r>
      <w:r w:rsidRPr="005E3B43">
        <w:rPr>
          <w:b/>
          <w:i/>
        </w:rPr>
        <w:t>Class 1 biological</w:t>
      </w:r>
      <w:r w:rsidRPr="005E3B43">
        <w:t xml:space="preserve"> in regulation</w:t>
      </w:r>
      <w:r w:rsidR="004E6D00" w:rsidRPr="005E3B43">
        <w:t> </w:t>
      </w:r>
      <w:r w:rsidRPr="005E3B43">
        <w:t>2, a biological is a Class 1 biological if:</w:t>
      </w:r>
    </w:p>
    <w:p w14:paraId="2D000D3F" w14:textId="77777777" w:rsidR="006A3FAC" w:rsidRPr="005E3B43" w:rsidRDefault="006A3FAC" w:rsidP="00763BCF">
      <w:pPr>
        <w:pStyle w:val="paragraph"/>
      </w:pPr>
      <w:r w:rsidRPr="005E3B43">
        <w:tab/>
        <w:t>(a)</w:t>
      </w:r>
      <w:r w:rsidRPr="005E3B43">
        <w:tab/>
        <w:t>it is a faecal microbiota transplant product; and</w:t>
      </w:r>
    </w:p>
    <w:p w14:paraId="7608E41A" w14:textId="77777777" w:rsidR="006A3FAC" w:rsidRPr="005E3B43" w:rsidRDefault="006A3FAC" w:rsidP="00763BCF">
      <w:pPr>
        <w:pStyle w:val="paragraph"/>
      </w:pPr>
      <w:r w:rsidRPr="005E3B43">
        <w:tab/>
        <w:t>(b)</w:t>
      </w:r>
      <w:r w:rsidRPr="005E3B43">
        <w:tab/>
        <w:t>it is not advertised to consumers; and</w:t>
      </w:r>
    </w:p>
    <w:p w14:paraId="4E23BED1" w14:textId="77777777" w:rsidR="006A3FAC" w:rsidRPr="005E3B43" w:rsidRDefault="006A3FAC" w:rsidP="00763BCF">
      <w:pPr>
        <w:pStyle w:val="paragraph"/>
      </w:pPr>
      <w:r w:rsidRPr="005E3B43">
        <w:tab/>
        <w:t>(c)</w:t>
      </w:r>
      <w:r w:rsidRPr="005E3B43">
        <w:tab/>
        <w:t>it is to be collected under the supervision or direction, or in accordance with the requirements, of a medical practitioner registered, in a State or internal Territory, as a medical practitioner; and</w:t>
      </w:r>
    </w:p>
    <w:p w14:paraId="4C5C3E0D" w14:textId="77777777" w:rsidR="006A3FAC" w:rsidRPr="005E3B43" w:rsidRDefault="006A3FAC" w:rsidP="00763BCF">
      <w:pPr>
        <w:pStyle w:val="paragraph"/>
      </w:pPr>
      <w:r w:rsidRPr="005E3B43">
        <w:tab/>
        <w:t>(d)</w:t>
      </w:r>
      <w:r w:rsidRPr="005E3B43">
        <w:tab/>
        <w:t>each later step in the manufacture of it is to be carried out in a hospital by, or under the supervision or direction of, the practitioner (unless the step relates to the storage or testing of the biological, in which case it may instead be carried out by a person under a contract with the hospital in a State or internal Territory); and</w:t>
      </w:r>
    </w:p>
    <w:p w14:paraId="09C568AB" w14:textId="77777777" w:rsidR="006A3FAC" w:rsidRPr="005E3B43" w:rsidRDefault="006A3FAC" w:rsidP="00763BCF">
      <w:pPr>
        <w:pStyle w:val="paragraph"/>
      </w:pPr>
      <w:r w:rsidRPr="005E3B43">
        <w:tab/>
        <w:t>(e)</w:t>
      </w:r>
      <w:r w:rsidRPr="005E3B43">
        <w:tab/>
        <w:t>it is for use in a recipient who is a patient of the hospital with the recipient being under the clinical care of the practitioner.</w:t>
      </w:r>
    </w:p>
    <w:p w14:paraId="754D29D5" w14:textId="77777777" w:rsidR="00045D06" w:rsidRPr="005E3B43" w:rsidRDefault="00045D06" w:rsidP="00763BCF">
      <w:pPr>
        <w:pStyle w:val="ActHead5"/>
      </w:pPr>
      <w:bookmarkStart w:id="460" w:name="_Toc187136048"/>
      <w:r w:rsidRPr="005E3B43">
        <w:rPr>
          <w:rStyle w:val="CharSectno"/>
        </w:rPr>
        <w:t>1</w:t>
      </w:r>
      <w:r w:rsidRPr="005E3B43">
        <w:t xml:space="preserve">  Class 4 biologicals</w:t>
      </w:r>
      <w:bookmarkEnd w:id="460"/>
    </w:p>
    <w:p w14:paraId="2C4AB5AF" w14:textId="77777777" w:rsidR="00045D06" w:rsidRPr="005E3B43" w:rsidRDefault="00045D06" w:rsidP="00763BCF">
      <w:pPr>
        <w:pStyle w:val="subsection"/>
      </w:pPr>
      <w:r w:rsidRPr="005E3B43">
        <w:tab/>
      </w:r>
      <w:r w:rsidRPr="005E3B43">
        <w:tab/>
        <w:t xml:space="preserve">For the purposes of the definition of </w:t>
      </w:r>
      <w:r w:rsidRPr="005E3B43">
        <w:rPr>
          <w:b/>
          <w:i/>
        </w:rPr>
        <w:t>Class 4 biological</w:t>
      </w:r>
      <w:r w:rsidRPr="005E3B43">
        <w:t xml:space="preserve"> in regulation</w:t>
      </w:r>
      <w:r w:rsidR="004E6D00" w:rsidRPr="005E3B43">
        <w:t> </w:t>
      </w:r>
      <w:r w:rsidRPr="005E3B43">
        <w:t>2, the following biologicals are Class 4 biologicals:</w:t>
      </w:r>
    </w:p>
    <w:p w14:paraId="4928C43A" w14:textId="77777777" w:rsidR="00045D06" w:rsidRPr="005E3B43" w:rsidRDefault="00045D06" w:rsidP="00763BCF">
      <w:pPr>
        <w:pStyle w:val="paragraph"/>
      </w:pPr>
      <w:r w:rsidRPr="005E3B43">
        <w:tab/>
        <w:t>(a)</w:t>
      </w:r>
      <w:r w:rsidRPr="005E3B43">
        <w:tab/>
        <w:t>biologicals that comprise or contain:</w:t>
      </w:r>
    </w:p>
    <w:p w14:paraId="3BFCD41D" w14:textId="77777777" w:rsidR="00045D06" w:rsidRPr="005E3B43" w:rsidRDefault="00045D06" w:rsidP="00763BCF">
      <w:pPr>
        <w:pStyle w:val="paragraphsub"/>
      </w:pPr>
      <w:r w:rsidRPr="005E3B43">
        <w:tab/>
        <w:t>(i)</w:t>
      </w:r>
      <w:r w:rsidRPr="005E3B43">
        <w:tab/>
        <w:t>live animal cells; or</w:t>
      </w:r>
    </w:p>
    <w:p w14:paraId="6D623DB7" w14:textId="77777777" w:rsidR="00045D06" w:rsidRPr="005E3B43" w:rsidRDefault="00045D06" w:rsidP="00763BCF">
      <w:pPr>
        <w:pStyle w:val="paragraphsub"/>
      </w:pPr>
      <w:r w:rsidRPr="005E3B43">
        <w:tab/>
        <w:t>(ii)</w:t>
      </w:r>
      <w:r w:rsidRPr="005E3B43">
        <w:tab/>
        <w:t>live animal tissues; or</w:t>
      </w:r>
    </w:p>
    <w:p w14:paraId="6CE685DF" w14:textId="77777777" w:rsidR="00045D06" w:rsidRPr="005E3B43" w:rsidRDefault="00045D06" w:rsidP="00763BCF">
      <w:pPr>
        <w:pStyle w:val="paragraphsub"/>
      </w:pPr>
      <w:r w:rsidRPr="005E3B43">
        <w:tab/>
        <w:t>(iii)</w:t>
      </w:r>
      <w:r w:rsidRPr="005E3B43">
        <w:tab/>
        <w:t>live animal organs;</w:t>
      </w:r>
    </w:p>
    <w:p w14:paraId="62AAA788" w14:textId="77777777" w:rsidR="00045D06" w:rsidRPr="005E3B43" w:rsidRDefault="00045D06" w:rsidP="00763BCF">
      <w:pPr>
        <w:pStyle w:val="paragraph"/>
      </w:pPr>
      <w:r w:rsidRPr="005E3B43">
        <w:tab/>
        <w:t>(b)</w:t>
      </w:r>
      <w:r w:rsidRPr="005E3B43">
        <w:tab/>
        <w:t>biologicals to which both of the following paragraphs apply:</w:t>
      </w:r>
    </w:p>
    <w:p w14:paraId="47E9FF6C" w14:textId="77777777" w:rsidR="00045D06" w:rsidRPr="005E3B43" w:rsidRDefault="00045D06" w:rsidP="00763BCF">
      <w:pPr>
        <w:pStyle w:val="paragraphsub"/>
      </w:pPr>
      <w:r w:rsidRPr="005E3B43">
        <w:tab/>
        <w:t>(i)</w:t>
      </w:r>
      <w:r w:rsidRPr="005E3B43">
        <w:tab/>
        <w:t>the biologicals comprise, contain or are derived from human cells or human tissues that have been modified to artificially introduce a function or functions of the cells or tissues;</w:t>
      </w:r>
    </w:p>
    <w:p w14:paraId="76F8A51A" w14:textId="77777777" w:rsidR="00045D06" w:rsidRPr="005E3B43" w:rsidRDefault="00045D06" w:rsidP="00763BCF">
      <w:pPr>
        <w:pStyle w:val="paragraphsub"/>
      </w:pPr>
      <w:r w:rsidRPr="005E3B43">
        <w:tab/>
        <w:t>(ii)</w:t>
      </w:r>
      <w:r w:rsidRPr="005E3B43">
        <w:tab/>
        <w:t>the artificially introduced function or functions were not intrinsic to the cells or tissues when they were collected from the donor;</w:t>
      </w:r>
    </w:p>
    <w:p w14:paraId="3BE2D29A" w14:textId="77777777" w:rsidR="00045D06" w:rsidRPr="005E3B43" w:rsidRDefault="00045D06" w:rsidP="00763BCF">
      <w:pPr>
        <w:pStyle w:val="paragraph"/>
      </w:pPr>
      <w:r w:rsidRPr="005E3B43">
        <w:tab/>
        <w:t>(c)</w:t>
      </w:r>
      <w:r w:rsidRPr="005E3B43">
        <w:tab/>
        <w:t>pluripotent stem cells;</w:t>
      </w:r>
    </w:p>
    <w:p w14:paraId="07B6370A" w14:textId="77777777" w:rsidR="00045D06" w:rsidRPr="005E3B43" w:rsidRDefault="00045D06" w:rsidP="00763BCF">
      <w:pPr>
        <w:pStyle w:val="paragraph"/>
      </w:pPr>
      <w:r w:rsidRPr="005E3B43">
        <w:tab/>
        <w:t>(d)</w:t>
      </w:r>
      <w:r w:rsidRPr="005E3B43">
        <w:tab/>
        <w:t>biologicals derived from pluripotent stem cells.</w:t>
      </w:r>
    </w:p>
    <w:p w14:paraId="746A2CFB" w14:textId="77777777" w:rsidR="00592BBC" w:rsidRPr="005E3B43" w:rsidRDefault="00592BBC" w:rsidP="00763BCF">
      <w:pPr>
        <w:sectPr w:rsidR="00592BBC" w:rsidRPr="005E3B43" w:rsidSect="001444B1">
          <w:headerReference w:type="even" r:id="rId48"/>
          <w:headerReference w:type="default" r:id="rId49"/>
          <w:headerReference w:type="first" r:id="rId50"/>
          <w:pgSz w:w="11907" w:h="16839" w:code="9"/>
          <w:pgMar w:top="2325" w:right="1797" w:bottom="1440" w:left="1797" w:header="720" w:footer="709" w:gutter="0"/>
          <w:cols w:space="720"/>
          <w:docGrid w:linePitch="299"/>
        </w:sectPr>
      </w:pPr>
    </w:p>
    <w:p w14:paraId="284C9BC9" w14:textId="77777777" w:rsidR="00522F41" w:rsidRPr="005E3B43" w:rsidRDefault="00522F41" w:rsidP="00763BCF">
      <w:pPr>
        <w:pStyle w:val="ENotesHeading1"/>
        <w:outlineLvl w:val="9"/>
      </w:pPr>
      <w:bookmarkStart w:id="461" w:name="_Toc187136049"/>
      <w:r w:rsidRPr="005E3B43">
        <w:lastRenderedPageBreak/>
        <w:t>Endnotes</w:t>
      </w:r>
      <w:bookmarkEnd w:id="461"/>
    </w:p>
    <w:p w14:paraId="1E013893" w14:textId="77777777" w:rsidR="00224626" w:rsidRPr="007A36FC" w:rsidRDefault="00224626" w:rsidP="00224626">
      <w:pPr>
        <w:pStyle w:val="ENotesHeading2"/>
        <w:spacing w:line="240" w:lineRule="auto"/>
        <w:outlineLvl w:val="9"/>
      </w:pPr>
      <w:bookmarkStart w:id="462" w:name="_Toc187136050"/>
      <w:r w:rsidRPr="007A36FC">
        <w:t>Endnote 1—About the endnotes</w:t>
      </w:r>
      <w:bookmarkEnd w:id="462"/>
    </w:p>
    <w:p w14:paraId="2FE42EFA" w14:textId="77777777" w:rsidR="00224626" w:rsidRDefault="00224626" w:rsidP="00224626">
      <w:pPr>
        <w:spacing w:after="120"/>
      </w:pPr>
      <w:r w:rsidRPr="00BC57F4">
        <w:t xml:space="preserve">The endnotes provide </w:t>
      </w:r>
      <w:r>
        <w:t>information about this compilation and the compiled law.</w:t>
      </w:r>
    </w:p>
    <w:p w14:paraId="5FEB02E9" w14:textId="77777777" w:rsidR="00224626" w:rsidRPr="00BC57F4" w:rsidRDefault="00224626" w:rsidP="00224626">
      <w:pPr>
        <w:spacing w:after="120"/>
      </w:pPr>
      <w:r w:rsidRPr="00BC57F4">
        <w:t>The followi</w:t>
      </w:r>
      <w:r>
        <w:t>ng endnotes are included in every</w:t>
      </w:r>
      <w:r w:rsidRPr="00BC57F4">
        <w:t xml:space="preserve"> compilation:</w:t>
      </w:r>
    </w:p>
    <w:p w14:paraId="55DB9988" w14:textId="77777777" w:rsidR="00224626" w:rsidRPr="00BC57F4" w:rsidRDefault="00224626" w:rsidP="00224626">
      <w:r w:rsidRPr="00BC57F4">
        <w:t>Endnote 1—About the endnotes</w:t>
      </w:r>
    </w:p>
    <w:p w14:paraId="649DDE08" w14:textId="77777777" w:rsidR="00224626" w:rsidRPr="00BC57F4" w:rsidRDefault="00224626" w:rsidP="00224626">
      <w:r w:rsidRPr="00BC57F4">
        <w:t>Endnote 2—Abbreviation key</w:t>
      </w:r>
    </w:p>
    <w:p w14:paraId="175BBAC4" w14:textId="77777777" w:rsidR="00224626" w:rsidRPr="00BC57F4" w:rsidRDefault="00224626" w:rsidP="00224626">
      <w:r w:rsidRPr="00BC57F4">
        <w:t>Endnote 3—Legislation history</w:t>
      </w:r>
    </w:p>
    <w:p w14:paraId="3518AD39" w14:textId="77777777" w:rsidR="00224626" w:rsidRDefault="00224626" w:rsidP="00224626">
      <w:pPr>
        <w:spacing w:after="120"/>
      </w:pPr>
      <w:r w:rsidRPr="00BC57F4">
        <w:t>Endnote 4—Amendment history</w:t>
      </w:r>
    </w:p>
    <w:p w14:paraId="0EBA2A25" w14:textId="77777777" w:rsidR="00224626" w:rsidRPr="00BC57F4" w:rsidRDefault="00224626" w:rsidP="00224626">
      <w:r w:rsidRPr="00BC57F4">
        <w:rPr>
          <w:b/>
        </w:rPr>
        <w:t>Abbreviation key—</w:t>
      </w:r>
      <w:r>
        <w:rPr>
          <w:b/>
        </w:rPr>
        <w:t>E</w:t>
      </w:r>
      <w:r w:rsidRPr="00BC57F4">
        <w:rPr>
          <w:b/>
        </w:rPr>
        <w:t>ndnote 2</w:t>
      </w:r>
    </w:p>
    <w:p w14:paraId="16EF7708" w14:textId="77777777" w:rsidR="00224626" w:rsidRPr="00BC57F4" w:rsidRDefault="00224626" w:rsidP="00224626">
      <w:pPr>
        <w:spacing w:after="120"/>
      </w:pPr>
      <w:r w:rsidRPr="00BC57F4">
        <w:t xml:space="preserve">The abbreviation key sets out abbreviations </w:t>
      </w:r>
      <w:r>
        <w:t xml:space="preserve">that may be </w:t>
      </w:r>
      <w:r w:rsidRPr="00BC57F4">
        <w:t>used in the endnotes.</w:t>
      </w:r>
    </w:p>
    <w:p w14:paraId="7BB61A1C" w14:textId="77777777" w:rsidR="00224626" w:rsidRPr="00BC57F4" w:rsidRDefault="00224626" w:rsidP="00224626">
      <w:pPr>
        <w:rPr>
          <w:b/>
        </w:rPr>
      </w:pPr>
      <w:r w:rsidRPr="00BC57F4">
        <w:rPr>
          <w:b/>
        </w:rPr>
        <w:t>Legislation history and amendment history—</w:t>
      </w:r>
      <w:r>
        <w:rPr>
          <w:b/>
        </w:rPr>
        <w:t>E</w:t>
      </w:r>
      <w:r w:rsidRPr="00BC57F4">
        <w:rPr>
          <w:b/>
        </w:rPr>
        <w:t>ndnotes 3 and 4</w:t>
      </w:r>
    </w:p>
    <w:p w14:paraId="1414AAD2" w14:textId="77777777" w:rsidR="00224626" w:rsidRPr="00BC57F4" w:rsidRDefault="00224626" w:rsidP="00224626">
      <w:pPr>
        <w:spacing w:after="120"/>
      </w:pPr>
      <w:r w:rsidRPr="00BC57F4">
        <w:t>Amending laws are annotated in the legislation history and amendment history.</w:t>
      </w:r>
    </w:p>
    <w:p w14:paraId="77E9FD7F" w14:textId="77777777" w:rsidR="00224626" w:rsidRPr="00BC57F4" w:rsidRDefault="00224626" w:rsidP="00224626">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66AEEEB7" w14:textId="77777777" w:rsidR="00224626" w:rsidRDefault="00224626" w:rsidP="00224626">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6008CCCD" w14:textId="77777777" w:rsidR="00224626" w:rsidRPr="00FB4AD4" w:rsidRDefault="00224626" w:rsidP="00224626">
      <w:pPr>
        <w:rPr>
          <w:b/>
        </w:rPr>
      </w:pPr>
      <w:r w:rsidRPr="00FB4AD4">
        <w:rPr>
          <w:b/>
        </w:rPr>
        <w:t>Editorial changes</w:t>
      </w:r>
    </w:p>
    <w:p w14:paraId="4CA5CB02" w14:textId="77777777" w:rsidR="00224626" w:rsidRDefault="00224626" w:rsidP="00224626">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0F69F335" w14:textId="77777777" w:rsidR="00224626" w:rsidRDefault="00224626" w:rsidP="00224626">
      <w:pPr>
        <w:spacing w:after="120"/>
      </w:pPr>
      <w:r>
        <w:t>If the compilation includes editorial changes, the endnotes include a brief outline of the changes in general terms. Full details of any changes can be obtained from the Office of Parliamentary Counsel.</w:t>
      </w:r>
    </w:p>
    <w:p w14:paraId="6EA3E5CF" w14:textId="77777777" w:rsidR="00224626" w:rsidRPr="00BC57F4" w:rsidRDefault="00224626" w:rsidP="00224626">
      <w:pPr>
        <w:keepNext/>
      </w:pPr>
      <w:r>
        <w:rPr>
          <w:b/>
        </w:rPr>
        <w:t>Misdescribed amendments</w:t>
      </w:r>
    </w:p>
    <w:p w14:paraId="20B420D3" w14:textId="51A15D09" w:rsidR="00224626" w:rsidRDefault="00224626" w:rsidP="00224626">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7C3215">
        <w:t>section 1</w:t>
      </w:r>
      <w:r>
        <w:t xml:space="preserve">5V of the </w:t>
      </w:r>
      <w:r w:rsidRPr="001B7B32">
        <w:rPr>
          <w:i/>
        </w:rPr>
        <w:t>Legislation Act 2003</w:t>
      </w:r>
      <w:r>
        <w:t>.</w:t>
      </w:r>
    </w:p>
    <w:p w14:paraId="395C0469" w14:textId="77777777" w:rsidR="00224626" w:rsidRDefault="00224626" w:rsidP="00224626">
      <w:pPr>
        <w:spacing w:before="120" w:after="240"/>
      </w:pPr>
      <w:r>
        <w:t>If a misdescribed amendment cannot be given effect as intended, the amendment is not incorporated and “(md not incorp)” is added to the amendment history</w:t>
      </w:r>
      <w:r w:rsidRPr="00E466D8">
        <w:t>.</w:t>
      </w:r>
    </w:p>
    <w:p w14:paraId="1A220E1B" w14:textId="77777777" w:rsidR="002171D6" w:rsidRPr="005E3B43" w:rsidRDefault="002171D6" w:rsidP="00BD2C37">
      <w:pPr>
        <w:spacing w:before="120"/>
      </w:pPr>
    </w:p>
    <w:p w14:paraId="2783F31C" w14:textId="77777777" w:rsidR="00522F41" w:rsidRPr="005E3B43" w:rsidRDefault="00522F41" w:rsidP="00763BCF">
      <w:pPr>
        <w:pStyle w:val="ENotesHeading2"/>
        <w:pageBreakBefore/>
        <w:outlineLvl w:val="9"/>
      </w:pPr>
      <w:bookmarkStart w:id="463" w:name="_Toc187136051"/>
      <w:r w:rsidRPr="005E3B43">
        <w:lastRenderedPageBreak/>
        <w:t>Endnote 2—Abbreviation key</w:t>
      </w:r>
      <w:bookmarkEnd w:id="463"/>
    </w:p>
    <w:p w14:paraId="0C122FB9" w14:textId="77777777" w:rsidR="00522F41" w:rsidRPr="005E3B43" w:rsidRDefault="00522F41" w:rsidP="00763BCF">
      <w:pPr>
        <w:pStyle w:val="Tabletext"/>
      </w:pPr>
    </w:p>
    <w:tbl>
      <w:tblPr>
        <w:tblW w:w="5000" w:type="pct"/>
        <w:tblLook w:val="0000" w:firstRow="0" w:lastRow="0" w:firstColumn="0" w:lastColumn="0" w:noHBand="0" w:noVBand="0"/>
      </w:tblPr>
      <w:tblGrid>
        <w:gridCol w:w="4570"/>
        <w:gridCol w:w="3959"/>
      </w:tblGrid>
      <w:tr w:rsidR="00522F41" w:rsidRPr="005E3B43" w14:paraId="6174A327" w14:textId="77777777" w:rsidTr="005A786D">
        <w:tc>
          <w:tcPr>
            <w:tcW w:w="2679" w:type="pct"/>
            <w:shd w:val="clear" w:color="auto" w:fill="auto"/>
          </w:tcPr>
          <w:p w14:paraId="30BD88AD" w14:textId="77777777" w:rsidR="00522F41" w:rsidRPr="005E3B43" w:rsidRDefault="00522F41" w:rsidP="00763BCF">
            <w:pPr>
              <w:spacing w:before="60"/>
              <w:ind w:left="34"/>
              <w:rPr>
                <w:sz w:val="20"/>
              </w:rPr>
            </w:pPr>
            <w:r w:rsidRPr="005E3B43">
              <w:rPr>
                <w:sz w:val="20"/>
              </w:rPr>
              <w:t>ad = added or inserted</w:t>
            </w:r>
          </w:p>
        </w:tc>
        <w:tc>
          <w:tcPr>
            <w:tcW w:w="2321" w:type="pct"/>
            <w:shd w:val="clear" w:color="auto" w:fill="auto"/>
          </w:tcPr>
          <w:p w14:paraId="72311EB9" w14:textId="77777777" w:rsidR="00522F41" w:rsidRPr="005E3B43" w:rsidRDefault="00522F41" w:rsidP="00763BCF">
            <w:pPr>
              <w:spacing w:before="60"/>
              <w:ind w:left="34"/>
              <w:rPr>
                <w:sz w:val="20"/>
              </w:rPr>
            </w:pPr>
            <w:r w:rsidRPr="005E3B43">
              <w:rPr>
                <w:sz w:val="20"/>
              </w:rPr>
              <w:t>o = order(s)</w:t>
            </w:r>
          </w:p>
        </w:tc>
      </w:tr>
      <w:tr w:rsidR="00522F41" w:rsidRPr="005E3B43" w14:paraId="3CB774AE" w14:textId="77777777" w:rsidTr="005A786D">
        <w:tc>
          <w:tcPr>
            <w:tcW w:w="2679" w:type="pct"/>
            <w:shd w:val="clear" w:color="auto" w:fill="auto"/>
          </w:tcPr>
          <w:p w14:paraId="52A40A6D" w14:textId="77777777" w:rsidR="00522F41" w:rsidRPr="005E3B43" w:rsidRDefault="00522F41" w:rsidP="00763BCF">
            <w:pPr>
              <w:spacing w:before="60"/>
              <w:ind w:left="34"/>
              <w:rPr>
                <w:sz w:val="20"/>
              </w:rPr>
            </w:pPr>
            <w:r w:rsidRPr="005E3B43">
              <w:rPr>
                <w:sz w:val="20"/>
              </w:rPr>
              <w:t>am = amended</w:t>
            </w:r>
          </w:p>
        </w:tc>
        <w:tc>
          <w:tcPr>
            <w:tcW w:w="2321" w:type="pct"/>
            <w:shd w:val="clear" w:color="auto" w:fill="auto"/>
          </w:tcPr>
          <w:p w14:paraId="7A30C9B7" w14:textId="77777777" w:rsidR="00522F41" w:rsidRPr="005E3B43" w:rsidRDefault="00522F41" w:rsidP="00763BCF">
            <w:pPr>
              <w:spacing w:before="60"/>
              <w:ind w:left="34"/>
              <w:rPr>
                <w:sz w:val="20"/>
              </w:rPr>
            </w:pPr>
            <w:r w:rsidRPr="005E3B43">
              <w:rPr>
                <w:sz w:val="20"/>
              </w:rPr>
              <w:t>Ord = Ordinance</w:t>
            </w:r>
          </w:p>
        </w:tc>
      </w:tr>
      <w:tr w:rsidR="00522F41" w:rsidRPr="005E3B43" w14:paraId="30031E05" w14:textId="77777777" w:rsidTr="005A786D">
        <w:tc>
          <w:tcPr>
            <w:tcW w:w="2679" w:type="pct"/>
            <w:shd w:val="clear" w:color="auto" w:fill="auto"/>
          </w:tcPr>
          <w:p w14:paraId="65041325" w14:textId="77777777" w:rsidR="00522F41" w:rsidRPr="005E3B43" w:rsidRDefault="00522F41" w:rsidP="00763BCF">
            <w:pPr>
              <w:spacing w:before="60"/>
              <w:ind w:left="34"/>
              <w:rPr>
                <w:sz w:val="20"/>
              </w:rPr>
            </w:pPr>
            <w:r w:rsidRPr="005E3B43">
              <w:rPr>
                <w:sz w:val="20"/>
              </w:rPr>
              <w:t>amdt = amendment</w:t>
            </w:r>
          </w:p>
        </w:tc>
        <w:tc>
          <w:tcPr>
            <w:tcW w:w="2321" w:type="pct"/>
            <w:shd w:val="clear" w:color="auto" w:fill="auto"/>
          </w:tcPr>
          <w:p w14:paraId="685F6DC5" w14:textId="77777777" w:rsidR="00522F41" w:rsidRPr="005E3B43" w:rsidRDefault="00522F41" w:rsidP="00763BCF">
            <w:pPr>
              <w:spacing w:before="60"/>
              <w:ind w:left="34"/>
              <w:rPr>
                <w:sz w:val="20"/>
              </w:rPr>
            </w:pPr>
            <w:r w:rsidRPr="005E3B43">
              <w:rPr>
                <w:sz w:val="20"/>
              </w:rPr>
              <w:t>orig = original</w:t>
            </w:r>
          </w:p>
        </w:tc>
      </w:tr>
      <w:tr w:rsidR="00522F41" w:rsidRPr="005E3B43" w14:paraId="2DAA9B6D" w14:textId="77777777" w:rsidTr="005A786D">
        <w:tc>
          <w:tcPr>
            <w:tcW w:w="2679" w:type="pct"/>
            <w:shd w:val="clear" w:color="auto" w:fill="auto"/>
          </w:tcPr>
          <w:p w14:paraId="02A37E89" w14:textId="77777777" w:rsidR="00522F41" w:rsidRPr="005E3B43" w:rsidRDefault="00522F41" w:rsidP="00763BCF">
            <w:pPr>
              <w:spacing w:before="60"/>
              <w:ind w:left="34"/>
              <w:rPr>
                <w:sz w:val="20"/>
              </w:rPr>
            </w:pPr>
            <w:r w:rsidRPr="005E3B43">
              <w:rPr>
                <w:sz w:val="20"/>
              </w:rPr>
              <w:t>c = clause(s)</w:t>
            </w:r>
          </w:p>
        </w:tc>
        <w:tc>
          <w:tcPr>
            <w:tcW w:w="2321" w:type="pct"/>
            <w:shd w:val="clear" w:color="auto" w:fill="auto"/>
          </w:tcPr>
          <w:p w14:paraId="553A03A4" w14:textId="77777777" w:rsidR="00522F41" w:rsidRPr="005E3B43" w:rsidRDefault="00522F41" w:rsidP="00763BCF">
            <w:pPr>
              <w:spacing w:before="60"/>
              <w:ind w:left="34"/>
              <w:rPr>
                <w:sz w:val="20"/>
              </w:rPr>
            </w:pPr>
            <w:r w:rsidRPr="005E3B43">
              <w:rPr>
                <w:sz w:val="20"/>
              </w:rPr>
              <w:t>par = paragraph(s)/subparagraph(s)</w:t>
            </w:r>
          </w:p>
        </w:tc>
      </w:tr>
      <w:tr w:rsidR="00522F41" w:rsidRPr="005E3B43" w14:paraId="4D1B945F" w14:textId="77777777" w:rsidTr="005A786D">
        <w:tc>
          <w:tcPr>
            <w:tcW w:w="2679" w:type="pct"/>
            <w:shd w:val="clear" w:color="auto" w:fill="auto"/>
          </w:tcPr>
          <w:p w14:paraId="05195DD9" w14:textId="77777777" w:rsidR="00522F41" w:rsidRPr="005E3B43" w:rsidRDefault="00522F41" w:rsidP="00763BCF">
            <w:pPr>
              <w:spacing w:before="60"/>
              <w:ind w:left="34"/>
              <w:rPr>
                <w:sz w:val="20"/>
              </w:rPr>
            </w:pPr>
            <w:r w:rsidRPr="005E3B43">
              <w:rPr>
                <w:sz w:val="20"/>
              </w:rPr>
              <w:t>C[x] = Compilation No. x</w:t>
            </w:r>
          </w:p>
        </w:tc>
        <w:tc>
          <w:tcPr>
            <w:tcW w:w="2321" w:type="pct"/>
            <w:shd w:val="clear" w:color="auto" w:fill="auto"/>
          </w:tcPr>
          <w:p w14:paraId="3931F89E" w14:textId="0BA3EBD3" w:rsidR="00522F41" w:rsidRPr="005E3B43" w:rsidRDefault="002537B2" w:rsidP="00763BCF">
            <w:pPr>
              <w:ind w:left="34" w:firstLine="249"/>
              <w:rPr>
                <w:sz w:val="20"/>
              </w:rPr>
            </w:pPr>
            <w:r w:rsidRPr="005E3B43">
              <w:rPr>
                <w:sz w:val="20"/>
              </w:rPr>
              <w:t>/</w:t>
            </w:r>
            <w:r w:rsidR="00522F41" w:rsidRPr="005E3B43">
              <w:rPr>
                <w:sz w:val="20"/>
              </w:rPr>
              <w:t>sub</w:t>
            </w:r>
            <w:r w:rsidR="007C3215">
              <w:rPr>
                <w:sz w:val="20"/>
              </w:rPr>
              <w:noBreakHyphen/>
            </w:r>
            <w:r w:rsidR="00522F41" w:rsidRPr="005E3B43">
              <w:rPr>
                <w:sz w:val="20"/>
              </w:rPr>
              <w:t>subparagraph(s)</w:t>
            </w:r>
          </w:p>
        </w:tc>
      </w:tr>
      <w:tr w:rsidR="00522F41" w:rsidRPr="005E3B43" w14:paraId="292C9264" w14:textId="77777777" w:rsidTr="005A786D">
        <w:tc>
          <w:tcPr>
            <w:tcW w:w="2679" w:type="pct"/>
            <w:shd w:val="clear" w:color="auto" w:fill="auto"/>
          </w:tcPr>
          <w:p w14:paraId="3617EB96" w14:textId="77777777" w:rsidR="00522F41" w:rsidRPr="005E3B43" w:rsidRDefault="00522F41" w:rsidP="00763BCF">
            <w:pPr>
              <w:spacing w:before="60"/>
              <w:ind w:left="34"/>
              <w:rPr>
                <w:sz w:val="20"/>
              </w:rPr>
            </w:pPr>
            <w:r w:rsidRPr="005E3B43">
              <w:rPr>
                <w:sz w:val="20"/>
              </w:rPr>
              <w:t>Ch = Chapter(s)</w:t>
            </w:r>
          </w:p>
        </w:tc>
        <w:tc>
          <w:tcPr>
            <w:tcW w:w="2321" w:type="pct"/>
            <w:shd w:val="clear" w:color="auto" w:fill="auto"/>
          </w:tcPr>
          <w:p w14:paraId="4EB5A29F" w14:textId="77777777" w:rsidR="00522F41" w:rsidRPr="005E3B43" w:rsidRDefault="00522F41" w:rsidP="00763BCF">
            <w:pPr>
              <w:spacing w:before="60"/>
              <w:ind w:left="34"/>
              <w:rPr>
                <w:sz w:val="20"/>
              </w:rPr>
            </w:pPr>
            <w:r w:rsidRPr="005E3B43">
              <w:rPr>
                <w:sz w:val="20"/>
              </w:rPr>
              <w:t>pres = present</w:t>
            </w:r>
          </w:p>
        </w:tc>
      </w:tr>
      <w:tr w:rsidR="00522F41" w:rsidRPr="005E3B43" w14:paraId="44D74ECE" w14:textId="77777777" w:rsidTr="005A786D">
        <w:tc>
          <w:tcPr>
            <w:tcW w:w="2679" w:type="pct"/>
            <w:shd w:val="clear" w:color="auto" w:fill="auto"/>
          </w:tcPr>
          <w:p w14:paraId="2DF8DDFF" w14:textId="77777777" w:rsidR="00522F41" w:rsidRPr="005E3B43" w:rsidRDefault="00522F41" w:rsidP="00763BCF">
            <w:pPr>
              <w:spacing w:before="60"/>
              <w:ind w:left="34"/>
              <w:rPr>
                <w:sz w:val="20"/>
              </w:rPr>
            </w:pPr>
            <w:r w:rsidRPr="005E3B43">
              <w:rPr>
                <w:sz w:val="20"/>
              </w:rPr>
              <w:t>def = definition(s)</w:t>
            </w:r>
          </w:p>
        </w:tc>
        <w:tc>
          <w:tcPr>
            <w:tcW w:w="2321" w:type="pct"/>
            <w:shd w:val="clear" w:color="auto" w:fill="auto"/>
          </w:tcPr>
          <w:p w14:paraId="3F69470B" w14:textId="77777777" w:rsidR="00522F41" w:rsidRPr="005E3B43" w:rsidRDefault="00522F41" w:rsidP="00763BCF">
            <w:pPr>
              <w:spacing w:before="60"/>
              <w:ind w:left="34"/>
              <w:rPr>
                <w:sz w:val="20"/>
              </w:rPr>
            </w:pPr>
            <w:r w:rsidRPr="005E3B43">
              <w:rPr>
                <w:sz w:val="20"/>
              </w:rPr>
              <w:t>prev = previous</w:t>
            </w:r>
          </w:p>
        </w:tc>
      </w:tr>
      <w:tr w:rsidR="00522F41" w:rsidRPr="005E3B43" w14:paraId="46077C87" w14:textId="77777777" w:rsidTr="005A786D">
        <w:tc>
          <w:tcPr>
            <w:tcW w:w="2679" w:type="pct"/>
            <w:shd w:val="clear" w:color="auto" w:fill="auto"/>
          </w:tcPr>
          <w:p w14:paraId="12F71E90" w14:textId="77777777" w:rsidR="00522F41" w:rsidRPr="005E3B43" w:rsidRDefault="00522F41" w:rsidP="00763BCF">
            <w:pPr>
              <w:spacing w:before="60"/>
              <w:ind w:left="34"/>
              <w:rPr>
                <w:sz w:val="20"/>
              </w:rPr>
            </w:pPr>
            <w:r w:rsidRPr="005E3B43">
              <w:rPr>
                <w:sz w:val="20"/>
              </w:rPr>
              <w:t>Dict = Dictionary</w:t>
            </w:r>
          </w:p>
        </w:tc>
        <w:tc>
          <w:tcPr>
            <w:tcW w:w="2321" w:type="pct"/>
            <w:shd w:val="clear" w:color="auto" w:fill="auto"/>
          </w:tcPr>
          <w:p w14:paraId="2D5C391B" w14:textId="77777777" w:rsidR="00522F41" w:rsidRPr="005E3B43" w:rsidRDefault="00522F41" w:rsidP="00763BCF">
            <w:pPr>
              <w:spacing w:before="60"/>
              <w:ind w:left="34"/>
              <w:rPr>
                <w:sz w:val="20"/>
              </w:rPr>
            </w:pPr>
            <w:r w:rsidRPr="005E3B43">
              <w:rPr>
                <w:sz w:val="20"/>
              </w:rPr>
              <w:t>(prev…) = previously</w:t>
            </w:r>
          </w:p>
        </w:tc>
      </w:tr>
      <w:tr w:rsidR="00522F41" w:rsidRPr="005E3B43" w14:paraId="3620FF55" w14:textId="77777777" w:rsidTr="005A786D">
        <w:tc>
          <w:tcPr>
            <w:tcW w:w="2679" w:type="pct"/>
            <w:shd w:val="clear" w:color="auto" w:fill="auto"/>
          </w:tcPr>
          <w:p w14:paraId="284117F8" w14:textId="77777777" w:rsidR="00522F41" w:rsidRPr="005E3B43" w:rsidRDefault="00522F41" w:rsidP="00763BCF">
            <w:pPr>
              <w:spacing w:before="60"/>
              <w:ind w:left="34"/>
              <w:rPr>
                <w:sz w:val="20"/>
              </w:rPr>
            </w:pPr>
            <w:r w:rsidRPr="005E3B43">
              <w:rPr>
                <w:sz w:val="20"/>
              </w:rPr>
              <w:t>disallowed = disallowed by Parliament</w:t>
            </w:r>
          </w:p>
        </w:tc>
        <w:tc>
          <w:tcPr>
            <w:tcW w:w="2321" w:type="pct"/>
            <w:shd w:val="clear" w:color="auto" w:fill="auto"/>
          </w:tcPr>
          <w:p w14:paraId="64413F29" w14:textId="77777777" w:rsidR="00522F41" w:rsidRPr="005E3B43" w:rsidRDefault="00522F41" w:rsidP="00763BCF">
            <w:pPr>
              <w:spacing w:before="60"/>
              <w:ind w:left="34"/>
              <w:rPr>
                <w:sz w:val="20"/>
              </w:rPr>
            </w:pPr>
            <w:r w:rsidRPr="005E3B43">
              <w:rPr>
                <w:sz w:val="20"/>
              </w:rPr>
              <w:t>Pt = Part(s)</w:t>
            </w:r>
          </w:p>
        </w:tc>
      </w:tr>
      <w:tr w:rsidR="00522F41" w:rsidRPr="005E3B43" w14:paraId="09E0445E" w14:textId="77777777" w:rsidTr="005A786D">
        <w:tc>
          <w:tcPr>
            <w:tcW w:w="2679" w:type="pct"/>
            <w:shd w:val="clear" w:color="auto" w:fill="auto"/>
          </w:tcPr>
          <w:p w14:paraId="2AF027E3" w14:textId="77777777" w:rsidR="00522F41" w:rsidRPr="005E3B43" w:rsidRDefault="00522F41" w:rsidP="00763BCF">
            <w:pPr>
              <w:spacing w:before="60"/>
              <w:ind w:left="34"/>
              <w:rPr>
                <w:sz w:val="20"/>
              </w:rPr>
            </w:pPr>
            <w:r w:rsidRPr="005E3B43">
              <w:rPr>
                <w:sz w:val="20"/>
              </w:rPr>
              <w:t>Div = Division(s)</w:t>
            </w:r>
          </w:p>
        </w:tc>
        <w:tc>
          <w:tcPr>
            <w:tcW w:w="2321" w:type="pct"/>
            <w:shd w:val="clear" w:color="auto" w:fill="auto"/>
          </w:tcPr>
          <w:p w14:paraId="5A36F84B" w14:textId="77777777" w:rsidR="00522F41" w:rsidRPr="005E3B43" w:rsidRDefault="00522F41" w:rsidP="00763BCF">
            <w:pPr>
              <w:spacing w:before="60"/>
              <w:ind w:left="34"/>
              <w:rPr>
                <w:sz w:val="20"/>
              </w:rPr>
            </w:pPr>
            <w:r w:rsidRPr="005E3B43">
              <w:rPr>
                <w:sz w:val="20"/>
              </w:rPr>
              <w:t>r = regulation(s)/rule(s)</w:t>
            </w:r>
          </w:p>
        </w:tc>
      </w:tr>
      <w:tr w:rsidR="00522F41" w:rsidRPr="005E3B43" w14:paraId="2C2250B1" w14:textId="77777777" w:rsidTr="005A786D">
        <w:tc>
          <w:tcPr>
            <w:tcW w:w="2679" w:type="pct"/>
            <w:shd w:val="clear" w:color="auto" w:fill="auto"/>
          </w:tcPr>
          <w:p w14:paraId="7BAB8BEF" w14:textId="77777777" w:rsidR="00522F41" w:rsidRPr="005E3B43" w:rsidRDefault="00522F41" w:rsidP="00763BCF">
            <w:pPr>
              <w:spacing w:before="60"/>
              <w:ind w:left="34"/>
              <w:rPr>
                <w:sz w:val="20"/>
              </w:rPr>
            </w:pPr>
            <w:r w:rsidRPr="005E3B43">
              <w:rPr>
                <w:sz w:val="20"/>
              </w:rPr>
              <w:t>ed = editorial change</w:t>
            </w:r>
          </w:p>
        </w:tc>
        <w:tc>
          <w:tcPr>
            <w:tcW w:w="2321" w:type="pct"/>
            <w:shd w:val="clear" w:color="auto" w:fill="auto"/>
          </w:tcPr>
          <w:p w14:paraId="7F243C18" w14:textId="77777777" w:rsidR="00522F41" w:rsidRPr="005E3B43" w:rsidRDefault="00522F41" w:rsidP="00763BCF">
            <w:pPr>
              <w:spacing w:before="60"/>
              <w:ind w:left="34"/>
              <w:rPr>
                <w:sz w:val="20"/>
              </w:rPr>
            </w:pPr>
            <w:r w:rsidRPr="005E3B43">
              <w:rPr>
                <w:sz w:val="20"/>
              </w:rPr>
              <w:t>reloc = relocated</w:t>
            </w:r>
          </w:p>
        </w:tc>
      </w:tr>
      <w:tr w:rsidR="00522F41" w:rsidRPr="005E3B43" w14:paraId="43FF675A" w14:textId="77777777" w:rsidTr="005A786D">
        <w:tc>
          <w:tcPr>
            <w:tcW w:w="2679" w:type="pct"/>
            <w:shd w:val="clear" w:color="auto" w:fill="auto"/>
          </w:tcPr>
          <w:p w14:paraId="3B7E6666" w14:textId="77777777" w:rsidR="00522F41" w:rsidRPr="005E3B43" w:rsidRDefault="00522F41" w:rsidP="00763BCF">
            <w:pPr>
              <w:spacing w:before="60"/>
              <w:ind w:left="34"/>
              <w:rPr>
                <w:sz w:val="20"/>
              </w:rPr>
            </w:pPr>
            <w:r w:rsidRPr="005E3B43">
              <w:rPr>
                <w:sz w:val="20"/>
              </w:rPr>
              <w:t>exp = expires/expired or ceases/ceased to have</w:t>
            </w:r>
          </w:p>
        </w:tc>
        <w:tc>
          <w:tcPr>
            <w:tcW w:w="2321" w:type="pct"/>
            <w:shd w:val="clear" w:color="auto" w:fill="auto"/>
          </w:tcPr>
          <w:p w14:paraId="7B2B378F" w14:textId="77777777" w:rsidR="00522F41" w:rsidRPr="005E3B43" w:rsidRDefault="00522F41" w:rsidP="00763BCF">
            <w:pPr>
              <w:spacing w:before="60"/>
              <w:ind w:left="34"/>
              <w:rPr>
                <w:sz w:val="20"/>
              </w:rPr>
            </w:pPr>
            <w:r w:rsidRPr="005E3B43">
              <w:rPr>
                <w:sz w:val="20"/>
              </w:rPr>
              <w:t>renum = renumbered</w:t>
            </w:r>
          </w:p>
        </w:tc>
      </w:tr>
      <w:tr w:rsidR="00522F41" w:rsidRPr="005E3B43" w14:paraId="5294A663" w14:textId="77777777" w:rsidTr="005A786D">
        <w:tc>
          <w:tcPr>
            <w:tcW w:w="2679" w:type="pct"/>
            <w:shd w:val="clear" w:color="auto" w:fill="auto"/>
          </w:tcPr>
          <w:p w14:paraId="382CD205" w14:textId="77777777" w:rsidR="00522F41" w:rsidRPr="005E3B43" w:rsidRDefault="002537B2" w:rsidP="00763BCF">
            <w:pPr>
              <w:ind w:left="34" w:firstLine="249"/>
              <w:rPr>
                <w:sz w:val="20"/>
              </w:rPr>
            </w:pPr>
            <w:r w:rsidRPr="005E3B43">
              <w:rPr>
                <w:sz w:val="20"/>
              </w:rPr>
              <w:t>e</w:t>
            </w:r>
            <w:r w:rsidR="00522F41" w:rsidRPr="005E3B43">
              <w:rPr>
                <w:sz w:val="20"/>
              </w:rPr>
              <w:t>ffect</w:t>
            </w:r>
          </w:p>
        </w:tc>
        <w:tc>
          <w:tcPr>
            <w:tcW w:w="2321" w:type="pct"/>
            <w:shd w:val="clear" w:color="auto" w:fill="auto"/>
          </w:tcPr>
          <w:p w14:paraId="2A81D9FE" w14:textId="77777777" w:rsidR="00522F41" w:rsidRPr="005E3B43" w:rsidRDefault="00522F41" w:rsidP="00763BCF">
            <w:pPr>
              <w:spacing w:before="60"/>
              <w:ind w:left="34"/>
              <w:rPr>
                <w:sz w:val="20"/>
              </w:rPr>
            </w:pPr>
            <w:r w:rsidRPr="005E3B43">
              <w:rPr>
                <w:sz w:val="20"/>
              </w:rPr>
              <w:t>rep = repealed</w:t>
            </w:r>
          </w:p>
        </w:tc>
      </w:tr>
      <w:tr w:rsidR="00522F41" w:rsidRPr="005E3B43" w14:paraId="48EB3C41" w14:textId="77777777" w:rsidTr="005A786D">
        <w:tc>
          <w:tcPr>
            <w:tcW w:w="2679" w:type="pct"/>
            <w:shd w:val="clear" w:color="auto" w:fill="auto"/>
          </w:tcPr>
          <w:p w14:paraId="2BBFF7E3" w14:textId="77777777" w:rsidR="00522F41" w:rsidRPr="005E3B43" w:rsidRDefault="00522F41" w:rsidP="00763BCF">
            <w:pPr>
              <w:spacing w:before="60"/>
              <w:ind w:left="34"/>
              <w:rPr>
                <w:sz w:val="20"/>
              </w:rPr>
            </w:pPr>
            <w:r w:rsidRPr="005E3B43">
              <w:rPr>
                <w:sz w:val="20"/>
              </w:rPr>
              <w:t>F = Federal Register of Legislation</w:t>
            </w:r>
          </w:p>
        </w:tc>
        <w:tc>
          <w:tcPr>
            <w:tcW w:w="2321" w:type="pct"/>
            <w:shd w:val="clear" w:color="auto" w:fill="auto"/>
          </w:tcPr>
          <w:p w14:paraId="7E9583B9" w14:textId="77777777" w:rsidR="00522F41" w:rsidRPr="005E3B43" w:rsidRDefault="00522F41" w:rsidP="00763BCF">
            <w:pPr>
              <w:spacing w:before="60"/>
              <w:ind w:left="34"/>
              <w:rPr>
                <w:sz w:val="20"/>
              </w:rPr>
            </w:pPr>
            <w:r w:rsidRPr="005E3B43">
              <w:rPr>
                <w:sz w:val="20"/>
              </w:rPr>
              <w:t>rs = repealed and substituted</w:t>
            </w:r>
          </w:p>
        </w:tc>
      </w:tr>
      <w:tr w:rsidR="00522F41" w:rsidRPr="005E3B43" w14:paraId="317F62E4" w14:textId="77777777" w:rsidTr="005A786D">
        <w:tc>
          <w:tcPr>
            <w:tcW w:w="2679" w:type="pct"/>
            <w:shd w:val="clear" w:color="auto" w:fill="auto"/>
          </w:tcPr>
          <w:p w14:paraId="037360C2" w14:textId="77777777" w:rsidR="00522F41" w:rsidRPr="005E3B43" w:rsidRDefault="00522F41" w:rsidP="00763BCF">
            <w:pPr>
              <w:spacing w:before="60"/>
              <w:ind w:left="34"/>
              <w:rPr>
                <w:sz w:val="20"/>
              </w:rPr>
            </w:pPr>
            <w:r w:rsidRPr="005E3B43">
              <w:rPr>
                <w:sz w:val="20"/>
              </w:rPr>
              <w:t>gaz = gazette</w:t>
            </w:r>
          </w:p>
        </w:tc>
        <w:tc>
          <w:tcPr>
            <w:tcW w:w="2321" w:type="pct"/>
            <w:shd w:val="clear" w:color="auto" w:fill="auto"/>
          </w:tcPr>
          <w:p w14:paraId="7C53AF77" w14:textId="77777777" w:rsidR="00522F41" w:rsidRPr="005E3B43" w:rsidRDefault="00522F41" w:rsidP="00763BCF">
            <w:pPr>
              <w:spacing w:before="60"/>
              <w:ind w:left="34"/>
              <w:rPr>
                <w:sz w:val="20"/>
              </w:rPr>
            </w:pPr>
            <w:r w:rsidRPr="005E3B43">
              <w:rPr>
                <w:sz w:val="20"/>
              </w:rPr>
              <w:t>s = section(s)/subsection(s)</w:t>
            </w:r>
          </w:p>
        </w:tc>
      </w:tr>
      <w:tr w:rsidR="00522F41" w:rsidRPr="005E3B43" w14:paraId="18F538A8" w14:textId="77777777" w:rsidTr="005A786D">
        <w:tc>
          <w:tcPr>
            <w:tcW w:w="2679" w:type="pct"/>
            <w:shd w:val="clear" w:color="auto" w:fill="auto"/>
          </w:tcPr>
          <w:p w14:paraId="7F0185A3" w14:textId="77777777" w:rsidR="00522F41" w:rsidRPr="005E3B43" w:rsidRDefault="00522F41" w:rsidP="00763BCF">
            <w:pPr>
              <w:spacing w:before="60"/>
              <w:ind w:left="34"/>
              <w:rPr>
                <w:sz w:val="20"/>
              </w:rPr>
            </w:pPr>
            <w:r w:rsidRPr="005E3B43">
              <w:rPr>
                <w:sz w:val="20"/>
              </w:rPr>
              <w:t xml:space="preserve">LA = </w:t>
            </w:r>
            <w:r w:rsidRPr="005E3B43">
              <w:rPr>
                <w:i/>
                <w:sz w:val="20"/>
              </w:rPr>
              <w:t>Legislation Act 2003</w:t>
            </w:r>
          </w:p>
        </w:tc>
        <w:tc>
          <w:tcPr>
            <w:tcW w:w="2321" w:type="pct"/>
            <w:shd w:val="clear" w:color="auto" w:fill="auto"/>
          </w:tcPr>
          <w:p w14:paraId="7870C2FC" w14:textId="77777777" w:rsidR="00522F41" w:rsidRPr="005E3B43" w:rsidRDefault="00522F41" w:rsidP="00763BCF">
            <w:pPr>
              <w:spacing w:before="60"/>
              <w:ind w:left="34"/>
              <w:rPr>
                <w:sz w:val="20"/>
              </w:rPr>
            </w:pPr>
            <w:r w:rsidRPr="005E3B43">
              <w:rPr>
                <w:sz w:val="20"/>
              </w:rPr>
              <w:t>Sch = Schedule(s)</w:t>
            </w:r>
          </w:p>
        </w:tc>
      </w:tr>
      <w:tr w:rsidR="00522F41" w:rsidRPr="005E3B43" w14:paraId="5E768C73" w14:textId="77777777" w:rsidTr="005A786D">
        <w:tc>
          <w:tcPr>
            <w:tcW w:w="2679" w:type="pct"/>
            <w:shd w:val="clear" w:color="auto" w:fill="auto"/>
          </w:tcPr>
          <w:p w14:paraId="128B494B" w14:textId="77777777" w:rsidR="00522F41" w:rsidRPr="005E3B43" w:rsidRDefault="00522F41" w:rsidP="00763BCF">
            <w:pPr>
              <w:spacing w:before="60"/>
              <w:ind w:left="34"/>
              <w:rPr>
                <w:sz w:val="20"/>
              </w:rPr>
            </w:pPr>
            <w:r w:rsidRPr="005E3B43">
              <w:rPr>
                <w:sz w:val="20"/>
              </w:rPr>
              <w:t xml:space="preserve">LIA = </w:t>
            </w:r>
            <w:r w:rsidRPr="005E3B43">
              <w:rPr>
                <w:i/>
                <w:sz w:val="20"/>
              </w:rPr>
              <w:t>Legislative Instruments Act 2003</w:t>
            </w:r>
          </w:p>
        </w:tc>
        <w:tc>
          <w:tcPr>
            <w:tcW w:w="2321" w:type="pct"/>
            <w:shd w:val="clear" w:color="auto" w:fill="auto"/>
          </w:tcPr>
          <w:p w14:paraId="048787EF" w14:textId="77777777" w:rsidR="00522F41" w:rsidRPr="005E3B43" w:rsidRDefault="00522F41" w:rsidP="00763BCF">
            <w:pPr>
              <w:spacing w:before="60"/>
              <w:ind w:left="34"/>
              <w:rPr>
                <w:sz w:val="20"/>
              </w:rPr>
            </w:pPr>
            <w:r w:rsidRPr="005E3B43">
              <w:rPr>
                <w:sz w:val="20"/>
              </w:rPr>
              <w:t>Sdiv = Subdivision(s)</w:t>
            </w:r>
          </w:p>
        </w:tc>
      </w:tr>
      <w:tr w:rsidR="00522F41" w:rsidRPr="005E3B43" w14:paraId="09954867" w14:textId="77777777" w:rsidTr="005A786D">
        <w:tc>
          <w:tcPr>
            <w:tcW w:w="2679" w:type="pct"/>
            <w:shd w:val="clear" w:color="auto" w:fill="auto"/>
          </w:tcPr>
          <w:p w14:paraId="04F71390" w14:textId="77777777" w:rsidR="00522F41" w:rsidRPr="005E3B43" w:rsidRDefault="00522F41" w:rsidP="00763BCF">
            <w:pPr>
              <w:spacing w:before="60"/>
              <w:ind w:left="34"/>
              <w:rPr>
                <w:sz w:val="20"/>
              </w:rPr>
            </w:pPr>
            <w:r w:rsidRPr="005E3B43">
              <w:rPr>
                <w:sz w:val="20"/>
              </w:rPr>
              <w:t>(md) = misdescribed amendment can be given</w:t>
            </w:r>
          </w:p>
        </w:tc>
        <w:tc>
          <w:tcPr>
            <w:tcW w:w="2321" w:type="pct"/>
            <w:shd w:val="clear" w:color="auto" w:fill="auto"/>
          </w:tcPr>
          <w:p w14:paraId="15B6317D" w14:textId="77777777" w:rsidR="00522F41" w:rsidRPr="005E3B43" w:rsidRDefault="00522F41" w:rsidP="00763BCF">
            <w:pPr>
              <w:spacing w:before="60"/>
              <w:ind w:left="34"/>
              <w:rPr>
                <w:sz w:val="20"/>
              </w:rPr>
            </w:pPr>
            <w:r w:rsidRPr="005E3B43">
              <w:rPr>
                <w:sz w:val="20"/>
              </w:rPr>
              <w:t>SLI = Select Legislative Instrument</w:t>
            </w:r>
          </w:p>
        </w:tc>
      </w:tr>
      <w:tr w:rsidR="00522F41" w:rsidRPr="005E3B43" w14:paraId="43C210E5" w14:textId="77777777" w:rsidTr="005A786D">
        <w:tc>
          <w:tcPr>
            <w:tcW w:w="2679" w:type="pct"/>
            <w:shd w:val="clear" w:color="auto" w:fill="auto"/>
          </w:tcPr>
          <w:p w14:paraId="3F074F8A" w14:textId="77777777" w:rsidR="00522F41" w:rsidRPr="005E3B43" w:rsidRDefault="002537B2" w:rsidP="00763BCF">
            <w:pPr>
              <w:ind w:left="34" w:firstLine="249"/>
              <w:rPr>
                <w:sz w:val="20"/>
              </w:rPr>
            </w:pPr>
            <w:r w:rsidRPr="005E3B43">
              <w:rPr>
                <w:sz w:val="20"/>
              </w:rPr>
              <w:t>e</w:t>
            </w:r>
            <w:r w:rsidR="00522F41" w:rsidRPr="005E3B43">
              <w:rPr>
                <w:sz w:val="20"/>
              </w:rPr>
              <w:t>ffect</w:t>
            </w:r>
          </w:p>
        </w:tc>
        <w:tc>
          <w:tcPr>
            <w:tcW w:w="2321" w:type="pct"/>
            <w:shd w:val="clear" w:color="auto" w:fill="auto"/>
          </w:tcPr>
          <w:p w14:paraId="16833CD9" w14:textId="77777777" w:rsidR="00522F41" w:rsidRPr="005E3B43" w:rsidRDefault="00522F41" w:rsidP="00763BCF">
            <w:pPr>
              <w:spacing w:before="60"/>
              <w:ind w:left="34"/>
              <w:rPr>
                <w:sz w:val="20"/>
              </w:rPr>
            </w:pPr>
            <w:r w:rsidRPr="005E3B43">
              <w:rPr>
                <w:sz w:val="20"/>
              </w:rPr>
              <w:t>SR = Statutory Rules</w:t>
            </w:r>
          </w:p>
        </w:tc>
      </w:tr>
      <w:tr w:rsidR="00522F41" w:rsidRPr="005E3B43" w14:paraId="2786AB36" w14:textId="77777777" w:rsidTr="005A786D">
        <w:tc>
          <w:tcPr>
            <w:tcW w:w="2679" w:type="pct"/>
            <w:shd w:val="clear" w:color="auto" w:fill="auto"/>
          </w:tcPr>
          <w:p w14:paraId="070F06A6" w14:textId="77777777" w:rsidR="00522F41" w:rsidRPr="005E3B43" w:rsidRDefault="00522F41" w:rsidP="00763BCF">
            <w:pPr>
              <w:spacing w:before="60"/>
              <w:ind w:left="34"/>
              <w:rPr>
                <w:sz w:val="20"/>
              </w:rPr>
            </w:pPr>
            <w:r w:rsidRPr="005E3B43">
              <w:rPr>
                <w:sz w:val="20"/>
              </w:rPr>
              <w:t>(md not incorp) = misdescribed amendment</w:t>
            </w:r>
          </w:p>
        </w:tc>
        <w:tc>
          <w:tcPr>
            <w:tcW w:w="2321" w:type="pct"/>
            <w:shd w:val="clear" w:color="auto" w:fill="auto"/>
          </w:tcPr>
          <w:p w14:paraId="667EBF88" w14:textId="295E8A4C" w:rsidR="00522F41" w:rsidRPr="005E3B43" w:rsidRDefault="00522F41" w:rsidP="00763BCF">
            <w:pPr>
              <w:spacing w:before="60"/>
              <w:ind w:left="34"/>
              <w:rPr>
                <w:sz w:val="20"/>
              </w:rPr>
            </w:pPr>
            <w:r w:rsidRPr="005E3B43">
              <w:rPr>
                <w:sz w:val="20"/>
              </w:rPr>
              <w:t>Sub</w:t>
            </w:r>
            <w:r w:rsidR="007C3215">
              <w:rPr>
                <w:sz w:val="20"/>
              </w:rPr>
              <w:noBreakHyphen/>
            </w:r>
            <w:r w:rsidRPr="005E3B43">
              <w:rPr>
                <w:sz w:val="20"/>
              </w:rPr>
              <w:t>Ch = Sub</w:t>
            </w:r>
            <w:r w:rsidR="007C3215">
              <w:rPr>
                <w:sz w:val="20"/>
              </w:rPr>
              <w:noBreakHyphen/>
            </w:r>
            <w:r w:rsidRPr="005E3B43">
              <w:rPr>
                <w:sz w:val="20"/>
              </w:rPr>
              <w:t>Chapter(s)</w:t>
            </w:r>
          </w:p>
        </w:tc>
      </w:tr>
      <w:tr w:rsidR="00522F41" w:rsidRPr="005E3B43" w14:paraId="63EEBE0F" w14:textId="77777777" w:rsidTr="005A786D">
        <w:tc>
          <w:tcPr>
            <w:tcW w:w="2679" w:type="pct"/>
            <w:shd w:val="clear" w:color="auto" w:fill="auto"/>
          </w:tcPr>
          <w:p w14:paraId="7462F22F" w14:textId="77777777" w:rsidR="00522F41" w:rsidRPr="005E3B43" w:rsidRDefault="002537B2" w:rsidP="00763BCF">
            <w:pPr>
              <w:ind w:left="34" w:firstLine="249"/>
              <w:rPr>
                <w:sz w:val="20"/>
              </w:rPr>
            </w:pPr>
            <w:r w:rsidRPr="005E3B43">
              <w:rPr>
                <w:sz w:val="20"/>
              </w:rPr>
              <w:t>c</w:t>
            </w:r>
            <w:r w:rsidR="00522F41" w:rsidRPr="005E3B43">
              <w:rPr>
                <w:sz w:val="20"/>
              </w:rPr>
              <w:t>annot be given effect</w:t>
            </w:r>
          </w:p>
        </w:tc>
        <w:tc>
          <w:tcPr>
            <w:tcW w:w="2321" w:type="pct"/>
            <w:shd w:val="clear" w:color="auto" w:fill="auto"/>
          </w:tcPr>
          <w:p w14:paraId="12F1DE6D" w14:textId="77777777" w:rsidR="00522F41" w:rsidRPr="005E3B43" w:rsidRDefault="00522F41" w:rsidP="00763BCF">
            <w:pPr>
              <w:spacing w:before="60"/>
              <w:ind w:left="34"/>
              <w:rPr>
                <w:sz w:val="20"/>
              </w:rPr>
            </w:pPr>
            <w:r w:rsidRPr="005E3B43">
              <w:rPr>
                <w:sz w:val="20"/>
              </w:rPr>
              <w:t>SubPt = Subpart(s)</w:t>
            </w:r>
          </w:p>
        </w:tc>
      </w:tr>
      <w:tr w:rsidR="00522F41" w:rsidRPr="005E3B43" w14:paraId="06E52787" w14:textId="77777777" w:rsidTr="005A786D">
        <w:tc>
          <w:tcPr>
            <w:tcW w:w="2679" w:type="pct"/>
            <w:shd w:val="clear" w:color="auto" w:fill="auto"/>
          </w:tcPr>
          <w:p w14:paraId="58FE23B5" w14:textId="77777777" w:rsidR="00522F41" w:rsidRPr="005E3B43" w:rsidRDefault="00522F41" w:rsidP="00763BCF">
            <w:pPr>
              <w:spacing w:before="60"/>
              <w:ind w:left="34"/>
              <w:rPr>
                <w:sz w:val="20"/>
              </w:rPr>
            </w:pPr>
            <w:r w:rsidRPr="005E3B43">
              <w:rPr>
                <w:sz w:val="20"/>
              </w:rPr>
              <w:t>mod = modified/modification</w:t>
            </w:r>
          </w:p>
        </w:tc>
        <w:tc>
          <w:tcPr>
            <w:tcW w:w="2321" w:type="pct"/>
            <w:shd w:val="clear" w:color="auto" w:fill="auto"/>
          </w:tcPr>
          <w:p w14:paraId="28ACC3ED" w14:textId="77777777" w:rsidR="00522F41" w:rsidRPr="005E3B43" w:rsidRDefault="00522F41" w:rsidP="00763BCF">
            <w:pPr>
              <w:spacing w:before="60"/>
              <w:ind w:left="34"/>
              <w:rPr>
                <w:sz w:val="20"/>
              </w:rPr>
            </w:pPr>
            <w:r w:rsidRPr="005E3B43">
              <w:rPr>
                <w:sz w:val="20"/>
                <w:u w:val="single"/>
              </w:rPr>
              <w:t>underlining</w:t>
            </w:r>
            <w:r w:rsidRPr="005E3B43">
              <w:rPr>
                <w:sz w:val="20"/>
              </w:rPr>
              <w:t xml:space="preserve"> = whole or part not</w:t>
            </w:r>
          </w:p>
        </w:tc>
      </w:tr>
      <w:tr w:rsidR="00522F41" w:rsidRPr="005E3B43" w14:paraId="1D76AFFF" w14:textId="77777777" w:rsidTr="005A786D">
        <w:tc>
          <w:tcPr>
            <w:tcW w:w="2679" w:type="pct"/>
            <w:shd w:val="clear" w:color="auto" w:fill="auto"/>
          </w:tcPr>
          <w:p w14:paraId="202A2403" w14:textId="77777777" w:rsidR="00522F41" w:rsidRPr="005E3B43" w:rsidRDefault="00522F41" w:rsidP="00763BCF">
            <w:pPr>
              <w:spacing w:before="60"/>
              <w:ind w:left="34"/>
              <w:rPr>
                <w:sz w:val="20"/>
              </w:rPr>
            </w:pPr>
            <w:r w:rsidRPr="005E3B43">
              <w:rPr>
                <w:sz w:val="20"/>
              </w:rPr>
              <w:t>No. = Number(s)</w:t>
            </w:r>
          </w:p>
        </w:tc>
        <w:tc>
          <w:tcPr>
            <w:tcW w:w="2321" w:type="pct"/>
            <w:shd w:val="clear" w:color="auto" w:fill="auto"/>
          </w:tcPr>
          <w:p w14:paraId="0BB442E3" w14:textId="77777777" w:rsidR="00522F41" w:rsidRPr="005E3B43" w:rsidRDefault="002537B2" w:rsidP="00763BCF">
            <w:pPr>
              <w:ind w:left="34" w:firstLine="249"/>
              <w:rPr>
                <w:sz w:val="20"/>
              </w:rPr>
            </w:pPr>
            <w:r w:rsidRPr="005E3B43">
              <w:rPr>
                <w:sz w:val="20"/>
              </w:rPr>
              <w:t>c</w:t>
            </w:r>
            <w:r w:rsidR="00522F41" w:rsidRPr="005E3B43">
              <w:rPr>
                <w:sz w:val="20"/>
              </w:rPr>
              <w:t>ommenced or to be commenced</w:t>
            </w:r>
          </w:p>
        </w:tc>
      </w:tr>
    </w:tbl>
    <w:p w14:paraId="6D4A7F95" w14:textId="77777777" w:rsidR="00A33FD0" w:rsidRPr="005E3B43" w:rsidRDefault="00A33FD0" w:rsidP="00763BCF">
      <w:pPr>
        <w:pStyle w:val="Tabletext"/>
      </w:pPr>
    </w:p>
    <w:p w14:paraId="5E0D6EF0" w14:textId="77777777" w:rsidR="008449D6" w:rsidRPr="005E3B43" w:rsidRDefault="008449D6" w:rsidP="00763BCF">
      <w:pPr>
        <w:pStyle w:val="ENotesHeading2"/>
        <w:pageBreakBefore/>
        <w:outlineLvl w:val="9"/>
      </w:pPr>
      <w:bookmarkStart w:id="464" w:name="_Toc187136052"/>
      <w:r w:rsidRPr="005E3B43">
        <w:lastRenderedPageBreak/>
        <w:t>Endnote 3—Legislation history</w:t>
      </w:r>
      <w:bookmarkEnd w:id="464"/>
    </w:p>
    <w:p w14:paraId="4465D81C" w14:textId="77777777" w:rsidR="008449D6" w:rsidRPr="005E3B43" w:rsidRDefault="008449D6"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079"/>
        <w:gridCol w:w="2194"/>
        <w:gridCol w:w="2195"/>
        <w:gridCol w:w="2061"/>
      </w:tblGrid>
      <w:tr w:rsidR="008449D6" w:rsidRPr="005E3B43" w14:paraId="7693F13A" w14:textId="77777777" w:rsidTr="005A786D">
        <w:trPr>
          <w:cantSplit/>
          <w:tblHeader/>
        </w:trPr>
        <w:tc>
          <w:tcPr>
            <w:tcW w:w="1219" w:type="pct"/>
            <w:tcBorders>
              <w:top w:val="single" w:sz="12" w:space="0" w:color="auto"/>
              <w:bottom w:val="single" w:sz="12" w:space="0" w:color="auto"/>
            </w:tcBorders>
            <w:shd w:val="clear" w:color="auto" w:fill="auto"/>
          </w:tcPr>
          <w:p w14:paraId="12208BBB" w14:textId="77777777" w:rsidR="008449D6" w:rsidRPr="005E3B43" w:rsidRDefault="008449D6" w:rsidP="00763BCF">
            <w:pPr>
              <w:pStyle w:val="ENoteTableHeading"/>
            </w:pPr>
            <w:r w:rsidRPr="005E3B43">
              <w:t>Number and year</w:t>
            </w:r>
          </w:p>
        </w:tc>
        <w:tc>
          <w:tcPr>
            <w:tcW w:w="1286" w:type="pct"/>
            <w:tcBorders>
              <w:top w:val="single" w:sz="12" w:space="0" w:color="auto"/>
              <w:bottom w:val="single" w:sz="12" w:space="0" w:color="auto"/>
            </w:tcBorders>
            <w:shd w:val="clear" w:color="auto" w:fill="auto"/>
          </w:tcPr>
          <w:p w14:paraId="059D4B72" w14:textId="77777777" w:rsidR="008449D6" w:rsidRPr="005E3B43" w:rsidRDefault="004C18E2" w:rsidP="00763BCF">
            <w:pPr>
              <w:pStyle w:val="ENoteTableHeading"/>
            </w:pPr>
            <w:r w:rsidRPr="005E3B43">
              <w:t>FRLI registration or gazettal</w:t>
            </w:r>
          </w:p>
        </w:tc>
        <w:tc>
          <w:tcPr>
            <w:tcW w:w="1287" w:type="pct"/>
            <w:tcBorders>
              <w:top w:val="single" w:sz="12" w:space="0" w:color="auto"/>
              <w:bottom w:val="single" w:sz="12" w:space="0" w:color="auto"/>
            </w:tcBorders>
            <w:shd w:val="clear" w:color="auto" w:fill="auto"/>
          </w:tcPr>
          <w:p w14:paraId="7E6404F7" w14:textId="77777777" w:rsidR="008449D6" w:rsidRPr="005E3B43" w:rsidRDefault="008449D6" w:rsidP="00763BCF">
            <w:pPr>
              <w:pStyle w:val="ENoteTableHeading"/>
            </w:pPr>
            <w:r w:rsidRPr="005E3B43">
              <w:t>Commencement</w:t>
            </w:r>
          </w:p>
        </w:tc>
        <w:tc>
          <w:tcPr>
            <w:tcW w:w="1208" w:type="pct"/>
            <w:tcBorders>
              <w:top w:val="single" w:sz="12" w:space="0" w:color="auto"/>
              <w:bottom w:val="single" w:sz="12" w:space="0" w:color="auto"/>
            </w:tcBorders>
            <w:shd w:val="clear" w:color="auto" w:fill="auto"/>
          </w:tcPr>
          <w:p w14:paraId="5E1F6C8B" w14:textId="77777777" w:rsidR="008449D6" w:rsidRPr="005E3B43" w:rsidRDefault="008449D6" w:rsidP="00763BCF">
            <w:pPr>
              <w:pStyle w:val="ENoteTableHeading"/>
            </w:pPr>
            <w:r w:rsidRPr="005E3B43">
              <w:t>Application, saving and transitional provisions</w:t>
            </w:r>
          </w:p>
        </w:tc>
      </w:tr>
      <w:tr w:rsidR="00D64E96" w:rsidRPr="005E3B43" w14:paraId="6C2FBA6B" w14:textId="77777777" w:rsidTr="005A786D">
        <w:trPr>
          <w:cantSplit/>
        </w:trPr>
        <w:tc>
          <w:tcPr>
            <w:tcW w:w="1219" w:type="pct"/>
            <w:tcBorders>
              <w:top w:val="single" w:sz="12" w:space="0" w:color="auto"/>
              <w:bottom w:val="single" w:sz="4" w:space="0" w:color="auto"/>
            </w:tcBorders>
            <w:shd w:val="clear" w:color="auto" w:fill="auto"/>
          </w:tcPr>
          <w:p w14:paraId="249A2B05" w14:textId="77777777" w:rsidR="00D64E96" w:rsidRPr="005E3B43" w:rsidRDefault="00D64E96" w:rsidP="00763BCF">
            <w:pPr>
              <w:pStyle w:val="Tabletext"/>
            </w:pPr>
            <w:r w:rsidRPr="005E3B43">
              <w:rPr>
                <w:sz w:val="16"/>
              </w:rPr>
              <w:t>1990 No.</w:t>
            </w:r>
            <w:r w:rsidR="004E6D00" w:rsidRPr="005E3B43">
              <w:rPr>
                <w:sz w:val="16"/>
              </w:rPr>
              <w:t> </w:t>
            </w:r>
            <w:r w:rsidRPr="005E3B43">
              <w:rPr>
                <w:sz w:val="16"/>
              </w:rPr>
              <w:t>394</w:t>
            </w:r>
          </w:p>
        </w:tc>
        <w:tc>
          <w:tcPr>
            <w:tcW w:w="1286" w:type="pct"/>
            <w:tcBorders>
              <w:top w:val="single" w:sz="12" w:space="0" w:color="auto"/>
              <w:bottom w:val="single" w:sz="4" w:space="0" w:color="auto"/>
            </w:tcBorders>
            <w:shd w:val="clear" w:color="auto" w:fill="auto"/>
          </w:tcPr>
          <w:p w14:paraId="4971167D" w14:textId="77777777" w:rsidR="00D64E96" w:rsidRPr="005E3B43" w:rsidRDefault="00D64E96" w:rsidP="00763BCF">
            <w:pPr>
              <w:pStyle w:val="Tabletext"/>
            </w:pPr>
            <w:r w:rsidRPr="005E3B43">
              <w:rPr>
                <w:sz w:val="16"/>
              </w:rPr>
              <w:t>6 Dec 1991</w:t>
            </w:r>
          </w:p>
        </w:tc>
        <w:tc>
          <w:tcPr>
            <w:tcW w:w="1287" w:type="pct"/>
            <w:tcBorders>
              <w:top w:val="single" w:sz="12" w:space="0" w:color="auto"/>
              <w:bottom w:val="single" w:sz="4" w:space="0" w:color="auto"/>
            </w:tcBorders>
            <w:shd w:val="clear" w:color="auto" w:fill="auto"/>
          </w:tcPr>
          <w:p w14:paraId="127891AE" w14:textId="77777777" w:rsidR="00D64E96" w:rsidRPr="005E3B43" w:rsidRDefault="00D64E96" w:rsidP="00763BCF">
            <w:pPr>
              <w:pStyle w:val="Tabletext"/>
            </w:pPr>
            <w:r w:rsidRPr="005E3B43">
              <w:rPr>
                <w:sz w:val="16"/>
              </w:rPr>
              <w:t>15 Feb 1991</w:t>
            </w:r>
          </w:p>
        </w:tc>
        <w:tc>
          <w:tcPr>
            <w:tcW w:w="1208" w:type="pct"/>
            <w:tcBorders>
              <w:top w:val="single" w:sz="12" w:space="0" w:color="auto"/>
              <w:bottom w:val="single" w:sz="4" w:space="0" w:color="auto"/>
            </w:tcBorders>
            <w:shd w:val="clear" w:color="auto" w:fill="auto"/>
          </w:tcPr>
          <w:p w14:paraId="367972A3" w14:textId="77777777" w:rsidR="00D64E96" w:rsidRPr="005E3B43" w:rsidRDefault="00D64E96" w:rsidP="00763BCF">
            <w:pPr>
              <w:pStyle w:val="Tabletext"/>
            </w:pPr>
          </w:p>
        </w:tc>
      </w:tr>
      <w:tr w:rsidR="00D64E96" w:rsidRPr="005E3B43" w14:paraId="3C8E8C5D" w14:textId="77777777" w:rsidTr="005A786D">
        <w:trPr>
          <w:cantSplit/>
        </w:trPr>
        <w:tc>
          <w:tcPr>
            <w:tcW w:w="1219" w:type="pct"/>
            <w:tcBorders>
              <w:top w:val="single" w:sz="4" w:space="0" w:color="auto"/>
              <w:bottom w:val="single" w:sz="4" w:space="0" w:color="auto"/>
            </w:tcBorders>
            <w:shd w:val="clear" w:color="auto" w:fill="auto"/>
          </w:tcPr>
          <w:p w14:paraId="7E0F8797" w14:textId="77777777" w:rsidR="00D64E96" w:rsidRPr="005E3B43" w:rsidRDefault="00D64E96" w:rsidP="00763BCF">
            <w:pPr>
              <w:pStyle w:val="Tabletext"/>
            </w:pPr>
            <w:r w:rsidRPr="005E3B43">
              <w:rPr>
                <w:sz w:val="16"/>
              </w:rPr>
              <w:t>1991 No.</w:t>
            </w:r>
            <w:r w:rsidR="004E6D00" w:rsidRPr="005E3B43">
              <w:rPr>
                <w:sz w:val="16"/>
              </w:rPr>
              <w:t> </w:t>
            </w:r>
            <w:r w:rsidRPr="005E3B43">
              <w:rPr>
                <w:sz w:val="16"/>
              </w:rPr>
              <w:t>84</w:t>
            </w:r>
          </w:p>
        </w:tc>
        <w:tc>
          <w:tcPr>
            <w:tcW w:w="1286" w:type="pct"/>
            <w:tcBorders>
              <w:top w:val="single" w:sz="4" w:space="0" w:color="auto"/>
              <w:bottom w:val="single" w:sz="4" w:space="0" w:color="auto"/>
            </w:tcBorders>
            <w:shd w:val="clear" w:color="auto" w:fill="auto"/>
          </w:tcPr>
          <w:p w14:paraId="34D19B46" w14:textId="77777777" w:rsidR="00D64E96" w:rsidRPr="005E3B43" w:rsidRDefault="00D64E96" w:rsidP="00763BCF">
            <w:pPr>
              <w:pStyle w:val="Tabletext"/>
            </w:pPr>
            <w:r w:rsidRPr="005E3B43">
              <w:rPr>
                <w:sz w:val="16"/>
              </w:rPr>
              <w:t>30 Apr 1991</w:t>
            </w:r>
          </w:p>
        </w:tc>
        <w:tc>
          <w:tcPr>
            <w:tcW w:w="1287" w:type="pct"/>
            <w:tcBorders>
              <w:top w:val="single" w:sz="4" w:space="0" w:color="auto"/>
              <w:bottom w:val="single" w:sz="4" w:space="0" w:color="auto"/>
            </w:tcBorders>
            <w:shd w:val="clear" w:color="auto" w:fill="auto"/>
          </w:tcPr>
          <w:p w14:paraId="683EAA2A" w14:textId="77777777" w:rsidR="00D64E96" w:rsidRPr="005E3B43" w:rsidRDefault="00D64E96" w:rsidP="00763BCF">
            <w:pPr>
              <w:pStyle w:val="Tabletext"/>
            </w:pPr>
            <w:r w:rsidRPr="005E3B43">
              <w:rPr>
                <w:sz w:val="16"/>
              </w:rPr>
              <w:t>rr.</w:t>
            </w:r>
            <w:r w:rsidR="004E6D00" w:rsidRPr="005E3B43">
              <w:rPr>
                <w:sz w:val="16"/>
              </w:rPr>
              <w:t> </w:t>
            </w:r>
            <w:r w:rsidRPr="005E3B43">
              <w:rPr>
                <w:sz w:val="16"/>
              </w:rPr>
              <w:t>3.1, 5.2, 7.1, 10.2, 11.1, 12.2, 12.4, 13.1 and 14.1: 15 Feb 1991</w:t>
            </w:r>
            <w:r w:rsidRPr="005E3B43">
              <w:rPr>
                <w:sz w:val="16"/>
              </w:rPr>
              <w:br/>
              <w:t>Remainder: 30 Apr 1991</w:t>
            </w:r>
          </w:p>
        </w:tc>
        <w:tc>
          <w:tcPr>
            <w:tcW w:w="1208" w:type="pct"/>
            <w:tcBorders>
              <w:top w:val="single" w:sz="4" w:space="0" w:color="auto"/>
              <w:bottom w:val="single" w:sz="4" w:space="0" w:color="auto"/>
            </w:tcBorders>
            <w:shd w:val="clear" w:color="auto" w:fill="auto"/>
          </w:tcPr>
          <w:p w14:paraId="4712F003" w14:textId="77777777" w:rsidR="00D64E96" w:rsidRPr="005E3B43" w:rsidRDefault="00D64E96" w:rsidP="00763BCF">
            <w:pPr>
              <w:pStyle w:val="Tabletext"/>
            </w:pPr>
            <w:r w:rsidRPr="005E3B43">
              <w:rPr>
                <w:sz w:val="16"/>
              </w:rPr>
              <w:t>—</w:t>
            </w:r>
          </w:p>
        </w:tc>
      </w:tr>
      <w:tr w:rsidR="00D64E96" w:rsidRPr="005E3B43" w14:paraId="2B123C12" w14:textId="77777777" w:rsidTr="005A786D">
        <w:trPr>
          <w:cantSplit/>
        </w:trPr>
        <w:tc>
          <w:tcPr>
            <w:tcW w:w="1219" w:type="pct"/>
            <w:tcBorders>
              <w:top w:val="single" w:sz="4" w:space="0" w:color="auto"/>
              <w:bottom w:val="single" w:sz="4" w:space="0" w:color="auto"/>
            </w:tcBorders>
            <w:shd w:val="clear" w:color="auto" w:fill="auto"/>
          </w:tcPr>
          <w:p w14:paraId="43ABAD7E" w14:textId="77777777" w:rsidR="00D64E96" w:rsidRPr="005E3B43" w:rsidRDefault="00D64E96" w:rsidP="00763BCF">
            <w:pPr>
              <w:pStyle w:val="Tabletext"/>
            </w:pPr>
            <w:r w:rsidRPr="005E3B43">
              <w:rPr>
                <w:sz w:val="16"/>
              </w:rPr>
              <w:t>1991 No.</w:t>
            </w:r>
            <w:r w:rsidR="004E6D00" w:rsidRPr="005E3B43">
              <w:rPr>
                <w:sz w:val="16"/>
              </w:rPr>
              <w:t> </w:t>
            </w:r>
            <w:r w:rsidRPr="005E3B43">
              <w:rPr>
                <w:sz w:val="16"/>
              </w:rPr>
              <w:t>485</w:t>
            </w:r>
          </w:p>
        </w:tc>
        <w:tc>
          <w:tcPr>
            <w:tcW w:w="1286" w:type="pct"/>
            <w:tcBorders>
              <w:top w:val="single" w:sz="4" w:space="0" w:color="auto"/>
              <w:bottom w:val="single" w:sz="4" w:space="0" w:color="auto"/>
            </w:tcBorders>
            <w:shd w:val="clear" w:color="auto" w:fill="auto"/>
          </w:tcPr>
          <w:p w14:paraId="2C2B8F38" w14:textId="77777777" w:rsidR="00D64E96" w:rsidRPr="005E3B43" w:rsidRDefault="00D64E96" w:rsidP="00763BCF">
            <w:pPr>
              <w:pStyle w:val="Tabletext"/>
            </w:pPr>
            <w:r w:rsidRPr="005E3B43">
              <w:rPr>
                <w:sz w:val="16"/>
              </w:rPr>
              <w:t>24 Dec 1991</w:t>
            </w:r>
          </w:p>
        </w:tc>
        <w:tc>
          <w:tcPr>
            <w:tcW w:w="1287" w:type="pct"/>
            <w:tcBorders>
              <w:top w:val="single" w:sz="4" w:space="0" w:color="auto"/>
              <w:bottom w:val="single" w:sz="4" w:space="0" w:color="auto"/>
            </w:tcBorders>
            <w:shd w:val="clear" w:color="auto" w:fill="auto"/>
          </w:tcPr>
          <w:p w14:paraId="1E222605" w14:textId="77777777" w:rsidR="00D64E96" w:rsidRPr="005E3B43" w:rsidRDefault="00D64E96" w:rsidP="00763BCF">
            <w:pPr>
              <w:pStyle w:val="Tabletext"/>
            </w:pPr>
            <w:r w:rsidRPr="005E3B43">
              <w:rPr>
                <w:sz w:val="16"/>
              </w:rPr>
              <w:t>24 Dec 1991</w:t>
            </w:r>
          </w:p>
        </w:tc>
        <w:tc>
          <w:tcPr>
            <w:tcW w:w="1208" w:type="pct"/>
            <w:tcBorders>
              <w:top w:val="single" w:sz="4" w:space="0" w:color="auto"/>
              <w:bottom w:val="single" w:sz="4" w:space="0" w:color="auto"/>
            </w:tcBorders>
            <w:shd w:val="clear" w:color="auto" w:fill="auto"/>
          </w:tcPr>
          <w:p w14:paraId="1F195D05" w14:textId="77777777" w:rsidR="00D64E96" w:rsidRPr="005E3B43" w:rsidRDefault="00D64E96" w:rsidP="00763BCF">
            <w:pPr>
              <w:pStyle w:val="Tabletext"/>
            </w:pPr>
            <w:r w:rsidRPr="005E3B43">
              <w:rPr>
                <w:sz w:val="16"/>
              </w:rPr>
              <w:t>—</w:t>
            </w:r>
          </w:p>
        </w:tc>
      </w:tr>
      <w:tr w:rsidR="00D64E96" w:rsidRPr="005E3B43" w14:paraId="2AD8E580" w14:textId="77777777" w:rsidTr="005A786D">
        <w:trPr>
          <w:cantSplit/>
        </w:trPr>
        <w:tc>
          <w:tcPr>
            <w:tcW w:w="1219" w:type="pct"/>
            <w:tcBorders>
              <w:top w:val="single" w:sz="4" w:space="0" w:color="auto"/>
              <w:bottom w:val="single" w:sz="4" w:space="0" w:color="auto"/>
            </w:tcBorders>
            <w:shd w:val="clear" w:color="auto" w:fill="auto"/>
          </w:tcPr>
          <w:p w14:paraId="75973B4E" w14:textId="77777777" w:rsidR="00D64E96" w:rsidRPr="005E3B43" w:rsidRDefault="00D64E96" w:rsidP="00763BCF">
            <w:pPr>
              <w:pStyle w:val="Tabletext"/>
            </w:pPr>
            <w:r w:rsidRPr="005E3B43">
              <w:rPr>
                <w:sz w:val="16"/>
              </w:rPr>
              <w:t>1992 No.</w:t>
            </w:r>
            <w:r w:rsidR="004E6D00" w:rsidRPr="005E3B43">
              <w:rPr>
                <w:sz w:val="16"/>
              </w:rPr>
              <w:t> </w:t>
            </w:r>
            <w:r w:rsidRPr="005E3B43">
              <w:rPr>
                <w:sz w:val="16"/>
              </w:rPr>
              <w:t>19</w:t>
            </w:r>
          </w:p>
        </w:tc>
        <w:tc>
          <w:tcPr>
            <w:tcW w:w="1286" w:type="pct"/>
            <w:tcBorders>
              <w:top w:val="single" w:sz="4" w:space="0" w:color="auto"/>
              <w:bottom w:val="single" w:sz="4" w:space="0" w:color="auto"/>
            </w:tcBorders>
            <w:shd w:val="clear" w:color="auto" w:fill="auto"/>
          </w:tcPr>
          <w:p w14:paraId="45CB0517" w14:textId="77777777" w:rsidR="00D64E96" w:rsidRPr="005E3B43" w:rsidRDefault="00D64E96" w:rsidP="00763BCF">
            <w:pPr>
              <w:pStyle w:val="Tabletext"/>
            </w:pPr>
            <w:r w:rsidRPr="005E3B43">
              <w:rPr>
                <w:sz w:val="16"/>
              </w:rPr>
              <w:t>31 Jan 1992</w:t>
            </w:r>
          </w:p>
        </w:tc>
        <w:tc>
          <w:tcPr>
            <w:tcW w:w="1287" w:type="pct"/>
            <w:tcBorders>
              <w:top w:val="single" w:sz="4" w:space="0" w:color="auto"/>
              <w:bottom w:val="single" w:sz="4" w:space="0" w:color="auto"/>
            </w:tcBorders>
            <w:shd w:val="clear" w:color="auto" w:fill="auto"/>
          </w:tcPr>
          <w:p w14:paraId="188F109C" w14:textId="77777777" w:rsidR="00D64E96" w:rsidRPr="005E3B43" w:rsidRDefault="00D64E96" w:rsidP="00763BCF">
            <w:pPr>
              <w:pStyle w:val="Tabletext"/>
            </w:pPr>
            <w:r w:rsidRPr="005E3B43">
              <w:rPr>
                <w:sz w:val="16"/>
              </w:rPr>
              <w:t xml:space="preserve">r. 10: </w:t>
            </w:r>
            <w:r w:rsidR="006B5D8E" w:rsidRPr="005E3B43">
              <w:rPr>
                <w:sz w:val="16"/>
              </w:rPr>
              <w:t>1 July</w:t>
            </w:r>
            <w:r w:rsidRPr="005E3B43">
              <w:rPr>
                <w:sz w:val="16"/>
              </w:rPr>
              <w:t xml:space="preserve"> 1992</w:t>
            </w:r>
            <w:r w:rsidRPr="005E3B43">
              <w:rPr>
                <w:sz w:val="16"/>
              </w:rPr>
              <w:br/>
              <w:t>Remainder: 1 Feb 1992</w:t>
            </w:r>
          </w:p>
        </w:tc>
        <w:tc>
          <w:tcPr>
            <w:tcW w:w="1208" w:type="pct"/>
            <w:tcBorders>
              <w:top w:val="single" w:sz="4" w:space="0" w:color="auto"/>
              <w:bottom w:val="single" w:sz="4" w:space="0" w:color="auto"/>
            </w:tcBorders>
            <w:shd w:val="clear" w:color="auto" w:fill="auto"/>
          </w:tcPr>
          <w:p w14:paraId="437CEE90" w14:textId="77777777" w:rsidR="00D64E96" w:rsidRPr="005E3B43" w:rsidRDefault="00D64E96" w:rsidP="00763BCF">
            <w:pPr>
              <w:pStyle w:val="Tabletext"/>
            </w:pPr>
            <w:r w:rsidRPr="005E3B43">
              <w:rPr>
                <w:sz w:val="16"/>
              </w:rPr>
              <w:t>—</w:t>
            </w:r>
          </w:p>
        </w:tc>
      </w:tr>
      <w:tr w:rsidR="00D64E96" w:rsidRPr="005E3B43" w14:paraId="6066856D" w14:textId="77777777" w:rsidTr="005A786D">
        <w:trPr>
          <w:cantSplit/>
        </w:trPr>
        <w:tc>
          <w:tcPr>
            <w:tcW w:w="1219" w:type="pct"/>
            <w:tcBorders>
              <w:top w:val="single" w:sz="4" w:space="0" w:color="auto"/>
              <w:bottom w:val="single" w:sz="4" w:space="0" w:color="auto"/>
            </w:tcBorders>
            <w:shd w:val="clear" w:color="auto" w:fill="auto"/>
          </w:tcPr>
          <w:p w14:paraId="5DE93B83" w14:textId="77777777" w:rsidR="00D64E96" w:rsidRPr="005E3B43" w:rsidRDefault="00D64E96" w:rsidP="00763BCF">
            <w:pPr>
              <w:pStyle w:val="Tabletext"/>
            </w:pPr>
            <w:r w:rsidRPr="005E3B43">
              <w:rPr>
                <w:sz w:val="16"/>
              </w:rPr>
              <w:t>1992 No.</w:t>
            </w:r>
            <w:r w:rsidR="004E6D00" w:rsidRPr="005E3B43">
              <w:rPr>
                <w:sz w:val="16"/>
              </w:rPr>
              <w:t> </w:t>
            </w:r>
            <w:r w:rsidRPr="005E3B43">
              <w:rPr>
                <w:sz w:val="16"/>
              </w:rPr>
              <w:t>89</w:t>
            </w:r>
          </w:p>
        </w:tc>
        <w:tc>
          <w:tcPr>
            <w:tcW w:w="1286" w:type="pct"/>
            <w:tcBorders>
              <w:top w:val="single" w:sz="4" w:space="0" w:color="auto"/>
              <w:bottom w:val="single" w:sz="4" w:space="0" w:color="auto"/>
            </w:tcBorders>
            <w:shd w:val="clear" w:color="auto" w:fill="auto"/>
          </w:tcPr>
          <w:p w14:paraId="579CEC87" w14:textId="77777777" w:rsidR="00D64E96" w:rsidRPr="005E3B43" w:rsidRDefault="00D64E96" w:rsidP="00763BCF">
            <w:pPr>
              <w:pStyle w:val="Tabletext"/>
            </w:pPr>
            <w:r w:rsidRPr="005E3B43">
              <w:rPr>
                <w:sz w:val="16"/>
              </w:rPr>
              <w:t>14 Apr 1992</w:t>
            </w:r>
          </w:p>
        </w:tc>
        <w:tc>
          <w:tcPr>
            <w:tcW w:w="1287" w:type="pct"/>
            <w:tcBorders>
              <w:top w:val="single" w:sz="4" w:space="0" w:color="auto"/>
              <w:bottom w:val="single" w:sz="4" w:space="0" w:color="auto"/>
            </w:tcBorders>
            <w:shd w:val="clear" w:color="auto" w:fill="auto"/>
          </w:tcPr>
          <w:p w14:paraId="3A2ACC03" w14:textId="77777777" w:rsidR="00D64E96" w:rsidRPr="005E3B43" w:rsidRDefault="00D64E96" w:rsidP="00763BCF">
            <w:pPr>
              <w:pStyle w:val="Tabletext"/>
            </w:pPr>
            <w:r w:rsidRPr="005E3B43">
              <w:rPr>
                <w:sz w:val="16"/>
              </w:rPr>
              <w:t>14 Apr 1992</w:t>
            </w:r>
          </w:p>
        </w:tc>
        <w:tc>
          <w:tcPr>
            <w:tcW w:w="1208" w:type="pct"/>
            <w:tcBorders>
              <w:top w:val="single" w:sz="4" w:space="0" w:color="auto"/>
              <w:bottom w:val="single" w:sz="4" w:space="0" w:color="auto"/>
            </w:tcBorders>
            <w:shd w:val="clear" w:color="auto" w:fill="auto"/>
          </w:tcPr>
          <w:p w14:paraId="16E1682F" w14:textId="77777777" w:rsidR="00D64E96" w:rsidRPr="005E3B43" w:rsidRDefault="00D64E96" w:rsidP="00763BCF">
            <w:pPr>
              <w:pStyle w:val="Tabletext"/>
            </w:pPr>
            <w:r w:rsidRPr="005E3B43">
              <w:rPr>
                <w:sz w:val="16"/>
              </w:rPr>
              <w:t>—</w:t>
            </w:r>
          </w:p>
        </w:tc>
      </w:tr>
      <w:tr w:rsidR="00D64E96" w:rsidRPr="005E3B43" w14:paraId="69EE25F1" w14:textId="77777777" w:rsidTr="005A786D">
        <w:trPr>
          <w:cantSplit/>
        </w:trPr>
        <w:tc>
          <w:tcPr>
            <w:tcW w:w="1219" w:type="pct"/>
            <w:tcBorders>
              <w:top w:val="single" w:sz="4" w:space="0" w:color="auto"/>
              <w:bottom w:val="single" w:sz="4" w:space="0" w:color="auto"/>
            </w:tcBorders>
            <w:shd w:val="clear" w:color="auto" w:fill="auto"/>
          </w:tcPr>
          <w:p w14:paraId="581982D5" w14:textId="77777777" w:rsidR="00D64E96" w:rsidRPr="005E3B43" w:rsidRDefault="00D64E96" w:rsidP="00763BCF">
            <w:pPr>
              <w:pStyle w:val="Tabletext"/>
            </w:pPr>
            <w:r w:rsidRPr="005E3B43">
              <w:rPr>
                <w:sz w:val="16"/>
              </w:rPr>
              <w:t>1992 No.</w:t>
            </w:r>
            <w:r w:rsidR="004E6D00" w:rsidRPr="005E3B43">
              <w:rPr>
                <w:sz w:val="16"/>
              </w:rPr>
              <w:t> </w:t>
            </w:r>
            <w:r w:rsidRPr="005E3B43">
              <w:rPr>
                <w:sz w:val="16"/>
              </w:rPr>
              <w:t>109</w:t>
            </w:r>
          </w:p>
        </w:tc>
        <w:tc>
          <w:tcPr>
            <w:tcW w:w="1286" w:type="pct"/>
            <w:tcBorders>
              <w:top w:val="single" w:sz="4" w:space="0" w:color="auto"/>
              <w:bottom w:val="single" w:sz="4" w:space="0" w:color="auto"/>
            </w:tcBorders>
            <w:shd w:val="clear" w:color="auto" w:fill="auto"/>
          </w:tcPr>
          <w:p w14:paraId="65BD1638" w14:textId="77777777" w:rsidR="00D64E96" w:rsidRPr="005E3B43" w:rsidRDefault="00D64E96" w:rsidP="00763BCF">
            <w:pPr>
              <w:pStyle w:val="Tabletext"/>
            </w:pPr>
            <w:r w:rsidRPr="005E3B43">
              <w:rPr>
                <w:sz w:val="16"/>
              </w:rPr>
              <w:t>28 Apr 1992</w:t>
            </w:r>
          </w:p>
        </w:tc>
        <w:tc>
          <w:tcPr>
            <w:tcW w:w="1287" w:type="pct"/>
            <w:tcBorders>
              <w:top w:val="single" w:sz="4" w:space="0" w:color="auto"/>
              <w:bottom w:val="single" w:sz="4" w:space="0" w:color="auto"/>
            </w:tcBorders>
            <w:shd w:val="clear" w:color="auto" w:fill="auto"/>
          </w:tcPr>
          <w:p w14:paraId="220A5151" w14:textId="77777777" w:rsidR="00D64E96" w:rsidRPr="005E3B43" w:rsidRDefault="00D64E96" w:rsidP="00763BCF">
            <w:pPr>
              <w:pStyle w:val="Tabletext"/>
            </w:pPr>
            <w:r w:rsidRPr="005E3B43">
              <w:rPr>
                <w:sz w:val="16"/>
              </w:rPr>
              <w:t>28 Apr 1992</w:t>
            </w:r>
          </w:p>
        </w:tc>
        <w:tc>
          <w:tcPr>
            <w:tcW w:w="1208" w:type="pct"/>
            <w:tcBorders>
              <w:top w:val="single" w:sz="4" w:space="0" w:color="auto"/>
              <w:bottom w:val="single" w:sz="4" w:space="0" w:color="auto"/>
            </w:tcBorders>
            <w:shd w:val="clear" w:color="auto" w:fill="auto"/>
          </w:tcPr>
          <w:p w14:paraId="00DE4448" w14:textId="77777777" w:rsidR="00D64E96" w:rsidRPr="005E3B43" w:rsidRDefault="00D64E96" w:rsidP="00763BCF">
            <w:pPr>
              <w:pStyle w:val="Tabletext"/>
            </w:pPr>
            <w:r w:rsidRPr="005E3B43">
              <w:rPr>
                <w:sz w:val="16"/>
              </w:rPr>
              <w:t>—</w:t>
            </w:r>
          </w:p>
        </w:tc>
      </w:tr>
      <w:tr w:rsidR="00D64E96" w:rsidRPr="005E3B43" w14:paraId="7046DD87" w14:textId="77777777" w:rsidTr="005A786D">
        <w:trPr>
          <w:cantSplit/>
        </w:trPr>
        <w:tc>
          <w:tcPr>
            <w:tcW w:w="1219" w:type="pct"/>
            <w:tcBorders>
              <w:top w:val="single" w:sz="4" w:space="0" w:color="auto"/>
              <w:bottom w:val="single" w:sz="4" w:space="0" w:color="auto"/>
            </w:tcBorders>
            <w:shd w:val="clear" w:color="auto" w:fill="auto"/>
          </w:tcPr>
          <w:p w14:paraId="703279B2" w14:textId="77777777" w:rsidR="00D64E96" w:rsidRPr="005E3B43" w:rsidRDefault="00D64E96" w:rsidP="00763BCF">
            <w:pPr>
              <w:pStyle w:val="Tabletext"/>
            </w:pPr>
            <w:r w:rsidRPr="005E3B43">
              <w:rPr>
                <w:sz w:val="16"/>
              </w:rPr>
              <w:t>1992 No.</w:t>
            </w:r>
            <w:r w:rsidR="004E6D00" w:rsidRPr="005E3B43">
              <w:rPr>
                <w:sz w:val="16"/>
              </w:rPr>
              <w:t> </w:t>
            </w:r>
            <w:r w:rsidRPr="005E3B43">
              <w:rPr>
                <w:sz w:val="16"/>
              </w:rPr>
              <w:t>332</w:t>
            </w:r>
          </w:p>
        </w:tc>
        <w:tc>
          <w:tcPr>
            <w:tcW w:w="1286" w:type="pct"/>
            <w:tcBorders>
              <w:top w:val="single" w:sz="4" w:space="0" w:color="auto"/>
              <w:bottom w:val="single" w:sz="4" w:space="0" w:color="auto"/>
            </w:tcBorders>
            <w:shd w:val="clear" w:color="auto" w:fill="auto"/>
          </w:tcPr>
          <w:p w14:paraId="5B73A397" w14:textId="77777777" w:rsidR="00D64E96" w:rsidRPr="005E3B43" w:rsidRDefault="00D64E96" w:rsidP="00763BCF">
            <w:pPr>
              <w:pStyle w:val="Tabletext"/>
            </w:pPr>
            <w:r w:rsidRPr="005E3B43">
              <w:rPr>
                <w:sz w:val="16"/>
              </w:rPr>
              <w:t>27 Oct 1992</w:t>
            </w:r>
          </w:p>
        </w:tc>
        <w:tc>
          <w:tcPr>
            <w:tcW w:w="1287" w:type="pct"/>
            <w:tcBorders>
              <w:top w:val="single" w:sz="4" w:space="0" w:color="auto"/>
              <w:bottom w:val="single" w:sz="4" w:space="0" w:color="auto"/>
            </w:tcBorders>
            <w:shd w:val="clear" w:color="auto" w:fill="auto"/>
          </w:tcPr>
          <w:p w14:paraId="7E57B07E" w14:textId="77777777" w:rsidR="00D64E96" w:rsidRPr="005E3B43" w:rsidRDefault="00D64E96" w:rsidP="00763BCF">
            <w:pPr>
              <w:pStyle w:val="Tabletext"/>
            </w:pPr>
            <w:r w:rsidRPr="005E3B43">
              <w:rPr>
                <w:sz w:val="16"/>
              </w:rPr>
              <w:t>27 Oct 1992</w:t>
            </w:r>
          </w:p>
        </w:tc>
        <w:tc>
          <w:tcPr>
            <w:tcW w:w="1208" w:type="pct"/>
            <w:tcBorders>
              <w:top w:val="single" w:sz="4" w:space="0" w:color="auto"/>
              <w:bottom w:val="single" w:sz="4" w:space="0" w:color="auto"/>
            </w:tcBorders>
            <w:shd w:val="clear" w:color="auto" w:fill="auto"/>
          </w:tcPr>
          <w:p w14:paraId="051ACD69" w14:textId="77777777" w:rsidR="00D64E96" w:rsidRPr="005E3B43" w:rsidRDefault="00D64E96" w:rsidP="00763BCF">
            <w:pPr>
              <w:pStyle w:val="Tabletext"/>
            </w:pPr>
            <w:r w:rsidRPr="005E3B43">
              <w:rPr>
                <w:sz w:val="16"/>
              </w:rPr>
              <w:t>—</w:t>
            </w:r>
          </w:p>
        </w:tc>
      </w:tr>
      <w:tr w:rsidR="00D64E96" w:rsidRPr="005E3B43" w14:paraId="08620676" w14:textId="77777777" w:rsidTr="005A786D">
        <w:trPr>
          <w:cantSplit/>
        </w:trPr>
        <w:tc>
          <w:tcPr>
            <w:tcW w:w="1219" w:type="pct"/>
            <w:tcBorders>
              <w:top w:val="single" w:sz="4" w:space="0" w:color="auto"/>
              <w:bottom w:val="single" w:sz="4" w:space="0" w:color="auto"/>
            </w:tcBorders>
            <w:shd w:val="clear" w:color="auto" w:fill="auto"/>
          </w:tcPr>
          <w:p w14:paraId="69AD8092" w14:textId="77777777" w:rsidR="00D64E96" w:rsidRPr="005E3B43" w:rsidRDefault="00D64E96" w:rsidP="00763BCF">
            <w:pPr>
              <w:pStyle w:val="Tabletext"/>
            </w:pPr>
            <w:r w:rsidRPr="005E3B43">
              <w:rPr>
                <w:sz w:val="16"/>
              </w:rPr>
              <w:t>1992 No.</w:t>
            </w:r>
            <w:r w:rsidR="004E6D00" w:rsidRPr="005E3B43">
              <w:rPr>
                <w:sz w:val="16"/>
              </w:rPr>
              <w:t> </w:t>
            </w:r>
            <w:r w:rsidRPr="005E3B43">
              <w:rPr>
                <w:sz w:val="16"/>
              </w:rPr>
              <w:t>370</w:t>
            </w:r>
          </w:p>
        </w:tc>
        <w:tc>
          <w:tcPr>
            <w:tcW w:w="1286" w:type="pct"/>
            <w:tcBorders>
              <w:top w:val="single" w:sz="4" w:space="0" w:color="auto"/>
              <w:bottom w:val="single" w:sz="4" w:space="0" w:color="auto"/>
            </w:tcBorders>
            <w:shd w:val="clear" w:color="auto" w:fill="auto"/>
          </w:tcPr>
          <w:p w14:paraId="402A5D0C" w14:textId="77777777" w:rsidR="00D64E96" w:rsidRPr="005E3B43" w:rsidRDefault="00D64E96" w:rsidP="00763BCF">
            <w:pPr>
              <w:pStyle w:val="Tabletext"/>
            </w:pPr>
            <w:r w:rsidRPr="005E3B43">
              <w:rPr>
                <w:sz w:val="16"/>
              </w:rPr>
              <w:t>30 Nov 1992</w:t>
            </w:r>
          </w:p>
        </w:tc>
        <w:tc>
          <w:tcPr>
            <w:tcW w:w="1287" w:type="pct"/>
            <w:tcBorders>
              <w:top w:val="single" w:sz="4" w:space="0" w:color="auto"/>
              <w:bottom w:val="single" w:sz="4" w:space="0" w:color="auto"/>
            </w:tcBorders>
            <w:shd w:val="clear" w:color="auto" w:fill="auto"/>
          </w:tcPr>
          <w:p w14:paraId="34406070" w14:textId="77777777" w:rsidR="00D64E96" w:rsidRPr="005E3B43" w:rsidRDefault="00D64E96" w:rsidP="00763BCF">
            <w:pPr>
              <w:pStyle w:val="Tabletext"/>
            </w:pPr>
            <w:r w:rsidRPr="005E3B43">
              <w:rPr>
                <w:sz w:val="16"/>
              </w:rPr>
              <w:t>30 Nov 1992</w:t>
            </w:r>
          </w:p>
        </w:tc>
        <w:tc>
          <w:tcPr>
            <w:tcW w:w="1208" w:type="pct"/>
            <w:tcBorders>
              <w:top w:val="single" w:sz="4" w:space="0" w:color="auto"/>
              <w:bottom w:val="single" w:sz="4" w:space="0" w:color="auto"/>
            </w:tcBorders>
            <w:shd w:val="clear" w:color="auto" w:fill="auto"/>
          </w:tcPr>
          <w:p w14:paraId="24C082AE" w14:textId="77777777" w:rsidR="00D64E96" w:rsidRPr="005E3B43" w:rsidRDefault="00D64E96" w:rsidP="00763BCF">
            <w:pPr>
              <w:pStyle w:val="Tabletext"/>
            </w:pPr>
            <w:r w:rsidRPr="005E3B43">
              <w:rPr>
                <w:sz w:val="16"/>
              </w:rPr>
              <w:t>—</w:t>
            </w:r>
          </w:p>
        </w:tc>
      </w:tr>
      <w:tr w:rsidR="00D64E96" w:rsidRPr="005E3B43" w14:paraId="06F9F7BE" w14:textId="77777777" w:rsidTr="005A786D">
        <w:trPr>
          <w:cantSplit/>
        </w:trPr>
        <w:tc>
          <w:tcPr>
            <w:tcW w:w="1219" w:type="pct"/>
            <w:tcBorders>
              <w:top w:val="single" w:sz="4" w:space="0" w:color="auto"/>
              <w:bottom w:val="single" w:sz="4" w:space="0" w:color="auto"/>
            </w:tcBorders>
            <w:shd w:val="clear" w:color="auto" w:fill="auto"/>
          </w:tcPr>
          <w:p w14:paraId="339E87A7" w14:textId="77777777" w:rsidR="00D64E96" w:rsidRPr="005E3B43" w:rsidRDefault="00D64E96" w:rsidP="00763BCF">
            <w:pPr>
              <w:pStyle w:val="Tabletext"/>
            </w:pPr>
            <w:r w:rsidRPr="005E3B43">
              <w:rPr>
                <w:sz w:val="16"/>
              </w:rPr>
              <w:t>1992 No.</w:t>
            </w:r>
            <w:r w:rsidR="004E6D00" w:rsidRPr="005E3B43">
              <w:rPr>
                <w:sz w:val="16"/>
              </w:rPr>
              <w:t> </w:t>
            </w:r>
            <w:r w:rsidRPr="005E3B43">
              <w:rPr>
                <w:sz w:val="16"/>
              </w:rPr>
              <w:t>430</w:t>
            </w:r>
          </w:p>
        </w:tc>
        <w:tc>
          <w:tcPr>
            <w:tcW w:w="1286" w:type="pct"/>
            <w:tcBorders>
              <w:top w:val="single" w:sz="4" w:space="0" w:color="auto"/>
              <w:bottom w:val="single" w:sz="4" w:space="0" w:color="auto"/>
            </w:tcBorders>
            <w:shd w:val="clear" w:color="auto" w:fill="auto"/>
          </w:tcPr>
          <w:p w14:paraId="63C6E0A4" w14:textId="77777777" w:rsidR="00D64E96" w:rsidRPr="005E3B43" w:rsidRDefault="00D64E96" w:rsidP="00763BCF">
            <w:pPr>
              <w:pStyle w:val="Tabletext"/>
            </w:pPr>
            <w:r w:rsidRPr="005E3B43">
              <w:rPr>
                <w:sz w:val="16"/>
              </w:rPr>
              <w:t>24 Dec 1992</w:t>
            </w:r>
          </w:p>
        </w:tc>
        <w:tc>
          <w:tcPr>
            <w:tcW w:w="1287" w:type="pct"/>
            <w:tcBorders>
              <w:top w:val="single" w:sz="4" w:space="0" w:color="auto"/>
              <w:bottom w:val="single" w:sz="4" w:space="0" w:color="auto"/>
            </w:tcBorders>
            <w:shd w:val="clear" w:color="auto" w:fill="auto"/>
          </w:tcPr>
          <w:p w14:paraId="5FA4DEA6" w14:textId="77777777" w:rsidR="00D64E96" w:rsidRPr="005E3B43" w:rsidRDefault="00D64E96" w:rsidP="00763BCF">
            <w:pPr>
              <w:pStyle w:val="Tabletext"/>
            </w:pPr>
            <w:r w:rsidRPr="005E3B43">
              <w:rPr>
                <w:sz w:val="16"/>
              </w:rPr>
              <w:t>rr.</w:t>
            </w:r>
            <w:r w:rsidR="004E6D00" w:rsidRPr="005E3B43">
              <w:rPr>
                <w:sz w:val="16"/>
              </w:rPr>
              <w:t> </w:t>
            </w:r>
            <w:r w:rsidRPr="005E3B43">
              <w:rPr>
                <w:sz w:val="16"/>
              </w:rPr>
              <w:t>4 and 7: 1 Jan 1993</w:t>
            </w:r>
            <w:r w:rsidR="00E960B2" w:rsidRPr="005E3B43">
              <w:rPr>
                <w:sz w:val="16"/>
              </w:rPr>
              <w:t xml:space="preserve"> </w:t>
            </w:r>
            <w:r w:rsidRPr="005E3B43">
              <w:rPr>
                <w:sz w:val="16"/>
              </w:rPr>
              <w:t>Remainder: 24 Dec 1992</w:t>
            </w:r>
          </w:p>
        </w:tc>
        <w:tc>
          <w:tcPr>
            <w:tcW w:w="1208" w:type="pct"/>
            <w:tcBorders>
              <w:top w:val="single" w:sz="4" w:space="0" w:color="auto"/>
              <w:bottom w:val="single" w:sz="4" w:space="0" w:color="auto"/>
            </w:tcBorders>
            <w:shd w:val="clear" w:color="auto" w:fill="auto"/>
          </w:tcPr>
          <w:p w14:paraId="52FE75CC" w14:textId="77777777" w:rsidR="00D64E96" w:rsidRPr="005E3B43" w:rsidRDefault="00D64E96" w:rsidP="00763BCF">
            <w:pPr>
              <w:pStyle w:val="Tabletext"/>
            </w:pPr>
            <w:r w:rsidRPr="005E3B43">
              <w:rPr>
                <w:sz w:val="16"/>
              </w:rPr>
              <w:t>—</w:t>
            </w:r>
          </w:p>
        </w:tc>
      </w:tr>
      <w:tr w:rsidR="00D64E96" w:rsidRPr="005E3B43" w14:paraId="566E687F" w14:textId="77777777" w:rsidTr="005A786D">
        <w:trPr>
          <w:cantSplit/>
        </w:trPr>
        <w:tc>
          <w:tcPr>
            <w:tcW w:w="1219" w:type="pct"/>
            <w:tcBorders>
              <w:top w:val="single" w:sz="4" w:space="0" w:color="auto"/>
              <w:bottom w:val="single" w:sz="4" w:space="0" w:color="auto"/>
            </w:tcBorders>
            <w:shd w:val="clear" w:color="auto" w:fill="auto"/>
          </w:tcPr>
          <w:p w14:paraId="3EA1E554" w14:textId="77777777" w:rsidR="00D64E96" w:rsidRPr="005E3B43" w:rsidRDefault="00D64E96" w:rsidP="00763BCF">
            <w:pPr>
              <w:pStyle w:val="Tabletext"/>
            </w:pPr>
            <w:r w:rsidRPr="005E3B43">
              <w:rPr>
                <w:sz w:val="16"/>
              </w:rPr>
              <w:t>1993 No.</w:t>
            </w:r>
            <w:r w:rsidR="004E6D00" w:rsidRPr="005E3B43">
              <w:rPr>
                <w:sz w:val="16"/>
              </w:rPr>
              <w:t> </w:t>
            </w:r>
            <w:r w:rsidRPr="005E3B43">
              <w:rPr>
                <w:sz w:val="16"/>
              </w:rPr>
              <w:t>141</w:t>
            </w:r>
          </w:p>
        </w:tc>
        <w:tc>
          <w:tcPr>
            <w:tcW w:w="1286" w:type="pct"/>
            <w:tcBorders>
              <w:top w:val="single" w:sz="4" w:space="0" w:color="auto"/>
              <w:bottom w:val="single" w:sz="4" w:space="0" w:color="auto"/>
            </w:tcBorders>
            <w:shd w:val="clear" w:color="auto" w:fill="auto"/>
          </w:tcPr>
          <w:p w14:paraId="63E78EEC" w14:textId="77777777" w:rsidR="00D64E96" w:rsidRPr="005E3B43" w:rsidRDefault="00D64E96" w:rsidP="00763BCF">
            <w:pPr>
              <w:pStyle w:val="Tabletext"/>
            </w:pPr>
            <w:r w:rsidRPr="005E3B43">
              <w:rPr>
                <w:sz w:val="16"/>
              </w:rPr>
              <w:t>25</w:t>
            </w:r>
            <w:r w:rsidR="004E6D00" w:rsidRPr="005E3B43">
              <w:rPr>
                <w:sz w:val="16"/>
              </w:rPr>
              <w:t> </w:t>
            </w:r>
            <w:r w:rsidRPr="005E3B43">
              <w:rPr>
                <w:sz w:val="16"/>
              </w:rPr>
              <w:t>June 1993</w:t>
            </w:r>
          </w:p>
        </w:tc>
        <w:tc>
          <w:tcPr>
            <w:tcW w:w="1287" w:type="pct"/>
            <w:tcBorders>
              <w:top w:val="single" w:sz="4" w:space="0" w:color="auto"/>
              <w:bottom w:val="single" w:sz="4" w:space="0" w:color="auto"/>
            </w:tcBorders>
            <w:shd w:val="clear" w:color="auto" w:fill="auto"/>
          </w:tcPr>
          <w:p w14:paraId="4562D18B" w14:textId="77777777" w:rsidR="00D64E96" w:rsidRPr="005E3B43" w:rsidRDefault="006B5D8E" w:rsidP="00763BCF">
            <w:pPr>
              <w:pStyle w:val="Tabletext"/>
            </w:pPr>
            <w:r w:rsidRPr="005E3B43">
              <w:rPr>
                <w:sz w:val="16"/>
              </w:rPr>
              <w:t>1 July</w:t>
            </w:r>
            <w:r w:rsidR="00D64E96" w:rsidRPr="005E3B43">
              <w:rPr>
                <w:sz w:val="16"/>
              </w:rPr>
              <w:t xml:space="preserve"> 1993</w:t>
            </w:r>
          </w:p>
        </w:tc>
        <w:tc>
          <w:tcPr>
            <w:tcW w:w="1208" w:type="pct"/>
            <w:tcBorders>
              <w:top w:val="single" w:sz="4" w:space="0" w:color="auto"/>
              <w:bottom w:val="single" w:sz="4" w:space="0" w:color="auto"/>
            </w:tcBorders>
            <w:shd w:val="clear" w:color="auto" w:fill="auto"/>
          </w:tcPr>
          <w:p w14:paraId="7B0DAB37" w14:textId="77777777" w:rsidR="00D64E96" w:rsidRPr="005E3B43" w:rsidRDefault="00D64E96" w:rsidP="00763BCF">
            <w:pPr>
              <w:pStyle w:val="Tabletext"/>
            </w:pPr>
            <w:r w:rsidRPr="005E3B43">
              <w:rPr>
                <w:sz w:val="16"/>
              </w:rPr>
              <w:t>—</w:t>
            </w:r>
          </w:p>
        </w:tc>
      </w:tr>
      <w:tr w:rsidR="00D64E96" w:rsidRPr="005E3B43" w14:paraId="747BE320" w14:textId="77777777" w:rsidTr="005A786D">
        <w:trPr>
          <w:cantSplit/>
        </w:trPr>
        <w:tc>
          <w:tcPr>
            <w:tcW w:w="1219" w:type="pct"/>
            <w:tcBorders>
              <w:top w:val="single" w:sz="4" w:space="0" w:color="auto"/>
              <w:bottom w:val="single" w:sz="4" w:space="0" w:color="auto"/>
            </w:tcBorders>
            <w:shd w:val="clear" w:color="auto" w:fill="auto"/>
          </w:tcPr>
          <w:p w14:paraId="64ABB25E" w14:textId="77777777" w:rsidR="00D64E96" w:rsidRPr="005E3B43" w:rsidRDefault="00D64E96" w:rsidP="00763BCF">
            <w:pPr>
              <w:pStyle w:val="Tabletext"/>
            </w:pPr>
            <w:r w:rsidRPr="005E3B43">
              <w:rPr>
                <w:sz w:val="16"/>
              </w:rPr>
              <w:t>1994 No.</w:t>
            </w:r>
            <w:r w:rsidR="004E6D00" w:rsidRPr="005E3B43">
              <w:rPr>
                <w:sz w:val="16"/>
              </w:rPr>
              <w:t> </w:t>
            </w:r>
            <w:r w:rsidRPr="005E3B43">
              <w:rPr>
                <w:sz w:val="16"/>
              </w:rPr>
              <w:t>150</w:t>
            </w:r>
          </w:p>
        </w:tc>
        <w:tc>
          <w:tcPr>
            <w:tcW w:w="1286" w:type="pct"/>
            <w:tcBorders>
              <w:top w:val="single" w:sz="4" w:space="0" w:color="auto"/>
              <w:bottom w:val="single" w:sz="4" w:space="0" w:color="auto"/>
            </w:tcBorders>
            <w:shd w:val="clear" w:color="auto" w:fill="auto"/>
          </w:tcPr>
          <w:p w14:paraId="29E69F02" w14:textId="77777777" w:rsidR="00D64E96" w:rsidRPr="005E3B43" w:rsidRDefault="00D64E96" w:rsidP="00763BCF">
            <w:pPr>
              <w:pStyle w:val="Tabletext"/>
            </w:pPr>
            <w:r w:rsidRPr="005E3B43">
              <w:rPr>
                <w:sz w:val="16"/>
              </w:rPr>
              <w:t>2</w:t>
            </w:r>
            <w:r w:rsidR="004E6D00" w:rsidRPr="005E3B43">
              <w:rPr>
                <w:sz w:val="16"/>
              </w:rPr>
              <w:t> </w:t>
            </w:r>
            <w:r w:rsidRPr="005E3B43">
              <w:rPr>
                <w:sz w:val="16"/>
              </w:rPr>
              <w:t>June 1994</w:t>
            </w:r>
          </w:p>
        </w:tc>
        <w:tc>
          <w:tcPr>
            <w:tcW w:w="1287" w:type="pct"/>
            <w:tcBorders>
              <w:top w:val="single" w:sz="4" w:space="0" w:color="auto"/>
              <w:bottom w:val="single" w:sz="4" w:space="0" w:color="auto"/>
            </w:tcBorders>
            <w:shd w:val="clear" w:color="auto" w:fill="auto"/>
          </w:tcPr>
          <w:p w14:paraId="0F6EE7EC" w14:textId="77777777" w:rsidR="00D64E96" w:rsidRPr="005E3B43" w:rsidRDefault="00D64E96" w:rsidP="00763BCF">
            <w:pPr>
              <w:pStyle w:val="Tabletext"/>
            </w:pPr>
            <w:r w:rsidRPr="005E3B43">
              <w:rPr>
                <w:sz w:val="16"/>
              </w:rPr>
              <w:t>2</w:t>
            </w:r>
            <w:r w:rsidR="004E6D00" w:rsidRPr="005E3B43">
              <w:rPr>
                <w:sz w:val="16"/>
              </w:rPr>
              <w:t> </w:t>
            </w:r>
            <w:r w:rsidRPr="005E3B43">
              <w:rPr>
                <w:sz w:val="16"/>
              </w:rPr>
              <w:t>June 1994</w:t>
            </w:r>
          </w:p>
        </w:tc>
        <w:tc>
          <w:tcPr>
            <w:tcW w:w="1208" w:type="pct"/>
            <w:tcBorders>
              <w:top w:val="single" w:sz="4" w:space="0" w:color="auto"/>
              <w:bottom w:val="single" w:sz="4" w:space="0" w:color="auto"/>
            </w:tcBorders>
            <w:shd w:val="clear" w:color="auto" w:fill="auto"/>
          </w:tcPr>
          <w:p w14:paraId="2CC3F432" w14:textId="77777777" w:rsidR="00D64E96" w:rsidRPr="005E3B43" w:rsidRDefault="00D64E96" w:rsidP="00763BCF">
            <w:pPr>
              <w:pStyle w:val="Tabletext"/>
            </w:pPr>
            <w:r w:rsidRPr="005E3B43">
              <w:rPr>
                <w:sz w:val="16"/>
              </w:rPr>
              <w:t>r. 22</w:t>
            </w:r>
          </w:p>
        </w:tc>
      </w:tr>
      <w:tr w:rsidR="00D64E96" w:rsidRPr="005E3B43" w14:paraId="6CDCD978" w14:textId="77777777" w:rsidTr="005A786D">
        <w:trPr>
          <w:cantSplit/>
        </w:trPr>
        <w:tc>
          <w:tcPr>
            <w:tcW w:w="1219" w:type="pct"/>
            <w:tcBorders>
              <w:top w:val="single" w:sz="4" w:space="0" w:color="auto"/>
              <w:bottom w:val="single" w:sz="4" w:space="0" w:color="auto"/>
            </w:tcBorders>
            <w:shd w:val="clear" w:color="auto" w:fill="auto"/>
          </w:tcPr>
          <w:p w14:paraId="4FC52EF8" w14:textId="77777777" w:rsidR="00D64E96" w:rsidRPr="005E3B43" w:rsidRDefault="00D64E96" w:rsidP="00763BCF">
            <w:pPr>
              <w:pStyle w:val="Tabletext"/>
            </w:pPr>
            <w:r w:rsidRPr="005E3B43">
              <w:rPr>
                <w:sz w:val="16"/>
              </w:rPr>
              <w:t>1994 No.</w:t>
            </w:r>
            <w:r w:rsidR="004E6D00" w:rsidRPr="005E3B43">
              <w:rPr>
                <w:sz w:val="16"/>
              </w:rPr>
              <w:t> </w:t>
            </w:r>
            <w:r w:rsidRPr="005E3B43">
              <w:rPr>
                <w:sz w:val="16"/>
              </w:rPr>
              <w:t>222</w:t>
            </w:r>
          </w:p>
        </w:tc>
        <w:tc>
          <w:tcPr>
            <w:tcW w:w="1286" w:type="pct"/>
            <w:tcBorders>
              <w:top w:val="single" w:sz="4" w:space="0" w:color="auto"/>
              <w:bottom w:val="single" w:sz="4" w:space="0" w:color="auto"/>
            </w:tcBorders>
            <w:shd w:val="clear" w:color="auto" w:fill="auto"/>
          </w:tcPr>
          <w:p w14:paraId="5AA7D31B" w14:textId="77777777" w:rsidR="00D64E96" w:rsidRPr="005E3B43" w:rsidRDefault="00D64E96" w:rsidP="00763BCF">
            <w:pPr>
              <w:pStyle w:val="Tabletext"/>
            </w:pPr>
            <w:r w:rsidRPr="005E3B43">
              <w:rPr>
                <w:sz w:val="16"/>
              </w:rPr>
              <w:t>30</w:t>
            </w:r>
            <w:r w:rsidR="004E6D00" w:rsidRPr="005E3B43">
              <w:rPr>
                <w:sz w:val="16"/>
              </w:rPr>
              <w:t> </w:t>
            </w:r>
            <w:r w:rsidRPr="005E3B43">
              <w:rPr>
                <w:sz w:val="16"/>
              </w:rPr>
              <w:t>June 1994</w:t>
            </w:r>
          </w:p>
        </w:tc>
        <w:tc>
          <w:tcPr>
            <w:tcW w:w="1287" w:type="pct"/>
            <w:tcBorders>
              <w:top w:val="single" w:sz="4" w:space="0" w:color="auto"/>
              <w:bottom w:val="single" w:sz="4" w:space="0" w:color="auto"/>
            </w:tcBorders>
            <w:shd w:val="clear" w:color="auto" w:fill="auto"/>
          </w:tcPr>
          <w:p w14:paraId="735AAC0A" w14:textId="77777777" w:rsidR="00D64E96" w:rsidRPr="005E3B43" w:rsidRDefault="006B5D8E" w:rsidP="00763BCF">
            <w:pPr>
              <w:pStyle w:val="Tabletext"/>
            </w:pPr>
            <w:r w:rsidRPr="005E3B43">
              <w:rPr>
                <w:sz w:val="16"/>
              </w:rPr>
              <w:t>1 July</w:t>
            </w:r>
            <w:r w:rsidR="00D64E96" w:rsidRPr="005E3B43">
              <w:rPr>
                <w:sz w:val="16"/>
              </w:rPr>
              <w:t xml:space="preserve"> 1994</w:t>
            </w:r>
          </w:p>
        </w:tc>
        <w:tc>
          <w:tcPr>
            <w:tcW w:w="1208" w:type="pct"/>
            <w:tcBorders>
              <w:top w:val="single" w:sz="4" w:space="0" w:color="auto"/>
              <w:bottom w:val="single" w:sz="4" w:space="0" w:color="auto"/>
            </w:tcBorders>
            <w:shd w:val="clear" w:color="auto" w:fill="auto"/>
          </w:tcPr>
          <w:p w14:paraId="7886F7C9" w14:textId="77777777" w:rsidR="00D64E96" w:rsidRPr="005E3B43" w:rsidRDefault="00D64E96" w:rsidP="00763BCF">
            <w:pPr>
              <w:pStyle w:val="Tabletext"/>
            </w:pPr>
            <w:r w:rsidRPr="005E3B43">
              <w:rPr>
                <w:sz w:val="16"/>
              </w:rPr>
              <w:t>—</w:t>
            </w:r>
          </w:p>
        </w:tc>
      </w:tr>
      <w:tr w:rsidR="00D64E96" w:rsidRPr="005E3B43" w14:paraId="4609AC0B" w14:textId="77777777" w:rsidTr="005A786D">
        <w:trPr>
          <w:cantSplit/>
        </w:trPr>
        <w:tc>
          <w:tcPr>
            <w:tcW w:w="1219" w:type="pct"/>
            <w:tcBorders>
              <w:top w:val="single" w:sz="4" w:space="0" w:color="auto"/>
              <w:bottom w:val="single" w:sz="4" w:space="0" w:color="auto"/>
            </w:tcBorders>
            <w:shd w:val="clear" w:color="auto" w:fill="auto"/>
          </w:tcPr>
          <w:p w14:paraId="6F8FCFBF" w14:textId="77777777" w:rsidR="00D64E96" w:rsidRPr="005E3B43" w:rsidRDefault="00D64E96" w:rsidP="00763BCF">
            <w:pPr>
              <w:pStyle w:val="Tabletext"/>
            </w:pPr>
            <w:r w:rsidRPr="005E3B43">
              <w:rPr>
                <w:sz w:val="16"/>
              </w:rPr>
              <w:t>1994 No.</w:t>
            </w:r>
            <w:r w:rsidR="004E6D00" w:rsidRPr="005E3B43">
              <w:rPr>
                <w:sz w:val="16"/>
              </w:rPr>
              <w:t> </w:t>
            </w:r>
            <w:r w:rsidRPr="005E3B43">
              <w:rPr>
                <w:sz w:val="16"/>
              </w:rPr>
              <w:t>364</w:t>
            </w:r>
          </w:p>
        </w:tc>
        <w:tc>
          <w:tcPr>
            <w:tcW w:w="1286" w:type="pct"/>
            <w:tcBorders>
              <w:top w:val="single" w:sz="4" w:space="0" w:color="auto"/>
              <w:bottom w:val="single" w:sz="4" w:space="0" w:color="auto"/>
            </w:tcBorders>
            <w:shd w:val="clear" w:color="auto" w:fill="auto"/>
          </w:tcPr>
          <w:p w14:paraId="7B21B5AA" w14:textId="77777777" w:rsidR="00D64E96" w:rsidRPr="005E3B43" w:rsidRDefault="00D64E96" w:rsidP="00763BCF">
            <w:pPr>
              <w:pStyle w:val="Tabletext"/>
            </w:pPr>
            <w:r w:rsidRPr="005E3B43">
              <w:rPr>
                <w:sz w:val="16"/>
              </w:rPr>
              <w:t>1 Nov 1994</w:t>
            </w:r>
          </w:p>
        </w:tc>
        <w:tc>
          <w:tcPr>
            <w:tcW w:w="1287" w:type="pct"/>
            <w:tcBorders>
              <w:top w:val="single" w:sz="4" w:space="0" w:color="auto"/>
              <w:bottom w:val="single" w:sz="4" w:space="0" w:color="auto"/>
            </w:tcBorders>
            <w:shd w:val="clear" w:color="auto" w:fill="auto"/>
          </w:tcPr>
          <w:p w14:paraId="57432E85" w14:textId="77777777" w:rsidR="00D64E96" w:rsidRPr="005E3B43" w:rsidRDefault="00D64E96" w:rsidP="00763BCF">
            <w:pPr>
              <w:pStyle w:val="Tabletext"/>
            </w:pPr>
            <w:r w:rsidRPr="005E3B43">
              <w:rPr>
                <w:sz w:val="16"/>
              </w:rPr>
              <w:t>1 Nov 1994</w:t>
            </w:r>
          </w:p>
        </w:tc>
        <w:tc>
          <w:tcPr>
            <w:tcW w:w="1208" w:type="pct"/>
            <w:tcBorders>
              <w:top w:val="single" w:sz="4" w:space="0" w:color="auto"/>
              <w:bottom w:val="single" w:sz="4" w:space="0" w:color="auto"/>
            </w:tcBorders>
            <w:shd w:val="clear" w:color="auto" w:fill="auto"/>
          </w:tcPr>
          <w:p w14:paraId="475C9695" w14:textId="77777777" w:rsidR="00D64E96" w:rsidRPr="005E3B43" w:rsidRDefault="00D64E96" w:rsidP="00763BCF">
            <w:pPr>
              <w:pStyle w:val="Tabletext"/>
            </w:pPr>
            <w:r w:rsidRPr="005E3B43">
              <w:rPr>
                <w:sz w:val="16"/>
              </w:rPr>
              <w:t>—</w:t>
            </w:r>
          </w:p>
        </w:tc>
      </w:tr>
      <w:tr w:rsidR="00D64E96" w:rsidRPr="005E3B43" w14:paraId="4E1D6049" w14:textId="77777777" w:rsidTr="005A786D">
        <w:trPr>
          <w:cantSplit/>
        </w:trPr>
        <w:tc>
          <w:tcPr>
            <w:tcW w:w="1219" w:type="pct"/>
            <w:tcBorders>
              <w:top w:val="single" w:sz="4" w:space="0" w:color="auto"/>
              <w:bottom w:val="single" w:sz="4" w:space="0" w:color="auto"/>
            </w:tcBorders>
            <w:shd w:val="clear" w:color="auto" w:fill="auto"/>
          </w:tcPr>
          <w:p w14:paraId="7C19FAA2" w14:textId="77777777" w:rsidR="00D64E96" w:rsidRPr="005E3B43" w:rsidRDefault="00D64E96" w:rsidP="00763BCF">
            <w:pPr>
              <w:pStyle w:val="Tabletext"/>
            </w:pPr>
            <w:r w:rsidRPr="005E3B43">
              <w:rPr>
                <w:sz w:val="16"/>
              </w:rPr>
              <w:t>1995 No.</w:t>
            </w:r>
            <w:r w:rsidR="004E6D00" w:rsidRPr="005E3B43">
              <w:rPr>
                <w:sz w:val="16"/>
              </w:rPr>
              <w:t> </w:t>
            </w:r>
            <w:r w:rsidRPr="005E3B43">
              <w:rPr>
                <w:sz w:val="16"/>
              </w:rPr>
              <w:t>33</w:t>
            </w:r>
          </w:p>
        </w:tc>
        <w:tc>
          <w:tcPr>
            <w:tcW w:w="1286" w:type="pct"/>
            <w:tcBorders>
              <w:top w:val="single" w:sz="4" w:space="0" w:color="auto"/>
              <w:bottom w:val="single" w:sz="4" w:space="0" w:color="auto"/>
            </w:tcBorders>
            <w:shd w:val="clear" w:color="auto" w:fill="auto"/>
          </w:tcPr>
          <w:p w14:paraId="0BB1147D" w14:textId="77777777" w:rsidR="00D64E96" w:rsidRPr="005E3B43" w:rsidRDefault="00D64E96" w:rsidP="00763BCF">
            <w:pPr>
              <w:pStyle w:val="Tabletext"/>
            </w:pPr>
            <w:r w:rsidRPr="005E3B43">
              <w:rPr>
                <w:sz w:val="16"/>
              </w:rPr>
              <w:t>8 Mar 1995</w:t>
            </w:r>
          </w:p>
        </w:tc>
        <w:tc>
          <w:tcPr>
            <w:tcW w:w="1287" w:type="pct"/>
            <w:tcBorders>
              <w:top w:val="single" w:sz="4" w:space="0" w:color="auto"/>
              <w:bottom w:val="single" w:sz="4" w:space="0" w:color="auto"/>
            </w:tcBorders>
            <w:shd w:val="clear" w:color="auto" w:fill="auto"/>
          </w:tcPr>
          <w:p w14:paraId="236BA7CC" w14:textId="77777777" w:rsidR="00D64E96" w:rsidRPr="005E3B43" w:rsidRDefault="00D64E96" w:rsidP="00763BCF">
            <w:pPr>
              <w:pStyle w:val="Tabletext"/>
            </w:pPr>
            <w:r w:rsidRPr="005E3B43">
              <w:rPr>
                <w:sz w:val="16"/>
              </w:rPr>
              <w:t>8 Mar 1995</w:t>
            </w:r>
          </w:p>
        </w:tc>
        <w:tc>
          <w:tcPr>
            <w:tcW w:w="1208" w:type="pct"/>
            <w:tcBorders>
              <w:top w:val="single" w:sz="4" w:space="0" w:color="auto"/>
              <w:bottom w:val="single" w:sz="4" w:space="0" w:color="auto"/>
            </w:tcBorders>
            <w:shd w:val="clear" w:color="auto" w:fill="auto"/>
          </w:tcPr>
          <w:p w14:paraId="74111346" w14:textId="77777777" w:rsidR="00D64E96" w:rsidRPr="005E3B43" w:rsidRDefault="00D64E96" w:rsidP="00763BCF">
            <w:pPr>
              <w:pStyle w:val="Tabletext"/>
            </w:pPr>
            <w:r w:rsidRPr="005E3B43">
              <w:rPr>
                <w:sz w:val="16"/>
              </w:rPr>
              <w:t>—</w:t>
            </w:r>
          </w:p>
        </w:tc>
      </w:tr>
      <w:tr w:rsidR="00D64E96" w:rsidRPr="005E3B43" w14:paraId="6C0AC5C6" w14:textId="77777777" w:rsidTr="005A786D">
        <w:trPr>
          <w:cantSplit/>
        </w:trPr>
        <w:tc>
          <w:tcPr>
            <w:tcW w:w="1219" w:type="pct"/>
            <w:tcBorders>
              <w:top w:val="single" w:sz="4" w:space="0" w:color="auto"/>
              <w:bottom w:val="single" w:sz="4" w:space="0" w:color="auto"/>
            </w:tcBorders>
            <w:shd w:val="clear" w:color="auto" w:fill="auto"/>
          </w:tcPr>
          <w:p w14:paraId="5803B419" w14:textId="77777777" w:rsidR="00D64E96" w:rsidRPr="005E3B43" w:rsidRDefault="00D64E96" w:rsidP="00763BCF">
            <w:pPr>
              <w:pStyle w:val="Tabletext"/>
            </w:pPr>
            <w:r w:rsidRPr="005E3B43">
              <w:rPr>
                <w:sz w:val="16"/>
              </w:rPr>
              <w:t>1995 No.</w:t>
            </w:r>
            <w:r w:rsidR="004E6D00" w:rsidRPr="005E3B43">
              <w:rPr>
                <w:sz w:val="16"/>
              </w:rPr>
              <w:t> </w:t>
            </w:r>
            <w:r w:rsidRPr="005E3B43">
              <w:rPr>
                <w:sz w:val="16"/>
              </w:rPr>
              <w:t>111</w:t>
            </w:r>
          </w:p>
        </w:tc>
        <w:tc>
          <w:tcPr>
            <w:tcW w:w="1286" w:type="pct"/>
            <w:tcBorders>
              <w:top w:val="single" w:sz="4" w:space="0" w:color="auto"/>
              <w:bottom w:val="single" w:sz="4" w:space="0" w:color="auto"/>
            </w:tcBorders>
            <w:shd w:val="clear" w:color="auto" w:fill="auto"/>
          </w:tcPr>
          <w:p w14:paraId="21210C49" w14:textId="77777777" w:rsidR="00D64E96" w:rsidRPr="005E3B43" w:rsidRDefault="00D64E96" w:rsidP="00763BCF">
            <w:pPr>
              <w:pStyle w:val="Tabletext"/>
            </w:pPr>
            <w:r w:rsidRPr="005E3B43">
              <w:rPr>
                <w:sz w:val="16"/>
              </w:rPr>
              <w:t>31</w:t>
            </w:r>
            <w:r w:rsidR="004E6D00" w:rsidRPr="005E3B43">
              <w:rPr>
                <w:sz w:val="16"/>
              </w:rPr>
              <w:t> </w:t>
            </w:r>
            <w:r w:rsidRPr="005E3B43">
              <w:rPr>
                <w:sz w:val="16"/>
              </w:rPr>
              <w:t>May 1995</w:t>
            </w:r>
          </w:p>
        </w:tc>
        <w:tc>
          <w:tcPr>
            <w:tcW w:w="1287" w:type="pct"/>
            <w:tcBorders>
              <w:top w:val="single" w:sz="4" w:space="0" w:color="auto"/>
              <w:bottom w:val="single" w:sz="4" w:space="0" w:color="auto"/>
            </w:tcBorders>
            <w:shd w:val="clear" w:color="auto" w:fill="auto"/>
          </w:tcPr>
          <w:p w14:paraId="0BE100E6" w14:textId="77777777" w:rsidR="00D64E96" w:rsidRPr="005E3B43" w:rsidRDefault="00D64E96" w:rsidP="00763BCF">
            <w:pPr>
              <w:pStyle w:val="Tabletext"/>
            </w:pPr>
            <w:r w:rsidRPr="005E3B43">
              <w:rPr>
                <w:sz w:val="16"/>
              </w:rPr>
              <w:t>1</w:t>
            </w:r>
            <w:r w:rsidR="004E6D00" w:rsidRPr="005E3B43">
              <w:rPr>
                <w:sz w:val="16"/>
              </w:rPr>
              <w:t> </w:t>
            </w:r>
            <w:r w:rsidRPr="005E3B43">
              <w:rPr>
                <w:sz w:val="16"/>
              </w:rPr>
              <w:t>June 1995</w:t>
            </w:r>
          </w:p>
        </w:tc>
        <w:tc>
          <w:tcPr>
            <w:tcW w:w="1208" w:type="pct"/>
            <w:tcBorders>
              <w:top w:val="single" w:sz="4" w:space="0" w:color="auto"/>
              <w:bottom w:val="single" w:sz="4" w:space="0" w:color="auto"/>
            </w:tcBorders>
            <w:shd w:val="clear" w:color="auto" w:fill="auto"/>
          </w:tcPr>
          <w:p w14:paraId="51EC29C2" w14:textId="77777777" w:rsidR="00D64E96" w:rsidRPr="005E3B43" w:rsidRDefault="00D64E96" w:rsidP="00763BCF">
            <w:pPr>
              <w:pStyle w:val="Tabletext"/>
            </w:pPr>
            <w:r w:rsidRPr="005E3B43">
              <w:rPr>
                <w:sz w:val="16"/>
              </w:rPr>
              <w:t>—</w:t>
            </w:r>
          </w:p>
        </w:tc>
      </w:tr>
      <w:tr w:rsidR="00D64E96" w:rsidRPr="005E3B43" w14:paraId="0BE7634C" w14:textId="77777777" w:rsidTr="005A786D">
        <w:trPr>
          <w:cantSplit/>
        </w:trPr>
        <w:tc>
          <w:tcPr>
            <w:tcW w:w="1219" w:type="pct"/>
            <w:tcBorders>
              <w:top w:val="single" w:sz="4" w:space="0" w:color="auto"/>
              <w:bottom w:val="single" w:sz="4" w:space="0" w:color="auto"/>
            </w:tcBorders>
            <w:shd w:val="clear" w:color="auto" w:fill="auto"/>
          </w:tcPr>
          <w:p w14:paraId="74523603" w14:textId="77777777" w:rsidR="00D64E96" w:rsidRPr="005E3B43" w:rsidRDefault="00D64E96" w:rsidP="00763BCF">
            <w:pPr>
              <w:pStyle w:val="Tabletext"/>
            </w:pPr>
            <w:r w:rsidRPr="005E3B43">
              <w:rPr>
                <w:sz w:val="16"/>
              </w:rPr>
              <w:t>1995 No.</w:t>
            </w:r>
            <w:r w:rsidR="004E6D00" w:rsidRPr="005E3B43">
              <w:rPr>
                <w:sz w:val="16"/>
              </w:rPr>
              <w:t> </w:t>
            </w:r>
            <w:r w:rsidRPr="005E3B43">
              <w:rPr>
                <w:sz w:val="16"/>
              </w:rPr>
              <w:t>192</w:t>
            </w:r>
          </w:p>
        </w:tc>
        <w:tc>
          <w:tcPr>
            <w:tcW w:w="1286" w:type="pct"/>
            <w:tcBorders>
              <w:top w:val="single" w:sz="4" w:space="0" w:color="auto"/>
              <w:bottom w:val="single" w:sz="4" w:space="0" w:color="auto"/>
            </w:tcBorders>
            <w:shd w:val="clear" w:color="auto" w:fill="auto"/>
          </w:tcPr>
          <w:p w14:paraId="10EEFF50" w14:textId="77777777" w:rsidR="00D64E96" w:rsidRPr="005E3B43" w:rsidRDefault="00D64E96" w:rsidP="00763BCF">
            <w:pPr>
              <w:pStyle w:val="Tabletext"/>
            </w:pPr>
            <w:r w:rsidRPr="005E3B43">
              <w:rPr>
                <w:sz w:val="16"/>
              </w:rPr>
              <w:t>30</w:t>
            </w:r>
            <w:r w:rsidR="004E6D00" w:rsidRPr="005E3B43">
              <w:rPr>
                <w:sz w:val="16"/>
              </w:rPr>
              <w:t> </w:t>
            </w:r>
            <w:r w:rsidRPr="005E3B43">
              <w:rPr>
                <w:sz w:val="16"/>
              </w:rPr>
              <w:t>June 1995</w:t>
            </w:r>
          </w:p>
        </w:tc>
        <w:tc>
          <w:tcPr>
            <w:tcW w:w="1287" w:type="pct"/>
            <w:tcBorders>
              <w:top w:val="single" w:sz="4" w:space="0" w:color="auto"/>
              <w:bottom w:val="single" w:sz="4" w:space="0" w:color="auto"/>
            </w:tcBorders>
            <w:shd w:val="clear" w:color="auto" w:fill="auto"/>
          </w:tcPr>
          <w:p w14:paraId="3BC55B08" w14:textId="77777777" w:rsidR="00D64E96" w:rsidRPr="005E3B43" w:rsidRDefault="006B5D8E" w:rsidP="00763BCF">
            <w:pPr>
              <w:pStyle w:val="Tabletext"/>
            </w:pPr>
            <w:r w:rsidRPr="005E3B43">
              <w:rPr>
                <w:sz w:val="16"/>
              </w:rPr>
              <w:t>1 July</w:t>
            </w:r>
            <w:r w:rsidR="00D64E96" w:rsidRPr="005E3B43">
              <w:rPr>
                <w:sz w:val="16"/>
              </w:rPr>
              <w:t xml:space="preserve"> 1995</w:t>
            </w:r>
          </w:p>
        </w:tc>
        <w:tc>
          <w:tcPr>
            <w:tcW w:w="1208" w:type="pct"/>
            <w:tcBorders>
              <w:top w:val="single" w:sz="4" w:space="0" w:color="auto"/>
              <w:bottom w:val="single" w:sz="4" w:space="0" w:color="auto"/>
            </w:tcBorders>
            <w:shd w:val="clear" w:color="auto" w:fill="auto"/>
          </w:tcPr>
          <w:p w14:paraId="1D4219E0" w14:textId="77777777" w:rsidR="00D64E96" w:rsidRPr="005E3B43" w:rsidRDefault="00D64E96" w:rsidP="00763BCF">
            <w:pPr>
              <w:pStyle w:val="Tabletext"/>
            </w:pPr>
            <w:r w:rsidRPr="005E3B43">
              <w:rPr>
                <w:sz w:val="16"/>
              </w:rPr>
              <w:t>—</w:t>
            </w:r>
          </w:p>
        </w:tc>
      </w:tr>
      <w:tr w:rsidR="00D64E96" w:rsidRPr="005E3B43" w14:paraId="57072A09" w14:textId="77777777" w:rsidTr="005A786D">
        <w:trPr>
          <w:cantSplit/>
        </w:trPr>
        <w:tc>
          <w:tcPr>
            <w:tcW w:w="1219" w:type="pct"/>
            <w:tcBorders>
              <w:top w:val="single" w:sz="4" w:space="0" w:color="auto"/>
              <w:bottom w:val="single" w:sz="4" w:space="0" w:color="auto"/>
            </w:tcBorders>
            <w:shd w:val="clear" w:color="auto" w:fill="auto"/>
          </w:tcPr>
          <w:p w14:paraId="46D90192" w14:textId="77777777" w:rsidR="00D64E96" w:rsidRPr="005E3B43" w:rsidRDefault="00D64E96" w:rsidP="00763BCF">
            <w:pPr>
              <w:pStyle w:val="Tabletext"/>
            </w:pPr>
            <w:r w:rsidRPr="005E3B43">
              <w:rPr>
                <w:sz w:val="16"/>
              </w:rPr>
              <w:t>1995 No.</w:t>
            </w:r>
            <w:r w:rsidR="004E6D00" w:rsidRPr="005E3B43">
              <w:rPr>
                <w:sz w:val="16"/>
              </w:rPr>
              <w:t> </w:t>
            </w:r>
            <w:r w:rsidRPr="005E3B43">
              <w:rPr>
                <w:sz w:val="16"/>
              </w:rPr>
              <w:t>208</w:t>
            </w:r>
          </w:p>
        </w:tc>
        <w:tc>
          <w:tcPr>
            <w:tcW w:w="1286" w:type="pct"/>
            <w:tcBorders>
              <w:top w:val="single" w:sz="4" w:space="0" w:color="auto"/>
              <w:bottom w:val="single" w:sz="4" w:space="0" w:color="auto"/>
            </w:tcBorders>
            <w:shd w:val="clear" w:color="auto" w:fill="auto"/>
          </w:tcPr>
          <w:p w14:paraId="0E1E2944" w14:textId="77777777" w:rsidR="00D64E96" w:rsidRPr="005E3B43" w:rsidRDefault="00D64E96" w:rsidP="00763BCF">
            <w:pPr>
              <w:pStyle w:val="Tabletext"/>
            </w:pPr>
            <w:r w:rsidRPr="005E3B43">
              <w:rPr>
                <w:sz w:val="16"/>
              </w:rPr>
              <w:t>4</w:t>
            </w:r>
            <w:r w:rsidR="004E6D00" w:rsidRPr="005E3B43">
              <w:rPr>
                <w:sz w:val="16"/>
              </w:rPr>
              <w:t> </w:t>
            </w:r>
            <w:r w:rsidRPr="005E3B43">
              <w:rPr>
                <w:sz w:val="16"/>
              </w:rPr>
              <w:t>July 1995</w:t>
            </w:r>
          </w:p>
        </w:tc>
        <w:tc>
          <w:tcPr>
            <w:tcW w:w="1287" w:type="pct"/>
            <w:tcBorders>
              <w:top w:val="single" w:sz="4" w:space="0" w:color="auto"/>
              <w:bottom w:val="single" w:sz="4" w:space="0" w:color="auto"/>
            </w:tcBorders>
            <w:shd w:val="clear" w:color="auto" w:fill="auto"/>
          </w:tcPr>
          <w:p w14:paraId="3621C668" w14:textId="77777777" w:rsidR="00D64E96" w:rsidRPr="005E3B43" w:rsidRDefault="00D64E96" w:rsidP="00763BCF">
            <w:pPr>
              <w:pStyle w:val="Tabletext"/>
            </w:pPr>
            <w:r w:rsidRPr="005E3B43">
              <w:rPr>
                <w:sz w:val="16"/>
              </w:rPr>
              <w:t>rr.</w:t>
            </w:r>
            <w:r w:rsidR="004E6D00" w:rsidRPr="005E3B43">
              <w:rPr>
                <w:sz w:val="16"/>
              </w:rPr>
              <w:t> </w:t>
            </w:r>
            <w:r w:rsidRPr="005E3B43">
              <w:rPr>
                <w:sz w:val="16"/>
              </w:rPr>
              <w:t xml:space="preserve">6 and 9.3: 1 Oct 1995 </w:t>
            </w:r>
            <w:r w:rsidRPr="005E3B43">
              <w:rPr>
                <w:sz w:val="16"/>
              </w:rPr>
              <w:br/>
              <w:t>rr.</w:t>
            </w:r>
            <w:r w:rsidR="004E6D00" w:rsidRPr="005E3B43">
              <w:rPr>
                <w:sz w:val="16"/>
              </w:rPr>
              <w:t> </w:t>
            </w:r>
            <w:r w:rsidRPr="005E3B43">
              <w:rPr>
                <w:sz w:val="16"/>
              </w:rPr>
              <w:t>8, 9.2, 10.6 and 11.7: 1 Jan 1996</w:t>
            </w:r>
            <w:r w:rsidRPr="005E3B43">
              <w:rPr>
                <w:sz w:val="16"/>
              </w:rPr>
              <w:br/>
              <w:t>r. 10.7: 1 Oct 1996</w:t>
            </w:r>
            <w:r w:rsidRPr="005E3B43">
              <w:rPr>
                <w:sz w:val="16"/>
              </w:rPr>
              <w:br/>
              <w:t>rr.</w:t>
            </w:r>
            <w:r w:rsidR="004E6D00" w:rsidRPr="005E3B43">
              <w:rPr>
                <w:sz w:val="16"/>
              </w:rPr>
              <w:t> </w:t>
            </w:r>
            <w:r w:rsidRPr="005E3B43">
              <w:rPr>
                <w:sz w:val="16"/>
              </w:rPr>
              <w:t>13.2 and 14.4: 1 Jan 1997</w:t>
            </w:r>
            <w:r w:rsidRPr="005E3B43">
              <w:rPr>
                <w:sz w:val="16"/>
              </w:rPr>
              <w:br/>
              <w:t>Remainder: 4</w:t>
            </w:r>
            <w:r w:rsidR="004E6D00" w:rsidRPr="005E3B43">
              <w:rPr>
                <w:sz w:val="16"/>
              </w:rPr>
              <w:t> </w:t>
            </w:r>
            <w:r w:rsidRPr="005E3B43">
              <w:rPr>
                <w:sz w:val="16"/>
              </w:rPr>
              <w:t>July 1995</w:t>
            </w:r>
          </w:p>
        </w:tc>
        <w:tc>
          <w:tcPr>
            <w:tcW w:w="1208" w:type="pct"/>
            <w:tcBorders>
              <w:top w:val="single" w:sz="4" w:space="0" w:color="auto"/>
              <w:bottom w:val="single" w:sz="4" w:space="0" w:color="auto"/>
            </w:tcBorders>
            <w:shd w:val="clear" w:color="auto" w:fill="auto"/>
          </w:tcPr>
          <w:p w14:paraId="48C5602B" w14:textId="77777777" w:rsidR="00D64E96" w:rsidRPr="005E3B43" w:rsidRDefault="00D64E96" w:rsidP="00763BCF">
            <w:pPr>
              <w:pStyle w:val="Tabletext"/>
            </w:pPr>
            <w:r w:rsidRPr="005E3B43">
              <w:rPr>
                <w:sz w:val="16"/>
              </w:rPr>
              <w:t>r. 19</w:t>
            </w:r>
          </w:p>
        </w:tc>
      </w:tr>
      <w:tr w:rsidR="00D64E96" w:rsidRPr="005E3B43" w14:paraId="5386ED7D" w14:textId="77777777" w:rsidTr="005A786D">
        <w:trPr>
          <w:cantSplit/>
        </w:trPr>
        <w:tc>
          <w:tcPr>
            <w:tcW w:w="1219" w:type="pct"/>
            <w:tcBorders>
              <w:top w:val="single" w:sz="4" w:space="0" w:color="auto"/>
              <w:bottom w:val="single" w:sz="4" w:space="0" w:color="auto"/>
            </w:tcBorders>
            <w:shd w:val="clear" w:color="auto" w:fill="auto"/>
          </w:tcPr>
          <w:p w14:paraId="48E481FF" w14:textId="77777777" w:rsidR="00D64E96" w:rsidRPr="005E3B43" w:rsidRDefault="00D64E96" w:rsidP="00763BCF">
            <w:pPr>
              <w:pStyle w:val="Tabletext"/>
            </w:pPr>
            <w:r w:rsidRPr="005E3B43">
              <w:rPr>
                <w:sz w:val="16"/>
              </w:rPr>
              <w:t>1995 No.</w:t>
            </w:r>
            <w:r w:rsidR="004E6D00" w:rsidRPr="005E3B43">
              <w:rPr>
                <w:sz w:val="16"/>
              </w:rPr>
              <w:t> </w:t>
            </w:r>
            <w:r w:rsidRPr="005E3B43">
              <w:rPr>
                <w:sz w:val="16"/>
              </w:rPr>
              <w:t>253</w:t>
            </w:r>
          </w:p>
        </w:tc>
        <w:tc>
          <w:tcPr>
            <w:tcW w:w="1286" w:type="pct"/>
            <w:tcBorders>
              <w:top w:val="single" w:sz="4" w:space="0" w:color="auto"/>
              <w:bottom w:val="single" w:sz="4" w:space="0" w:color="auto"/>
            </w:tcBorders>
            <w:shd w:val="clear" w:color="auto" w:fill="auto"/>
          </w:tcPr>
          <w:p w14:paraId="015BEE9B" w14:textId="77777777" w:rsidR="00D64E96" w:rsidRPr="005E3B43" w:rsidRDefault="00D64E96" w:rsidP="00763BCF">
            <w:pPr>
              <w:pStyle w:val="Tabletext"/>
            </w:pPr>
            <w:r w:rsidRPr="005E3B43">
              <w:rPr>
                <w:sz w:val="16"/>
              </w:rPr>
              <w:t>29 Aug 1995</w:t>
            </w:r>
          </w:p>
        </w:tc>
        <w:tc>
          <w:tcPr>
            <w:tcW w:w="1287" w:type="pct"/>
            <w:tcBorders>
              <w:top w:val="single" w:sz="4" w:space="0" w:color="auto"/>
              <w:bottom w:val="single" w:sz="4" w:space="0" w:color="auto"/>
            </w:tcBorders>
            <w:shd w:val="clear" w:color="auto" w:fill="auto"/>
          </w:tcPr>
          <w:p w14:paraId="3EDD510D" w14:textId="77777777" w:rsidR="00D64E96" w:rsidRPr="005E3B43" w:rsidRDefault="00D64E96" w:rsidP="00763BCF">
            <w:pPr>
              <w:pStyle w:val="Tabletext"/>
            </w:pPr>
            <w:r w:rsidRPr="005E3B43">
              <w:rPr>
                <w:sz w:val="16"/>
              </w:rPr>
              <w:t>29 Aug 1995</w:t>
            </w:r>
          </w:p>
        </w:tc>
        <w:tc>
          <w:tcPr>
            <w:tcW w:w="1208" w:type="pct"/>
            <w:tcBorders>
              <w:top w:val="single" w:sz="4" w:space="0" w:color="auto"/>
              <w:bottom w:val="single" w:sz="4" w:space="0" w:color="auto"/>
            </w:tcBorders>
            <w:shd w:val="clear" w:color="auto" w:fill="auto"/>
          </w:tcPr>
          <w:p w14:paraId="4B7B4806" w14:textId="77777777" w:rsidR="00D64E96" w:rsidRPr="005E3B43" w:rsidRDefault="00D64E96" w:rsidP="00763BCF">
            <w:pPr>
              <w:pStyle w:val="Tabletext"/>
            </w:pPr>
            <w:r w:rsidRPr="005E3B43">
              <w:rPr>
                <w:sz w:val="16"/>
              </w:rPr>
              <w:t>—</w:t>
            </w:r>
          </w:p>
        </w:tc>
      </w:tr>
      <w:tr w:rsidR="00D64E96" w:rsidRPr="005E3B43" w14:paraId="3DC05596" w14:textId="77777777" w:rsidTr="005A786D">
        <w:trPr>
          <w:cantSplit/>
        </w:trPr>
        <w:tc>
          <w:tcPr>
            <w:tcW w:w="1219" w:type="pct"/>
            <w:tcBorders>
              <w:top w:val="single" w:sz="4" w:space="0" w:color="auto"/>
              <w:bottom w:val="single" w:sz="4" w:space="0" w:color="auto"/>
            </w:tcBorders>
            <w:shd w:val="clear" w:color="auto" w:fill="auto"/>
          </w:tcPr>
          <w:p w14:paraId="7A51B00B" w14:textId="77777777" w:rsidR="00D64E96" w:rsidRPr="005E3B43" w:rsidRDefault="00D64E96" w:rsidP="00763BCF">
            <w:pPr>
              <w:pStyle w:val="Tabletext"/>
            </w:pPr>
            <w:r w:rsidRPr="005E3B43">
              <w:rPr>
                <w:sz w:val="16"/>
              </w:rPr>
              <w:t>1995 No.</w:t>
            </w:r>
            <w:r w:rsidR="004E6D00" w:rsidRPr="005E3B43">
              <w:rPr>
                <w:sz w:val="16"/>
              </w:rPr>
              <w:t> </w:t>
            </w:r>
            <w:r w:rsidRPr="005E3B43">
              <w:rPr>
                <w:sz w:val="16"/>
              </w:rPr>
              <w:t>320</w:t>
            </w:r>
          </w:p>
        </w:tc>
        <w:tc>
          <w:tcPr>
            <w:tcW w:w="1286" w:type="pct"/>
            <w:tcBorders>
              <w:top w:val="single" w:sz="4" w:space="0" w:color="auto"/>
              <w:bottom w:val="single" w:sz="4" w:space="0" w:color="auto"/>
            </w:tcBorders>
            <w:shd w:val="clear" w:color="auto" w:fill="auto"/>
          </w:tcPr>
          <w:p w14:paraId="2ADB9BD2" w14:textId="77777777" w:rsidR="00D64E96" w:rsidRPr="005E3B43" w:rsidRDefault="00D64E96" w:rsidP="00763BCF">
            <w:pPr>
              <w:pStyle w:val="Tabletext"/>
            </w:pPr>
            <w:r w:rsidRPr="005E3B43">
              <w:rPr>
                <w:sz w:val="16"/>
              </w:rPr>
              <w:t>3 Nov 1995</w:t>
            </w:r>
          </w:p>
        </w:tc>
        <w:tc>
          <w:tcPr>
            <w:tcW w:w="1287" w:type="pct"/>
            <w:tcBorders>
              <w:top w:val="single" w:sz="4" w:space="0" w:color="auto"/>
              <w:bottom w:val="single" w:sz="4" w:space="0" w:color="auto"/>
            </w:tcBorders>
            <w:shd w:val="clear" w:color="auto" w:fill="auto"/>
          </w:tcPr>
          <w:p w14:paraId="45F58AA6" w14:textId="77777777" w:rsidR="00D64E96" w:rsidRPr="005E3B43" w:rsidRDefault="00D64E96" w:rsidP="00763BCF">
            <w:pPr>
              <w:pStyle w:val="Tabletext"/>
            </w:pPr>
            <w:r w:rsidRPr="005E3B43">
              <w:rPr>
                <w:sz w:val="16"/>
              </w:rPr>
              <w:t>3 Nov 1995</w:t>
            </w:r>
          </w:p>
        </w:tc>
        <w:tc>
          <w:tcPr>
            <w:tcW w:w="1208" w:type="pct"/>
            <w:tcBorders>
              <w:top w:val="single" w:sz="4" w:space="0" w:color="auto"/>
              <w:bottom w:val="single" w:sz="4" w:space="0" w:color="auto"/>
            </w:tcBorders>
            <w:shd w:val="clear" w:color="auto" w:fill="auto"/>
          </w:tcPr>
          <w:p w14:paraId="77D4E774" w14:textId="77777777" w:rsidR="00D64E96" w:rsidRPr="005E3B43" w:rsidRDefault="00D64E96" w:rsidP="00763BCF">
            <w:pPr>
              <w:pStyle w:val="Tabletext"/>
            </w:pPr>
            <w:r w:rsidRPr="005E3B43">
              <w:rPr>
                <w:sz w:val="16"/>
              </w:rPr>
              <w:t>—</w:t>
            </w:r>
          </w:p>
        </w:tc>
      </w:tr>
      <w:tr w:rsidR="00D64E96" w:rsidRPr="005E3B43" w14:paraId="4D91C6B3" w14:textId="77777777" w:rsidTr="005A786D">
        <w:trPr>
          <w:cantSplit/>
        </w:trPr>
        <w:tc>
          <w:tcPr>
            <w:tcW w:w="1219" w:type="pct"/>
            <w:tcBorders>
              <w:top w:val="single" w:sz="4" w:space="0" w:color="auto"/>
              <w:bottom w:val="single" w:sz="4" w:space="0" w:color="auto"/>
            </w:tcBorders>
            <w:shd w:val="clear" w:color="auto" w:fill="auto"/>
          </w:tcPr>
          <w:p w14:paraId="16A02C7E" w14:textId="77777777" w:rsidR="00D64E96" w:rsidRPr="005E3B43" w:rsidRDefault="00D64E96" w:rsidP="00763BCF">
            <w:pPr>
              <w:pStyle w:val="Tabletext"/>
            </w:pPr>
            <w:r w:rsidRPr="005E3B43">
              <w:rPr>
                <w:sz w:val="16"/>
              </w:rPr>
              <w:t>1995 No.</w:t>
            </w:r>
            <w:r w:rsidR="004E6D00" w:rsidRPr="005E3B43">
              <w:rPr>
                <w:sz w:val="16"/>
              </w:rPr>
              <w:t> </w:t>
            </w:r>
            <w:r w:rsidRPr="005E3B43">
              <w:rPr>
                <w:sz w:val="16"/>
              </w:rPr>
              <w:t>328</w:t>
            </w:r>
          </w:p>
        </w:tc>
        <w:tc>
          <w:tcPr>
            <w:tcW w:w="1286" w:type="pct"/>
            <w:tcBorders>
              <w:top w:val="single" w:sz="4" w:space="0" w:color="auto"/>
              <w:bottom w:val="single" w:sz="4" w:space="0" w:color="auto"/>
            </w:tcBorders>
            <w:shd w:val="clear" w:color="auto" w:fill="auto"/>
          </w:tcPr>
          <w:p w14:paraId="19D79ED0" w14:textId="77777777" w:rsidR="00D64E96" w:rsidRPr="005E3B43" w:rsidRDefault="00D64E96" w:rsidP="00763BCF">
            <w:pPr>
              <w:pStyle w:val="Tabletext"/>
            </w:pPr>
            <w:r w:rsidRPr="005E3B43">
              <w:rPr>
                <w:sz w:val="16"/>
              </w:rPr>
              <w:t>3 Nov 1995</w:t>
            </w:r>
          </w:p>
        </w:tc>
        <w:tc>
          <w:tcPr>
            <w:tcW w:w="1287" w:type="pct"/>
            <w:tcBorders>
              <w:top w:val="single" w:sz="4" w:space="0" w:color="auto"/>
              <w:bottom w:val="single" w:sz="4" w:space="0" w:color="auto"/>
            </w:tcBorders>
            <w:shd w:val="clear" w:color="auto" w:fill="auto"/>
          </w:tcPr>
          <w:p w14:paraId="7FF45E83" w14:textId="77777777" w:rsidR="00D64E96" w:rsidRPr="005E3B43" w:rsidRDefault="00D64E96" w:rsidP="00763BCF">
            <w:pPr>
              <w:pStyle w:val="Tabletext"/>
            </w:pPr>
            <w:r w:rsidRPr="005E3B43">
              <w:rPr>
                <w:sz w:val="16"/>
              </w:rPr>
              <w:t>6 Nov 1995 (</w:t>
            </w:r>
            <w:r w:rsidRPr="005E3B43">
              <w:rPr>
                <w:i/>
                <w:sz w:val="16"/>
              </w:rPr>
              <w:t xml:space="preserve">see </w:t>
            </w:r>
            <w:r w:rsidRPr="005E3B43">
              <w:rPr>
                <w:sz w:val="16"/>
              </w:rPr>
              <w:t xml:space="preserve">r. 1 and </w:t>
            </w:r>
            <w:r w:rsidRPr="005E3B43">
              <w:rPr>
                <w:i/>
                <w:sz w:val="16"/>
              </w:rPr>
              <w:t xml:space="preserve">Gazette </w:t>
            </w:r>
            <w:r w:rsidRPr="005E3B43">
              <w:rPr>
                <w:sz w:val="16"/>
              </w:rPr>
              <w:t>1995, No. S423)</w:t>
            </w:r>
          </w:p>
        </w:tc>
        <w:tc>
          <w:tcPr>
            <w:tcW w:w="1208" w:type="pct"/>
            <w:tcBorders>
              <w:top w:val="single" w:sz="4" w:space="0" w:color="auto"/>
              <w:bottom w:val="single" w:sz="4" w:space="0" w:color="auto"/>
            </w:tcBorders>
            <w:shd w:val="clear" w:color="auto" w:fill="auto"/>
          </w:tcPr>
          <w:p w14:paraId="5CDAB655" w14:textId="77777777" w:rsidR="00D64E96" w:rsidRPr="005E3B43" w:rsidRDefault="00D64E96" w:rsidP="00763BCF">
            <w:pPr>
              <w:pStyle w:val="Tabletext"/>
            </w:pPr>
            <w:r w:rsidRPr="005E3B43">
              <w:rPr>
                <w:sz w:val="16"/>
              </w:rPr>
              <w:t>—</w:t>
            </w:r>
          </w:p>
        </w:tc>
      </w:tr>
      <w:tr w:rsidR="00D64E96" w:rsidRPr="005E3B43" w14:paraId="092C86CA" w14:textId="77777777" w:rsidTr="005A786D">
        <w:trPr>
          <w:cantSplit/>
        </w:trPr>
        <w:tc>
          <w:tcPr>
            <w:tcW w:w="1219" w:type="pct"/>
            <w:tcBorders>
              <w:top w:val="single" w:sz="4" w:space="0" w:color="auto"/>
              <w:bottom w:val="single" w:sz="4" w:space="0" w:color="auto"/>
            </w:tcBorders>
            <w:shd w:val="clear" w:color="auto" w:fill="auto"/>
          </w:tcPr>
          <w:p w14:paraId="6C80A97A" w14:textId="77777777" w:rsidR="00D64E96" w:rsidRPr="005E3B43" w:rsidRDefault="00D64E96" w:rsidP="00763BCF">
            <w:pPr>
              <w:pStyle w:val="Tabletext"/>
            </w:pPr>
            <w:r w:rsidRPr="005E3B43">
              <w:rPr>
                <w:sz w:val="16"/>
              </w:rPr>
              <w:t>1996 No.</w:t>
            </w:r>
            <w:r w:rsidR="004E6D00" w:rsidRPr="005E3B43">
              <w:rPr>
                <w:sz w:val="16"/>
              </w:rPr>
              <w:t> </w:t>
            </w:r>
            <w:r w:rsidRPr="005E3B43">
              <w:rPr>
                <w:sz w:val="16"/>
              </w:rPr>
              <w:t>9</w:t>
            </w:r>
          </w:p>
        </w:tc>
        <w:tc>
          <w:tcPr>
            <w:tcW w:w="1286" w:type="pct"/>
            <w:tcBorders>
              <w:top w:val="single" w:sz="4" w:space="0" w:color="auto"/>
              <w:bottom w:val="single" w:sz="4" w:space="0" w:color="auto"/>
            </w:tcBorders>
            <w:shd w:val="clear" w:color="auto" w:fill="auto"/>
          </w:tcPr>
          <w:p w14:paraId="1EF28F1B" w14:textId="77777777" w:rsidR="00D64E96" w:rsidRPr="005E3B43" w:rsidRDefault="00D64E96" w:rsidP="00763BCF">
            <w:pPr>
              <w:pStyle w:val="Tabletext"/>
            </w:pPr>
            <w:r w:rsidRPr="005E3B43">
              <w:rPr>
                <w:sz w:val="16"/>
              </w:rPr>
              <w:t>31 Jan 1996</w:t>
            </w:r>
          </w:p>
        </w:tc>
        <w:tc>
          <w:tcPr>
            <w:tcW w:w="1287" w:type="pct"/>
            <w:tcBorders>
              <w:top w:val="single" w:sz="4" w:space="0" w:color="auto"/>
              <w:bottom w:val="single" w:sz="4" w:space="0" w:color="auto"/>
            </w:tcBorders>
            <w:shd w:val="clear" w:color="auto" w:fill="auto"/>
          </w:tcPr>
          <w:p w14:paraId="5A68B3EE" w14:textId="77777777" w:rsidR="00D64E96" w:rsidRPr="005E3B43" w:rsidRDefault="00D64E96" w:rsidP="00763BCF">
            <w:pPr>
              <w:pStyle w:val="Tabletext"/>
            </w:pPr>
            <w:r w:rsidRPr="005E3B43">
              <w:rPr>
                <w:sz w:val="16"/>
              </w:rPr>
              <w:t>31 Jan 1996</w:t>
            </w:r>
          </w:p>
        </w:tc>
        <w:tc>
          <w:tcPr>
            <w:tcW w:w="1208" w:type="pct"/>
            <w:tcBorders>
              <w:top w:val="single" w:sz="4" w:space="0" w:color="auto"/>
              <w:bottom w:val="single" w:sz="4" w:space="0" w:color="auto"/>
            </w:tcBorders>
            <w:shd w:val="clear" w:color="auto" w:fill="auto"/>
          </w:tcPr>
          <w:p w14:paraId="7DCBA958" w14:textId="77777777" w:rsidR="00D64E96" w:rsidRPr="005E3B43" w:rsidRDefault="00D64E96" w:rsidP="00763BCF">
            <w:pPr>
              <w:pStyle w:val="Tabletext"/>
            </w:pPr>
            <w:r w:rsidRPr="005E3B43">
              <w:rPr>
                <w:sz w:val="16"/>
              </w:rPr>
              <w:t>—</w:t>
            </w:r>
          </w:p>
        </w:tc>
      </w:tr>
      <w:tr w:rsidR="00D64E96" w:rsidRPr="005E3B43" w14:paraId="63050812" w14:textId="77777777" w:rsidTr="005A786D">
        <w:trPr>
          <w:cantSplit/>
        </w:trPr>
        <w:tc>
          <w:tcPr>
            <w:tcW w:w="1219" w:type="pct"/>
            <w:tcBorders>
              <w:top w:val="single" w:sz="4" w:space="0" w:color="auto"/>
              <w:bottom w:val="single" w:sz="4" w:space="0" w:color="auto"/>
            </w:tcBorders>
            <w:shd w:val="clear" w:color="auto" w:fill="auto"/>
          </w:tcPr>
          <w:p w14:paraId="0C3BA391" w14:textId="77777777" w:rsidR="00D64E96" w:rsidRPr="005E3B43" w:rsidRDefault="00D64E96" w:rsidP="00763BCF">
            <w:pPr>
              <w:pStyle w:val="Tabletext"/>
            </w:pPr>
            <w:r w:rsidRPr="005E3B43">
              <w:rPr>
                <w:sz w:val="16"/>
              </w:rPr>
              <w:t>1996 No.</w:t>
            </w:r>
            <w:r w:rsidR="004E6D00" w:rsidRPr="005E3B43">
              <w:rPr>
                <w:sz w:val="16"/>
              </w:rPr>
              <w:t> </w:t>
            </w:r>
            <w:r w:rsidRPr="005E3B43">
              <w:rPr>
                <w:sz w:val="16"/>
              </w:rPr>
              <w:t>25</w:t>
            </w:r>
          </w:p>
        </w:tc>
        <w:tc>
          <w:tcPr>
            <w:tcW w:w="1286" w:type="pct"/>
            <w:tcBorders>
              <w:top w:val="single" w:sz="4" w:space="0" w:color="auto"/>
              <w:bottom w:val="single" w:sz="4" w:space="0" w:color="auto"/>
            </w:tcBorders>
            <w:shd w:val="clear" w:color="auto" w:fill="auto"/>
          </w:tcPr>
          <w:p w14:paraId="66FE9D48" w14:textId="77777777" w:rsidR="00D64E96" w:rsidRPr="005E3B43" w:rsidRDefault="00D64E96" w:rsidP="00763BCF">
            <w:pPr>
              <w:pStyle w:val="Tabletext"/>
            </w:pPr>
            <w:r w:rsidRPr="005E3B43">
              <w:rPr>
                <w:sz w:val="16"/>
              </w:rPr>
              <w:t>5 Feb 1996</w:t>
            </w:r>
          </w:p>
        </w:tc>
        <w:tc>
          <w:tcPr>
            <w:tcW w:w="1287" w:type="pct"/>
            <w:tcBorders>
              <w:top w:val="single" w:sz="4" w:space="0" w:color="auto"/>
              <w:bottom w:val="single" w:sz="4" w:space="0" w:color="auto"/>
            </w:tcBorders>
            <w:shd w:val="clear" w:color="auto" w:fill="auto"/>
          </w:tcPr>
          <w:p w14:paraId="50E4C86B" w14:textId="77777777" w:rsidR="00D64E96" w:rsidRPr="005E3B43" w:rsidRDefault="00D64E96" w:rsidP="00763BCF">
            <w:pPr>
              <w:pStyle w:val="Tabletext"/>
            </w:pPr>
            <w:r w:rsidRPr="005E3B43">
              <w:rPr>
                <w:sz w:val="16"/>
              </w:rPr>
              <w:t>5 Feb 1996</w:t>
            </w:r>
            <w:r w:rsidR="00C87AA8" w:rsidRPr="005E3B43">
              <w:rPr>
                <w:sz w:val="16"/>
              </w:rPr>
              <w:br/>
              <w:t xml:space="preserve">Note: disallowed by the </w:t>
            </w:r>
            <w:r w:rsidR="00665930" w:rsidRPr="005E3B43">
              <w:rPr>
                <w:sz w:val="16"/>
              </w:rPr>
              <w:t xml:space="preserve">House of Representatives </w:t>
            </w:r>
            <w:r w:rsidR="00C87AA8" w:rsidRPr="005E3B43">
              <w:rPr>
                <w:sz w:val="16"/>
              </w:rPr>
              <w:t>on 10 Sept 1996</w:t>
            </w:r>
          </w:p>
        </w:tc>
        <w:tc>
          <w:tcPr>
            <w:tcW w:w="1208" w:type="pct"/>
            <w:tcBorders>
              <w:top w:val="single" w:sz="4" w:space="0" w:color="auto"/>
              <w:bottom w:val="single" w:sz="4" w:space="0" w:color="auto"/>
            </w:tcBorders>
            <w:shd w:val="clear" w:color="auto" w:fill="auto"/>
          </w:tcPr>
          <w:p w14:paraId="73E994F9" w14:textId="77777777" w:rsidR="00D64E96" w:rsidRPr="005E3B43" w:rsidRDefault="00D64E96" w:rsidP="00763BCF">
            <w:pPr>
              <w:pStyle w:val="Tabletext"/>
            </w:pPr>
            <w:r w:rsidRPr="005E3B43">
              <w:rPr>
                <w:sz w:val="16"/>
              </w:rPr>
              <w:t>—</w:t>
            </w:r>
          </w:p>
        </w:tc>
      </w:tr>
      <w:tr w:rsidR="00D64E96" w:rsidRPr="005E3B43" w14:paraId="3B9F208D" w14:textId="77777777" w:rsidTr="005A786D">
        <w:trPr>
          <w:cantSplit/>
        </w:trPr>
        <w:tc>
          <w:tcPr>
            <w:tcW w:w="1219" w:type="pct"/>
            <w:tcBorders>
              <w:top w:val="single" w:sz="4" w:space="0" w:color="auto"/>
              <w:bottom w:val="single" w:sz="4" w:space="0" w:color="auto"/>
            </w:tcBorders>
            <w:shd w:val="clear" w:color="auto" w:fill="auto"/>
          </w:tcPr>
          <w:p w14:paraId="53137EDE" w14:textId="77777777" w:rsidR="00D64E96" w:rsidRPr="005E3B43" w:rsidRDefault="00D64E96" w:rsidP="00763BCF">
            <w:pPr>
              <w:pStyle w:val="Tabletext"/>
            </w:pPr>
            <w:r w:rsidRPr="005E3B43">
              <w:rPr>
                <w:sz w:val="16"/>
              </w:rPr>
              <w:t>1996 No.</w:t>
            </w:r>
            <w:r w:rsidR="004E6D00" w:rsidRPr="005E3B43">
              <w:rPr>
                <w:sz w:val="16"/>
              </w:rPr>
              <w:t> </w:t>
            </w:r>
            <w:r w:rsidRPr="005E3B43">
              <w:rPr>
                <w:sz w:val="16"/>
              </w:rPr>
              <w:t>131</w:t>
            </w:r>
          </w:p>
        </w:tc>
        <w:tc>
          <w:tcPr>
            <w:tcW w:w="1286" w:type="pct"/>
            <w:tcBorders>
              <w:top w:val="single" w:sz="4" w:space="0" w:color="auto"/>
              <w:bottom w:val="single" w:sz="4" w:space="0" w:color="auto"/>
            </w:tcBorders>
            <w:shd w:val="clear" w:color="auto" w:fill="auto"/>
          </w:tcPr>
          <w:p w14:paraId="2DF6ECCE" w14:textId="77777777" w:rsidR="00D64E96" w:rsidRPr="005E3B43" w:rsidRDefault="006B5D8E" w:rsidP="00763BCF">
            <w:pPr>
              <w:pStyle w:val="Tabletext"/>
            </w:pPr>
            <w:r w:rsidRPr="005E3B43">
              <w:rPr>
                <w:sz w:val="16"/>
              </w:rPr>
              <w:t>28 June</w:t>
            </w:r>
            <w:r w:rsidR="00D64E96" w:rsidRPr="005E3B43">
              <w:rPr>
                <w:sz w:val="16"/>
              </w:rPr>
              <w:t xml:space="preserve"> 1996</w:t>
            </w:r>
          </w:p>
        </w:tc>
        <w:tc>
          <w:tcPr>
            <w:tcW w:w="1287" w:type="pct"/>
            <w:tcBorders>
              <w:top w:val="single" w:sz="4" w:space="0" w:color="auto"/>
              <w:bottom w:val="single" w:sz="4" w:space="0" w:color="auto"/>
            </w:tcBorders>
            <w:shd w:val="clear" w:color="auto" w:fill="auto"/>
          </w:tcPr>
          <w:p w14:paraId="74E772B9" w14:textId="77777777" w:rsidR="00D64E96" w:rsidRPr="005E3B43" w:rsidRDefault="006B5D8E" w:rsidP="00763BCF">
            <w:pPr>
              <w:pStyle w:val="Tabletext"/>
            </w:pPr>
            <w:r w:rsidRPr="005E3B43">
              <w:rPr>
                <w:sz w:val="16"/>
              </w:rPr>
              <w:t>1 July</w:t>
            </w:r>
            <w:r w:rsidR="00D64E96" w:rsidRPr="005E3B43">
              <w:rPr>
                <w:sz w:val="16"/>
              </w:rPr>
              <w:t xml:space="preserve"> 1996</w:t>
            </w:r>
          </w:p>
        </w:tc>
        <w:tc>
          <w:tcPr>
            <w:tcW w:w="1208" w:type="pct"/>
            <w:tcBorders>
              <w:top w:val="single" w:sz="4" w:space="0" w:color="auto"/>
              <w:bottom w:val="single" w:sz="4" w:space="0" w:color="auto"/>
            </w:tcBorders>
            <w:shd w:val="clear" w:color="auto" w:fill="auto"/>
          </w:tcPr>
          <w:p w14:paraId="6E2925E1" w14:textId="77777777" w:rsidR="00D64E96" w:rsidRPr="005E3B43" w:rsidRDefault="00D64E96" w:rsidP="00763BCF">
            <w:pPr>
              <w:pStyle w:val="Tabletext"/>
            </w:pPr>
            <w:r w:rsidRPr="005E3B43">
              <w:rPr>
                <w:sz w:val="16"/>
              </w:rPr>
              <w:t>—</w:t>
            </w:r>
          </w:p>
        </w:tc>
      </w:tr>
      <w:tr w:rsidR="00D64E96" w:rsidRPr="005E3B43" w14:paraId="507769F7" w14:textId="77777777" w:rsidTr="005A786D">
        <w:trPr>
          <w:cantSplit/>
        </w:trPr>
        <w:tc>
          <w:tcPr>
            <w:tcW w:w="1219" w:type="pct"/>
            <w:tcBorders>
              <w:top w:val="single" w:sz="4" w:space="0" w:color="auto"/>
              <w:bottom w:val="single" w:sz="4" w:space="0" w:color="auto"/>
            </w:tcBorders>
            <w:shd w:val="clear" w:color="auto" w:fill="auto"/>
          </w:tcPr>
          <w:p w14:paraId="62B085C8" w14:textId="77777777" w:rsidR="00D64E96" w:rsidRPr="005E3B43" w:rsidRDefault="00D64E96" w:rsidP="00763BCF">
            <w:pPr>
              <w:pStyle w:val="Tabletext"/>
            </w:pPr>
            <w:r w:rsidRPr="005E3B43">
              <w:rPr>
                <w:sz w:val="16"/>
              </w:rPr>
              <w:t>1996 No.</w:t>
            </w:r>
            <w:r w:rsidR="004E6D00" w:rsidRPr="005E3B43">
              <w:rPr>
                <w:sz w:val="16"/>
              </w:rPr>
              <w:t> </w:t>
            </w:r>
            <w:r w:rsidRPr="005E3B43">
              <w:rPr>
                <w:sz w:val="16"/>
              </w:rPr>
              <w:t>200</w:t>
            </w:r>
          </w:p>
        </w:tc>
        <w:tc>
          <w:tcPr>
            <w:tcW w:w="1286" w:type="pct"/>
            <w:tcBorders>
              <w:top w:val="single" w:sz="4" w:space="0" w:color="auto"/>
              <w:bottom w:val="single" w:sz="4" w:space="0" w:color="auto"/>
            </w:tcBorders>
            <w:shd w:val="clear" w:color="auto" w:fill="auto"/>
          </w:tcPr>
          <w:p w14:paraId="29092B37" w14:textId="77777777" w:rsidR="00D64E96" w:rsidRPr="005E3B43" w:rsidRDefault="00D64E96" w:rsidP="00763BCF">
            <w:pPr>
              <w:pStyle w:val="Tabletext"/>
            </w:pPr>
            <w:r w:rsidRPr="005E3B43">
              <w:rPr>
                <w:sz w:val="16"/>
              </w:rPr>
              <w:t>11 Sept 1996</w:t>
            </w:r>
          </w:p>
        </w:tc>
        <w:tc>
          <w:tcPr>
            <w:tcW w:w="1287" w:type="pct"/>
            <w:tcBorders>
              <w:top w:val="single" w:sz="4" w:space="0" w:color="auto"/>
              <w:bottom w:val="single" w:sz="4" w:space="0" w:color="auto"/>
            </w:tcBorders>
            <w:shd w:val="clear" w:color="auto" w:fill="auto"/>
          </w:tcPr>
          <w:p w14:paraId="5FCBA37D" w14:textId="77777777" w:rsidR="00D64E96" w:rsidRPr="005E3B43" w:rsidRDefault="00D64E96" w:rsidP="00763BCF">
            <w:pPr>
              <w:pStyle w:val="Tabletext"/>
            </w:pPr>
            <w:r w:rsidRPr="005E3B43">
              <w:rPr>
                <w:sz w:val="16"/>
              </w:rPr>
              <w:t>11 Sept 1996</w:t>
            </w:r>
          </w:p>
        </w:tc>
        <w:tc>
          <w:tcPr>
            <w:tcW w:w="1208" w:type="pct"/>
            <w:tcBorders>
              <w:top w:val="single" w:sz="4" w:space="0" w:color="auto"/>
              <w:bottom w:val="single" w:sz="4" w:space="0" w:color="auto"/>
            </w:tcBorders>
            <w:shd w:val="clear" w:color="auto" w:fill="auto"/>
          </w:tcPr>
          <w:p w14:paraId="224BC954" w14:textId="77777777" w:rsidR="00D64E96" w:rsidRPr="005E3B43" w:rsidRDefault="00D64E96" w:rsidP="00763BCF">
            <w:pPr>
              <w:pStyle w:val="Tabletext"/>
            </w:pPr>
            <w:r w:rsidRPr="005E3B43">
              <w:rPr>
                <w:sz w:val="16"/>
              </w:rPr>
              <w:t>—</w:t>
            </w:r>
          </w:p>
        </w:tc>
      </w:tr>
      <w:tr w:rsidR="00D64E96" w:rsidRPr="005E3B43" w14:paraId="7844B478" w14:textId="77777777" w:rsidTr="005A786D">
        <w:trPr>
          <w:cantSplit/>
        </w:trPr>
        <w:tc>
          <w:tcPr>
            <w:tcW w:w="1219" w:type="pct"/>
            <w:tcBorders>
              <w:top w:val="single" w:sz="4" w:space="0" w:color="auto"/>
              <w:bottom w:val="single" w:sz="4" w:space="0" w:color="auto"/>
            </w:tcBorders>
            <w:shd w:val="clear" w:color="auto" w:fill="auto"/>
          </w:tcPr>
          <w:p w14:paraId="10290964" w14:textId="77777777" w:rsidR="00D64E96" w:rsidRPr="005E3B43" w:rsidRDefault="00D64E96" w:rsidP="00763BCF">
            <w:pPr>
              <w:pStyle w:val="Tabletext"/>
            </w:pPr>
            <w:r w:rsidRPr="005E3B43">
              <w:rPr>
                <w:sz w:val="16"/>
              </w:rPr>
              <w:t>1996 No.</w:t>
            </w:r>
            <w:r w:rsidR="004E6D00" w:rsidRPr="005E3B43">
              <w:rPr>
                <w:sz w:val="16"/>
              </w:rPr>
              <w:t> </w:t>
            </w:r>
            <w:r w:rsidRPr="005E3B43">
              <w:rPr>
                <w:sz w:val="16"/>
              </w:rPr>
              <w:t>208</w:t>
            </w:r>
          </w:p>
        </w:tc>
        <w:tc>
          <w:tcPr>
            <w:tcW w:w="1286" w:type="pct"/>
            <w:tcBorders>
              <w:top w:val="single" w:sz="4" w:space="0" w:color="auto"/>
              <w:bottom w:val="single" w:sz="4" w:space="0" w:color="auto"/>
            </w:tcBorders>
            <w:shd w:val="clear" w:color="auto" w:fill="auto"/>
          </w:tcPr>
          <w:p w14:paraId="115A00F2" w14:textId="77777777" w:rsidR="00D64E96" w:rsidRPr="005E3B43" w:rsidRDefault="00D64E96" w:rsidP="00763BCF">
            <w:pPr>
              <w:pStyle w:val="Tabletext"/>
            </w:pPr>
            <w:r w:rsidRPr="005E3B43">
              <w:rPr>
                <w:sz w:val="16"/>
              </w:rPr>
              <w:t>26 Sept 1996</w:t>
            </w:r>
          </w:p>
        </w:tc>
        <w:tc>
          <w:tcPr>
            <w:tcW w:w="1287" w:type="pct"/>
            <w:tcBorders>
              <w:top w:val="single" w:sz="4" w:space="0" w:color="auto"/>
              <w:bottom w:val="single" w:sz="4" w:space="0" w:color="auto"/>
            </w:tcBorders>
            <w:shd w:val="clear" w:color="auto" w:fill="auto"/>
          </w:tcPr>
          <w:p w14:paraId="44E2FF8F" w14:textId="77777777" w:rsidR="00D64E96" w:rsidRPr="005E3B43" w:rsidRDefault="00D64E96" w:rsidP="00763BCF">
            <w:pPr>
              <w:pStyle w:val="Tabletext"/>
            </w:pPr>
            <w:r w:rsidRPr="005E3B43">
              <w:rPr>
                <w:sz w:val="16"/>
              </w:rPr>
              <w:t>26 Sept 1996</w:t>
            </w:r>
          </w:p>
        </w:tc>
        <w:tc>
          <w:tcPr>
            <w:tcW w:w="1208" w:type="pct"/>
            <w:tcBorders>
              <w:top w:val="single" w:sz="4" w:space="0" w:color="auto"/>
              <w:bottom w:val="single" w:sz="4" w:space="0" w:color="auto"/>
            </w:tcBorders>
            <w:shd w:val="clear" w:color="auto" w:fill="auto"/>
          </w:tcPr>
          <w:p w14:paraId="5372DAE7" w14:textId="77777777" w:rsidR="00D64E96" w:rsidRPr="005E3B43" w:rsidRDefault="00D64E96" w:rsidP="00763BCF">
            <w:pPr>
              <w:pStyle w:val="Tabletext"/>
            </w:pPr>
            <w:r w:rsidRPr="005E3B43">
              <w:rPr>
                <w:sz w:val="16"/>
              </w:rPr>
              <w:t>—</w:t>
            </w:r>
          </w:p>
        </w:tc>
      </w:tr>
      <w:tr w:rsidR="00D64E96" w:rsidRPr="005E3B43" w14:paraId="2825BDB5" w14:textId="77777777" w:rsidTr="005A786D">
        <w:trPr>
          <w:cantSplit/>
        </w:trPr>
        <w:tc>
          <w:tcPr>
            <w:tcW w:w="1219" w:type="pct"/>
            <w:tcBorders>
              <w:top w:val="single" w:sz="4" w:space="0" w:color="auto"/>
              <w:bottom w:val="single" w:sz="4" w:space="0" w:color="auto"/>
            </w:tcBorders>
            <w:shd w:val="clear" w:color="auto" w:fill="auto"/>
          </w:tcPr>
          <w:p w14:paraId="7ECC56A7" w14:textId="77777777" w:rsidR="00D64E96" w:rsidRPr="005E3B43" w:rsidRDefault="00D64E96" w:rsidP="00763BCF">
            <w:pPr>
              <w:pStyle w:val="Tabletext"/>
            </w:pPr>
            <w:r w:rsidRPr="005E3B43">
              <w:rPr>
                <w:sz w:val="16"/>
              </w:rPr>
              <w:lastRenderedPageBreak/>
              <w:t>1997 No.</w:t>
            </w:r>
            <w:r w:rsidR="004E6D00" w:rsidRPr="005E3B43">
              <w:rPr>
                <w:sz w:val="16"/>
              </w:rPr>
              <w:t> </w:t>
            </w:r>
            <w:r w:rsidRPr="005E3B43">
              <w:rPr>
                <w:sz w:val="16"/>
              </w:rPr>
              <w:t>162</w:t>
            </w:r>
          </w:p>
        </w:tc>
        <w:tc>
          <w:tcPr>
            <w:tcW w:w="1286" w:type="pct"/>
            <w:tcBorders>
              <w:top w:val="single" w:sz="4" w:space="0" w:color="auto"/>
              <w:bottom w:val="single" w:sz="4" w:space="0" w:color="auto"/>
            </w:tcBorders>
            <w:shd w:val="clear" w:color="auto" w:fill="auto"/>
          </w:tcPr>
          <w:p w14:paraId="002536A3" w14:textId="77777777" w:rsidR="00D64E96" w:rsidRPr="005E3B43" w:rsidRDefault="00D64E96" w:rsidP="00763BCF">
            <w:pPr>
              <w:pStyle w:val="Tabletext"/>
            </w:pPr>
            <w:r w:rsidRPr="005E3B43">
              <w:rPr>
                <w:sz w:val="16"/>
              </w:rPr>
              <w:t>30</w:t>
            </w:r>
            <w:r w:rsidR="004E6D00" w:rsidRPr="005E3B43">
              <w:rPr>
                <w:sz w:val="16"/>
              </w:rPr>
              <w:t> </w:t>
            </w:r>
            <w:r w:rsidRPr="005E3B43">
              <w:rPr>
                <w:sz w:val="16"/>
              </w:rPr>
              <w:t>June 1997</w:t>
            </w:r>
          </w:p>
        </w:tc>
        <w:tc>
          <w:tcPr>
            <w:tcW w:w="1287" w:type="pct"/>
            <w:tcBorders>
              <w:top w:val="single" w:sz="4" w:space="0" w:color="auto"/>
              <w:bottom w:val="single" w:sz="4" w:space="0" w:color="auto"/>
            </w:tcBorders>
            <w:shd w:val="clear" w:color="auto" w:fill="auto"/>
          </w:tcPr>
          <w:p w14:paraId="2EADC955" w14:textId="77777777" w:rsidR="00D64E96" w:rsidRPr="005E3B43" w:rsidRDefault="006B5D8E" w:rsidP="00763BCF">
            <w:pPr>
              <w:pStyle w:val="Tabletext"/>
            </w:pPr>
            <w:r w:rsidRPr="005E3B43">
              <w:rPr>
                <w:sz w:val="16"/>
              </w:rPr>
              <w:t>1 July</w:t>
            </w:r>
            <w:r w:rsidR="00D64E96" w:rsidRPr="005E3B43">
              <w:rPr>
                <w:sz w:val="16"/>
              </w:rPr>
              <w:t xml:space="preserve"> 1997</w:t>
            </w:r>
          </w:p>
        </w:tc>
        <w:tc>
          <w:tcPr>
            <w:tcW w:w="1208" w:type="pct"/>
            <w:tcBorders>
              <w:top w:val="single" w:sz="4" w:space="0" w:color="auto"/>
              <w:bottom w:val="single" w:sz="4" w:space="0" w:color="auto"/>
            </w:tcBorders>
            <w:shd w:val="clear" w:color="auto" w:fill="auto"/>
          </w:tcPr>
          <w:p w14:paraId="5C118B9C" w14:textId="77777777" w:rsidR="00D64E96" w:rsidRPr="005E3B43" w:rsidRDefault="00D64E96" w:rsidP="00763BCF">
            <w:pPr>
              <w:pStyle w:val="Tabletext"/>
            </w:pPr>
            <w:r w:rsidRPr="005E3B43">
              <w:rPr>
                <w:sz w:val="16"/>
              </w:rPr>
              <w:t>—</w:t>
            </w:r>
          </w:p>
        </w:tc>
      </w:tr>
      <w:tr w:rsidR="00D64E96" w:rsidRPr="005E3B43" w14:paraId="6CED8A0A" w14:textId="77777777" w:rsidTr="005A786D">
        <w:trPr>
          <w:cantSplit/>
        </w:trPr>
        <w:tc>
          <w:tcPr>
            <w:tcW w:w="1219" w:type="pct"/>
            <w:tcBorders>
              <w:top w:val="single" w:sz="4" w:space="0" w:color="auto"/>
              <w:bottom w:val="single" w:sz="4" w:space="0" w:color="auto"/>
            </w:tcBorders>
            <w:shd w:val="clear" w:color="auto" w:fill="auto"/>
          </w:tcPr>
          <w:p w14:paraId="4AEBA105" w14:textId="77777777" w:rsidR="00D64E96" w:rsidRPr="005E3B43" w:rsidRDefault="00D64E96" w:rsidP="00763BCF">
            <w:pPr>
              <w:pStyle w:val="Tabletext"/>
            </w:pPr>
            <w:r w:rsidRPr="005E3B43">
              <w:rPr>
                <w:sz w:val="16"/>
              </w:rPr>
              <w:t>1997 No.</w:t>
            </w:r>
            <w:r w:rsidR="004E6D00" w:rsidRPr="005E3B43">
              <w:rPr>
                <w:sz w:val="16"/>
              </w:rPr>
              <w:t> </w:t>
            </w:r>
            <w:r w:rsidRPr="005E3B43">
              <w:rPr>
                <w:sz w:val="16"/>
              </w:rPr>
              <w:t>398</w:t>
            </w:r>
          </w:p>
        </w:tc>
        <w:tc>
          <w:tcPr>
            <w:tcW w:w="1286" w:type="pct"/>
            <w:tcBorders>
              <w:top w:val="single" w:sz="4" w:space="0" w:color="auto"/>
              <w:bottom w:val="single" w:sz="4" w:space="0" w:color="auto"/>
            </w:tcBorders>
            <w:shd w:val="clear" w:color="auto" w:fill="auto"/>
          </w:tcPr>
          <w:p w14:paraId="4C8D159B" w14:textId="77777777" w:rsidR="00D64E96" w:rsidRPr="005E3B43" w:rsidRDefault="00D64E96" w:rsidP="00763BCF">
            <w:pPr>
              <w:pStyle w:val="Tabletext"/>
            </w:pPr>
            <w:r w:rsidRPr="005E3B43">
              <w:rPr>
                <w:sz w:val="16"/>
              </w:rPr>
              <w:t>24 Dec 1997</w:t>
            </w:r>
          </w:p>
        </w:tc>
        <w:tc>
          <w:tcPr>
            <w:tcW w:w="1287" w:type="pct"/>
            <w:tcBorders>
              <w:top w:val="single" w:sz="4" w:space="0" w:color="auto"/>
              <w:bottom w:val="single" w:sz="4" w:space="0" w:color="auto"/>
            </w:tcBorders>
            <w:shd w:val="clear" w:color="auto" w:fill="auto"/>
          </w:tcPr>
          <w:p w14:paraId="5B82BE83" w14:textId="77777777" w:rsidR="00D64E96" w:rsidRPr="005E3B43" w:rsidRDefault="00D64E96" w:rsidP="00763BCF">
            <w:pPr>
              <w:pStyle w:val="Tabletext"/>
            </w:pPr>
            <w:r w:rsidRPr="005E3B43">
              <w:rPr>
                <w:sz w:val="16"/>
              </w:rPr>
              <w:t>24 Dec 1997</w:t>
            </w:r>
          </w:p>
        </w:tc>
        <w:tc>
          <w:tcPr>
            <w:tcW w:w="1208" w:type="pct"/>
            <w:tcBorders>
              <w:top w:val="single" w:sz="4" w:space="0" w:color="auto"/>
              <w:bottom w:val="single" w:sz="4" w:space="0" w:color="auto"/>
            </w:tcBorders>
            <w:shd w:val="clear" w:color="auto" w:fill="auto"/>
          </w:tcPr>
          <w:p w14:paraId="41D39450" w14:textId="77777777" w:rsidR="00D64E96" w:rsidRPr="005E3B43" w:rsidRDefault="00D64E96" w:rsidP="00763BCF">
            <w:pPr>
              <w:pStyle w:val="Tabletext"/>
            </w:pPr>
            <w:r w:rsidRPr="005E3B43">
              <w:rPr>
                <w:sz w:val="16"/>
              </w:rPr>
              <w:t>—</w:t>
            </w:r>
          </w:p>
        </w:tc>
      </w:tr>
      <w:tr w:rsidR="00D64E96" w:rsidRPr="005E3B43" w14:paraId="72CCCCDF" w14:textId="77777777" w:rsidTr="005A786D">
        <w:trPr>
          <w:cantSplit/>
        </w:trPr>
        <w:tc>
          <w:tcPr>
            <w:tcW w:w="1219" w:type="pct"/>
            <w:tcBorders>
              <w:top w:val="single" w:sz="4" w:space="0" w:color="auto"/>
              <w:bottom w:val="single" w:sz="4" w:space="0" w:color="auto"/>
            </w:tcBorders>
            <w:shd w:val="clear" w:color="auto" w:fill="auto"/>
          </w:tcPr>
          <w:p w14:paraId="6FD59EAF" w14:textId="77777777" w:rsidR="00D64E96" w:rsidRPr="005E3B43" w:rsidRDefault="00D64E96" w:rsidP="00763BCF">
            <w:pPr>
              <w:pStyle w:val="Tabletext"/>
            </w:pPr>
            <w:r w:rsidRPr="005E3B43">
              <w:rPr>
                <w:sz w:val="16"/>
              </w:rPr>
              <w:t>1997 No.</w:t>
            </w:r>
            <w:r w:rsidR="004E6D00" w:rsidRPr="005E3B43">
              <w:rPr>
                <w:sz w:val="16"/>
              </w:rPr>
              <w:t> </w:t>
            </w:r>
            <w:r w:rsidRPr="005E3B43">
              <w:rPr>
                <w:sz w:val="16"/>
              </w:rPr>
              <w:t>399</w:t>
            </w:r>
          </w:p>
        </w:tc>
        <w:tc>
          <w:tcPr>
            <w:tcW w:w="1286" w:type="pct"/>
            <w:tcBorders>
              <w:top w:val="single" w:sz="4" w:space="0" w:color="auto"/>
              <w:bottom w:val="single" w:sz="4" w:space="0" w:color="auto"/>
            </w:tcBorders>
            <w:shd w:val="clear" w:color="auto" w:fill="auto"/>
          </w:tcPr>
          <w:p w14:paraId="7135A5EB" w14:textId="77777777" w:rsidR="00D64E96" w:rsidRPr="005E3B43" w:rsidRDefault="00D64E96" w:rsidP="00763BCF">
            <w:pPr>
              <w:pStyle w:val="Tabletext"/>
            </w:pPr>
            <w:r w:rsidRPr="005E3B43">
              <w:rPr>
                <w:sz w:val="16"/>
              </w:rPr>
              <w:t>24 Dec 1997</w:t>
            </w:r>
          </w:p>
        </w:tc>
        <w:tc>
          <w:tcPr>
            <w:tcW w:w="1287" w:type="pct"/>
            <w:tcBorders>
              <w:top w:val="single" w:sz="4" w:space="0" w:color="auto"/>
              <w:bottom w:val="single" w:sz="4" w:space="0" w:color="auto"/>
            </w:tcBorders>
            <w:shd w:val="clear" w:color="auto" w:fill="auto"/>
          </w:tcPr>
          <w:p w14:paraId="322B1C70" w14:textId="77777777" w:rsidR="00D64E96" w:rsidRPr="005E3B43" w:rsidRDefault="00D64E96" w:rsidP="00763BCF">
            <w:pPr>
              <w:pStyle w:val="Tabletext"/>
            </w:pPr>
            <w:r w:rsidRPr="005E3B43">
              <w:rPr>
                <w:sz w:val="16"/>
              </w:rPr>
              <w:t>rr.</w:t>
            </w:r>
            <w:r w:rsidR="004E6D00" w:rsidRPr="005E3B43">
              <w:rPr>
                <w:sz w:val="16"/>
              </w:rPr>
              <w:t> </w:t>
            </w:r>
            <w:r w:rsidRPr="005E3B43">
              <w:rPr>
                <w:sz w:val="16"/>
              </w:rPr>
              <w:t>1.1, 3.1, 9 and 10: 24 Dec 1997</w:t>
            </w:r>
            <w:r w:rsidRPr="005E3B43">
              <w:rPr>
                <w:sz w:val="16"/>
              </w:rPr>
              <w:br/>
              <w:t>Remainder: 1 Jan 1998</w:t>
            </w:r>
          </w:p>
        </w:tc>
        <w:tc>
          <w:tcPr>
            <w:tcW w:w="1208" w:type="pct"/>
            <w:tcBorders>
              <w:top w:val="single" w:sz="4" w:space="0" w:color="auto"/>
              <w:bottom w:val="single" w:sz="4" w:space="0" w:color="auto"/>
            </w:tcBorders>
            <w:shd w:val="clear" w:color="auto" w:fill="auto"/>
          </w:tcPr>
          <w:p w14:paraId="3AEEB61A" w14:textId="77777777" w:rsidR="00D64E96" w:rsidRPr="005E3B43" w:rsidRDefault="00D64E96" w:rsidP="00763BCF">
            <w:pPr>
              <w:pStyle w:val="Tabletext"/>
            </w:pPr>
            <w:r w:rsidRPr="005E3B43">
              <w:rPr>
                <w:sz w:val="16"/>
              </w:rPr>
              <w:t>—</w:t>
            </w:r>
          </w:p>
        </w:tc>
      </w:tr>
      <w:tr w:rsidR="00D64E96" w:rsidRPr="005E3B43" w14:paraId="1BF58148" w14:textId="77777777" w:rsidTr="005A786D">
        <w:trPr>
          <w:cantSplit/>
        </w:trPr>
        <w:tc>
          <w:tcPr>
            <w:tcW w:w="1219" w:type="pct"/>
            <w:tcBorders>
              <w:top w:val="single" w:sz="4" w:space="0" w:color="auto"/>
              <w:bottom w:val="single" w:sz="4" w:space="0" w:color="auto"/>
            </w:tcBorders>
            <w:shd w:val="clear" w:color="auto" w:fill="auto"/>
          </w:tcPr>
          <w:p w14:paraId="35DC8784" w14:textId="77777777" w:rsidR="00D64E96" w:rsidRPr="005E3B43" w:rsidRDefault="00D64E96" w:rsidP="00763BCF">
            <w:pPr>
              <w:pStyle w:val="Tabletext"/>
            </w:pPr>
            <w:r w:rsidRPr="005E3B43">
              <w:rPr>
                <w:sz w:val="16"/>
              </w:rPr>
              <w:t>1997 No.</w:t>
            </w:r>
            <w:r w:rsidR="004E6D00" w:rsidRPr="005E3B43">
              <w:rPr>
                <w:sz w:val="16"/>
              </w:rPr>
              <w:t> </w:t>
            </w:r>
            <w:r w:rsidRPr="005E3B43">
              <w:rPr>
                <w:sz w:val="16"/>
              </w:rPr>
              <w:t>400</w:t>
            </w:r>
          </w:p>
        </w:tc>
        <w:tc>
          <w:tcPr>
            <w:tcW w:w="1286" w:type="pct"/>
            <w:tcBorders>
              <w:top w:val="single" w:sz="4" w:space="0" w:color="auto"/>
              <w:bottom w:val="single" w:sz="4" w:space="0" w:color="auto"/>
            </w:tcBorders>
            <w:shd w:val="clear" w:color="auto" w:fill="auto"/>
          </w:tcPr>
          <w:p w14:paraId="68479A35" w14:textId="77777777" w:rsidR="00D64E96" w:rsidRPr="005E3B43" w:rsidRDefault="00D64E96" w:rsidP="00763BCF">
            <w:pPr>
              <w:pStyle w:val="Tabletext"/>
            </w:pPr>
            <w:r w:rsidRPr="005E3B43">
              <w:rPr>
                <w:sz w:val="16"/>
              </w:rPr>
              <w:t>24 Dec 1997</w:t>
            </w:r>
          </w:p>
        </w:tc>
        <w:tc>
          <w:tcPr>
            <w:tcW w:w="1287" w:type="pct"/>
            <w:tcBorders>
              <w:top w:val="single" w:sz="4" w:space="0" w:color="auto"/>
              <w:bottom w:val="single" w:sz="4" w:space="0" w:color="auto"/>
            </w:tcBorders>
            <w:shd w:val="clear" w:color="auto" w:fill="auto"/>
          </w:tcPr>
          <w:p w14:paraId="1DF3D97E" w14:textId="77777777" w:rsidR="00D64E96" w:rsidRPr="005E3B43" w:rsidRDefault="00D64E96" w:rsidP="00763BCF">
            <w:pPr>
              <w:pStyle w:val="Tabletext"/>
            </w:pPr>
            <w:r w:rsidRPr="005E3B43">
              <w:rPr>
                <w:sz w:val="16"/>
              </w:rPr>
              <w:t>24 Dec 1997</w:t>
            </w:r>
          </w:p>
        </w:tc>
        <w:tc>
          <w:tcPr>
            <w:tcW w:w="1208" w:type="pct"/>
            <w:tcBorders>
              <w:top w:val="single" w:sz="4" w:space="0" w:color="auto"/>
              <w:bottom w:val="single" w:sz="4" w:space="0" w:color="auto"/>
            </w:tcBorders>
            <w:shd w:val="clear" w:color="auto" w:fill="auto"/>
          </w:tcPr>
          <w:p w14:paraId="2EEB8261" w14:textId="77777777" w:rsidR="00D64E96" w:rsidRPr="005E3B43" w:rsidRDefault="00D64E96" w:rsidP="00763BCF">
            <w:pPr>
              <w:pStyle w:val="Tabletext"/>
            </w:pPr>
            <w:r w:rsidRPr="005E3B43">
              <w:rPr>
                <w:sz w:val="16"/>
              </w:rPr>
              <w:t>—</w:t>
            </w:r>
          </w:p>
        </w:tc>
      </w:tr>
      <w:tr w:rsidR="00D64E96" w:rsidRPr="005E3B43" w14:paraId="0A7E1A3C" w14:textId="77777777" w:rsidTr="005A786D">
        <w:trPr>
          <w:cantSplit/>
        </w:trPr>
        <w:tc>
          <w:tcPr>
            <w:tcW w:w="1219" w:type="pct"/>
            <w:tcBorders>
              <w:top w:val="single" w:sz="4" w:space="0" w:color="auto"/>
              <w:bottom w:val="single" w:sz="4" w:space="0" w:color="auto"/>
            </w:tcBorders>
            <w:shd w:val="clear" w:color="auto" w:fill="auto"/>
          </w:tcPr>
          <w:p w14:paraId="346D69EB" w14:textId="77777777" w:rsidR="00D64E96" w:rsidRPr="005E3B43" w:rsidRDefault="00D64E96" w:rsidP="00763BCF">
            <w:pPr>
              <w:pStyle w:val="Tabletext"/>
            </w:pPr>
            <w:r w:rsidRPr="005E3B43">
              <w:rPr>
                <w:sz w:val="16"/>
              </w:rPr>
              <w:t>1997 No.</w:t>
            </w:r>
            <w:r w:rsidR="004E6D00" w:rsidRPr="005E3B43">
              <w:rPr>
                <w:sz w:val="16"/>
              </w:rPr>
              <w:t> </w:t>
            </w:r>
            <w:r w:rsidRPr="005E3B43">
              <w:rPr>
                <w:sz w:val="16"/>
              </w:rPr>
              <w:t>401</w:t>
            </w:r>
          </w:p>
        </w:tc>
        <w:tc>
          <w:tcPr>
            <w:tcW w:w="1286" w:type="pct"/>
            <w:tcBorders>
              <w:top w:val="single" w:sz="4" w:space="0" w:color="auto"/>
              <w:bottom w:val="single" w:sz="4" w:space="0" w:color="auto"/>
            </w:tcBorders>
            <w:shd w:val="clear" w:color="auto" w:fill="auto"/>
          </w:tcPr>
          <w:p w14:paraId="64853024" w14:textId="77777777" w:rsidR="00D64E96" w:rsidRPr="005E3B43" w:rsidRDefault="00D64E96" w:rsidP="00763BCF">
            <w:pPr>
              <w:pStyle w:val="Tabletext"/>
            </w:pPr>
            <w:r w:rsidRPr="005E3B43">
              <w:rPr>
                <w:sz w:val="16"/>
              </w:rPr>
              <w:t>24 Dec 1997</w:t>
            </w:r>
          </w:p>
        </w:tc>
        <w:tc>
          <w:tcPr>
            <w:tcW w:w="1287" w:type="pct"/>
            <w:tcBorders>
              <w:top w:val="single" w:sz="4" w:space="0" w:color="auto"/>
              <w:bottom w:val="single" w:sz="4" w:space="0" w:color="auto"/>
            </w:tcBorders>
            <w:shd w:val="clear" w:color="auto" w:fill="auto"/>
          </w:tcPr>
          <w:p w14:paraId="6494B1C3" w14:textId="77777777" w:rsidR="00D64E96" w:rsidRPr="005E3B43" w:rsidRDefault="00D64E96" w:rsidP="00763BCF">
            <w:pPr>
              <w:pStyle w:val="Tabletext"/>
            </w:pPr>
            <w:r w:rsidRPr="005E3B43">
              <w:rPr>
                <w:sz w:val="16"/>
              </w:rPr>
              <w:t>24 Dec 1997</w:t>
            </w:r>
            <w:r w:rsidR="00C87AA8" w:rsidRPr="005E3B43">
              <w:rPr>
                <w:sz w:val="16"/>
              </w:rPr>
              <w:br/>
              <w:t>Note: disallowed by the Senate on 31 Mar 1998</w:t>
            </w:r>
          </w:p>
        </w:tc>
        <w:tc>
          <w:tcPr>
            <w:tcW w:w="1208" w:type="pct"/>
            <w:tcBorders>
              <w:top w:val="single" w:sz="4" w:space="0" w:color="auto"/>
              <w:bottom w:val="single" w:sz="4" w:space="0" w:color="auto"/>
            </w:tcBorders>
            <w:shd w:val="clear" w:color="auto" w:fill="auto"/>
          </w:tcPr>
          <w:p w14:paraId="37747A21" w14:textId="77777777" w:rsidR="00D64E96" w:rsidRPr="005E3B43" w:rsidRDefault="00D64E96" w:rsidP="00763BCF">
            <w:pPr>
              <w:pStyle w:val="Tabletext"/>
            </w:pPr>
            <w:r w:rsidRPr="005E3B43">
              <w:rPr>
                <w:sz w:val="16"/>
              </w:rPr>
              <w:t>—</w:t>
            </w:r>
          </w:p>
        </w:tc>
      </w:tr>
      <w:tr w:rsidR="00D64E96" w:rsidRPr="005E3B43" w14:paraId="38F0B6D6" w14:textId="77777777" w:rsidTr="005A786D">
        <w:trPr>
          <w:cantSplit/>
        </w:trPr>
        <w:tc>
          <w:tcPr>
            <w:tcW w:w="1219" w:type="pct"/>
            <w:tcBorders>
              <w:top w:val="single" w:sz="4" w:space="0" w:color="auto"/>
              <w:bottom w:val="single" w:sz="4" w:space="0" w:color="auto"/>
            </w:tcBorders>
            <w:shd w:val="clear" w:color="auto" w:fill="auto"/>
          </w:tcPr>
          <w:p w14:paraId="22C125E6" w14:textId="77777777" w:rsidR="00D64E96" w:rsidRPr="005E3B43" w:rsidRDefault="00D64E96" w:rsidP="00763BCF">
            <w:pPr>
              <w:pStyle w:val="Tabletext"/>
            </w:pPr>
            <w:r w:rsidRPr="005E3B43">
              <w:rPr>
                <w:sz w:val="16"/>
              </w:rPr>
              <w:t>1998 No.</w:t>
            </w:r>
            <w:r w:rsidR="004E6D00" w:rsidRPr="005E3B43">
              <w:rPr>
                <w:sz w:val="16"/>
              </w:rPr>
              <w:t> </w:t>
            </w:r>
            <w:r w:rsidRPr="005E3B43">
              <w:rPr>
                <w:sz w:val="16"/>
              </w:rPr>
              <w:t>227</w:t>
            </w:r>
          </w:p>
        </w:tc>
        <w:tc>
          <w:tcPr>
            <w:tcW w:w="1286" w:type="pct"/>
            <w:tcBorders>
              <w:top w:val="single" w:sz="4" w:space="0" w:color="auto"/>
              <w:bottom w:val="single" w:sz="4" w:space="0" w:color="auto"/>
            </w:tcBorders>
            <w:shd w:val="clear" w:color="auto" w:fill="auto"/>
          </w:tcPr>
          <w:p w14:paraId="66D7A193" w14:textId="77777777" w:rsidR="00D64E96" w:rsidRPr="005E3B43" w:rsidRDefault="00D64E96" w:rsidP="00763BCF">
            <w:pPr>
              <w:pStyle w:val="Tabletext"/>
            </w:pPr>
            <w:r w:rsidRPr="005E3B43">
              <w:rPr>
                <w:sz w:val="16"/>
              </w:rPr>
              <w:t>16</w:t>
            </w:r>
            <w:r w:rsidR="004E6D00" w:rsidRPr="005E3B43">
              <w:rPr>
                <w:sz w:val="16"/>
              </w:rPr>
              <w:t> </w:t>
            </w:r>
            <w:r w:rsidRPr="005E3B43">
              <w:rPr>
                <w:sz w:val="16"/>
              </w:rPr>
              <w:t>July 1998</w:t>
            </w:r>
          </w:p>
        </w:tc>
        <w:tc>
          <w:tcPr>
            <w:tcW w:w="1287" w:type="pct"/>
            <w:tcBorders>
              <w:top w:val="single" w:sz="4" w:space="0" w:color="auto"/>
              <w:bottom w:val="single" w:sz="4" w:space="0" w:color="auto"/>
            </w:tcBorders>
            <w:shd w:val="clear" w:color="auto" w:fill="auto"/>
          </w:tcPr>
          <w:p w14:paraId="795E6701" w14:textId="77777777" w:rsidR="00D64E96" w:rsidRPr="005E3B43" w:rsidRDefault="00D64E96" w:rsidP="00763BCF">
            <w:pPr>
              <w:pStyle w:val="Tabletext"/>
            </w:pPr>
            <w:r w:rsidRPr="005E3B43">
              <w:rPr>
                <w:sz w:val="16"/>
              </w:rPr>
              <w:t>16</w:t>
            </w:r>
            <w:r w:rsidR="004E6D00" w:rsidRPr="005E3B43">
              <w:rPr>
                <w:sz w:val="16"/>
              </w:rPr>
              <w:t> </w:t>
            </w:r>
            <w:r w:rsidRPr="005E3B43">
              <w:rPr>
                <w:sz w:val="16"/>
              </w:rPr>
              <w:t>July 1998</w:t>
            </w:r>
          </w:p>
        </w:tc>
        <w:tc>
          <w:tcPr>
            <w:tcW w:w="1208" w:type="pct"/>
            <w:tcBorders>
              <w:top w:val="single" w:sz="4" w:space="0" w:color="auto"/>
              <w:bottom w:val="single" w:sz="4" w:space="0" w:color="auto"/>
            </w:tcBorders>
            <w:shd w:val="clear" w:color="auto" w:fill="auto"/>
          </w:tcPr>
          <w:p w14:paraId="35A29311" w14:textId="77777777" w:rsidR="00D64E96" w:rsidRPr="005E3B43" w:rsidRDefault="00D64E96" w:rsidP="00763BCF">
            <w:pPr>
              <w:pStyle w:val="Tabletext"/>
            </w:pPr>
            <w:r w:rsidRPr="005E3B43">
              <w:rPr>
                <w:sz w:val="16"/>
              </w:rPr>
              <w:t>—</w:t>
            </w:r>
          </w:p>
        </w:tc>
      </w:tr>
      <w:tr w:rsidR="00D64E96" w:rsidRPr="005E3B43" w14:paraId="1153557B" w14:textId="77777777" w:rsidTr="005A786D">
        <w:trPr>
          <w:cantSplit/>
        </w:trPr>
        <w:tc>
          <w:tcPr>
            <w:tcW w:w="1219" w:type="pct"/>
            <w:tcBorders>
              <w:top w:val="single" w:sz="4" w:space="0" w:color="auto"/>
              <w:bottom w:val="single" w:sz="4" w:space="0" w:color="auto"/>
            </w:tcBorders>
            <w:shd w:val="clear" w:color="auto" w:fill="auto"/>
          </w:tcPr>
          <w:p w14:paraId="05A30A69" w14:textId="77777777" w:rsidR="00D64E96" w:rsidRPr="005E3B43" w:rsidRDefault="00D64E96" w:rsidP="00763BCF">
            <w:pPr>
              <w:pStyle w:val="Tabletext"/>
            </w:pPr>
            <w:r w:rsidRPr="005E3B43">
              <w:rPr>
                <w:sz w:val="16"/>
              </w:rPr>
              <w:t>1998 No.</w:t>
            </w:r>
            <w:r w:rsidR="004E6D00" w:rsidRPr="005E3B43">
              <w:rPr>
                <w:sz w:val="16"/>
              </w:rPr>
              <w:t> </w:t>
            </w:r>
            <w:r w:rsidRPr="005E3B43">
              <w:rPr>
                <w:sz w:val="16"/>
              </w:rPr>
              <w:t>247</w:t>
            </w:r>
          </w:p>
        </w:tc>
        <w:tc>
          <w:tcPr>
            <w:tcW w:w="1286" w:type="pct"/>
            <w:tcBorders>
              <w:top w:val="single" w:sz="4" w:space="0" w:color="auto"/>
              <w:bottom w:val="single" w:sz="4" w:space="0" w:color="auto"/>
            </w:tcBorders>
            <w:shd w:val="clear" w:color="auto" w:fill="auto"/>
          </w:tcPr>
          <w:p w14:paraId="5AD30960" w14:textId="77777777" w:rsidR="00D64E96" w:rsidRPr="005E3B43" w:rsidRDefault="00D64E96" w:rsidP="00763BCF">
            <w:pPr>
              <w:pStyle w:val="Tabletext"/>
            </w:pPr>
            <w:r w:rsidRPr="005E3B43">
              <w:rPr>
                <w:sz w:val="16"/>
              </w:rPr>
              <w:t>3</w:t>
            </w:r>
            <w:r w:rsidR="006B5D8E" w:rsidRPr="005E3B43">
              <w:rPr>
                <w:sz w:val="16"/>
              </w:rPr>
              <w:t>1 July</w:t>
            </w:r>
            <w:r w:rsidRPr="005E3B43">
              <w:rPr>
                <w:sz w:val="16"/>
              </w:rPr>
              <w:t xml:space="preserve"> 1998</w:t>
            </w:r>
          </w:p>
        </w:tc>
        <w:tc>
          <w:tcPr>
            <w:tcW w:w="1287" w:type="pct"/>
            <w:tcBorders>
              <w:top w:val="single" w:sz="4" w:space="0" w:color="auto"/>
              <w:bottom w:val="single" w:sz="4" w:space="0" w:color="auto"/>
            </w:tcBorders>
            <w:shd w:val="clear" w:color="auto" w:fill="auto"/>
          </w:tcPr>
          <w:p w14:paraId="6D1BA0A8" w14:textId="77777777" w:rsidR="00D64E96" w:rsidRPr="005E3B43" w:rsidRDefault="00D64E96" w:rsidP="00763BCF">
            <w:pPr>
              <w:pStyle w:val="Tabletext"/>
            </w:pPr>
            <w:r w:rsidRPr="005E3B43">
              <w:rPr>
                <w:sz w:val="16"/>
              </w:rPr>
              <w:t>1 Aug 1998</w:t>
            </w:r>
          </w:p>
        </w:tc>
        <w:tc>
          <w:tcPr>
            <w:tcW w:w="1208" w:type="pct"/>
            <w:tcBorders>
              <w:top w:val="single" w:sz="4" w:space="0" w:color="auto"/>
              <w:bottom w:val="single" w:sz="4" w:space="0" w:color="auto"/>
            </w:tcBorders>
            <w:shd w:val="clear" w:color="auto" w:fill="auto"/>
          </w:tcPr>
          <w:p w14:paraId="57EF45BD" w14:textId="77777777" w:rsidR="00D64E96" w:rsidRPr="005E3B43" w:rsidRDefault="00D64E96" w:rsidP="00763BCF">
            <w:pPr>
              <w:pStyle w:val="Tabletext"/>
            </w:pPr>
            <w:r w:rsidRPr="005E3B43">
              <w:rPr>
                <w:sz w:val="16"/>
              </w:rPr>
              <w:t>—</w:t>
            </w:r>
          </w:p>
        </w:tc>
      </w:tr>
      <w:tr w:rsidR="00D64E96" w:rsidRPr="005E3B43" w14:paraId="55698691" w14:textId="77777777" w:rsidTr="005A786D">
        <w:trPr>
          <w:cantSplit/>
        </w:trPr>
        <w:tc>
          <w:tcPr>
            <w:tcW w:w="1219" w:type="pct"/>
            <w:tcBorders>
              <w:top w:val="single" w:sz="4" w:space="0" w:color="auto"/>
              <w:bottom w:val="single" w:sz="4" w:space="0" w:color="auto"/>
            </w:tcBorders>
            <w:shd w:val="clear" w:color="auto" w:fill="auto"/>
          </w:tcPr>
          <w:p w14:paraId="4502FFCA" w14:textId="77777777" w:rsidR="00D64E96" w:rsidRPr="005E3B43" w:rsidRDefault="00D64E96" w:rsidP="00763BCF">
            <w:pPr>
              <w:pStyle w:val="Tabletext"/>
            </w:pPr>
            <w:r w:rsidRPr="005E3B43">
              <w:rPr>
                <w:sz w:val="16"/>
              </w:rPr>
              <w:t>1998 No.</w:t>
            </w:r>
            <w:r w:rsidR="004E6D00" w:rsidRPr="005E3B43">
              <w:rPr>
                <w:sz w:val="16"/>
              </w:rPr>
              <w:t> </w:t>
            </w:r>
            <w:r w:rsidRPr="005E3B43">
              <w:rPr>
                <w:sz w:val="16"/>
              </w:rPr>
              <w:t>369</w:t>
            </w:r>
          </w:p>
        </w:tc>
        <w:tc>
          <w:tcPr>
            <w:tcW w:w="1286" w:type="pct"/>
            <w:tcBorders>
              <w:top w:val="single" w:sz="4" w:space="0" w:color="auto"/>
              <w:bottom w:val="single" w:sz="4" w:space="0" w:color="auto"/>
            </w:tcBorders>
            <w:shd w:val="clear" w:color="auto" w:fill="auto"/>
          </w:tcPr>
          <w:p w14:paraId="1F1BB363" w14:textId="77777777" w:rsidR="00D64E96" w:rsidRPr="005E3B43" w:rsidRDefault="00D64E96" w:rsidP="00763BCF">
            <w:pPr>
              <w:pStyle w:val="Tabletext"/>
            </w:pPr>
            <w:r w:rsidRPr="005E3B43">
              <w:rPr>
                <w:sz w:val="16"/>
              </w:rPr>
              <w:t>22 Dec 1998</w:t>
            </w:r>
          </w:p>
        </w:tc>
        <w:tc>
          <w:tcPr>
            <w:tcW w:w="1287" w:type="pct"/>
            <w:tcBorders>
              <w:top w:val="single" w:sz="4" w:space="0" w:color="auto"/>
              <w:bottom w:val="single" w:sz="4" w:space="0" w:color="auto"/>
            </w:tcBorders>
            <w:shd w:val="clear" w:color="auto" w:fill="auto"/>
          </w:tcPr>
          <w:p w14:paraId="04BDAFFD" w14:textId="77777777" w:rsidR="00D64E96" w:rsidRPr="005E3B43" w:rsidRDefault="00D64E96" w:rsidP="00763BCF">
            <w:pPr>
              <w:pStyle w:val="Tabletext"/>
            </w:pPr>
            <w:r w:rsidRPr="005E3B43">
              <w:rPr>
                <w:sz w:val="16"/>
              </w:rPr>
              <w:t>1 Jan 1999</w:t>
            </w:r>
          </w:p>
        </w:tc>
        <w:tc>
          <w:tcPr>
            <w:tcW w:w="1208" w:type="pct"/>
            <w:tcBorders>
              <w:top w:val="single" w:sz="4" w:space="0" w:color="auto"/>
              <w:bottom w:val="single" w:sz="4" w:space="0" w:color="auto"/>
            </w:tcBorders>
            <w:shd w:val="clear" w:color="auto" w:fill="auto"/>
          </w:tcPr>
          <w:p w14:paraId="7C153A46" w14:textId="77777777" w:rsidR="00D64E96" w:rsidRPr="005E3B43" w:rsidRDefault="00D64E96" w:rsidP="00763BCF">
            <w:pPr>
              <w:pStyle w:val="Tabletext"/>
            </w:pPr>
            <w:r w:rsidRPr="005E3B43">
              <w:rPr>
                <w:sz w:val="16"/>
              </w:rPr>
              <w:t>—</w:t>
            </w:r>
          </w:p>
        </w:tc>
      </w:tr>
      <w:tr w:rsidR="00D64E96" w:rsidRPr="005E3B43" w14:paraId="0C98F50B" w14:textId="77777777" w:rsidTr="005A786D">
        <w:trPr>
          <w:cantSplit/>
        </w:trPr>
        <w:tc>
          <w:tcPr>
            <w:tcW w:w="1219" w:type="pct"/>
            <w:tcBorders>
              <w:top w:val="single" w:sz="4" w:space="0" w:color="auto"/>
              <w:bottom w:val="single" w:sz="4" w:space="0" w:color="auto"/>
            </w:tcBorders>
            <w:shd w:val="clear" w:color="auto" w:fill="auto"/>
          </w:tcPr>
          <w:p w14:paraId="4C5C3B52" w14:textId="77777777" w:rsidR="00D64E96" w:rsidRPr="005E3B43" w:rsidRDefault="00D64E96" w:rsidP="00763BCF">
            <w:pPr>
              <w:pStyle w:val="Tabletext"/>
            </w:pPr>
            <w:r w:rsidRPr="005E3B43">
              <w:rPr>
                <w:sz w:val="16"/>
              </w:rPr>
              <w:t>1999 No.</w:t>
            </w:r>
            <w:r w:rsidR="004E6D00" w:rsidRPr="005E3B43">
              <w:rPr>
                <w:sz w:val="16"/>
              </w:rPr>
              <w:t> </w:t>
            </w:r>
            <w:r w:rsidRPr="005E3B43">
              <w:rPr>
                <w:sz w:val="16"/>
              </w:rPr>
              <w:t>62</w:t>
            </w:r>
          </w:p>
        </w:tc>
        <w:tc>
          <w:tcPr>
            <w:tcW w:w="1286" w:type="pct"/>
            <w:tcBorders>
              <w:top w:val="single" w:sz="4" w:space="0" w:color="auto"/>
              <w:bottom w:val="single" w:sz="4" w:space="0" w:color="auto"/>
            </w:tcBorders>
            <w:shd w:val="clear" w:color="auto" w:fill="auto"/>
          </w:tcPr>
          <w:p w14:paraId="095CA00B" w14:textId="77777777" w:rsidR="00D64E96" w:rsidRPr="005E3B43" w:rsidRDefault="00D64E96" w:rsidP="00763BCF">
            <w:pPr>
              <w:pStyle w:val="Tabletext"/>
            </w:pPr>
            <w:r w:rsidRPr="005E3B43">
              <w:rPr>
                <w:sz w:val="16"/>
              </w:rPr>
              <w:t>16 Apr 1999</w:t>
            </w:r>
          </w:p>
        </w:tc>
        <w:tc>
          <w:tcPr>
            <w:tcW w:w="1287" w:type="pct"/>
            <w:tcBorders>
              <w:top w:val="single" w:sz="4" w:space="0" w:color="auto"/>
              <w:bottom w:val="single" w:sz="4" w:space="0" w:color="auto"/>
            </w:tcBorders>
            <w:shd w:val="clear" w:color="auto" w:fill="auto"/>
          </w:tcPr>
          <w:p w14:paraId="41748503" w14:textId="77777777" w:rsidR="00D64E96" w:rsidRPr="005E3B43" w:rsidRDefault="00D64E96" w:rsidP="00763BCF">
            <w:pPr>
              <w:pStyle w:val="Tabletext"/>
            </w:pPr>
            <w:r w:rsidRPr="005E3B43">
              <w:rPr>
                <w:sz w:val="16"/>
              </w:rPr>
              <w:t>16 Apr 1999</w:t>
            </w:r>
          </w:p>
        </w:tc>
        <w:tc>
          <w:tcPr>
            <w:tcW w:w="1208" w:type="pct"/>
            <w:tcBorders>
              <w:top w:val="single" w:sz="4" w:space="0" w:color="auto"/>
              <w:bottom w:val="single" w:sz="4" w:space="0" w:color="auto"/>
            </w:tcBorders>
            <w:shd w:val="clear" w:color="auto" w:fill="auto"/>
          </w:tcPr>
          <w:p w14:paraId="2E1F94B7" w14:textId="77777777" w:rsidR="00D64E96" w:rsidRPr="005E3B43" w:rsidRDefault="00D64E96" w:rsidP="00763BCF">
            <w:pPr>
              <w:pStyle w:val="Tabletext"/>
            </w:pPr>
            <w:r w:rsidRPr="005E3B43">
              <w:rPr>
                <w:sz w:val="16"/>
              </w:rPr>
              <w:t>—</w:t>
            </w:r>
          </w:p>
        </w:tc>
      </w:tr>
      <w:tr w:rsidR="00D64E96" w:rsidRPr="005E3B43" w14:paraId="6EE8817D" w14:textId="77777777" w:rsidTr="005A786D">
        <w:trPr>
          <w:cantSplit/>
        </w:trPr>
        <w:tc>
          <w:tcPr>
            <w:tcW w:w="1219" w:type="pct"/>
            <w:tcBorders>
              <w:top w:val="single" w:sz="4" w:space="0" w:color="auto"/>
              <w:bottom w:val="single" w:sz="4" w:space="0" w:color="auto"/>
            </w:tcBorders>
            <w:shd w:val="clear" w:color="auto" w:fill="auto"/>
          </w:tcPr>
          <w:p w14:paraId="62FD6230" w14:textId="77777777" w:rsidR="00D64E96" w:rsidRPr="005E3B43" w:rsidRDefault="00D64E96" w:rsidP="00763BCF">
            <w:pPr>
              <w:pStyle w:val="Tabletext"/>
            </w:pPr>
            <w:r w:rsidRPr="005E3B43">
              <w:rPr>
                <w:sz w:val="16"/>
              </w:rPr>
              <w:t>1999 No.</w:t>
            </w:r>
            <w:r w:rsidR="004E6D00" w:rsidRPr="005E3B43">
              <w:rPr>
                <w:sz w:val="16"/>
              </w:rPr>
              <w:t> </w:t>
            </w:r>
            <w:r w:rsidRPr="005E3B43">
              <w:rPr>
                <w:sz w:val="16"/>
              </w:rPr>
              <w:t>209</w:t>
            </w:r>
          </w:p>
        </w:tc>
        <w:tc>
          <w:tcPr>
            <w:tcW w:w="1286" w:type="pct"/>
            <w:tcBorders>
              <w:top w:val="single" w:sz="4" w:space="0" w:color="auto"/>
              <w:bottom w:val="single" w:sz="4" w:space="0" w:color="auto"/>
            </w:tcBorders>
            <w:shd w:val="clear" w:color="auto" w:fill="auto"/>
          </w:tcPr>
          <w:p w14:paraId="2DACB84F" w14:textId="77777777" w:rsidR="00D64E96" w:rsidRPr="005E3B43" w:rsidRDefault="00D64E96" w:rsidP="00763BCF">
            <w:pPr>
              <w:pStyle w:val="Tabletext"/>
            </w:pPr>
            <w:r w:rsidRPr="005E3B43">
              <w:rPr>
                <w:sz w:val="16"/>
              </w:rPr>
              <w:t>16 Sept 1999</w:t>
            </w:r>
          </w:p>
        </w:tc>
        <w:tc>
          <w:tcPr>
            <w:tcW w:w="1287" w:type="pct"/>
            <w:tcBorders>
              <w:top w:val="single" w:sz="4" w:space="0" w:color="auto"/>
              <w:bottom w:val="single" w:sz="4" w:space="0" w:color="auto"/>
            </w:tcBorders>
            <w:shd w:val="clear" w:color="auto" w:fill="auto"/>
          </w:tcPr>
          <w:p w14:paraId="5627859D" w14:textId="77777777" w:rsidR="00D64E96" w:rsidRPr="005E3B43" w:rsidRDefault="00D64E96" w:rsidP="00763BCF">
            <w:pPr>
              <w:pStyle w:val="Tabletext"/>
            </w:pPr>
            <w:r w:rsidRPr="005E3B43">
              <w:rPr>
                <w:sz w:val="16"/>
              </w:rPr>
              <w:t>16 Sept 1999</w:t>
            </w:r>
          </w:p>
        </w:tc>
        <w:tc>
          <w:tcPr>
            <w:tcW w:w="1208" w:type="pct"/>
            <w:tcBorders>
              <w:top w:val="single" w:sz="4" w:space="0" w:color="auto"/>
              <w:bottom w:val="single" w:sz="4" w:space="0" w:color="auto"/>
            </w:tcBorders>
            <w:shd w:val="clear" w:color="auto" w:fill="auto"/>
          </w:tcPr>
          <w:p w14:paraId="453DCCD9" w14:textId="77777777" w:rsidR="00D64E96" w:rsidRPr="005E3B43" w:rsidRDefault="00D64E96" w:rsidP="00763BCF">
            <w:pPr>
              <w:pStyle w:val="Tabletext"/>
            </w:pPr>
            <w:r w:rsidRPr="005E3B43">
              <w:rPr>
                <w:sz w:val="16"/>
              </w:rPr>
              <w:t>r. 4</w:t>
            </w:r>
          </w:p>
        </w:tc>
      </w:tr>
      <w:tr w:rsidR="00D64E96" w:rsidRPr="005E3B43" w14:paraId="1139EF02" w14:textId="77777777" w:rsidTr="005A786D">
        <w:trPr>
          <w:cantSplit/>
        </w:trPr>
        <w:tc>
          <w:tcPr>
            <w:tcW w:w="1219" w:type="pct"/>
            <w:tcBorders>
              <w:top w:val="single" w:sz="4" w:space="0" w:color="auto"/>
              <w:bottom w:val="single" w:sz="4" w:space="0" w:color="auto"/>
            </w:tcBorders>
            <w:shd w:val="clear" w:color="auto" w:fill="auto"/>
          </w:tcPr>
          <w:p w14:paraId="68BC7E63" w14:textId="77777777" w:rsidR="00D64E96" w:rsidRPr="005E3B43" w:rsidRDefault="00D64E96" w:rsidP="00763BCF">
            <w:pPr>
              <w:pStyle w:val="Tabletext"/>
            </w:pPr>
            <w:r w:rsidRPr="005E3B43">
              <w:rPr>
                <w:sz w:val="16"/>
              </w:rPr>
              <w:t>1999 No.</w:t>
            </w:r>
            <w:r w:rsidR="004E6D00" w:rsidRPr="005E3B43">
              <w:rPr>
                <w:sz w:val="16"/>
              </w:rPr>
              <w:t> </w:t>
            </w:r>
            <w:r w:rsidRPr="005E3B43">
              <w:rPr>
                <w:sz w:val="16"/>
              </w:rPr>
              <w:t>324</w:t>
            </w:r>
          </w:p>
        </w:tc>
        <w:tc>
          <w:tcPr>
            <w:tcW w:w="1286" w:type="pct"/>
            <w:tcBorders>
              <w:top w:val="single" w:sz="4" w:space="0" w:color="auto"/>
              <w:bottom w:val="single" w:sz="4" w:space="0" w:color="auto"/>
            </w:tcBorders>
            <w:shd w:val="clear" w:color="auto" w:fill="auto"/>
          </w:tcPr>
          <w:p w14:paraId="22497E0C" w14:textId="77777777" w:rsidR="00D64E96" w:rsidRPr="005E3B43" w:rsidRDefault="00D64E96" w:rsidP="00763BCF">
            <w:pPr>
              <w:pStyle w:val="Tabletext"/>
            </w:pPr>
            <w:r w:rsidRPr="005E3B43">
              <w:rPr>
                <w:sz w:val="16"/>
              </w:rPr>
              <w:t>16 Dec 1999</w:t>
            </w:r>
          </w:p>
        </w:tc>
        <w:tc>
          <w:tcPr>
            <w:tcW w:w="1287" w:type="pct"/>
            <w:tcBorders>
              <w:top w:val="single" w:sz="4" w:space="0" w:color="auto"/>
              <w:bottom w:val="single" w:sz="4" w:space="0" w:color="auto"/>
            </w:tcBorders>
            <w:shd w:val="clear" w:color="auto" w:fill="auto"/>
          </w:tcPr>
          <w:p w14:paraId="78756347" w14:textId="77777777" w:rsidR="00D64E96" w:rsidRPr="005E3B43" w:rsidRDefault="00D64E96" w:rsidP="00763BCF">
            <w:pPr>
              <w:pStyle w:val="Tabletext"/>
            </w:pPr>
            <w:r w:rsidRPr="005E3B43">
              <w:rPr>
                <w:sz w:val="16"/>
              </w:rPr>
              <w:t>16 Dec 1999</w:t>
            </w:r>
          </w:p>
        </w:tc>
        <w:tc>
          <w:tcPr>
            <w:tcW w:w="1208" w:type="pct"/>
            <w:tcBorders>
              <w:top w:val="single" w:sz="4" w:space="0" w:color="auto"/>
              <w:bottom w:val="single" w:sz="4" w:space="0" w:color="auto"/>
            </w:tcBorders>
            <w:shd w:val="clear" w:color="auto" w:fill="auto"/>
          </w:tcPr>
          <w:p w14:paraId="4A6EA197" w14:textId="77777777" w:rsidR="00D64E96" w:rsidRPr="005E3B43" w:rsidRDefault="00D64E96" w:rsidP="00763BCF">
            <w:pPr>
              <w:pStyle w:val="Tabletext"/>
            </w:pPr>
            <w:r w:rsidRPr="005E3B43">
              <w:rPr>
                <w:sz w:val="16"/>
              </w:rPr>
              <w:t>—</w:t>
            </w:r>
          </w:p>
        </w:tc>
      </w:tr>
      <w:tr w:rsidR="00D64E96" w:rsidRPr="005E3B43" w14:paraId="0EDBF57C" w14:textId="77777777" w:rsidTr="005A786D">
        <w:trPr>
          <w:cantSplit/>
        </w:trPr>
        <w:tc>
          <w:tcPr>
            <w:tcW w:w="1219" w:type="pct"/>
            <w:tcBorders>
              <w:top w:val="single" w:sz="4" w:space="0" w:color="auto"/>
              <w:bottom w:val="single" w:sz="4" w:space="0" w:color="auto"/>
            </w:tcBorders>
            <w:shd w:val="clear" w:color="auto" w:fill="auto"/>
          </w:tcPr>
          <w:p w14:paraId="7692C856" w14:textId="77777777" w:rsidR="00D64E96" w:rsidRPr="005E3B43" w:rsidRDefault="00D64E96" w:rsidP="00763BCF">
            <w:pPr>
              <w:pStyle w:val="Tabletext"/>
            </w:pPr>
            <w:r w:rsidRPr="005E3B43">
              <w:rPr>
                <w:sz w:val="16"/>
              </w:rPr>
              <w:t>2000 No.</w:t>
            </w:r>
            <w:r w:rsidR="004E6D00" w:rsidRPr="005E3B43">
              <w:rPr>
                <w:sz w:val="16"/>
              </w:rPr>
              <w:t> </w:t>
            </w:r>
            <w:r w:rsidRPr="005E3B43">
              <w:rPr>
                <w:sz w:val="16"/>
              </w:rPr>
              <w:t>29</w:t>
            </w:r>
          </w:p>
        </w:tc>
        <w:tc>
          <w:tcPr>
            <w:tcW w:w="1286" w:type="pct"/>
            <w:tcBorders>
              <w:top w:val="single" w:sz="4" w:space="0" w:color="auto"/>
              <w:bottom w:val="single" w:sz="4" w:space="0" w:color="auto"/>
            </w:tcBorders>
            <w:shd w:val="clear" w:color="auto" w:fill="auto"/>
          </w:tcPr>
          <w:p w14:paraId="781C7650" w14:textId="77777777" w:rsidR="00D64E96" w:rsidRPr="005E3B43" w:rsidRDefault="00D64E96" w:rsidP="00763BCF">
            <w:pPr>
              <w:pStyle w:val="Tabletext"/>
            </w:pPr>
            <w:r w:rsidRPr="005E3B43">
              <w:rPr>
                <w:sz w:val="16"/>
              </w:rPr>
              <w:t>23 Mar 2000</w:t>
            </w:r>
          </w:p>
        </w:tc>
        <w:tc>
          <w:tcPr>
            <w:tcW w:w="1287" w:type="pct"/>
            <w:tcBorders>
              <w:top w:val="single" w:sz="4" w:space="0" w:color="auto"/>
              <w:bottom w:val="single" w:sz="4" w:space="0" w:color="auto"/>
            </w:tcBorders>
            <w:shd w:val="clear" w:color="auto" w:fill="auto"/>
          </w:tcPr>
          <w:p w14:paraId="76F3CAA1" w14:textId="77777777" w:rsidR="00D64E96" w:rsidRPr="005E3B43" w:rsidRDefault="00D64E96" w:rsidP="00763BCF">
            <w:pPr>
              <w:pStyle w:val="Tabletext"/>
            </w:pPr>
            <w:r w:rsidRPr="005E3B43">
              <w:rPr>
                <w:sz w:val="16"/>
              </w:rPr>
              <w:t>rr.</w:t>
            </w:r>
            <w:r w:rsidR="004E6D00" w:rsidRPr="005E3B43">
              <w:rPr>
                <w:sz w:val="16"/>
              </w:rPr>
              <w:t> </w:t>
            </w:r>
            <w:r w:rsidRPr="005E3B43">
              <w:rPr>
                <w:sz w:val="16"/>
              </w:rPr>
              <w:t xml:space="preserve">1, 2 and 3(1) and </w:t>
            </w:r>
            <w:r w:rsidR="008D1B4F" w:rsidRPr="005E3B43">
              <w:rPr>
                <w:sz w:val="16"/>
              </w:rPr>
              <w:t>Schedule 1</w:t>
            </w:r>
            <w:r w:rsidRPr="005E3B43">
              <w:rPr>
                <w:sz w:val="16"/>
              </w:rPr>
              <w:t>: 23 Mar 2000</w:t>
            </w:r>
            <w:r w:rsidRPr="005E3B43">
              <w:rPr>
                <w:sz w:val="16"/>
              </w:rPr>
              <w:br/>
              <w:t>Remainder: 31 Mar 2000</w:t>
            </w:r>
          </w:p>
        </w:tc>
        <w:tc>
          <w:tcPr>
            <w:tcW w:w="1208" w:type="pct"/>
            <w:tcBorders>
              <w:top w:val="single" w:sz="4" w:space="0" w:color="auto"/>
              <w:bottom w:val="single" w:sz="4" w:space="0" w:color="auto"/>
            </w:tcBorders>
            <w:shd w:val="clear" w:color="auto" w:fill="auto"/>
          </w:tcPr>
          <w:p w14:paraId="01B16E2A" w14:textId="77777777" w:rsidR="00D64E96" w:rsidRPr="005E3B43" w:rsidRDefault="00D64E96" w:rsidP="00763BCF">
            <w:pPr>
              <w:pStyle w:val="Tabletext"/>
            </w:pPr>
            <w:r w:rsidRPr="005E3B43">
              <w:rPr>
                <w:sz w:val="16"/>
              </w:rPr>
              <w:t>—</w:t>
            </w:r>
          </w:p>
        </w:tc>
      </w:tr>
      <w:tr w:rsidR="00D64E96" w:rsidRPr="005E3B43" w14:paraId="0305423D" w14:textId="77777777" w:rsidTr="005A786D">
        <w:trPr>
          <w:cantSplit/>
        </w:trPr>
        <w:tc>
          <w:tcPr>
            <w:tcW w:w="1219" w:type="pct"/>
            <w:tcBorders>
              <w:top w:val="single" w:sz="4" w:space="0" w:color="auto"/>
              <w:bottom w:val="single" w:sz="4" w:space="0" w:color="auto"/>
            </w:tcBorders>
            <w:shd w:val="clear" w:color="auto" w:fill="auto"/>
          </w:tcPr>
          <w:p w14:paraId="276560AE" w14:textId="77777777" w:rsidR="00D64E96" w:rsidRPr="005E3B43" w:rsidRDefault="00D64E96" w:rsidP="00763BCF">
            <w:pPr>
              <w:pStyle w:val="Tabletext"/>
            </w:pPr>
            <w:r w:rsidRPr="005E3B43">
              <w:rPr>
                <w:sz w:val="16"/>
              </w:rPr>
              <w:t>2000 No.</w:t>
            </w:r>
            <w:r w:rsidR="004E6D00" w:rsidRPr="005E3B43">
              <w:rPr>
                <w:sz w:val="16"/>
              </w:rPr>
              <w:t> </w:t>
            </w:r>
            <w:r w:rsidRPr="005E3B43">
              <w:rPr>
                <w:sz w:val="16"/>
              </w:rPr>
              <w:t>48</w:t>
            </w:r>
          </w:p>
        </w:tc>
        <w:tc>
          <w:tcPr>
            <w:tcW w:w="1286" w:type="pct"/>
            <w:tcBorders>
              <w:top w:val="single" w:sz="4" w:space="0" w:color="auto"/>
              <w:bottom w:val="single" w:sz="4" w:space="0" w:color="auto"/>
            </w:tcBorders>
            <w:shd w:val="clear" w:color="auto" w:fill="auto"/>
          </w:tcPr>
          <w:p w14:paraId="773ABA64" w14:textId="77777777" w:rsidR="00D64E96" w:rsidRPr="005E3B43" w:rsidRDefault="00D64E96" w:rsidP="00763BCF">
            <w:pPr>
              <w:pStyle w:val="Tabletext"/>
            </w:pPr>
            <w:r w:rsidRPr="005E3B43">
              <w:rPr>
                <w:sz w:val="16"/>
              </w:rPr>
              <w:t>19 Apr 2000</w:t>
            </w:r>
          </w:p>
        </w:tc>
        <w:tc>
          <w:tcPr>
            <w:tcW w:w="1287" w:type="pct"/>
            <w:tcBorders>
              <w:top w:val="single" w:sz="4" w:space="0" w:color="auto"/>
              <w:bottom w:val="single" w:sz="4" w:space="0" w:color="auto"/>
            </w:tcBorders>
            <w:shd w:val="clear" w:color="auto" w:fill="auto"/>
          </w:tcPr>
          <w:p w14:paraId="230D7D99" w14:textId="77777777" w:rsidR="00D64E96" w:rsidRPr="005E3B43" w:rsidRDefault="00D64E96" w:rsidP="00763BCF">
            <w:pPr>
              <w:pStyle w:val="Tabletext"/>
            </w:pPr>
            <w:r w:rsidRPr="005E3B43">
              <w:rPr>
                <w:sz w:val="16"/>
              </w:rPr>
              <w:t>19 Apr 2000</w:t>
            </w:r>
          </w:p>
        </w:tc>
        <w:tc>
          <w:tcPr>
            <w:tcW w:w="1208" w:type="pct"/>
            <w:tcBorders>
              <w:top w:val="single" w:sz="4" w:space="0" w:color="auto"/>
              <w:bottom w:val="single" w:sz="4" w:space="0" w:color="auto"/>
            </w:tcBorders>
            <w:shd w:val="clear" w:color="auto" w:fill="auto"/>
          </w:tcPr>
          <w:p w14:paraId="57982661" w14:textId="77777777" w:rsidR="00D64E96" w:rsidRPr="005E3B43" w:rsidRDefault="00D64E96" w:rsidP="00763BCF">
            <w:pPr>
              <w:pStyle w:val="Tabletext"/>
            </w:pPr>
            <w:r w:rsidRPr="005E3B43">
              <w:rPr>
                <w:sz w:val="16"/>
              </w:rPr>
              <w:t>—</w:t>
            </w:r>
          </w:p>
        </w:tc>
      </w:tr>
      <w:tr w:rsidR="00D64E96" w:rsidRPr="005E3B43" w14:paraId="58FE546B" w14:textId="77777777" w:rsidTr="005A786D">
        <w:trPr>
          <w:cantSplit/>
        </w:trPr>
        <w:tc>
          <w:tcPr>
            <w:tcW w:w="1219" w:type="pct"/>
            <w:tcBorders>
              <w:top w:val="single" w:sz="4" w:space="0" w:color="auto"/>
              <w:bottom w:val="single" w:sz="4" w:space="0" w:color="auto"/>
            </w:tcBorders>
            <w:shd w:val="clear" w:color="auto" w:fill="auto"/>
          </w:tcPr>
          <w:p w14:paraId="7BCAE052" w14:textId="77777777" w:rsidR="00D64E96" w:rsidRPr="005E3B43" w:rsidRDefault="00D64E96" w:rsidP="00763BCF">
            <w:pPr>
              <w:pStyle w:val="Tabletext"/>
            </w:pPr>
            <w:r w:rsidRPr="005E3B43">
              <w:rPr>
                <w:sz w:val="16"/>
              </w:rPr>
              <w:t>2000 No.</w:t>
            </w:r>
            <w:r w:rsidR="004E6D00" w:rsidRPr="005E3B43">
              <w:rPr>
                <w:sz w:val="16"/>
              </w:rPr>
              <w:t> </w:t>
            </w:r>
            <w:r w:rsidRPr="005E3B43">
              <w:rPr>
                <w:sz w:val="16"/>
              </w:rPr>
              <w:t>70</w:t>
            </w:r>
          </w:p>
        </w:tc>
        <w:tc>
          <w:tcPr>
            <w:tcW w:w="1286" w:type="pct"/>
            <w:tcBorders>
              <w:top w:val="single" w:sz="4" w:space="0" w:color="auto"/>
              <w:bottom w:val="single" w:sz="4" w:space="0" w:color="auto"/>
            </w:tcBorders>
            <w:shd w:val="clear" w:color="auto" w:fill="auto"/>
          </w:tcPr>
          <w:p w14:paraId="310C928B" w14:textId="77777777" w:rsidR="00D64E96" w:rsidRPr="005E3B43" w:rsidRDefault="00D64E96" w:rsidP="00763BCF">
            <w:pPr>
              <w:pStyle w:val="Tabletext"/>
            </w:pPr>
            <w:r w:rsidRPr="005E3B43">
              <w:rPr>
                <w:sz w:val="16"/>
              </w:rPr>
              <w:t>12</w:t>
            </w:r>
            <w:r w:rsidR="004E6D00" w:rsidRPr="005E3B43">
              <w:rPr>
                <w:sz w:val="16"/>
              </w:rPr>
              <w:t> </w:t>
            </w:r>
            <w:r w:rsidRPr="005E3B43">
              <w:rPr>
                <w:sz w:val="16"/>
              </w:rPr>
              <w:t>May 2000</w:t>
            </w:r>
          </w:p>
        </w:tc>
        <w:tc>
          <w:tcPr>
            <w:tcW w:w="1287" w:type="pct"/>
            <w:tcBorders>
              <w:top w:val="single" w:sz="4" w:space="0" w:color="auto"/>
              <w:bottom w:val="single" w:sz="4" w:space="0" w:color="auto"/>
            </w:tcBorders>
            <w:shd w:val="clear" w:color="auto" w:fill="auto"/>
          </w:tcPr>
          <w:p w14:paraId="4A5EA680" w14:textId="77777777" w:rsidR="00D64E96" w:rsidRPr="005E3B43" w:rsidRDefault="006B5D8E" w:rsidP="00763BCF">
            <w:pPr>
              <w:pStyle w:val="Tabletext"/>
            </w:pPr>
            <w:r w:rsidRPr="005E3B43">
              <w:rPr>
                <w:sz w:val="16"/>
              </w:rPr>
              <w:t>1 July</w:t>
            </w:r>
            <w:r w:rsidR="00D64E96" w:rsidRPr="005E3B43">
              <w:rPr>
                <w:sz w:val="16"/>
              </w:rPr>
              <w:t xml:space="preserve"> 2000</w:t>
            </w:r>
          </w:p>
        </w:tc>
        <w:tc>
          <w:tcPr>
            <w:tcW w:w="1208" w:type="pct"/>
            <w:tcBorders>
              <w:top w:val="single" w:sz="4" w:space="0" w:color="auto"/>
              <w:bottom w:val="single" w:sz="4" w:space="0" w:color="auto"/>
            </w:tcBorders>
            <w:shd w:val="clear" w:color="auto" w:fill="auto"/>
          </w:tcPr>
          <w:p w14:paraId="2C266BB2" w14:textId="77777777" w:rsidR="00D64E96" w:rsidRPr="005E3B43" w:rsidRDefault="00D64E96" w:rsidP="00763BCF">
            <w:pPr>
              <w:pStyle w:val="Tabletext"/>
            </w:pPr>
            <w:r w:rsidRPr="005E3B43">
              <w:rPr>
                <w:sz w:val="16"/>
              </w:rPr>
              <w:t>—</w:t>
            </w:r>
          </w:p>
        </w:tc>
      </w:tr>
      <w:tr w:rsidR="00D64E96" w:rsidRPr="005E3B43" w14:paraId="570512C3" w14:textId="77777777" w:rsidTr="005A786D">
        <w:trPr>
          <w:cantSplit/>
        </w:trPr>
        <w:tc>
          <w:tcPr>
            <w:tcW w:w="1219" w:type="pct"/>
            <w:tcBorders>
              <w:top w:val="single" w:sz="4" w:space="0" w:color="auto"/>
              <w:bottom w:val="single" w:sz="4" w:space="0" w:color="auto"/>
            </w:tcBorders>
            <w:shd w:val="clear" w:color="auto" w:fill="auto"/>
          </w:tcPr>
          <w:p w14:paraId="2FF97506" w14:textId="77777777" w:rsidR="00D64E96" w:rsidRPr="005E3B43" w:rsidRDefault="00D64E96" w:rsidP="00763BCF">
            <w:pPr>
              <w:pStyle w:val="Tabletext"/>
            </w:pPr>
            <w:r w:rsidRPr="005E3B43">
              <w:rPr>
                <w:sz w:val="16"/>
              </w:rPr>
              <w:t>2000 No.</w:t>
            </w:r>
            <w:r w:rsidR="004E6D00" w:rsidRPr="005E3B43">
              <w:rPr>
                <w:sz w:val="16"/>
              </w:rPr>
              <w:t> </w:t>
            </w:r>
            <w:r w:rsidRPr="005E3B43">
              <w:rPr>
                <w:sz w:val="16"/>
              </w:rPr>
              <w:t>123</w:t>
            </w:r>
          </w:p>
        </w:tc>
        <w:tc>
          <w:tcPr>
            <w:tcW w:w="1286" w:type="pct"/>
            <w:tcBorders>
              <w:top w:val="single" w:sz="4" w:space="0" w:color="auto"/>
              <w:bottom w:val="single" w:sz="4" w:space="0" w:color="auto"/>
            </w:tcBorders>
            <w:shd w:val="clear" w:color="auto" w:fill="auto"/>
          </w:tcPr>
          <w:p w14:paraId="100B2D17" w14:textId="77777777" w:rsidR="00D64E96" w:rsidRPr="005E3B43" w:rsidRDefault="00D64E96" w:rsidP="00763BCF">
            <w:pPr>
              <w:pStyle w:val="Tabletext"/>
            </w:pPr>
            <w:r w:rsidRPr="005E3B43">
              <w:rPr>
                <w:sz w:val="16"/>
              </w:rPr>
              <w:t>22</w:t>
            </w:r>
            <w:r w:rsidR="004E6D00" w:rsidRPr="005E3B43">
              <w:rPr>
                <w:sz w:val="16"/>
              </w:rPr>
              <w:t> </w:t>
            </w:r>
            <w:r w:rsidRPr="005E3B43">
              <w:rPr>
                <w:sz w:val="16"/>
              </w:rPr>
              <w:t>June 2000</w:t>
            </w:r>
          </w:p>
        </w:tc>
        <w:tc>
          <w:tcPr>
            <w:tcW w:w="1287" w:type="pct"/>
            <w:tcBorders>
              <w:top w:val="single" w:sz="4" w:space="0" w:color="auto"/>
              <w:bottom w:val="single" w:sz="4" w:space="0" w:color="auto"/>
            </w:tcBorders>
            <w:shd w:val="clear" w:color="auto" w:fill="auto"/>
          </w:tcPr>
          <w:p w14:paraId="17CD90E4" w14:textId="77777777" w:rsidR="00D64E96" w:rsidRPr="005E3B43" w:rsidRDefault="00D64E96" w:rsidP="00763BCF">
            <w:pPr>
              <w:pStyle w:val="Tabletext"/>
            </w:pPr>
            <w:r w:rsidRPr="005E3B43">
              <w:rPr>
                <w:sz w:val="16"/>
              </w:rPr>
              <w:t>22</w:t>
            </w:r>
            <w:r w:rsidR="004E6D00" w:rsidRPr="005E3B43">
              <w:rPr>
                <w:sz w:val="16"/>
              </w:rPr>
              <w:t> </w:t>
            </w:r>
            <w:r w:rsidRPr="005E3B43">
              <w:rPr>
                <w:sz w:val="16"/>
              </w:rPr>
              <w:t>June 2000</w:t>
            </w:r>
          </w:p>
        </w:tc>
        <w:tc>
          <w:tcPr>
            <w:tcW w:w="1208" w:type="pct"/>
            <w:tcBorders>
              <w:top w:val="single" w:sz="4" w:space="0" w:color="auto"/>
              <w:bottom w:val="single" w:sz="4" w:space="0" w:color="auto"/>
            </w:tcBorders>
            <w:shd w:val="clear" w:color="auto" w:fill="auto"/>
          </w:tcPr>
          <w:p w14:paraId="443C43E2" w14:textId="77777777" w:rsidR="00D64E96" w:rsidRPr="005E3B43" w:rsidRDefault="00D64E96" w:rsidP="00763BCF">
            <w:pPr>
              <w:pStyle w:val="Tabletext"/>
            </w:pPr>
            <w:r w:rsidRPr="005E3B43">
              <w:rPr>
                <w:sz w:val="16"/>
              </w:rPr>
              <w:t>—</w:t>
            </w:r>
          </w:p>
        </w:tc>
      </w:tr>
      <w:tr w:rsidR="00D64E96" w:rsidRPr="005E3B43" w14:paraId="69311A58" w14:textId="77777777" w:rsidTr="005A786D">
        <w:trPr>
          <w:cantSplit/>
        </w:trPr>
        <w:tc>
          <w:tcPr>
            <w:tcW w:w="1219" w:type="pct"/>
            <w:tcBorders>
              <w:top w:val="single" w:sz="4" w:space="0" w:color="auto"/>
              <w:bottom w:val="single" w:sz="4" w:space="0" w:color="auto"/>
            </w:tcBorders>
            <w:shd w:val="clear" w:color="auto" w:fill="auto"/>
          </w:tcPr>
          <w:p w14:paraId="78AD9EA0" w14:textId="77777777" w:rsidR="00D64E96" w:rsidRPr="005E3B43" w:rsidRDefault="00D64E96" w:rsidP="00763BCF">
            <w:pPr>
              <w:pStyle w:val="Tabletext"/>
            </w:pPr>
            <w:r w:rsidRPr="005E3B43">
              <w:rPr>
                <w:sz w:val="16"/>
              </w:rPr>
              <w:t>2000 No.</w:t>
            </w:r>
            <w:r w:rsidR="004E6D00" w:rsidRPr="005E3B43">
              <w:rPr>
                <w:sz w:val="16"/>
              </w:rPr>
              <w:t> </w:t>
            </w:r>
            <w:r w:rsidRPr="005E3B43">
              <w:rPr>
                <w:sz w:val="16"/>
              </w:rPr>
              <w:t>124</w:t>
            </w:r>
          </w:p>
        </w:tc>
        <w:tc>
          <w:tcPr>
            <w:tcW w:w="1286" w:type="pct"/>
            <w:tcBorders>
              <w:top w:val="single" w:sz="4" w:space="0" w:color="auto"/>
              <w:bottom w:val="single" w:sz="4" w:space="0" w:color="auto"/>
            </w:tcBorders>
            <w:shd w:val="clear" w:color="auto" w:fill="auto"/>
          </w:tcPr>
          <w:p w14:paraId="37AB4D85" w14:textId="77777777" w:rsidR="00D64E96" w:rsidRPr="005E3B43" w:rsidRDefault="00D64E96" w:rsidP="00763BCF">
            <w:pPr>
              <w:pStyle w:val="Tabletext"/>
            </w:pPr>
            <w:r w:rsidRPr="005E3B43">
              <w:rPr>
                <w:sz w:val="16"/>
              </w:rPr>
              <w:t>22</w:t>
            </w:r>
            <w:r w:rsidR="004E6D00" w:rsidRPr="005E3B43">
              <w:rPr>
                <w:sz w:val="16"/>
              </w:rPr>
              <w:t> </w:t>
            </w:r>
            <w:r w:rsidRPr="005E3B43">
              <w:rPr>
                <w:sz w:val="16"/>
              </w:rPr>
              <w:t>June 2000</w:t>
            </w:r>
          </w:p>
        </w:tc>
        <w:tc>
          <w:tcPr>
            <w:tcW w:w="1287" w:type="pct"/>
            <w:tcBorders>
              <w:top w:val="single" w:sz="4" w:space="0" w:color="auto"/>
              <w:bottom w:val="single" w:sz="4" w:space="0" w:color="auto"/>
            </w:tcBorders>
            <w:shd w:val="clear" w:color="auto" w:fill="auto"/>
          </w:tcPr>
          <w:p w14:paraId="41C9C8A6" w14:textId="77777777" w:rsidR="00D64E96" w:rsidRPr="005E3B43" w:rsidRDefault="006B5D8E" w:rsidP="00763BCF">
            <w:pPr>
              <w:pStyle w:val="Tabletext"/>
            </w:pPr>
            <w:r w:rsidRPr="005E3B43">
              <w:rPr>
                <w:sz w:val="16"/>
              </w:rPr>
              <w:t>1 July</w:t>
            </w:r>
            <w:r w:rsidR="00D64E96" w:rsidRPr="005E3B43">
              <w:rPr>
                <w:sz w:val="16"/>
              </w:rPr>
              <w:t xml:space="preserve"> 2000</w:t>
            </w:r>
          </w:p>
        </w:tc>
        <w:tc>
          <w:tcPr>
            <w:tcW w:w="1208" w:type="pct"/>
            <w:tcBorders>
              <w:top w:val="single" w:sz="4" w:space="0" w:color="auto"/>
              <w:bottom w:val="single" w:sz="4" w:space="0" w:color="auto"/>
            </w:tcBorders>
            <w:shd w:val="clear" w:color="auto" w:fill="auto"/>
          </w:tcPr>
          <w:p w14:paraId="75236045" w14:textId="77777777" w:rsidR="00D64E96" w:rsidRPr="005E3B43" w:rsidRDefault="00D64E96" w:rsidP="00763BCF">
            <w:pPr>
              <w:pStyle w:val="Tabletext"/>
            </w:pPr>
            <w:r w:rsidRPr="005E3B43">
              <w:rPr>
                <w:sz w:val="16"/>
              </w:rPr>
              <w:t>—</w:t>
            </w:r>
          </w:p>
        </w:tc>
      </w:tr>
      <w:tr w:rsidR="00D64E96" w:rsidRPr="005E3B43" w14:paraId="56D8C15E" w14:textId="77777777" w:rsidTr="005A786D">
        <w:trPr>
          <w:cantSplit/>
        </w:trPr>
        <w:tc>
          <w:tcPr>
            <w:tcW w:w="1219" w:type="pct"/>
            <w:tcBorders>
              <w:top w:val="single" w:sz="4" w:space="0" w:color="auto"/>
              <w:bottom w:val="single" w:sz="4" w:space="0" w:color="auto"/>
            </w:tcBorders>
            <w:shd w:val="clear" w:color="auto" w:fill="auto"/>
          </w:tcPr>
          <w:p w14:paraId="1BCC95BC" w14:textId="77777777" w:rsidR="00D64E96" w:rsidRPr="005E3B43" w:rsidRDefault="00D64E96" w:rsidP="00763BCF">
            <w:pPr>
              <w:pStyle w:val="Tabletext"/>
            </w:pPr>
            <w:r w:rsidRPr="005E3B43">
              <w:rPr>
                <w:sz w:val="16"/>
              </w:rPr>
              <w:t>2000 No.</w:t>
            </w:r>
            <w:r w:rsidR="004E6D00" w:rsidRPr="005E3B43">
              <w:rPr>
                <w:sz w:val="16"/>
              </w:rPr>
              <w:t> </w:t>
            </w:r>
            <w:r w:rsidRPr="005E3B43">
              <w:rPr>
                <w:sz w:val="16"/>
              </w:rPr>
              <w:t>267</w:t>
            </w:r>
          </w:p>
        </w:tc>
        <w:tc>
          <w:tcPr>
            <w:tcW w:w="1286" w:type="pct"/>
            <w:tcBorders>
              <w:top w:val="single" w:sz="4" w:space="0" w:color="auto"/>
              <w:bottom w:val="single" w:sz="4" w:space="0" w:color="auto"/>
            </w:tcBorders>
            <w:shd w:val="clear" w:color="auto" w:fill="auto"/>
          </w:tcPr>
          <w:p w14:paraId="12991921" w14:textId="77777777" w:rsidR="00D64E96" w:rsidRPr="005E3B43" w:rsidRDefault="00D64E96" w:rsidP="00763BCF">
            <w:pPr>
              <w:pStyle w:val="Tabletext"/>
            </w:pPr>
            <w:r w:rsidRPr="005E3B43">
              <w:rPr>
                <w:sz w:val="16"/>
              </w:rPr>
              <w:t>28 Sept 2000</w:t>
            </w:r>
          </w:p>
        </w:tc>
        <w:tc>
          <w:tcPr>
            <w:tcW w:w="1287" w:type="pct"/>
            <w:tcBorders>
              <w:top w:val="single" w:sz="4" w:space="0" w:color="auto"/>
              <w:bottom w:val="single" w:sz="4" w:space="0" w:color="auto"/>
            </w:tcBorders>
            <w:shd w:val="clear" w:color="auto" w:fill="auto"/>
          </w:tcPr>
          <w:p w14:paraId="1665B393" w14:textId="77777777" w:rsidR="00D64E96" w:rsidRPr="005E3B43" w:rsidRDefault="00D64E96" w:rsidP="00763BCF">
            <w:pPr>
              <w:pStyle w:val="Tabletext"/>
            </w:pPr>
            <w:r w:rsidRPr="005E3B43">
              <w:rPr>
                <w:sz w:val="16"/>
              </w:rPr>
              <w:t>28 Sept 2000</w:t>
            </w:r>
          </w:p>
        </w:tc>
        <w:tc>
          <w:tcPr>
            <w:tcW w:w="1208" w:type="pct"/>
            <w:tcBorders>
              <w:top w:val="single" w:sz="4" w:space="0" w:color="auto"/>
              <w:bottom w:val="single" w:sz="4" w:space="0" w:color="auto"/>
            </w:tcBorders>
            <w:shd w:val="clear" w:color="auto" w:fill="auto"/>
          </w:tcPr>
          <w:p w14:paraId="56A6C4CD" w14:textId="77777777" w:rsidR="00D64E96" w:rsidRPr="005E3B43" w:rsidRDefault="00D64E96" w:rsidP="00763BCF">
            <w:pPr>
              <w:pStyle w:val="Tabletext"/>
            </w:pPr>
            <w:r w:rsidRPr="005E3B43">
              <w:rPr>
                <w:sz w:val="16"/>
              </w:rPr>
              <w:t>—</w:t>
            </w:r>
          </w:p>
        </w:tc>
      </w:tr>
      <w:tr w:rsidR="00D64E96" w:rsidRPr="005E3B43" w14:paraId="65B10D3D" w14:textId="77777777" w:rsidTr="005A786D">
        <w:trPr>
          <w:cantSplit/>
        </w:trPr>
        <w:tc>
          <w:tcPr>
            <w:tcW w:w="1219" w:type="pct"/>
            <w:tcBorders>
              <w:top w:val="single" w:sz="4" w:space="0" w:color="auto"/>
              <w:bottom w:val="single" w:sz="4" w:space="0" w:color="auto"/>
            </w:tcBorders>
            <w:shd w:val="clear" w:color="auto" w:fill="auto"/>
          </w:tcPr>
          <w:p w14:paraId="547F0545" w14:textId="77777777" w:rsidR="00D64E96" w:rsidRPr="005E3B43" w:rsidRDefault="00D64E96" w:rsidP="00763BCF">
            <w:pPr>
              <w:pStyle w:val="Tabletext"/>
            </w:pPr>
            <w:r w:rsidRPr="005E3B43">
              <w:rPr>
                <w:sz w:val="16"/>
              </w:rPr>
              <w:t>2000 No.</w:t>
            </w:r>
            <w:r w:rsidR="004E6D00" w:rsidRPr="005E3B43">
              <w:rPr>
                <w:sz w:val="16"/>
              </w:rPr>
              <w:t> </w:t>
            </w:r>
            <w:r w:rsidRPr="005E3B43">
              <w:rPr>
                <w:sz w:val="16"/>
              </w:rPr>
              <w:t>358</w:t>
            </w:r>
          </w:p>
        </w:tc>
        <w:tc>
          <w:tcPr>
            <w:tcW w:w="1286" w:type="pct"/>
            <w:tcBorders>
              <w:top w:val="single" w:sz="4" w:space="0" w:color="auto"/>
              <w:bottom w:val="single" w:sz="4" w:space="0" w:color="auto"/>
            </w:tcBorders>
            <w:shd w:val="clear" w:color="auto" w:fill="auto"/>
          </w:tcPr>
          <w:p w14:paraId="27FA04E8" w14:textId="77777777" w:rsidR="00D64E96" w:rsidRPr="005E3B43" w:rsidRDefault="00D64E96" w:rsidP="00763BCF">
            <w:pPr>
              <w:pStyle w:val="Tabletext"/>
            </w:pPr>
            <w:r w:rsidRPr="005E3B43">
              <w:rPr>
                <w:sz w:val="16"/>
              </w:rPr>
              <w:t>20 Dec 2000</w:t>
            </w:r>
          </w:p>
        </w:tc>
        <w:tc>
          <w:tcPr>
            <w:tcW w:w="1287" w:type="pct"/>
            <w:tcBorders>
              <w:top w:val="single" w:sz="4" w:space="0" w:color="auto"/>
              <w:bottom w:val="single" w:sz="4" w:space="0" w:color="auto"/>
            </w:tcBorders>
            <w:shd w:val="clear" w:color="auto" w:fill="auto"/>
          </w:tcPr>
          <w:p w14:paraId="3D9AEDC8" w14:textId="77777777" w:rsidR="00D64E96" w:rsidRPr="005E3B43" w:rsidRDefault="00D64E96" w:rsidP="00763BCF">
            <w:pPr>
              <w:pStyle w:val="Tabletext"/>
            </w:pPr>
            <w:r w:rsidRPr="005E3B43">
              <w:rPr>
                <w:sz w:val="16"/>
              </w:rPr>
              <w:t>20 Dec 2000</w:t>
            </w:r>
          </w:p>
        </w:tc>
        <w:tc>
          <w:tcPr>
            <w:tcW w:w="1208" w:type="pct"/>
            <w:tcBorders>
              <w:top w:val="single" w:sz="4" w:space="0" w:color="auto"/>
              <w:bottom w:val="single" w:sz="4" w:space="0" w:color="auto"/>
            </w:tcBorders>
            <w:shd w:val="clear" w:color="auto" w:fill="auto"/>
          </w:tcPr>
          <w:p w14:paraId="7BA0DFA7" w14:textId="77777777" w:rsidR="00D64E96" w:rsidRPr="005E3B43" w:rsidRDefault="00D64E96" w:rsidP="00763BCF">
            <w:pPr>
              <w:pStyle w:val="Tabletext"/>
            </w:pPr>
            <w:r w:rsidRPr="005E3B43">
              <w:rPr>
                <w:sz w:val="16"/>
              </w:rPr>
              <w:t>—</w:t>
            </w:r>
          </w:p>
        </w:tc>
      </w:tr>
      <w:tr w:rsidR="00D64E96" w:rsidRPr="005E3B43" w14:paraId="14107F1E" w14:textId="77777777" w:rsidTr="005A786D">
        <w:trPr>
          <w:cantSplit/>
        </w:trPr>
        <w:tc>
          <w:tcPr>
            <w:tcW w:w="1219" w:type="pct"/>
            <w:tcBorders>
              <w:top w:val="single" w:sz="4" w:space="0" w:color="auto"/>
              <w:bottom w:val="single" w:sz="4" w:space="0" w:color="auto"/>
            </w:tcBorders>
            <w:shd w:val="clear" w:color="auto" w:fill="auto"/>
          </w:tcPr>
          <w:p w14:paraId="5455DBDD" w14:textId="77777777" w:rsidR="00D64E96" w:rsidRPr="005E3B43" w:rsidRDefault="00D64E96" w:rsidP="00763BCF">
            <w:pPr>
              <w:pStyle w:val="Tabletext"/>
            </w:pPr>
            <w:r w:rsidRPr="005E3B43">
              <w:rPr>
                <w:sz w:val="16"/>
              </w:rPr>
              <w:t>2001 No.</w:t>
            </w:r>
            <w:r w:rsidR="004E6D00" w:rsidRPr="005E3B43">
              <w:rPr>
                <w:sz w:val="16"/>
              </w:rPr>
              <w:t> </w:t>
            </w:r>
            <w:r w:rsidRPr="005E3B43">
              <w:rPr>
                <w:sz w:val="16"/>
              </w:rPr>
              <w:t>159</w:t>
            </w:r>
          </w:p>
        </w:tc>
        <w:tc>
          <w:tcPr>
            <w:tcW w:w="1286" w:type="pct"/>
            <w:tcBorders>
              <w:top w:val="single" w:sz="4" w:space="0" w:color="auto"/>
              <w:bottom w:val="single" w:sz="4" w:space="0" w:color="auto"/>
            </w:tcBorders>
            <w:shd w:val="clear" w:color="auto" w:fill="auto"/>
          </w:tcPr>
          <w:p w14:paraId="7CE08D0A" w14:textId="77777777" w:rsidR="00D64E96" w:rsidRPr="005E3B43" w:rsidRDefault="00D64E96" w:rsidP="00763BCF">
            <w:pPr>
              <w:pStyle w:val="Tabletext"/>
            </w:pPr>
            <w:r w:rsidRPr="005E3B43">
              <w:rPr>
                <w:sz w:val="16"/>
              </w:rPr>
              <w:t>29</w:t>
            </w:r>
            <w:r w:rsidR="004E6D00" w:rsidRPr="005E3B43">
              <w:rPr>
                <w:sz w:val="16"/>
              </w:rPr>
              <w:t> </w:t>
            </w:r>
            <w:r w:rsidRPr="005E3B43">
              <w:rPr>
                <w:sz w:val="16"/>
              </w:rPr>
              <w:t>June 2001</w:t>
            </w:r>
          </w:p>
        </w:tc>
        <w:tc>
          <w:tcPr>
            <w:tcW w:w="1287" w:type="pct"/>
            <w:tcBorders>
              <w:top w:val="single" w:sz="4" w:space="0" w:color="auto"/>
              <w:bottom w:val="single" w:sz="4" w:space="0" w:color="auto"/>
            </w:tcBorders>
            <w:shd w:val="clear" w:color="auto" w:fill="auto"/>
          </w:tcPr>
          <w:p w14:paraId="4D8FBE14" w14:textId="77777777" w:rsidR="00D64E96" w:rsidRPr="005E3B43" w:rsidRDefault="00D64E96" w:rsidP="00763BCF">
            <w:pPr>
              <w:pStyle w:val="Tabletext"/>
            </w:pPr>
            <w:r w:rsidRPr="005E3B43">
              <w:rPr>
                <w:sz w:val="16"/>
              </w:rPr>
              <w:t>29</w:t>
            </w:r>
            <w:r w:rsidR="004E6D00" w:rsidRPr="005E3B43">
              <w:rPr>
                <w:sz w:val="16"/>
              </w:rPr>
              <w:t> </w:t>
            </w:r>
            <w:r w:rsidRPr="005E3B43">
              <w:rPr>
                <w:sz w:val="16"/>
              </w:rPr>
              <w:t>June 2001</w:t>
            </w:r>
          </w:p>
        </w:tc>
        <w:tc>
          <w:tcPr>
            <w:tcW w:w="1208" w:type="pct"/>
            <w:tcBorders>
              <w:top w:val="single" w:sz="4" w:space="0" w:color="auto"/>
              <w:bottom w:val="single" w:sz="4" w:space="0" w:color="auto"/>
            </w:tcBorders>
            <w:shd w:val="clear" w:color="auto" w:fill="auto"/>
          </w:tcPr>
          <w:p w14:paraId="1E7BF270" w14:textId="77777777" w:rsidR="00D64E96" w:rsidRPr="005E3B43" w:rsidRDefault="00D64E96" w:rsidP="00763BCF">
            <w:pPr>
              <w:pStyle w:val="Tabletext"/>
            </w:pPr>
            <w:r w:rsidRPr="005E3B43">
              <w:rPr>
                <w:sz w:val="16"/>
              </w:rPr>
              <w:t>—</w:t>
            </w:r>
          </w:p>
        </w:tc>
      </w:tr>
      <w:tr w:rsidR="00D64E96" w:rsidRPr="005E3B43" w14:paraId="432269BC" w14:textId="77777777" w:rsidTr="005A786D">
        <w:trPr>
          <w:cantSplit/>
        </w:trPr>
        <w:tc>
          <w:tcPr>
            <w:tcW w:w="1219" w:type="pct"/>
            <w:tcBorders>
              <w:top w:val="single" w:sz="4" w:space="0" w:color="auto"/>
              <w:bottom w:val="single" w:sz="4" w:space="0" w:color="auto"/>
            </w:tcBorders>
            <w:shd w:val="clear" w:color="auto" w:fill="auto"/>
          </w:tcPr>
          <w:p w14:paraId="57E95FDD" w14:textId="77777777" w:rsidR="00D64E96" w:rsidRPr="005E3B43" w:rsidRDefault="00D64E96" w:rsidP="00763BCF">
            <w:pPr>
              <w:pStyle w:val="Tabletext"/>
            </w:pPr>
            <w:r w:rsidRPr="005E3B43">
              <w:rPr>
                <w:sz w:val="16"/>
              </w:rPr>
              <w:t>2001 No.</w:t>
            </w:r>
            <w:r w:rsidR="004E6D00" w:rsidRPr="005E3B43">
              <w:rPr>
                <w:sz w:val="16"/>
              </w:rPr>
              <w:t> </w:t>
            </w:r>
            <w:r w:rsidRPr="005E3B43">
              <w:rPr>
                <w:sz w:val="16"/>
              </w:rPr>
              <w:t>160</w:t>
            </w:r>
          </w:p>
        </w:tc>
        <w:tc>
          <w:tcPr>
            <w:tcW w:w="1286" w:type="pct"/>
            <w:tcBorders>
              <w:top w:val="single" w:sz="4" w:space="0" w:color="auto"/>
              <w:bottom w:val="single" w:sz="4" w:space="0" w:color="auto"/>
            </w:tcBorders>
            <w:shd w:val="clear" w:color="auto" w:fill="auto"/>
          </w:tcPr>
          <w:p w14:paraId="2F0F8371" w14:textId="77777777" w:rsidR="00D64E96" w:rsidRPr="005E3B43" w:rsidRDefault="00D64E96" w:rsidP="00763BCF">
            <w:pPr>
              <w:pStyle w:val="Tabletext"/>
            </w:pPr>
            <w:r w:rsidRPr="005E3B43">
              <w:rPr>
                <w:sz w:val="16"/>
              </w:rPr>
              <w:t>29</w:t>
            </w:r>
            <w:r w:rsidR="004E6D00" w:rsidRPr="005E3B43">
              <w:rPr>
                <w:sz w:val="16"/>
              </w:rPr>
              <w:t> </w:t>
            </w:r>
            <w:r w:rsidRPr="005E3B43">
              <w:rPr>
                <w:sz w:val="16"/>
              </w:rPr>
              <w:t>June 2001</w:t>
            </w:r>
          </w:p>
        </w:tc>
        <w:tc>
          <w:tcPr>
            <w:tcW w:w="1287" w:type="pct"/>
            <w:tcBorders>
              <w:top w:val="single" w:sz="4" w:space="0" w:color="auto"/>
              <w:bottom w:val="single" w:sz="4" w:space="0" w:color="auto"/>
            </w:tcBorders>
            <w:shd w:val="clear" w:color="auto" w:fill="auto"/>
          </w:tcPr>
          <w:p w14:paraId="01325DF2" w14:textId="77777777" w:rsidR="00D64E96" w:rsidRPr="005E3B43" w:rsidRDefault="006B5D8E" w:rsidP="00763BCF">
            <w:pPr>
              <w:pStyle w:val="Tabletext"/>
            </w:pPr>
            <w:r w:rsidRPr="005E3B43">
              <w:rPr>
                <w:sz w:val="16"/>
              </w:rPr>
              <w:t>1 July</w:t>
            </w:r>
            <w:r w:rsidR="00D64E96" w:rsidRPr="005E3B43">
              <w:rPr>
                <w:sz w:val="16"/>
              </w:rPr>
              <w:t xml:space="preserve"> 2001</w:t>
            </w:r>
          </w:p>
        </w:tc>
        <w:tc>
          <w:tcPr>
            <w:tcW w:w="1208" w:type="pct"/>
            <w:tcBorders>
              <w:top w:val="single" w:sz="4" w:space="0" w:color="auto"/>
              <w:bottom w:val="single" w:sz="4" w:space="0" w:color="auto"/>
            </w:tcBorders>
            <w:shd w:val="clear" w:color="auto" w:fill="auto"/>
          </w:tcPr>
          <w:p w14:paraId="044AC2DE" w14:textId="77777777" w:rsidR="00D64E96" w:rsidRPr="005E3B43" w:rsidRDefault="00D64E96" w:rsidP="00763BCF">
            <w:pPr>
              <w:pStyle w:val="Tabletext"/>
            </w:pPr>
            <w:r w:rsidRPr="005E3B43">
              <w:rPr>
                <w:sz w:val="16"/>
              </w:rPr>
              <w:t>—</w:t>
            </w:r>
          </w:p>
        </w:tc>
      </w:tr>
      <w:tr w:rsidR="00D64E96" w:rsidRPr="005E3B43" w14:paraId="2720DCDB" w14:textId="77777777" w:rsidTr="005A786D">
        <w:trPr>
          <w:cantSplit/>
        </w:trPr>
        <w:tc>
          <w:tcPr>
            <w:tcW w:w="1219" w:type="pct"/>
            <w:tcBorders>
              <w:top w:val="single" w:sz="4" w:space="0" w:color="auto"/>
              <w:bottom w:val="single" w:sz="4" w:space="0" w:color="auto"/>
            </w:tcBorders>
            <w:shd w:val="clear" w:color="auto" w:fill="auto"/>
          </w:tcPr>
          <w:p w14:paraId="1A3F2148" w14:textId="77777777" w:rsidR="00D64E96" w:rsidRPr="005E3B43" w:rsidRDefault="00D64E96" w:rsidP="00763BCF">
            <w:pPr>
              <w:pStyle w:val="Tabletext"/>
            </w:pPr>
            <w:r w:rsidRPr="005E3B43">
              <w:rPr>
                <w:sz w:val="16"/>
              </w:rPr>
              <w:t>2001 No.</w:t>
            </w:r>
            <w:r w:rsidR="004E6D00" w:rsidRPr="005E3B43">
              <w:rPr>
                <w:sz w:val="16"/>
              </w:rPr>
              <w:t> </w:t>
            </w:r>
            <w:r w:rsidRPr="005E3B43">
              <w:rPr>
                <w:sz w:val="16"/>
              </w:rPr>
              <w:t>252</w:t>
            </w:r>
          </w:p>
        </w:tc>
        <w:tc>
          <w:tcPr>
            <w:tcW w:w="1286" w:type="pct"/>
            <w:tcBorders>
              <w:top w:val="single" w:sz="4" w:space="0" w:color="auto"/>
              <w:bottom w:val="single" w:sz="4" w:space="0" w:color="auto"/>
            </w:tcBorders>
            <w:shd w:val="clear" w:color="auto" w:fill="auto"/>
          </w:tcPr>
          <w:p w14:paraId="02EC826E" w14:textId="77777777" w:rsidR="00D64E96" w:rsidRPr="005E3B43" w:rsidRDefault="00D64E96" w:rsidP="00763BCF">
            <w:pPr>
              <w:pStyle w:val="Tabletext"/>
            </w:pPr>
            <w:r w:rsidRPr="005E3B43">
              <w:rPr>
                <w:sz w:val="16"/>
              </w:rPr>
              <w:t>20 Sept 2001</w:t>
            </w:r>
          </w:p>
        </w:tc>
        <w:tc>
          <w:tcPr>
            <w:tcW w:w="1287" w:type="pct"/>
            <w:tcBorders>
              <w:top w:val="single" w:sz="4" w:space="0" w:color="auto"/>
              <w:bottom w:val="single" w:sz="4" w:space="0" w:color="auto"/>
            </w:tcBorders>
            <w:shd w:val="clear" w:color="auto" w:fill="auto"/>
          </w:tcPr>
          <w:p w14:paraId="46545D13" w14:textId="77777777" w:rsidR="00D64E96" w:rsidRPr="005E3B43" w:rsidRDefault="00D64E96" w:rsidP="00763BCF">
            <w:pPr>
              <w:pStyle w:val="Tabletext"/>
            </w:pPr>
            <w:r w:rsidRPr="005E3B43">
              <w:rPr>
                <w:sz w:val="16"/>
              </w:rPr>
              <w:t>22 Sept 2001 (</w:t>
            </w:r>
            <w:r w:rsidRPr="005E3B43">
              <w:rPr>
                <w:i/>
                <w:sz w:val="16"/>
              </w:rPr>
              <w:t>see</w:t>
            </w:r>
            <w:r w:rsidRPr="005E3B43">
              <w:rPr>
                <w:sz w:val="16"/>
              </w:rPr>
              <w:t xml:space="preserve"> r. 2)</w:t>
            </w:r>
          </w:p>
        </w:tc>
        <w:tc>
          <w:tcPr>
            <w:tcW w:w="1208" w:type="pct"/>
            <w:tcBorders>
              <w:top w:val="single" w:sz="4" w:space="0" w:color="auto"/>
              <w:bottom w:val="single" w:sz="4" w:space="0" w:color="auto"/>
            </w:tcBorders>
            <w:shd w:val="clear" w:color="auto" w:fill="auto"/>
          </w:tcPr>
          <w:p w14:paraId="2D8374B4" w14:textId="77777777" w:rsidR="00D64E96" w:rsidRPr="005E3B43" w:rsidRDefault="00D64E96" w:rsidP="00763BCF">
            <w:pPr>
              <w:pStyle w:val="Tabletext"/>
            </w:pPr>
            <w:r w:rsidRPr="005E3B43">
              <w:rPr>
                <w:sz w:val="16"/>
              </w:rPr>
              <w:t>—</w:t>
            </w:r>
          </w:p>
        </w:tc>
      </w:tr>
      <w:tr w:rsidR="00D64E96" w:rsidRPr="005E3B43" w14:paraId="44EE2B8F" w14:textId="77777777" w:rsidTr="005A786D">
        <w:trPr>
          <w:cantSplit/>
        </w:trPr>
        <w:tc>
          <w:tcPr>
            <w:tcW w:w="1219" w:type="pct"/>
            <w:tcBorders>
              <w:top w:val="single" w:sz="4" w:space="0" w:color="auto"/>
              <w:bottom w:val="single" w:sz="4" w:space="0" w:color="auto"/>
            </w:tcBorders>
            <w:shd w:val="clear" w:color="auto" w:fill="auto"/>
          </w:tcPr>
          <w:p w14:paraId="32C591A1" w14:textId="77777777" w:rsidR="00D64E96" w:rsidRPr="005E3B43" w:rsidRDefault="00D64E96" w:rsidP="00763BCF">
            <w:pPr>
              <w:pStyle w:val="Tabletext"/>
            </w:pPr>
            <w:r w:rsidRPr="005E3B43">
              <w:rPr>
                <w:sz w:val="16"/>
              </w:rPr>
              <w:t>2001 No.</w:t>
            </w:r>
            <w:r w:rsidR="004E6D00" w:rsidRPr="005E3B43">
              <w:rPr>
                <w:sz w:val="16"/>
              </w:rPr>
              <w:t> </w:t>
            </w:r>
            <w:r w:rsidRPr="005E3B43">
              <w:rPr>
                <w:sz w:val="16"/>
              </w:rPr>
              <w:t>343</w:t>
            </w:r>
          </w:p>
        </w:tc>
        <w:tc>
          <w:tcPr>
            <w:tcW w:w="1286" w:type="pct"/>
            <w:tcBorders>
              <w:top w:val="single" w:sz="4" w:space="0" w:color="auto"/>
              <w:bottom w:val="single" w:sz="4" w:space="0" w:color="auto"/>
            </w:tcBorders>
            <w:shd w:val="clear" w:color="auto" w:fill="auto"/>
          </w:tcPr>
          <w:p w14:paraId="60709FAF" w14:textId="77777777" w:rsidR="00D64E96" w:rsidRPr="005E3B43" w:rsidRDefault="00D64E96" w:rsidP="00763BCF">
            <w:pPr>
              <w:pStyle w:val="Tabletext"/>
            </w:pPr>
            <w:r w:rsidRPr="005E3B43">
              <w:rPr>
                <w:sz w:val="16"/>
              </w:rPr>
              <w:t>21 Dec 2001</w:t>
            </w:r>
          </w:p>
        </w:tc>
        <w:tc>
          <w:tcPr>
            <w:tcW w:w="1287" w:type="pct"/>
            <w:tcBorders>
              <w:top w:val="single" w:sz="4" w:space="0" w:color="auto"/>
              <w:bottom w:val="single" w:sz="4" w:space="0" w:color="auto"/>
            </w:tcBorders>
            <w:shd w:val="clear" w:color="auto" w:fill="auto"/>
          </w:tcPr>
          <w:p w14:paraId="5BAAE061" w14:textId="77777777" w:rsidR="00D64E96" w:rsidRPr="005E3B43" w:rsidRDefault="00D64E96" w:rsidP="00763BCF">
            <w:pPr>
              <w:pStyle w:val="Tabletext"/>
            </w:pPr>
            <w:r w:rsidRPr="005E3B43">
              <w:rPr>
                <w:sz w:val="16"/>
              </w:rPr>
              <w:t>rr.</w:t>
            </w:r>
            <w:r w:rsidR="004E6D00" w:rsidRPr="005E3B43">
              <w:rPr>
                <w:sz w:val="16"/>
              </w:rPr>
              <w:t> </w:t>
            </w:r>
            <w:r w:rsidRPr="005E3B43">
              <w:rPr>
                <w:sz w:val="16"/>
              </w:rPr>
              <w:t xml:space="preserve">1–3 and </w:t>
            </w:r>
            <w:r w:rsidR="008D1B4F" w:rsidRPr="005E3B43">
              <w:rPr>
                <w:sz w:val="16"/>
              </w:rPr>
              <w:t>Schedule 1</w:t>
            </w:r>
            <w:r w:rsidRPr="005E3B43">
              <w:rPr>
                <w:sz w:val="16"/>
              </w:rPr>
              <w:t>: 30 Sept 2001</w:t>
            </w:r>
            <w:r w:rsidRPr="005E3B43">
              <w:rPr>
                <w:sz w:val="16"/>
              </w:rPr>
              <w:br/>
              <w:t>Remainder: 21 Dec 2001</w:t>
            </w:r>
          </w:p>
        </w:tc>
        <w:tc>
          <w:tcPr>
            <w:tcW w:w="1208" w:type="pct"/>
            <w:tcBorders>
              <w:top w:val="single" w:sz="4" w:space="0" w:color="auto"/>
              <w:bottom w:val="single" w:sz="4" w:space="0" w:color="auto"/>
            </w:tcBorders>
            <w:shd w:val="clear" w:color="auto" w:fill="auto"/>
          </w:tcPr>
          <w:p w14:paraId="456EC0FB" w14:textId="77777777" w:rsidR="00D64E96" w:rsidRPr="005E3B43" w:rsidRDefault="00D64E96" w:rsidP="00763BCF">
            <w:pPr>
              <w:pStyle w:val="Tabletext"/>
            </w:pPr>
            <w:r w:rsidRPr="005E3B43">
              <w:rPr>
                <w:sz w:val="16"/>
              </w:rPr>
              <w:t>—</w:t>
            </w:r>
          </w:p>
        </w:tc>
      </w:tr>
      <w:tr w:rsidR="00D64E96" w:rsidRPr="005E3B43" w14:paraId="474F315C" w14:textId="77777777" w:rsidTr="005A786D">
        <w:trPr>
          <w:cantSplit/>
        </w:trPr>
        <w:tc>
          <w:tcPr>
            <w:tcW w:w="1219" w:type="pct"/>
            <w:tcBorders>
              <w:top w:val="single" w:sz="4" w:space="0" w:color="auto"/>
              <w:bottom w:val="single" w:sz="4" w:space="0" w:color="auto"/>
            </w:tcBorders>
            <w:shd w:val="clear" w:color="auto" w:fill="auto"/>
          </w:tcPr>
          <w:p w14:paraId="0009E6A5" w14:textId="77777777" w:rsidR="00D64E96" w:rsidRPr="005E3B43" w:rsidRDefault="00D64E96" w:rsidP="00763BCF">
            <w:pPr>
              <w:pStyle w:val="Tabletext"/>
            </w:pPr>
            <w:r w:rsidRPr="005E3B43">
              <w:rPr>
                <w:sz w:val="16"/>
              </w:rPr>
              <w:t>2002 No.</w:t>
            </w:r>
            <w:r w:rsidR="004E6D00" w:rsidRPr="005E3B43">
              <w:rPr>
                <w:sz w:val="16"/>
              </w:rPr>
              <w:t> </w:t>
            </w:r>
            <w:r w:rsidRPr="005E3B43">
              <w:rPr>
                <w:sz w:val="16"/>
              </w:rPr>
              <w:t>9</w:t>
            </w:r>
          </w:p>
        </w:tc>
        <w:tc>
          <w:tcPr>
            <w:tcW w:w="1286" w:type="pct"/>
            <w:tcBorders>
              <w:top w:val="single" w:sz="4" w:space="0" w:color="auto"/>
              <w:bottom w:val="single" w:sz="4" w:space="0" w:color="auto"/>
            </w:tcBorders>
            <w:shd w:val="clear" w:color="auto" w:fill="auto"/>
          </w:tcPr>
          <w:p w14:paraId="16E1E551" w14:textId="77777777" w:rsidR="00D64E96" w:rsidRPr="005E3B43" w:rsidRDefault="00D64E96" w:rsidP="00763BCF">
            <w:pPr>
              <w:pStyle w:val="Tabletext"/>
            </w:pPr>
            <w:r w:rsidRPr="005E3B43">
              <w:rPr>
                <w:sz w:val="16"/>
              </w:rPr>
              <w:t>21 Feb 2002</w:t>
            </w:r>
          </w:p>
        </w:tc>
        <w:tc>
          <w:tcPr>
            <w:tcW w:w="1287" w:type="pct"/>
            <w:tcBorders>
              <w:top w:val="single" w:sz="4" w:space="0" w:color="auto"/>
              <w:bottom w:val="single" w:sz="4" w:space="0" w:color="auto"/>
            </w:tcBorders>
            <w:shd w:val="clear" w:color="auto" w:fill="auto"/>
          </w:tcPr>
          <w:p w14:paraId="73270FB1" w14:textId="77777777" w:rsidR="00D64E96" w:rsidRPr="005E3B43" w:rsidRDefault="00D64E96" w:rsidP="00763BCF">
            <w:pPr>
              <w:pStyle w:val="Tabletext"/>
            </w:pPr>
            <w:r w:rsidRPr="005E3B43">
              <w:rPr>
                <w:sz w:val="16"/>
              </w:rPr>
              <w:t>21 Feb 2002</w:t>
            </w:r>
          </w:p>
        </w:tc>
        <w:tc>
          <w:tcPr>
            <w:tcW w:w="1208" w:type="pct"/>
            <w:tcBorders>
              <w:top w:val="single" w:sz="4" w:space="0" w:color="auto"/>
              <w:bottom w:val="single" w:sz="4" w:space="0" w:color="auto"/>
            </w:tcBorders>
            <w:shd w:val="clear" w:color="auto" w:fill="auto"/>
          </w:tcPr>
          <w:p w14:paraId="3C91FACC" w14:textId="77777777" w:rsidR="00D64E96" w:rsidRPr="005E3B43" w:rsidRDefault="00D64E96" w:rsidP="00763BCF">
            <w:pPr>
              <w:pStyle w:val="Tabletext"/>
            </w:pPr>
            <w:r w:rsidRPr="005E3B43">
              <w:rPr>
                <w:sz w:val="16"/>
              </w:rPr>
              <w:t>—</w:t>
            </w:r>
          </w:p>
        </w:tc>
      </w:tr>
      <w:tr w:rsidR="00D64E96" w:rsidRPr="005E3B43" w14:paraId="5E44DAC3" w14:textId="77777777" w:rsidTr="005A786D">
        <w:trPr>
          <w:cantSplit/>
        </w:trPr>
        <w:tc>
          <w:tcPr>
            <w:tcW w:w="1219" w:type="pct"/>
            <w:tcBorders>
              <w:top w:val="single" w:sz="4" w:space="0" w:color="auto"/>
              <w:bottom w:val="single" w:sz="4" w:space="0" w:color="auto"/>
            </w:tcBorders>
            <w:shd w:val="clear" w:color="auto" w:fill="auto"/>
          </w:tcPr>
          <w:p w14:paraId="44257AAD" w14:textId="77777777" w:rsidR="00D64E96" w:rsidRPr="005E3B43" w:rsidRDefault="00D64E96" w:rsidP="00763BCF">
            <w:pPr>
              <w:pStyle w:val="Tabletext"/>
            </w:pPr>
            <w:r w:rsidRPr="005E3B43">
              <w:rPr>
                <w:sz w:val="16"/>
              </w:rPr>
              <w:t>2002 No.</w:t>
            </w:r>
            <w:r w:rsidR="004E6D00" w:rsidRPr="005E3B43">
              <w:rPr>
                <w:sz w:val="16"/>
              </w:rPr>
              <w:t> </w:t>
            </w:r>
            <w:r w:rsidRPr="005E3B43">
              <w:rPr>
                <w:sz w:val="16"/>
              </w:rPr>
              <w:t>84</w:t>
            </w:r>
          </w:p>
        </w:tc>
        <w:tc>
          <w:tcPr>
            <w:tcW w:w="1286" w:type="pct"/>
            <w:tcBorders>
              <w:top w:val="single" w:sz="4" w:space="0" w:color="auto"/>
              <w:bottom w:val="single" w:sz="4" w:space="0" w:color="auto"/>
            </w:tcBorders>
            <w:shd w:val="clear" w:color="auto" w:fill="auto"/>
          </w:tcPr>
          <w:p w14:paraId="6CE01A08" w14:textId="77777777" w:rsidR="00D64E96" w:rsidRPr="005E3B43" w:rsidRDefault="00D64E96" w:rsidP="00763BCF">
            <w:pPr>
              <w:pStyle w:val="Tabletext"/>
            </w:pPr>
            <w:r w:rsidRPr="005E3B43">
              <w:rPr>
                <w:sz w:val="16"/>
              </w:rPr>
              <w:t>9</w:t>
            </w:r>
            <w:r w:rsidR="004E6D00" w:rsidRPr="005E3B43">
              <w:rPr>
                <w:sz w:val="16"/>
              </w:rPr>
              <w:t> </w:t>
            </w:r>
            <w:r w:rsidRPr="005E3B43">
              <w:rPr>
                <w:sz w:val="16"/>
              </w:rPr>
              <w:t>May 2002</w:t>
            </w:r>
          </w:p>
        </w:tc>
        <w:tc>
          <w:tcPr>
            <w:tcW w:w="1287" w:type="pct"/>
            <w:tcBorders>
              <w:top w:val="single" w:sz="4" w:space="0" w:color="auto"/>
              <w:bottom w:val="single" w:sz="4" w:space="0" w:color="auto"/>
            </w:tcBorders>
            <w:shd w:val="clear" w:color="auto" w:fill="auto"/>
          </w:tcPr>
          <w:p w14:paraId="6C53A747" w14:textId="77777777" w:rsidR="00D64E96" w:rsidRPr="005E3B43" w:rsidRDefault="00D64E96" w:rsidP="00763BCF">
            <w:pPr>
              <w:pStyle w:val="Tabletext"/>
            </w:pPr>
            <w:r w:rsidRPr="005E3B43">
              <w:rPr>
                <w:sz w:val="16"/>
              </w:rPr>
              <w:t>9</w:t>
            </w:r>
            <w:r w:rsidR="004E6D00" w:rsidRPr="005E3B43">
              <w:rPr>
                <w:sz w:val="16"/>
              </w:rPr>
              <w:t> </w:t>
            </w:r>
            <w:r w:rsidRPr="005E3B43">
              <w:rPr>
                <w:sz w:val="16"/>
              </w:rPr>
              <w:t>May 2002</w:t>
            </w:r>
          </w:p>
        </w:tc>
        <w:tc>
          <w:tcPr>
            <w:tcW w:w="1208" w:type="pct"/>
            <w:tcBorders>
              <w:top w:val="single" w:sz="4" w:space="0" w:color="auto"/>
              <w:bottom w:val="single" w:sz="4" w:space="0" w:color="auto"/>
            </w:tcBorders>
            <w:shd w:val="clear" w:color="auto" w:fill="auto"/>
          </w:tcPr>
          <w:p w14:paraId="60455117" w14:textId="77777777" w:rsidR="00D64E96" w:rsidRPr="005E3B43" w:rsidRDefault="00D64E96" w:rsidP="00763BCF">
            <w:pPr>
              <w:pStyle w:val="Tabletext"/>
            </w:pPr>
            <w:r w:rsidRPr="005E3B43">
              <w:rPr>
                <w:sz w:val="16"/>
              </w:rPr>
              <w:t>—</w:t>
            </w:r>
          </w:p>
        </w:tc>
      </w:tr>
      <w:tr w:rsidR="00D64E96" w:rsidRPr="005E3B43" w14:paraId="5FED3661" w14:textId="77777777" w:rsidTr="005A786D">
        <w:trPr>
          <w:cantSplit/>
        </w:trPr>
        <w:tc>
          <w:tcPr>
            <w:tcW w:w="1219" w:type="pct"/>
            <w:tcBorders>
              <w:top w:val="single" w:sz="4" w:space="0" w:color="auto"/>
              <w:bottom w:val="single" w:sz="4" w:space="0" w:color="auto"/>
            </w:tcBorders>
            <w:shd w:val="clear" w:color="auto" w:fill="auto"/>
          </w:tcPr>
          <w:p w14:paraId="12894AE7" w14:textId="77777777" w:rsidR="00D64E96" w:rsidRPr="005E3B43" w:rsidRDefault="00D64E96" w:rsidP="00763BCF">
            <w:pPr>
              <w:pStyle w:val="Tabletext"/>
            </w:pPr>
            <w:r w:rsidRPr="005E3B43">
              <w:rPr>
                <w:sz w:val="16"/>
              </w:rPr>
              <w:t>2002 No.</w:t>
            </w:r>
            <w:r w:rsidR="004E6D00" w:rsidRPr="005E3B43">
              <w:rPr>
                <w:sz w:val="16"/>
              </w:rPr>
              <w:t> </w:t>
            </w:r>
            <w:r w:rsidRPr="005E3B43">
              <w:rPr>
                <w:sz w:val="16"/>
              </w:rPr>
              <w:t>114</w:t>
            </w:r>
          </w:p>
        </w:tc>
        <w:tc>
          <w:tcPr>
            <w:tcW w:w="1286" w:type="pct"/>
            <w:tcBorders>
              <w:top w:val="single" w:sz="4" w:space="0" w:color="auto"/>
              <w:bottom w:val="single" w:sz="4" w:space="0" w:color="auto"/>
            </w:tcBorders>
            <w:shd w:val="clear" w:color="auto" w:fill="auto"/>
          </w:tcPr>
          <w:p w14:paraId="380B2E26" w14:textId="77777777" w:rsidR="00D64E96" w:rsidRPr="005E3B43" w:rsidRDefault="00D64E96" w:rsidP="00763BCF">
            <w:pPr>
              <w:pStyle w:val="Tabletext"/>
            </w:pPr>
            <w:r w:rsidRPr="005E3B43">
              <w:rPr>
                <w:sz w:val="16"/>
              </w:rPr>
              <w:t>7</w:t>
            </w:r>
            <w:r w:rsidR="004E6D00" w:rsidRPr="005E3B43">
              <w:rPr>
                <w:sz w:val="16"/>
              </w:rPr>
              <w:t> </w:t>
            </w:r>
            <w:r w:rsidRPr="005E3B43">
              <w:rPr>
                <w:sz w:val="16"/>
              </w:rPr>
              <w:t>June 2002</w:t>
            </w:r>
          </w:p>
        </w:tc>
        <w:tc>
          <w:tcPr>
            <w:tcW w:w="1287" w:type="pct"/>
            <w:tcBorders>
              <w:top w:val="single" w:sz="4" w:space="0" w:color="auto"/>
              <w:bottom w:val="single" w:sz="4" w:space="0" w:color="auto"/>
            </w:tcBorders>
            <w:shd w:val="clear" w:color="auto" w:fill="auto"/>
          </w:tcPr>
          <w:p w14:paraId="1FF6446B" w14:textId="77777777" w:rsidR="00D64E96" w:rsidRPr="005E3B43" w:rsidRDefault="00D64E96" w:rsidP="00763BCF">
            <w:pPr>
              <w:pStyle w:val="Tabletext"/>
            </w:pPr>
            <w:r w:rsidRPr="005E3B43">
              <w:rPr>
                <w:sz w:val="16"/>
              </w:rPr>
              <w:t>7</w:t>
            </w:r>
            <w:r w:rsidR="004E6D00" w:rsidRPr="005E3B43">
              <w:rPr>
                <w:sz w:val="16"/>
              </w:rPr>
              <w:t> </w:t>
            </w:r>
            <w:r w:rsidRPr="005E3B43">
              <w:rPr>
                <w:sz w:val="16"/>
              </w:rPr>
              <w:t>June 2002</w:t>
            </w:r>
          </w:p>
        </w:tc>
        <w:tc>
          <w:tcPr>
            <w:tcW w:w="1208" w:type="pct"/>
            <w:tcBorders>
              <w:top w:val="single" w:sz="4" w:space="0" w:color="auto"/>
              <w:bottom w:val="single" w:sz="4" w:space="0" w:color="auto"/>
            </w:tcBorders>
            <w:shd w:val="clear" w:color="auto" w:fill="auto"/>
          </w:tcPr>
          <w:p w14:paraId="45AB83D4" w14:textId="77777777" w:rsidR="00D64E96" w:rsidRPr="005E3B43" w:rsidRDefault="00D64E96" w:rsidP="00763BCF">
            <w:pPr>
              <w:pStyle w:val="Tabletext"/>
            </w:pPr>
            <w:r w:rsidRPr="005E3B43">
              <w:rPr>
                <w:sz w:val="16"/>
              </w:rPr>
              <w:t>—</w:t>
            </w:r>
          </w:p>
        </w:tc>
      </w:tr>
      <w:tr w:rsidR="00D64E96" w:rsidRPr="005E3B43" w14:paraId="10297919" w14:textId="77777777" w:rsidTr="005A786D">
        <w:trPr>
          <w:cantSplit/>
        </w:trPr>
        <w:tc>
          <w:tcPr>
            <w:tcW w:w="1219" w:type="pct"/>
            <w:tcBorders>
              <w:top w:val="single" w:sz="4" w:space="0" w:color="auto"/>
              <w:bottom w:val="single" w:sz="4" w:space="0" w:color="auto"/>
            </w:tcBorders>
            <w:shd w:val="clear" w:color="auto" w:fill="auto"/>
          </w:tcPr>
          <w:p w14:paraId="2A4C0354" w14:textId="77777777" w:rsidR="00D64E96" w:rsidRPr="005E3B43" w:rsidRDefault="00D64E96" w:rsidP="00763BCF">
            <w:pPr>
              <w:pStyle w:val="Tabletext"/>
            </w:pPr>
            <w:r w:rsidRPr="005E3B43">
              <w:rPr>
                <w:sz w:val="16"/>
              </w:rPr>
              <w:t>2002 No.</w:t>
            </w:r>
            <w:r w:rsidR="004E6D00" w:rsidRPr="005E3B43">
              <w:rPr>
                <w:sz w:val="16"/>
              </w:rPr>
              <w:t> </w:t>
            </w:r>
            <w:r w:rsidRPr="005E3B43">
              <w:rPr>
                <w:sz w:val="16"/>
              </w:rPr>
              <w:t>143</w:t>
            </w:r>
          </w:p>
        </w:tc>
        <w:tc>
          <w:tcPr>
            <w:tcW w:w="1286" w:type="pct"/>
            <w:tcBorders>
              <w:top w:val="single" w:sz="4" w:space="0" w:color="auto"/>
              <w:bottom w:val="single" w:sz="4" w:space="0" w:color="auto"/>
            </w:tcBorders>
            <w:shd w:val="clear" w:color="auto" w:fill="auto"/>
          </w:tcPr>
          <w:p w14:paraId="41286A0F" w14:textId="77777777" w:rsidR="00D64E96" w:rsidRPr="005E3B43" w:rsidRDefault="006B5D8E" w:rsidP="00763BCF">
            <w:pPr>
              <w:pStyle w:val="Tabletext"/>
            </w:pPr>
            <w:r w:rsidRPr="005E3B43">
              <w:rPr>
                <w:sz w:val="16"/>
              </w:rPr>
              <w:t>27 June</w:t>
            </w:r>
            <w:r w:rsidR="00D64E96" w:rsidRPr="005E3B43">
              <w:rPr>
                <w:sz w:val="16"/>
              </w:rPr>
              <w:t xml:space="preserve"> 2002</w:t>
            </w:r>
          </w:p>
        </w:tc>
        <w:tc>
          <w:tcPr>
            <w:tcW w:w="1287" w:type="pct"/>
            <w:tcBorders>
              <w:top w:val="single" w:sz="4" w:space="0" w:color="auto"/>
              <w:bottom w:val="single" w:sz="4" w:space="0" w:color="auto"/>
            </w:tcBorders>
            <w:shd w:val="clear" w:color="auto" w:fill="auto"/>
          </w:tcPr>
          <w:p w14:paraId="4679924C" w14:textId="77777777" w:rsidR="00D64E96" w:rsidRPr="005E3B43" w:rsidRDefault="006B5D8E" w:rsidP="00763BCF">
            <w:pPr>
              <w:pStyle w:val="Tabletext"/>
            </w:pPr>
            <w:r w:rsidRPr="005E3B43">
              <w:rPr>
                <w:sz w:val="16"/>
              </w:rPr>
              <w:t>1 July</w:t>
            </w:r>
            <w:r w:rsidR="00D64E96" w:rsidRPr="005E3B43">
              <w:rPr>
                <w:sz w:val="16"/>
              </w:rPr>
              <w:t xml:space="preserve"> 2002</w:t>
            </w:r>
          </w:p>
        </w:tc>
        <w:tc>
          <w:tcPr>
            <w:tcW w:w="1208" w:type="pct"/>
            <w:tcBorders>
              <w:top w:val="single" w:sz="4" w:space="0" w:color="auto"/>
              <w:bottom w:val="single" w:sz="4" w:space="0" w:color="auto"/>
            </w:tcBorders>
            <w:shd w:val="clear" w:color="auto" w:fill="auto"/>
          </w:tcPr>
          <w:p w14:paraId="40EE4713" w14:textId="77777777" w:rsidR="00D64E96" w:rsidRPr="005E3B43" w:rsidRDefault="00D64E96" w:rsidP="00763BCF">
            <w:pPr>
              <w:pStyle w:val="Tabletext"/>
            </w:pPr>
            <w:r w:rsidRPr="005E3B43">
              <w:rPr>
                <w:sz w:val="16"/>
              </w:rPr>
              <w:t>—</w:t>
            </w:r>
          </w:p>
        </w:tc>
      </w:tr>
      <w:tr w:rsidR="00D64E96" w:rsidRPr="005E3B43" w14:paraId="78827171" w14:textId="77777777" w:rsidTr="005A786D">
        <w:trPr>
          <w:cantSplit/>
        </w:trPr>
        <w:tc>
          <w:tcPr>
            <w:tcW w:w="1219" w:type="pct"/>
            <w:tcBorders>
              <w:top w:val="single" w:sz="4" w:space="0" w:color="auto"/>
              <w:bottom w:val="single" w:sz="4" w:space="0" w:color="auto"/>
            </w:tcBorders>
            <w:shd w:val="clear" w:color="auto" w:fill="auto"/>
          </w:tcPr>
          <w:p w14:paraId="22177BB7" w14:textId="77777777" w:rsidR="00D64E96" w:rsidRPr="005E3B43" w:rsidRDefault="00D64E96" w:rsidP="00763BCF">
            <w:pPr>
              <w:pStyle w:val="Tabletext"/>
            </w:pPr>
            <w:r w:rsidRPr="005E3B43">
              <w:rPr>
                <w:sz w:val="16"/>
              </w:rPr>
              <w:t>2002 No.</w:t>
            </w:r>
            <w:r w:rsidR="004E6D00" w:rsidRPr="005E3B43">
              <w:rPr>
                <w:sz w:val="16"/>
              </w:rPr>
              <w:t> </w:t>
            </w:r>
            <w:r w:rsidRPr="005E3B43">
              <w:rPr>
                <w:sz w:val="16"/>
              </w:rPr>
              <w:t>234</w:t>
            </w:r>
          </w:p>
        </w:tc>
        <w:tc>
          <w:tcPr>
            <w:tcW w:w="1286" w:type="pct"/>
            <w:tcBorders>
              <w:top w:val="single" w:sz="4" w:space="0" w:color="auto"/>
              <w:bottom w:val="single" w:sz="4" w:space="0" w:color="auto"/>
            </w:tcBorders>
            <w:shd w:val="clear" w:color="auto" w:fill="auto"/>
          </w:tcPr>
          <w:p w14:paraId="79F1E7D4" w14:textId="77777777" w:rsidR="00D64E96" w:rsidRPr="005E3B43" w:rsidRDefault="00D64E96" w:rsidP="00763BCF">
            <w:pPr>
              <w:pStyle w:val="Tabletext"/>
            </w:pPr>
            <w:r w:rsidRPr="005E3B43">
              <w:rPr>
                <w:sz w:val="16"/>
              </w:rPr>
              <w:t>4 Oct 2002</w:t>
            </w:r>
          </w:p>
        </w:tc>
        <w:tc>
          <w:tcPr>
            <w:tcW w:w="1287" w:type="pct"/>
            <w:tcBorders>
              <w:top w:val="single" w:sz="4" w:space="0" w:color="auto"/>
              <w:bottom w:val="single" w:sz="4" w:space="0" w:color="auto"/>
            </w:tcBorders>
            <w:shd w:val="clear" w:color="auto" w:fill="auto"/>
          </w:tcPr>
          <w:p w14:paraId="5057B3BD" w14:textId="77777777" w:rsidR="00D64E96" w:rsidRPr="005E3B43" w:rsidRDefault="00D64E96" w:rsidP="00763BCF">
            <w:pPr>
              <w:pStyle w:val="Tabletext"/>
            </w:pPr>
            <w:r w:rsidRPr="005E3B43">
              <w:rPr>
                <w:sz w:val="16"/>
              </w:rPr>
              <w:t>4 Oct 2002 (</w:t>
            </w:r>
            <w:r w:rsidRPr="005E3B43">
              <w:rPr>
                <w:i/>
                <w:sz w:val="16"/>
              </w:rPr>
              <w:t>see</w:t>
            </w:r>
            <w:r w:rsidRPr="005E3B43">
              <w:rPr>
                <w:sz w:val="16"/>
              </w:rPr>
              <w:t xml:space="preserve"> r. 2)</w:t>
            </w:r>
          </w:p>
        </w:tc>
        <w:tc>
          <w:tcPr>
            <w:tcW w:w="1208" w:type="pct"/>
            <w:tcBorders>
              <w:top w:val="single" w:sz="4" w:space="0" w:color="auto"/>
              <w:bottom w:val="single" w:sz="4" w:space="0" w:color="auto"/>
            </w:tcBorders>
            <w:shd w:val="clear" w:color="auto" w:fill="auto"/>
          </w:tcPr>
          <w:p w14:paraId="4F974016" w14:textId="77777777" w:rsidR="00D64E96" w:rsidRPr="005E3B43" w:rsidRDefault="00D64E96" w:rsidP="00763BCF">
            <w:pPr>
              <w:pStyle w:val="Tabletext"/>
            </w:pPr>
            <w:r w:rsidRPr="005E3B43">
              <w:rPr>
                <w:sz w:val="16"/>
              </w:rPr>
              <w:t>—</w:t>
            </w:r>
          </w:p>
        </w:tc>
      </w:tr>
      <w:tr w:rsidR="00D64E96" w:rsidRPr="005E3B43" w14:paraId="55D979F9" w14:textId="77777777" w:rsidTr="005A786D">
        <w:trPr>
          <w:cantSplit/>
        </w:trPr>
        <w:tc>
          <w:tcPr>
            <w:tcW w:w="1219" w:type="pct"/>
            <w:tcBorders>
              <w:top w:val="single" w:sz="4" w:space="0" w:color="auto"/>
              <w:bottom w:val="single" w:sz="4" w:space="0" w:color="auto"/>
            </w:tcBorders>
            <w:shd w:val="clear" w:color="auto" w:fill="auto"/>
          </w:tcPr>
          <w:p w14:paraId="3F46FA01" w14:textId="77777777" w:rsidR="00D64E96" w:rsidRPr="005E3B43" w:rsidRDefault="00D64E96" w:rsidP="00763BCF">
            <w:pPr>
              <w:pStyle w:val="Tabletext"/>
            </w:pPr>
            <w:r w:rsidRPr="005E3B43">
              <w:rPr>
                <w:sz w:val="16"/>
              </w:rPr>
              <w:t>2002 No.</w:t>
            </w:r>
            <w:r w:rsidR="004E6D00" w:rsidRPr="005E3B43">
              <w:rPr>
                <w:sz w:val="16"/>
              </w:rPr>
              <w:t> </w:t>
            </w:r>
            <w:r w:rsidRPr="005E3B43">
              <w:rPr>
                <w:sz w:val="16"/>
              </w:rPr>
              <w:t>315</w:t>
            </w:r>
          </w:p>
        </w:tc>
        <w:tc>
          <w:tcPr>
            <w:tcW w:w="1286" w:type="pct"/>
            <w:tcBorders>
              <w:top w:val="single" w:sz="4" w:space="0" w:color="auto"/>
              <w:bottom w:val="single" w:sz="4" w:space="0" w:color="auto"/>
            </w:tcBorders>
            <w:shd w:val="clear" w:color="auto" w:fill="auto"/>
          </w:tcPr>
          <w:p w14:paraId="20F1DF3E" w14:textId="77777777" w:rsidR="00D64E96" w:rsidRPr="005E3B43" w:rsidRDefault="00D64E96" w:rsidP="00763BCF">
            <w:pPr>
              <w:pStyle w:val="Tabletext"/>
            </w:pPr>
            <w:r w:rsidRPr="005E3B43">
              <w:rPr>
                <w:sz w:val="16"/>
              </w:rPr>
              <w:t>19 Dec 2002</w:t>
            </w:r>
          </w:p>
        </w:tc>
        <w:tc>
          <w:tcPr>
            <w:tcW w:w="1287" w:type="pct"/>
            <w:tcBorders>
              <w:top w:val="single" w:sz="4" w:space="0" w:color="auto"/>
              <w:bottom w:val="single" w:sz="4" w:space="0" w:color="auto"/>
            </w:tcBorders>
            <w:shd w:val="clear" w:color="auto" w:fill="auto"/>
          </w:tcPr>
          <w:p w14:paraId="7A0E100E" w14:textId="77777777" w:rsidR="00D64E96" w:rsidRPr="005E3B43" w:rsidRDefault="00D64E96" w:rsidP="00763BCF">
            <w:pPr>
              <w:pStyle w:val="Tabletext"/>
            </w:pPr>
            <w:r w:rsidRPr="005E3B43">
              <w:rPr>
                <w:sz w:val="16"/>
              </w:rPr>
              <w:t>rr.</w:t>
            </w:r>
            <w:r w:rsidR="004E6D00" w:rsidRPr="005E3B43">
              <w:rPr>
                <w:sz w:val="16"/>
              </w:rPr>
              <w:t> </w:t>
            </w:r>
            <w:r w:rsidRPr="005E3B43">
              <w:rPr>
                <w:sz w:val="16"/>
              </w:rPr>
              <w:t xml:space="preserve">1–3 and </w:t>
            </w:r>
            <w:r w:rsidR="008D1B4F" w:rsidRPr="005E3B43">
              <w:rPr>
                <w:sz w:val="16"/>
              </w:rPr>
              <w:t>Schedule 1</w:t>
            </w:r>
            <w:r w:rsidRPr="005E3B43">
              <w:rPr>
                <w:sz w:val="16"/>
              </w:rPr>
              <w:t>: 19 Dec 2002</w:t>
            </w:r>
            <w:r w:rsidRPr="005E3B43">
              <w:rPr>
                <w:sz w:val="16"/>
              </w:rPr>
              <w:br/>
              <w:t>Remainder: 1 Jan 2003</w:t>
            </w:r>
          </w:p>
        </w:tc>
        <w:tc>
          <w:tcPr>
            <w:tcW w:w="1208" w:type="pct"/>
            <w:tcBorders>
              <w:top w:val="single" w:sz="4" w:space="0" w:color="auto"/>
              <w:bottom w:val="single" w:sz="4" w:space="0" w:color="auto"/>
            </w:tcBorders>
            <w:shd w:val="clear" w:color="auto" w:fill="auto"/>
          </w:tcPr>
          <w:p w14:paraId="088AF4AE" w14:textId="77777777" w:rsidR="00D64E96" w:rsidRPr="005E3B43" w:rsidRDefault="00D64E96" w:rsidP="00763BCF">
            <w:pPr>
              <w:pStyle w:val="Tabletext"/>
            </w:pPr>
            <w:r w:rsidRPr="005E3B43">
              <w:rPr>
                <w:sz w:val="16"/>
              </w:rPr>
              <w:t>—</w:t>
            </w:r>
          </w:p>
        </w:tc>
      </w:tr>
      <w:tr w:rsidR="00D64E96" w:rsidRPr="005E3B43" w14:paraId="671A4ADB" w14:textId="77777777" w:rsidTr="005A786D">
        <w:trPr>
          <w:cantSplit/>
        </w:trPr>
        <w:tc>
          <w:tcPr>
            <w:tcW w:w="1219" w:type="pct"/>
            <w:tcBorders>
              <w:top w:val="single" w:sz="4" w:space="0" w:color="auto"/>
              <w:bottom w:val="single" w:sz="4" w:space="0" w:color="auto"/>
            </w:tcBorders>
            <w:shd w:val="clear" w:color="auto" w:fill="auto"/>
          </w:tcPr>
          <w:p w14:paraId="1329193B" w14:textId="77777777" w:rsidR="00D64E96" w:rsidRPr="005E3B43" w:rsidRDefault="00D64E96" w:rsidP="00763BCF">
            <w:pPr>
              <w:pStyle w:val="Tabletext"/>
            </w:pPr>
            <w:r w:rsidRPr="005E3B43">
              <w:rPr>
                <w:sz w:val="16"/>
              </w:rPr>
              <w:t>2002 No.</w:t>
            </w:r>
            <w:r w:rsidR="004E6D00" w:rsidRPr="005E3B43">
              <w:rPr>
                <w:sz w:val="16"/>
              </w:rPr>
              <w:t> </w:t>
            </w:r>
            <w:r w:rsidRPr="005E3B43">
              <w:rPr>
                <w:sz w:val="16"/>
              </w:rPr>
              <w:t>345</w:t>
            </w:r>
          </w:p>
        </w:tc>
        <w:tc>
          <w:tcPr>
            <w:tcW w:w="1286" w:type="pct"/>
            <w:tcBorders>
              <w:top w:val="single" w:sz="4" w:space="0" w:color="auto"/>
              <w:bottom w:val="single" w:sz="4" w:space="0" w:color="auto"/>
            </w:tcBorders>
            <w:shd w:val="clear" w:color="auto" w:fill="auto"/>
          </w:tcPr>
          <w:p w14:paraId="2AB9A2C2" w14:textId="77777777" w:rsidR="00D64E96" w:rsidRPr="005E3B43" w:rsidRDefault="00D64E96" w:rsidP="00763BCF">
            <w:pPr>
              <w:pStyle w:val="Tabletext"/>
            </w:pPr>
            <w:r w:rsidRPr="005E3B43">
              <w:rPr>
                <w:sz w:val="16"/>
              </w:rPr>
              <w:t>20 Dec 2002</w:t>
            </w:r>
          </w:p>
        </w:tc>
        <w:tc>
          <w:tcPr>
            <w:tcW w:w="1287" w:type="pct"/>
            <w:tcBorders>
              <w:top w:val="single" w:sz="4" w:space="0" w:color="auto"/>
              <w:bottom w:val="single" w:sz="4" w:space="0" w:color="auto"/>
            </w:tcBorders>
            <w:shd w:val="clear" w:color="auto" w:fill="auto"/>
          </w:tcPr>
          <w:p w14:paraId="2EA5BA67" w14:textId="77777777" w:rsidR="00D64E96" w:rsidRPr="005E3B43" w:rsidRDefault="00D64E96" w:rsidP="00763BCF">
            <w:pPr>
              <w:pStyle w:val="Tabletext"/>
            </w:pPr>
            <w:r w:rsidRPr="005E3B43">
              <w:rPr>
                <w:sz w:val="16"/>
              </w:rPr>
              <w:t>rr.</w:t>
            </w:r>
            <w:r w:rsidR="004E6D00" w:rsidRPr="005E3B43">
              <w:rPr>
                <w:sz w:val="16"/>
              </w:rPr>
              <w:t> </w:t>
            </w:r>
            <w:r w:rsidRPr="005E3B43">
              <w:rPr>
                <w:sz w:val="16"/>
              </w:rPr>
              <w:t xml:space="preserve">1–3 and </w:t>
            </w:r>
            <w:r w:rsidR="008D1B4F" w:rsidRPr="005E3B43">
              <w:rPr>
                <w:sz w:val="16"/>
              </w:rPr>
              <w:t>Schedule 1</w:t>
            </w:r>
            <w:r w:rsidRPr="005E3B43">
              <w:rPr>
                <w:sz w:val="16"/>
              </w:rPr>
              <w:t>: 20 Dec 2002</w:t>
            </w:r>
            <w:r w:rsidRPr="005E3B43">
              <w:rPr>
                <w:sz w:val="16"/>
              </w:rPr>
              <w:br/>
              <w:t>Remainder: 1 Jan 2003</w:t>
            </w:r>
          </w:p>
        </w:tc>
        <w:tc>
          <w:tcPr>
            <w:tcW w:w="1208" w:type="pct"/>
            <w:tcBorders>
              <w:top w:val="single" w:sz="4" w:space="0" w:color="auto"/>
              <w:bottom w:val="single" w:sz="4" w:space="0" w:color="auto"/>
            </w:tcBorders>
            <w:shd w:val="clear" w:color="auto" w:fill="auto"/>
          </w:tcPr>
          <w:p w14:paraId="26ECD7AA" w14:textId="77777777" w:rsidR="00D64E96" w:rsidRPr="005E3B43" w:rsidRDefault="00D64E96" w:rsidP="00763BCF">
            <w:pPr>
              <w:pStyle w:val="Tabletext"/>
            </w:pPr>
            <w:r w:rsidRPr="005E3B43">
              <w:rPr>
                <w:sz w:val="16"/>
              </w:rPr>
              <w:t>—</w:t>
            </w:r>
          </w:p>
        </w:tc>
      </w:tr>
      <w:tr w:rsidR="00D64E96" w:rsidRPr="005E3B43" w14:paraId="58800A47" w14:textId="77777777" w:rsidTr="005A786D">
        <w:trPr>
          <w:cantSplit/>
        </w:trPr>
        <w:tc>
          <w:tcPr>
            <w:tcW w:w="1219" w:type="pct"/>
            <w:tcBorders>
              <w:top w:val="single" w:sz="4" w:space="0" w:color="auto"/>
              <w:bottom w:val="single" w:sz="4" w:space="0" w:color="auto"/>
            </w:tcBorders>
            <w:shd w:val="clear" w:color="auto" w:fill="auto"/>
          </w:tcPr>
          <w:p w14:paraId="76B692F0" w14:textId="77777777" w:rsidR="00D64E96" w:rsidRPr="005E3B43" w:rsidRDefault="00D64E96" w:rsidP="00763BCF">
            <w:pPr>
              <w:pStyle w:val="Tabletext"/>
            </w:pPr>
            <w:r w:rsidRPr="005E3B43">
              <w:rPr>
                <w:sz w:val="16"/>
              </w:rPr>
              <w:lastRenderedPageBreak/>
              <w:t>2003 No.</w:t>
            </w:r>
            <w:r w:rsidR="004E6D00" w:rsidRPr="005E3B43">
              <w:rPr>
                <w:sz w:val="16"/>
              </w:rPr>
              <w:t> </w:t>
            </w:r>
            <w:r w:rsidRPr="005E3B43">
              <w:rPr>
                <w:sz w:val="16"/>
              </w:rPr>
              <w:t>111</w:t>
            </w:r>
          </w:p>
        </w:tc>
        <w:tc>
          <w:tcPr>
            <w:tcW w:w="1286" w:type="pct"/>
            <w:tcBorders>
              <w:top w:val="single" w:sz="4" w:space="0" w:color="auto"/>
              <w:bottom w:val="single" w:sz="4" w:space="0" w:color="auto"/>
            </w:tcBorders>
            <w:shd w:val="clear" w:color="auto" w:fill="auto"/>
          </w:tcPr>
          <w:p w14:paraId="55300A28" w14:textId="77777777" w:rsidR="00D64E96" w:rsidRPr="005E3B43" w:rsidRDefault="0039288B" w:rsidP="00763BCF">
            <w:pPr>
              <w:pStyle w:val="Tabletext"/>
            </w:pPr>
            <w:r w:rsidRPr="005E3B43">
              <w:rPr>
                <w:sz w:val="16"/>
              </w:rPr>
              <w:t>13 June</w:t>
            </w:r>
            <w:r w:rsidR="00D64E96" w:rsidRPr="005E3B43">
              <w:rPr>
                <w:sz w:val="16"/>
              </w:rPr>
              <w:t xml:space="preserve"> 2003</w:t>
            </w:r>
          </w:p>
        </w:tc>
        <w:tc>
          <w:tcPr>
            <w:tcW w:w="1287" w:type="pct"/>
            <w:tcBorders>
              <w:top w:val="single" w:sz="4" w:space="0" w:color="auto"/>
              <w:bottom w:val="single" w:sz="4" w:space="0" w:color="auto"/>
            </w:tcBorders>
            <w:shd w:val="clear" w:color="auto" w:fill="auto"/>
          </w:tcPr>
          <w:p w14:paraId="2F027BDF" w14:textId="77777777" w:rsidR="00D64E96" w:rsidRPr="005E3B43" w:rsidRDefault="0039288B" w:rsidP="00763BCF">
            <w:pPr>
              <w:pStyle w:val="Tabletext"/>
            </w:pPr>
            <w:r w:rsidRPr="005E3B43">
              <w:rPr>
                <w:sz w:val="16"/>
              </w:rPr>
              <w:t>13 June</w:t>
            </w:r>
            <w:r w:rsidR="00D64E96" w:rsidRPr="005E3B43">
              <w:rPr>
                <w:sz w:val="16"/>
              </w:rPr>
              <w:t xml:space="preserve"> 2003</w:t>
            </w:r>
          </w:p>
        </w:tc>
        <w:tc>
          <w:tcPr>
            <w:tcW w:w="1208" w:type="pct"/>
            <w:tcBorders>
              <w:top w:val="single" w:sz="4" w:space="0" w:color="auto"/>
              <w:bottom w:val="single" w:sz="4" w:space="0" w:color="auto"/>
            </w:tcBorders>
            <w:shd w:val="clear" w:color="auto" w:fill="auto"/>
          </w:tcPr>
          <w:p w14:paraId="0D56DD9A" w14:textId="77777777" w:rsidR="00D64E96" w:rsidRPr="005E3B43" w:rsidRDefault="00D64E96" w:rsidP="00763BCF">
            <w:pPr>
              <w:pStyle w:val="Tabletext"/>
            </w:pPr>
            <w:r w:rsidRPr="005E3B43">
              <w:rPr>
                <w:sz w:val="16"/>
              </w:rPr>
              <w:t>—</w:t>
            </w:r>
          </w:p>
        </w:tc>
      </w:tr>
      <w:tr w:rsidR="00D64E96" w:rsidRPr="005E3B43" w14:paraId="3CA10AA9" w14:textId="77777777" w:rsidTr="005A786D">
        <w:trPr>
          <w:cantSplit/>
        </w:trPr>
        <w:tc>
          <w:tcPr>
            <w:tcW w:w="1219" w:type="pct"/>
            <w:tcBorders>
              <w:top w:val="single" w:sz="4" w:space="0" w:color="auto"/>
              <w:bottom w:val="single" w:sz="4" w:space="0" w:color="auto"/>
            </w:tcBorders>
            <w:shd w:val="clear" w:color="auto" w:fill="auto"/>
          </w:tcPr>
          <w:p w14:paraId="43171B83" w14:textId="77777777" w:rsidR="00D64E96" w:rsidRPr="005E3B43" w:rsidRDefault="00D64E96" w:rsidP="00763BCF">
            <w:pPr>
              <w:pStyle w:val="Tabletext"/>
            </w:pPr>
            <w:r w:rsidRPr="005E3B43">
              <w:rPr>
                <w:sz w:val="16"/>
              </w:rPr>
              <w:t>2003 No.</w:t>
            </w:r>
            <w:r w:rsidR="004E6D00" w:rsidRPr="005E3B43">
              <w:rPr>
                <w:sz w:val="16"/>
              </w:rPr>
              <w:t> </w:t>
            </w:r>
            <w:r w:rsidRPr="005E3B43">
              <w:rPr>
                <w:sz w:val="16"/>
              </w:rPr>
              <w:t>151</w:t>
            </w:r>
          </w:p>
        </w:tc>
        <w:tc>
          <w:tcPr>
            <w:tcW w:w="1286" w:type="pct"/>
            <w:tcBorders>
              <w:top w:val="single" w:sz="4" w:space="0" w:color="auto"/>
              <w:bottom w:val="single" w:sz="4" w:space="0" w:color="auto"/>
            </w:tcBorders>
            <w:shd w:val="clear" w:color="auto" w:fill="auto"/>
          </w:tcPr>
          <w:p w14:paraId="688742A2" w14:textId="77777777" w:rsidR="00D64E96" w:rsidRPr="005E3B43" w:rsidRDefault="00D64E96" w:rsidP="00763BCF">
            <w:pPr>
              <w:pStyle w:val="Tabletext"/>
            </w:pPr>
            <w:r w:rsidRPr="005E3B43">
              <w:rPr>
                <w:sz w:val="16"/>
              </w:rPr>
              <w:t>26</w:t>
            </w:r>
            <w:r w:rsidR="004E6D00" w:rsidRPr="005E3B43">
              <w:rPr>
                <w:sz w:val="16"/>
              </w:rPr>
              <w:t> </w:t>
            </w:r>
            <w:r w:rsidRPr="005E3B43">
              <w:rPr>
                <w:sz w:val="16"/>
              </w:rPr>
              <w:t>June 2003</w:t>
            </w:r>
          </w:p>
        </w:tc>
        <w:tc>
          <w:tcPr>
            <w:tcW w:w="1287" w:type="pct"/>
            <w:tcBorders>
              <w:top w:val="single" w:sz="4" w:space="0" w:color="auto"/>
              <w:bottom w:val="single" w:sz="4" w:space="0" w:color="auto"/>
            </w:tcBorders>
            <w:shd w:val="clear" w:color="auto" w:fill="auto"/>
          </w:tcPr>
          <w:p w14:paraId="28143D16" w14:textId="77777777" w:rsidR="00D64E96" w:rsidRPr="005E3B43" w:rsidRDefault="006B5D8E" w:rsidP="00763BCF">
            <w:pPr>
              <w:pStyle w:val="Tabletext"/>
            </w:pPr>
            <w:r w:rsidRPr="005E3B43">
              <w:rPr>
                <w:sz w:val="16"/>
              </w:rPr>
              <w:t>1 July</w:t>
            </w:r>
            <w:r w:rsidR="00D64E96" w:rsidRPr="005E3B43">
              <w:rPr>
                <w:sz w:val="16"/>
              </w:rPr>
              <w:t xml:space="preserve"> 2003</w:t>
            </w:r>
          </w:p>
        </w:tc>
        <w:tc>
          <w:tcPr>
            <w:tcW w:w="1208" w:type="pct"/>
            <w:tcBorders>
              <w:top w:val="single" w:sz="4" w:space="0" w:color="auto"/>
              <w:bottom w:val="single" w:sz="4" w:space="0" w:color="auto"/>
            </w:tcBorders>
            <w:shd w:val="clear" w:color="auto" w:fill="auto"/>
          </w:tcPr>
          <w:p w14:paraId="2B782E9D" w14:textId="77777777" w:rsidR="00D64E96" w:rsidRPr="005E3B43" w:rsidRDefault="00D64E96" w:rsidP="00763BCF">
            <w:pPr>
              <w:pStyle w:val="Tabletext"/>
            </w:pPr>
            <w:r w:rsidRPr="005E3B43">
              <w:rPr>
                <w:sz w:val="16"/>
              </w:rPr>
              <w:t>—</w:t>
            </w:r>
          </w:p>
        </w:tc>
      </w:tr>
      <w:tr w:rsidR="00D64E96" w:rsidRPr="005E3B43" w14:paraId="1E6E08A2" w14:textId="77777777" w:rsidTr="005A786D">
        <w:trPr>
          <w:cantSplit/>
        </w:trPr>
        <w:tc>
          <w:tcPr>
            <w:tcW w:w="1219" w:type="pct"/>
            <w:tcBorders>
              <w:top w:val="single" w:sz="4" w:space="0" w:color="auto"/>
              <w:bottom w:val="single" w:sz="4" w:space="0" w:color="auto"/>
            </w:tcBorders>
            <w:shd w:val="clear" w:color="auto" w:fill="auto"/>
          </w:tcPr>
          <w:p w14:paraId="0922D621" w14:textId="77777777" w:rsidR="00D64E96" w:rsidRPr="005E3B43" w:rsidRDefault="00D64E96" w:rsidP="00763BCF">
            <w:pPr>
              <w:pStyle w:val="Tabletext"/>
            </w:pPr>
            <w:r w:rsidRPr="005E3B43">
              <w:rPr>
                <w:sz w:val="16"/>
              </w:rPr>
              <w:t>2003 No.</w:t>
            </w:r>
            <w:r w:rsidR="004E6D00" w:rsidRPr="005E3B43">
              <w:rPr>
                <w:sz w:val="16"/>
              </w:rPr>
              <w:t> </w:t>
            </w:r>
            <w:r w:rsidRPr="005E3B43">
              <w:rPr>
                <w:sz w:val="16"/>
              </w:rPr>
              <w:t>257</w:t>
            </w:r>
          </w:p>
        </w:tc>
        <w:tc>
          <w:tcPr>
            <w:tcW w:w="1286" w:type="pct"/>
            <w:tcBorders>
              <w:top w:val="single" w:sz="4" w:space="0" w:color="auto"/>
              <w:bottom w:val="single" w:sz="4" w:space="0" w:color="auto"/>
            </w:tcBorders>
            <w:shd w:val="clear" w:color="auto" w:fill="auto"/>
          </w:tcPr>
          <w:p w14:paraId="187D7693" w14:textId="77777777" w:rsidR="00D64E96" w:rsidRPr="005E3B43" w:rsidRDefault="00D64E96" w:rsidP="00763BCF">
            <w:pPr>
              <w:pStyle w:val="Tabletext"/>
            </w:pPr>
            <w:r w:rsidRPr="005E3B43">
              <w:rPr>
                <w:sz w:val="16"/>
              </w:rPr>
              <w:t>16 Oct 2003</w:t>
            </w:r>
          </w:p>
        </w:tc>
        <w:tc>
          <w:tcPr>
            <w:tcW w:w="1287" w:type="pct"/>
            <w:tcBorders>
              <w:top w:val="single" w:sz="4" w:space="0" w:color="auto"/>
              <w:bottom w:val="single" w:sz="4" w:space="0" w:color="auto"/>
            </w:tcBorders>
            <w:shd w:val="clear" w:color="auto" w:fill="auto"/>
          </w:tcPr>
          <w:p w14:paraId="203A9CED" w14:textId="77777777" w:rsidR="00D64E96" w:rsidRPr="005E3B43" w:rsidRDefault="00D64E96" w:rsidP="00763BCF">
            <w:pPr>
              <w:pStyle w:val="Tabletext"/>
            </w:pPr>
            <w:r w:rsidRPr="005E3B43">
              <w:rPr>
                <w:sz w:val="16"/>
              </w:rPr>
              <w:t>16 Oct 2003</w:t>
            </w:r>
          </w:p>
        </w:tc>
        <w:tc>
          <w:tcPr>
            <w:tcW w:w="1208" w:type="pct"/>
            <w:tcBorders>
              <w:top w:val="single" w:sz="4" w:space="0" w:color="auto"/>
              <w:bottom w:val="single" w:sz="4" w:space="0" w:color="auto"/>
            </w:tcBorders>
            <w:shd w:val="clear" w:color="auto" w:fill="auto"/>
          </w:tcPr>
          <w:p w14:paraId="03A2FA6E" w14:textId="77777777" w:rsidR="00D64E96" w:rsidRPr="005E3B43" w:rsidRDefault="00D64E96" w:rsidP="00763BCF">
            <w:pPr>
              <w:pStyle w:val="Tabletext"/>
            </w:pPr>
            <w:r w:rsidRPr="005E3B43">
              <w:rPr>
                <w:sz w:val="16"/>
              </w:rPr>
              <w:t>—</w:t>
            </w:r>
          </w:p>
        </w:tc>
      </w:tr>
      <w:tr w:rsidR="00D64E96" w:rsidRPr="005E3B43" w14:paraId="51010A9A" w14:textId="77777777" w:rsidTr="005A786D">
        <w:trPr>
          <w:cantSplit/>
        </w:trPr>
        <w:tc>
          <w:tcPr>
            <w:tcW w:w="1219" w:type="pct"/>
            <w:tcBorders>
              <w:top w:val="single" w:sz="4" w:space="0" w:color="auto"/>
              <w:bottom w:val="single" w:sz="4" w:space="0" w:color="auto"/>
            </w:tcBorders>
            <w:shd w:val="clear" w:color="auto" w:fill="auto"/>
          </w:tcPr>
          <w:p w14:paraId="7E4DEAF1" w14:textId="77777777" w:rsidR="00D64E96" w:rsidRPr="005E3B43" w:rsidRDefault="00D64E96" w:rsidP="00763BCF">
            <w:pPr>
              <w:pStyle w:val="Tabletext"/>
            </w:pPr>
            <w:r w:rsidRPr="005E3B43">
              <w:rPr>
                <w:sz w:val="16"/>
              </w:rPr>
              <w:t>2003 No.</w:t>
            </w:r>
            <w:r w:rsidR="004E6D00" w:rsidRPr="005E3B43">
              <w:rPr>
                <w:sz w:val="16"/>
              </w:rPr>
              <w:t> </w:t>
            </w:r>
            <w:r w:rsidRPr="005E3B43">
              <w:rPr>
                <w:sz w:val="16"/>
              </w:rPr>
              <w:t>258</w:t>
            </w:r>
          </w:p>
        </w:tc>
        <w:tc>
          <w:tcPr>
            <w:tcW w:w="1286" w:type="pct"/>
            <w:tcBorders>
              <w:top w:val="single" w:sz="4" w:space="0" w:color="auto"/>
              <w:bottom w:val="single" w:sz="4" w:space="0" w:color="auto"/>
            </w:tcBorders>
            <w:shd w:val="clear" w:color="auto" w:fill="auto"/>
          </w:tcPr>
          <w:p w14:paraId="0E3B1352" w14:textId="77777777" w:rsidR="00D64E96" w:rsidRPr="005E3B43" w:rsidRDefault="00D64E96" w:rsidP="00763BCF">
            <w:pPr>
              <w:pStyle w:val="Tabletext"/>
            </w:pPr>
            <w:r w:rsidRPr="005E3B43">
              <w:rPr>
                <w:sz w:val="16"/>
              </w:rPr>
              <w:t>16 Oct 2003</w:t>
            </w:r>
          </w:p>
        </w:tc>
        <w:tc>
          <w:tcPr>
            <w:tcW w:w="1287" w:type="pct"/>
            <w:tcBorders>
              <w:top w:val="single" w:sz="4" w:space="0" w:color="auto"/>
              <w:bottom w:val="single" w:sz="4" w:space="0" w:color="auto"/>
            </w:tcBorders>
            <w:shd w:val="clear" w:color="auto" w:fill="auto"/>
          </w:tcPr>
          <w:p w14:paraId="0B60D655" w14:textId="77777777" w:rsidR="00D64E96" w:rsidRPr="005E3B43" w:rsidRDefault="00D64E96" w:rsidP="00763BCF">
            <w:pPr>
              <w:pStyle w:val="Tabletext"/>
            </w:pPr>
            <w:r w:rsidRPr="005E3B43">
              <w:rPr>
                <w:sz w:val="16"/>
              </w:rPr>
              <w:t>rr.</w:t>
            </w:r>
            <w:r w:rsidR="004E6D00" w:rsidRPr="005E3B43">
              <w:rPr>
                <w:sz w:val="16"/>
              </w:rPr>
              <w:t> </w:t>
            </w:r>
            <w:r w:rsidRPr="005E3B43">
              <w:rPr>
                <w:sz w:val="16"/>
              </w:rPr>
              <w:t xml:space="preserve">1–3 and </w:t>
            </w:r>
            <w:r w:rsidR="008D1B4F" w:rsidRPr="005E3B43">
              <w:rPr>
                <w:sz w:val="16"/>
              </w:rPr>
              <w:t>Schedule 1</w:t>
            </w:r>
            <w:r w:rsidRPr="005E3B43">
              <w:rPr>
                <w:sz w:val="16"/>
              </w:rPr>
              <w:t>: 16 Oct 2003</w:t>
            </w:r>
            <w:r w:rsidRPr="005E3B43">
              <w:rPr>
                <w:sz w:val="16"/>
              </w:rPr>
              <w:br/>
              <w:t>Remainder: 1 Oct 2004</w:t>
            </w:r>
          </w:p>
        </w:tc>
        <w:tc>
          <w:tcPr>
            <w:tcW w:w="1208" w:type="pct"/>
            <w:tcBorders>
              <w:top w:val="single" w:sz="4" w:space="0" w:color="auto"/>
              <w:bottom w:val="single" w:sz="4" w:space="0" w:color="auto"/>
            </w:tcBorders>
            <w:shd w:val="clear" w:color="auto" w:fill="auto"/>
          </w:tcPr>
          <w:p w14:paraId="1D0B2E6F" w14:textId="77777777" w:rsidR="00D64E96" w:rsidRPr="005E3B43" w:rsidRDefault="00D64E96" w:rsidP="00763BCF">
            <w:pPr>
              <w:pStyle w:val="Tabletext"/>
            </w:pPr>
            <w:r w:rsidRPr="005E3B43">
              <w:rPr>
                <w:sz w:val="16"/>
              </w:rPr>
              <w:t>—</w:t>
            </w:r>
          </w:p>
        </w:tc>
      </w:tr>
      <w:tr w:rsidR="00D64E96" w:rsidRPr="005E3B43" w14:paraId="2BF03F4A" w14:textId="77777777" w:rsidTr="005A786D">
        <w:trPr>
          <w:cantSplit/>
        </w:trPr>
        <w:tc>
          <w:tcPr>
            <w:tcW w:w="1219" w:type="pct"/>
            <w:tcBorders>
              <w:top w:val="single" w:sz="4" w:space="0" w:color="auto"/>
              <w:bottom w:val="single" w:sz="4" w:space="0" w:color="auto"/>
            </w:tcBorders>
            <w:shd w:val="clear" w:color="auto" w:fill="auto"/>
          </w:tcPr>
          <w:p w14:paraId="30008B37" w14:textId="77777777" w:rsidR="00D64E96" w:rsidRPr="005E3B43" w:rsidRDefault="00D64E96" w:rsidP="00763BCF">
            <w:pPr>
              <w:pStyle w:val="Tabletext"/>
            </w:pPr>
            <w:r w:rsidRPr="005E3B43">
              <w:rPr>
                <w:sz w:val="16"/>
              </w:rPr>
              <w:t>2003 No.</w:t>
            </w:r>
            <w:r w:rsidR="004E6D00" w:rsidRPr="005E3B43">
              <w:rPr>
                <w:sz w:val="16"/>
              </w:rPr>
              <w:t> </w:t>
            </w:r>
            <w:r w:rsidRPr="005E3B43">
              <w:rPr>
                <w:sz w:val="16"/>
              </w:rPr>
              <w:t>301</w:t>
            </w:r>
          </w:p>
        </w:tc>
        <w:tc>
          <w:tcPr>
            <w:tcW w:w="1286" w:type="pct"/>
            <w:tcBorders>
              <w:top w:val="single" w:sz="4" w:space="0" w:color="auto"/>
              <w:bottom w:val="single" w:sz="4" w:space="0" w:color="auto"/>
            </w:tcBorders>
            <w:shd w:val="clear" w:color="auto" w:fill="auto"/>
          </w:tcPr>
          <w:p w14:paraId="1FE98B95" w14:textId="77777777" w:rsidR="00D64E96" w:rsidRPr="005E3B43" w:rsidRDefault="00D64E96" w:rsidP="00763BCF">
            <w:pPr>
              <w:pStyle w:val="Tabletext"/>
            </w:pPr>
            <w:r w:rsidRPr="005E3B43">
              <w:rPr>
                <w:sz w:val="16"/>
              </w:rPr>
              <w:t>5 Dec 2003</w:t>
            </w:r>
          </w:p>
        </w:tc>
        <w:tc>
          <w:tcPr>
            <w:tcW w:w="1287" w:type="pct"/>
            <w:tcBorders>
              <w:top w:val="single" w:sz="4" w:space="0" w:color="auto"/>
              <w:bottom w:val="single" w:sz="4" w:space="0" w:color="auto"/>
            </w:tcBorders>
            <w:shd w:val="clear" w:color="auto" w:fill="auto"/>
          </w:tcPr>
          <w:p w14:paraId="5D9C9B5C" w14:textId="77777777" w:rsidR="00D64E96" w:rsidRPr="005E3B43" w:rsidRDefault="00D64E96" w:rsidP="00763BCF">
            <w:pPr>
              <w:pStyle w:val="Tabletext"/>
            </w:pPr>
            <w:r w:rsidRPr="005E3B43">
              <w:rPr>
                <w:sz w:val="16"/>
              </w:rPr>
              <w:t>5 Dec 2003</w:t>
            </w:r>
          </w:p>
        </w:tc>
        <w:tc>
          <w:tcPr>
            <w:tcW w:w="1208" w:type="pct"/>
            <w:tcBorders>
              <w:top w:val="single" w:sz="4" w:space="0" w:color="auto"/>
              <w:bottom w:val="single" w:sz="4" w:space="0" w:color="auto"/>
            </w:tcBorders>
            <w:shd w:val="clear" w:color="auto" w:fill="auto"/>
          </w:tcPr>
          <w:p w14:paraId="5C00F628" w14:textId="77777777" w:rsidR="00D64E96" w:rsidRPr="005E3B43" w:rsidRDefault="00D64E96" w:rsidP="00763BCF">
            <w:pPr>
              <w:pStyle w:val="Tabletext"/>
            </w:pPr>
            <w:r w:rsidRPr="005E3B43">
              <w:rPr>
                <w:sz w:val="16"/>
              </w:rPr>
              <w:t>—</w:t>
            </w:r>
          </w:p>
        </w:tc>
      </w:tr>
      <w:tr w:rsidR="00D64E96" w:rsidRPr="005E3B43" w14:paraId="2DC728D2" w14:textId="77777777" w:rsidTr="005A786D">
        <w:trPr>
          <w:cantSplit/>
        </w:trPr>
        <w:tc>
          <w:tcPr>
            <w:tcW w:w="1219" w:type="pct"/>
            <w:tcBorders>
              <w:top w:val="single" w:sz="4" w:space="0" w:color="auto"/>
              <w:bottom w:val="single" w:sz="4" w:space="0" w:color="auto"/>
            </w:tcBorders>
            <w:shd w:val="clear" w:color="auto" w:fill="auto"/>
          </w:tcPr>
          <w:p w14:paraId="3AB8BCCB" w14:textId="77777777" w:rsidR="00D64E96" w:rsidRPr="005E3B43" w:rsidRDefault="00D64E96" w:rsidP="00763BCF">
            <w:pPr>
              <w:pStyle w:val="Tabletext"/>
            </w:pPr>
            <w:r w:rsidRPr="005E3B43">
              <w:rPr>
                <w:sz w:val="16"/>
              </w:rPr>
              <w:t>2003 No.</w:t>
            </w:r>
            <w:r w:rsidR="004E6D00" w:rsidRPr="005E3B43">
              <w:rPr>
                <w:sz w:val="16"/>
              </w:rPr>
              <w:t> </w:t>
            </w:r>
            <w:r w:rsidRPr="005E3B43">
              <w:rPr>
                <w:sz w:val="16"/>
              </w:rPr>
              <w:t>361</w:t>
            </w:r>
          </w:p>
        </w:tc>
        <w:tc>
          <w:tcPr>
            <w:tcW w:w="1286" w:type="pct"/>
            <w:tcBorders>
              <w:top w:val="single" w:sz="4" w:space="0" w:color="auto"/>
              <w:bottom w:val="single" w:sz="4" w:space="0" w:color="auto"/>
            </w:tcBorders>
            <w:shd w:val="clear" w:color="auto" w:fill="auto"/>
          </w:tcPr>
          <w:p w14:paraId="5C2F9974" w14:textId="77777777" w:rsidR="00D64E96" w:rsidRPr="005E3B43" w:rsidRDefault="00D64E96" w:rsidP="00763BCF">
            <w:pPr>
              <w:pStyle w:val="Tabletext"/>
            </w:pPr>
            <w:r w:rsidRPr="005E3B43">
              <w:rPr>
                <w:sz w:val="16"/>
              </w:rPr>
              <w:t>23 Dec 2003</w:t>
            </w:r>
          </w:p>
        </w:tc>
        <w:tc>
          <w:tcPr>
            <w:tcW w:w="1287" w:type="pct"/>
            <w:tcBorders>
              <w:top w:val="single" w:sz="4" w:space="0" w:color="auto"/>
              <w:bottom w:val="single" w:sz="4" w:space="0" w:color="auto"/>
            </w:tcBorders>
            <w:shd w:val="clear" w:color="auto" w:fill="auto"/>
          </w:tcPr>
          <w:p w14:paraId="291ECB96" w14:textId="77777777" w:rsidR="00D64E96" w:rsidRPr="005E3B43" w:rsidRDefault="00D64E96" w:rsidP="00763BCF">
            <w:pPr>
              <w:pStyle w:val="Tabletext"/>
            </w:pPr>
            <w:r w:rsidRPr="005E3B43">
              <w:rPr>
                <w:sz w:val="16"/>
              </w:rPr>
              <w:t>23 Dec 2003</w:t>
            </w:r>
          </w:p>
        </w:tc>
        <w:tc>
          <w:tcPr>
            <w:tcW w:w="1208" w:type="pct"/>
            <w:tcBorders>
              <w:top w:val="single" w:sz="4" w:space="0" w:color="auto"/>
              <w:bottom w:val="single" w:sz="4" w:space="0" w:color="auto"/>
            </w:tcBorders>
            <w:shd w:val="clear" w:color="auto" w:fill="auto"/>
          </w:tcPr>
          <w:p w14:paraId="1D75082B" w14:textId="77777777" w:rsidR="00D64E96" w:rsidRPr="005E3B43" w:rsidRDefault="00D64E96" w:rsidP="00763BCF">
            <w:pPr>
              <w:pStyle w:val="Tabletext"/>
            </w:pPr>
            <w:r w:rsidRPr="005E3B43">
              <w:rPr>
                <w:sz w:val="16"/>
              </w:rPr>
              <w:t>—</w:t>
            </w:r>
          </w:p>
        </w:tc>
      </w:tr>
      <w:tr w:rsidR="00D64E96" w:rsidRPr="005E3B43" w14:paraId="500C249B" w14:textId="77777777" w:rsidTr="005A786D">
        <w:trPr>
          <w:cantSplit/>
        </w:trPr>
        <w:tc>
          <w:tcPr>
            <w:tcW w:w="1219" w:type="pct"/>
            <w:tcBorders>
              <w:top w:val="single" w:sz="4" w:space="0" w:color="auto"/>
              <w:bottom w:val="single" w:sz="4" w:space="0" w:color="auto"/>
            </w:tcBorders>
            <w:shd w:val="clear" w:color="auto" w:fill="auto"/>
          </w:tcPr>
          <w:p w14:paraId="4C75D9E7" w14:textId="77777777" w:rsidR="00D64E96" w:rsidRPr="005E3B43" w:rsidRDefault="00D64E96" w:rsidP="00763BCF">
            <w:pPr>
              <w:pStyle w:val="Tabletext"/>
            </w:pPr>
            <w:r w:rsidRPr="005E3B43">
              <w:rPr>
                <w:sz w:val="16"/>
              </w:rPr>
              <w:t>2004 No.</w:t>
            </w:r>
            <w:r w:rsidR="004E6D00" w:rsidRPr="005E3B43">
              <w:rPr>
                <w:sz w:val="16"/>
              </w:rPr>
              <w:t> </w:t>
            </w:r>
            <w:r w:rsidRPr="005E3B43">
              <w:rPr>
                <w:sz w:val="16"/>
              </w:rPr>
              <w:t>78</w:t>
            </w:r>
          </w:p>
        </w:tc>
        <w:tc>
          <w:tcPr>
            <w:tcW w:w="1286" w:type="pct"/>
            <w:tcBorders>
              <w:top w:val="single" w:sz="4" w:space="0" w:color="auto"/>
              <w:bottom w:val="single" w:sz="4" w:space="0" w:color="auto"/>
            </w:tcBorders>
            <w:shd w:val="clear" w:color="auto" w:fill="auto"/>
          </w:tcPr>
          <w:p w14:paraId="6035560C" w14:textId="77777777" w:rsidR="00D64E96" w:rsidRPr="005E3B43" w:rsidRDefault="00D64E96" w:rsidP="00763BCF">
            <w:pPr>
              <w:pStyle w:val="Tabletext"/>
            </w:pPr>
            <w:r w:rsidRPr="005E3B43">
              <w:rPr>
                <w:sz w:val="16"/>
              </w:rPr>
              <w:t>30 Apr 2004</w:t>
            </w:r>
          </w:p>
        </w:tc>
        <w:tc>
          <w:tcPr>
            <w:tcW w:w="1287" w:type="pct"/>
            <w:tcBorders>
              <w:top w:val="single" w:sz="4" w:space="0" w:color="auto"/>
              <w:bottom w:val="single" w:sz="4" w:space="0" w:color="auto"/>
            </w:tcBorders>
            <w:shd w:val="clear" w:color="auto" w:fill="auto"/>
          </w:tcPr>
          <w:p w14:paraId="7932F01C" w14:textId="77777777" w:rsidR="00D64E96" w:rsidRPr="005E3B43" w:rsidRDefault="00D64E96" w:rsidP="00763BCF">
            <w:pPr>
              <w:pStyle w:val="Tabletext"/>
            </w:pPr>
            <w:r w:rsidRPr="005E3B43">
              <w:rPr>
                <w:sz w:val="16"/>
              </w:rPr>
              <w:t>30 Apr 2004</w:t>
            </w:r>
          </w:p>
        </w:tc>
        <w:tc>
          <w:tcPr>
            <w:tcW w:w="1208" w:type="pct"/>
            <w:tcBorders>
              <w:top w:val="single" w:sz="4" w:space="0" w:color="auto"/>
              <w:bottom w:val="single" w:sz="4" w:space="0" w:color="auto"/>
            </w:tcBorders>
            <w:shd w:val="clear" w:color="auto" w:fill="auto"/>
          </w:tcPr>
          <w:p w14:paraId="323255A3" w14:textId="77777777" w:rsidR="00D64E96" w:rsidRPr="005E3B43" w:rsidRDefault="00D64E96" w:rsidP="00763BCF">
            <w:pPr>
              <w:pStyle w:val="Tabletext"/>
            </w:pPr>
            <w:r w:rsidRPr="005E3B43">
              <w:rPr>
                <w:sz w:val="16"/>
              </w:rPr>
              <w:t>—</w:t>
            </w:r>
          </w:p>
        </w:tc>
      </w:tr>
      <w:tr w:rsidR="00D64E96" w:rsidRPr="005E3B43" w14:paraId="1971C1B4" w14:textId="77777777" w:rsidTr="005A786D">
        <w:trPr>
          <w:cantSplit/>
        </w:trPr>
        <w:tc>
          <w:tcPr>
            <w:tcW w:w="1219" w:type="pct"/>
            <w:tcBorders>
              <w:top w:val="single" w:sz="4" w:space="0" w:color="auto"/>
              <w:bottom w:val="single" w:sz="4" w:space="0" w:color="auto"/>
            </w:tcBorders>
            <w:shd w:val="clear" w:color="auto" w:fill="auto"/>
          </w:tcPr>
          <w:p w14:paraId="7CE538B4" w14:textId="77777777" w:rsidR="00D64E96" w:rsidRPr="005E3B43" w:rsidRDefault="00D64E96" w:rsidP="00763BCF">
            <w:pPr>
              <w:pStyle w:val="Tabletext"/>
            </w:pPr>
            <w:r w:rsidRPr="005E3B43">
              <w:rPr>
                <w:sz w:val="16"/>
              </w:rPr>
              <w:t>2004 No.</w:t>
            </w:r>
            <w:r w:rsidR="004E6D00" w:rsidRPr="005E3B43">
              <w:rPr>
                <w:sz w:val="16"/>
              </w:rPr>
              <w:t> </w:t>
            </w:r>
            <w:r w:rsidRPr="005E3B43">
              <w:rPr>
                <w:sz w:val="16"/>
              </w:rPr>
              <w:t>127</w:t>
            </w:r>
          </w:p>
        </w:tc>
        <w:tc>
          <w:tcPr>
            <w:tcW w:w="1286" w:type="pct"/>
            <w:tcBorders>
              <w:top w:val="single" w:sz="4" w:space="0" w:color="auto"/>
              <w:bottom w:val="single" w:sz="4" w:space="0" w:color="auto"/>
            </w:tcBorders>
            <w:shd w:val="clear" w:color="auto" w:fill="auto"/>
          </w:tcPr>
          <w:p w14:paraId="00BD4EE6" w14:textId="77777777" w:rsidR="00D64E96" w:rsidRPr="005E3B43" w:rsidRDefault="00D64E96" w:rsidP="00763BCF">
            <w:pPr>
              <w:pStyle w:val="Tabletext"/>
            </w:pPr>
            <w:r w:rsidRPr="005E3B43">
              <w:rPr>
                <w:sz w:val="16"/>
              </w:rPr>
              <w:t>18</w:t>
            </w:r>
            <w:r w:rsidR="004E6D00" w:rsidRPr="005E3B43">
              <w:rPr>
                <w:sz w:val="16"/>
              </w:rPr>
              <w:t> </w:t>
            </w:r>
            <w:r w:rsidRPr="005E3B43">
              <w:rPr>
                <w:sz w:val="16"/>
              </w:rPr>
              <w:t>June 2004</w:t>
            </w:r>
          </w:p>
        </w:tc>
        <w:tc>
          <w:tcPr>
            <w:tcW w:w="1287" w:type="pct"/>
            <w:tcBorders>
              <w:top w:val="single" w:sz="4" w:space="0" w:color="auto"/>
              <w:bottom w:val="single" w:sz="4" w:space="0" w:color="auto"/>
            </w:tcBorders>
            <w:shd w:val="clear" w:color="auto" w:fill="auto"/>
          </w:tcPr>
          <w:p w14:paraId="79888A9E" w14:textId="77777777" w:rsidR="00D64E96" w:rsidRPr="005E3B43" w:rsidRDefault="006B5D8E" w:rsidP="00763BCF">
            <w:pPr>
              <w:pStyle w:val="Tabletext"/>
            </w:pPr>
            <w:r w:rsidRPr="005E3B43">
              <w:rPr>
                <w:sz w:val="16"/>
              </w:rPr>
              <w:t>1 July</w:t>
            </w:r>
            <w:r w:rsidR="00D64E96" w:rsidRPr="005E3B43">
              <w:rPr>
                <w:sz w:val="16"/>
              </w:rPr>
              <w:t xml:space="preserve"> 2004</w:t>
            </w:r>
          </w:p>
        </w:tc>
        <w:tc>
          <w:tcPr>
            <w:tcW w:w="1208" w:type="pct"/>
            <w:tcBorders>
              <w:top w:val="single" w:sz="4" w:space="0" w:color="auto"/>
              <w:bottom w:val="single" w:sz="4" w:space="0" w:color="auto"/>
            </w:tcBorders>
            <w:shd w:val="clear" w:color="auto" w:fill="auto"/>
          </w:tcPr>
          <w:p w14:paraId="063AD108" w14:textId="77777777" w:rsidR="00D64E96" w:rsidRPr="005E3B43" w:rsidRDefault="00D64E96" w:rsidP="00763BCF">
            <w:pPr>
              <w:pStyle w:val="Tabletext"/>
            </w:pPr>
            <w:r w:rsidRPr="005E3B43">
              <w:rPr>
                <w:sz w:val="16"/>
              </w:rPr>
              <w:t>r. 4</w:t>
            </w:r>
          </w:p>
        </w:tc>
      </w:tr>
      <w:tr w:rsidR="00D64E96" w:rsidRPr="005E3B43" w14:paraId="534EF0CF" w14:textId="77777777" w:rsidTr="005A786D">
        <w:trPr>
          <w:cantSplit/>
        </w:trPr>
        <w:tc>
          <w:tcPr>
            <w:tcW w:w="1219" w:type="pct"/>
            <w:tcBorders>
              <w:top w:val="single" w:sz="4" w:space="0" w:color="auto"/>
              <w:bottom w:val="single" w:sz="4" w:space="0" w:color="auto"/>
            </w:tcBorders>
            <w:shd w:val="clear" w:color="auto" w:fill="auto"/>
          </w:tcPr>
          <w:p w14:paraId="3C20C6CB" w14:textId="77777777" w:rsidR="00D64E96" w:rsidRPr="005E3B43" w:rsidRDefault="00D64E96" w:rsidP="00763BCF">
            <w:pPr>
              <w:pStyle w:val="Tabletext"/>
            </w:pPr>
            <w:r w:rsidRPr="005E3B43">
              <w:rPr>
                <w:sz w:val="16"/>
              </w:rPr>
              <w:t>2004 No.</w:t>
            </w:r>
            <w:r w:rsidR="004E6D00" w:rsidRPr="005E3B43">
              <w:rPr>
                <w:sz w:val="16"/>
              </w:rPr>
              <w:t> </w:t>
            </w:r>
            <w:r w:rsidRPr="005E3B43">
              <w:rPr>
                <w:sz w:val="16"/>
              </w:rPr>
              <w:t>159</w:t>
            </w:r>
          </w:p>
        </w:tc>
        <w:tc>
          <w:tcPr>
            <w:tcW w:w="1286" w:type="pct"/>
            <w:tcBorders>
              <w:top w:val="single" w:sz="4" w:space="0" w:color="auto"/>
              <w:bottom w:val="single" w:sz="4" w:space="0" w:color="auto"/>
            </w:tcBorders>
            <w:shd w:val="clear" w:color="auto" w:fill="auto"/>
          </w:tcPr>
          <w:p w14:paraId="5077409F" w14:textId="77777777" w:rsidR="00D64E96" w:rsidRPr="005E3B43" w:rsidRDefault="00D64E96" w:rsidP="00763BCF">
            <w:pPr>
              <w:pStyle w:val="Tabletext"/>
            </w:pPr>
            <w:r w:rsidRPr="005E3B43">
              <w:rPr>
                <w:sz w:val="16"/>
              </w:rPr>
              <w:t>25</w:t>
            </w:r>
            <w:r w:rsidR="004E6D00" w:rsidRPr="005E3B43">
              <w:rPr>
                <w:sz w:val="16"/>
              </w:rPr>
              <w:t> </w:t>
            </w:r>
            <w:r w:rsidRPr="005E3B43">
              <w:rPr>
                <w:sz w:val="16"/>
              </w:rPr>
              <w:t>June 2004</w:t>
            </w:r>
          </w:p>
        </w:tc>
        <w:tc>
          <w:tcPr>
            <w:tcW w:w="1287" w:type="pct"/>
            <w:tcBorders>
              <w:top w:val="single" w:sz="4" w:space="0" w:color="auto"/>
              <w:bottom w:val="single" w:sz="4" w:space="0" w:color="auto"/>
            </w:tcBorders>
            <w:shd w:val="clear" w:color="auto" w:fill="auto"/>
          </w:tcPr>
          <w:p w14:paraId="09F6FCAA" w14:textId="77777777" w:rsidR="00D64E96" w:rsidRPr="005E3B43" w:rsidDel="00112340" w:rsidRDefault="006B5D8E" w:rsidP="00763BCF">
            <w:pPr>
              <w:pStyle w:val="Tabletext"/>
            </w:pPr>
            <w:r w:rsidRPr="005E3B43">
              <w:rPr>
                <w:sz w:val="16"/>
              </w:rPr>
              <w:t>1 July</w:t>
            </w:r>
            <w:r w:rsidR="00D64E96" w:rsidRPr="005E3B43">
              <w:rPr>
                <w:sz w:val="16"/>
              </w:rPr>
              <w:t xml:space="preserve"> 2004</w:t>
            </w:r>
          </w:p>
        </w:tc>
        <w:tc>
          <w:tcPr>
            <w:tcW w:w="1208" w:type="pct"/>
            <w:tcBorders>
              <w:top w:val="single" w:sz="4" w:space="0" w:color="auto"/>
              <w:bottom w:val="single" w:sz="4" w:space="0" w:color="auto"/>
            </w:tcBorders>
            <w:shd w:val="clear" w:color="auto" w:fill="auto"/>
          </w:tcPr>
          <w:p w14:paraId="6347C49F" w14:textId="77777777" w:rsidR="00D64E96" w:rsidRPr="005E3B43" w:rsidRDefault="00D64E96" w:rsidP="00763BCF">
            <w:pPr>
              <w:pStyle w:val="Tabletext"/>
            </w:pPr>
            <w:r w:rsidRPr="005E3B43">
              <w:rPr>
                <w:sz w:val="16"/>
              </w:rPr>
              <w:t>—</w:t>
            </w:r>
          </w:p>
        </w:tc>
      </w:tr>
      <w:tr w:rsidR="00D64E96" w:rsidRPr="005E3B43" w14:paraId="44D2F695" w14:textId="77777777" w:rsidTr="005A786D">
        <w:trPr>
          <w:cantSplit/>
        </w:trPr>
        <w:tc>
          <w:tcPr>
            <w:tcW w:w="1219" w:type="pct"/>
            <w:tcBorders>
              <w:top w:val="single" w:sz="4" w:space="0" w:color="auto"/>
              <w:bottom w:val="single" w:sz="4" w:space="0" w:color="auto"/>
            </w:tcBorders>
            <w:shd w:val="clear" w:color="auto" w:fill="auto"/>
          </w:tcPr>
          <w:p w14:paraId="1679285E" w14:textId="77777777" w:rsidR="00D64E96" w:rsidRPr="005E3B43" w:rsidRDefault="00D64E96" w:rsidP="00763BCF">
            <w:pPr>
              <w:pStyle w:val="Tabletext"/>
            </w:pPr>
            <w:r w:rsidRPr="005E3B43">
              <w:rPr>
                <w:sz w:val="16"/>
              </w:rPr>
              <w:t>2005 No.</w:t>
            </w:r>
            <w:r w:rsidR="004E6D00" w:rsidRPr="005E3B43">
              <w:rPr>
                <w:sz w:val="16"/>
              </w:rPr>
              <w:t> </w:t>
            </w:r>
            <w:r w:rsidRPr="005E3B43">
              <w:rPr>
                <w:sz w:val="16"/>
              </w:rPr>
              <w:t>192</w:t>
            </w:r>
          </w:p>
        </w:tc>
        <w:tc>
          <w:tcPr>
            <w:tcW w:w="1286" w:type="pct"/>
            <w:tcBorders>
              <w:top w:val="single" w:sz="4" w:space="0" w:color="auto"/>
              <w:bottom w:val="single" w:sz="4" w:space="0" w:color="auto"/>
            </w:tcBorders>
            <w:shd w:val="clear" w:color="auto" w:fill="auto"/>
          </w:tcPr>
          <w:p w14:paraId="410E5898" w14:textId="77777777" w:rsidR="00D64E96" w:rsidRPr="005E3B43" w:rsidRDefault="00D64E96" w:rsidP="00763BCF">
            <w:pPr>
              <w:pStyle w:val="Tabletext"/>
            </w:pPr>
            <w:r w:rsidRPr="005E3B43">
              <w:rPr>
                <w:sz w:val="16"/>
              </w:rPr>
              <w:t>19 Aug 2005 (F2005L02312)</w:t>
            </w:r>
          </w:p>
        </w:tc>
        <w:tc>
          <w:tcPr>
            <w:tcW w:w="1287" w:type="pct"/>
            <w:tcBorders>
              <w:top w:val="single" w:sz="4" w:space="0" w:color="auto"/>
              <w:bottom w:val="single" w:sz="4" w:space="0" w:color="auto"/>
            </w:tcBorders>
            <w:shd w:val="clear" w:color="auto" w:fill="auto"/>
          </w:tcPr>
          <w:p w14:paraId="5E698CC5" w14:textId="77777777" w:rsidR="00D64E96" w:rsidRPr="005E3B43" w:rsidRDefault="00D64E96" w:rsidP="00763BCF">
            <w:pPr>
              <w:pStyle w:val="Tabletext"/>
            </w:pPr>
            <w:r w:rsidRPr="005E3B43">
              <w:rPr>
                <w:sz w:val="16"/>
              </w:rPr>
              <w:t xml:space="preserve">20 Aug 2005 </w:t>
            </w:r>
          </w:p>
        </w:tc>
        <w:tc>
          <w:tcPr>
            <w:tcW w:w="1208" w:type="pct"/>
            <w:tcBorders>
              <w:top w:val="single" w:sz="4" w:space="0" w:color="auto"/>
              <w:bottom w:val="single" w:sz="4" w:space="0" w:color="auto"/>
            </w:tcBorders>
            <w:shd w:val="clear" w:color="auto" w:fill="auto"/>
          </w:tcPr>
          <w:p w14:paraId="124A3B55" w14:textId="77777777" w:rsidR="00D64E96" w:rsidRPr="005E3B43" w:rsidRDefault="00D64E96" w:rsidP="00763BCF">
            <w:pPr>
              <w:pStyle w:val="Tabletext"/>
            </w:pPr>
            <w:r w:rsidRPr="005E3B43">
              <w:rPr>
                <w:sz w:val="16"/>
              </w:rPr>
              <w:t>—</w:t>
            </w:r>
          </w:p>
        </w:tc>
      </w:tr>
      <w:tr w:rsidR="00D64E96" w:rsidRPr="005E3B43" w14:paraId="7590FF23" w14:textId="77777777" w:rsidTr="005A786D">
        <w:trPr>
          <w:cantSplit/>
        </w:trPr>
        <w:tc>
          <w:tcPr>
            <w:tcW w:w="1219" w:type="pct"/>
            <w:tcBorders>
              <w:top w:val="single" w:sz="4" w:space="0" w:color="auto"/>
              <w:bottom w:val="single" w:sz="4" w:space="0" w:color="auto"/>
            </w:tcBorders>
            <w:shd w:val="clear" w:color="auto" w:fill="auto"/>
          </w:tcPr>
          <w:p w14:paraId="6C4A8FA3" w14:textId="77777777" w:rsidR="00D64E96" w:rsidRPr="005E3B43" w:rsidRDefault="00D64E96" w:rsidP="00763BCF">
            <w:pPr>
              <w:pStyle w:val="Tabletext"/>
            </w:pPr>
            <w:r w:rsidRPr="005E3B43">
              <w:rPr>
                <w:sz w:val="16"/>
              </w:rPr>
              <w:t>2006 No.</w:t>
            </w:r>
            <w:r w:rsidR="004E6D00" w:rsidRPr="005E3B43">
              <w:rPr>
                <w:sz w:val="16"/>
              </w:rPr>
              <w:t> </w:t>
            </w:r>
            <w:r w:rsidRPr="005E3B43">
              <w:rPr>
                <w:sz w:val="16"/>
              </w:rPr>
              <w:t>122</w:t>
            </w:r>
          </w:p>
        </w:tc>
        <w:tc>
          <w:tcPr>
            <w:tcW w:w="1286" w:type="pct"/>
            <w:tcBorders>
              <w:top w:val="single" w:sz="4" w:space="0" w:color="auto"/>
              <w:bottom w:val="single" w:sz="4" w:space="0" w:color="auto"/>
            </w:tcBorders>
            <w:shd w:val="clear" w:color="auto" w:fill="auto"/>
          </w:tcPr>
          <w:p w14:paraId="0375546F" w14:textId="77777777" w:rsidR="00D64E96" w:rsidRPr="005E3B43" w:rsidRDefault="00D64E96" w:rsidP="00763BCF">
            <w:pPr>
              <w:pStyle w:val="Tabletext"/>
            </w:pPr>
            <w:r w:rsidRPr="005E3B43">
              <w:rPr>
                <w:sz w:val="16"/>
              </w:rPr>
              <w:t>2</w:t>
            </w:r>
            <w:r w:rsidR="004E6D00" w:rsidRPr="005E3B43">
              <w:rPr>
                <w:sz w:val="16"/>
              </w:rPr>
              <w:t> </w:t>
            </w:r>
            <w:r w:rsidRPr="005E3B43">
              <w:rPr>
                <w:sz w:val="16"/>
              </w:rPr>
              <w:t>June 2006 (F2006L01615)</w:t>
            </w:r>
          </w:p>
        </w:tc>
        <w:tc>
          <w:tcPr>
            <w:tcW w:w="1287" w:type="pct"/>
            <w:tcBorders>
              <w:top w:val="single" w:sz="4" w:space="0" w:color="auto"/>
              <w:bottom w:val="single" w:sz="4" w:space="0" w:color="auto"/>
            </w:tcBorders>
            <w:shd w:val="clear" w:color="auto" w:fill="auto"/>
          </w:tcPr>
          <w:p w14:paraId="4734CF4F" w14:textId="77777777" w:rsidR="00D64E96" w:rsidRPr="005E3B43" w:rsidRDefault="00E008BA" w:rsidP="00763BCF">
            <w:pPr>
              <w:pStyle w:val="Tabletext"/>
            </w:pPr>
            <w:r w:rsidRPr="005E3B43">
              <w:rPr>
                <w:sz w:val="16"/>
              </w:rPr>
              <w:t>3 June</w:t>
            </w:r>
            <w:r w:rsidR="00D64E96" w:rsidRPr="005E3B43">
              <w:rPr>
                <w:sz w:val="16"/>
              </w:rPr>
              <w:t xml:space="preserve"> 2006</w:t>
            </w:r>
          </w:p>
        </w:tc>
        <w:tc>
          <w:tcPr>
            <w:tcW w:w="1208" w:type="pct"/>
            <w:tcBorders>
              <w:top w:val="single" w:sz="4" w:space="0" w:color="auto"/>
              <w:bottom w:val="single" w:sz="4" w:space="0" w:color="auto"/>
            </w:tcBorders>
            <w:shd w:val="clear" w:color="auto" w:fill="auto"/>
          </w:tcPr>
          <w:p w14:paraId="5001F140" w14:textId="77777777" w:rsidR="00D64E96" w:rsidRPr="005E3B43" w:rsidRDefault="00D64E96" w:rsidP="00763BCF">
            <w:pPr>
              <w:pStyle w:val="Tabletext"/>
            </w:pPr>
            <w:r w:rsidRPr="005E3B43">
              <w:rPr>
                <w:sz w:val="16"/>
              </w:rPr>
              <w:t>—</w:t>
            </w:r>
          </w:p>
        </w:tc>
      </w:tr>
      <w:tr w:rsidR="00D64E96" w:rsidRPr="005E3B43" w14:paraId="2F69BCFD" w14:textId="77777777" w:rsidTr="005A786D">
        <w:trPr>
          <w:cantSplit/>
        </w:trPr>
        <w:tc>
          <w:tcPr>
            <w:tcW w:w="1219" w:type="pct"/>
            <w:tcBorders>
              <w:top w:val="single" w:sz="4" w:space="0" w:color="auto"/>
              <w:bottom w:val="single" w:sz="4" w:space="0" w:color="auto"/>
            </w:tcBorders>
            <w:shd w:val="clear" w:color="auto" w:fill="auto"/>
          </w:tcPr>
          <w:p w14:paraId="5698C837" w14:textId="77777777" w:rsidR="00D64E96" w:rsidRPr="005E3B43" w:rsidRDefault="00D64E96" w:rsidP="00763BCF">
            <w:pPr>
              <w:pStyle w:val="Tabletext"/>
            </w:pPr>
            <w:r w:rsidRPr="005E3B43">
              <w:rPr>
                <w:sz w:val="16"/>
              </w:rPr>
              <w:t>2006 No.</w:t>
            </w:r>
            <w:r w:rsidR="004E6D00" w:rsidRPr="005E3B43">
              <w:rPr>
                <w:sz w:val="16"/>
              </w:rPr>
              <w:t> </w:t>
            </w:r>
            <w:r w:rsidRPr="005E3B43">
              <w:rPr>
                <w:sz w:val="16"/>
              </w:rPr>
              <w:t>212</w:t>
            </w:r>
          </w:p>
        </w:tc>
        <w:tc>
          <w:tcPr>
            <w:tcW w:w="1286" w:type="pct"/>
            <w:tcBorders>
              <w:top w:val="single" w:sz="4" w:space="0" w:color="auto"/>
              <w:bottom w:val="single" w:sz="4" w:space="0" w:color="auto"/>
            </w:tcBorders>
            <w:shd w:val="clear" w:color="auto" w:fill="auto"/>
          </w:tcPr>
          <w:p w14:paraId="3E45D267" w14:textId="77777777" w:rsidR="00D64E96" w:rsidRPr="005E3B43" w:rsidRDefault="00D64E96" w:rsidP="00763BCF">
            <w:pPr>
              <w:pStyle w:val="Tabletext"/>
            </w:pPr>
            <w:r w:rsidRPr="005E3B43">
              <w:rPr>
                <w:sz w:val="16"/>
              </w:rPr>
              <w:t>10 Aug 2006 (F2006L02573)</w:t>
            </w:r>
          </w:p>
        </w:tc>
        <w:tc>
          <w:tcPr>
            <w:tcW w:w="1287" w:type="pct"/>
            <w:tcBorders>
              <w:top w:val="single" w:sz="4" w:space="0" w:color="auto"/>
              <w:bottom w:val="single" w:sz="4" w:space="0" w:color="auto"/>
            </w:tcBorders>
            <w:shd w:val="clear" w:color="auto" w:fill="auto"/>
          </w:tcPr>
          <w:p w14:paraId="17A58CE4" w14:textId="77777777" w:rsidR="00D64E96" w:rsidRPr="005E3B43" w:rsidRDefault="00D64E96" w:rsidP="00763BCF">
            <w:pPr>
              <w:pStyle w:val="Tabletext"/>
            </w:pPr>
            <w:r w:rsidRPr="005E3B43">
              <w:rPr>
                <w:sz w:val="16"/>
              </w:rPr>
              <w:t>11 Aug 2006</w:t>
            </w:r>
          </w:p>
        </w:tc>
        <w:tc>
          <w:tcPr>
            <w:tcW w:w="1208" w:type="pct"/>
            <w:tcBorders>
              <w:top w:val="single" w:sz="4" w:space="0" w:color="auto"/>
              <w:bottom w:val="single" w:sz="4" w:space="0" w:color="auto"/>
            </w:tcBorders>
            <w:shd w:val="clear" w:color="auto" w:fill="auto"/>
          </w:tcPr>
          <w:p w14:paraId="451AC7A4" w14:textId="77777777" w:rsidR="00D64E96" w:rsidRPr="005E3B43" w:rsidRDefault="00D64E96" w:rsidP="00763BCF">
            <w:pPr>
              <w:pStyle w:val="Tabletext"/>
            </w:pPr>
            <w:r w:rsidRPr="005E3B43">
              <w:rPr>
                <w:sz w:val="16"/>
              </w:rPr>
              <w:t>—</w:t>
            </w:r>
          </w:p>
        </w:tc>
      </w:tr>
      <w:tr w:rsidR="00D64E96" w:rsidRPr="005E3B43" w14:paraId="29C2355C" w14:textId="77777777" w:rsidTr="005A786D">
        <w:trPr>
          <w:cantSplit/>
        </w:trPr>
        <w:tc>
          <w:tcPr>
            <w:tcW w:w="1219" w:type="pct"/>
            <w:tcBorders>
              <w:top w:val="single" w:sz="4" w:space="0" w:color="auto"/>
              <w:bottom w:val="single" w:sz="4" w:space="0" w:color="auto"/>
            </w:tcBorders>
            <w:shd w:val="clear" w:color="auto" w:fill="auto"/>
          </w:tcPr>
          <w:p w14:paraId="06840AA8" w14:textId="77777777" w:rsidR="00D64E96" w:rsidRPr="005E3B43" w:rsidRDefault="00D64E96" w:rsidP="00763BCF">
            <w:pPr>
              <w:pStyle w:val="Tabletext"/>
            </w:pPr>
            <w:r w:rsidRPr="005E3B43">
              <w:rPr>
                <w:sz w:val="16"/>
              </w:rPr>
              <w:t>2007 No.</w:t>
            </w:r>
            <w:r w:rsidR="004E6D00" w:rsidRPr="005E3B43">
              <w:rPr>
                <w:sz w:val="16"/>
              </w:rPr>
              <w:t> </w:t>
            </w:r>
            <w:r w:rsidRPr="005E3B43">
              <w:rPr>
                <w:sz w:val="16"/>
              </w:rPr>
              <w:t>161</w:t>
            </w:r>
          </w:p>
        </w:tc>
        <w:tc>
          <w:tcPr>
            <w:tcW w:w="1286" w:type="pct"/>
            <w:tcBorders>
              <w:top w:val="single" w:sz="4" w:space="0" w:color="auto"/>
              <w:bottom w:val="single" w:sz="4" w:space="0" w:color="auto"/>
            </w:tcBorders>
            <w:shd w:val="clear" w:color="auto" w:fill="auto"/>
          </w:tcPr>
          <w:p w14:paraId="12999338" w14:textId="77777777" w:rsidR="00D64E96" w:rsidRPr="005E3B43" w:rsidRDefault="00D64E96" w:rsidP="00763BCF">
            <w:pPr>
              <w:pStyle w:val="Tabletext"/>
            </w:pPr>
            <w:r w:rsidRPr="005E3B43">
              <w:rPr>
                <w:sz w:val="16"/>
              </w:rPr>
              <w:t>25</w:t>
            </w:r>
            <w:r w:rsidR="004E6D00" w:rsidRPr="005E3B43">
              <w:rPr>
                <w:sz w:val="16"/>
              </w:rPr>
              <w:t> </w:t>
            </w:r>
            <w:r w:rsidRPr="005E3B43">
              <w:rPr>
                <w:sz w:val="16"/>
              </w:rPr>
              <w:t>June 2007 (F2007L01521)</w:t>
            </w:r>
          </w:p>
        </w:tc>
        <w:tc>
          <w:tcPr>
            <w:tcW w:w="1287" w:type="pct"/>
            <w:tcBorders>
              <w:top w:val="single" w:sz="4" w:space="0" w:color="auto"/>
              <w:bottom w:val="single" w:sz="4" w:space="0" w:color="auto"/>
            </w:tcBorders>
            <w:shd w:val="clear" w:color="auto" w:fill="auto"/>
          </w:tcPr>
          <w:p w14:paraId="28B18A0F" w14:textId="77777777" w:rsidR="00D64E96" w:rsidRPr="005E3B43" w:rsidRDefault="006B5D8E" w:rsidP="00763BCF">
            <w:pPr>
              <w:pStyle w:val="Tabletext"/>
            </w:pPr>
            <w:r w:rsidRPr="005E3B43">
              <w:rPr>
                <w:sz w:val="16"/>
              </w:rPr>
              <w:t>1 July</w:t>
            </w:r>
            <w:r w:rsidR="00D64E96" w:rsidRPr="005E3B43">
              <w:rPr>
                <w:sz w:val="16"/>
              </w:rPr>
              <w:t xml:space="preserve"> 2007</w:t>
            </w:r>
          </w:p>
        </w:tc>
        <w:tc>
          <w:tcPr>
            <w:tcW w:w="1208" w:type="pct"/>
            <w:tcBorders>
              <w:top w:val="single" w:sz="4" w:space="0" w:color="auto"/>
              <w:bottom w:val="single" w:sz="4" w:space="0" w:color="auto"/>
            </w:tcBorders>
            <w:shd w:val="clear" w:color="auto" w:fill="auto"/>
          </w:tcPr>
          <w:p w14:paraId="3E0A3C90" w14:textId="77777777" w:rsidR="00D64E96" w:rsidRPr="005E3B43" w:rsidRDefault="00D64E96" w:rsidP="00763BCF">
            <w:pPr>
              <w:pStyle w:val="Tabletext"/>
            </w:pPr>
            <w:r w:rsidRPr="005E3B43">
              <w:rPr>
                <w:sz w:val="16"/>
              </w:rPr>
              <w:t>—</w:t>
            </w:r>
          </w:p>
        </w:tc>
      </w:tr>
      <w:tr w:rsidR="00D64E96" w:rsidRPr="005E3B43" w14:paraId="7CD1B518" w14:textId="77777777" w:rsidTr="005A786D">
        <w:trPr>
          <w:cantSplit/>
        </w:trPr>
        <w:tc>
          <w:tcPr>
            <w:tcW w:w="1219" w:type="pct"/>
            <w:tcBorders>
              <w:top w:val="single" w:sz="4" w:space="0" w:color="auto"/>
              <w:bottom w:val="single" w:sz="4" w:space="0" w:color="auto"/>
            </w:tcBorders>
            <w:shd w:val="clear" w:color="auto" w:fill="auto"/>
          </w:tcPr>
          <w:p w14:paraId="1A85C41F" w14:textId="77777777" w:rsidR="00D64E96" w:rsidRPr="005E3B43" w:rsidRDefault="00D64E96" w:rsidP="00763BCF">
            <w:pPr>
              <w:pStyle w:val="Tabletext"/>
            </w:pPr>
            <w:r w:rsidRPr="005E3B43">
              <w:rPr>
                <w:sz w:val="16"/>
              </w:rPr>
              <w:t>2008 No.</w:t>
            </w:r>
            <w:r w:rsidR="004E6D00" w:rsidRPr="005E3B43">
              <w:rPr>
                <w:sz w:val="16"/>
              </w:rPr>
              <w:t> </w:t>
            </w:r>
            <w:r w:rsidRPr="005E3B43">
              <w:rPr>
                <w:sz w:val="16"/>
              </w:rPr>
              <w:t>117</w:t>
            </w:r>
          </w:p>
        </w:tc>
        <w:tc>
          <w:tcPr>
            <w:tcW w:w="1286" w:type="pct"/>
            <w:tcBorders>
              <w:top w:val="single" w:sz="4" w:space="0" w:color="auto"/>
              <w:bottom w:val="single" w:sz="4" w:space="0" w:color="auto"/>
            </w:tcBorders>
            <w:shd w:val="clear" w:color="auto" w:fill="auto"/>
          </w:tcPr>
          <w:p w14:paraId="18C1877F" w14:textId="77777777" w:rsidR="00D64E96" w:rsidRPr="005E3B43" w:rsidRDefault="00D64E96" w:rsidP="00763BCF">
            <w:pPr>
              <w:pStyle w:val="Tabletext"/>
            </w:pPr>
            <w:r w:rsidRPr="005E3B43">
              <w:rPr>
                <w:sz w:val="16"/>
              </w:rPr>
              <w:t>20</w:t>
            </w:r>
            <w:r w:rsidR="004E6D00" w:rsidRPr="005E3B43">
              <w:rPr>
                <w:sz w:val="16"/>
              </w:rPr>
              <w:t> </w:t>
            </w:r>
            <w:r w:rsidRPr="005E3B43">
              <w:rPr>
                <w:sz w:val="16"/>
              </w:rPr>
              <w:t>June 2008 (F2008L01367)</w:t>
            </w:r>
          </w:p>
        </w:tc>
        <w:tc>
          <w:tcPr>
            <w:tcW w:w="1287" w:type="pct"/>
            <w:tcBorders>
              <w:top w:val="single" w:sz="4" w:space="0" w:color="auto"/>
              <w:bottom w:val="single" w:sz="4" w:space="0" w:color="auto"/>
            </w:tcBorders>
            <w:shd w:val="clear" w:color="auto" w:fill="auto"/>
          </w:tcPr>
          <w:p w14:paraId="5377C962" w14:textId="77777777" w:rsidR="00D64E96" w:rsidRPr="005E3B43" w:rsidRDefault="006B5D8E" w:rsidP="00763BCF">
            <w:pPr>
              <w:pStyle w:val="Tabletext"/>
            </w:pPr>
            <w:r w:rsidRPr="005E3B43">
              <w:rPr>
                <w:sz w:val="16"/>
              </w:rPr>
              <w:t>1 July</w:t>
            </w:r>
            <w:r w:rsidR="00D64E96" w:rsidRPr="005E3B43">
              <w:rPr>
                <w:sz w:val="16"/>
              </w:rPr>
              <w:t xml:space="preserve"> 2008</w:t>
            </w:r>
          </w:p>
        </w:tc>
        <w:tc>
          <w:tcPr>
            <w:tcW w:w="1208" w:type="pct"/>
            <w:tcBorders>
              <w:top w:val="single" w:sz="4" w:space="0" w:color="auto"/>
              <w:bottom w:val="single" w:sz="4" w:space="0" w:color="auto"/>
            </w:tcBorders>
            <w:shd w:val="clear" w:color="auto" w:fill="auto"/>
          </w:tcPr>
          <w:p w14:paraId="3575A1EC" w14:textId="77777777" w:rsidR="00D64E96" w:rsidRPr="005E3B43" w:rsidRDefault="00D64E96" w:rsidP="00763BCF">
            <w:pPr>
              <w:pStyle w:val="Tabletext"/>
            </w:pPr>
            <w:r w:rsidRPr="005E3B43">
              <w:rPr>
                <w:sz w:val="16"/>
              </w:rPr>
              <w:t>—</w:t>
            </w:r>
          </w:p>
        </w:tc>
      </w:tr>
      <w:tr w:rsidR="00D64E96" w:rsidRPr="005E3B43" w14:paraId="791E39B7" w14:textId="77777777" w:rsidTr="005A786D">
        <w:trPr>
          <w:cantSplit/>
        </w:trPr>
        <w:tc>
          <w:tcPr>
            <w:tcW w:w="1219" w:type="pct"/>
            <w:tcBorders>
              <w:top w:val="single" w:sz="4" w:space="0" w:color="auto"/>
              <w:bottom w:val="single" w:sz="4" w:space="0" w:color="auto"/>
            </w:tcBorders>
            <w:shd w:val="clear" w:color="auto" w:fill="auto"/>
          </w:tcPr>
          <w:p w14:paraId="141D5C2C" w14:textId="77777777" w:rsidR="00D64E96" w:rsidRPr="005E3B43" w:rsidRDefault="00D64E96" w:rsidP="00763BCF">
            <w:pPr>
              <w:pStyle w:val="Tabletext"/>
            </w:pPr>
            <w:r w:rsidRPr="005E3B43">
              <w:rPr>
                <w:sz w:val="16"/>
              </w:rPr>
              <w:t>2009 No.</w:t>
            </w:r>
            <w:r w:rsidR="004E6D00" w:rsidRPr="005E3B43">
              <w:rPr>
                <w:sz w:val="16"/>
              </w:rPr>
              <w:t> </w:t>
            </w:r>
            <w:r w:rsidRPr="005E3B43">
              <w:rPr>
                <w:sz w:val="16"/>
              </w:rPr>
              <w:t>63</w:t>
            </w:r>
          </w:p>
        </w:tc>
        <w:tc>
          <w:tcPr>
            <w:tcW w:w="1286" w:type="pct"/>
            <w:tcBorders>
              <w:top w:val="single" w:sz="4" w:space="0" w:color="auto"/>
              <w:bottom w:val="single" w:sz="4" w:space="0" w:color="auto"/>
            </w:tcBorders>
            <w:shd w:val="clear" w:color="auto" w:fill="auto"/>
          </w:tcPr>
          <w:p w14:paraId="4565C09A" w14:textId="77777777" w:rsidR="00D64E96" w:rsidRPr="005E3B43" w:rsidRDefault="00D64E96" w:rsidP="00763BCF">
            <w:pPr>
              <w:pStyle w:val="Tabletext"/>
            </w:pPr>
            <w:r w:rsidRPr="005E3B43">
              <w:rPr>
                <w:sz w:val="16"/>
              </w:rPr>
              <w:t>15 Apr 2009 (F200900839)</w:t>
            </w:r>
          </w:p>
        </w:tc>
        <w:tc>
          <w:tcPr>
            <w:tcW w:w="1287" w:type="pct"/>
            <w:tcBorders>
              <w:top w:val="single" w:sz="4" w:space="0" w:color="auto"/>
              <w:bottom w:val="single" w:sz="4" w:space="0" w:color="auto"/>
            </w:tcBorders>
            <w:shd w:val="clear" w:color="auto" w:fill="auto"/>
          </w:tcPr>
          <w:p w14:paraId="6B9AABC2" w14:textId="77777777" w:rsidR="00D64E96" w:rsidRPr="005E3B43" w:rsidRDefault="00D64E96" w:rsidP="00763BCF">
            <w:pPr>
              <w:pStyle w:val="Tabletext"/>
            </w:pPr>
            <w:r w:rsidRPr="005E3B43">
              <w:rPr>
                <w:sz w:val="16"/>
              </w:rPr>
              <w:t>16 Apr 2009</w:t>
            </w:r>
          </w:p>
        </w:tc>
        <w:tc>
          <w:tcPr>
            <w:tcW w:w="1208" w:type="pct"/>
            <w:tcBorders>
              <w:top w:val="single" w:sz="4" w:space="0" w:color="auto"/>
              <w:bottom w:val="single" w:sz="4" w:space="0" w:color="auto"/>
            </w:tcBorders>
            <w:shd w:val="clear" w:color="auto" w:fill="auto"/>
          </w:tcPr>
          <w:p w14:paraId="27BC2D2F" w14:textId="77777777" w:rsidR="00D64E96" w:rsidRPr="005E3B43" w:rsidRDefault="00D64E96" w:rsidP="00763BCF">
            <w:pPr>
              <w:pStyle w:val="Tabletext"/>
            </w:pPr>
            <w:r w:rsidRPr="005E3B43">
              <w:rPr>
                <w:sz w:val="16"/>
              </w:rPr>
              <w:t>—</w:t>
            </w:r>
          </w:p>
        </w:tc>
      </w:tr>
      <w:tr w:rsidR="00D64E96" w:rsidRPr="005E3B43" w14:paraId="63191C48" w14:textId="77777777" w:rsidTr="005A786D">
        <w:trPr>
          <w:cantSplit/>
        </w:trPr>
        <w:tc>
          <w:tcPr>
            <w:tcW w:w="1219" w:type="pct"/>
            <w:tcBorders>
              <w:top w:val="single" w:sz="4" w:space="0" w:color="auto"/>
              <w:bottom w:val="single" w:sz="4" w:space="0" w:color="auto"/>
            </w:tcBorders>
            <w:shd w:val="clear" w:color="auto" w:fill="auto"/>
          </w:tcPr>
          <w:p w14:paraId="179912ED" w14:textId="77777777" w:rsidR="00D64E96" w:rsidRPr="005E3B43" w:rsidRDefault="00D64E96" w:rsidP="00763BCF">
            <w:pPr>
              <w:pStyle w:val="Tabletext"/>
            </w:pPr>
            <w:r w:rsidRPr="005E3B43">
              <w:rPr>
                <w:sz w:val="16"/>
              </w:rPr>
              <w:t>2009 No.</w:t>
            </w:r>
            <w:r w:rsidR="004E6D00" w:rsidRPr="005E3B43">
              <w:rPr>
                <w:sz w:val="16"/>
              </w:rPr>
              <w:t> </w:t>
            </w:r>
            <w:r w:rsidRPr="005E3B43">
              <w:rPr>
                <w:sz w:val="16"/>
              </w:rPr>
              <w:t>140</w:t>
            </w:r>
          </w:p>
        </w:tc>
        <w:tc>
          <w:tcPr>
            <w:tcW w:w="1286" w:type="pct"/>
            <w:tcBorders>
              <w:top w:val="single" w:sz="4" w:space="0" w:color="auto"/>
              <w:bottom w:val="single" w:sz="4" w:space="0" w:color="auto"/>
            </w:tcBorders>
            <w:shd w:val="clear" w:color="auto" w:fill="auto"/>
          </w:tcPr>
          <w:p w14:paraId="6677C1DF" w14:textId="77777777" w:rsidR="00D64E96" w:rsidRPr="005E3B43" w:rsidRDefault="00D64E96" w:rsidP="00763BCF">
            <w:pPr>
              <w:pStyle w:val="Tabletext"/>
            </w:pPr>
            <w:r w:rsidRPr="005E3B43">
              <w:rPr>
                <w:sz w:val="16"/>
              </w:rPr>
              <w:t>25</w:t>
            </w:r>
            <w:r w:rsidR="004E6D00" w:rsidRPr="005E3B43">
              <w:rPr>
                <w:sz w:val="16"/>
              </w:rPr>
              <w:t> </w:t>
            </w:r>
            <w:r w:rsidRPr="005E3B43">
              <w:rPr>
                <w:sz w:val="16"/>
              </w:rPr>
              <w:t>June 2009 (F2009L01826)</w:t>
            </w:r>
          </w:p>
        </w:tc>
        <w:tc>
          <w:tcPr>
            <w:tcW w:w="1287" w:type="pct"/>
            <w:tcBorders>
              <w:top w:val="single" w:sz="4" w:space="0" w:color="auto"/>
              <w:bottom w:val="single" w:sz="4" w:space="0" w:color="auto"/>
            </w:tcBorders>
            <w:shd w:val="clear" w:color="auto" w:fill="auto"/>
          </w:tcPr>
          <w:p w14:paraId="1B55758F" w14:textId="77777777" w:rsidR="00D64E96" w:rsidRPr="005E3B43" w:rsidRDefault="00D64E96" w:rsidP="00763BCF">
            <w:pPr>
              <w:pStyle w:val="Tabletext"/>
            </w:pPr>
            <w:r w:rsidRPr="005E3B43">
              <w:rPr>
                <w:sz w:val="16"/>
              </w:rPr>
              <w:t>26</w:t>
            </w:r>
            <w:r w:rsidR="004E6D00" w:rsidRPr="005E3B43">
              <w:rPr>
                <w:sz w:val="16"/>
              </w:rPr>
              <w:t> </w:t>
            </w:r>
            <w:r w:rsidRPr="005E3B43">
              <w:rPr>
                <w:sz w:val="16"/>
              </w:rPr>
              <w:t>June 2009</w:t>
            </w:r>
          </w:p>
        </w:tc>
        <w:tc>
          <w:tcPr>
            <w:tcW w:w="1208" w:type="pct"/>
            <w:tcBorders>
              <w:top w:val="single" w:sz="4" w:space="0" w:color="auto"/>
              <w:bottom w:val="single" w:sz="4" w:space="0" w:color="auto"/>
            </w:tcBorders>
            <w:shd w:val="clear" w:color="auto" w:fill="auto"/>
          </w:tcPr>
          <w:p w14:paraId="388BB7DB" w14:textId="77777777" w:rsidR="00D64E96" w:rsidRPr="005E3B43" w:rsidRDefault="00D64E96" w:rsidP="00763BCF">
            <w:pPr>
              <w:pStyle w:val="Tabletext"/>
            </w:pPr>
            <w:r w:rsidRPr="005E3B43">
              <w:rPr>
                <w:sz w:val="16"/>
              </w:rPr>
              <w:t>—</w:t>
            </w:r>
          </w:p>
        </w:tc>
      </w:tr>
      <w:tr w:rsidR="00D64E96" w:rsidRPr="005E3B43" w14:paraId="653E2110" w14:textId="77777777" w:rsidTr="005A786D">
        <w:trPr>
          <w:cantSplit/>
        </w:trPr>
        <w:tc>
          <w:tcPr>
            <w:tcW w:w="1219" w:type="pct"/>
            <w:tcBorders>
              <w:top w:val="single" w:sz="4" w:space="0" w:color="auto"/>
              <w:bottom w:val="single" w:sz="4" w:space="0" w:color="auto"/>
            </w:tcBorders>
            <w:shd w:val="clear" w:color="auto" w:fill="auto"/>
          </w:tcPr>
          <w:p w14:paraId="555EDA2F" w14:textId="77777777" w:rsidR="00D64E96" w:rsidRPr="005E3B43" w:rsidRDefault="00D64E96" w:rsidP="00763BCF">
            <w:pPr>
              <w:pStyle w:val="Tabletext"/>
            </w:pPr>
            <w:r w:rsidRPr="005E3B43">
              <w:rPr>
                <w:sz w:val="16"/>
              </w:rPr>
              <w:t>2009 No.</w:t>
            </w:r>
            <w:r w:rsidR="004E6D00" w:rsidRPr="005E3B43">
              <w:rPr>
                <w:sz w:val="16"/>
              </w:rPr>
              <w:t> </w:t>
            </w:r>
            <w:r w:rsidRPr="005E3B43">
              <w:rPr>
                <w:sz w:val="16"/>
              </w:rPr>
              <w:t>141</w:t>
            </w:r>
          </w:p>
        </w:tc>
        <w:tc>
          <w:tcPr>
            <w:tcW w:w="1286" w:type="pct"/>
            <w:tcBorders>
              <w:top w:val="single" w:sz="4" w:space="0" w:color="auto"/>
              <w:bottom w:val="single" w:sz="4" w:space="0" w:color="auto"/>
            </w:tcBorders>
            <w:shd w:val="clear" w:color="auto" w:fill="auto"/>
          </w:tcPr>
          <w:p w14:paraId="32E529B9" w14:textId="77777777" w:rsidR="00D64E96" w:rsidRPr="005E3B43" w:rsidRDefault="00D64E96" w:rsidP="00763BCF">
            <w:pPr>
              <w:pStyle w:val="Tabletext"/>
            </w:pPr>
            <w:r w:rsidRPr="005E3B43">
              <w:rPr>
                <w:sz w:val="16"/>
              </w:rPr>
              <w:t>25</w:t>
            </w:r>
            <w:r w:rsidR="004E6D00" w:rsidRPr="005E3B43">
              <w:rPr>
                <w:sz w:val="16"/>
              </w:rPr>
              <w:t> </w:t>
            </w:r>
            <w:r w:rsidRPr="005E3B43">
              <w:rPr>
                <w:sz w:val="16"/>
              </w:rPr>
              <w:t>June 2009 (F2009L02019)</w:t>
            </w:r>
          </w:p>
        </w:tc>
        <w:tc>
          <w:tcPr>
            <w:tcW w:w="1287" w:type="pct"/>
            <w:tcBorders>
              <w:top w:val="single" w:sz="4" w:space="0" w:color="auto"/>
              <w:bottom w:val="single" w:sz="4" w:space="0" w:color="auto"/>
            </w:tcBorders>
            <w:shd w:val="clear" w:color="auto" w:fill="auto"/>
          </w:tcPr>
          <w:p w14:paraId="1C7E6039" w14:textId="77777777" w:rsidR="00D64E96" w:rsidRPr="005E3B43" w:rsidRDefault="006B5D8E" w:rsidP="00763BCF">
            <w:pPr>
              <w:pStyle w:val="Tabletext"/>
            </w:pPr>
            <w:r w:rsidRPr="005E3B43">
              <w:rPr>
                <w:sz w:val="16"/>
              </w:rPr>
              <w:t>1 July</w:t>
            </w:r>
            <w:r w:rsidR="00D64E96" w:rsidRPr="005E3B43">
              <w:rPr>
                <w:sz w:val="16"/>
              </w:rPr>
              <w:t xml:space="preserve"> 2009</w:t>
            </w:r>
          </w:p>
        </w:tc>
        <w:tc>
          <w:tcPr>
            <w:tcW w:w="1208" w:type="pct"/>
            <w:tcBorders>
              <w:top w:val="single" w:sz="4" w:space="0" w:color="auto"/>
              <w:bottom w:val="single" w:sz="4" w:space="0" w:color="auto"/>
            </w:tcBorders>
            <w:shd w:val="clear" w:color="auto" w:fill="auto"/>
          </w:tcPr>
          <w:p w14:paraId="373E1F28" w14:textId="77777777" w:rsidR="00D64E96" w:rsidRPr="005E3B43" w:rsidRDefault="00D64E96" w:rsidP="00763BCF">
            <w:pPr>
              <w:pStyle w:val="Tabletext"/>
            </w:pPr>
            <w:r w:rsidRPr="005E3B43">
              <w:rPr>
                <w:sz w:val="16"/>
              </w:rPr>
              <w:t>—</w:t>
            </w:r>
          </w:p>
        </w:tc>
      </w:tr>
      <w:tr w:rsidR="00D64E96" w:rsidRPr="005E3B43" w14:paraId="6BE2ECD7" w14:textId="77777777" w:rsidTr="005A786D">
        <w:trPr>
          <w:cantSplit/>
        </w:trPr>
        <w:tc>
          <w:tcPr>
            <w:tcW w:w="1219" w:type="pct"/>
            <w:tcBorders>
              <w:top w:val="single" w:sz="4" w:space="0" w:color="auto"/>
              <w:bottom w:val="single" w:sz="4" w:space="0" w:color="auto"/>
            </w:tcBorders>
            <w:shd w:val="clear" w:color="auto" w:fill="auto"/>
          </w:tcPr>
          <w:p w14:paraId="1B87535B" w14:textId="77777777" w:rsidR="00D64E96" w:rsidRPr="005E3B43" w:rsidRDefault="00D64E96" w:rsidP="00763BCF">
            <w:pPr>
              <w:pStyle w:val="Tabletext"/>
            </w:pPr>
            <w:r w:rsidRPr="005E3B43">
              <w:rPr>
                <w:sz w:val="16"/>
              </w:rPr>
              <w:t>2009 No.</w:t>
            </w:r>
            <w:r w:rsidR="004E6D00" w:rsidRPr="005E3B43">
              <w:rPr>
                <w:sz w:val="16"/>
              </w:rPr>
              <w:t> </w:t>
            </w:r>
            <w:r w:rsidRPr="005E3B43">
              <w:rPr>
                <w:sz w:val="16"/>
              </w:rPr>
              <w:t>179</w:t>
            </w:r>
          </w:p>
        </w:tc>
        <w:tc>
          <w:tcPr>
            <w:tcW w:w="1286" w:type="pct"/>
            <w:tcBorders>
              <w:top w:val="single" w:sz="4" w:space="0" w:color="auto"/>
              <w:bottom w:val="single" w:sz="4" w:space="0" w:color="auto"/>
            </w:tcBorders>
            <w:shd w:val="clear" w:color="auto" w:fill="auto"/>
          </w:tcPr>
          <w:p w14:paraId="31959D28" w14:textId="77777777" w:rsidR="00D64E96" w:rsidRPr="005E3B43" w:rsidRDefault="00D64E96" w:rsidP="00763BCF">
            <w:pPr>
              <w:pStyle w:val="Tabletext"/>
            </w:pPr>
            <w:r w:rsidRPr="005E3B43">
              <w:rPr>
                <w:sz w:val="16"/>
              </w:rPr>
              <w:t>9</w:t>
            </w:r>
            <w:r w:rsidR="004E6D00" w:rsidRPr="005E3B43">
              <w:rPr>
                <w:sz w:val="16"/>
              </w:rPr>
              <w:t> </w:t>
            </w:r>
            <w:r w:rsidRPr="005E3B43">
              <w:rPr>
                <w:sz w:val="16"/>
              </w:rPr>
              <w:t>July 2009 (F2009L02089)</w:t>
            </w:r>
          </w:p>
        </w:tc>
        <w:tc>
          <w:tcPr>
            <w:tcW w:w="1287" w:type="pct"/>
            <w:tcBorders>
              <w:top w:val="single" w:sz="4" w:space="0" w:color="auto"/>
              <w:bottom w:val="single" w:sz="4" w:space="0" w:color="auto"/>
            </w:tcBorders>
            <w:shd w:val="clear" w:color="auto" w:fill="auto"/>
          </w:tcPr>
          <w:p w14:paraId="53BACBDD" w14:textId="77777777" w:rsidR="00D64E96" w:rsidRPr="005E3B43" w:rsidRDefault="00D64E96" w:rsidP="00763BCF">
            <w:pPr>
              <w:pStyle w:val="Tabletext"/>
            </w:pPr>
            <w:r w:rsidRPr="005E3B43">
              <w:rPr>
                <w:sz w:val="16"/>
              </w:rPr>
              <w:t>10</w:t>
            </w:r>
            <w:r w:rsidR="004E6D00" w:rsidRPr="005E3B43">
              <w:rPr>
                <w:sz w:val="16"/>
              </w:rPr>
              <w:t> </w:t>
            </w:r>
            <w:r w:rsidRPr="005E3B43">
              <w:rPr>
                <w:sz w:val="16"/>
              </w:rPr>
              <w:t>July 2009</w:t>
            </w:r>
          </w:p>
        </w:tc>
        <w:tc>
          <w:tcPr>
            <w:tcW w:w="1208" w:type="pct"/>
            <w:tcBorders>
              <w:top w:val="single" w:sz="4" w:space="0" w:color="auto"/>
              <w:bottom w:val="single" w:sz="4" w:space="0" w:color="auto"/>
            </w:tcBorders>
            <w:shd w:val="clear" w:color="auto" w:fill="auto"/>
          </w:tcPr>
          <w:p w14:paraId="402BD04D" w14:textId="77777777" w:rsidR="00D64E96" w:rsidRPr="005E3B43" w:rsidRDefault="00D64E96" w:rsidP="00763BCF">
            <w:pPr>
              <w:pStyle w:val="Tabletext"/>
            </w:pPr>
            <w:r w:rsidRPr="005E3B43">
              <w:rPr>
                <w:sz w:val="16"/>
              </w:rPr>
              <w:t>—</w:t>
            </w:r>
          </w:p>
        </w:tc>
      </w:tr>
      <w:tr w:rsidR="00D64E96" w:rsidRPr="005E3B43" w14:paraId="1550E3D4" w14:textId="77777777" w:rsidTr="005A786D">
        <w:trPr>
          <w:cantSplit/>
        </w:trPr>
        <w:tc>
          <w:tcPr>
            <w:tcW w:w="1219" w:type="pct"/>
            <w:tcBorders>
              <w:top w:val="single" w:sz="4" w:space="0" w:color="auto"/>
              <w:bottom w:val="single" w:sz="4" w:space="0" w:color="auto"/>
            </w:tcBorders>
            <w:shd w:val="clear" w:color="auto" w:fill="auto"/>
          </w:tcPr>
          <w:p w14:paraId="7BA4F042" w14:textId="77777777" w:rsidR="00D64E96" w:rsidRPr="005E3B43" w:rsidRDefault="00D64E96" w:rsidP="00763BCF">
            <w:pPr>
              <w:pStyle w:val="Tabletext"/>
            </w:pPr>
            <w:r w:rsidRPr="005E3B43">
              <w:rPr>
                <w:sz w:val="16"/>
              </w:rPr>
              <w:t>2009 No.</w:t>
            </w:r>
            <w:r w:rsidR="004E6D00" w:rsidRPr="005E3B43">
              <w:rPr>
                <w:sz w:val="16"/>
              </w:rPr>
              <w:t> </w:t>
            </w:r>
            <w:r w:rsidRPr="005E3B43">
              <w:rPr>
                <w:sz w:val="16"/>
              </w:rPr>
              <w:t>228</w:t>
            </w:r>
          </w:p>
        </w:tc>
        <w:tc>
          <w:tcPr>
            <w:tcW w:w="1286" w:type="pct"/>
            <w:tcBorders>
              <w:top w:val="single" w:sz="4" w:space="0" w:color="auto"/>
              <w:bottom w:val="single" w:sz="4" w:space="0" w:color="auto"/>
            </w:tcBorders>
            <w:shd w:val="clear" w:color="auto" w:fill="auto"/>
          </w:tcPr>
          <w:p w14:paraId="01A2136F" w14:textId="77777777" w:rsidR="00D64E96" w:rsidRPr="005E3B43" w:rsidRDefault="00D64E96" w:rsidP="00763BCF">
            <w:pPr>
              <w:pStyle w:val="Tabletext"/>
            </w:pPr>
            <w:r w:rsidRPr="005E3B43">
              <w:rPr>
                <w:sz w:val="16"/>
              </w:rPr>
              <w:t>10 Sept 2009 (F2009L02935)</w:t>
            </w:r>
          </w:p>
        </w:tc>
        <w:tc>
          <w:tcPr>
            <w:tcW w:w="1287" w:type="pct"/>
            <w:tcBorders>
              <w:top w:val="single" w:sz="4" w:space="0" w:color="auto"/>
              <w:bottom w:val="single" w:sz="4" w:space="0" w:color="auto"/>
            </w:tcBorders>
            <w:shd w:val="clear" w:color="auto" w:fill="auto"/>
          </w:tcPr>
          <w:p w14:paraId="41D03BC0" w14:textId="77777777" w:rsidR="00D64E96" w:rsidRPr="005E3B43" w:rsidRDefault="00D64E96" w:rsidP="00763BCF">
            <w:pPr>
              <w:pStyle w:val="Tabletext"/>
            </w:pPr>
            <w:r w:rsidRPr="005E3B43">
              <w:rPr>
                <w:sz w:val="16"/>
              </w:rPr>
              <w:t>11 Sept 2009</w:t>
            </w:r>
          </w:p>
        </w:tc>
        <w:tc>
          <w:tcPr>
            <w:tcW w:w="1208" w:type="pct"/>
            <w:tcBorders>
              <w:top w:val="single" w:sz="4" w:space="0" w:color="auto"/>
              <w:bottom w:val="single" w:sz="4" w:space="0" w:color="auto"/>
            </w:tcBorders>
            <w:shd w:val="clear" w:color="auto" w:fill="auto"/>
          </w:tcPr>
          <w:p w14:paraId="6C9117F4" w14:textId="77777777" w:rsidR="00D64E96" w:rsidRPr="005E3B43" w:rsidRDefault="00D64E96" w:rsidP="00763BCF">
            <w:pPr>
              <w:pStyle w:val="Tabletext"/>
            </w:pPr>
            <w:r w:rsidRPr="005E3B43">
              <w:rPr>
                <w:sz w:val="16"/>
              </w:rPr>
              <w:t>—</w:t>
            </w:r>
          </w:p>
        </w:tc>
      </w:tr>
      <w:tr w:rsidR="00D64E96" w:rsidRPr="005E3B43" w14:paraId="688AF4FB" w14:textId="77777777" w:rsidTr="005A786D">
        <w:trPr>
          <w:cantSplit/>
        </w:trPr>
        <w:tc>
          <w:tcPr>
            <w:tcW w:w="1219" w:type="pct"/>
            <w:tcBorders>
              <w:top w:val="single" w:sz="4" w:space="0" w:color="auto"/>
              <w:bottom w:val="single" w:sz="4" w:space="0" w:color="auto"/>
            </w:tcBorders>
            <w:shd w:val="clear" w:color="auto" w:fill="auto"/>
          </w:tcPr>
          <w:p w14:paraId="5B40FCFA" w14:textId="77777777" w:rsidR="00D64E96" w:rsidRPr="005E3B43" w:rsidRDefault="00D64E96" w:rsidP="00763BCF">
            <w:pPr>
              <w:pStyle w:val="Tabletext"/>
            </w:pPr>
            <w:r w:rsidRPr="005E3B43">
              <w:rPr>
                <w:sz w:val="16"/>
              </w:rPr>
              <w:t>2009 No.</w:t>
            </w:r>
            <w:r w:rsidR="004E6D00" w:rsidRPr="005E3B43">
              <w:rPr>
                <w:sz w:val="16"/>
              </w:rPr>
              <w:t> </w:t>
            </w:r>
            <w:r w:rsidRPr="005E3B43">
              <w:rPr>
                <w:sz w:val="16"/>
              </w:rPr>
              <w:t>374</w:t>
            </w:r>
          </w:p>
        </w:tc>
        <w:tc>
          <w:tcPr>
            <w:tcW w:w="1286" w:type="pct"/>
            <w:tcBorders>
              <w:top w:val="single" w:sz="4" w:space="0" w:color="auto"/>
              <w:bottom w:val="single" w:sz="4" w:space="0" w:color="auto"/>
            </w:tcBorders>
            <w:shd w:val="clear" w:color="auto" w:fill="auto"/>
          </w:tcPr>
          <w:p w14:paraId="6735EF2A" w14:textId="77777777" w:rsidR="00D64E96" w:rsidRPr="005E3B43" w:rsidRDefault="00D64E96" w:rsidP="00763BCF">
            <w:pPr>
              <w:pStyle w:val="Tabletext"/>
            </w:pPr>
            <w:r w:rsidRPr="005E3B43">
              <w:rPr>
                <w:sz w:val="16"/>
              </w:rPr>
              <w:t>16 Dec 2009 (F2009L04018)</w:t>
            </w:r>
          </w:p>
        </w:tc>
        <w:tc>
          <w:tcPr>
            <w:tcW w:w="1287" w:type="pct"/>
            <w:tcBorders>
              <w:top w:val="single" w:sz="4" w:space="0" w:color="auto"/>
              <w:bottom w:val="single" w:sz="4" w:space="0" w:color="auto"/>
            </w:tcBorders>
            <w:shd w:val="clear" w:color="auto" w:fill="auto"/>
          </w:tcPr>
          <w:p w14:paraId="1B251120" w14:textId="77777777" w:rsidR="00D64E96" w:rsidRPr="005E3B43" w:rsidRDefault="00D64E96" w:rsidP="00763BCF">
            <w:pPr>
              <w:pStyle w:val="Tabletext"/>
            </w:pPr>
            <w:r w:rsidRPr="005E3B43">
              <w:rPr>
                <w:sz w:val="16"/>
              </w:rPr>
              <w:t>rr.</w:t>
            </w:r>
            <w:r w:rsidR="004E6D00" w:rsidRPr="005E3B43">
              <w:rPr>
                <w:sz w:val="16"/>
              </w:rPr>
              <w:t> </w:t>
            </w:r>
            <w:r w:rsidRPr="005E3B43">
              <w:rPr>
                <w:sz w:val="16"/>
              </w:rPr>
              <w:t xml:space="preserve">1–4 and </w:t>
            </w:r>
            <w:r w:rsidR="008D1B4F" w:rsidRPr="005E3B43">
              <w:rPr>
                <w:sz w:val="16"/>
              </w:rPr>
              <w:t>Schedule 1</w:t>
            </w:r>
            <w:r w:rsidRPr="005E3B43">
              <w:rPr>
                <w:sz w:val="16"/>
              </w:rPr>
              <w:t>:</w:t>
            </w:r>
            <w:r w:rsidR="007A46F1" w:rsidRPr="005E3B43">
              <w:rPr>
                <w:sz w:val="16"/>
              </w:rPr>
              <w:t xml:space="preserve"> </w:t>
            </w:r>
            <w:r w:rsidRPr="005E3B43">
              <w:rPr>
                <w:sz w:val="16"/>
              </w:rPr>
              <w:t>1 Jan 2010</w:t>
            </w:r>
            <w:r w:rsidRPr="005E3B43">
              <w:rPr>
                <w:sz w:val="16"/>
              </w:rPr>
              <w:br/>
              <w:t>Schedule</w:t>
            </w:r>
            <w:r w:rsidR="004E6D00" w:rsidRPr="005E3B43">
              <w:rPr>
                <w:sz w:val="16"/>
              </w:rPr>
              <w:t> </w:t>
            </w:r>
            <w:r w:rsidRPr="005E3B43">
              <w:rPr>
                <w:sz w:val="16"/>
              </w:rPr>
              <w:t>2: 25 Jan 2010</w:t>
            </w:r>
          </w:p>
        </w:tc>
        <w:tc>
          <w:tcPr>
            <w:tcW w:w="1208" w:type="pct"/>
            <w:tcBorders>
              <w:top w:val="single" w:sz="4" w:space="0" w:color="auto"/>
              <w:bottom w:val="single" w:sz="4" w:space="0" w:color="auto"/>
            </w:tcBorders>
            <w:shd w:val="clear" w:color="auto" w:fill="auto"/>
          </w:tcPr>
          <w:p w14:paraId="780EBD8E" w14:textId="77777777" w:rsidR="00D64E96" w:rsidRPr="005E3B43" w:rsidRDefault="00D64E96" w:rsidP="00763BCF">
            <w:pPr>
              <w:pStyle w:val="Tabletext"/>
            </w:pPr>
            <w:r w:rsidRPr="005E3B43">
              <w:rPr>
                <w:sz w:val="16"/>
              </w:rPr>
              <w:t>r. 4</w:t>
            </w:r>
          </w:p>
        </w:tc>
      </w:tr>
      <w:tr w:rsidR="00D64E96" w:rsidRPr="005E3B43" w14:paraId="7F1CB224" w14:textId="77777777" w:rsidTr="005A786D">
        <w:trPr>
          <w:cantSplit/>
        </w:trPr>
        <w:tc>
          <w:tcPr>
            <w:tcW w:w="1219" w:type="pct"/>
            <w:tcBorders>
              <w:top w:val="single" w:sz="4" w:space="0" w:color="auto"/>
              <w:bottom w:val="single" w:sz="4" w:space="0" w:color="auto"/>
            </w:tcBorders>
            <w:shd w:val="clear" w:color="auto" w:fill="auto"/>
          </w:tcPr>
          <w:p w14:paraId="35E53FE3" w14:textId="77777777" w:rsidR="00D64E96" w:rsidRPr="005E3B43" w:rsidRDefault="00D64E96" w:rsidP="00763BCF">
            <w:pPr>
              <w:pStyle w:val="Tabletext"/>
            </w:pPr>
            <w:r w:rsidRPr="005E3B43">
              <w:rPr>
                <w:sz w:val="16"/>
              </w:rPr>
              <w:t>2010 No.</w:t>
            </w:r>
            <w:r w:rsidR="004E6D00" w:rsidRPr="005E3B43">
              <w:rPr>
                <w:sz w:val="16"/>
              </w:rPr>
              <w:t> </w:t>
            </w:r>
            <w:r w:rsidRPr="005E3B43">
              <w:rPr>
                <w:sz w:val="16"/>
              </w:rPr>
              <w:t>26</w:t>
            </w:r>
          </w:p>
        </w:tc>
        <w:tc>
          <w:tcPr>
            <w:tcW w:w="1286" w:type="pct"/>
            <w:tcBorders>
              <w:top w:val="single" w:sz="4" w:space="0" w:color="auto"/>
              <w:bottom w:val="single" w:sz="4" w:space="0" w:color="auto"/>
            </w:tcBorders>
            <w:shd w:val="clear" w:color="auto" w:fill="auto"/>
          </w:tcPr>
          <w:p w14:paraId="36D0C739" w14:textId="77777777" w:rsidR="00D64E96" w:rsidRPr="005E3B43" w:rsidRDefault="00D64E96" w:rsidP="00763BCF">
            <w:pPr>
              <w:pStyle w:val="Tabletext"/>
            </w:pPr>
            <w:r w:rsidRPr="005E3B43">
              <w:rPr>
                <w:sz w:val="16"/>
              </w:rPr>
              <w:t>3 Mar 2010 (F2010L00470)</w:t>
            </w:r>
          </w:p>
        </w:tc>
        <w:tc>
          <w:tcPr>
            <w:tcW w:w="1287" w:type="pct"/>
            <w:tcBorders>
              <w:top w:val="single" w:sz="4" w:space="0" w:color="auto"/>
              <w:bottom w:val="single" w:sz="4" w:space="0" w:color="auto"/>
            </w:tcBorders>
            <w:shd w:val="clear" w:color="auto" w:fill="auto"/>
          </w:tcPr>
          <w:p w14:paraId="0277B4CC" w14:textId="77777777" w:rsidR="00D64E96" w:rsidRPr="005E3B43" w:rsidRDefault="006B5D8E" w:rsidP="00763BCF">
            <w:pPr>
              <w:pStyle w:val="Tabletext"/>
            </w:pPr>
            <w:r w:rsidRPr="005E3B43">
              <w:rPr>
                <w:sz w:val="16"/>
              </w:rPr>
              <w:t>1 July</w:t>
            </w:r>
            <w:r w:rsidR="00D64E96" w:rsidRPr="005E3B43">
              <w:rPr>
                <w:sz w:val="16"/>
              </w:rPr>
              <w:t xml:space="preserve"> 2010</w:t>
            </w:r>
          </w:p>
        </w:tc>
        <w:tc>
          <w:tcPr>
            <w:tcW w:w="1208" w:type="pct"/>
            <w:tcBorders>
              <w:top w:val="single" w:sz="4" w:space="0" w:color="auto"/>
              <w:bottom w:val="single" w:sz="4" w:space="0" w:color="auto"/>
            </w:tcBorders>
            <w:shd w:val="clear" w:color="auto" w:fill="auto"/>
          </w:tcPr>
          <w:p w14:paraId="455F967A" w14:textId="77777777" w:rsidR="00D64E96" w:rsidRPr="005E3B43" w:rsidRDefault="00D64E96" w:rsidP="00763BCF">
            <w:pPr>
              <w:pStyle w:val="Tabletext"/>
            </w:pPr>
            <w:r w:rsidRPr="005E3B43">
              <w:rPr>
                <w:sz w:val="16"/>
              </w:rPr>
              <w:t>rr.</w:t>
            </w:r>
            <w:r w:rsidR="004E6D00" w:rsidRPr="005E3B43">
              <w:rPr>
                <w:sz w:val="16"/>
              </w:rPr>
              <w:t> </w:t>
            </w:r>
            <w:r w:rsidRPr="005E3B43">
              <w:rPr>
                <w:sz w:val="16"/>
              </w:rPr>
              <w:t>4–7</w:t>
            </w:r>
          </w:p>
        </w:tc>
      </w:tr>
      <w:tr w:rsidR="00D64E96" w:rsidRPr="005E3B43" w14:paraId="2B65A712" w14:textId="77777777" w:rsidTr="005A786D">
        <w:trPr>
          <w:cantSplit/>
        </w:trPr>
        <w:tc>
          <w:tcPr>
            <w:tcW w:w="1219" w:type="pct"/>
            <w:tcBorders>
              <w:top w:val="single" w:sz="4" w:space="0" w:color="auto"/>
              <w:bottom w:val="single" w:sz="4" w:space="0" w:color="auto"/>
            </w:tcBorders>
            <w:shd w:val="clear" w:color="auto" w:fill="auto"/>
          </w:tcPr>
          <w:p w14:paraId="0AEB0E89" w14:textId="77777777" w:rsidR="00D64E96" w:rsidRPr="005E3B43" w:rsidRDefault="00D64E96" w:rsidP="00763BCF">
            <w:pPr>
              <w:pStyle w:val="Tabletext"/>
            </w:pPr>
            <w:r w:rsidRPr="005E3B43">
              <w:rPr>
                <w:sz w:val="16"/>
              </w:rPr>
              <w:t>2010 No.</w:t>
            </w:r>
            <w:r w:rsidR="004E6D00" w:rsidRPr="005E3B43">
              <w:rPr>
                <w:sz w:val="16"/>
              </w:rPr>
              <w:t> </w:t>
            </w:r>
            <w:r w:rsidRPr="005E3B43">
              <w:rPr>
                <w:sz w:val="16"/>
              </w:rPr>
              <w:t>129</w:t>
            </w:r>
          </w:p>
        </w:tc>
        <w:tc>
          <w:tcPr>
            <w:tcW w:w="1286" w:type="pct"/>
            <w:tcBorders>
              <w:top w:val="single" w:sz="4" w:space="0" w:color="auto"/>
              <w:bottom w:val="single" w:sz="4" w:space="0" w:color="auto"/>
            </w:tcBorders>
            <w:shd w:val="clear" w:color="auto" w:fill="auto"/>
          </w:tcPr>
          <w:p w14:paraId="76995031" w14:textId="77777777" w:rsidR="00D64E96" w:rsidRPr="005E3B43" w:rsidRDefault="00857FE0" w:rsidP="00763BCF">
            <w:pPr>
              <w:pStyle w:val="Tabletext"/>
            </w:pPr>
            <w:r w:rsidRPr="005E3B43">
              <w:rPr>
                <w:sz w:val="16"/>
              </w:rPr>
              <w:t>21 June</w:t>
            </w:r>
            <w:r w:rsidR="00D64E96" w:rsidRPr="005E3B43">
              <w:rPr>
                <w:sz w:val="16"/>
              </w:rPr>
              <w:t xml:space="preserve"> 2010 (F2010L01285)</w:t>
            </w:r>
          </w:p>
        </w:tc>
        <w:tc>
          <w:tcPr>
            <w:tcW w:w="1287" w:type="pct"/>
            <w:tcBorders>
              <w:top w:val="single" w:sz="4" w:space="0" w:color="auto"/>
              <w:bottom w:val="single" w:sz="4" w:space="0" w:color="auto"/>
            </w:tcBorders>
            <w:shd w:val="clear" w:color="auto" w:fill="auto"/>
          </w:tcPr>
          <w:p w14:paraId="72A6715E" w14:textId="77777777" w:rsidR="00D64E96" w:rsidRPr="005E3B43" w:rsidRDefault="006B5D8E" w:rsidP="00763BCF">
            <w:pPr>
              <w:pStyle w:val="Tabletext"/>
            </w:pPr>
            <w:r w:rsidRPr="005E3B43">
              <w:rPr>
                <w:sz w:val="16"/>
              </w:rPr>
              <w:t>1 July</w:t>
            </w:r>
            <w:r w:rsidR="00D64E96" w:rsidRPr="005E3B43">
              <w:rPr>
                <w:sz w:val="16"/>
              </w:rPr>
              <w:t xml:space="preserve"> 2010</w:t>
            </w:r>
          </w:p>
        </w:tc>
        <w:tc>
          <w:tcPr>
            <w:tcW w:w="1208" w:type="pct"/>
            <w:tcBorders>
              <w:top w:val="single" w:sz="4" w:space="0" w:color="auto"/>
              <w:bottom w:val="single" w:sz="4" w:space="0" w:color="auto"/>
            </w:tcBorders>
            <w:shd w:val="clear" w:color="auto" w:fill="auto"/>
          </w:tcPr>
          <w:p w14:paraId="76580FDE" w14:textId="77777777" w:rsidR="00D64E96" w:rsidRPr="005E3B43" w:rsidRDefault="00D64E96" w:rsidP="00763BCF">
            <w:pPr>
              <w:pStyle w:val="Tabletext"/>
            </w:pPr>
            <w:r w:rsidRPr="005E3B43">
              <w:rPr>
                <w:sz w:val="16"/>
              </w:rPr>
              <w:t>—</w:t>
            </w:r>
          </w:p>
        </w:tc>
      </w:tr>
      <w:tr w:rsidR="00D64E96" w:rsidRPr="005E3B43" w14:paraId="176D41E2" w14:textId="77777777" w:rsidTr="005A786D">
        <w:trPr>
          <w:cantSplit/>
        </w:trPr>
        <w:tc>
          <w:tcPr>
            <w:tcW w:w="1219" w:type="pct"/>
            <w:tcBorders>
              <w:top w:val="single" w:sz="4" w:space="0" w:color="auto"/>
              <w:bottom w:val="single" w:sz="4" w:space="0" w:color="auto"/>
            </w:tcBorders>
            <w:shd w:val="clear" w:color="auto" w:fill="auto"/>
          </w:tcPr>
          <w:p w14:paraId="75C714E8" w14:textId="77777777" w:rsidR="00D64E96" w:rsidRPr="005E3B43" w:rsidRDefault="00D64E96" w:rsidP="00763BCF">
            <w:pPr>
              <w:pStyle w:val="Tabletext"/>
            </w:pPr>
            <w:r w:rsidRPr="005E3B43">
              <w:rPr>
                <w:sz w:val="16"/>
              </w:rPr>
              <w:t>2010 No.</w:t>
            </w:r>
            <w:r w:rsidR="004E6D00" w:rsidRPr="005E3B43">
              <w:rPr>
                <w:sz w:val="16"/>
              </w:rPr>
              <w:t> </w:t>
            </w:r>
            <w:r w:rsidRPr="005E3B43">
              <w:rPr>
                <w:sz w:val="16"/>
              </w:rPr>
              <w:t>130</w:t>
            </w:r>
          </w:p>
        </w:tc>
        <w:tc>
          <w:tcPr>
            <w:tcW w:w="1286" w:type="pct"/>
            <w:tcBorders>
              <w:top w:val="single" w:sz="4" w:space="0" w:color="auto"/>
              <w:bottom w:val="single" w:sz="4" w:space="0" w:color="auto"/>
            </w:tcBorders>
            <w:shd w:val="clear" w:color="auto" w:fill="auto"/>
          </w:tcPr>
          <w:p w14:paraId="717A1166" w14:textId="77777777" w:rsidR="00D64E96" w:rsidRPr="005E3B43" w:rsidRDefault="00857FE0" w:rsidP="00763BCF">
            <w:pPr>
              <w:pStyle w:val="Tabletext"/>
            </w:pPr>
            <w:r w:rsidRPr="005E3B43">
              <w:rPr>
                <w:sz w:val="16"/>
              </w:rPr>
              <w:t>21 June</w:t>
            </w:r>
            <w:r w:rsidR="00D64E96" w:rsidRPr="005E3B43">
              <w:rPr>
                <w:sz w:val="16"/>
              </w:rPr>
              <w:t xml:space="preserve"> 2010 (F2010L01282)</w:t>
            </w:r>
          </w:p>
        </w:tc>
        <w:tc>
          <w:tcPr>
            <w:tcW w:w="1287" w:type="pct"/>
            <w:tcBorders>
              <w:top w:val="single" w:sz="4" w:space="0" w:color="auto"/>
              <w:bottom w:val="single" w:sz="4" w:space="0" w:color="auto"/>
            </w:tcBorders>
            <w:shd w:val="clear" w:color="auto" w:fill="auto"/>
          </w:tcPr>
          <w:p w14:paraId="72FA5F7A" w14:textId="77777777" w:rsidR="00D64E96" w:rsidRPr="005E3B43" w:rsidRDefault="006B5D8E" w:rsidP="00763BCF">
            <w:pPr>
              <w:pStyle w:val="Tabletext"/>
            </w:pPr>
            <w:r w:rsidRPr="005E3B43">
              <w:rPr>
                <w:sz w:val="16"/>
              </w:rPr>
              <w:t>1 July</w:t>
            </w:r>
            <w:r w:rsidR="00D64E96" w:rsidRPr="005E3B43">
              <w:rPr>
                <w:sz w:val="16"/>
              </w:rPr>
              <w:t xml:space="preserve"> 2010</w:t>
            </w:r>
          </w:p>
        </w:tc>
        <w:tc>
          <w:tcPr>
            <w:tcW w:w="1208" w:type="pct"/>
            <w:tcBorders>
              <w:top w:val="single" w:sz="4" w:space="0" w:color="auto"/>
              <w:bottom w:val="single" w:sz="4" w:space="0" w:color="auto"/>
            </w:tcBorders>
            <w:shd w:val="clear" w:color="auto" w:fill="auto"/>
          </w:tcPr>
          <w:p w14:paraId="0A2DBB0B" w14:textId="77777777" w:rsidR="00D64E96" w:rsidRPr="005E3B43" w:rsidRDefault="00D64E96" w:rsidP="00763BCF">
            <w:pPr>
              <w:pStyle w:val="Tabletext"/>
            </w:pPr>
            <w:r w:rsidRPr="005E3B43">
              <w:rPr>
                <w:sz w:val="16"/>
              </w:rPr>
              <w:t>—</w:t>
            </w:r>
          </w:p>
        </w:tc>
      </w:tr>
      <w:tr w:rsidR="00D64E96" w:rsidRPr="005E3B43" w14:paraId="66D7E955" w14:textId="77777777" w:rsidTr="005A786D">
        <w:trPr>
          <w:cantSplit/>
        </w:trPr>
        <w:tc>
          <w:tcPr>
            <w:tcW w:w="1219" w:type="pct"/>
            <w:tcBorders>
              <w:top w:val="single" w:sz="4" w:space="0" w:color="auto"/>
              <w:bottom w:val="single" w:sz="4" w:space="0" w:color="auto"/>
            </w:tcBorders>
            <w:shd w:val="clear" w:color="auto" w:fill="auto"/>
          </w:tcPr>
          <w:p w14:paraId="55852702" w14:textId="77777777" w:rsidR="00D64E96" w:rsidRPr="005E3B43" w:rsidRDefault="00D64E96" w:rsidP="00763BCF">
            <w:pPr>
              <w:pStyle w:val="Tabletext"/>
            </w:pPr>
            <w:r w:rsidRPr="005E3B43">
              <w:rPr>
                <w:sz w:val="16"/>
              </w:rPr>
              <w:t>2010 No.</w:t>
            </w:r>
            <w:r w:rsidR="004E6D00" w:rsidRPr="005E3B43">
              <w:rPr>
                <w:sz w:val="16"/>
              </w:rPr>
              <w:t> </w:t>
            </w:r>
            <w:r w:rsidRPr="005E3B43">
              <w:rPr>
                <w:sz w:val="16"/>
              </w:rPr>
              <w:t>266</w:t>
            </w:r>
          </w:p>
        </w:tc>
        <w:tc>
          <w:tcPr>
            <w:tcW w:w="1286" w:type="pct"/>
            <w:tcBorders>
              <w:top w:val="single" w:sz="4" w:space="0" w:color="auto"/>
              <w:bottom w:val="single" w:sz="4" w:space="0" w:color="auto"/>
            </w:tcBorders>
            <w:shd w:val="clear" w:color="auto" w:fill="auto"/>
          </w:tcPr>
          <w:p w14:paraId="7036627F" w14:textId="77777777" w:rsidR="00D64E96" w:rsidRPr="005E3B43" w:rsidRDefault="00D64E96" w:rsidP="00763BCF">
            <w:pPr>
              <w:pStyle w:val="Tabletext"/>
            </w:pPr>
            <w:r w:rsidRPr="005E3B43">
              <w:rPr>
                <w:sz w:val="16"/>
              </w:rPr>
              <w:t>28 Oct 2010 (F2010L02771)</w:t>
            </w:r>
          </w:p>
        </w:tc>
        <w:tc>
          <w:tcPr>
            <w:tcW w:w="1287" w:type="pct"/>
            <w:tcBorders>
              <w:top w:val="single" w:sz="4" w:space="0" w:color="auto"/>
              <w:bottom w:val="single" w:sz="4" w:space="0" w:color="auto"/>
            </w:tcBorders>
            <w:shd w:val="clear" w:color="auto" w:fill="auto"/>
          </w:tcPr>
          <w:p w14:paraId="716D9C1E" w14:textId="77777777" w:rsidR="00D64E96" w:rsidRPr="005E3B43" w:rsidRDefault="00D64E96" w:rsidP="00763BCF">
            <w:pPr>
              <w:pStyle w:val="Tabletext"/>
            </w:pPr>
            <w:r w:rsidRPr="005E3B43">
              <w:rPr>
                <w:sz w:val="16"/>
              </w:rPr>
              <w:t>29 Oct 2010</w:t>
            </w:r>
          </w:p>
        </w:tc>
        <w:tc>
          <w:tcPr>
            <w:tcW w:w="1208" w:type="pct"/>
            <w:tcBorders>
              <w:top w:val="single" w:sz="4" w:space="0" w:color="auto"/>
              <w:bottom w:val="single" w:sz="4" w:space="0" w:color="auto"/>
            </w:tcBorders>
            <w:shd w:val="clear" w:color="auto" w:fill="auto"/>
          </w:tcPr>
          <w:p w14:paraId="150B2004" w14:textId="77777777" w:rsidR="00D64E96" w:rsidRPr="005E3B43" w:rsidRDefault="00D64E96" w:rsidP="00763BCF">
            <w:pPr>
              <w:pStyle w:val="Tabletext"/>
            </w:pPr>
            <w:r w:rsidRPr="005E3B43">
              <w:rPr>
                <w:sz w:val="16"/>
              </w:rPr>
              <w:t>r. 4</w:t>
            </w:r>
          </w:p>
        </w:tc>
      </w:tr>
      <w:tr w:rsidR="00D64E96" w:rsidRPr="005E3B43" w14:paraId="09D889D6" w14:textId="77777777" w:rsidTr="005A786D">
        <w:trPr>
          <w:cantSplit/>
        </w:trPr>
        <w:tc>
          <w:tcPr>
            <w:tcW w:w="1219" w:type="pct"/>
            <w:tcBorders>
              <w:top w:val="single" w:sz="4" w:space="0" w:color="auto"/>
              <w:bottom w:val="single" w:sz="4" w:space="0" w:color="auto"/>
            </w:tcBorders>
            <w:shd w:val="clear" w:color="auto" w:fill="auto"/>
          </w:tcPr>
          <w:p w14:paraId="041F3E58" w14:textId="77777777" w:rsidR="00D64E96" w:rsidRPr="005E3B43" w:rsidRDefault="00D64E96" w:rsidP="00763BCF">
            <w:pPr>
              <w:pStyle w:val="Tabletext"/>
            </w:pPr>
            <w:r w:rsidRPr="005E3B43">
              <w:rPr>
                <w:sz w:val="16"/>
              </w:rPr>
              <w:t>2011 No.</w:t>
            </w:r>
            <w:r w:rsidR="004E6D00" w:rsidRPr="005E3B43">
              <w:rPr>
                <w:sz w:val="16"/>
              </w:rPr>
              <w:t> </w:t>
            </w:r>
            <w:r w:rsidRPr="005E3B43">
              <w:rPr>
                <w:sz w:val="16"/>
              </w:rPr>
              <w:t>30</w:t>
            </w:r>
          </w:p>
        </w:tc>
        <w:tc>
          <w:tcPr>
            <w:tcW w:w="1286" w:type="pct"/>
            <w:tcBorders>
              <w:top w:val="single" w:sz="4" w:space="0" w:color="auto"/>
              <w:bottom w:val="single" w:sz="4" w:space="0" w:color="auto"/>
            </w:tcBorders>
            <w:shd w:val="clear" w:color="auto" w:fill="auto"/>
          </w:tcPr>
          <w:p w14:paraId="3DA76EFD" w14:textId="77777777" w:rsidR="00D64E96" w:rsidRPr="005E3B43" w:rsidRDefault="00D64E96" w:rsidP="00763BCF">
            <w:pPr>
              <w:pStyle w:val="Tabletext"/>
            </w:pPr>
            <w:r w:rsidRPr="005E3B43">
              <w:rPr>
                <w:sz w:val="16"/>
              </w:rPr>
              <w:t>16 Mar 2011 (F2011L00434)</w:t>
            </w:r>
          </w:p>
        </w:tc>
        <w:tc>
          <w:tcPr>
            <w:tcW w:w="1287" w:type="pct"/>
            <w:tcBorders>
              <w:top w:val="single" w:sz="4" w:space="0" w:color="auto"/>
              <w:bottom w:val="single" w:sz="4" w:space="0" w:color="auto"/>
            </w:tcBorders>
            <w:shd w:val="clear" w:color="auto" w:fill="auto"/>
          </w:tcPr>
          <w:p w14:paraId="5B59C284" w14:textId="77777777" w:rsidR="00D64E96" w:rsidRPr="005E3B43" w:rsidRDefault="00D64E96" w:rsidP="00763BCF">
            <w:pPr>
              <w:pStyle w:val="Tabletext"/>
            </w:pPr>
            <w:r w:rsidRPr="005E3B43">
              <w:rPr>
                <w:sz w:val="16"/>
              </w:rPr>
              <w:t>31</w:t>
            </w:r>
            <w:r w:rsidR="004E6D00" w:rsidRPr="005E3B43">
              <w:rPr>
                <w:sz w:val="16"/>
              </w:rPr>
              <w:t> </w:t>
            </w:r>
            <w:r w:rsidRPr="005E3B43">
              <w:rPr>
                <w:sz w:val="16"/>
              </w:rPr>
              <w:t>May 2011 (</w:t>
            </w:r>
            <w:r w:rsidRPr="005E3B43">
              <w:rPr>
                <w:i/>
                <w:sz w:val="16"/>
              </w:rPr>
              <w:t xml:space="preserve">see </w:t>
            </w:r>
            <w:r w:rsidRPr="005E3B43">
              <w:rPr>
                <w:sz w:val="16"/>
              </w:rPr>
              <w:t>r. 2)</w:t>
            </w:r>
          </w:p>
        </w:tc>
        <w:tc>
          <w:tcPr>
            <w:tcW w:w="1208" w:type="pct"/>
            <w:tcBorders>
              <w:top w:val="single" w:sz="4" w:space="0" w:color="auto"/>
              <w:bottom w:val="single" w:sz="4" w:space="0" w:color="auto"/>
            </w:tcBorders>
            <w:shd w:val="clear" w:color="auto" w:fill="auto"/>
          </w:tcPr>
          <w:p w14:paraId="1D881D4B" w14:textId="77777777" w:rsidR="00D64E96" w:rsidRPr="005E3B43" w:rsidRDefault="00D64E96" w:rsidP="00763BCF">
            <w:pPr>
              <w:pStyle w:val="Tabletext"/>
            </w:pPr>
            <w:r w:rsidRPr="005E3B43">
              <w:rPr>
                <w:sz w:val="16"/>
              </w:rPr>
              <w:t>—</w:t>
            </w:r>
          </w:p>
        </w:tc>
      </w:tr>
      <w:tr w:rsidR="00D64E96" w:rsidRPr="005E3B43" w14:paraId="76CB921A" w14:textId="77777777" w:rsidTr="005A786D">
        <w:trPr>
          <w:cantSplit/>
        </w:trPr>
        <w:tc>
          <w:tcPr>
            <w:tcW w:w="1219" w:type="pct"/>
            <w:tcBorders>
              <w:top w:val="single" w:sz="4" w:space="0" w:color="auto"/>
              <w:bottom w:val="single" w:sz="4" w:space="0" w:color="auto"/>
            </w:tcBorders>
            <w:shd w:val="clear" w:color="auto" w:fill="auto"/>
          </w:tcPr>
          <w:p w14:paraId="532C8413" w14:textId="77777777" w:rsidR="00D64E96" w:rsidRPr="005E3B43" w:rsidRDefault="00D64E96" w:rsidP="00763BCF">
            <w:pPr>
              <w:pStyle w:val="Tabletext"/>
            </w:pPr>
            <w:r w:rsidRPr="005E3B43">
              <w:rPr>
                <w:sz w:val="16"/>
              </w:rPr>
              <w:t>2011 No.</w:t>
            </w:r>
            <w:r w:rsidR="004E6D00" w:rsidRPr="005E3B43">
              <w:rPr>
                <w:sz w:val="16"/>
              </w:rPr>
              <w:t> </w:t>
            </w:r>
            <w:r w:rsidRPr="005E3B43">
              <w:rPr>
                <w:sz w:val="16"/>
              </w:rPr>
              <w:t>102</w:t>
            </w:r>
          </w:p>
        </w:tc>
        <w:tc>
          <w:tcPr>
            <w:tcW w:w="1286" w:type="pct"/>
            <w:tcBorders>
              <w:top w:val="single" w:sz="4" w:space="0" w:color="auto"/>
              <w:bottom w:val="single" w:sz="4" w:space="0" w:color="auto"/>
            </w:tcBorders>
            <w:shd w:val="clear" w:color="auto" w:fill="auto"/>
          </w:tcPr>
          <w:p w14:paraId="6DD3A29E" w14:textId="77777777" w:rsidR="00D64E96" w:rsidRPr="005E3B43" w:rsidRDefault="00857FE0" w:rsidP="00763BCF">
            <w:pPr>
              <w:pStyle w:val="Tabletext"/>
            </w:pPr>
            <w:r w:rsidRPr="005E3B43">
              <w:rPr>
                <w:sz w:val="16"/>
              </w:rPr>
              <w:t>21 June</w:t>
            </w:r>
            <w:r w:rsidR="00D64E96" w:rsidRPr="005E3B43">
              <w:rPr>
                <w:sz w:val="16"/>
              </w:rPr>
              <w:t xml:space="preserve"> 2011 (F2011L01100)</w:t>
            </w:r>
          </w:p>
        </w:tc>
        <w:tc>
          <w:tcPr>
            <w:tcW w:w="1287" w:type="pct"/>
            <w:tcBorders>
              <w:top w:val="single" w:sz="4" w:space="0" w:color="auto"/>
              <w:bottom w:val="single" w:sz="4" w:space="0" w:color="auto"/>
            </w:tcBorders>
            <w:shd w:val="clear" w:color="auto" w:fill="auto"/>
          </w:tcPr>
          <w:p w14:paraId="6B127FCE" w14:textId="77777777" w:rsidR="00D64E96" w:rsidRPr="005E3B43" w:rsidRDefault="006B5D8E" w:rsidP="00763BCF">
            <w:pPr>
              <w:pStyle w:val="Tabletext"/>
            </w:pPr>
            <w:r w:rsidRPr="005E3B43">
              <w:rPr>
                <w:sz w:val="16"/>
              </w:rPr>
              <w:t>1 July</w:t>
            </w:r>
            <w:r w:rsidR="00D64E96" w:rsidRPr="005E3B43">
              <w:rPr>
                <w:sz w:val="16"/>
              </w:rPr>
              <w:t xml:space="preserve"> 2011</w:t>
            </w:r>
          </w:p>
        </w:tc>
        <w:tc>
          <w:tcPr>
            <w:tcW w:w="1208" w:type="pct"/>
            <w:tcBorders>
              <w:top w:val="single" w:sz="4" w:space="0" w:color="auto"/>
              <w:bottom w:val="single" w:sz="4" w:space="0" w:color="auto"/>
            </w:tcBorders>
            <w:shd w:val="clear" w:color="auto" w:fill="auto"/>
          </w:tcPr>
          <w:p w14:paraId="3FBDFE24" w14:textId="77777777" w:rsidR="00D64E96" w:rsidRPr="005E3B43" w:rsidRDefault="00D64E96" w:rsidP="00763BCF">
            <w:pPr>
              <w:pStyle w:val="Tabletext"/>
            </w:pPr>
            <w:r w:rsidRPr="005E3B43">
              <w:rPr>
                <w:sz w:val="16"/>
              </w:rPr>
              <w:t>—</w:t>
            </w:r>
          </w:p>
        </w:tc>
      </w:tr>
      <w:tr w:rsidR="00D64E96" w:rsidRPr="005E3B43" w14:paraId="0B4C8058" w14:textId="77777777" w:rsidTr="005A786D">
        <w:trPr>
          <w:cantSplit/>
        </w:trPr>
        <w:tc>
          <w:tcPr>
            <w:tcW w:w="1219" w:type="pct"/>
            <w:tcBorders>
              <w:top w:val="single" w:sz="4" w:space="0" w:color="auto"/>
              <w:bottom w:val="single" w:sz="4" w:space="0" w:color="auto"/>
            </w:tcBorders>
            <w:shd w:val="clear" w:color="auto" w:fill="auto"/>
          </w:tcPr>
          <w:p w14:paraId="7AB0E647" w14:textId="77777777" w:rsidR="00D64E96" w:rsidRPr="005E3B43" w:rsidRDefault="00D64E96" w:rsidP="00763BCF">
            <w:pPr>
              <w:pStyle w:val="Tabletext"/>
            </w:pPr>
            <w:r w:rsidRPr="005E3B43">
              <w:rPr>
                <w:sz w:val="16"/>
              </w:rPr>
              <w:t>2011 No.</w:t>
            </w:r>
            <w:r w:rsidR="004E6D00" w:rsidRPr="005E3B43">
              <w:rPr>
                <w:sz w:val="16"/>
              </w:rPr>
              <w:t> </w:t>
            </w:r>
            <w:r w:rsidRPr="005E3B43">
              <w:rPr>
                <w:sz w:val="16"/>
              </w:rPr>
              <w:t>281</w:t>
            </w:r>
          </w:p>
        </w:tc>
        <w:tc>
          <w:tcPr>
            <w:tcW w:w="1286" w:type="pct"/>
            <w:tcBorders>
              <w:top w:val="single" w:sz="4" w:space="0" w:color="auto"/>
              <w:bottom w:val="single" w:sz="4" w:space="0" w:color="auto"/>
            </w:tcBorders>
            <w:shd w:val="clear" w:color="auto" w:fill="auto"/>
          </w:tcPr>
          <w:p w14:paraId="6F7F354A" w14:textId="77777777" w:rsidR="00D64E96" w:rsidRPr="005E3B43" w:rsidRDefault="00D64E96" w:rsidP="00763BCF">
            <w:pPr>
              <w:pStyle w:val="Tabletext"/>
            </w:pPr>
            <w:r w:rsidRPr="005E3B43">
              <w:rPr>
                <w:sz w:val="16"/>
              </w:rPr>
              <w:t>8 Dec 2011 (F2011L02595)</w:t>
            </w:r>
          </w:p>
        </w:tc>
        <w:tc>
          <w:tcPr>
            <w:tcW w:w="1287" w:type="pct"/>
            <w:tcBorders>
              <w:top w:val="single" w:sz="4" w:space="0" w:color="auto"/>
              <w:bottom w:val="single" w:sz="4" w:space="0" w:color="auto"/>
            </w:tcBorders>
            <w:shd w:val="clear" w:color="auto" w:fill="auto"/>
          </w:tcPr>
          <w:p w14:paraId="7E2C4FB1" w14:textId="77777777" w:rsidR="00D64E96" w:rsidRPr="005E3B43" w:rsidRDefault="00D64E96" w:rsidP="00763BCF">
            <w:pPr>
              <w:pStyle w:val="Tabletext"/>
            </w:pPr>
            <w:r w:rsidRPr="005E3B43">
              <w:rPr>
                <w:sz w:val="16"/>
              </w:rPr>
              <w:t>rr.</w:t>
            </w:r>
            <w:r w:rsidR="004E6D00" w:rsidRPr="005E3B43">
              <w:rPr>
                <w:sz w:val="16"/>
              </w:rPr>
              <w:t> </w:t>
            </w:r>
            <w:r w:rsidRPr="005E3B43">
              <w:rPr>
                <w:sz w:val="16"/>
              </w:rPr>
              <w:t xml:space="preserve">1–3 and </w:t>
            </w:r>
            <w:r w:rsidR="008D1B4F" w:rsidRPr="005E3B43">
              <w:rPr>
                <w:sz w:val="16"/>
              </w:rPr>
              <w:t>Schedule 1</w:t>
            </w:r>
            <w:r w:rsidRPr="005E3B43">
              <w:rPr>
                <w:sz w:val="16"/>
              </w:rPr>
              <w:t>:</w:t>
            </w:r>
            <w:r w:rsidR="007A46F1" w:rsidRPr="005E3B43">
              <w:rPr>
                <w:sz w:val="16"/>
              </w:rPr>
              <w:t xml:space="preserve"> </w:t>
            </w:r>
            <w:r w:rsidRPr="005E3B43">
              <w:rPr>
                <w:sz w:val="16"/>
              </w:rPr>
              <w:t>9 Dec 2011</w:t>
            </w:r>
            <w:r w:rsidRPr="005E3B43">
              <w:rPr>
                <w:sz w:val="16"/>
              </w:rPr>
              <w:br/>
              <w:t>Schedule</w:t>
            </w:r>
            <w:r w:rsidR="004E6D00" w:rsidRPr="005E3B43">
              <w:rPr>
                <w:sz w:val="16"/>
              </w:rPr>
              <w:t> </w:t>
            </w:r>
            <w:r w:rsidRPr="005E3B43">
              <w:rPr>
                <w:sz w:val="16"/>
              </w:rPr>
              <w:t>2: 1 Mar 2012</w:t>
            </w:r>
          </w:p>
        </w:tc>
        <w:tc>
          <w:tcPr>
            <w:tcW w:w="1208" w:type="pct"/>
            <w:tcBorders>
              <w:top w:val="single" w:sz="4" w:space="0" w:color="auto"/>
              <w:bottom w:val="single" w:sz="4" w:space="0" w:color="auto"/>
            </w:tcBorders>
            <w:shd w:val="clear" w:color="auto" w:fill="auto"/>
          </w:tcPr>
          <w:p w14:paraId="04FA243A" w14:textId="77777777" w:rsidR="00D64E96" w:rsidRPr="005E3B43" w:rsidRDefault="00D64E96" w:rsidP="00763BCF">
            <w:pPr>
              <w:pStyle w:val="Tabletext"/>
            </w:pPr>
            <w:r w:rsidRPr="005E3B43">
              <w:rPr>
                <w:sz w:val="16"/>
              </w:rPr>
              <w:t>—</w:t>
            </w:r>
          </w:p>
        </w:tc>
      </w:tr>
      <w:tr w:rsidR="00D64E96" w:rsidRPr="005E3B43" w14:paraId="60618CE2" w14:textId="77777777" w:rsidTr="005A786D">
        <w:trPr>
          <w:cantSplit/>
        </w:trPr>
        <w:tc>
          <w:tcPr>
            <w:tcW w:w="1219" w:type="pct"/>
            <w:tcBorders>
              <w:top w:val="single" w:sz="4" w:space="0" w:color="auto"/>
              <w:bottom w:val="single" w:sz="4" w:space="0" w:color="auto"/>
            </w:tcBorders>
            <w:shd w:val="clear" w:color="auto" w:fill="auto"/>
          </w:tcPr>
          <w:p w14:paraId="10E45716" w14:textId="77777777" w:rsidR="00D64E96" w:rsidRPr="005E3B43" w:rsidRDefault="00D64E96" w:rsidP="00763BCF">
            <w:pPr>
              <w:pStyle w:val="Tabletext"/>
            </w:pPr>
            <w:r w:rsidRPr="005E3B43">
              <w:rPr>
                <w:sz w:val="16"/>
              </w:rPr>
              <w:t>2012 No.</w:t>
            </w:r>
            <w:r w:rsidR="004E6D00" w:rsidRPr="005E3B43">
              <w:rPr>
                <w:sz w:val="16"/>
              </w:rPr>
              <w:t> </w:t>
            </w:r>
            <w:r w:rsidRPr="005E3B43">
              <w:rPr>
                <w:sz w:val="16"/>
              </w:rPr>
              <w:t>142</w:t>
            </w:r>
          </w:p>
        </w:tc>
        <w:tc>
          <w:tcPr>
            <w:tcW w:w="1286" w:type="pct"/>
            <w:tcBorders>
              <w:top w:val="single" w:sz="4" w:space="0" w:color="auto"/>
              <w:bottom w:val="single" w:sz="4" w:space="0" w:color="auto"/>
            </w:tcBorders>
            <w:shd w:val="clear" w:color="auto" w:fill="auto"/>
          </w:tcPr>
          <w:p w14:paraId="22ED936D" w14:textId="77777777" w:rsidR="00D64E96" w:rsidRPr="005E3B43" w:rsidRDefault="00D64E96" w:rsidP="00763BCF">
            <w:pPr>
              <w:pStyle w:val="Tabletext"/>
            </w:pPr>
            <w:r w:rsidRPr="005E3B43">
              <w:rPr>
                <w:sz w:val="16"/>
              </w:rPr>
              <w:t>29</w:t>
            </w:r>
            <w:r w:rsidR="004E6D00" w:rsidRPr="005E3B43">
              <w:rPr>
                <w:sz w:val="16"/>
              </w:rPr>
              <w:t> </w:t>
            </w:r>
            <w:r w:rsidRPr="005E3B43">
              <w:rPr>
                <w:sz w:val="16"/>
              </w:rPr>
              <w:t>June 2012 (F2012L01448)</w:t>
            </w:r>
          </w:p>
        </w:tc>
        <w:tc>
          <w:tcPr>
            <w:tcW w:w="1287" w:type="pct"/>
            <w:tcBorders>
              <w:top w:val="single" w:sz="4" w:space="0" w:color="auto"/>
              <w:bottom w:val="single" w:sz="4" w:space="0" w:color="auto"/>
            </w:tcBorders>
            <w:shd w:val="clear" w:color="auto" w:fill="auto"/>
          </w:tcPr>
          <w:p w14:paraId="0F3D8B6D" w14:textId="77777777" w:rsidR="00D64E96" w:rsidRPr="005E3B43" w:rsidRDefault="00D64E96" w:rsidP="00763BCF">
            <w:pPr>
              <w:pStyle w:val="Tabletext"/>
            </w:pPr>
            <w:r w:rsidRPr="005E3B43">
              <w:rPr>
                <w:sz w:val="16"/>
              </w:rPr>
              <w:t>30</w:t>
            </w:r>
            <w:r w:rsidR="004E6D00" w:rsidRPr="005E3B43">
              <w:rPr>
                <w:sz w:val="16"/>
              </w:rPr>
              <w:t> </w:t>
            </w:r>
            <w:r w:rsidRPr="005E3B43">
              <w:rPr>
                <w:sz w:val="16"/>
              </w:rPr>
              <w:t>June 2012</w:t>
            </w:r>
          </w:p>
        </w:tc>
        <w:tc>
          <w:tcPr>
            <w:tcW w:w="1208" w:type="pct"/>
            <w:tcBorders>
              <w:top w:val="single" w:sz="4" w:space="0" w:color="auto"/>
              <w:bottom w:val="single" w:sz="4" w:space="0" w:color="auto"/>
            </w:tcBorders>
            <w:shd w:val="clear" w:color="auto" w:fill="auto"/>
          </w:tcPr>
          <w:p w14:paraId="471A8B5F" w14:textId="77777777" w:rsidR="00D64E96" w:rsidRPr="005E3B43" w:rsidRDefault="00D64E96" w:rsidP="00763BCF">
            <w:pPr>
              <w:pStyle w:val="Tabletext"/>
            </w:pPr>
            <w:r w:rsidRPr="005E3B43">
              <w:rPr>
                <w:sz w:val="16"/>
              </w:rPr>
              <w:t>—</w:t>
            </w:r>
          </w:p>
        </w:tc>
      </w:tr>
      <w:tr w:rsidR="00D64E96" w:rsidRPr="005E3B43" w14:paraId="2969C8E6" w14:textId="77777777" w:rsidTr="005A786D">
        <w:trPr>
          <w:cantSplit/>
        </w:trPr>
        <w:tc>
          <w:tcPr>
            <w:tcW w:w="1219" w:type="pct"/>
            <w:tcBorders>
              <w:top w:val="single" w:sz="4" w:space="0" w:color="auto"/>
              <w:bottom w:val="single" w:sz="4" w:space="0" w:color="auto"/>
            </w:tcBorders>
            <w:shd w:val="clear" w:color="auto" w:fill="auto"/>
          </w:tcPr>
          <w:p w14:paraId="19669DFC" w14:textId="77777777" w:rsidR="00D64E96" w:rsidRPr="005E3B43" w:rsidRDefault="00D64E96" w:rsidP="00763BCF">
            <w:pPr>
              <w:pStyle w:val="Tabletext"/>
            </w:pPr>
            <w:r w:rsidRPr="005E3B43">
              <w:rPr>
                <w:sz w:val="16"/>
              </w:rPr>
              <w:t>2012 No.</w:t>
            </w:r>
            <w:r w:rsidR="004E6D00" w:rsidRPr="005E3B43">
              <w:rPr>
                <w:sz w:val="16"/>
              </w:rPr>
              <w:t> </w:t>
            </w:r>
            <w:r w:rsidRPr="005E3B43">
              <w:rPr>
                <w:sz w:val="16"/>
              </w:rPr>
              <w:t>143</w:t>
            </w:r>
          </w:p>
        </w:tc>
        <w:tc>
          <w:tcPr>
            <w:tcW w:w="1286" w:type="pct"/>
            <w:tcBorders>
              <w:top w:val="single" w:sz="4" w:space="0" w:color="auto"/>
              <w:bottom w:val="single" w:sz="4" w:space="0" w:color="auto"/>
            </w:tcBorders>
            <w:shd w:val="clear" w:color="auto" w:fill="auto"/>
          </w:tcPr>
          <w:p w14:paraId="10C784E5" w14:textId="77777777" w:rsidR="00D64E96" w:rsidRPr="005E3B43" w:rsidRDefault="00D64E96" w:rsidP="00763BCF">
            <w:pPr>
              <w:pStyle w:val="Tabletext"/>
            </w:pPr>
            <w:r w:rsidRPr="005E3B43">
              <w:rPr>
                <w:sz w:val="16"/>
              </w:rPr>
              <w:t>29</w:t>
            </w:r>
            <w:r w:rsidR="004E6D00" w:rsidRPr="005E3B43">
              <w:rPr>
                <w:sz w:val="16"/>
              </w:rPr>
              <w:t> </w:t>
            </w:r>
            <w:r w:rsidRPr="005E3B43">
              <w:rPr>
                <w:sz w:val="16"/>
              </w:rPr>
              <w:t>June 2012 (F2012L01455)</w:t>
            </w:r>
          </w:p>
        </w:tc>
        <w:tc>
          <w:tcPr>
            <w:tcW w:w="1287" w:type="pct"/>
            <w:tcBorders>
              <w:top w:val="single" w:sz="4" w:space="0" w:color="auto"/>
              <w:bottom w:val="single" w:sz="4" w:space="0" w:color="auto"/>
            </w:tcBorders>
            <w:shd w:val="clear" w:color="auto" w:fill="auto"/>
          </w:tcPr>
          <w:p w14:paraId="51420F72" w14:textId="77777777" w:rsidR="00D64E96" w:rsidRPr="005E3B43" w:rsidRDefault="006B5D8E" w:rsidP="00763BCF">
            <w:pPr>
              <w:pStyle w:val="Tabletext"/>
            </w:pPr>
            <w:r w:rsidRPr="005E3B43">
              <w:rPr>
                <w:sz w:val="16"/>
              </w:rPr>
              <w:t>1 July</w:t>
            </w:r>
            <w:r w:rsidR="00D64E96" w:rsidRPr="005E3B43">
              <w:rPr>
                <w:sz w:val="16"/>
              </w:rPr>
              <w:t xml:space="preserve"> 2012</w:t>
            </w:r>
          </w:p>
        </w:tc>
        <w:tc>
          <w:tcPr>
            <w:tcW w:w="1208" w:type="pct"/>
            <w:tcBorders>
              <w:top w:val="single" w:sz="4" w:space="0" w:color="auto"/>
              <w:bottom w:val="single" w:sz="4" w:space="0" w:color="auto"/>
            </w:tcBorders>
            <w:shd w:val="clear" w:color="auto" w:fill="auto"/>
          </w:tcPr>
          <w:p w14:paraId="6E57627A" w14:textId="77777777" w:rsidR="00D64E96" w:rsidRPr="005E3B43" w:rsidRDefault="00D64E96" w:rsidP="00763BCF">
            <w:pPr>
              <w:pStyle w:val="Tabletext"/>
            </w:pPr>
            <w:r w:rsidRPr="005E3B43">
              <w:rPr>
                <w:sz w:val="16"/>
              </w:rPr>
              <w:t>—</w:t>
            </w:r>
          </w:p>
        </w:tc>
      </w:tr>
      <w:tr w:rsidR="00D64E96" w:rsidRPr="005E3B43" w14:paraId="41D4886D" w14:textId="77777777" w:rsidTr="005A786D">
        <w:trPr>
          <w:cantSplit/>
        </w:trPr>
        <w:tc>
          <w:tcPr>
            <w:tcW w:w="1219" w:type="pct"/>
            <w:tcBorders>
              <w:top w:val="single" w:sz="4" w:space="0" w:color="auto"/>
              <w:bottom w:val="single" w:sz="4" w:space="0" w:color="auto"/>
            </w:tcBorders>
            <w:shd w:val="clear" w:color="auto" w:fill="auto"/>
          </w:tcPr>
          <w:p w14:paraId="5A4CECA8" w14:textId="77777777" w:rsidR="00D64E96" w:rsidRPr="005E3B43" w:rsidRDefault="00D64E96" w:rsidP="00763BCF">
            <w:pPr>
              <w:pStyle w:val="Tabletext"/>
            </w:pPr>
            <w:r w:rsidRPr="005E3B43">
              <w:rPr>
                <w:sz w:val="16"/>
              </w:rPr>
              <w:t>2012 No.</w:t>
            </w:r>
            <w:r w:rsidR="004E6D00" w:rsidRPr="005E3B43">
              <w:rPr>
                <w:sz w:val="16"/>
              </w:rPr>
              <w:t> </w:t>
            </w:r>
            <w:r w:rsidRPr="005E3B43">
              <w:rPr>
                <w:sz w:val="16"/>
              </w:rPr>
              <w:t>251</w:t>
            </w:r>
          </w:p>
        </w:tc>
        <w:tc>
          <w:tcPr>
            <w:tcW w:w="1286" w:type="pct"/>
            <w:tcBorders>
              <w:top w:val="single" w:sz="4" w:space="0" w:color="auto"/>
              <w:bottom w:val="single" w:sz="4" w:space="0" w:color="auto"/>
            </w:tcBorders>
            <w:shd w:val="clear" w:color="auto" w:fill="auto"/>
          </w:tcPr>
          <w:p w14:paraId="541FBF59" w14:textId="77777777" w:rsidR="00D64E96" w:rsidRPr="005E3B43" w:rsidRDefault="00D64E96" w:rsidP="00763BCF">
            <w:pPr>
              <w:pStyle w:val="Tabletext"/>
            </w:pPr>
            <w:r w:rsidRPr="005E3B43">
              <w:rPr>
                <w:sz w:val="16"/>
              </w:rPr>
              <w:t>9 Nov 2012 (F2012L02161)</w:t>
            </w:r>
          </w:p>
        </w:tc>
        <w:tc>
          <w:tcPr>
            <w:tcW w:w="1287" w:type="pct"/>
            <w:tcBorders>
              <w:top w:val="single" w:sz="4" w:space="0" w:color="auto"/>
              <w:bottom w:val="single" w:sz="4" w:space="0" w:color="auto"/>
            </w:tcBorders>
            <w:shd w:val="clear" w:color="auto" w:fill="auto"/>
          </w:tcPr>
          <w:p w14:paraId="60FC9CC3" w14:textId="77777777" w:rsidR="00D64E96" w:rsidRPr="005E3B43" w:rsidRDefault="00D64E96" w:rsidP="00763BCF">
            <w:pPr>
              <w:pStyle w:val="Tabletext"/>
            </w:pPr>
            <w:r w:rsidRPr="005E3B43">
              <w:rPr>
                <w:sz w:val="16"/>
              </w:rPr>
              <w:t>10 Nov 2012</w:t>
            </w:r>
          </w:p>
        </w:tc>
        <w:tc>
          <w:tcPr>
            <w:tcW w:w="1208" w:type="pct"/>
            <w:tcBorders>
              <w:top w:val="single" w:sz="4" w:space="0" w:color="auto"/>
              <w:bottom w:val="single" w:sz="4" w:space="0" w:color="auto"/>
            </w:tcBorders>
            <w:shd w:val="clear" w:color="auto" w:fill="auto"/>
          </w:tcPr>
          <w:p w14:paraId="5616C01A" w14:textId="77777777" w:rsidR="00D64E96" w:rsidRPr="005E3B43" w:rsidRDefault="00D64E96" w:rsidP="00763BCF">
            <w:pPr>
              <w:pStyle w:val="Tabletext"/>
            </w:pPr>
            <w:r w:rsidRPr="005E3B43">
              <w:rPr>
                <w:sz w:val="16"/>
              </w:rPr>
              <w:t>—</w:t>
            </w:r>
          </w:p>
        </w:tc>
      </w:tr>
      <w:tr w:rsidR="00D64E96" w:rsidRPr="005E3B43" w14:paraId="69E94A2C" w14:textId="77777777" w:rsidTr="005A786D">
        <w:trPr>
          <w:cantSplit/>
        </w:trPr>
        <w:tc>
          <w:tcPr>
            <w:tcW w:w="1219" w:type="pct"/>
            <w:tcBorders>
              <w:top w:val="single" w:sz="4" w:space="0" w:color="auto"/>
              <w:bottom w:val="single" w:sz="4" w:space="0" w:color="auto"/>
            </w:tcBorders>
            <w:shd w:val="clear" w:color="auto" w:fill="auto"/>
          </w:tcPr>
          <w:p w14:paraId="1182956B" w14:textId="77777777" w:rsidR="00D64E96" w:rsidRPr="005E3B43" w:rsidRDefault="00D64E96" w:rsidP="00763BCF">
            <w:pPr>
              <w:pStyle w:val="Tabletext"/>
              <w:rPr>
                <w:sz w:val="16"/>
              </w:rPr>
            </w:pPr>
            <w:r w:rsidRPr="005E3B43">
              <w:rPr>
                <w:sz w:val="16"/>
              </w:rPr>
              <w:t>94, 2013</w:t>
            </w:r>
          </w:p>
        </w:tc>
        <w:tc>
          <w:tcPr>
            <w:tcW w:w="1286" w:type="pct"/>
            <w:tcBorders>
              <w:top w:val="single" w:sz="4" w:space="0" w:color="auto"/>
              <w:bottom w:val="single" w:sz="4" w:space="0" w:color="auto"/>
            </w:tcBorders>
            <w:shd w:val="clear" w:color="auto" w:fill="auto"/>
          </w:tcPr>
          <w:p w14:paraId="59AAD8DA" w14:textId="77777777" w:rsidR="00D64E96" w:rsidRPr="005E3B43" w:rsidRDefault="00E008BA" w:rsidP="00763BCF">
            <w:pPr>
              <w:pStyle w:val="Tabletext"/>
              <w:rPr>
                <w:sz w:val="16"/>
              </w:rPr>
            </w:pPr>
            <w:r w:rsidRPr="005E3B43">
              <w:rPr>
                <w:sz w:val="16"/>
              </w:rPr>
              <w:t>3 June</w:t>
            </w:r>
            <w:r w:rsidR="00D64E96" w:rsidRPr="005E3B43">
              <w:rPr>
                <w:sz w:val="16"/>
              </w:rPr>
              <w:t xml:space="preserve"> 2013 (F2013L00896)</w:t>
            </w:r>
          </w:p>
        </w:tc>
        <w:tc>
          <w:tcPr>
            <w:tcW w:w="1287" w:type="pct"/>
            <w:tcBorders>
              <w:top w:val="single" w:sz="4" w:space="0" w:color="auto"/>
              <w:bottom w:val="single" w:sz="4" w:space="0" w:color="auto"/>
            </w:tcBorders>
            <w:shd w:val="clear" w:color="auto" w:fill="auto"/>
          </w:tcPr>
          <w:p w14:paraId="0A4DF8C4" w14:textId="77777777" w:rsidR="00D64E96" w:rsidRPr="005E3B43" w:rsidRDefault="006B5D8E" w:rsidP="00763BCF">
            <w:pPr>
              <w:pStyle w:val="Tabletext"/>
              <w:rPr>
                <w:sz w:val="16"/>
              </w:rPr>
            </w:pPr>
            <w:r w:rsidRPr="005E3B43">
              <w:rPr>
                <w:sz w:val="16"/>
              </w:rPr>
              <w:t>1 July</w:t>
            </w:r>
            <w:r w:rsidR="00D64E96" w:rsidRPr="005E3B43">
              <w:rPr>
                <w:sz w:val="16"/>
              </w:rPr>
              <w:t xml:space="preserve"> 2013</w:t>
            </w:r>
          </w:p>
        </w:tc>
        <w:tc>
          <w:tcPr>
            <w:tcW w:w="1208" w:type="pct"/>
            <w:tcBorders>
              <w:top w:val="single" w:sz="4" w:space="0" w:color="auto"/>
              <w:bottom w:val="single" w:sz="4" w:space="0" w:color="auto"/>
            </w:tcBorders>
            <w:shd w:val="clear" w:color="auto" w:fill="auto"/>
          </w:tcPr>
          <w:p w14:paraId="6C4D3B50" w14:textId="77777777" w:rsidR="00D64E96" w:rsidRPr="005E3B43" w:rsidRDefault="00D64E96" w:rsidP="00763BCF">
            <w:pPr>
              <w:pStyle w:val="Tabletext"/>
              <w:rPr>
                <w:sz w:val="16"/>
              </w:rPr>
            </w:pPr>
            <w:r w:rsidRPr="005E3B43">
              <w:rPr>
                <w:sz w:val="16"/>
              </w:rPr>
              <w:t>—</w:t>
            </w:r>
          </w:p>
        </w:tc>
      </w:tr>
      <w:tr w:rsidR="00D64E96" w:rsidRPr="005E3B43" w14:paraId="02711567" w14:textId="77777777" w:rsidTr="005A786D">
        <w:trPr>
          <w:cantSplit/>
        </w:trPr>
        <w:tc>
          <w:tcPr>
            <w:tcW w:w="1219" w:type="pct"/>
            <w:tcBorders>
              <w:top w:val="single" w:sz="4" w:space="0" w:color="auto"/>
              <w:bottom w:val="single" w:sz="4" w:space="0" w:color="auto"/>
            </w:tcBorders>
            <w:shd w:val="clear" w:color="auto" w:fill="auto"/>
          </w:tcPr>
          <w:p w14:paraId="35CF5938" w14:textId="77777777" w:rsidR="00D64E96" w:rsidRPr="005E3B43" w:rsidRDefault="00D64E96" w:rsidP="00763BCF">
            <w:pPr>
              <w:pStyle w:val="Tabletext"/>
              <w:rPr>
                <w:sz w:val="16"/>
              </w:rPr>
            </w:pPr>
            <w:r w:rsidRPr="005E3B43">
              <w:rPr>
                <w:sz w:val="16"/>
              </w:rPr>
              <w:t>220, 2013</w:t>
            </w:r>
          </w:p>
        </w:tc>
        <w:tc>
          <w:tcPr>
            <w:tcW w:w="1286" w:type="pct"/>
            <w:tcBorders>
              <w:top w:val="single" w:sz="4" w:space="0" w:color="auto"/>
              <w:bottom w:val="single" w:sz="4" w:space="0" w:color="auto"/>
            </w:tcBorders>
            <w:shd w:val="clear" w:color="auto" w:fill="auto"/>
          </w:tcPr>
          <w:p w14:paraId="6E9E8E03" w14:textId="77777777" w:rsidR="00D64E96" w:rsidRPr="005E3B43" w:rsidRDefault="00D64E96" w:rsidP="00763BCF">
            <w:pPr>
              <w:pStyle w:val="Tabletext"/>
              <w:rPr>
                <w:sz w:val="16"/>
              </w:rPr>
            </w:pPr>
            <w:r w:rsidRPr="005E3B43">
              <w:rPr>
                <w:sz w:val="16"/>
              </w:rPr>
              <w:t>6 Aug 2013 (F2013L01516)</w:t>
            </w:r>
          </w:p>
        </w:tc>
        <w:tc>
          <w:tcPr>
            <w:tcW w:w="1287" w:type="pct"/>
            <w:tcBorders>
              <w:top w:val="single" w:sz="4" w:space="0" w:color="auto"/>
              <w:bottom w:val="single" w:sz="4" w:space="0" w:color="auto"/>
            </w:tcBorders>
            <w:shd w:val="clear" w:color="auto" w:fill="auto"/>
          </w:tcPr>
          <w:p w14:paraId="53BAECAB" w14:textId="77777777" w:rsidR="00D64E96" w:rsidRPr="005E3B43" w:rsidRDefault="00D64E96" w:rsidP="00763BCF">
            <w:pPr>
              <w:pStyle w:val="Tabletext"/>
              <w:rPr>
                <w:sz w:val="16"/>
              </w:rPr>
            </w:pPr>
            <w:r w:rsidRPr="005E3B43">
              <w:rPr>
                <w:sz w:val="16"/>
              </w:rPr>
              <w:t>7 Aug 2013</w:t>
            </w:r>
          </w:p>
        </w:tc>
        <w:tc>
          <w:tcPr>
            <w:tcW w:w="1208" w:type="pct"/>
            <w:tcBorders>
              <w:top w:val="single" w:sz="4" w:space="0" w:color="auto"/>
              <w:bottom w:val="single" w:sz="4" w:space="0" w:color="auto"/>
            </w:tcBorders>
            <w:shd w:val="clear" w:color="auto" w:fill="auto"/>
          </w:tcPr>
          <w:p w14:paraId="45164565" w14:textId="77777777" w:rsidR="00D64E96" w:rsidRPr="005E3B43" w:rsidRDefault="00D64E96" w:rsidP="00763BCF">
            <w:pPr>
              <w:pStyle w:val="Tabletext"/>
              <w:rPr>
                <w:sz w:val="16"/>
              </w:rPr>
            </w:pPr>
            <w:r w:rsidRPr="005E3B43">
              <w:rPr>
                <w:sz w:val="16"/>
              </w:rPr>
              <w:t>—</w:t>
            </w:r>
          </w:p>
        </w:tc>
      </w:tr>
      <w:tr w:rsidR="00A36E0F" w:rsidRPr="005E3B43" w14:paraId="50C7C985" w14:textId="77777777" w:rsidTr="005A786D">
        <w:trPr>
          <w:cantSplit/>
        </w:trPr>
        <w:tc>
          <w:tcPr>
            <w:tcW w:w="1219" w:type="pct"/>
            <w:tcBorders>
              <w:top w:val="single" w:sz="4" w:space="0" w:color="auto"/>
              <w:bottom w:val="single" w:sz="4" w:space="0" w:color="auto"/>
            </w:tcBorders>
            <w:shd w:val="clear" w:color="auto" w:fill="auto"/>
          </w:tcPr>
          <w:p w14:paraId="474EBE80" w14:textId="77777777" w:rsidR="00A36E0F" w:rsidRPr="005E3B43" w:rsidRDefault="00F833DD" w:rsidP="00763BCF">
            <w:pPr>
              <w:pStyle w:val="Tabletext"/>
              <w:rPr>
                <w:sz w:val="16"/>
              </w:rPr>
            </w:pPr>
            <w:r w:rsidRPr="005E3B43">
              <w:rPr>
                <w:sz w:val="16"/>
              </w:rPr>
              <w:t>62, 2014</w:t>
            </w:r>
          </w:p>
        </w:tc>
        <w:tc>
          <w:tcPr>
            <w:tcW w:w="1286" w:type="pct"/>
            <w:tcBorders>
              <w:top w:val="single" w:sz="4" w:space="0" w:color="auto"/>
              <w:bottom w:val="single" w:sz="4" w:space="0" w:color="auto"/>
            </w:tcBorders>
            <w:shd w:val="clear" w:color="auto" w:fill="auto"/>
          </w:tcPr>
          <w:p w14:paraId="32EF032E" w14:textId="77777777" w:rsidR="00A36E0F" w:rsidRPr="005E3B43" w:rsidRDefault="00F833DD" w:rsidP="00763BCF">
            <w:pPr>
              <w:pStyle w:val="Tabletext"/>
              <w:rPr>
                <w:sz w:val="16"/>
              </w:rPr>
            </w:pPr>
            <w:r w:rsidRPr="005E3B43">
              <w:rPr>
                <w:sz w:val="16"/>
              </w:rPr>
              <w:t>30</w:t>
            </w:r>
            <w:r w:rsidR="004E6D00" w:rsidRPr="005E3B43">
              <w:rPr>
                <w:sz w:val="16"/>
              </w:rPr>
              <w:t> </w:t>
            </w:r>
            <w:r w:rsidRPr="005E3B43">
              <w:rPr>
                <w:sz w:val="16"/>
              </w:rPr>
              <w:t>May 2014 (F2014L00630</w:t>
            </w:r>
            <w:r w:rsidR="005A4545" w:rsidRPr="005E3B43">
              <w:rPr>
                <w:sz w:val="16"/>
              </w:rPr>
              <w:t>)</w:t>
            </w:r>
          </w:p>
        </w:tc>
        <w:tc>
          <w:tcPr>
            <w:tcW w:w="1287" w:type="pct"/>
            <w:tcBorders>
              <w:top w:val="single" w:sz="4" w:space="0" w:color="auto"/>
              <w:bottom w:val="single" w:sz="4" w:space="0" w:color="auto"/>
            </w:tcBorders>
            <w:shd w:val="clear" w:color="auto" w:fill="auto"/>
          </w:tcPr>
          <w:p w14:paraId="1659BB8D" w14:textId="77777777" w:rsidR="00A36E0F" w:rsidRPr="005E3B43" w:rsidRDefault="006B5D8E" w:rsidP="00763BCF">
            <w:pPr>
              <w:pStyle w:val="Tabletext"/>
              <w:rPr>
                <w:sz w:val="16"/>
              </w:rPr>
            </w:pPr>
            <w:r w:rsidRPr="005E3B43">
              <w:rPr>
                <w:sz w:val="16"/>
              </w:rPr>
              <w:t>1 July</w:t>
            </w:r>
            <w:r w:rsidR="00F833DD" w:rsidRPr="005E3B43">
              <w:rPr>
                <w:sz w:val="16"/>
              </w:rPr>
              <w:t xml:space="preserve"> 2014</w:t>
            </w:r>
          </w:p>
        </w:tc>
        <w:tc>
          <w:tcPr>
            <w:tcW w:w="1208" w:type="pct"/>
            <w:tcBorders>
              <w:top w:val="single" w:sz="4" w:space="0" w:color="auto"/>
              <w:bottom w:val="single" w:sz="4" w:space="0" w:color="auto"/>
            </w:tcBorders>
            <w:shd w:val="clear" w:color="auto" w:fill="auto"/>
          </w:tcPr>
          <w:p w14:paraId="0B7CE0C6" w14:textId="77777777" w:rsidR="00A36E0F" w:rsidRPr="005E3B43" w:rsidRDefault="00F833DD" w:rsidP="00763BCF">
            <w:pPr>
              <w:pStyle w:val="Tabletext"/>
              <w:rPr>
                <w:sz w:val="16"/>
              </w:rPr>
            </w:pPr>
            <w:r w:rsidRPr="005E3B43">
              <w:rPr>
                <w:sz w:val="16"/>
              </w:rPr>
              <w:t>—</w:t>
            </w:r>
          </w:p>
        </w:tc>
      </w:tr>
      <w:tr w:rsidR="00A36E0F" w:rsidRPr="005E3B43" w14:paraId="0575D0A9" w14:textId="77777777" w:rsidTr="005A786D">
        <w:trPr>
          <w:cantSplit/>
        </w:trPr>
        <w:tc>
          <w:tcPr>
            <w:tcW w:w="1219" w:type="pct"/>
            <w:tcBorders>
              <w:top w:val="single" w:sz="4" w:space="0" w:color="auto"/>
              <w:bottom w:val="single" w:sz="4" w:space="0" w:color="auto"/>
            </w:tcBorders>
            <w:shd w:val="clear" w:color="auto" w:fill="auto"/>
          </w:tcPr>
          <w:p w14:paraId="1B8AD8FF" w14:textId="77777777" w:rsidR="00A36E0F" w:rsidRPr="005E3B43" w:rsidRDefault="00F833DD" w:rsidP="00763BCF">
            <w:pPr>
              <w:pStyle w:val="Tabletext"/>
              <w:rPr>
                <w:sz w:val="16"/>
              </w:rPr>
            </w:pPr>
            <w:r w:rsidRPr="005E3B43">
              <w:rPr>
                <w:sz w:val="16"/>
              </w:rPr>
              <w:lastRenderedPageBreak/>
              <w:t>63, 2014</w:t>
            </w:r>
          </w:p>
        </w:tc>
        <w:tc>
          <w:tcPr>
            <w:tcW w:w="1286" w:type="pct"/>
            <w:tcBorders>
              <w:top w:val="single" w:sz="4" w:space="0" w:color="auto"/>
              <w:bottom w:val="single" w:sz="4" w:space="0" w:color="auto"/>
            </w:tcBorders>
            <w:shd w:val="clear" w:color="auto" w:fill="auto"/>
          </w:tcPr>
          <w:p w14:paraId="38B374C5" w14:textId="77777777" w:rsidR="00A36E0F" w:rsidRPr="005E3B43" w:rsidRDefault="00F833DD" w:rsidP="00763BCF">
            <w:pPr>
              <w:pStyle w:val="Tabletext"/>
              <w:rPr>
                <w:sz w:val="16"/>
              </w:rPr>
            </w:pPr>
            <w:r w:rsidRPr="005E3B43">
              <w:rPr>
                <w:sz w:val="16"/>
              </w:rPr>
              <w:t>30</w:t>
            </w:r>
            <w:r w:rsidR="004E6D00" w:rsidRPr="005E3B43">
              <w:rPr>
                <w:sz w:val="16"/>
              </w:rPr>
              <w:t> </w:t>
            </w:r>
            <w:r w:rsidRPr="005E3B43">
              <w:rPr>
                <w:sz w:val="16"/>
              </w:rPr>
              <w:t>May 2014 (F2014L00632</w:t>
            </w:r>
            <w:r w:rsidR="00AE011D" w:rsidRPr="005E3B43">
              <w:rPr>
                <w:sz w:val="16"/>
              </w:rPr>
              <w:t>)</w:t>
            </w:r>
          </w:p>
        </w:tc>
        <w:tc>
          <w:tcPr>
            <w:tcW w:w="1287" w:type="pct"/>
            <w:tcBorders>
              <w:top w:val="single" w:sz="4" w:space="0" w:color="auto"/>
              <w:bottom w:val="single" w:sz="4" w:space="0" w:color="auto"/>
            </w:tcBorders>
            <w:shd w:val="clear" w:color="auto" w:fill="auto"/>
          </w:tcPr>
          <w:p w14:paraId="57938401" w14:textId="77777777" w:rsidR="00A36E0F" w:rsidRPr="005E3B43" w:rsidRDefault="006B5D8E" w:rsidP="00763BCF">
            <w:pPr>
              <w:pStyle w:val="Tabletext"/>
              <w:rPr>
                <w:sz w:val="16"/>
              </w:rPr>
            </w:pPr>
            <w:r w:rsidRPr="005E3B43">
              <w:rPr>
                <w:sz w:val="16"/>
              </w:rPr>
              <w:t>1 July</w:t>
            </w:r>
            <w:r w:rsidR="00F833DD" w:rsidRPr="005E3B43">
              <w:rPr>
                <w:sz w:val="16"/>
              </w:rPr>
              <w:t xml:space="preserve"> 2014</w:t>
            </w:r>
          </w:p>
        </w:tc>
        <w:tc>
          <w:tcPr>
            <w:tcW w:w="1208" w:type="pct"/>
            <w:tcBorders>
              <w:top w:val="single" w:sz="4" w:space="0" w:color="auto"/>
              <w:bottom w:val="single" w:sz="4" w:space="0" w:color="auto"/>
            </w:tcBorders>
            <w:shd w:val="clear" w:color="auto" w:fill="auto"/>
          </w:tcPr>
          <w:p w14:paraId="513BFD6B" w14:textId="77777777" w:rsidR="00A36E0F" w:rsidRPr="005E3B43" w:rsidRDefault="00F833DD" w:rsidP="00763BCF">
            <w:pPr>
              <w:pStyle w:val="Tabletext"/>
              <w:rPr>
                <w:sz w:val="16"/>
              </w:rPr>
            </w:pPr>
            <w:r w:rsidRPr="005E3B43">
              <w:rPr>
                <w:sz w:val="16"/>
              </w:rPr>
              <w:t>—</w:t>
            </w:r>
          </w:p>
        </w:tc>
      </w:tr>
      <w:tr w:rsidR="00B737A1" w:rsidRPr="005E3B43" w14:paraId="43147452" w14:textId="77777777" w:rsidTr="005A786D">
        <w:trPr>
          <w:cantSplit/>
        </w:trPr>
        <w:tc>
          <w:tcPr>
            <w:tcW w:w="1219" w:type="pct"/>
            <w:tcBorders>
              <w:top w:val="single" w:sz="4" w:space="0" w:color="auto"/>
              <w:bottom w:val="single" w:sz="4" w:space="0" w:color="auto"/>
            </w:tcBorders>
            <w:shd w:val="clear" w:color="auto" w:fill="auto"/>
          </w:tcPr>
          <w:p w14:paraId="13D28E42" w14:textId="77777777" w:rsidR="00B737A1" w:rsidRPr="005E3B43" w:rsidRDefault="00B737A1" w:rsidP="00763BCF">
            <w:pPr>
              <w:pStyle w:val="Tabletext"/>
              <w:rPr>
                <w:sz w:val="16"/>
              </w:rPr>
            </w:pPr>
            <w:r w:rsidRPr="005E3B43">
              <w:rPr>
                <w:sz w:val="16"/>
              </w:rPr>
              <w:t>75, 2015</w:t>
            </w:r>
          </w:p>
        </w:tc>
        <w:tc>
          <w:tcPr>
            <w:tcW w:w="1286" w:type="pct"/>
            <w:tcBorders>
              <w:top w:val="single" w:sz="4" w:space="0" w:color="auto"/>
              <w:bottom w:val="single" w:sz="4" w:space="0" w:color="auto"/>
            </w:tcBorders>
            <w:shd w:val="clear" w:color="auto" w:fill="auto"/>
          </w:tcPr>
          <w:p w14:paraId="0FA8298F" w14:textId="77777777" w:rsidR="00B737A1" w:rsidRPr="005E3B43" w:rsidRDefault="00B737A1" w:rsidP="00763BCF">
            <w:pPr>
              <w:pStyle w:val="Tabletext"/>
              <w:rPr>
                <w:sz w:val="16"/>
              </w:rPr>
            </w:pPr>
            <w:r w:rsidRPr="005E3B43">
              <w:rPr>
                <w:sz w:val="16"/>
              </w:rPr>
              <w:t>1</w:t>
            </w:r>
            <w:r w:rsidR="004E6D00" w:rsidRPr="005E3B43">
              <w:rPr>
                <w:sz w:val="16"/>
              </w:rPr>
              <w:t> </w:t>
            </w:r>
            <w:r w:rsidRPr="005E3B43">
              <w:rPr>
                <w:sz w:val="16"/>
              </w:rPr>
              <w:t>June 2015 (F2015L00778)</w:t>
            </w:r>
          </w:p>
        </w:tc>
        <w:tc>
          <w:tcPr>
            <w:tcW w:w="1287" w:type="pct"/>
            <w:tcBorders>
              <w:top w:val="single" w:sz="4" w:space="0" w:color="auto"/>
              <w:bottom w:val="single" w:sz="4" w:space="0" w:color="auto"/>
            </w:tcBorders>
            <w:shd w:val="clear" w:color="auto" w:fill="auto"/>
          </w:tcPr>
          <w:p w14:paraId="414F138A" w14:textId="6E878106" w:rsidR="00B737A1" w:rsidRPr="005E3B43" w:rsidRDefault="00DA74DB" w:rsidP="00763BCF">
            <w:pPr>
              <w:pStyle w:val="Tabletext"/>
              <w:rPr>
                <w:sz w:val="16"/>
              </w:rPr>
            </w:pPr>
            <w:r w:rsidRPr="005E3B43">
              <w:rPr>
                <w:sz w:val="16"/>
              </w:rPr>
              <w:t>Sch 1 (</w:t>
            </w:r>
            <w:r w:rsidR="007C3215">
              <w:rPr>
                <w:sz w:val="16"/>
              </w:rPr>
              <w:t>items 1</w:t>
            </w:r>
            <w:r w:rsidR="005F2490" w:rsidRPr="005E3B43">
              <w:rPr>
                <w:sz w:val="16"/>
              </w:rPr>
              <w:t>–</w:t>
            </w:r>
            <w:r w:rsidRPr="005E3B43">
              <w:rPr>
                <w:sz w:val="16"/>
              </w:rPr>
              <w:t>6, 9</w:t>
            </w:r>
            <w:r w:rsidR="005F2490" w:rsidRPr="005E3B43">
              <w:rPr>
                <w:sz w:val="16"/>
              </w:rPr>
              <w:t>–</w:t>
            </w:r>
            <w:r w:rsidRPr="005E3B43">
              <w:rPr>
                <w:sz w:val="16"/>
              </w:rPr>
              <w:t xml:space="preserve">11): </w:t>
            </w:r>
            <w:r w:rsidR="006B5D8E" w:rsidRPr="005E3B43">
              <w:rPr>
                <w:sz w:val="16"/>
              </w:rPr>
              <w:t>1 July</w:t>
            </w:r>
            <w:r w:rsidR="007742D9" w:rsidRPr="005E3B43">
              <w:rPr>
                <w:sz w:val="16"/>
              </w:rPr>
              <w:t xml:space="preserve"> 2015 (s 2)</w:t>
            </w:r>
          </w:p>
        </w:tc>
        <w:tc>
          <w:tcPr>
            <w:tcW w:w="1208" w:type="pct"/>
            <w:tcBorders>
              <w:top w:val="single" w:sz="4" w:space="0" w:color="auto"/>
              <w:bottom w:val="single" w:sz="4" w:space="0" w:color="auto"/>
            </w:tcBorders>
            <w:shd w:val="clear" w:color="auto" w:fill="auto"/>
          </w:tcPr>
          <w:p w14:paraId="11AD5EA4" w14:textId="77777777" w:rsidR="00B737A1" w:rsidRPr="005E3B43" w:rsidRDefault="00B737A1" w:rsidP="00763BCF">
            <w:pPr>
              <w:pStyle w:val="Tabletext"/>
              <w:rPr>
                <w:sz w:val="16"/>
              </w:rPr>
            </w:pPr>
            <w:r w:rsidRPr="005E3B43">
              <w:rPr>
                <w:sz w:val="16"/>
              </w:rPr>
              <w:t>—</w:t>
            </w:r>
          </w:p>
        </w:tc>
      </w:tr>
      <w:tr w:rsidR="007742D9" w:rsidRPr="005E3B43" w14:paraId="1710CBB8" w14:textId="77777777" w:rsidTr="005A786D">
        <w:trPr>
          <w:cantSplit/>
        </w:trPr>
        <w:tc>
          <w:tcPr>
            <w:tcW w:w="1219" w:type="pct"/>
            <w:tcBorders>
              <w:top w:val="single" w:sz="4" w:space="0" w:color="auto"/>
              <w:bottom w:val="single" w:sz="4" w:space="0" w:color="auto"/>
            </w:tcBorders>
            <w:shd w:val="clear" w:color="auto" w:fill="auto"/>
          </w:tcPr>
          <w:p w14:paraId="02BF5738" w14:textId="77777777" w:rsidR="007742D9" w:rsidRPr="005E3B43" w:rsidRDefault="007742D9" w:rsidP="00763BCF">
            <w:pPr>
              <w:pStyle w:val="Tabletext"/>
              <w:rPr>
                <w:sz w:val="16"/>
              </w:rPr>
            </w:pPr>
            <w:r w:rsidRPr="005E3B43">
              <w:rPr>
                <w:sz w:val="16"/>
              </w:rPr>
              <w:t>87, 2015</w:t>
            </w:r>
          </w:p>
        </w:tc>
        <w:tc>
          <w:tcPr>
            <w:tcW w:w="1286" w:type="pct"/>
            <w:tcBorders>
              <w:top w:val="single" w:sz="4" w:space="0" w:color="auto"/>
              <w:bottom w:val="single" w:sz="4" w:space="0" w:color="auto"/>
            </w:tcBorders>
            <w:shd w:val="clear" w:color="auto" w:fill="auto"/>
          </w:tcPr>
          <w:p w14:paraId="0181A244" w14:textId="77777777" w:rsidR="007742D9" w:rsidRPr="005E3B43" w:rsidRDefault="007742D9" w:rsidP="00763BCF">
            <w:pPr>
              <w:pStyle w:val="Tabletext"/>
              <w:rPr>
                <w:sz w:val="16"/>
              </w:rPr>
            </w:pPr>
            <w:r w:rsidRPr="005E3B43">
              <w:rPr>
                <w:sz w:val="16"/>
              </w:rPr>
              <w:t>19</w:t>
            </w:r>
            <w:r w:rsidR="004E6D00" w:rsidRPr="005E3B43">
              <w:rPr>
                <w:sz w:val="16"/>
              </w:rPr>
              <w:t> </w:t>
            </w:r>
            <w:r w:rsidRPr="005E3B43">
              <w:rPr>
                <w:sz w:val="16"/>
              </w:rPr>
              <w:t>June 2015 (F2015L00854)</w:t>
            </w:r>
          </w:p>
        </w:tc>
        <w:tc>
          <w:tcPr>
            <w:tcW w:w="1287" w:type="pct"/>
            <w:tcBorders>
              <w:top w:val="single" w:sz="4" w:space="0" w:color="auto"/>
              <w:bottom w:val="single" w:sz="4" w:space="0" w:color="auto"/>
            </w:tcBorders>
            <w:shd w:val="clear" w:color="auto" w:fill="auto"/>
          </w:tcPr>
          <w:p w14:paraId="653AB08B" w14:textId="25E3CFA7" w:rsidR="007742D9" w:rsidRPr="005E3B43" w:rsidRDefault="00DA74DB" w:rsidP="00763BCF">
            <w:pPr>
              <w:pStyle w:val="Tabletext"/>
              <w:rPr>
                <w:sz w:val="16"/>
              </w:rPr>
            </w:pPr>
            <w:r w:rsidRPr="005E3B43">
              <w:rPr>
                <w:sz w:val="16"/>
              </w:rPr>
              <w:t>Sch 1 (</w:t>
            </w:r>
            <w:r w:rsidR="007C3215">
              <w:rPr>
                <w:sz w:val="16"/>
              </w:rPr>
              <w:t>items 2</w:t>
            </w:r>
            <w:r w:rsidR="005F2490" w:rsidRPr="005E3B43">
              <w:rPr>
                <w:sz w:val="16"/>
              </w:rPr>
              <w:t>–</w:t>
            </w:r>
            <w:r w:rsidRPr="005E3B43">
              <w:rPr>
                <w:sz w:val="16"/>
              </w:rPr>
              <w:t xml:space="preserve">6): </w:t>
            </w:r>
            <w:r w:rsidR="006B5D8E" w:rsidRPr="005E3B43">
              <w:rPr>
                <w:sz w:val="16"/>
              </w:rPr>
              <w:t>1 July</w:t>
            </w:r>
            <w:r w:rsidR="007742D9" w:rsidRPr="005E3B43">
              <w:rPr>
                <w:sz w:val="16"/>
              </w:rPr>
              <w:t xml:space="preserve"> 2015 (s 2(1) </w:t>
            </w:r>
            <w:r w:rsidR="007C3215">
              <w:rPr>
                <w:sz w:val="16"/>
              </w:rPr>
              <w:t>item 1</w:t>
            </w:r>
            <w:r w:rsidR="007742D9" w:rsidRPr="005E3B43">
              <w:rPr>
                <w:sz w:val="16"/>
              </w:rPr>
              <w:t>)</w:t>
            </w:r>
          </w:p>
        </w:tc>
        <w:tc>
          <w:tcPr>
            <w:tcW w:w="1208" w:type="pct"/>
            <w:tcBorders>
              <w:top w:val="single" w:sz="4" w:space="0" w:color="auto"/>
              <w:bottom w:val="single" w:sz="4" w:space="0" w:color="auto"/>
            </w:tcBorders>
            <w:shd w:val="clear" w:color="auto" w:fill="auto"/>
          </w:tcPr>
          <w:p w14:paraId="1793AAEC" w14:textId="77777777" w:rsidR="007742D9" w:rsidRPr="005E3B43" w:rsidRDefault="007742D9" w:rsidP="00763BCF">
            <w:pPr>
              <w:pStyle w:val="Tabletext"/>
              <w:rPr>
                <w:sz w:val="16"/>
              </w:rPr>
            </w:pPr>
            <w:r w:rsidRPr="005E3B43">
              <w:rPr>
                <w:sz w:val="16"/>
              </w:rPr>
              <w:t>—</w:t>
            </w:r>
          </w:p>
        </w:tc>
      </w:tr>
      <w:tr w:rsidR="007742D9" w:rsidRPr="005E3B43" w14:paraId="7E164D1C" w14:textId="77777777" w:rsidTr="005A786D">
        <w:trPr>
          <w:cantSplit/>
        </w:trPr>
        <w:tc>
          <w:tcPr>
            <w:tcW w:w="1219" w:type="pct"/>
            <w:tcBorders>
              <w:top w:val="single" w:sz="4" w:space="0" w:color="auto"/>
              <w:bottom w:val="single" w:sz="4" w:space="0" w:color="auto"/>
            </w:tcBorders>
            <w:shd w:val="clear" w:color="auto" w:fill="auto"/>
          </w:tcPr>
          <w:p w14:paraId="7A641D38" w14:textId="77777777" w:rsidR="007742D9" w:rsidRPr="005E3B43" w:rsidRDefault="007742D9" w:rsidP="00763BCF">
            <w:pPr>
              <w:pStyle w:val="Tabletext"/>
              <w:rPr>
                <w:sz w:val="16"/>
              </w:rPr>
            </w:pPr>
            <w:r w:rsidRPr="005E3B43">
              <w:rPr>
                <w:sz w:val="16"/>
              </w:rPr>
              <w:t>90, 2015</w:t>
            </w:r>
          </w:p>
        </w:tc>
        <w:tc>
          <w:tcPr>
            <w:tcW w:w="1286" w:type="pct"/>
            <w:tcBorders>
              <w:top w:val="single" w:sz="4" w:space="0" w:color="auto"/>
              <w:bottom w:val="single" w:sz="4" w:space="0" w:color="auto"/>
            </w:tcBorders>
            <w:shd w:val="clear" w:color="auto" w:fill="auto"/>
          </w:tcPr>
          <w:p w14:paraId="6DC1E334" w14:textId="77777777" w:rsidR="007742D9" w:rsidRPr="005E3B43" w:rsidRDefault="007742D9" w:rsidP="00763BCF">
            <w:pPr>
              <w:pStyle w:val="Tabletext"/>
              <w:rPr>
                <w:sz w:val="16"/>
              </w:rPr>
            </w:pPr>
            <w:r w:rsidRPr="005E3B43">
              <w:rPr>
                <w:sz w:val="16"/>
              </w:rPr>
              <w:t>18</w:t>
            </w:r>
            <w:r w:rsidR="004E6D00" w:rsidRPr="005E3B43">
              <w:rPr>
                <w:sz w:val="16"/>
              </w:rPr>
              <w:t> </w:t>
            </w:r>
            <w:r w:rsidRPr="005E3B43">
              <w:rPr>
                <w:sz w:val="16"/>
              </w:rPr>
              <w:t>June 2015 (F2015L00837)</w:t>
            </w:r>
          </w:p>
        </w:tc>
        <w:tc>
          <w:tcPr>
            <w:tcW w:w="1287" w:type="pct"/>
            <w:tcBorders>
              <w:top w:val="single" w:sz="4" w:space="0" w:color="auto"/>
              <w:bottom w:val="single" w:sz="4" w:space="0" w:color="auto"/>
            </w:tcBorders>
            <w:shd w:val="clear" w:color="auto" w:fill="auto"/>
          </w:tcPr>
          <w:p w14:paraId="42363774" w14:textId="7529F28C" w:rsidR="007742D9" w:rsidRPr="005E3B43" w:rsidRDefault="00DA74DB" w:rsidP="00763BCF">
            <w:pPr>
              <w:pStyle w:val="Tabletext"/>
              <w:rPr>
                <w:sz w:val="16"/>
              </w:rPr>
            </w:pPr>
            <w:r w:rsidRPr="005E3B43">
              <w:rPr>
                <w:sz w:val="16"/>
              </w:rPr>
              <w:t>Sch 2 (</w:t>
            </w:r>
            <w:r w:rsidR="007C3215">
              <w:rPr>
                <w:sz w:val="16"/>
              </w:rPr>
              <w:t>item 1</w:t>
            </w:r>
            <w:r w:rsidRPr="005E3B43">
              <w:rPr>
                <w:sz w:val="16"/>
              </w:rPr>
              <w:t xml:space="preserve">97): </w:t>
            </w:r>
            <w:r w:rsidR="006B5D8E" w:rsidRPr="005E3B43">
              <w:rPr>
                <w:sz w:val="16"/>
              </w:rPr>
              <w:t>1 July</w:t>
            </w:r>
            <w:r w:rsidR="007742D9" w:rsidRPr="005E3B43">
              <w:rPr>
                <w:sz w:val="16"/>
              </w:rPr>
              <w:t xml:space="preserve"> 2015 (s 2(1) </w:t>
            </w:r>
            <w:r w:rsidR="006B5D8E" w:rsidRPr="005E3B43">
              <w:rPr>
                <w:sz w:val="16"/>
              </w:rPr>
              <w:t>item 2</w:t>
            </w:r>
            <w:r w:rsidR="007742D9" w:rsidRPr="005E3B43">
              <w:rPr>
                <w:sz w:val="16"/>
              </w:rPr>
              <w:t>)</w:t>
            </w:r>
          </w:p>
        </w:tc>
        <w:tc>
          <w:tcPr>
            <w:tcW w:w="1208" w:type="pct"/>
            <w:tcBorders>
              <w:top w:val="single" w:sz="4" w:space="0" w:color="auto"/>
              <w:bottom w:val="single" w:sz="4" w:space="0" w:color="auto"/>
            </w:tcBorders>
            <w:shd w:val="clear" w:color="auto" w:fill="auto"/>
          </w:tcPr>
          <w:p w14:paraId="34FA36D5" w14:textId="77777777" w:rsidR="007742D9" w:rsidRPr="005E3B43" w:rsidRDefault="007742D9" w:rsidP="00763BCF">
            <w:pPr>
              <w:pStyle w:val="Tabletext"/>
              <w:rPr>
                <w:sz w:val="16"/>
              </w:rPr>
            </w:pPr>
            <w:r w:rsidRPr="005E3B43">
              <w:rPr>
                <w:sz w:val="16"/>
              </w:rPr>
              <w:t>—</w:t>
            </w:r>
          </w:p>
        </w:tc>
      </w:tr>
      <w:tr w:rsidR="00FD5707" w:rsidRPr="005E3B43" w14:paraId="467826A7" w14:textId="77777777" w:rsidTr="005A786D">
        <w:trPr>
          <w:cantSplit/>
        </w:trPr>
        <w:tc>
          <w:tcPr>
            <w:tcW w:w="1219" w:type="pct"/>
            <w:tcBorders>
              <w:top w:val="single" w:sz="4" w:space="0" w:color="auto"/>
              <w:bottom w:val="single" w:sz="4" w:space="0" w:color="auto"/>
            </w:tcBorders>
            <w:shd w:val="clear" w:color="auto" w:fill="auto"/>
          </w:tcPr>
          <w:p w14:paraId="3899332B" w14:textId="77777777" w:rsidR="00FD5707" w:rsidRPr="005E3B43" w:rsidRDefault="00FD5707" w:rsidP="00763BCF">
            <w:pPr>
              <w:pStyle w:val="Tabletext"/>
              <w:rPr>
                <w:sz w:val="16"/>
              </w:rPr>
            </w:pPr>
            <w:r w:rsidRPr="005E3B43">
              <w:rPr>
                <w:sz w:val="16"/>
              </w:rPr>
              <w:t>213, 2015</w:t>
            </w:r>
          </w:p>
        </w:tc>
        <w:tc>
          <w:tcPr>
            <w:tcW w:w="1286" w:type="pct"/>
            <w:tcBorders>
              <w:top w:val="single" w:sz="4" w:space="0" w:color="auto"/>
              <w:bottom w:val="single" w:sz="4" w:space="0" w:color="auto"/>
            </w:tcBorders>
            <w:shd w:val="clear" w:color="auto" w:fill="auto"/>
          </w:tcPr>
          <w:p w14:paraId="684CC62B" w14:textId="77777777" w:rsidR="00FD5707" w:rsidRPr="005E3B43" w:rsidRDefault="00FD5707" w:rsidP="00763BCF">
            <w:pPr>
              <w:pStyle w:val="Tabletext"/>
              <w:rPr>
                <w:sz w:val="16"/>
              </w:rPr>
            </w:pPr>
            <w:r w:rsidRPr="005E3B43">
              <w:rPr>
                <w:sz w:val="16"/>
              </w:rPr>
              <w:t>1 Dec 2015 (F2015L01909)</w:t>
            </w:r>
          </w:p>
        </w:tc>
        <w:tc>
          <w:tcPr>
            <w:tcW w:w="1287" w:type="pct"/>
            <w:tcBorders>
              <w:top w:val="single" w:sz="4" w:space="0" w:color="auto"/>
              <w:bottom w:val="single" w:sz="4" w:space="0" w:color="auto"/>
            </w:tcBorders>
            <w:shd w:val="clear" w:color="auto" w:fill="auto"/>
          </w:tcPr>
          <w:p w14:paraId="645B5FBF" w14:textId="0214ED16" w:rsidR="00FD5707" w:rsidRPr="005E3B43" w:rsidRDefault="00FD5707" w:rsidP="00763BCF">
            <w:pPr>
              <w:pStyle w:val="Tabletext"/>
              <w:rPr>
                <w:sz w:val="16"/>
              </w:rPr>
            </w:pPr>
            <w:r w:rsidRPr="005E3B43">
              <w:rPr>
                <w:sz w:val="16"/>
              </w:rPr>
              <w:t xml:space="preserve">1 Jan 2016 (s 2(1) </w:t>
            </w:r>
            <w:r w:rsidR="007C3215">
              <w:rPr>
                <w:sz w:val="16"/>
              </w:rPr>
              <w:t>item 1</w:t>
            </w:r>
            <w:r w:rsidRPr="005E3B43">
              <w:rPr>
                <w:sz w:val="16"/>
              </w:rPr>
              <w:t>)</w:t>
            </w:r>
          </w:p>
        </w:tc>
        <w:tc>
          <w:tcPr>
            <w:tcW w:w="1208" w:type="pct"/>
            <w:tcBorders>
              <w:top w:val="single" w:sz="4" w:space="0" w:color="auto"/>
              <w:bottom w:val="single" w:sz="4" w:space="0" w:color="auto"/>
            </w:tcBorders>
            <w:shd w:val="clear" w:color="auto" w:fill="auto"/>
          </w:tcPr>
          <w:p w14:paraId="20751375" w14:textId="77777777" w:rsidR="00FD5707" w:rsidRPr="005E3B43" w:rsidRDefault="00FD5707" w:rsidP="00763BCF">
            <w:pPr>
              <w:pStyle w:val="Tabletext"/>
              <w:rPr>
                <w:sz w:val="16"/>
              </w:rPr>
            </w:pPr>
            <w:r w:rsidRPr="005E3B43">
              <w:rPr>
                <w:sz w:val="16"/>
              </w:rPr>
              <w:t>—</w:t>
            </w:r>
          </w:p>
        </w:tc>
      </w:tr>
      <w:tr w:rsidR="00FD5707" w:rsidRPr="005E3B43" w14:paraId="317459AA" w14:textId="77777777" w:rsidTr="005A786D">
        <w:trPr>
          <w:cantSplit/>
        </w:trPr>
        <w:tc>
          <w:tcPr>
            <w:tcW w:w="1219" w:type="pct"/>
            <w:tcBorders>
              <w:top w:val="single" w:sz="4" w:space="0" w:color="auto"/>
              <w:bottom w:val="single" w:sz="12" w:space="0" w:color="auto"/>
            </w:tcBorders>
            <w:shd w:val="clear" w:color="auto" w:fill="auto"/>
          </w:tcPr>
          <w:p w14:paraId="0A6FA286" w14:textId="77777777" w:rsidR="00FD5707" w:rsidRPr="005E3B43" w:rsidRDefault="00FD5707" w:rsidP="00763BCF">
            <w:pPr>
              <w:pStyle w:val="Tabletext"/>
              <w:rPr>
                <w:sz w:val="16"/>
              </w:rPr>
            </w:pPr>
            <w:r w:rsidRPr="005E3B43">
              <w:rPr>
                <w:sz w:val="16"/>
              </w:rPr>
              <w:t>214, 2015</w:t>
            </w:r>
          </w:p>
        </w:tc>
        <w:tc>
          <w:tcPr>
            <w:tcW w:w="1286" w:type="pct"/>
            <w:tcBorders>
              <w:top w:val="single" w:sz="4" w:space="0" w:color="auto"/>
              <w:bottom w:val="single" w:sz="12" w:space="0" w:color="auto"/>
            </w:tcBorders>
            <w:shd w:val="clear" w:color="auto" w:fill="auto"/>
          </w:tcPr>
          <w:p w14:paraId="77BA9796" w14:textId="77777777" w:rsidR="00FD5707" w:rsidRPr="005E3B43" w:rsidRDefault="00FD5707" w:rsidP="00763BCF">
            <w:pPr>
              <w:pStyle w:val="Tabletext"/>
              <w:rPr>
                <w:sz w:val="16"/>
              </w:rPr>
            </w:pPr>
            <w:r w:rsidRPr="005E3B43">
              <w:rPr>
                <w:sz w:val="16"/>
              </w:rPr>
              <w:t>1 Dec 2015 (F2015L01910)</w:t>
            </w:r>
          </w:p>
        </w:tc>
        <w:tc>
          <w:tcPr>
            <w:tcW w:w="1287" w:type="pct"/>
            <w:tcBorders>
              <w:top w:val="single" w:sz="4" w:space="0" w:color="auto"/>
              <w:bottom w:val="single" w:sz="12" w:space="0" w:color="auto"/>
            </w:tcBorders>
            <w:shd w:val="clear" w:color="auto" w:fill="auto"/>
          </w:tcPr>
          <w:p w14:paraId="4C565C70" w14:textId="3A6B8B88" w:rsidR="00FD5707" w:rsidRPr="005E3B43" w:rsidRDefault="00FD5707" w:rsidP="00763BCF">
            <w:pPr>
              <w:pStyle w:val="Tabletext"/>
              <w:rPr>
                <w:sz w:val="16"/>
              </w:rPr>
            </w:pPr>
            <w:r w:rsidRPr="005E3B43">
              <w:rPr>
                <w:sz w:val="16"/>
              </w:rPr>
              <w:t xml:space="preserve">1 Jan 2016 (s 2(1) </w:t>
            </w:r>
            <w:r w:rsidR="007C3215">
              <w:rPr>
                <w:sz w:val="16"/>
              </w:rPr>
              <w:t>item 1</w:t>
            </w:r>
            <w:r w:rsidRPr="005E3B43">
              <w:rPr>
                <w:sz w:val="16"/>
              </w:rPr>
              <w:t>)</w:t>
            </w:r>
          </w:p>
        </w:tc>
        <w:tc>
          <w:tcPr>
            <w:tcW w:w="1208" w:type="pct"/>
            <w:tcBorders>
              <w:top w:val="single" w:sz="4" w:space="0" w:color="auto"/>
              <w:bottom w:val="single" w:sz="12" w:space="0" w:color="auto"/>
            </w:tcBorders>
            <w:shd w:val="clear" w:color="auto" w:fill="auto"/>
          </w:tcPr>
          <w:p w14:paraId="282513C6" w14:textId="77777777" w:rsidR="00FD5707" w:rsidRPr="005E3B43" w:rsidRDefault="00FD5707" w:rsidP="00763BCF">
            <w:pPr>
              <w:pStyle w:val="Tabletext"/>
              <w:rPr>
                <w:sz w:val="16"/>
              </w:rPr>
            </w:pPr>
            <w:r w:rsidRPr="005E3B43">
              <w:rPr>
                <w:sz w:val="16"/>
              </w:rPr>
              <w:t>—</w:t>
            </w:r>
          </w:p>
        </w:tc>
      </w:tr>
    </w:tbl>
    <w:p w14:paraId="57A09437" w14:textId="77777777" w:rsidR="00616946" w:rsidRPr="005E3B43" w:rsidRDefault="00616946"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235"/>
        <w:gridCol w:w="1842"/>
        <w:gridCol w:w="2374"/>
        <w:gridCol w:w="2078"/>
      </w:tblGrid>
      <w:tr w:rsidR="00616946" w:rsidRPr="005E3B43" w14:paraId="7D3F5018" w14:textId="77777777" w:rsidTr="00A14264">
        <w:trPr>
          <w:cantSplit/>
          <w:tblHeader/>
        </w:trPr>
        <w:tc>
          <w:tcPr>
            <w:tcW w:w="1310" w:type="pct"/>
            <w:tcBorders>
              <w:top w:val="single" w:sz="12" w:space="0" w:color="auto"/>
              <w:bottom w:val="single" w:sz="12" w:space="0" w:color="auto"/>
            </w:tcBorders>
            <w:shd w:val="clear" w:color="auto" w:fill="auto"/>
          </w:tcPr>
          <w:p w14:paraId="4662EA6E" w14:textId="77777777" w:rsidR="00616946" w:rsidRPr="005E3B43" w:rsidRDefault="00616946" w:rsidP="00763BCF">
            <w:pPr>
              <w:pStyle w:val="ENoteTableHeading"/>
            </w:pPr>
            <w:r w:rsidRPr="005E3B43">
              <w:t>Name</w:t>
            </w:r>
          </w:p>
        </w:tc>
        <w:tc>
          <w:tcPr>
            <w:tcW w:w="1080" w:type="pct"/>
            <w:tcBorders>
              <w:top w:val="single" w:sz="12" w:space="0" w:color="auto"/>
              <w:bottom w:val="single" w:sz="12" w:space="0" w:color="auto"/>
            </w:tcBorders>
            <w:shd w:val="clear" w:color="auto" w:fill="auto"/>
          </w:tcPr>
          <w:p w14:paraId="5BC85FBE" w14:textId="77777777" w:rsidR="00616946" w:rsidRPr="005E3B43" w:rsidRDefault="00A33FD0" w:rsidP="00763BCF">
            <w:pPr>
              <w:pStyle w:val="ENoteTableHeading"/>
            </w:pPr>
            <w:r w:rsidRPr="005E3B43">
              <w:t>Registration</w:t>
            </w:r>
          </w:p>
        </w:tc>
        <w:tc>
          <w:tcPr>
            <w:tcW w:w="1392" w:type="pct"/>
            <w:tcBorders>
              <w:top w:val="single" w:sz="12" w:space="0" w:color="auto"/>
              <w:bottom w:val="single" w:sz="12" w:space="0" w:color="auto"/>
            </w:tcBorders>
            <w:shd w:val="clear" w:color="auto" w:fill="auto"/>
          </w:tcPr>
          <w:p w14:paraId="310DD770" w14:textId="77777777" w:rsidR="00616946" w:rsidRPr="005E3B43" w:rsidRDefault="00616946" w:rsidP="00763BCF">
            <w:pPr>
              <w:pStyle w:val="ENoteTableHeading"/>
            </w:pPr>
            <w:r w:rsidRPr="005E3B43">
              <w:t>Commencement</w:t>
            </w:r>
          </w:p>
        </w:tc>
        <w:tc>
          <w:tcPr>
            <w:tcW w:w="1218" w:type="pct"/>
            <w:tcBorders>
              <w:top w:val="single" w:sz="12" w:space="0" w:color="auto"/>
              <w:bottom w:val="single" w:sz="12" w:space="0" w:color="auto"/>
            </w:tcBorders>
            <w:shd w:val="clear" w:color="auto" w:fill="auto"/>
          </w:tcPr>
          <w:p w14:paraId="7B0EAE3D" w14:textId="77777777" w:rsidR="00616946" w:rsidRPr="005E3B43" w:rsidRDefault="00616946" w:rsidP="00763BCF">
            <w:pPr>
              <w:pStyle w:val="ENoteTableHeading"/>
            </w:pPr>
            <w:r w:rsidRPr="005E3B43">
              <w:t>Application, saving and transitional provisions</w:t>
            </w:r>
          </w:p>
        </w:tc>
      </w:tr>
      <w:tr w:rsidR="003865D8" w:rsidRPr="005E3B43" w14:paraId="3322560C" w14:textId="77777777" w:rsidTr="00A14264">
        <w:trPr>
          <w:cantSplit/>
        </w:trPr>
        <w:tc>
          <w:tcPr>
            <w:tcW w:w="1310" w:type="pct"/>
            <w:tcBorders>
              <w:top w:val="single" w:sz="12" w:space="0" w:color="auto"/>
              <w:bottom w:val="single" w:sz="4" w:space="0" w:color="auto"/>
            </w:tcBorders>
            <w:shd w:val="clear" w:color="auto" w:fill="auto"/>
          </w:tcPr>
          <w:p w14:paraId="00F0A554" w14:textId="77777777" w:rsidR="003865D8" w:rsidRPr="005E3B43" w:rsidRDefault="003865D8" w:rsidP="00763BCF">
            <w:pPr>
              <w:pStyle w:val="ENoteTableText"/>
            </w:pPr>
            <w:r w:rsidRPr="005E3B43">
              <w:rPr>
                <w:noProof/>
              </w:rPr>
              <w:t>Therapeutic Goods Legislation Amendment (Charges Exemptions and Other Measures) Regulation</w:t>
            </w:r>
            <w:r w:rsidR="004E6D00" w:rsidRPr="005E3B43">
              <w:rPr>
                <w:noProof/>
              </w:rPr>
              <w:t> </w:t>
            </w:r>
            <w:r w:rsidRPr="005E3B43">
              <w:rPr>
                <w:noProof/>
              </w:rPr>
              <w:t>2016</w:t>
            </w:r>
          </w:p>
        </w:tc>
        <w:tc>
          <w:tcPr>
            <w:tcW w:w="1080" w:type="pct"/>
            <w:tcBorders>
              <w:top w:val="single" w:sz="12" w:space="0" w:color="auto"/>
              <w:bottom w:val="single" w:sz="4" w:space="0" w:color="auto"/>
            </w:tcBorders>
            <w:shd w:val="clear" w:color="auto" w:fill="auto"/>
          </w:tcPr>
          <w:p w14:paraId="2B033DB1" w14:textId="77777777" w:rsidR="003865D8" w:rsidRPr="005E3B43" w:rsidRDefault="003865D8" w:rsidP="00763BCF">
            <w:pPr>
              <w:pStyle w:val="ENoteTableText"/>
            </w:pPr>
            <w:r w:rsidRPr="005E3B43">
              <w:t>15 Feb 2016 (F2016L00109)</w:t>
            </w:r>
          </w:p>
        </w:tc>
        <w:tc>
          <w:tcPr>
            <w:tcW w:w="1392" w:type="pct"/>
            <w:tcBorders>
              <w:top w:val="single" w:sz="12" w:space="0" w:color="auto"/>
              <w:bottom w:val="single" w:sz="4" w:space="0" w:color="auto"/>
            </w:tcBorders>
            <w:shd w:val="clear" w:color="auto" w:fill="auto"/>
          </w:tcPr>
          <w:p w14:paraId="36626F4B" w14:textId="0EBFB171" w:rsidR="003865D8" w:rsidRPr="005E3B43" w:rsidRDefault="003865D8" w:rsidP="00763BCF">
            <w:pPr>
              <w:pStyle w:val="ENoteTableText"/>
            </w:pPr>
            <w:r w:rsidRPr="005E3B43">
              <w:t xml:space="preserve">Sch 1: </w:t>
            </w:r>
            <w:r w:rsidR="006B5D8E" w:rsidRPr="005E3B43">
              <w:t>1 July</w:t>
            </w:r>
            <w:r w:rsidRPr="005E3B43">
              <w:t xml:space="preserve"> 2015 (s 2(1) </w:t>
            </w:r>
            <w:r w:rsidR="006B5D8E" w:rsidRPr="005E3B43">
              <w:t>item 2</w:t>
            </w:r>
            <w:r w:rsidR="00092602" w:rsidRPr="005E3B43">
              <w:t>)</w:t>
            </w:r>
            <w:r w:rsidR="00092602" w:rsidRPr="005E3B43">
              <w:br/>
              <w:t>Sch 2 and Sch 4</w:t>
            </w:r>
            <w:r w:rsidRPr="005E3B43">
              <w:t xml:space="preserve"> (items</w:t>
            </w:r>
            <w:r w:rsidR="004E6D00" w:rsidRPr="005E3B43">
              <w:t> </w:t>
            </w:r>
            <w:r w:rsidRPr="005E3B43">
              <w:t xml:space="preserve">6–35): 16 Feb 2016 (s 2(1) </w:t>
            </w:r>
            <w:r w:rsidR="003C0723" w:rsidRPr="005E3B43">
              <w:t>items 3</w:t>
            </w:r>
            <w:r w:rsidRPr="005E3B43">
              <w:t>, 5)</w:t>
            </w:r>
            <w:r w:rsidRPr="005E3B43">
              <w:br/>
              <w:t>Sch 4 (</w:t>
            </w:r>
            <w:r w:rsidR="007C3215">
              <w:t>items 1</w:t>
            </w:r>
            <w:r w:rsidRPr="005E3B43">
              <w:t xml:space="preserve">–5): </w:t>
            </w:r>
            <w:r w:rsidR="005E3B2E" w:rsidRPr="005E3B43">
              <w:t>1</w:t>
            </w:r>
            <w:r w:rsidR="00EC1C37" w:rsidRPr="005E3B43">
              <w:t>6</w:t>
            </w:r>
            <w:r w:rsidR="005E3B2E" w:rsidRPr="005E3B43">
              <w:t xml:space="preserve"> Aug 2016</w:t>
            </w:r>
            <w:r w:rsidRPr="005E3B43">
              <w:t xml:space="preserve"> (s 2(1) </w:t>
            </w:r>
            <w:r w:rsidR="006B5D8E" w:rsidRPr="005E3B43">
              <w:t>item 4</w:t>
            </w:r>
            <w:r w:rsidRPr="005E3B43">
              <w:t>)</w:t>
            </w:r>
          </w:p>
        </w:tc>
        <w:tc>
          <w:tcPr>
            <w:tcW w:w="1218" w:type="pct"/>
            <w:tcBorders>
              <w:top w:val="single" w:sz="12" w:space="0" w:color="auto"/>
              <w:bottom w:val="single" w:sz="4" w:space="0" w:color="auto"/>
            </w:tcBorders>
            <w:shd w:val="clear" w:color="auto" w:fill="auto"/>
          </w:tcPr>
          <w:p w14:paraId="795453DE" w14:textId="77777777" w:rsidR="003865D8" w:rsidRPr="005E3B43" w:rsidRDefault="003865D8" w:rsidP="00763BCF">
            <w:pPr>
              <w:pStyle w:val="ENoteTableText"/>
            </w:pPr>
            <w:r w:rsidRPr="005E3B43">
              <w:t>—</w:t>
            </w:r>
          </w:p>
        </w:tc>
      </w:tr>
      <w:tr w:rsidR="00507908" w:rsidRPr="005E3B43" w14:paraId="575BD80D" w14:textId="77777777" w:rsidTr="00A14264">
        <w:trPr>
          <w:cantSplit/>
        </w:trPr>
        <w:tc>
          <w:tcPr>
            <w:tcW w:w="1310" w:type="pct"/>
            <w:tcBorders>
              <w:top w:val="single" w:sz="4" w:space="0" w:color="auto"/>
              <w:bottom w:val="single" w:sz="4" w:space="0" w:color="auto"/>
            </w:tcBorders>
            <w:shd w:val="clear" w:color="auto" w:fill="auto"/>
          </w:tcPr>
          <w:p w14:paraId="474BE180" w14:textId="77777777" w:rsidR="00507908" w:rsidRPr="005E3B43" w:rsidRDefault="00507908" w:rsidP="00763BCF">
            <w:pPr>
              <w:pStyle w:val="ENoteTableText"/>
              <w:rPr>
                <w:noProof/>
              </w:rPr>
            </w:pPr>
            <w:r w:rsidRPr="005E3B43">
              <w:rPr>
                <w:noProof/>
              </w:rPr>
              <w:t>Therapeutic Goods Legislation Amendment (Fees and Other Measures) Regulation</w:t>
            </w:r>
            <w:r w:rsidR="004E6D00" w:rsidRPr="005E3B43">
              <w:rPr>
                <w:noProof/>
              </w:rPr>
              <w:t> </w:t>
            </w:r>
            <w:r w:rsidRPr="005E3B43">
              <w:rPr>
                <w:noProof/>
              </w:rPr>
              <w:t>2016</w:t>
            </w:r>
          </w:p>
        </w:tc>
        <w:tc>
          <w:tcPr>
            <w:tcW w:w="1080" w:type="pct"/>
            <w:tcBorders>
              <w:top w:val="single" w:sz="4" w:space="0" w:color="auto"/>
              <w:bottom w:val="single" w:sz="4" w:space="0" w:color="auto"/>
            </w:tcBorders>
            <w:shd w:val="clear" w:color="auto" w:fill="auto"/>
          </w:tcPr>
          <w:p w14:paraId="4516CEDB" w14:textId="77777777" w:rsidR="00507908" w:rsidRPr="005E3B43" w:rsidRDefault="00507908" w:rsidP="00763BCF">
            <w:pPr>
              <w:pStyle w:val="ENoteTableText"/>
            </w:pPr>
            <w:r w:rsidRPr="005E3B43">
              <w:t>5</w:t>
            </w:r>
            <w:r w:rsidR="004E6D00" w:rsidRPr="005E3B43">
              <w:t> </w:t>
            </w:r>
            <w:r w:rsidRPr="005E3B43">
              <w:t>May 2016 (F2016L00667)</w:t>
            </w:r>
          </w:p>
        </w:tc>
        <w:tc>
          <w:tcPr>
            <w:tcW w:w="1392" w:type="pct"/>
            <w:tcBorders>
              <w:top w:val="single" w:sz="4" w:space="0" w:color="auto"/>
              <w:bottom w:val="single" w:sz="4" w:space="0" w:color="auto"/>
            </w:tcBorders>
            <w:shd w:val="clear" w:color="auto" w:fill="auto"/>
          </w:tcPr>
          <w:p w14:paraId="170A7BDB" w14:textId="5F304697" w:rsidR="00507908" w:rsidRPr="005E3B43" w:rsidRDefault="00507908" w:rsidP="00763BCF">
            <w:pPr>
              <w:pStyle w:val="ENoteTableText"/>
            </w:pPr>
            <w:r w:rsidRPr="005E3B43">
              <w:t>Sch 1 (</w:t>
            </w:r>
            <w:r w:rsidR="007C3215">
              <w:t>items 2</w:t>
            </w:r>
            <w:r w:rsidR="00563D3E" w:rsidRPr="005E3B43">
              <w:t>–</w:t>
            </w:r>
            <w:r w:rsidRPr="005E3B43">
              <w:t xml:space="preserve">10): </w:t>
            </w:r>
            <w:r w:rsidR="006B5D8E" w:rsidRPr="005E3B43">
              <w:t>1 July</w:t>
            </w:r>
            <w:r w:rsidRPr="005E3B43">
              <w:t xml:space="preserve"> 2016 (s 2(1) </w:t>
            </w:r>
            <w:r w:rsidR="007C3215">
              <w:t>item 1</w:t>
            </w:r>
            <w:r w:rsidRPr="005E3B43">
              <w:t>)</w:t>
            </w:r>
          </w:p>
        </w:tc>
        <w:tc>
          <w:tcPr>
            <w:tcW w:w="1218" w:type="pct"/>
            <w:tcBorders>
              <w:top w:val="single" w:sz="4" w:space="0" w:color="auto"/>
              <w:bottom w:val="single" w:sz="4" w:space="0" w:color="auto"/>
            </w:tcBorders>
            <w:shd w:val="clear" w:color="auto" w:fill="auto"/>
          </w:tcPr>
          <w:p w14:paraId="083E414D" w14:textId="77777777" w:rsidR="00507908" w:rsidRPr="005E3B43" w:rsidRDefault="00507908" w:rsidP="00763BCF">
            <w:pPr>
              <w:pStyle w:val="ENoteTableText"/>
            </w:pPr>
            <w:r w:rsidRPr="005E3B43">
              <w:t>—</w:t>
            </w:r>
          </w:p>
        </w:tc>
      </w:tr>
      <w:tr w:rsidR="000D7DA1" w:rsidRPr="005E3B43" w14:paraId="4079B25B" w14:textId="77777777" w:rsidTr="00A14264">
        <w:trPr>
          <w:cantSplit/>
        </w:trPr>
        <w:tc>
          <w:tcPr>
            <w:tcW w:w="1310" w:type="pct"/>
            <w:tcBorders>
              <w:top w:val="single" w:sz="4" w:space="0" w:color="auto"/>
              <w:bottom w:val="single" w:sz="4" w:space="0" w:color="auto"/>
            </w:tcBorders>
            <w:shd w:val="clear" w:color="auto" w:fill="auto"/>
          </w:tcPr>
          <w:p w14:paraId="797C4396" w14:textId="77777777" w:rsidR="000D7DA1" w:rsidRPr="005E3B43" w:rsidRDefault="000D7DA1" w:rsidP="00763BCF">
            <w:pPr>
              <w:pStyle w:val="ENoteTableText"/>
              <w:rPr>
                <w:noProof/>
              </w:rPr>
            </w:pPr>
            <w:r w:rsidRPr="005E3B43">
              <w:rPr>
                <w:noProof/>
              </w:rPr>
              <w:t>Therapeutic Goods Amendment (Advisory Committees and Other Measures) Regulation</w:t>
            </w:r>
            <w:r w:rsidR="004E6D00" w:rsidRPr="005E3B43">
              <w:rPr>
                <w:noProof/>
              </w:rPr>
              <w:t> </w:t>
            </w:r>
            <w:r w:rsidRPr="005E3B43">
              <w:rPr>
                <w:noProof/>
              </w:rPr>
              <w:t>2016</w:t>
            </w:r>
          </w:p>
        </w:tc>
        <w:tc>
          <w:tcPr>
            <w:tcW w:w="1080" w:type="pct"/>
            <w:tcBorders>
              <w:top w:val="single" w:sz="4" w:space="0" w:color="auto"/>
              <w:bottom w:val="single" w:sz="4" w:space="0" w:color="auto"/>
            </w:tcBorders>
            <w:shd w:val="clear" w:color="auto" w:fill="auto"/>
          </w:tcPr>
          <w:p w14:paraId="2F39BBAB" w14:textId="77777777" w:rsidR="000D7DA1" w:rsidRPr="005E3B43" w:rsidRDefault="000D7DA1" w:rsidP="00763BCF">
            <w:pPr>
              <w:pStyle w:val="ENoteTableText"/>
            </w:pPr>
            <w:r w:rsidRPr="005E3B43">
              <w:t>14 Oct 2016 (F2016L01614)</w:t>
            </w:r>
          </w:p>
        </w:tc>
        <w:tc>
          <w:tcPr>
            <w:tcW w:w="1392" w:type="pct"/>
            <w:tcBorders>
              <w:top w:val="single" w:sz="4" w:space="0" w:color="auto"/>
              <w:bottom w:val="single" w:sz="4" w:space="0" w:color="auto"/>
            </w:tcBorders>
            <w:shd w:val="clear" w:color="auto" w:fill="auto"/>
          </w:tcPr>
          <w:p w14:paraId="54E1516F" w14:textId="042E3F12" w:rsidR="000D7DA1" w:rsidRPr="005E3B43" w:rsidRDefault="00101DE2" w:rsidP="00763BCF">
            <w:pPr>
              <w:pStyle w:val="ENoteTableText"/>
            </w:pPr>
            <w:r w:rsidRPr="005E3B43">
              <w:t xml:space="preserve">Sch 1: 1 Jan 2017 (s 2(1) </w:t>
            </w:r>
            <w:r w:rsidR="006B5D8E" w:rsidRPr="005E3B43">
              <w:t>item 2</w:t>
            </w:r>
            <w:r w:rsidRPr="005E3B43">
              <w:t>)</w:t>
            </w:r>
            <w:r w:rsidRPr="005E3B43">
              <w:br/>
            </w:r>
            <w:r w:rsidR="00A177C9" w:rsidRPr="005E3B43">
              <w:t>Remainder</w:t>
            </w:r>
            <w:r w:rsidR="000D7DA1" w:rsidRPr="005E3B43">
              <w:t xml:space="preserve">: 15 Oct 2016 (s 2(1) </w:t>
            </w:r>
            <w:r w:rsidR="007C3215">
              <w:t>items 1</w:t>
            </w:r>
            <w:r w:rsidR="00A177C9" w:rsidRPr="005E3B43">
              <w:t xml:space="preserve">, </w:t>
            </w:r>
            <w:r w:rsidR="000D7DA1" w:rsidRPr="005E3B43">
              <w:t>3)</w:t>
            </w:r>
          </w:p>
        </w:tc>
        <w:tc>
          <w:tcPr>
            <w:tcW w:w="1218" w:type="pct"/>
            <w:tcBorders>
              <w:top w:val="single" w:sz="4" w:space="0" w:color="auto"/>
              <w:bottom w:val="single" w:sz="4" w:space="0" w:color="auto"/>
            </w:tcBorders>
            <w:shd w:val="clear" w:color="auto" w:fill="auto"/>
          </w:tcPr>
          <w:p w14:paraId="62FDDFA5" w14:textId="77777777" w:rsidR="000D7DA1" w:rsidRPr="005E3B43" w:rsidRDefault="000D7DA1" w:rsidP="00763BCF">
            <w:pPr>
              <w:pStyle w:val="ENoteTableText"/>
            </w:pPr>
            <w:r w:rsidRPr="005E3B43">
              <w:t>—</w:t>
            </w:r>
          </w:p>
        </w:tc>
      </w:tr>
      <w:tr w:rsidR="00156DCD" w:rsidRPr="005E3B43" w14:paraId="2F9799CF" w14:textId="77777777" w:rsidTr="00A14264">
        <w:trPr>
          <w:cantSplit/>
        </w:trPr>
        <w:tc>
          <w:tcPr>
            <w:tcW w:w="1310" w:type="pct"/>
            <w:tcBorders>
              <w:top w:val="single" w:sz="4" w:space="0" w:color="auto"/>
              <w:bottom w:val="single" w:sz="4" w:space="0" w:color="auto"/>
            </w:tcBorders>
            <w:shd w:val="clear" w:color="auto" w:fill="auto"/>
          </w:tcPr>
          <w:p w14:paraId="17BC18BD" w14:textId="77777777" w:rsidR="00156DCD" w:rsidRPr="005E3B43" w:rsidRDefault="00230B30" w:rsidP="00763BCF">
            <w:pPr>
              <w:pStyle w:val="ENoteTableText"/>
              <w:rPr>
                <w:noProof/>
              </w:rPr>
            </w:pPr>
            <w:r w:rsidRPr="005E3B43">
              <w:t>Therapeutic Goods and Other Legislation Amendment (Narcotic Drugs) Regulation</w:t>
            </w:r>
            <w:r w:rsidR="004E6D00" w:rsidRPr="005E3B43">
              <w:t> </w:t>
            </w:r>
            <w:r w:rsidRPr="005E3B43">
              <w:t>2016</w:t>
            </w:r>
          </w:p>
        </w:tc>
        <w:tc>
          <w:tcPr>
            <w:tcW w:w="1080" w:type="pct"/>
            <w:tcBorders>
              <w:top w:val="single" w:sz="4" w:space="0" w:color="auto"/>
              <w:bottom w:val="single" w:sz="4" w:space="0" w:color="auto"/>
            </w:tcBorders>
            <w:shd w:val="clear" w:color="auto" w:fill="auto"/>
          </w:tcPr>
          <w:p w14:paraId="260DCFAC" w14:textId="77777777" w:rsidR="00156DCD" w:rsidRPr="005E3B43" w:rsidRDefault="00230B30" w:rsidP="00763BCF">
            <w:pPr>
              <w:pStyle w:val="ENoteTableText"/>
            </w:pPr>
            <w:r w:rsidRPr="005E3B43">
              <w:t>28 Oct 2016 (F2016L01652)</w:t>
            </w:r>
          </w:p>
        </w:tc>
        <w:tc>
          <w:tcPr>
            <w:tcW w:w="1392" w:type="pct"/>
            <w:tcBorders>
              <w:top w:val="single" w:sz="4" w:space="0" w:color="auto"/>
              <w:bottom w:val="single" w:sz="4" w:space="0" w:color="auto"/>
            </w:tcBorders>
            <w:shd w:val="clear" w:color="auto" w:fill="auto"/>
          </w:tcPr>
          <w:p w14:paraId="7AE4B81F" w14:textId="0CC23777" w:rsidR="00156DCD" w:rsidRPr="005E3B43" w:rsidRDefault="00230B30" w:rsidP="00763BCF">
            <w:pPr>
              <w:pStyle w:val="ENoteTableText"/>
            </w:pPr>
            <w:r w:rsidRPr="005E3B43">
              <w:t>Sch 1 (</w:t>
            </w:r>
            <w:r w:rsidR="007C3215">
              <w:t>items 1</w:t>
            </w:r>
            <w:r w:rsidR="00634B39" w:rsidRPr="005E3B43">
              <w:t>–</w:t>
            </w:r>
            <w:r w:rsidRPr="005E3B43">
              <w:t xml:space="preserve">8): 1 Nov 2016 (s 2(1) </w:t>
            </w:r>
            <w:r w:rsidR="006B5D8E" w:rsidRPr="005E3B43">
              <w:t>item 2</w:t>
            </w:r>
            <w:r w:rsidRPr="005E3B43">
              <w:t>)</w:t>
            </w:r>
            <w:r w:rsidR="00E648BA" w:rsidRPr="005E3B43">
              <w:br/>
              <w:t>Note: Sch 1 (</w:t>
            </w:r>
            <w:r w:rsidR="007C3215">
              <w:t>items 1</w:t>
            </w:r>
            <w:r w:rsidR="00E648BA" w:rsidRPr="005E3B43">
              <w:t xml:space="preserve">, 4) were disallowed by the Senate on </w:t>
            </w:r>
            <w:r w:rsidR="0039288B" w:rsidRPr="005E3B43">
              <w:t>13 June</w:t>
            </w:r>
            <w:r w:rsidR="00E648BA" w:rsidRPr="005E3B43">
              <w:t xml:space="preserve"> 2017 at 13:07</w:t>
            </w:r>
          </w:p>
        </w:tc>
        <w:tc>
          <w:tcPr>
            <w:tcW w:w="1218" w:type="pct"/>
            <w:tcBorders>
              <w:top w:val="single" w:sz="4" w:space="0" w:color="auto"/>
              <w:bottom w:val="single" w:sz="4" w:space="0" w:color="auto"/>
            </w:tcBorders>
            <w:shd w:val="clear" w:color="auto" w:fill="auto"/>
          </w:tcPr>
          <w:p w14:paraId="337877C5" w14:textId="77777777" w:rsidR="00156DCD" w:rsidRPr="005E3B43" w:rsidRDefault="00230B30" w:rsidP="00763BCF">
            <w:pPr>
              <w:pStyle w:val="ENoteTableText"/>
            </w:pPr>
            <w:r w:rsidRPr="005E3B43">
              <w:t>—</w:t>
            </w:r>
          </w:p>
        </w:tc>
      </w:tr>
      <w:tr w:rsidR="000C2528" w:rsidRPr="005E3B43" w14:paraId="59983008" w14:textId="77777777" w:rsidTr="00A14264">
        <w:trPr>
          <w:cantSplit/>
        </w:trPr>
        <w:tc>
          <w:tcPr>
            <w:tcW w:w="1310" w:type="pct"/>
            <w:tcBorders>
              <w:top w:val="single" w:sz="4" w:space="0" w:color="auto"/>
              <w:bottom w:val="single" w:sz="4" w:space="0" w:color="auto"/>
            </w:tcBorders>
            <w:shd w:val="clear" w:color="auto" w:fill="auto"/>
          </w:tcPr>
          <w:p w14:paraId="65F45A7C" w14:textId="076B2CDB" w:rsidR="000C2528" w:rsidRPr="005E3B43" w:rsidRDefault="000C2528" w:rsidP="00763BCF">
            <w:pPr>
              <w:pStyle w:val="ENoteTableText"/>
            </w:pPr>
            <w:r w:rsidRPr="005E3B43">
              <w:t xml:space="preserve">Therapeutic Goods Legislation Amendment (Fees and Other Measures) </w:t>
            </w:r>
            <w:r w:rsidR="007C3215">
              <w:t>Regulations 2</w:t>
            </w:r>
            <w:r w:rsidRPr="005E3B43">
              <w:t>017</w:t>
            </w:r>
          </w:p>
        </w:tc>
        <w:tc>
          <w:tcPr>
            <w:tcW w:w="1080" w:type="pct"/>
            <w:tcBorders>
              <w:top w:val="single" w:sz="4" w:space="0" w:color="auto"/>
              <w:bottom w:val="single" w:sz="4" w:space="0" w:color="auto"/>
            </w:tcBorders>
            <w:shd w:val="clear" w:color="auto" w:fill="auto"/>
          </w:tcPr>
          <w:p w14:paraId="6A404167" w14:textId="77777777" w:rsidR="000C2528" w:rsidRPr="005E3B43" w:rsidRDefault="000C2528" w:rsidP="00763BCF">
            <w:pPr>
              <w:pStyle w:val="ENoteTableText"/>
            </w:pPr>
            <w:r w:rsidRPr="005E3B43">
              <w:t>19</w:t>
            </w:r>
            <w:r w:rsidR="004E6D00" w:rsidRPr="005E3B43">
              <w:t> </w:t>
            </w:r>
            <w:r w:rsidRPr="005E3B43">
              <w:t>May 2017 (F2017L00552)</w:t>
            </w:r>
          </w:p>
        </w:tc>
        <w:tc>
          <w:tcPr>
            <w:tcW w:w="1392" w:type="pct"/>
            <w:tcBorders>
              <w:top w:val="single" w:sz="4" w:space="0" w:color="auto"/>
              <w:bottom w:val="single" w:sz="4" w:space="0" w:color="auto"/>
            </w:tcBorders>
            <w:shd w:val="clear" w:color="auto" w:fill="auto"/>
          </w:tcPr>
          <w:p w14:paraId="3E19FE02" w14:textId="57F4ECBA" w:rsidR="000C2528" w:rsidRPr="005E3B43" w:rsidRDefault="000C2528" w:rsidP="00763BCF">
            <w:pPr>
              <w:pStyle w:val="ENoteTableText"/>
            </w:pPr>
            <w:r w:rsidRPr="005E3B43">
              <w:t>Sch 1 (</w:t>
            </w:r>
            <w:r w:rsidR="003C0723" w:rsidRPr="005E3B43">
              <w:t>items 3</w:t>
            </w:r>
            <w:r w:rsidRPr="005E3B43">
              <w:t xml:space="preserve">–5): </w:t>
            </w:r>
            <w:r w:rsidR="006B5D8E" w:rsidRPr="005E3B43">
              <w:t>1 July</w:t>
            </w:r>
            <w:r w:rsidRPr="005E3B43">
              <w:t xml:space="preserve"> 2017 (s 2(1) </w:t>
            </w:r>
            <w:r w:rsidR="007C3215">
              <w:t>item 1</w:t>
            </w:r>
            <w:r w:rsidRPr="005E3B43">
              <w:t>)</w:t>
            </w:r>
          </w:p>
        </w:tc>
        <w:tc>
          <w:tcPr>
            <w:tcW w:w="1218" w:type="pct"/>
            <w:tcBorders>
              <w:top w:val="single" w:sz="4" w:space="0" w:color="auto"/>
              <w:bottom w:val="single" w:sz="4" w:space="0" w:color="auto"/>
            </w:tcBorders>
            <w:shd w:val="clear" w:color="auto" w:fill="auto"/>
          </w:tcPr>
          <w:p w14:paraId="06327AA8" w14:textId="77777777" w:rsidR="000C2528" w:rsidRPr="005E3B43" w:rsidRDefault="000C2528" w:rsidP="00763BCF">
            <w:pPr>
              <w:pStyle w:val="ENoteTableText"/>
            </w:pPr>
            <w:r w:rsidRPr="005E3B43">
              <w:t>—</w:t>
            </w:r>
          </w:p>
        </w:tc>
      </w:tr>
      <w:tr w:rsidR="00A75468" w:rsidRPr="005E3B43" w14:paraId="15878F72" w14:textId="77777777" w:rsidTr="00A14264">
        <w:trPr>
          <w:cantSplit/>
        </w:trPr>
        <w:tc>
          <w:tcPr>
            <w:tcW w:w="1310" w:type="pct"/>
            <w:tcBorders>
              <w:top w:val="single" w:sz="4" w:space="0" w:color="auto"/>
              <w:bottom w:val="nil"/>
            </w:tcBorders>
            <w:shd w:val="clear" w:color="auto" w:fill="auto"/>
          </w:tcPr>
          <w:p w14:paraId="3E779B2B" w14:textId="02F707F2" w:rsidR="00A75468" w:rsidRPr="005E3B43" w:rsidRDefault="00A75468" w:rsidP="00763BCF">
            <w:pPr>
              <w:pStyle w:val="ENoteTableText"/>
              <w:keepNext/>
            </w:pPr>
            <w:r w:rsidRPr="005E3B43">
              <w:t>Therapeutic Goods Legislation Amendment (2017 Measures No.</w:t>
            </w:r>
            <w:r w:rsidR="004E6D00" w:rsidRPr="005E3B43">
              <w:t> </w:t>
            </w:r>
            <w:r w:rsidRPr="005E3B43">
              <w:t xml:space="preserve">1) </w:t>
            </w:r>
            <w:r w:rsidR="007C3215">
              <w:t>Regulations 2</w:t>
            </w:r>
            <w:r w:rsidRPr="005E3B43">
              <w:t>017</w:t>
            </w:r>
          </w:p>
        </w:tc>
        <w:tc>
          <w:tcPr>
            <w:tcW w:w="1080" w:type="pct"/>
            <w:tcBorders>
              <w:top w:val="single" w:sz="4" w:space="0" w:color="auto"/>
              <w:bottom w:val="nil"/>
            </w:tcBorders>
            <w:shd w:val="clear" w:color="auto" w:fill="auto"/>
          </w:tcPr>
          <w:p w14:paraId="0D88888E" w14:textId="77777777" w:rsidR="00A75468" w:rsidRPr="005E3B43" w:rsidRDefault="00A75468" w:rsidP="00763BCF">
            <w:pPr>
              <w:pStyle w:val="ENoteTableText"/>
              <w:keepNext/>
            </w:pPr>
            <w:r w:rsidRPr="005E3B43">
              <w:t>30</w:t>
            </w:r>
            <w:r w:rsidR="004E6D00" w:rsidRPr="005E3B43">
              <w:t> </w:t>
            </w:r>
            <w:r w:rsidRPr="005E3B43">
              <w:t>June 2017 (F2017L00853)</w:t>
            </w:r>
          </w:p>
        </w:tc>
        <w:tc>
          <w:tcPr>
            <w:tcW w:w="1392" w:type="pct"/>
            <w:tcBorders>
              <w:top w:val="single" w:sz="4" w:space="0" w:color="auto"/>
              <w:bottom w:val="nil"/>
            </w:tcBorders>
            <w:shd w:val="clear" w:color="auto" w:fill="auto"/>
          </w:tcPr>
          <w:p w14:paraId="49EB7173" w14:textId="6E39C068" w:rsidR="00A75468" w:rsidRPr="005E3B43" w:rsidRDefault="00A75468" w:rsidP="00763BCF">
            <w:pPr>
              <w:pStyle w:val="ENoteTableText"/>
              <w:keepNext/>
            </w:pPr>
            <w:r w:rsidRPr="005E3B43">
              <w:t>Sch 1 (</w:t>
            </w:r>
            <w:r w:rsidR="007C3215">
              <w:t>items 1</w:t>
            </w:r>
            <w:r w:rsidRPr="005E3B43">
              <w:t>–3), Sch 2 (</w:t>
            </w:r>
            <w:r w:rsidR="003774CD" w:rsidRPr="005E3B43">
              <w:t>items 7</w:t>
            </w:r>
            <w:r w:rsidRPr="005E3B43">
              <w:t>–19), Sch 3–5, Sch 6 (</w:t>
            </w:r>
            <w:r w:rsidR="006B5D8E" w:rsidRPr="005E3B43">
              <w:t>item 2</w:t>
            </w:r>
            <w:r w:rsidRPr="005E3B43">
              <w:t>), Sch 7, Sch 8 (</w:t>
            </w:r>
            <w:r w:rsidR="003774CD" w:rsidRPr="005E3B43">
              <w:t>items 7</w:t>
            </w:r>
            <w:r w:rsidRPr="005E3B43">
              <w:t xml:space="preserve">–9) and Sch 9: </w:t>
            </w:r>
            <w:r w:rsidR="006B5D8E" w:rsidRPr="005E3B43">
              <w:t>1 July</w:t>
            </w:r>
            <w:r w:rsidRPr="005E3B43">
              <w:t xml:space="preserve"> 2017 (s 2(1) </w:t>
            </w:r>
            <w:r w:rsidR="007C3215">
              <w:t>items 2</w:t>
            </w:r>
            <w:r w:rsidRPr="005E3B43">
              <w:t>, 4)</w:t>
            </w:r>
            <w:r w:rsidRPr="005E3B43">
              <w:br/>
              <w:t>Sch 1 (</w:t>
            </w:r>
            <w:r w:rsidR="009D7AE0" w:rsidRPr="005E3B43">
              <w:t>items 4</w:t>
            </w:r>
            <w:r w:rsidRPr="005E3B43">
              <w:t xml:space="preserve">–7): </w:t>
            </w:r>
            <w:r w:rsidR="00BA5D45" w:rsidRPr="005E3B43">
              <w:t>4 Dec 2017</w:t>
            </w:r>
            <w:r w:rsidRPr="005E3B43">
              <w:t xml:space="preserve"> (s 2(1) </w:t>
            </w:r>
            <w:r w:rsidR="006B5D8E" w:rsidRPr="005E3B43">
              <w:t>item 3</w:t>
            </w:r>
            <w:r w:rsidRPr="005E3B43">
              <w:t>)</w:t>
            </w:r>
          </w:p>
        </w:tc>
        <w:tc>
          <w:tcPr>
            <w:tcW w:w="1218" w:type="pct"/>
            <w:tcBorders>
              <w:top w:val="single" w:sz="4" w:space="0" w:color="auto"/>
              <w:bottom w:val="nil"/>
            </w:tcBorders>
            <w:shd w:val="clear" w:color="auto" w:fill="auto"/>
          </w:tcPr>
          <w:p w14:paraId="686C15A7" w14:textId="77777777" w:rsidR="00A75468" w:rsidRPr="005E3B43" w:rsidRDefault="00A75468" w:rsidP="00763BCF">
            <w:pPr>
              <w:pStyle w:val="ENoteTableText"/>
              <w:keepNext/>
            </w:pPr>
            <w:r w:rsidRPr="005E3B43">
              <w:t>—</w:t>
            </w:r>
          </w:p>
        </w:tc>
      </w:tr>
      <w:tr w:rsidR="00BA5D45" w:rsidRPr="005E3B43" w14:paraId="7192EEF4" w14:textId="77777777" w:rsidTr="00A14264">
        <w:trPr>
          <w:cantSplit/>
        </w:trPr>
        <w:tc>
          <w:tcPr>
            <w:tcW w:w="1310" w:type="pct"/>
            <w:tcBorders>
              <w:top w:val="nil"/>
              <w:bottom w:val="nil"/>
            </w:tcBorders>
            <w:shd w:val="clear" w:color="auto" w:fill="auto"/>
          </w:tcPr>
          <w:p w14:paraId="0C96D1D9" w14:textId="77777777" w:rsidR="00BA5D45" w:rsidRPr="005E3B43" w:rsidRDefault="00BA5D45" w:rsidP="00763BCF">
            <w:pPr>
              <w:pStyle w:val="ENoteTTIndentHeading"/>
            </w:pPr>
            <w:r w:rsidRPr="005E3B43">
              <w:t>as amended by</w:t>
            </w:r>
          </w:p>
        </w:tc>
        <w:tc>
          <w:tcPr>
            <w:tcW w:w="1080" w:type="pct"/>
            <w:tcBorders>
              <w:top w:val="nil"/>
              <w:bottom w:val="nil"/>
            </w:tcBorders>
            <w:shd w:val="clear" w:color="auto" w:fill="auto"/>
          </w:tcPr>
          <w:p w14:paraId="10FD259C" w14:textId="77777777" w:rsidR="00BA5D45" w:rsidRPr="005E3B43" w:rsidRDefault="00BA5D45" w:rsidP="00763BCF">
            <w:pPr>
              <w:pStyle w:val="ENoteTableText"/>
            </w:pPr>
          </w:p>
        </w:tc>
        <w:tc>
          <w:tcPr>
            <w:tcW w:w="1392" w:type="pct"/>
            <w:tcBorders>
              <w:top w:val="nil"/>
              <w:bottom w:val="nil"/>
            </w:tcBorders>
            <w:shd w:val="clear" w:color="auto" w:fill="auto"/>
          </w:tcPr>
          <w:p w14:paraId="5A9898DA" w14:textId="77777777" w:rsidR="00BA5D45" w:rsidRPr="005E3B43" w:rsidRDefault="00BA5D45" w:rsidP="00763BCF">
            <w:pPr>
              <w:pStyle w:val="ENoteTableText"/>
            </w:pPr>
          </w:p>
        </w:tc>
        <w:tc>
          <w:tcPr>
            <w:tcW w:w="1218" w:type="pct"/>
            <w:tcBorders>
              <w:top w:val="nil"/>
              <w:bottom w:val="nil"/>
            </w:tcBorders>
            <w:shd w:val="clear" w:color="auto" w:fill="auto"/>
          </w:tcPr>
          <w:p w14:paraId="2B2CD277" w14:textId="77777777" w:rsidR="00BA5D45" w:rsidRPr="005E3B43" w:rsidRDefault="00BA5D45" w:rsidP="00763BCF">
            <w:pPr>
              <w:pStyle w:val="ENoteTableText"/>
            </w:pPr>
          </w:p>
        </w:tc>
      </w:tr>
      <w:tr w:rsidR="00BA5D45" w:rsidRPr="005E3B43" w14:paraId="22F0CA81" w14:textId="77777777" w:rsidTr="00A14264">
        <w:trPr>
          <w:cantSplit/>
        </w:trPr>
        <w:tc>
          <w:tcPr>
            <w:tcW w:w="1310" w:type="pct"/>
            <w:tcBorders>
              <w:top w:val="nil"/>
              <w:bottom w:val="single" w:sz="4" w:space="0" w:color="auto"/>
            </w:tcBorders>
            <w:shd w:val="clear" w:color="auto" w:fill="auto"/>
          </w:tcPr>
          <w:p w14:paraId="2CE5EAAC" w14:textId="2D9DC8C8" w:rsidR="00BA5D45" w:rsidRPr="005E3B43" w:rsidRDefault="00BA5D45" w:rsidP="00763BCF">
            <w:pPr>
              <w:pStyle w:val="ENoteTTi"/>
              <w:keepNext w:val="0"/>
            </w:pPr>
            <w:r w:rsidRPr="005E3B43">
              <w:t>Therapeutic Goods Legislation Amendment (2017 Measures No.</w:t>
            </w:r>
            <w:r w:rsidR="004E6D00" w:rsidRPr="005E3B43">
              <w:t> </w:t>
            </w:r>
            <w:r w:rsidRPr="005E3B43">
              <w:t xml:space="preserve">2) </w:t>
            </w:r>
            <w:r w:rsidR="007C3215">
              <w:t>Regulations 2</w:t>
            </w:r>
            <w:r w:rsidRPr="005E3B43">
              <w:t>017</w:t>
            </w:r>
          </w:p>
        </w:tc>
        <w:tc>
          <w:tcPr>
            <w:tcW w:w="1080" w:type="pct"/>
            <w:tcBorders>
              <w:top w:val="nil"/>
              <w:bottom w:val="single" w:sz="4" w:space="0" w:color="auto"/>
            </w:tcBorders>
            <w:shd w:val="clear" w:color="auto" w:fill="auto"/>
          </w:tcPr>
          <w:p w14:paraId="0B688ED8" w14:textId="77777777" w:rsidR="00BA5D45" w:rsidRPr="005E3B43" w:rsidRDefault="00BA5D45" w:rsidP="00763BCF">
            <w:pPr>
              <w:pStyle w:val="ENoteTableText"/>
            </w:pPr>
            <w:r w:rsidRPr="005E3B43">
              <w:t>1 Dec 2017 (F2017L01561)</w:t>
            </w:r>
          </w:p>
        </w:tc>
        <w:tc>
          <w:tcPr>
            <w:tcW w:w="1392" w:type="pct"/>
            <w:tcBorders>
              <w:top w:val="nil"/>
              <w:bottom w:val="single" w:sz="4" w:space="0" w:color="auto"/>
            </w:tcBorders>
            <w:shd w:val="clear" w:color="auto" w:fill="auto"/>
          </w:tcPr>
          <w:p w14:paraId="453CBD73" w14:textId="7E08DF39" w:rsidR="00BA5D45" w:rsidRPr="005E3B43" w:rsidRDefault="00BA5D45" w:rsidP="00763BCF">
            <w:pPr>
              <w:pStyle w:val="ENoteTableText"/>
            </w:pPr>
            <w:r w:rsidRPr="005E3B43">
              <w:t>Sch 2 (</w:t>
            </w:r>
            <w:r w:rsidR="007C3215">
              <w:t>item 1</w:t>
            </w:r>
            <w:r w:rsidRPr="005E3B43">
              <w:t xml:space="preserve">): 2 Dec 2017 (s 2(1) </w:t>
            </w:r>
            <w:r w:rsidR="006B5D8E" w:rsidRPr="005E3B43">
              <w:t>item 3</w:t>
            </w:r>
            <w:r w:rsidRPr="005E3B43">
              <w:t>)</w:t>
            </w:r>
          </w:p>
        </w:tc>
        <w:tc>
          <w:tcPr>
            <w:tcW w:w="1218" w:type="pct"/>
            <w:tcBorders>
              <w:top w:val="nil"/>
              <w:bottom w:val="single" w:sz="4" w:space="0" w:color="auto"/>
            </w:tcBorders>
            <w:shd w:val="clear" w:color="auto" w:fill="auto"/>
          </w:tcPr>
          <w:p w14:paraId="463CBB78" w14:textId="77777777" w:rsidR="00BA5D45" w:rsidRPr="005E3B43" w:rsidRDefault="00BA5D45" w:rsidP="00763BCF">
            <w:pPr>
              <w:pStyle w:val="ENoteTableText"/>
            </w:pPr>
            <w:r w:rsidRPr="005E3B43">
              <w:t>—</w:t>
            </w:r>
          </w:p>
        </w:tc>
      </w:tr>
      <w:tr w:rsidR="00BA5D45" w:rsidRPr="005E3B43" w14:paraId="21507F31" w14:textId="77777777" w:rsidTr="00A14264">
        <w:trPr>
          <w:cantSplit/>
        </w:trPr>
        <w:tc>
          <w:tcPr>
            <w:tcW w:w="1310" w:type="pct"/>
            <w:tcBorders>
              <w:top w:val="single" w:sz="4" w:space="0" w:color="auto"/>
              <w:bottom w:val="single" w:sz="4" w:space="0" w:color="auto"/>
            </w:tcBorders>
            <w:shd w:val="clear" w:color="auto" w:fill="auto"/>
          </w:tcPr>
          <w:p w14:paraId="0A957D86" w14:textId="55FA7EA2" w:rsidR="00BA5D45" w:rsidRPr="005E3B43" w:rsidRDefault="00BA5D45" w:rsidP="00763BCF">
            <w:pPr>
              <w:pStyle w:val="ENoteTableText"/>
            </w:pPr>
            <w:r w:rsidRPr="005E3B43">
              <w:lastRenderedPageBreak/>
              <w:t>Therapeutic Goods Legislation Amendment (2017 Measures No.</w:t>
            </w:r>
            <w:r w:rsidR="004E6D00" w:rsidRPr="005E3B43">
              <w:t> </w:t>
            </w:r>
            <w:r w:rsidRPr="005E3B43">
              <w:t xml:space="preserve">2) </w:t>
            </w:r>
            <w:r w:rsidR="007C3215">
              <w:t>Regulations 2</w:t>
            </w:r>
            <w:r w:rsidRPr="005E3B43">
              <w:t>017</w:t>
            </w:r>
          </w:p>
        </w:tc>
        <w:tc>
          <w:tcPr>
            <w:tcW w:w="1080" w:type="pct"/>
            <w:tcBorders>
              <w:top w:val="single" w:sz="4" w:space="0" w:color="auto"/>
              <w:bottom w:val="single" w:sz="4" w:space="0" w:color="auto"/>
            </w:tcBorders>
            <w:shd w:val="clear" w:color="auto" w:fill="auto"/>
          </w:tcPr>
          <w:p w14:paraId="23FD3C2C" w14:textId="77777777" w:rsidR="00BA5D45" w:rsidRPr="005E3B43" w:rsidRDefault="00BA5D45" w:rsidP="00763BCF">
            <w:pPr>
              <w:pStyle w:val="ENoteTableText"/>
            </w:pPr>
            <w:r w:rsidRPr="005E3B43">
              <w:t>1 Dec 2017 (F2017L01561)</w:t>
            </w:r>
          </w:p>
        </w:tc>
        <w:tc>
          <w:tcPr>
            <w:tcW w:w="1392" w:type="pct"/>
            <w:tcBorders>
              <w:top w:val="single" w:sz="4" w:space="0" w:color="auto"/>
              <w:bottom w:val="single" w:sz="4" w:space="0" w:color="auto"/>
            </w:tcBorders>
            <w:shd w:val="clear" w:color="auto" w:fill="auto"/>
          </w:tcPr>
          <w:p w14:paraId="44FA2A31" w14:textId="1CEDA2C9" w:rsidR="00BA5D45" w:rsidRPr="005E3B43" w:rsidRDefault="00BD3E81" w:rsidP="00763BCF">
            <w:pPr>
              <w:pStyle w:val="ENoteTableText"/>
            </w:pPr>
            <w:r w:rsidRPr="005E3B43">
              <w:t>Sch 2 (</w:t>
            </w:r>
            <w:r w:rsidR="007C3215">
              <w:t>items 2</w:t>
            </w:r>
            <w:r w:rsidRPr="005E3B43">
              <w:t xml:space="preserve">–12): 4 Dec 2017 (s 2(1) </w:t>
            </w:r>
            <w:r w:rsidR="006B5D8E" w:rsidRPr="005E3B43">
              <w:t>item 4</w:t>
            </w:r>
            <w:r w:rsidRPr="005E3B43">
              <w:t>)</w:t>
            </w:r>
            <w:r w:rsidRPr="005E3B43">
              <w:br/>
              <w:t xml:space="preserve">Sch 3: 1 Jan 2018 (s 2(1) </w:t>
            </w:r>
            <w:r w:rsidR="006B5D8E" w:rsidRPr="005E3B43">
              <w:t>item 5</w:t>
            </w:r>
            <w:r w:rsidRPr="005E3B43">
              <w:t>)</w:t>
            </w:r>
            <w:r w:rsidR="00522F41" w:rsidRPr="005E3B43">
              <w:br/>
              <w:t>Sch 4 (</w:t>
            </w:r>
            <w:r w:rsidR="007C3215">
              <w:t>items 1</w:t>
            </w:r>
            <w:r w:rsidR="00522F41" w:rsidRPr="005E3B43">
              <w:t>–4, 6, 11–17): 2 Dec 2017 (s 2(1) item</w:t>
            </w:r>
            <w:r w:rsidR="004E6D00" w:rsidRPr="005E3B43">
              <w:t> </w:t>
            </w:r>
            <w:r w:rsidR="00522F41" w:rsidRPr="005E3B43">
              <w:t>6)</w:t>
            </w:r>
          </w:p>
        </w:tc>
        <w:tc>
          <w:tcPr>
            <w:tcW w:w="1218" w:type="pct"/>
            <w:tcBorders>
              <w:top w:val="single" w:sz="4" w:space="0" w:color="auto"/>
              <w:bottom w:val="single" w:sz="4" w:space="0" w:color="auto"/>
            </w:tcBorders>
            <w:shd w:val="clear" w:color="auto" w:fill="auto"/>
          </w:tcPr>
          <w:p w14:paraId="4C317B35" w14:textId="77777777" w:rsidR="00BA5D45" w:rsidRPr="005E3B43" w:rsidRDefault="00BD3E81" w:rsidP="00763BCF">
            <w:pPr>
              <w:pStyle w:val="ENoteTableText"/>
            </w:pPr>
            <w:r w:rsidRPr="005E3B43">
              <w:t>—</w:t>
            </w:r>
          </w:p>
        </w:tc>
      </w:tr>
      <w:tr w:rsidR="00F012F0" w:rsidRPr="005E3B43" w14:paraId="1E0062F0" w14:textId="77777777" w:rsidTr="00A14264">
        <w:trPr>
          <w:cantSplit/>
        </w:trPr>
        <w:tc>
          <w:tcPr>
            <w:tcW w:w="1310" w:type="pct"/>
            <w:tcBorders>
              <w:top w:val="single" w:sz="4" w:space="0" w:color="auto"/>
              <w:bottom w:val="single" w:sz="4" w:space="0" w:color="auto"/>
            </w:tcBorders>
            <w:shd w:val="clear" w:color="auto" w:fill="auto"/>
          </w:tcPr>
          <w:p w14:paraId="282C3399" w14:textId="6E44B864" w:rsidR="00F012F0" w:rsidRPr="005E3B43" w:rsidRDefault="00F012F0" w:rsidP="00763BCF">
            <w:pPr>
              <w:pStyle w:val="ENoteTableText"/>
            </w:pPr>
            <w:r w:rsidRPr="005E3B43">
              <w:rPr>
                <w:rFonts w:eastAsiaTheme="minorHAnsi"/>
              </w:rPr>
              <w:t>Therapeutic Goods Legislation Amendment (2018 Measures No.</w:t>
            </w:r>
            <w:r w:rsidR="004E6D00" w:rsidRPr="005E3B43">
              <w:rPr>
                <w:rFonts w:eastAsiaTheme="minorHAnsi"/>
              </w:rPr>
              <w:t> </w:t>
            </w:r>
            <w:r w:rsidRPr="005E3B43">
              <w:rPr>
                <w:rFonts w:eastAsiaTheme="minorHAnsi"/>
              </w:rPr>
              <w:t xml:space="preserve">1) </w:t>
            </w:r>
            <w:r w:rsidR="007C3215">
              <w:rPr>
                <w:rFonts w:eastAsiaTheme="minorHAnsi"/>
              </w:rPr>
              <w:t>Regulations 2</w:t>
            </w:r>
            <w:r w:rsidRPr="005E3B43">
              <w:rPr>
                <w:rFonts w:eastAsiaTheme="minorHAnsi"/>
              </w:rPr>
              <w:t>018</w:t>
            </w:r>
          </w:p>
        </w:tc>
        <w:tc>
          <w:tcPr>
            <w:tcW w:w="1080" w:type="pct"/>
            <w:tcBorders>
              <w:top w:val="single" w:sz="4" w:space="0" w:color="auto"/>
              <w:bottom w:val="single" w:sz="4" w:space="0" w:color="auto"/>
            </w:tcBorders>
            <w:shd w:val="clear" w:color="auto" w:fill="auto"/>
          </w:tcPr>
          <w:p w14:paraId="42C44248" w14:textId="77777777" w:rsidR="00F012F0" w:rsidRPr="005E3B43" w:rsidRDefault="00F012F0" w:rsidP="00763BCF">
            <w:pPr>
              <w:pStyle w:val="ENoteTableText"/>
            </w:pPr>
            <w:r w:rsidRPr="005E3B43">
              <w:t>19 Mar 2018 (F2018L00311)</w:t>
            </w:r>
          </w:p>
        </w:tc>
        <w:tc>
          <w:tcPr>
            <w:tcW w:w="1392" w:type="pct"/>
            <w:tcBorders>
              <w:top w:val="single" w:sz="4" w:space="0" w:color="auto"/>
              <w:bottom w:val="single" w:sz="4" w:space="0" w:color="auto"/>
            </w:tcBorders>
            <w:shd w:val="clear" w:color="auto" w:fill="auto"/>
          </w:tcPr>
          <w:p w14:paraId="7E2FABDB" w14:textId="29E761B0" w:rsidR="00F012F0" w:rsidRPr="005E3B43" w:rsidRDefault="002C3282" w:rsidP="00763BCF">
            <w:pPr>
              <w:pStyle w:val="ENoteTableText"/>
            </w:pPr>
            <w:r w:rsidRPr="005E3B43">
              <w:t xml:space="preserve">Sch 1, Sch 2, </w:t>
            </w:r>
            <w:r w:rsidR="005737B5" w:rsidRPr="005E3B43">
              <w:t>Sch 4 (</w:t>
            </w:r>
            <w:r w:rsidR="007C3215">
              <w:t>items 1</w:t>
            </w:r>
            <w:r w:rsidR="005705CC" w:rsidRPr="005E3B43">
              <w:t>–</w:t>
            </w:r>
            <w:r w:rsidR="005737B5" w:rsidRPr="005E3B43">
              <w:t xml:space="preserve">11), </w:t>
            </w:r>
            <w:r w:rsidRPr="005E3B43">
              <w:t>Sch 5</w:t>
            </w:r>
            <w:r w:rsidR="00564EBD" w:rsidRPr="005E3B43">
              <w:t xml:space="preserve"> and </w:t>
            </w:r>
            <w:r w:rsidRPr="005E3B43">
              <w:t>Sch 6 (items</w:t>
            </w:r>
            <w:r w:rsidR="004E6D00" w:rsidRPr="005E3B43">
              <w:t> </w:t>
            </w:r>
            <w:r w:rsidRPr="005E3B43">
              <w:t>9–4</w:t>
            </w:r>
            <w:r w:rsidR="00372089" w:rsidRPr="005E3B43">
              <w:t>2</w:t>
            </w:r>
            <w:r w:rsidRPr="005E3B43">
              <w:t>): 20</w:t>
            </w:r>
            <w:r w:rsidR="007E09E9" w:rsidRPr="005E3B43">
              <w:t> </w:t>
            </w:r>
            <w:r w:rsidR="00564EBD" w:rsidRPr="005E3B43">
              <w:t>Mar</w:t>
            </w:r>
            <w:r w:rsidRPr="005E3B43">
              <w:t xml:space="preserve"> 2018 (s 2(1) </w:t>
            </w:r>
            <w:r w:rsidR="007C3215">
              <w:t>items 2</w:t>
            </w:r>
            <w:r w:rsidRPr="005E3B43">
              <w:t>, 3, 5</w:t>
            </w:r>
            <w:r w:rsidR="00471C06" w:rsidRPr="005E3B43">
              <w:t xml:space="preserve">, </w:t>
            </w:r>
            <w:r w:rsidR="005737B5" w:rsidRPr="005E3B43">
              <w:t>8</w:t>
            </w:r>
            <w:r w:rsidRPr="005E3B43">
              <w:t>)</w:t>
            </w:r>
            <w:r w:rsidRPr="005E3B43">
              <w:br/>
            </w:r>
            <w:r w:rsidR="00F012F0" w:rsidRPr="005E3B43">
              <w:t>Sch 4 (</w:t>
            </w:r>
            <w:r w:rsidR="007C3215">
              <w:t>items 1</w:t>
            </w:r>
            <w:r w:rsidR="00F012F0" w:rsidRPr="005E3B43">
              <w:t>2–16</w:t>
            </w:r>
            <w:r w:rsidR="005737B5" w:rsidRPr="005E3B43">
              <w:t>)</w:t>
            </w:r>
            <w:r w:rsidR="00F012F0" w:rsidRPr="005E3B43">
              <w:t xml:space="preserve">: </w:t>
            </w:r>
            <w:r w:rsidR="006B5D8E" w:rsidRPr="005E3B43">
              <w:t>1 July</w:t>
            </w:r>
            <w:r w:rsidR="00F012F0" w:rsidRPr="005E3B43">
              <w:t xml:space="preserve"> 2020 (s 2(1) item</w:t>
            </w:r>
            <w:r w:rsidR="004E6D00" w:rsidRPr="005E3B43">
              <w:t> </w:t>
            </w:r>
            <w:r w:rsidR="00F012F0" w:rsidRPr="005E3B43">
              <w:t>6)</w:t>
            </w:r>
            <w:r w:rsidR="00F012F0" w:rsidRPr="005E3B43">
              <w:br/>
              <w:t>Sch 4 (</w:t>
            </w:r>
            <w:r w:rsidR="007C3215">
              <w:t>items 1</w:t>
            </w:r>
            <w:r w:rsidR="00F012F0" w:rsidRPr="005E3B43">
              <w:t>7</w:t>
            </w:r>
            <w:r w:rsidR="005737B5" w:rsidRPr="005E3B43">
              <w:t>–</w:t>
            </w:r>
            <w:r w:rsidR="00F012F0" w:rsidRPr="005E3B43">
              <w:t xml:space="preserve">23): </w:t>
            </w:r>
            <w:r w:rsidR="006B5D8E" w:rsidRPr="005E3B43">
              <w:t>1 July</w:t>
            </w:r>
            <w:r w:rsidR="00F012F0" w:rsidRPr="005E3B43">
              <w:t xml:space="preserve"> 2018 (s 2(1) </w:t>
            </w:r>
            <w:r w:rsidR="00BE7FAC" w:rsidRPr="005E3B43">
              <w:t>item 7</w:t>
            </w:r>
            <w:r w:rsidR="00F012F0" w:rsidRPr="005E3B43">
              <w:t>)</w:t>
            </w:r>
          </w:p>
        </w:tc>
        <w:tc>
          <w:tcPr>
            <w:tcW w:w="1218" w:type="pct"/>
            <w:tcBorders>
              <w:top w:val="single" w:sz="4" w:space="0" w:color="auto"/>
              <w:bottom w:val="single" w:sz="4" w:space="0" w:color="auto"/>
            </w:tcBorders>
            <w:shd w:val="clear" w:color="auto" w:fill="auto"/>
          </w:tcPr>
          <w:p w14:paraId="05E0D963" w14:textId="77777777" w:rsidR="00F012F0" w:rsidRPr="005E3B43" w:rsidRDefault="00273A04" w:rsidP="00763BCF">
            <w:pPr>
              <w:pStyle w:val="ENoteTableText"/>
            </w:pPr>
            <w:r w:rsidRPr="005E3B43">
              <w:t>—</w:t>
            </w:r>
          </w:p>
        </w:tc>
      </w:tr>
      <w:tr w:rsidR="00B00472" w:rsidRPr="005E3B43" w14:paraId="42D40E01" w14:textId="77777777" w:rsidTr="00A14264">
        <w:trPr>
          <w:cantSplit/>
        </w:trPr>
        <w:tc>
          <w:tcPr>
            <w:tcW w:w="1310" w:type="pct"/>
            <w:tcBorders>
              <w:top w:val="single" w:sz="4" w:space="0" w:color="auto"/>
              <w:bottom w:val="single" w:sz="4" w:space="0" w:color="auto"/>
            </w:tcBorders>
            <w:shd w:val="clear" w:color="auto" w:fill="auto"/>
          </w:tcPr>
          <w:p w14:paraId="0FE05EF7" w14:textId="31D3EA80" w:rsidR="00B00472" w:rsidRPr="005E3B43" w:rsidRDefault="00B00472" w:rsidP="00763BCF">
            <w:pPr>
              <w:pStyle w:val="ENoteTableText"/>
              <w:rPr>
                <w:rFonts w:eastAsiaTheme="minorHAnsi"/>
              </w:rPr>
            </w:pPr>
            <w:r w:rsidRPr="005E3B43">
              <w:t xml:space="preserve">Therapeutic Goods Legislation Amendment (Exempt Devices and Goods) </w:t>
            </w:r>
            <w:r w:rsidR="007C3215">
              <w:t>Regulations 2</w:t>
            </w:r>
            <w:r w:rsidRPr="005E3B43">
              <w:t>018</w:t>
            </w:r>
          </w:p>
        </w:tc>
        <w:tc>
          <w:tcPr>
            <w:tcW w:w="1080" w:type="pct"/>
            <w:tcBorders>
              <w:top w:val="single" w:sz="4" w:space="0" w:color="auto"/>
              <w:bottom w:val="single" w:sz="4" w:space="0" w:color="auto"/>
            </w:tcBorders>
            <w:shd w:val="clear" w:color="auto" w:fill="auto"/>
          </w:tcPr>
          <w:p w14:paraId="2DA7F20A" w14:textId="77777777" w:rsidR="00B00472" w:rsidRPr="005E3B43" w:rsidRDefault="00B00472" w:rsidP="00763BCF">
            <w:pPr>
              <w:pStyle w:val="ENoteTableText"/>
            </w:pPr>
            <w:r w:rsidRPr="005E3B43">
              <w:t>26 Apr 2018 (F2018L00516)</w:t>
            </w:r>
          </w:p>
        </w:tc>
        <w:tc>
          <w:tcPr>
            <w:tcW w:w="1392" w:type="pct"/>
            <w:tcBorders>
              <w:top w:val="single" w:sz="4" w:space="0" w:color="auto"/>
              <w:bottom w:val="single" w:sz="4" w:space="0" w:color="auto"/>
            </w:tcBorders>
            <w:shd w:val="clear" w:color="auto" w:fill="auto"/>
          </w:tcPr>
          <w:p w14:paraId="1EFD27FA" w14:textId="03F9D959" w:rsidR="00B00472" w:rsidRPr="005E3B43" w:rsidRDefault="00B00472" w:rsidP="00763BCF">
            <w:pPr>
              <w:pStyle w:val="ENoteTableText"/>
            </w:pPr>
            <w:r w:rsidRPr="005E3B43">
              <w:t>Sch 1 (items</w:t>
            </w:r>
            <w:r w:rsidR="004E6D00" w:rsidRPr="005E3B43">
              <w:t> </w:t>
            </w:r>
            <w:r w:rsidRPr="005E3B43">
              <w:t xml:space="preserve">6–10): 27 Apr 2018 (s 2(1) </w:t>
            </w:r>
            <w:r w:rsidR="007C3215">
              <w:t>item 1</w:t>
            </w:r>
            <w:r w:rsidRPr="005E3B43">
              <w:t>)</w:t>
            </w:r>
          </w:p>
        </w:tc>
        <w:tc>
          <w:tcPr>
            <w:tcW w:w="1218" w:type="pct"/>
            <w:tcBorders>
              <w:top w:val="single" w:sz="4" w:space="0" w:color="auto"/>
              <w:bottom w:val="single" w:sz="4" w:space="0" w:color="auto"/>
            </w:tcBorders>
            <w:shd w:val="clear" w:color="auto" w:fill="auto"/>
          </w:tcPr>
          <w:p w14:paraId="70F35A17" w14:textId="77777777" w:rsidR="00B00472" w:rsidRPr="005E3B43" w:rsidRDefault="00906AC7" w:rsidP="00763BCF">
            <w:pPr>
              <w:pStyle w:val="ENoteTableText"/>
            </w:pPr>
            <w:r w:rsidRPr="005E3B43">
              <w:t>—</w:t>
            </w:r>
          </w:p>
        </w:tc>
      </w:tr>
      <w:tr w:rsidR="009C3DEE" w:rsidRPr="005E3B43" w14:paraId="1BD1D54B" w14:textId="77777777" w:rsidTr="00A14264">
        <w:trPr>
          <w:cantSplit/>
        </w:trPr>
        <w:tc>
          <w:tcPr>
            <w:tcW w:w="1310" w:type="pct"/>
            <w:tcBorders>
              <w:top w:val="single" w:sz="4" w:space="0" w:color="auto"/>
              <w:bottom w:val="single" w:sz="4" w:space="0" w:color="auto"/>
            </w:tcBorders>
            <w:shd w:val="clear" w:color="auto" w:fill="auto"/>
          </w:tcPr>
          <w:p w14:paraId="5C2A1AB2" w14:textId="5C5FC7D3" w:rsidR="009C3DEE" w:rsidRPr="005E3B43" w:rsidRDefault="009C3DEE" w:rsidP="00763BCF">
            <w:pPr>
              <w:pStyle w:val="ENoteTableText"/>
            </w:pPr>
            <w:r w:rsidRPr="005E3B43">
              <w:t xml:space="preserve">Therapeutic Goods Legislation Amendment (Fees and Other Measures) </w:t>
            </w:r>
            <w:r w:rsidR="007C3215">
              <w:t>Regulations 2</w:t>
            </w:r>
            <w:r w:rsidRPr="005E3B43">
              <w:t>018</w:t>
            </w:r>
          </w:p>
        </w:tc>
        <w:tc>
          <w:tcPr>
            <w:tcW w:w="1080" w:type="pct"/>
            <w:tcBorders>
              <w:top w:val="single" w:sz="4" w:space="0" w:color="auto"/>
              <w:bottom w:val="single" w:sz="4" w:space="0" w:color="auto"/>
            </w:tcBorders>
            <w:shd w:val="clear" w:color="auto" w:fill="auto"/>
          </w:tcPr>
          <w:p w14:paraId="564F12CD" w14:textId="77777777" w:rsidR="009C3DEE" w:rsidRPr="005E3B43" w:rsidRDefault="009C3DEE" w:rsidP="00763BCF">
            <w:pPr>
              <w:pStyle w:val="ENoteTableText"/>
            </w:pPr>
            <w:r w:rsidRPr="005E3B43">
              <w:t>12</w:t>
            </w:r>
            <w:r w:rsidR="004E6D00" w:rsidRPr="005E3B43">
              <w:t> </w:t>
            </w:r>
            <w:r w:rsidRPr="005E3B43">
              <w:t>June 2018 (F2018L00759)</w:t>
            </w:r>
          </w:p>
        </w:tc>
        <w:tc>
          <w:tcPr>
            <w:tcW w:w="1392" w:type="pct"/>
            <w:tcBorders>
              <w:top w:val="single" w:sz="4" w:space="0" w:color="auto"/>
              <w:bottom w:val="single" w:sz="4" w:space="0" w:color="auto"/>
            </w:tcBorders>
            <w:shd w:val="clear" w:color="auto" w:fill="auto"/>
          </w:tcPr>
          <w:p w14:paraId="32913125" w14:textId="5EE712FA" w:rsidR="009C3DEE" w:rsidRPr="005E3B43" w:rsidRDefault="009C3DEE" w:rsidP="00763BCF">
            <w:pPr>
              <w:pStyle w:val="ENoteTableText"/>
            </w:pPr>
            <w:r w:rsidRPr="005E3B43">
              <w:t>Sch 1 (</w:t>
            </w:r>
            <w:r w:rsidR="00842CCD" w:rsidRPr="005E3B43">
              <w:t>items 5</w:t>
            </w:r>
            <w:r w:rsidRPr="005E3B43">
              <w:t xml:space="preserve">–16): </w:t>
            </w:r>
            <w:r w:rsidR="006B5D8E" w:rsidRPr="005E3B43">
              <w:t>1 July</w:t>
            </w:r>
            <w:r w:rsidRPr="005E3B43">
              <w:t xml:space="preserve"> 2018 (s 2(1) </w:t>
            </w:r>
            <w:r w:rsidR="006B5D8E" w:rsidRPr="005E3B43">
              <w:t>item 2</w:t>
            </w:r>
            <w:r w:rsidRPr="005E3B43">
              <w:t>)</w:t>
            </w:r>
            <w:r w:rsidRPr="005E3B43">
              <w:br/>
              <w:t>Sch 1 (</w:t>
            </w:r>
            <w:r w:rsidR="007C3215">
              <w:t>items 1</w:t>
            </w:r>
            <w:r w:rsidRPr="005E3B43">
              <w:t xml:space="preserve">7, 18): </w:t>
            </w:r>
            <w:r w:rsidR="006B5D8E" w:rsidRPr="005E3B43">
              <w:t>1 July</w:t>
            </w:r>
            <w:r w:rsidRPr="005E3B43">
              <w:t xml:space="preserve"> 2019 (s 2(1) </w:t>
            </w:r>
            <w:r w:rsidR="006B5D8E" w:rsidRPr="005E3B43">
              <w:t>item 3</w:t>
            </w:r>
            <w:r w:rsidRPr="005E3B43">
              <w:t>)</w:t>
            </w:r>
          </w:p>
        </w:tc>
        <w:tc>
          <w:tcPr>
            <w:tcW w:w="1218" w:type="pct"/>
            <w:tcBorders>
              <w:top w:val="single" w:sz="4" w:space="0" w:color="auto"/>
              <w:bottom w:val="single" w:sz="4" w:space="0" w:color="auto"/>
            </w:tcBorders>
            <w:shd w:val="clear" w:color="auto" w:fill="auto"/>
          </w:tcPr>
          <w:p w14:paraId="071716C9" w14:textId="77777777" w:rsidR="009C3DEE" w:rsidRPr="005E3B43" w:rsidRDefault="009C3DEE" w:rsidP="00763BCF">
            <w:pPr>
              <w:pStyle w:val="ENoteTableText"/>
            </w:pPr>
            <w:r w:rsidRPr="005E3B43">
              <w:t>—</w:t>
            </w:r>
          </w:p>
        </w:tc>
      </w:tr>
      <w:tr w:rsidR="009C3DEE" w:rsidRPr="005E3B43" w14:paraId="4299F8AB" w14:textId="77777777" w:rsidTr="00A14264">
        <w:trPr>
          <w:cantSplit/>
        </w:trPr>
        <w:tc>
          <w:tcPr>
            <w:tcW w:w="1310" w:type="pct"/>
            <w:tcBorders>
              <w:top w:val="single" w:sz="4" w:space="0" w:color="auto"/>
              <w:bottom w:val="single" w:sz="4" w:space="0" w:color="auto"/>
            </w:tcBorders>
            <w:shd w:val="clear" w:color="auto" w:fill="auto"/>
          </w:tcPr>
          <w:p w14:paraId="5BF06188" w14:textId="4C1B5497" w:rsidR="009C3DEE" w:rsidRPr="005E3B43" w:rsidRDefault="00B67D72" w:rsidP="00763BCF">
            <w:pPr>
              <w:pStyle w:val="ENoteTableText"/>
            </w:pPr>
            <w:r w:rsidRPr="005E3B43">
              <w:t>Therapeutic Goods Legislation Amendment (2018 Measures No.</w:t>
            </w:r>
            <w:r w:rsidR="004E6D00" w:rsidRPr="005E3B43">
              <w:t> </w:t>
            </w:r>
            <w:r w:rsidRPr="005E3B43">
              <w:t xml:space="preserve">2) </w:t>
            </w:r>
            <w:r w:rsidR="007C3215">
              <w:t>Regulations 2</w:t>
            </w:r>
            <w:r w:rsidRPr="005E3B43">
              <w:t>018</w:t>
            </w:r>
          </w:p>
        </w:tc>
        <w:tc>
          <w:tcPr>
            <w:tcW w:w="1080" w:type="pct"/>
            <w:tcBorders>
              <w:top w:val="single" w:sz="4" w:space="0" w:color="auto"/>
              <w:bottom w:val="single" w:sz="4" w:space="0" w:color="auto"/>
            </w:tcBorders>
            <w:shd w:val="clear" w:color="auto" w:fill="auto"/>
          </w:tcPr>
          <w:p w14:paraId="2FDA7C98" w14:textId="77777777" w:rsidR="009C3DEE" w:rsidRPr="005E3B43" w:rsidRDefault="00B67D72" w:rsidP="00763BCF">
            <w:pPr>
              <w:pStyle w:val="ENoteTableText"/>
            </w:pPr>
            <w:r w:rsidRPr="005E3B43">
              <w:t>25</w:t>
            </w:r>
            <w:r w:rsidR="004E6D00" w:rsidRPr="005E3B43">
              <w:t> </w:t>
            </w:r>
            <w:r w:rsidRPr="005E3B43">
              <w:t>June 2018 (F2018L00865)</w:t>
            </w:r>
          </w:p>
        </w:tc>
        <w:tc>
          <w:tcPr>
            <w:tcW w:w="1392" w:type="pct"/>
            <w:tcBorders>
              <w:top w:val="single" w:sz="4" w:space="0" w:color="auto"/>
              <w:bottom w:val="single" w:sz="4" w:space="0" w:color="auto"/>
            </w:tcBorders>
            <w:shd w:val="clear" w:color="auto" w:fill="auto"/>
          </w:tcPr>
          <w:p w14:paraId="6BEA930E" w14:textId="53ACE81D" w:rsidR="009C3DEE" w:rsidRPr="005E3B43" w:rsidRDefault="00B67D72" w:rsidP="00763BCF">
            <w:pPr>
              <w:pStyle w:val="ENoteTableText"/>
            </w:pPr>
            <w:r w:rsidRPr="005E3B43">
              <w:t>Sch 1 (</w:t>
            </w:r>
            <w:r w:rsidR="009D7AE0" w:rsidRPr="005E3B43">
              <w:t>items 4</w:t>
            </w:r>
            <w:r w:rsidRPr="005E3B43">
              <w:t xml:space="preserve">–29): </w:t>
            </w:r>
            <w:r w:rsidR="006B5D8E" w:rsidRPr="005E3B43">
              <w:t>1 July</w:t>
            </w:r>
            <w:r w:rsidRPr="005E3B43">
              <w:t xml:space="preserve"> 2018 (s 2(1) </w:t>
            </w:r>
            <w:r w:rsidR="007C3215">
              <w:t>items 2</w:t>
            </w:r>
            <w:r w:rsidRPr="005E3B43">
              <w:t>, 3)</w:t>
            </w:r>
            <w:r w:rsidR="004F4139" w:rsidRPr="005E3B43">
              <w:br/>
              <w:t xml:space="preserve">Note: This </w:t>
            </w:r>
            <w:r w:rsidR="00F77547" w:rsidRPr="005E3B43">
              <w:t xml:space="preserve">amending title </w:t>
            </w:r>
            <w:r w:rsidR="004F4139" w:rsidRPr="005E3B43">
              <w:t>was affected by an editorial change (see F2018C00390)</w:t>
            </w:r>
          </w:p>
        </w:tc>
        <w:tc>
          <w:tcPr>
            <w:tcW w:w="1218" w:type="pct"/>
            <w:tcBorders>
              <w:top w:val="single" w:sz="4" w:space="0" w:color="auto"/>
              <w:bottom w:val="single" w:sz="4" w:space="0" w:color="auto"/>
            </w:tcBorders>
            <w:shd w:val="clear" w:color="auto" w:fill="auto"/>
          </w:tcPr>
          <w:p w14:paraId="21187700" w14:textId="77777777" w:rsidR="009C3DEE" w:rsidRPr="005E3B43" w:rsidRDefault="00B67D72" w:rsidP="00763BCF">
            <w:pPr>
              <w:pStyle w:val="ENoteTableText"/>
            </w:pPr>
            <w:r w:rsidRPr="005E3B43">
              <w:t>—</w:t>
            </w:r>
          </w:p>
        </w:tc>
      </w:tr>
      <w:tr w:rsidR="00814F8F" w:rsidRPr="005E3B43" w14:paraId="183EDF4E" w14:textId="77777777" w:rsidTr="00A14264">
        <w:trPr>
          <w:cantSplit/>
        </w:trPr>
        <w:tc>
          <w:tcPr>
            <w:tcW w:w="1310" w:type="pct"/>
            <w:tcBorders>
              <w:top w:val="single" w:sz="4" w:space="0" w:color="auto"/>
              <w:bottom w:val="single" w:sz="4" w:space="0" w:color="auto"/>
            </w:tcBorders>
            <w:shd w:val="clear" w:color="auto" w:fill="auto"/>
          </w:tcPr>
          <w:p w14:paraId="27E57E68" w14:textId="54AB6F54" w:rsidR="00814F8F" w:rsidRPr="005E3B43" w:rsidRDefault="00814F8F" w:rsidP="00763BCF">
            <w:pPr>
              <w:pStyle w:val="ENoteTableText"/>
            </w:pPr>
            <w:r w:rsidRPr="005E3B43">
              <w:t>Therapeutic Goods Legislation Amendment (2018 Measures No.</w:t>
            </w:r>
            <w:r w:rsidR="004E6D00" w:rsidRPr="005E3B43">
              <w:t> </w:t>
            </w:r>
            <w:r w:rsidRPr="005E3B43">
              <w:t xml:space="preserve">3) </w:t>
            </w:r>
            <w:r w:rsidR="007C3215">
              <w:t>Regulations 2</w:t>
            </w:r>
            <w:r w:rsidRPr="005E3B43">
              <w:t>018</w:t>
            </w:r>
          </w:p>
        </w:tc>
        <w:tc>
          <w:tcPr>
            <w:tcW w:w="1080" w:type="pct"/>
            <w:tcBorders>
              <w:top w:val="single" w:sz="4" w:space="0" w:color="auto"/>
              <w:bottom w:val="single" w:sz="4" w:space="0" w:color="auto"/>
            </w:tcBorders>
            <w:shd w:val="clear" w:color="auto" w:fill="auto"/>
          </w:tcPr>
          <w:p w14:paraId="2A2F1DCB" w14:textId="77777777" w:rsidR="00814F8F" w:rsidRPr="005E3B43" w:rsidRDefault="00814F8F" w:rsidP="00763BCF">
            <w:pPr>
              <w:pStyle w:val="ENoteTableText"/>
            </w:pPr>
            <w:r w:rsidRPr="005E3B43">
              <w:t>15 Oct 2018 (F2018L01434)</w:t>
            </w:r>
          </w:p>
        </w:tc>
        <w:tc>
          <w:tcPr>
            <w:tcW w:w="1392" w:type="pct"/>
            <w:tcBorders>
              <w:top w:val="single" w:sz="4" w:space="0" w:color="auto"/>
              <w:bottom w:val="single" w:sz="4" w:space="0" w:color="auto"/>
            </w:tcBorders>
            <w:shd w:val="clear" w:color="auto" w:fill="auto"/>
          </w:tcPr>
          <w:p w14:paraId="6C96CF8F" w14:textId="77777777" w:rsidR="00814F8F" w:rsidRPr="005E3B43" w:rsidRDefault="00814F8F" w:rsidP="00763BCF">
            <w:pPr>
              <w:pStyle w:val="ENoteTableText"/>
            </w:pPr>
            <w:r w:rsidRPr="005E3B43">
              <w:t>Sch 1 (</w:t>
            </w:r>
            <w:r w:rsidR="003C0723" w:rsidRPr="005E3B43">
              <w:t>items 3</w:t>
            </w:r>
            <w:r w:rsidRPr="005E3B43">
              <w:t xml:space="preserve">–34): 16 Oct 2018 (s 2(1) </w:t>
            </w:r>
            <w:r w:rsidR="006B5D8E" w:rsidRPr="005E3B43">
              <w:t>item 2</w:t>
            </w:r>
            <w:r w:rsidRPr="005E3B43">
              <w:t>)</w:t>
            </w:r>
            <w:r w:rsidRPr="005E3B43">
              <w:br/>
              <w:t>Sch 1 (</w:t>
            </w:r>
            <w:r w:rsidR="003C0723" w:rsidRPr="005E3B43">
              <w:t>items 3</w:t>
            </w:r>
            <w:r w:rsidRPr="005E3B43">
              <w:t xml:space="preserve">7–49): 1 Jan 2019 (s 2(1) </w:t>
            </w:r>
            <w:r w:rsidR="006B5D8E" w:rsidRPr="005E3B43">
              <w:t>item 3</w:t>
            </w:r>
            <w:r w:rsidRPr="005E3B43">
              <w:t>)</w:t>
            </w:r>
          </w:p>
        </w:tc>
        <w:tc>
          <w:tcPr>
            <w:tcW w:w="1218" w:type="pct"/>
            <w:tcBorders>
              <w:top w:val="single" w:sz="4" w:space="0" w:color="auto"/>
              <w:bottom w:val="single" w:sz="4" w:space="0" w:color="auto"/>
            </w:tcBorders>
            <w:shd w:val="clear" w:color="auto" w:fill="auto"/>
          </w:tcPr>
          <w:p w14:paraId="70A5807B" w14:textId="77777777" w:rsidR="00814F8F" w:rsidRPr="005E3B43" w:rsidRDefault="00814F8F" w:rsidP="00763BCF">
            <w:pPr>
              <w:pStyle w:val="ENoteTableText"/>
            </w:pPr>
            <w:r w:rsidRPr="005E3B43">
              <w:t>—</w:t>
            </w:r>
          </w:p>
        </w:tc>
      </w:tr>
      <w:tr w:rsidR="003C7320" w:rsidRPr="005E3B43" w14:paraId="3BE24BFD" w14:textId="77777777" w:rsidTr="00A14264">
        <w:trPr>
          <w:cantSplit/>
        </w:trPr>
        <w:tc>
          <w:tcPr>
            <w:tcW w:w="1310" w:type="pct"/>
            <w:tcBorders>
              <w:top w:val="single" w:sz="4" w:space="0" w:color="auto"/>
              <w:bottom w:val="single" w:sz="4" w:space="0" w:color="auto"/>
            </w:tcBorders>
            <w:shd w:val="clear" w:color="auto" w:fill="auto"/>
          </w:tcPr>
          <w:p w14:paraId="3F09671D" w14:textId="1734A3D8" w:rsidR="003C7320" w:rsidRPr="005E3B43" w:rsidRDefault="003C7320" w:rsidP="00763BCF">
            <w:pPr>
              <w:pStyle w:val="ENoteTableText"/>
            </w:pPr>
            <w:r w:rsidRPr="005E3B43">
              <w:t>Therapeutic Goods Amendment (2018 Measures No.</w:t>
            </w:r>
            <w:r w:rsidR="004E6D00" w:rsidRPr="005E3B43">
              <w:t> </w:t>
            </w:r>
            <w:r w:rsidRPr="005E3B43">
              <w:t xml:space="preserve">1) </w:t>
            </w:r>
            <w:r w:rsidR="007C3215">
              <w:t>Regulations 2</w:t>
            </w:r>
            <w:r w:rsidRPr="005E3B43">
              <w:t>018</w:t>
            </w:r>
          </w:p>
        </w:tc>
        <w:tc>
          <w:tcPr>
            <w:tcW w:w="1080" w:type="pct"/>
            <w:tcBorders>
              <w:top w:val="single" w:sz="4" w:space="0" w:color="auto"/>
              <w:bottom w:val="single" w:sz="4" w:space="0" w:color="auto"/>
            </w:tcBorders>
            <w:shd w:val="clear" w:color="auto" w:fill="auto"/>
          </w:tcPr>
          <w:p w14:paraId="66C58AB7" w14:textId="77777777" w:rsidR="003C7320" w:rsidRPr="005E3B43" w:rsidRDefault="003C7320" w:rsidP="00763BCF">
            <w:pPr>
              <w:pStyle w:val="ENoteTableText"/>
            </w:pPr>
            <w:r w:rsidRPr="005E3B43">
              <w:t>26 Nov 2018 (F2018L01612)</w:t>
            </w:r>
          </w:p>
        </w:tc>
        <w:tc>
          <w:tcPr>
            <w:tcW w:w="1392" w:type="pct"/>
            <w:tcBorders>
              <w:top w:val="single" w:sz="4" w:space="0" w:color="auto"/>
              <w:bottom w:val="single" w:sz="4" w:space="0" w:color="auto"/>
            </w:tcBorders>
            <w:shd w:val="clear" w:color="auto" w:fill="auto"/>
          </w:tcPr>
          <w:p w14:paraId="43677DC0" w14:textId="4C885AAC" w:rsidR="003C7320" w:rsidRPr="005E3B43" w:rsidRDefault="003C7320" w:rsidP="00763BCF">
            <w:pPr>
              <w:pStyle w:val="ENoteTableText"/>
            </w:pPr>
            <w:r w:rsidRPr="005E3B43">
              <w:t xml:space="preserve">27 Nov 2018 (s 2(1) </w:t>
            </w:r>
            <w:r w:rsidR="007C3215">
              <w:t>item 1</w:t>
            </w:r>
            <w:r w:rsidRPr="005E3B43">
              <w:t>)</w:t>
            </w:r>
          </w:p>
        </w:tc>
        <w:tc>
          <w:tcPr>
            <w:tcW w:w="1218" w:type="pct"/>
            <w:tcBorders>
              <w:top w:val="single" w:sz="4" w:space="0" w:color="auto"/>
              <w:bottom w:val="single" w:sz="4" w:space="0" w:color="auto"/>
            </w:tcBorders>
            <w:shd w:val="clear" w:color="auto" w:fill="auto"/>
          </w:tcPr>
          <w:p w14:paraId="744FFE79" w14:textId="77777777" w:rsidR="003C7320" w:rsidRPr="005E3B43" w:rsidRDefault="003C7320" w:rsidP="00763BCF">
            <w:pPr>
              <w:pStyle w:val="ENoteTableText"/>
            </w:pPr>
            <w:r w:rsidRPr="005E3B43">
              <w:t>—</w:t>
            </w:r>
          </w:p>
        </w:tc>
      </w:tr>
      <w:tr w:rsidR="00B0488D" w:rsidRPr="005E3B43" w14:paraId="544DE54A" w14:textId="77777777" w:rsidTr="00A14264">
        <w:trPr>
          <w:cantSplit/>
        </w:trPr>
        <w:tc>
          <w:tcPr>
            <w:tcW w:w="1310" w:type="pct"/>
            <w:tcBorders>
              <w:top w:val="single" w:sz="4" w:space="0" w:color="auto"/>
              <w:bottom w:val="single" w:sz="4" w:space="0" w:color="auto"/>
            </w:tcBorders>
            <w:shd w:val="clear" w:color="auto" w:fill="auto"/>
          </w:tcPr>
          <w:p w14:paraId="7389EF44" w14:textId="5F4240BF" w:rsidR="00B0488D" w:rsidRPr="005E3B43" w:rsidRDefault="00B0488D" w:rsidP="00763BCF">
            <w:pPr>
              <w:pStyle w:val="ENoteTableText"/>
            </w:pPr>
            <w:r w:rsidRPr="005E3B43">
              <w:t xml:space="preserve">Therapeutic Goods Amendment (Scheduling Advisory Committee Members) </w:t>
            </w:r>
            <w:r w:rsidR="007C3215">
              <w:t>Regulations 2</w:t>
            </w:r>
            <w:r w:rsidRPr="005E3B43">
              <w:t>019</w:t>
            </w:r>
          </w:p>
        </w:tc>
        <w:tc>
          <w:tcPr>
            <w:tcW w:w="1080" w:type="pct"/>
            <w:tcBorders>
              <w:top w:val="single" w:sz="4" w:space="0" w:color="auto"/>
              <w:bottom w:val="single" w:sz="4" w:space="0" w:color="auto"/>
            </w:tcBorders>
            <w:shd w:val="clear" w:color="auto" w:fill="auto"/>
          </w:tcPr>
          <w:p w14:paraId="0DACF30D" w14:textId="77777777" w:rsidR="00B0488D" w:rsidRPr="005E3B43" w:rsidRDefault="00B0488D" w:rsidP="00763BCF">
            <w:pPr>
              <w:pStyle w:val="ENoteTableText"/>
            </w:pPr>
            <w:r w:rsidRPr="005E3B43">
              <w:t>8 Feb 2019 (F2019L00109)</w:t>
            </w:r>
          </w:p>
        </w:tc>
        <w:tc>
          <w:tcPr>
            <w:tcW w:w="1392" w:type="pct"/>
            <w:tcBorders>
              <w:top w:val="single" w:sz="4" w:space="0" w:color="auto"/>
              <w:bottom w:val="single" w:sz="4" w:space="0" w:color="auto"/>
            </w:tcBorders>
            <w:shd w:val="clear" w:color="auto" w:fill="auto"/>
          </w:tcPr>
          <w:p w14:paraId="3EF4EA34" w14:textId="1C50A118" w:rsidR="00B0488D" w:rsidRPr="005E3B43" w:rsidRDefault="00B0488D" w:rsidP="00763BCF">
            <w:pPr>
              <w:pStyle w:val="ENoteTableText"/>
            </w:pPr>
            <w:r w:rsidRPr="005E3B43">
              <w:t xml:space="preserve">9 Feb 2019 (s 2(1) </w:t>
            </w:r>
            <w:r w:rsidR="007C3215">
              <w:t>item 1</w:t>
            </w:r>
            <w:r w:rsidRPr="005E3B43">
              <w:t>)</w:t>
            </w:r>
          </w:p>
        </w:tc>
        <w:tc>
          <w:tcPr>
            <w:tcW w:w="1218" w:type="pct"/>
            <w:tcBorders>
              <w:top w:val="single" w:sz="4" w:space="0" w:color="auto"/>
              <w:bottom w:val="single" w:sz="4" w:space="0" w:color="auto"/>
            </w:tcBorders>
            <w:shd w:val="clear" w:color="auto" w:fill="auto"/>
          </w:tcPr>
          <w:p w14:paraId="54C9945F" w14:textId="77777777" w:rsidR="00B0488D" w:rsidRPr="005E3B43" w:rsidRDefault="00B0488D" w:rsidP="00763BCF">
            <w:pPr>
              <w:pStyle w:val="ENoteTableText"/>
            </w:pPr>
            <w:r w:rsidRPr="005E3B43">
              <w:t>—</w:t>
            </w:r>
          </w:p>
        </w:tc>
      </w:tr>
      <w:tr w:rsidR="00CE7AFC" w:rsidRPr="005E3B43" w14:paraId="23475AAB" w14:textId="77777777" w:rsidTr="00A14264">
        <w:trPr>
          <w:cantSplit/>
        </w:trPr>
        <w:tc>
          <w:tcPr>
            <w:tcW w:w="1310" w:type="pct"/>
            <w:tcBorders>
              <w:top w:val="single" w:sz="4" w:space="0" w:color="auto"/>
              <w:bottom w:val="single" w:sz="4" w:space="0" w:color="auto"/>
            </w:tcBorders>
            <w:shd w:val="clear" w:color="auto" w:fill="auto"/>
          </w:tcPr>
          <w:p w14:paraId="4B622D7C" w14:textId="1591958C" w:rsidR="00CE7AFC" w:rsidRPr="005E3B43" w:rsidRDefault="00CE7AFC" w:rsidP="00763BCF">
            <w:pPr>
              <w:pStyle w:val="ENoteTableText"/>
            </w:pPr>
            <w:r w:rsidRPr="005E3B43">
              <w:t xml:space="preserve">Therapeutic Goods Legislation Amendment (Fees and Other Measures) </w:t>
            </w:r>
            <w:r w:rsidR="007C3215">
              <w:t>Regulations 2</w:t>
            </w:r>
            <w:r w:rsidRPr="005E3B43">
              <w:t>019</w:t>
            </w:r>
          </w:p>
        </w:tc>
        <w:tc>
          <w:tcPr>
            <w:tcW w:w="1080" w:type="pct"/>
            <w:tcBorders>
              <w:top w:val="single" w:sz="4" w:space="0" w:color="auto"/>
              <w:bottom w:val="single" w:sz="4" w:space="0" w:color="auto"/>
            </w:tcBorders>
            <w:shd w:val="clear" w:color="auto" w:fill="auto"/>
          </w:tcPr>
          <w:p w14:paraId="1077D394" w14:textId="77777777" w:rsidR="00CE7AFC" w:rsidRPr="005E3B43" w:rsidRDefault="00CE7AFC" w:rsidP="00763BCF">
            <w:pPr>
              <w:pStyle w:val="ENoteTableText"/>
            </w:pPr>
            <w:r w:rsidRPr="005E3B43">
              <w:t>25 Mar 2019 (F2019L00396)</w:t>
            </w:r>
          </w:p>
        </w:tc>
        <w:tc>
          <w:tcPr>
            <w:tcW w:w="1392" w:type="pct"/>
            <w:tcBorders>
              <w:top w:val="single" w:sz="4" w:space="0" w:color="auto"/>
              <w:bottom w:val="single" w:sz="4" w:space="0" w:color="auto"/>
            </w:tcBorders>
            <w:shd w:val="clear" w:color="auto" w:fill="auto"/>
          </w:tcPr>
          <w:p w14:paraId="5FFC8CF6" w14:textId="710CB851" w:rsidR="00CE7AFC" w:rsidRPr="005E3B43" w:rsidRDefault="00CE7AFC" w:rsidP="00763BCF">
            <w:pPr>
              <w:pStyle w:val="ENoteTableText"/>
            </w:pPr>
            <w:r w:rsidRPr="005E3B43">
              <w:t>Sch 1 (</w:t>
            </w:r>
            <w:r w:rsidR="009D7AE0" w:rsidRPr="005E3B43">
              <w:t>items 4</w:t>
            </w:r>
            <w:r w:rsidRPr="005E3B43">
              <w:t>–</w:t>
            </w:r>
            <w:r w:rsidR="0067641F" w:rsidRPr="005E3B43">
              <w:t xml:space="preserve">26): </w:t>
            </w:r>
            <w:r w:rsidR="006B5D8E" w:rsidRPr="005E3B43">
              <w:t>1 July</w:t>
            </w:r>
            <w:r w:rsidR="0067641F" w:rsidRPr="005E3B43">
              <w:t xml:space="preserve"> 2019 (s 2(1) </w:t>
            </w:r>
            <w:r w:rsidR="007C3215">
              <w:t>items 2</w:t>
            </w:r>
            <w:r w:rsidR="0067641F" w:rsidRPr="005E3B43">
              <w:t>, 3)</w:t>
            </w:r>
          </w:p>
        </w:tc>
        <w:tc>
          <w:tcPr>
            <w:tcW w:w="1218" w:type="pct"/>
            <w:tcBorders>
              <w:top w:val="single" w:sz="4" w:space="0" w:color="auto"/>
              <w:bottom w:val="single" w:sz="4" w:space="0" w:color="auto"/>
            </w:tcBorders>
            <w:shd w:val="clear" w:color="auto" w:fill="auto"/>
          </w:tcPr>
          <w:p w14:paraId="76B89C0B" w14:textId="77777777" w:rsidR="00CE7AFC" w:rsidRPr="005E3B43" w:rsidRDefault="0067641F" w:rsidP="00763BCF">
            <w:pPr>
              <w:pStyle w:val="ENoteTableText"/>
            </w:pPr>
            <w:r w:rsidRPr="005E3B43">
              <w:t>—</w:t>
            </w:r>
          </w:p>
        </w:tc>
      </w:tr>
      <w:tr w:rsidR="004E7448" w:rsidRPr="005E3B43" w14:paraId="2D8E0AA6" w14:textId="77777777" w:rsidTr="00A14264">
        <w:trPr>
          <w:cantSplit/>
        </w:trPr>
        <w:tc>
          <w:tcPr>
            <w:tcW w:w="1310" w:type="pct"/>
            <w:tcBorders>
              <w:top w:val="single" w:sz="4" w:space="0" w:color="auto"/>
              <w:bottom w:val="single" w:sz="4" w:space="0" w:color="auto"/>
            </w:tcBorders>
            <w:shd w:val="clear" w:color="auto" w:fill="auto"/>
          </w:tcPr>
          <w:p w14:paraId="036E1197" w14:textId="0C677D2F" w:rsidR="004E7448" w:rsidRPr="005E3B43" w:rsidRDefault="004E7448" w:rsidP="00763BCF">
            <w:pPr>
              <w:pStyle w:val="ENoteTableText"/>
            </w:pPr>
            <w:r w:rsidRPr="005E3B43">
              <w:rPr>
                <w:noProof/>
              </w:rPr>
              <w:t xml:space="preserve">Therapeutic Goods Amendment (Fees for Relisted Medicine) </w:t>
            </w:r>
            <w:r w:rsidR="007C3215">
              <w:rPr>
                <w:noProof/>
              </w:rPr>
              <w:t>Regulations 2</w:t>
            </w:r>
            <w:r w:rsidRPr="005E3B43">
              <w:rPr>
                <w:noProof/>
              </w:rPr>
              <w:t>019</w:t>
            </w:r>
          </w:p>
        </w:tc>
        <w:tc>
          <w:tcPr>
            <w:tcW w:w="1080" w:type="pct"/>
            <w:tcBorders>
              <w:top w:val="single" w:sz="4" w:space="0" w:color="auto"/>
              <w:bottom w:val="single" w:sz="4" w:space="0" w:color="auto"/>
            </w:tcBorders>
            <w:shd w:val="clear" w:color="auto" w:fill="auto"/>
          </w:tcPr>
          <w:p w14:paraId="30A57B90" w14:textId="77777777" w:rsidR="004E7448" w:rsidRPr="005E3B43" w:rsidRDefault="004E7448" w:rsidP="00763BCF">
            <w:pPr>
              <w:pStyle w:val="ENoteTableText"/>
            </w:pPr>
            <w:r w:rsidRPr="005E3B43">
              <w:t>25 Sept 2019 (F2019L01260)</w:t>
            </w:r>
          </w:p>
        </w:tc>
        <w:tc>
          <w:tcPr>
            <w:tcW w:w="1392" w:type="pct"/>
            <w:tcBorders>
              <w:top w:val="single" w:sz="4" w:space="0" w:color="auto"/>
              <w:bottom w:val="single" w:sz="4" w:space="0" w:color="auto"/>
            </w:tcBorders>
            <w:shd w:val="clear" w:color="auto" w:fill="auto"/>
          </w:tcPr>
          <w:p w14:paraId="57821582" w14:textId="3CDDB00D" w:rsidR="004E7448" w:rsidRPr="005E3B43" w:rsidRDefault="004E7448" w:rsidP="00763BCF">
            <w:pPr>
              <w:pStyle w:val="ENoteTableText"/>
            </w:pPr>
            <w:r w:rsidRPr="005E3B43">
              <w:t xml:space="preserve">26 Sept 2019 (s 2(1) </w:t>
            </w:r>
            <w:r w:rsidR="007C3215">
              <w:t>item 1</w:t>
            </w:r>
            <w:r w:rsidRPr="005E3B43">
              <w:t>)</w:t>
            </w:r>
          </w:p>
        </w:tc>
        <w:tc>
          <w:tcPr>
            <w:tcW w:w="1218" w:type="pct"/>
            <w:tcBorders>
              <w:top w:val="single" w:sz="4" w:space="0" w:color="auto"/>
              <w:bottom w:val="single" w:sz="4" w:space="0" w:color="auto"/>
            </w:tcBorders>
            <w:shd w:val="clear" w:color="auto" w:fill="auto"/>
          </w:tcPr>
          <w:p w14:paraId="34800008" w14:textId="77777777" w:rsidR="004E7448" w:rsidRPr="005E3B43" w:rsidRDefault="004E7448" w:rsidP="00763BCF">
            <w:pPr>
              <w:pStyle w:val="ENoteTableText"/>
            </w:pPr>
            <w:r w:rsidRPr="005E3B43">
              <w:t>—</w:t>
            </w:r>
          </w:p>
        </w:tc>
      </w:tr>
      <w:tr w:rsidR="00267E56" w:rsidRPr="005E3B43" w14:paraId="18DCB474" w14:textId="77777777" w:rsidTr="00A14264">
        <w:trPr>
          <w:cantSplit/>
        </w:trPr>
        <w:tc>
          <w:tcPr>
            <w:tcW w:w="1310" w:type="pct"/>
            <w:tcBorders>
              <w:top w:val="single" w:sz="4" w:space="0" w:color="auto"/>
              <w:bottom w:val="single" w:sz="4" w:space="0" w:color="auto"/>
            </w:tcBorders>
            <w:shd w:val="clear" w:color="auto" w:fill="auto"/>
          </w:tcPr>
          <w:p w14:paraId="3D3B50AE" w14:textId="4776791C" w:rsidR="00267E56" w:rsidRPr="005E3B43" w:rsidRDefault="00267E56" w:rsidP="00763BCF">
            <w:pPr>
              <w:pStyle w:val="ENoteTableText"/>
              <w:rPr>
                <w:noProof/>
              </w:rPr>
            </w:pPr>
            <w:r w:rsidRPr="005E3B43">
              <w:rPr>
                <w:noProof/>
              </w:rPr>
              <w:t xml:space="preserve">Therapeutic Goods Amendment (Approval of Advertisements) </w:t>
            </w:r>
            <w:r w:rsidR="007C3215">
              <w:rPr>
                <w:noProof/>
              </w:rPr>
              <w:t>Regulations 2</w:t>
            </w:r>
            <w:r w:rsidRPr="005E3B43">
              <w:rPr>
                <w:noProof/>
              </w:rPr>
              <w:t>019</w:t>
            </w:r>
          </w:p>
        </w:tc>
        <w:tc>
          <w:tcPr>
            <w:tcW w:w="1080" w:type="pct"/>
            <w:tcBorders>
              <w:top w:val="single" w:sz="4" w:space="0" w:color="auto"/>
              <w:bottom w:val="single" w:sz="4" w:space="0" w:color="auto"/>
            </w:tcBorders>
            <w:shd w:val="clear" w:color="auto" w:fill="auto"/>
          </w:tcPr>
          <w:p w14:paraId="2792FCE7" w14:textId="77777777" w:rsidR="00267E56" w:rsidRPr="005E3B43" w:rsidRDefault="00267E56" w:rsidP="00763BCF">
            <w:pPr>
              <w:pStyle w:val="ENoteTableText"/>
            </w:pPr>
            <w:r w:rsidRPr="005E3B43">
              <w:t>14 Nov 2019 (F2019L01465)</w:t>
            </w:r>
          </w:p>
        </w:tc>
        <w:tc>
          <w:tcPr>
            <w:tcW w:w="1392" w:type="pct"/>
            <w:tcBorders>
              <w:top w:val="single" w:sz="4" w:space="0" w:color="auto"/>
              <w:bottom w:val="single" w:sz="4" w:space="0" w:color="auto"/>
            </w:tcBorders>
            <w:shd w:val="clear" w:color="auto" w:fill="auto"/>
          </w:tcPr>
          <w:p w14:paraId="4CFCEDA7" w14:textId="66DDD114" w:rsidR="00267E56" w:rsidRPr="005E3B43" w:rsidRDefault="00267E56" w:rsidP="00763BCF">
            <w:pPr>
              <w:pStyle w:val="ENoteTableText"/>
            </w:pPr>
            <w:r w:rsidRPr="005E3B43">
              <w:t xml:space="preserve">15 Nov 2019 (s 2(1) </w:t>
            </w:r>
            <w:r w:rsidR="007C3215">
              <w:t>item 1</w:t>
            </w:r>
            <w:r w:rsidRPr="005E3B43">
              <w:t>)</w:t>
            </w:r>
          </w:p>
        </w:tc>
        <w:tc>
          <w:tcPr>
            <w:tcW w:w="1218" w:type="pct"/>
            <w:tcBorders>
              <w:top w:val="single" w:sz="4" w:space="0" w:color="auto"/>
              <w:bottom w:val="single" w:sz="4" w:space="0" w:color="auto"/>
            </w:tcBorders>
            <w:shd w:val="clear" w:color="auto" w:fill="auto"/>
          </w:tcPr>
          <w:p w14:paraId="1E36014D" w14:textId="77777777" w:rsidR="00267E56" w:rsidRPr="005E3B43" w:rsidRDefault="00267E56" w:rsidP="00763BCF">
            <w:pPr>
              <w:pStyle w:val="ENoteTableText"/>
            </w:pPr>
            <w:r w:rsidRPr="005E3B43">
              <w:t>—</w:t>
            </w:r>
          </w:p>
        </w:tc>
      </w:tr>
      <w:tr w:rsidR="00AA1B42" w:rsidRPr="005E3B43" w14:paraId="32CA1601" w14:textId="77777777" w:rsidTr="002F4107">
        <w:trPr>
          <w:cantSplit/>
        </w:trPr>
        <w:tc>
          <w:tcPr>
            <w:tcW w:w="1310" w:type="pct"/>
            <w:tcBorders>
              <w:top w:val="single" w:sz="4" w:space="0" w:color="auto"/>
              <w:bottom w:val="single" w:sz="4" w:space="0" w:color="auto"/>
            </w:tcBorders>
            <w:shd w:val="clear" w:color="auto" w:fill="auto"/>
          </w:tcPr>
          <w:p w14:paraId="66037292" w14:textId="5277A0BA" w:rsidR="00AA1B42" w:rsidRPr="005E3B43" w:rsidRDefault="00AA1B42" w:rsidP="00763BCF">
            <w:pPr>
              <w:pStyle w:val="ENoteTableText"/>
              <w:rPr>
                <w:noProof/>
              </w:rPr>
            </w:pPr>
            <w:r w:rsidRPr="005E3B43">
              <w:rPr>
                <w:noProof/>
              </w:rPr>
              <w:lastRenderedPageBreak/>
              <w:t>Therapeutic Goods Legislation Amendment (2019 Measures No.</w:t>
            </w:r>
            <w:r w:rsidR="004E6D00" w:rsidRPr="005E3B43">
              <w:rPr>
                <w:noProof/>
              </w:rPr>
              <w:t> </w:t>
            </w:r>
            <w:r w:rsidRPr="005E3B43">
              <w:rPr>
                <w:noProof/>
              </w:rPr>
              <w:t xml:space="preserve">1) </w:t>
            </w:r>
            <w:r w:rsidR="007C3215">
              <w:rPr>
                <w:noProof/>
              </w:rPr>
              <w:t>Regulations 2</w:t>
            </w:r>
            <w:r w:rsidRPr="005E3B43">
              <w:rPr>
                <w:noProof/>
              </w:rPr>
              <w:t>019</w:t>
            </w:r>
          </w:p>
        </w:tc>
        <w:tc>
          <w:tcPr>
            <w:tcW w:w="1080" w:type="pct"/>
            <w:tcBorders>
              <w:top w:val="single" w:sz="4" w:space="0" w:color="auto"/>
              <w:bottom w:val="single" w:sz="4" w:space="0" w:color="auto"/>
            </w:tcBorders>
            <w:shd w:val="clear" w:color="auto" w:fill="auto"/>
          </w:tcPr>
          <w:p w14:paraId="2D4F403A" w14:textId="77777777" w:rsidR="00AA1B42" w:rsidRPr="005E3B43" w:rsidRDefault="000253E1" w:rsidP="00763BCF">
            <w:pPr>
              <w:pStyle w:val="ENoteTableText"/>
            </w:pPr>
            <w:r w:rsidRPr="005E3B43">
              <w:t>1</w:t>
            </w:r>
            <w:r w:rsidR="00453941" w:rsidRPr="005E3B43">
              <w:t>8</w:t>
            </w:r>
            <w:r w:rsidRPr="005E3B43">
              <w:t xml:space="preserve"> Dec 2019 (</w:t>
            </w:r>
            <w:bookmarkStart w:id="465" w:name="_Hlk160527686"/>
            <w:r w:rsidRPr="005E3B43">
              <w:t>F2019L01660</w:t>
            </w:r>
            <w:bookmarkEnd w:id="465"/>
            <w:r w:rsidRPr="005E3B43">
              <w:t>)</w:t>
            </w:r>
          </w:p>
        </w:tc>
        <w:tc>
          <w:tcPr>
            <w:tcW w:w="1392" w:type="pct"/>
            <w:tcBorders>
              <w:top w:val="single" w:sz="4" w:space="0" w:color="auto"/>
              <w:bottom w:val="single" w:sz="4" w:space="0" w:color="auto"/>
            </w:tcBorders>
            <w:shd w:val="clear" w:color="auto" w:fill="auto"/>
          </w:tcPr>
          <w:p w14:paraId="545FCE35" w14:textId="2176F1EA" w:rsidR="00AA1B42" w:rsidRPr="005E3B43" w:rsidRDefault="000253E1" w:rsidP="00763BCF">
            <w:pPr>
              <w:pStyle w:val="ENoteTableText"/>
            </w:pPr>
            <w:bookmarkStart w:id="466" w:name="_Hlk160527717"/>
            <w:r w:rsidRPr="005E3B43">
              <w:t>Sch 5</w:t>
            </w:r>
            <w:r w:rsidR="00BE6888" w:rsidRPr="005E3B43">
              <w:t>,</w:t>
            </w:r>
            <w:r w:rsidRPr="005E3B43">
              <w:t xml:space="preserve"> 7 and Sch 9 (</w:t>
            </w:r>
            <w:r w:rsidR="007C3215">
              <w:t>items 1</w:t>
            </w:r>
            <w:r w:rsidRPr="005E3B43">
              <w:t>–10)</w:t>
            </w:r>
            <w:bookmarkEnd w:id="466"/>
            <w:r w:rsidRPr="005E3B43">
              <w:t xml:space="preserve">: 1 Jan 2020 (s 2(1) </w:t>
            </w:r>
            <w:r w:rsidR="009D7AE0" w:rsidRPr="005E3B43">
              <w:t>items 4</w:t>
            </w:r>
            <w:r w:rsidRPr="005E3B43">
              <w:t>, 6, 8)</w:t>
            </w:r>
            <w:r w:rsidRPr="005E3B43">
              <w:br/>
              <w:t xml:space="preserve">Sch 6: 1 Jan 2021 (s 2(1) </w:t>
            </w:r>
            <w:r w:rsidR="006B5D8E" w:rsidRPr="005E3B43">
              <w:t>item 5</w:t>
            </w:r>
            <w:r w:rsidRPr="005E3B43">
              <w:t>)</w:t>
            </w:r>
            <w:r w:rsidRPr="005E3B43">
              <w:br/>
              <w:t>Sch 8, Sch 9 (</w:t>
            </w:r>
            <w:r w:rsidR="007C3215">
              <w:t>items 1</w:t>
            </w:r>
            <w:r w:rsidRPr="005E3B43">
              <w:t>1–13) and Sch 10 (</w:t>
            </w:r>
            <w:r w:rsidR="006B5D8E" w:rsidRPr="005E3B43">
              <w:t>item 2</w:t>
            </w:r>
            <w:r w:rsidRPr="005E3B43">
              <w:t xml:space="preserve">): 19 Dec 2019 (s 2(1) </w:t>
            </w:r>
            <w:r w:rsidR="003774CD" w:rsidRPr="005E3B43">
              <w:t>items 7</w:t>
            </w:r>
            <w:r w:rsidRPr="005E3B43">
              <w:t>, 9, 10)</w:t>
            </w:r>
          </w:p>
        </w:tc>
        <w:tc>
          <w:tcPr>
            <w:tcW w:w="1218" w:type="pct"/>
            <w:tcBorders>
              <w:top w:val="single" w:sz="4" w:space="0" w:color="auto"/>
              <w:bottom w:val="single" w:sz="4" w:space="0" w:color="auto"/>
            </w:tcBorders>
            <w:shd w:val="clear" w:color="auto" w:fill="auto"/>
          </w:tcPr>
          <w:p w14:paraId="7A76989F" w14:textId="77777777" w:rsidR="00AA1B42" w:rsidRPr="005E3B43" w:rsidRDefault="000253E1" w:rsidP="00763BCF">
            <w:pPr>
              <w:pStyle w:val="ENoteTableText"/>
            </w:pPr>
            <w:r w:rsidRPr="005E3B43">
              <w:t>—</w:t>
            </w:r>
          </w:p>
        </w:tc>
      </w:tr>
      <w:tr w:rsidR="00E028D6" w:rsidRPr="005E3B43" w14:paraId="083C4982" w14:textId="77777777" w:rsidTr="005D29D1">
        <w:trPr>
          <w:cantSplit/>
        </w:trPr>
        <w:tc>
          <w:tcPr>
            <w:tcW w:w="1310" w:type="pct"/>
            <w:tcBorders>
              <w:top w:val="single" w:sz="4" w:space="0" w:color="auto"/>
              <w:bottom w:val="single" w:sz="4" w:space="0" w:color="auto"/>
            </w:tcBorders>
            <w:shd w:val="clear" w:color="auto" w:fill="auto"/>
          </w:tcPr>
          <w:p w14:paraId="0DBB0327" w14:textId="76281A47" w:rsidR="00E028D6" w:rsidRPr="005E3B43" w:rsidRDefault="00E028D6" w:rsidP="00763BCF">
            <w:pPr>
              <w:pStyle w:val="ENoteTableText"/>
              <w:rPr>
                <w:noProof/>
              </w:rPr>
            </w:pPr>
            <w:r w:rsidRPr="005E3B43">
              <w:rPr>
                <w:noProof/>
              </w:rPr>
              <w:t xml:space="preserve">Therapeutic Goods Amendment (Radiopharmaceuticals and Radiopharmaceutical Active Ingredients) </w:t>
            </w:r>
            <w:r w:rsidR="007C3215">
              <w:rPr>
                <w:noProof/>
              </w:rPr>
              <w:t>Regulations 2</w:t>
            </w:r>
            <w:r w:rsidRPr="005E3B43">
              <w:rPr>
                <w:noProof/>
              </w:rPr>
              <w:t>020</w:t>
            </w:r>
          </w:p>
        </w:tc>
        <w:tc>
          <w:tcPr>
            <w:tcW w:w="1080" w:type="pct"/>
            <w:tcBorders>
              <w:top w:val="single" w:sz="4" w:space="0" w:color="auto"/>
              <w:bottom w:val="single" w:sz="4" w:space="0" w:color="auto"/>
            </w:tcBorders>
            <w:shd w:val="clear" w:color="auto" w:fill="auto"/>
          </w:tcPr>
          <w:p w14:paraId="5A749A07" w14:textId="77777777" w:rsidR="00E028D6" w:rsidRPr="005E3B43" w:rsidRDefault="00E028D6" w:rsidP="00763BCF">
            <w:pPr>
              <w:pStyle w:val="ENoteTableText"/>
            </w:pPr>
            <w:r w:rsidRPr="005E3B43">
              <w:t>1</w:t>
            </w:r>
            <w:r w:rsidR="004E6D00" w:rsidRPr="005E3B43">
              <w:t> </w:t>
            </w:r>
            <w:r w:rsidRPr="005E3B43">
              <w:t>May 2020 (F2020L00544)</w:t>
            </w:r>
          </w:p>
        </w:tc>
        <w:tc>
          <w:tcPr>
            <w:tcW w:w="1392" w:type="pct"/>
            <w:tcBorders>
              <w:top w:val="single" w:sz="4" w:space="0" w:color="auto"/>
              <w:bottom w:val="single" w:sz="4" w:space="0" w:color="auto"/>
            </w:tcBorders>
            <w:shd w:val="clear" w:color="auto" w:fill="auto"/>
          </w:tcPr>
          <w:p w14:paraId="4645D47C" w14:textId="41DA9BD5" w:rsidR="00E028D6" w:rsidRPr="005E3B43" w:rsidRDefault="00E028D6" w:rsidP="00763BCF">
            <w:pPr>
              <w:pStyle w:val="ENoteTableText"/>
            </w:pPr>
            <w:r w:rsidRPr="005E3B43">
              <w:t>2</w:t>
            </w:r>
            <w:r w:rsidR="004E6D00" w:rsidRPr="005E3B43">
              <w:t> </w:t>
            </w:r>
            <w:r w:rsidRPr="005E3B43">
              <w:t xml:space="preserve">May 2020 (s 2(1) </w:t>
            </w:r>
            <w:r w:rsidR="007C3215">
              <w:t>item 1</w:t>
            </w:r>
            <w:r w:rsidRPr="005E3B43">
              <w:t>)</w:t>
            </w:r>
          </w:p>
        </w:tc>
        <w:tc>
          <w:tcPr>
            <w:tcW w:w="1218" w:type="pct"/>
            <w:tcBorders>
              <w:top w:val="single" w:sz="4" w:space="0" w:color="auto"/>
              <w:bottom w:val="single" w:sz="4" w:space="0" w:color="auto"/>
            </w:tcBorders>
            <w:shd w:val="clear" w:color="auto" w:fill="auto"/>
          </w:tcPr>
          <w:p w14:paraId="7FF57FFF" w14:textId="77777777" w:rsidR="00E028D6" w:rsidRPr="005E3B43" w:rsidRDefault="00E028D6" w:rsidP="00763BCF">
            <w:pPr>
              <w:pStyle w:val="ENoteTableText"/>
            </w:pPr>
            <w:r w:rsidRPr="005E3B43">
              <w:t>—</w:t>
            </w:r>
          </w:p>
        </w:tc>
      </w:tr>
      <w:tr w:rsidR="00B14F29" w:rsidRPr="005E3B43" w14:paraId="55E2E2D0" w14:textId="77777777" w:rsidTr="00FD180F">
        <w:trPr>
          <w:cantSplit/>
        </w:trPr>
        <w:tc>
          <w:tcPr>
            <w:tcW w:w="1310" w:type="pct"/>
            <w:tcBorders>
              <w:top w:val="single" w:sz="4" w:space="0" w:color="auto"/>
              <w:bottom w:val="single" w:sz="4" w:space="0" w:color="auto"/>
            </w:tcBorders>
            <w:shd w:val="clear" w:color="auto" w:fill="auto"/>
          </w:tcPr>
          <w:p w14:paraId="0BDCBB0C" w14:textId="3B14301C" w:rsidR="00B14F29" w:rsidRPr="005E3B43" w:rsidRDefault="00B14F29" w:rsidP="00763BCF">
            <w:pPr>
              <w:pStyle w:val="ENoteTableText"/>
              <w:rPr>
                <w:noProof/>
              </w:rPr>
            </w:pPr>
            <w:r w:rsidRPr="005E3B43">
              <w:t xml:space="preserve">Therapeutic Goods Legislation Amendment (Fees and Other Measures) </w:t>
            </w:r>
            <w:r w:rsidR="007C3215">
              <w:t>Regulations 2</w:t>
            </w:r>
            <w:r w:rsidRPr="005E3B43">
              <w:t>020</w:t>
            </w:r>
          </w:p>
        </w:tc>
        <w:tc>
          <w:tcPr>
            <w:tcW w:w="1080" w:type="pct"/>
            <w:tcBorders>
              <w:top w:val="single" w:sz="4" w:space="0" w:color="auto"/>
              <w:bottom w:val="single" w:sz="4" w:space="0" w:color="auto"/>
            </w:tcBorders>
            <w:shd w:val="clear" w:color="auto" w:fill="auto"/>
          </w:tcPr>
          <w:p w14:paraId="2E008564" w14:textId="77777777" w:rsidR="00B14F29" w:rsidRPr="005E3B43" w:rsidRDefault="007033B5" w:rsidP="00763BCF">
            <w:pPr>
              <w:pStyle w:val="ENoteTableText"/>
            </w:pPr>
            <w:r w:rsidRPr="005E3B43">
              <w:t>15 June</w:t>
            </w:r>
            <w:r w:rsidR="00B14F29" w:rsidRPr="005E3B43">
              <w:t xml:space="preserve"> 2020 (F2020L00720)</w:t>
            </w:r>
          </w:p>
        </w:tc>
        <w:tc>
          <w:tcPr>
            <w:tcW w:w="1392" w:type="pct"/>
            <w:tcBorders>
              <w:top w:val="single" w:sz="4" w:space="0" w:color="auto"/>
              <w:bottom w:val="single" w:sz="4" w:space="0" w:color="auto"/>
            </w:tcBorders>
            <w:shd w:val="clear" w:color="auto" w:fill="auto"/>
          </w:tcPr>
          <w:p w14:paraId="650A127C" w14:textId="5D9B1AA9" w:rsidR="00B14F29" w:rsidRPr="005E3B43" w:rsidRDefault="00B14F29" w:rsidP="00763BCF">
            <w:pPr>
              <w:pStyle w:val="ENoteTableText"/>
            </w:pPr>
            <w:r w:rsidRPr="005E3B43">
              <w:t>Sch 1 (</w:t>
            </w:r>
            <w:r w:rsidR="007C3215">
              <w:t>items 2</w:t>
            </w:r>
            <w:r w:rsidRPr="005E3B43">
              <w:t xml:space="preserve">, 4–27): </w:t>
            </w:r>
            <w:r w:rsidR="006B5D8E" w:rsidRPr="005E3B43">
              <w:t>1 July</w:t>
            </w:r>
            <w:r w:rsidRPr="005E3B43">
              <w:t xml:space="preserve"> 2020 (s 2(1) </w:t>
            </w:r>
            <w:r w:rsidR="007C3215">
              <w:t>item 1</w:t>
            </w:r>
            <w:r w:rsidRPr="005E3B43">
              <w:t>)</w:t>
            </w:r>
          </w:p>
        </w:tc>
        <w:tc>
          <w:tcPr>
            <w:tcW w:w="1218" w:type="pct"/>
            <w:tcBorders>
              <w:top w:val="single" w:sz="4" w:space="0" w:color="auto"/>
              <w:bottom w:val="single" w:sz="4" w:space="0" w:color="auto"/>
            </w:tcBorders>
            <w:shd w:val="clear" w:color="auto" w:fill="auto"/>
          </w:tcPr>
          <w:p w14:paraId="4E7411FC" w14:textId="77777777" w:rsidR="00B14F29" w:rsidRPr="005E3B43" w:rsidRDefault="00B14F29" w:rsidP="00763BCF">
            <w:pPr>
              <w:pStyle w:val="ENoteTableText"/>
            </w:pPr>
            <w:r w:rsidRPr="005E3B43">
              <w:t>—</w:t>
            </w:r>
          </w:p>
        </w:tc>
      </w:tr>
      <w:tr w:rsidR="00494E79" w:rsidRPr="005E3B43" w14:paraId="3FBBA40C" w14:textId="77777777" w:rsidTr="005227E1">
        <w:trPr>
          <w:cantSplit/>
        </w:trPr>
        <w:tc>
          <w:tcPr>
            <w:tcW w:w="1310" w:type="pct"/>
            <w:tcBorders>
              <w:top w:val="single" w:sz="4" w:space="0" w:color="auto"/>
              <w:bottom w:val="single" w:sz="4" w:space="0" w:color="auto"/>
            </w:tcBorders>
            <w:shd w:val="clear" w:color="auto" w:fill="auto"/>
          </w:tcPr>
          <w:p w14:paraId="7C241F79" w14:textId="10EBE0CD" w:rsidR="00494E79" w:rsidRPr="005E3B43" w:rsidRDefault="00494E79" w:rsidP="00763BCF">
            <w:pPr>
              <w:pStyle w:val="ENoteTableText"/>
            </w:pPr>
            <w:r w:rsidRPr="005E3B43">
              <w:t xml:space="preserve">Therapeutic Goods Legislation Amendment (2020 Measures No. 1) </w:t>
            </w:r>
            <w:r w:rsidR="007C3215">
              <w:t>Regulations 2</w:t>
            </w:r>
            <w:r w:rsidRPr="005E3B43">
              <w:t>020</w:t>
            </w:r>
          </w:p>
        </w:tc>
        <w:tc>
          <w:tcPr>
            <w:tcW w:w="1080" w:type="pct"/>
            <w:tcBorders>
              <w:top w:val="single" w:sz="4" w:space="0" w:color="auto"/>
              <w:bottom w:val="single" w:sz="4" w:space="0" w:color="auto"/>
            </w:tcBorders>
            <w:shd w:val="clear" w:color="auto" w:fill="auto"/>
          </w:tcPr>
          <w:p w14:paraId="10D863F7" w14:textId="77777777" w:rsidR="00494E79" w:rsidRPr="005E3B43" w:rsidRDefault="009D7AE0" w:rsidP="00763BCF">
            <w:pPr>
              <w:pStyle w:val="ENoteTableText"/>
            </w:pPr>
            <w:r w:rsidRPr="005E3B43">
              <w:t>23 July</w:t>
            </w:r>
            <w:r w:rsidR="00494E79" w:rsidRPr="005E3B43">
              <w:t xml:space="preserve"> 2020 (</w:t>
            </w:r>
            <w:bookmarkStart w:id="467" w:name="_Hlk160527782"/>
            <w:r w:rsidR="00494E79" w:rsidRPr="005E3B43">
              <w:t>F2020L00946</w:t>
            </w:r>
            <w:bookmarkEnd w:id="467"/>
            <w:r w:rsidR="00494E79" w:rsidRPr="005E3B43">
              <w:t>)</w:t>
            </w:r>
          </w:p>
        </w:tc>
        <w:tc>
          <w:tcPr>
            <w:tcW w:w="1392" w:type="pct"/>
            <w:tcBorders>
              <w:top w:val="single" w:sz="4" w:space="0" w:color="auto"/>
              <w:bottom w:val="single" w:sz="4" w:space="0" w:color="auto"/>
            </w:tcBorders>
            <w:shd w:val="clear" w:color="auto" w:fill="auto"/>
          </w:tcPr>
          <w:p w14:paraId="587FA9B6" w14:textId="651FE97A" w:rsidR="00494E79" w:rsidRPr="005E3B43" w:rsidRDefault="00494E79" w:rsidP="00763BCF">
            <w:pPr>
              <w:pStyle w:val="ENoteTableText"/>
            </w:pPr>
            <w:r w:rsidRPr="005E3B43">
              <w:t>Sch 4, Sch 8 (</w:t>
            </w:r>
            <w:r w:rsidR="007C3215">
              <w:t>items 2</w:t>
            </w:r>
            <w:r w:rsidRPr="005E3B43">
              <w:t>4–31), Sch 9 and Sch 10 (</w:t>
            </w:r>
            <w:r w:rsidR="006B5D8E" w:rsidRPr="005E3B43">
              <w:t>item 2</w:t>
            </w:r>
            <w:r w:rsidRPr="005E3B43">
              <w:t xml:space="preserve">): </w:t>
            </w:r>
            <w:r w:rsidR="00702844" w:rsidRPr="005E3B43">
              <w:t>24 July</w:t>
            </w:r>
            <w:r w:rsidRPr="005E3B43">
              <w:t xml:space="preserve"> 2020</w:t>
            </w:r>
            <w:r w:rsidR="009B3150" w:rsidRPr="005E3B43">
              <w:t xml:space="preserve"> (s 2(1) </w:t>
            </w:r>
            <w:r w:rsidR="003C0723" w:rsidRPr="005E3B43">
              <w:t>items 3</w:t>
            </w:r>
            <w:r w:rsidR="009B3150" w:rsidRPr="005E3B43">
              <w:t>, 7, 9)</w:t>
            </w:r>
            <w:r w:rsidRPr="005E3B43">
              <w:br/>
            </w:r>
            <w:bookmarkStart w:id="468" w:name="_Hlk160527800"/>
            <w:r w:rsidRPr="005E3B43">
              <w:t>Sch 5</w:t>
            </w:r>
            <w:r w:rsidR="00903E16" w:rsidRPr="005E3B43">
              <w:t xml:space="preserve"> and</w:t>
            </w:r>
            <w:r w:rsidRPr="005E3B43">
              <w:t xml:space="preserve"> 6</w:t>
            </w:r>
            <w:bookmarkEnd w:id="468"/>
            <w:r w:rsidRPr="005E3B43">
              <w:t xml:space="preserve">: </w:t>
            </w:r>
            <w:r w:rsidR="009D7AE0" w:rsidRPr="005E3B43">
              <w:t>23 July</w:t>
            </w:r>
            <w:r w:rsidRPr="005E3B43">
              <w:t xml:space="preserve"> 2020</w:t>
            </w:r>
            <w:r w:rsidR="009B3150" w:rsidRPr="005E3B43">
              <w:t xml:space="preserve"> (s 2(1) </w:t>
            </w:r>
            <w:r w:rsidR="009D7AE0" w:rsidRPr="005E3B43">
              <w:t>items 4</w:t>
            </w:r>
            <w:r w:rsidR="009B3150" w:rsidRPr="005E3B43">
              <w:t>, 5)</w:t>
            </w:r>
          </w:p>
        </w:tc>
        <w:tc>
          <w:tcPr>
            <w:tcW w:w="1218" w:type="pct"/>
            <w:tcBorders>
              <w:top w:val="single" w:sz="4" w:space="0" w:color="auto"/>
              <w:bottom w:val="single" w:sz="4" w:space="0" w:color="auto"/>
            </w:tcBorders>
            <w:shd w:val="clear" w:color="auto" w:fill="auto"/>
          </w:tcPr>
          <w:p w14:paraId="349E80B0" w14:textId="77777777" w:rsidR="00494E79" w:rsidRPr="005E3B43" w:rsidRDefault="009B3150" w:rsidP="00763BCF">
            <w:pPr>
              <w:pStyle w:val="ENoteTableText"/>
            </w:pPr>
            <w:r w:rsidRPr="005E3B43">
              <w:t>—</w:t>
            </w:r>
          </w:p>
        </w:tc>
      </w:tr>
      <w:tr w:rsidR="00224C7A" w:rsidRPr="005E3B43" w14:paraId="02FF4B72" w14:textId="77777777" w:rsidTr="00FA0599">
        <w:trPr>
          <w:cantSplit/>
        </w:trPr>
        <w:tc>
          <w:tcPr>
            <w:tcW w:w="1310" w:type="pct"/>
            <w:tcBorders>
              <w:top w:val="single" w:sz="4" w:space="0" w:color="auto"/>
              <w:bottom w:val="single" w:sz="4" w:space="0" w:color="auto"/>
            </w:tcBorders>
            <w:shd w:val="clear" w:color="auto" w:fill="auto"/>
          </w:tcPr>
          <w:p w14:paraId="1C913E79" w14:textId="7B322683" w:rsidR="00224C7A" w:rsidRPr="005E3B43" w:rsidRDefault="00224C7A" w:rsidP="00763BCF">
            <w:pPr>
              <w:pStyle w:val="ENoteTableText"/>
            </w:pPr>
            <w:r w:rsidRPr="005E3B43">
              <w:t xml:space="preserve">Therapeutic Goods Legislation Amendment (2020 Measures No. 2) </w:t>
            </w:r>
            <w:r w:rsidR="007C3215">
              <w:t>Regulations 2</w:t>
            </w:r>
            <w:r w:rsidRPr="005E3B43">
              <w:t>020</w:t>
            </w:r>
          </w:p>
        </w:tc>
        <w:tc>
          <w:tcPr>
            <w:tcW w:w="1080" w:type="pct"/>
            <w:tcBorders>
              <w:top w:val="single" w:sz="4" w:space="0" w:color="auto"/>
              <w:bottom w:val="single" w:sz="4" w:space="0" w:color="auto"/>
            </w:tcBorders>
            <w:shd w:val="clear" w:color="auto" w:fill="auto"/>
          </w:tcPr>
          <w:p w14:paraId="0B1660D5" w14:textId="77777777" w:rsidR="00224C7A" w:rsidRPr="005E3B43" w:rsidRDefault="00224C7A" w:rsidP="00763BCF">
            <w:pPr>
              <w:pStyle w:val="ENoteTableText"/>
            </w:pPr>
            <w:r w:rsidRPr="005E3B43">
              <w:t>14 Dec 2020 (F2020L01598)</w:t>
            </w:r>
          </w:p>
        </w:tc>
        <w:tc>
          <w:tcPr>
            <w:tcW w:w="1392" w:type="pct"/>
            <w:tcBorders>
              <w:top w:val="single" w:sz="4" w:space="0" w:color="auto"/>
              <w:bottom w:val="single" w:sz="4" w:space="0" w:color="auto"/>
            </w:tcBorders>
            <w:shd w:val="clear" w:color="auto" w:fill="auto"/>
          </w:tcPr>
          <w:p w14:paraId="748D79AF" w14:textId="77777777" w:rsidR="00224C7A" w:rsidRPr="005E3B43" w:rsidRDefault="00224C7A" w:rsidP="00763BCF">
            <w:pPr>
              <w:pStyle w:val="ENoteTableText"/>
            </w:pPr>
            <w:r w:rsidRPr="005E3B43">
              <w:t>Sch 1 (</w:t>
            </w:r>
            <w:r w:rsidR="003C0723" w:rsidRPr="005E3B43">
              <w:t>items 3</w:t>
            </w:r>
            <w:r w:rsidRPr="005E3B43">
              <w:t xml:space="preserve">–10): 15 Dec 2020 (s 2(1) </w:t>
            </w:r>
            <w:r w:rsidR="006B5D8E" w:rsidRPr="005E3B43">
              <w:t>item 3</w:t>
            </w:r>
            <w:r w:rsidRPr="005E3B43">
              <w:t>)</w:t>
            </w:r>
          </w:p>
        </w:tc>
        <w:tc>
          <w:tcPr>
            <w:tcW w:w="1218" w:type="pct"/>
            <w:tcBorders>
              <w:top w:val="single" w:sz="4" w:space="0" w:color="auto"/>
              <w:bottom w:val="single" w:sz="4" w:space="0" w:color="auto"/>
            </w:tcBorders>
            <w:shd w:val="clear" w:color="auto" w:fill="auto"/>
          </w:tcPr>
          <w:p w14:paraId="72821227" w14:textId="77777777" w:rsidR="00224C7A" w:rsidRPr="005E3B43" w:rsidRDefault="00224C7A" w:rsidP="00763BCF">
            <w:pPr>
              <w:pStyle w:val="ENoteTableText"/>
            </w:pPr>
            <w:r w:rsidRPr="005E3B43">
              <w:t>—</w:t>
            </w:r>
          </w:p>
        </w:tc>
      </w:tr>
      <w:tr w:rsidR="002461D7" w:rsidRPr="005E3B43" w14:paraId="666FA575" w14:textId="77777777" w:rsidTr="00ED7DBA">
        <w:trPr>
          <w:cantSplit/>
        </w:trPr>
        <w:tc>
          <w:tcPr>
            <w:tcW w:w="1310" w:type="pct"/>
            <w:tcBorders>
              <w:top w:val="single" w:sz="4" w:space="0" w:color="auto"/>
              <w:bottom w:val="single" w:sz="4" w:space="0" w:color="auto"/>
            </w:tcBorders>
            <w:shd w:val="clear" w:color="auto" w:fill="auto"/>
          </w:tcPr>
          <w:p w14:paraId="16FE0FD6" w14:textId="68708F75" w:rsidR="002461D7" w:rsidRPr="005E3B43" w:rsidRDefault="002461D7" w:rsidP="00763BCF">
            <w:pPr>
              <w:pStyle w:val="ENoteTableText"/>
            </w:pPr>
            <w:r w:rsidRPr="005E3B43">
              <w:t xml:space="preserve">Therapeutic Goods Legislation Amendment (2021 Measures No. 1) </w:t>
            </w:r>
            <w:r w:rsidR="007C3215">
              <w:t>Regulations 2</w:t>
            </w:r>
            <w:r w:rsidRPr="005E3B43">
              <w:t>021</w:t>
            </w:r>
          </w:p>
        </w:tc>
        <w:tc>
          <w:tcPr>
            <w:tcW w:w="1080" w:type="pct"/>
            <w:tcBorders>
              <w:top w:val="single" w:sz="4" w:space="0" w:color="auto"/>
              <w:bottom w:val="single" w:sz="4" w:space="0" w:color="auto"/>
            </w:tcBorders>
            <w:shd w:val="clear" w:color="auto" w:fill="auto"/>
          </w:tcPr>
          <w:p w14:paraId="2BB239CC" w14:textId="77777777" w:rsidR="002461D7" w:rsidRPr="005E3B43" w:rsidRDefault="002461D7" w:rsidP="00763BCF">
            <w:pPr>
              <w:pStyle w:val="ENoteTableText"/>
            </w:pPr>
            <w:r w:rsidRPr="005E3B43">
              <w:t>16 Apr 2021 (F2021L00450)</w:t>
            </w:r>
          </w:p>
        </w:tc>
        <w:tc>
          <w:tcPr>
            <w:tcW w:w="1392" w:type="pct"/>
            <w:tcBorders>
              <w:top w:val="single" w:sz="4" w:space="0" w:color="auto"/>
              <w:bottom w:val="single" w:sz="4" w:space="0" w:color="auto"/>
            </w:tcBorders>
            <w:shd w:val="clear" w:color="auto" w:fill="auto"/>
          </w:tcPr>
          <w:p w14:paraId="6F60024D" w14:textId="7B516C24" w:rsidR="002461D7" w:rsidRPr="005E3B43" w:rsidRDefault="002461D7" w:rsidP="00763BCF">
            <w:pPr>
              <w:pStyle w:val="ENoteTableText"/>
            </w:pPr>
            <w:r w:rsidRPr="005E3B43">
              <w:t>Sch 1 (</w:t>
            </w:r>
            <w:r w:rsidR="007C3215">
              <w:t>items 1</w:t>
            </w:r>
            <w:r w:rsidRPr="005E3B43">
              <w:t xml:space="preserve">, 2): 19 Apr 2021 (s 2(1) </w:t>
            </w:r>
            <w:r w:rsidR="006B5D8E" w:rsidRPr="005E3B43">
              <w:t>item 2</w:t>
            </w:r>
            <w:r w:rsidRPr="005E3B43">
              <w:t>)</w:t>
            </w:r>
            <w:r w:rsidRPr="005E3B43">
              <w:br/>
              <w:t>Sch 1 (</w:t>
            </w:r>
            <w:r w:rsidR="006B5D8E" w:rsidRPr="005E3B43">
              <w:t>item 3</w:t>
            </w:r>
            <w:r w:rsidRPr="005E3B43">
              <w:t xml:space="preserve">): 17 Apr 2021 (s 2(1) </w:t>
            </w:r>
            <w:r w:rsidR="006B5D8E" w:rsidRPr="005E3B43">
              <w:t>item 3</w:t>
            </w:r>
            <w:r w:rsidRPr="005E3B43">
              <w:t>)</w:t>
            </w:r>
          </w:p>
        </w:tc>
        <w:tc>
          <w:tcPr>
            <w:tcW w:w="1218" w:type="pct"/>
            <w:tcBorders>
              <w:top w:val="single" w:sz="4" w:space="0" w:color="auto"/>
              <w:bottom w:val="single" w:sz="4" w:space="0" w:color="auto"/>
            </w:tcBorders>
            <w:shd w:val="clear" w:color="auto" w:fill="auto"/>
          </w:tcPr>
          <w:p w14:paraId="514530D8" w14:textId="77777777" w:rsidR="002461D7" w:rsidRPr="005E3B43" w:rsidRDefault="002461D7" w:rsidP="00763BCF">
            <w:pPr>
              <w:pStyle w:val="ENoteTableText"/>
            </w:pPr>
            <w:r w:rsidRPr="005E3B43">
              <w:t>—</w:t>
            </w:r>
          </w:p>
        </w:tc>
      </w:tr>
      <w:tr w:rsidR="00D442D6" w:rsidRPr="005E3B43" w14:paraId="67DE9B70" w14:textId="77777777" w:rsidTr="00AC3168">
        <w:trPr>
          <w:cantSplit/>
        </w:trPr>
        <w:tc>
          <w:tcPr>
            <w:tcW w:w="1310" w:type="pct"/>
            <w:tcBorders>
              <w:top w:val="single" w:sz="4" w:space="0" w:color="auto"/>
              <w:bottom w:val="single" w:sz="4" w:space="0" w:color="auto"/>
            </w:tcBorders>
            <w:shd w:val="clear" w:color="auto" w:fill="auto"/>
          </w:tcPr>
          <w:p w14:paraId="642B7549" w14:textId="446BEE14" w:rsidR="00D442D6" w:rsidRPr="005E3B43" w:rsidRDefault="00D442D6" w:rsidP="00763BCF">
            <w:pPr>
              <w:pStyle w:val="ENoteTableText"/>
            </w:pPr>
            <w:r w:rsidRPr="005E3B43">
              <w:t xml:space="preserve">Therapeutic Goods Legislation Amendment (Fees) </w:t>
            </w:r>
            <w:r w:rsidR="007C3215">
              <w:t>Regulations 2</w:t>
            </w:r>
            <w:r w:rsidRPr="005E3B43">
              <w:t>021</w:t>
            </w:r>
          </w:p>
        </w:tc>
        <w:tc>
          <w:tcPr>
            <w:tcW w:w="1080" w:type="pct"/>
            <w:tcBorders>
              <w:top w:val="single" w:sz="4" w:space="0" w:color="auto"/>
              <w:bottom w:val="single" w:sz="4" w:space="0" w:color="auto"/>
            </w:tcBorders>
            <w:shd w:val="clear" w:color="auto" w:fill="auto"/>
          </w:tcPr>
          <w:p w14:paraId="723F4E0E" w14:textId="77777777" w:rsidR="00D442D6" w:rsidRPr="005E3B43" w:rsidRDefault="00E008BA" w:rsidP="00763BCF">
            <w:pPr>
              <w:pStyle w:val="ENoteTableText"/>
            </w:pPr>
            <w:r w:rsidRPr="005E3B43">
              <w:t>3 June</w:t>
            </w:r>
            <w:r w:rsidR="00D442D6" w:rsidRPr="005E3B43">
              <w:t xml:space="preserve"> 2021 (F2021L00688)</w:t>
            </w:r>
          </w:p>
        </w:tc>
        <w:tc>
          <w:tcPr>
            <w:tcW w:w="1392" w:type="pct"/>
            <w:tcBorders>
              <w:top w:val="single" w:sz="4" w:space="0" w:color="auto"/>
              <w:bottom w:val="single" w:sz="4" w:space="0" w:color="auto"/>
            </w:tcBorders>
            <w:shd w:val="clear" w:color="auto" w:fill="auto"/>
          </w:tcPr>
          <w:p w14:paraId="01A25571" w14:textId="0CA3AF8E" w:rsidR="00D442D6" w:rsidRPr="005E3B43" w:rsidRDefault="00D442D6" w:rsidP="00763BCF">
            <w:pPr>
              <w:pStyle w:val="ENoteTableText"/>
            </w:pPr>
            <w:r w:rsidRPr="005E3B43">
              <w:t>Sch 1 (</w:t>
            </w:r>
            <w:r w:rsidR="007C3215">
              <w:t>items 2</w:t>
            </w:r>
            <w:r w:rsidRPr="005E3B43">
              <w:t xml:space="preserve">, 3): </w:t>
            </w:r>
            <w:r w:rsidR="006B5D8E" w:rsidRPr="005E3B43">
              <w:t>1 July</w:t>
            </w:r>
            <w:r w:rsidRPr="005E3B43">
              <w:t xml:space="preserve"> 2021 (s 2(1) </w:t>
            </w:r>
            <w:r w:rsidR="007C3215">
              <w:t>item 1</w:t>
            </w:r>
            <w:r w:rsidRPr="005E3B43">
              <w:t>)</w:t>
            </w:r>
          </w:p>
        </w:tc>
        <w:tc>
          <w:tcPr>
            <w:tcW w:w="1218" w:type="pct"/>
            <w:tcBorders>
              <w:top w:val="single" w:sz="4" w:space="0" w:color="auto"/>
              <w:bottom w:val="single" w:sz="4" w:space="0" w:color="auto"/>
            </w:tcBorders>
            <w:shd w:val="clear" w:color="auto" w:fill="auto"/>
          </w:tcPr>
          <w:p w14:paraId="4BB48852" w14:textId="77777777" w:rsidR="00D442D6" w:rsidRPr="005E3B43" w:rsidRDefault="00D442D6" w:rsidP="00763BCF">
            <w:pPr>
              <w:pStyle w:val="ENoteTableText"/>
            </w:pPr>
            <w:r w:rsidRPr="005E3B43">
              <w:t>—</w:t>
            </w:r>
          </w:p>
        </w:tc>
      </w:tr>
      <w:tr w:rsidR="002253B0" w:rsidRPr="005E3B43" w14:paraId="5FC551D8" w14:textId="77777777" w:rsidTr="006D0BFC">
        <w:trPr>
          <w:cantSplit/>
        </w:trPr>
        <w:tc>
          <w:tcPr>
            <w:tcW w:w="1310" w:type="pct"/>
            <w:tcBorders>
              <w:top w:val="single" w:sz="4" w:space="0" w:color="auto"/>
              <w:bottom w:val="single" w:sz="4" w:space="0" w:color="auto"/>
            </w:tcBorders>
            <w:shd w:val="clear" w:color="auto" w:fill="auto"/>
          </w:tcPr>
          <w:p w14:paraId="61FE0156" w14:textId="42F5768F" w:rsidR="002253B0" w:rsidRPr="005E3B43" w:rsidRDefault="002253B0" w:rsidP="00763BCF">
            <w:pPr>
              <w:pStyle w:val="ENoteTableText"/>
            </w:pPr>
            <w:r w:rsidRPr="005E3B43">
              <w:t xml:space="preserve">Therapeutic Goods Legislation Amendment (2021 Measures No. 2) </w:t>
            </w:r>
            <w:r w:rsidR="007C3215">
              <w:t>Regulations 2</w:t>
            </w:r>
            <w:r w:rsidRPr="005E3B43">
              <w:t>021</w:t>
            </w:r>
          </w:p>
        </w:tc>
        <w:tc>
          <w:tcPr>
            <w:tcW w:w="1080" w:type="pct"/>
            <w:tcBorders>
              <w:top w:val="single" w:sz="4" w:space="0" w:color="auto"/>
              <w:bottom w:val="single" w:sz="4" w:space="0" w:color="auto"/>
            </w:tcBorders>
            <w:shd w:val="clear" w:color="auto" w:fill="auto"/>
          </w:tcPr>
          <w:p w14:paraId="68861E6D" w14:textId="77777777" w:rsidR="002253B0" w:rsidRPr="005E3B43" w:rsidRDefault="00D1064E" w:rsidP="00763BCF">
            <w:pPr>
              <w:pStyle w:val="ENoteTableText"/>
            </w:pPr>
            <w:r w:rsidRPr="005E3B43">
              <w:t>27 July</w:t>
            </w:r>
            <w:r w:rsidR="002253B0" w:rsidRPr="005E3B43">
              <w:t xml:space="preserve"> 2021 (F2021L01032)</w:t>
            </w:r>
          </w:p>
        </w:tc>
        <w:tc>
          <w:tcPr>
            <w:tcW w:w="1392" w:type="pct"/>
            <w:tcBorders>
              <w:top w:val="single" w:sz="4" w:space="0" w:color="auto"/>
              <w:bottom w:val="single" w:sz="4" w:space="0" w:color="auto"/>
            </w:tcBorders>
            <w:shd w:val="clear" w:color="auto" w:fill="auto"/>
          </w:tcPr>
          <w:p w14:paraId="7C4A21CC" w14:textId="301A9125" w:rsidR="002253B0" w:rsidRPr="005E3B43" w:rsidRDefault="002253B0" w:rsidP="00763BCF">
            <w:pPr>
              <w:pStyle w:val="ENoteTableText"/>
            </w:pPr>
            <w:r w:rsidRPr="005E3B43">
              <w:t>Sch 1 (</w:t>
            </w:r>
            <w:r w:rsidR="007C3215">
              <w:t>items 1</w:t>
            </w:r>
            <w:r w:rsidRPr="005E3B43">
              <w:t xml:space="preserve">, 2, 6–8, 13, 15): </w:t>
            </w:r>
            <w:r w:rsidR="00D1064E" w:rsidRPr="005E3B43">
              <w:t>28 July</w:t>
            </w:r>
            <w:r w:rsidRPr="005E3B43">
              <w:t xml:space="preserve"> 2021 (s 2(1) </w:t>
            </w:r>
            <w:r w:rsidR="007C3215">
              <w:t>item 1</w:t>
            </w:r>
            <w:r w:rsidRPr="005E3B43">
              <w:t>)</w:t>
            </w:r>
          </w:p>
        </w:tc>
        <w:tc>
          <w:tcPr>
            <w:tcW w:w="1218" w:type="pct"/>
            <w:tcBorders>
              <w:top w:val="single" w:sz="4" w:space="0" w:color="auto"/>
              <w:bottom w:val="single" w:sz="4" w:space="0" w:color="auto"/>
            </w:tcBorders>
            <w:shd w:val="clear" w:color="auto" w:fill="auto"/>
          </w:tcPr>
          <w:p w14:paraId="42FF8605" w14:textId="77777777" w:rsidR="002253B0" w:rsidRPr="005E3B43" w:rsidRDefault="002253B0" w:rsidP="00763BCF">
            <w:pPr>
              <w:pStyle w:val="ENoteTableText"/>
            </w:pPr>
            <w:r w:rsidRPr="005E3B43">
              <w:t>—</w:t>
            </w:r>
          </w:p>
        </w:tc>
      </w:tr>
      <w:tr w:rsidR="00301EE4" w:rsidRPr="005E3B43" w14:paraId="3A22424F" w14:textId="77777777" w:rsidTr="001839A3">
        <w:trPr>
          <w:cantSplit/>
        </w:trPr>
        <w:tc>
          <w:tcPr>
            <w:tcW w:w="1310" w:type="pct"/>
            <w:tcBorders>
              <w:top w:val="single" w:sz="4" w:space="0" w:color="auto"/>
              <w:bottom w:val="single" w:sz="4" w:space="0" w:color="auto"/>
            </w:tcBorders>
            <w:shd w:val="clear" w:color="auto" w:fill="auto"/>
          </w:tcPr>
          <w:p w14:paraId="2FE1B81E" w14:textId="623A0577" w:rsidR="00301EE4" w:rsidRPr="005E3B43" w:rsidRDefault="00B53CCB" w:rsidP="00763BCF">
            <w:pPr>
              <w:pStyle w:val="ENoteTableText"/>
            </w:pPr>
            <w:r w:rsidRPr="005E3B43">
              <w:t xml:space="preserve">Minamata Convention on Mercury (Consequential Amendments) </w:t>
            </w:r>
            <w:r w:rsidR="007C3215">
              <w:t>Regulations 2</w:t>
            </w:r>
            <w:r w:rsidRPr="005E3B43">
              <w:t>021</w:t>
            </w:r>
          </w:p>
        </w:tc>
        <w:tc>
          <w:tcPr>
            <w:tcW w:w="1080" w:type="pct"/>
            <w:tcBorders>
              <w:top w:val="single" w:sz="4" w:space="0" w:color="auto"/>
              <w:bottom w:val="single" w:sz="4" w:space="0" w:color="auto"/>
            </w:tcBorders>
            <w:shd w:val="clear" w:color="auto" w:fill="auto"/>
          </w:tcPr>
          <w:p w14:paraId="016118EA" w14:textId="77777777" w:rsidR="00301EE4" w:rsidRPr="005E3B43" w:rsidRDefault="00B53CCB" w:rsidP="00763BCF">
            <w:pPr>
              <w:pStyle w:val="ENoteTableText"/>
            </w:pPr>
            <w:r w:rsidRPr="005E3B43">
              <w:t>5 Oct 2021 (F2021L01390)</w:t>
            </w:r>
          </w:p>
        </w:tc>
        <w:tc>
          <w:tcPr>
            <w:tcW w:w="1392" w:type="pct"/>
            <w:tcBorders>
              <w:top w:val="single" w:sz="4" w:space="0" w:color="auto"/>
              <w:bottom w:val="single" w:sz="4" w:space="0" w:color="auto"/>
            </w:tcBorders>
            <w:shd w:val="clear" w:color="auto" w:fill="auto"/>
          </w:tcPr>
          <w:p w14:paraId="05057D76" w14:textId="0AD9C009" w:rsidR="00301EE4" w:rsidRPr="005E3B43" w:rsidRDefault="00B53CCB" w:rsidP="00763BCF">
            <w:pPr>
              <w:pStyle w:val="ENoteTableText"/>
            </w:pPr>
            <w:r w:rsidRPr="005E3B43">
              <w:t>Sch 1 (</w:t>
            </w:r>
            <w:r w:rsidR="00842CCD" w:rsidRPr="005E3B43">
              <w:t>items 5</w:t>
            </w:r>
            <w:r w:rsidRPr="005E3B43">
              <w:t xml:space="preserve">7–59): </w:t>
            </w:r>
            <w:r w:rsidR="00641D02" w:rsidRPr="005E3B43">
              <w:t xml:space="preserve">7 Mar 2022 (s 2(1) </w:t>
            </w:r>
            <w:r w:rsidR="007C3215">
              <w:t>item 1</w:t>
            </w:r>
            <w:r w:rsidR="00641D02" w:rsidRPr="005E3B43">
              <w:t>)</w:t>
            </w:r>
          </w:p>
        </w:tc>
        <w:tc>
          <w:tcPr>
            <w:tcW w:w="1218" w:type="pct"/>
            <w:tcBorders>
              <w:top w:val="single" w:sz="4" w:space="0" w:color="auto"/>
              <w:bottom w:val="single" w:sz="4" w:space="0" w:color="auto"/>
            </w:tcBorders>
            <w:shd w:val="clear" w:color="auto" w:fill="auto"/>
          </w:tcPr>
          <w:p w14:paraId="3EAAD10A" w14:textId="77777777" w:rsidR="00301EE4" w:rsidRPr="005E3B43" w:rsidRDefault="00B53CCB" w:rsidP="00763BCF">
            <w:pPr>
              <w:pStyle w:val="ENoteTableText"/>
            </w:pPr>
            <w:r w:rsidRPr="005E3B43">
              <w:t>—</w:t>
            </w:r>
          </w:p>
        </w:tc>
      </w:tr>
      <w:tr w:rsidR="00B53CCB" w:rsidRPr="005E3B43" w14:paraId="65766CD6" w14:textId="77777777" w:rsidTr="008E18C2">
        <w:trPr>
          <w:cantSplit/>
        </w:trPr>
        <w:tc>
          <w:tcPr>
            <w:tcW w:w="1310" w:type="pct"/>
            <w:tcBorders>
              <w:top w:val="single" w:sz="4" w:space="0" w:color="auto"/>
              <w:bottom w:val="single" w:sz="4" w:space="0" w:color="auto"/>
            </w:tcBorders>
            <w:shd w:val="clear" w:color="auto" w:fill="auto"/>
          </w:tcPr>
          <w:p w14:paraId="4F56AAD6" w14:textId="38420C9A" w:rsidR="00B53CCB" w:rsidRPr="005E3B43" w:rsidRDefault="00E466BB" w:rsidP="00763BCF">
            <w:pPr>
              <w:pStyle w:val="ENoteTableText"/>
            </w:pPr>
            <w:r w:rsidRPr="005E3B43">
              <w:t xml:space="preserve">Therapeutic Goods Legislation Amendment (2021 Measures No. 3) </w:t>
            </w:r>
            <w:r w:rsidR="007C3215">
              <w:t>Regulations 2</w:t>
            </w:r>
            <w:r w:rsidRPr="005E3B43">
              <w:t>021</w:t>
            </w:r>
          </w:p>
        </w:tc>
        <w:tc>
          <w:tcPr>
            <w:tcW w:w="1080" w:type="pct"/>
            <w:tcBorders>
              <w:top w:val="single" w:sz="4" w:space="0" w:color="auto"/>
              <w:bottom w:val="single" w:sz="4" w:space="0" w:color="auto"/>
            </w:tcBorders>
            <w:shd w:val="clear" w:color="auto" w:fill="auto"/>
          </w:tcPr>
          <w:p w14:paraId="4AE4C149" w14:textId="77777777" w:rsidR="00B53CCB" w:rsidRPr="005E3B43" w:rsidRDefault="00E466BB" w:rsidP="00763BCF">
            <w:pPr>
              <w:pStyle w:val="ENoteTableText"/>
            </w:pPr>
            <w:r w:rsidRPr="005E3B43">
              <w:t>28 Oct 2021 (F2021L01474)</w:t>
            </w:r>
          </w:p>
        </w:tc>
        <w:tc>
          <w:tcPr>
            <w:tcW w:w="1392" w:type="pct"/>
            <w:tcBorders>
              <w:top w:val="single" w:sz="4" w:space="0" w:color="auto"/>
              <w:bottom w:val="single" w:sz="4" w:space="0" w:color="auto"/>
            </w:tcBorders>
            <w:shd w:val="clear" w:color="auto" w:fill="auto"/>
          </w:tcPr>
          <w:p w14:paraId="44D7FCCA" w14:textId="77777777" w:rsidR="00B53CCB" w:rsidRPr="005E3B43" w:rsidRDefault="00E466BB" w:rsidP="00763BCF">
            <w:pPr>
              <w:pStyle w:val="ENoteTableText"/>
            </w:pPr>
            <w:r w:rsidRPr="005E3B43">
              <w:t>Sch 1 (</w:t>
            </w:r>
            <w:r w:rsidR="00842CCD" w:rsidRPr="005E3B43">
              <w:t>items 5</w:t>
            </w:r>
            <w:r w:rsidRPr="005E3B43">
              <w:t xml:space="preserve">4–61, 70–82, 87): </w:t>
            </w:r>
            <w:r w:rsidR="00BE7FAC" w:rsidRPr="005E3B43">
              <w:t>29 Oct</w:t>
            </w:r>
            <w:r w:rsidRPr="005E3B43">
              <w:t xml:space="preserve"> 2021 (s 2(1) </w:t>
            </w:r>
            <w:r w:rsidR="00BE7FAC" w:rsidRPr="005E3B43">
              <w:t>item 7</w:t>
            </w:r>
            <w:r w:rsidRPr="005E3B43">
              <w:t>)</w:t>
            </w:r>
          </w:p>
        </w:tc>
        <w:tc>
          <w:tcPr>
            <w:tcW w:w="1218" w:type="pct"/>
            <w:tcBorders>
              <w:top w:val="single" w:sz="4" w:space="0" w:color="auto"/>
              <w:bottom w:val="single" w:sz="4" w:space="0" w:color="auto"/>
            </w:tcBorders>
            <w:shd w:val="clear" w:color="auto" w:fill="auto"/>
          </w:tcPr>
          <w:p w14:paraId="2D09A11C" w14:textId="77777777" w:rsidR="00B53CCB" w:rsidRPr="005E3B43" w:rsidRDefault="00E466BB" w:rsidP="00763BCF">
            <w:pPr>
              <w:pStyle w:val="ENoteTableText"/>
            </w:pPr>
            <w:r w:rsidRPr="005E3B43">
              <w:t>—</w:t>
            </w:r>
          </w:p>
        </w:tc>
      </w:tr>
      <w:tr w:rsidR="00640347" w:rsidRPr="005E3B43" w14:paraId="658EBBF5" w14:textId="77777777" w:rsidTr="00DA364E">
        <w:trPr>
          <w:cantSplit/>
        </w:trPr>
        <w:tc>
          <w:tcPr>
            <w:tcW w:w="1310" w:type="pct"/>
            <w:tcBorders>
              <w:top w:val="single" w:sz="4" w:space="0" w:color="auto"/>
              <w:bottom w:val="single" w:sz="4" w:space="0" w:color="auto"/>
            </w:tcBorders>
            <w:shd w:val="clear" w:color="auto" w:fill="auto"/>
          </w:tcPr>
          <w:p w14:paraId="0B3A3A64" w14:textId="2DF28325" w:rsidR="00640347" w:rsidRPr="005E3B43" w:rsidRDefault="00640347" w:rsidP="00763BCF">
            <w:pPr>
              <w:pStyle w:val="ENoteTableText"/>
            </w:pPr>
            <w:r w:rsidRPr="005E3B43">
              <w:t xml:space="preserve">Therapeutic Goods Legislation Amendment (2021 Measures No. 4) </w:t>
            </w:r>
            <w:r w:rsidR="007C3215">
              <w:t>Regulations 2</w:t>
            </w:r>
            <w:r w:rsidRPr="005E3B43">
              <w:t>021</w:t>
            </w:r>
          </w:p>
        </w:tc>
        <w:tc>
          <w:tcPr>
            <w:tcW w:w="1080" w:type="pct"/>
            <w:tcBorders>
              <w:top w:val="single" w:sz="4" w:space="0" w:color="auto"/>
              <w:bottom w:val="single" w:sz="4" w:space="0" w:color="auto"/>
            </w:tcBorders>
            <w:shd w:val="clear" w:color="auto" w:fill="auto"/>
          </w:tcPr>
          <w:p w14:paraId="53DED057" w14:textId="77777777" w:rsidR="00640347" w:rsidRPr="005E3B43" w:rsidRDefault="00640347" w:rsidP="00763BCF">
            <w:pPr>
              <w:pStyle w:val="ENoteTableText"/>
            </w:pPr>
            <w:r w:rsidRPr="005E3B43">
              <w:t>17 Dec 2021 (F2021L01809)</w:t>
            </w:r>
          </w:p>
        </w:tc>
        <w:tc>
          <w:tcPr>
            <w:tcW w:w="1392" w:type="pct"/>
            <w:tcBorders>
              <w:top w:val="single" w:sz="4" w:space="0" w:color="auto"/>
              <w:bottom w:val="single" w:sz="4" w:space="0" w:color="auto"/>
            </w:tcBorders>
            <w:shd w:val="clear" w:color="auto" w:fill="auto"/>
          </w:tcPr>
          <w:p w14:paraId="25EB746C" w14:textId="3B1AB7EF" w:rsidR="00640347" w:rsidRPr="005E3B43" w:rsidRDefault="00640347" w:rsidP="00763BCF">
            <w:pPr>
              <w:pStyle w:val="ENoteTableText"/>
            </w:pPr>
            <w:r w:rsidRPr="005E3B43">
              <w:t>Sch 1 (</w:t>
            </w:r>
            <w:r w:rsidR="00842CCD" w:rsidRPr="005E3B43">
              <w:t>items 5</w:t>
            </w:r>
            <w:r w:rsidRPr="005E3B43">
              <w:t>–10):</w:t>
            </w:r>
            <w:r w:rsidR="007660D5" w:rsidRPr="005E3B43">
              <w:t xml:space="preserve"> </w:t>
            </w:r>
            <w:r w:rsidRPr="005E3B43">
              <w:t xml:space="preserve">18 Dec 2021 (s 2(1) </w:t>
            </w:r>
            <w:r w:rsidR="006B5D8E" w:rsidRPr="005E3B43">
              <w:t>item 3</w:t>
            </w:r>
            <w:r w:rsidRPr="005E3B43">
              <w:t>)</w:t>
            </w:r>
            <w:r w:rsidR="00FC29BF" w:rsidRPr="005E3B43">
              <w:br/>
              <w:t>Sch 1 (</w:t>
            </w:r>
            <w:r w:rsidR="007C3215">
              <w:t>items 1</w:t>
            </w:r>
            <w:r w:rsidR="00FC29BF" w:rsidRPr="005E3B43">
              <w:t xml:space="preserve">1–18): 1 Jan 2022 (s 2(1) </w:t>
            </w:r>
            <w:r w:rsidR="006B5D8E" w:rsidRPr="005E3B43">
              <w:t>item 4</w:t>
            </w:r>
            <w:r w:rsidR="00FC29BF" w:rsidRPr="005E3B43">
              <w:t>)</w:t>
            </w:r>
          </w:p>
        </w:tc>
        <w:tc>
          <w:tcPr>
            <w:tcW w:w="1218" w:type="pct"/>
            <w:tcBorders>
              <w:top w:val="single" w:sz="4" w:space="0" w:color="auto"/>
              <w:bottom w:val="single" w:sz="4" w:space="0" w:color="auto"/>
            </w:tcBorders>
            <w:shd w:val="clear" w:color="auto" w:fill="auto"/>
          </w:tcPr>
          <w:p w14:paraId="54DE0C67" w14:textId="77777777" w:rsidR="00640347" w:rsidRPr="005E3B43" w:rsidRDefault="00FC29BF" w:rsidP="00763BCF">
            <w:pPr>
              <w:pStyle w:val="ENoteTableText"/>
            </w:pPr>
            <w:r w:rsidRPr="005E3B43">
              <w:t>—</w:t>
            </w:r>
          </w:p>
        </w:tc>
      </w:tr>
      <w:tr w:rsidR="00805CDF" w:rsidRPr="005E3B43" w14:paraId="69AF7BB3" w14:textId="77777777" w:rsidTr="00193FE3">
        <w:trPr>
          <w:cantSplit/>
        </w:trPr>
        <w:tc>
          <w:tcPr>
            <w:tcW w:w="1310" w:type="pct"/>
            <w:tcBorders>
              <w:top w:val="single" w:sz="4" w:space="0" w:color="auto"/>
              <w:bottom w:val="single" w:sz="4" w:space="0" w:color="auto"/>
            </w:tcBorders>
            <w:shd w:val="clear" w:color="auto" w:fill="auto"/>
          </w:tcPr>
          <w:p w14:paraId="2FCD9F77" w14:textId="02101F71" w:rsidR="00805CDF" w:rsidRPr="005E3B43" w:rsidRDefault="00805CDF" w:rsidP="00763BCF">
            <w:pPr>
              <w:pStyle w:val="ENoteTableText"/>
            </w:pPr>
            <w:r w:rsidRPr="005E3B43">
              <w:lastRenderedPageBreak/>
              <w:t xml:space="preserve">Therapeutic Goods Legislation Amendment (2022 Measures No. 1) </w:t>
            </w:r>
            <w:r w:rsidR="007C3215">
              <w:t>Regulations 2</w:t>
            </w:r>
            <w:r w:rsidRPr="005E3B43">
              <w:t>022</w:t>
            </w:r>
          </w:p>
        </w:tc>
        <w:tc>
          <w:tcPr>
            <w:tcW w:w="1080" w:type="pct"/>
            <w:tcBorders>
              <w:top w:val="single" w:sz="4" w:space="0" w:color="auto"/>
              <w:bottom w:val="single" w:sz="4" w:space="0" w:color="auto"/>
            </w:tcBorders>
            <w:shd w:val="clear" w:color="auto" w:fill="auto"/>
          </w:tcPr>
          <w:p w14:paraId="7E6B5C90" w14:textId="77777777" w:rsidR="00805CDF" w:rsidRPr="005E3B43" w:rsidRDefault="00432E88" w:rsidP="00763BCF">
            <w:pPr>
              <w:pStyle w:val="ENoteTableText"/>
            </w:pPr>
            <w:r w:rsidRPr="005E3B43">
              <w:t>4 Mar 2022 (F2022L00243)</w:t>
            </w:r>
          </w:p>
        </w:tc>
        <w:tc>
          <w:tcPr>
            <w:tcW w:w="1392" w:type="pct"/>
            <w:tcBorders>
              <w:top w:val="single" w:sz="4" w:space="0" w:color="auto"/>
              <w:bottom w:val="single" w:sz="4" w:space="0" w:color="auto"/>
            </w:tcBorders>
            <w:shd w:val="clear" w:color="auto" w:fill="auto"/>
          </w:tcPr>
          <w:p w14:paraId="77CAF353" w14:textId="77777777" w:rsidR="00805CDF" w:rsidRPr="005E3B43" w:rsidRDefault="00432E88" w:rsidP="00763BCF">
            <w:pPr>
              <w:pStyle w:val="ENoteTableText"/>
            </w:pPr>
            <w:r w:rsidRPr="005E3B43">
              <w:t>Sch 1 (</w:t>
            </w:r>
            <w:r w:rsidR="003C0723" w:rsidRPr="005E3B43">
              <w:t>items 3</w:t>
            </w:r>
            <w:r w:rsidRPr="005E3B43">
              <w:t xml:space="preserve">, 4): 31 Mar 2022 (s 2(1) </w:t>
            </w:r>
            <w:r w:rsidR="006B5D8E" w:rsidRPr="005E3B43">
              <w:t>item 2</w:t>
            </w:r>
            <w:r w:rsidRPr="005E3B43">
              <w:t>)</w:t>
            </w:r>
            <w:r w:rsidRPr="005E3B43">
              <w:br/>
              <w:t xml:space="preserve">Sch 2: 7 Mar 2022 (s 2(1) </w:t>
            </w:r>
            <w:r w:rsidR="006B5D8E" w:rsidRPr="005E3B43">
              <w:t>item 3</w:t>
            </w:r>
            <w:r w:rsidRPr="005E3B43">
              <w:t>)</w:t>
            </w:r>
            <w:r w:rsidRPr="005E3B43">
              <w:br/>
              <w:t>Sch 3 (</w:t>
            </w:r>
            <w:r w:rsidR="006B5D8E" w:rsidRPr="005E3B43">
              <w:t>item 4</w:t>
            </w:r>
            <w:r w:rsidRPr="005E3B43">
              <w:t xml:space="preserve">): 5 Mar 2022 (s 2(1) </w:t>
            </w:r>
            <w:r w:rsidR="006B5D8E" w:rsidRPr="005E3B43">
              <w:t>item 4</w:t>
            </w:r>
            <w:r w:rsidRPr="005E3B43">
              <w:t>)</w:t>
            </w:r>
          </w:p>
        </w:tc>
        <w:tc>
          <w:tcPr>
            <w:tcW w:w="1218" w:type="pct"/>
            <w:tcBorders>
              <w:top w:val="single" w:sz="4" w:space="0" w:color="auto"/>
              <w:bottom w:val="single" w:sz="4" w:space="0" w:color="auto"/>
            </w:tcBorders>
            <w:shd w:val="clear" w:color="auto" w:fill="auto"/>
          </w:tcPr>
          <w:p w14:paraId="3FE5B076" w14:textId="77777777" w:rsidR="00805CDF" w:rsidRPr="005E3B43" w:rsidRDefault="00432E88" w:rsidP="00763BCF">
            <w:pPr>
              <w:pStyle w:val="ENoteTableText"/>
            </w:pPr>
            <w:r w:rsidRPr="005E3B43">
              <w:t>—</w:t>
            </w:r>
          </w:p>
        </w:tc>
      </w:tr>
      <w:tr w:rsidR="00D86E3C" w:rsidRPr="005E3B43" w14:paraId="617414E7" w14:textId="77777777" w:rsidTr="00C81B9D">
        <w:trPr>
          <w:cantSplit/>
        </w:trPr>
        <w:tc>
          <w:tcPr>
            <w:tcW w:w="1310" w:type="pct"/>
            <w:tcBorders>
              <w:top w:val="single" w:sz="4" w:space="0" w:color="auto"/>
              <w:bottom w:val="single" w:sz="4" w:space="0" w:color="auto"/>
            </w:tcBorders>
            <w:shd w:val="clear" w:color="auto" w:fill="auto"/>
          </w:tcPr>
          <w:p w14:paraId="0C298442" w14:textId="0284B1D3" w:rsidR="00D86E3C" w:rsidRPr="005E3B43" w:rsidRDefault="00D86E3C" w:rsidP="00763BCF">
            <w:pPr>
              <w:pStyle w:val="ENoteTableText"/>
            </w:pPr>
            <w:r w:rsidRPr="005E3B43">
              <w:t xml:space="preserve">Therapeutic Goods Legislation Amendment (Fees and Other Measures) </w:t>
            </w:r>
            <w:r w:rsidR="007C3215">
              <w:t>Regulations 2</w:t>
            </w:r>
            <w:r w:rsidRPr="005E3B43">
              <w:t>022</w:t>
            </w:r>
          </w:p>
        </w:tc>
        <w:tc>
          <w:tcPr>
            <w:tcW w:w="1080" w:type="pct"/>
            <w:tcBorders>
              <w:top w:val="single" w:sz="4" w:space="0" w:color="auto"/>
              <w:bottom w:val="single" w:sz="4" w:space="0" w:color="auto"/>
            </w:tcBorders>
            <w:shd w:val="clear" w:color="auto" w:fill="auto"/>
          </w:tcPr>
          <w:p w14:paraId="2FC37F9D" w14:textId="77777777" w:rsidR="00D86E3C" w:rsidRPr="005E3B43" w:rsidRDefault="00E75414" w:rsidP="00763BCF">
            <w:pPr>
              <w:pStyle w:val="ENoteTableText"/>
            </w:pPr>
            <w:r w:rsidRPr="005E3B43">
              <w:t>13 Apr 2022 (F2022L00600)</w:t>
            </w:r>
          </w:p>
        </w:tc>
        <w:tc>
          <w:tcPr>
            <w:tcW w:w="1392" w:type="pct"/>
            <w:tcBorders>
              <w:top w:val="single" w:sz="4" w:space="0" w:color="auto"/>
              <w:bottom w:val="single" w:sz="4" w:space="0" w:color="auto"/>
            </w:tcBorders>
            <w:shd w:val="clear" w:color="auto" w:fill="auto"/>
          </w:tcPr>
          <w:p w14:paraId="7A03873E" w14:textId="0DA3C2F9" w:rsidR="00D86E3C" w:rsidRPr="005E3B43" w:rsidRDefault="00E75414" w:rsidP="00763BCF">
            <w:pPr>
              <w:pStyle w:val="ENoteTableText"/>
            </w:pPr>
            <w:r w:rsidRPr="005E3B43">
              <w:t>Sch 1 (</w:t>
            </w:r>
            <w:r w:rsidR="00842CCD" w:rsidRPr="005E3B43">
              <w:t>items 5</w:t>
            </w:r>
            <w:r w:rsidRPr="005E3B43">
              <w:t xml:space="preserve">–11): </w:t>
            </w:r>
            <w:r w:rsidR="006B5D8E" w:rsidRPr="005E3B43">
              <w:t>1 July</w:t>
            </w:r>
            <w:r w:rsidRPr="005E3B43">
              <w:t xml:space="preserve"> 2022 (s 2(1) </w:t>
            </w:r>
            <w:r w:rsidR="007C3215">
              <w:t>item 1</w:t>
            </w:r>
            <w:r w:rsidRPr="005E3B43">
              <w:t>)</w:t>
            </w:r>
          </w:p>
        </w:tc>
        <w:tc>
          <w:tcPr>
            <w:tcW w:w="1218" w:type="pct"/>
            <w:tcBorders>
              <w:top w:val="single" w:sz="4" w:space="0" w:color="auto"/>
              <w:bottom w:val="single" w:sz="4" w:space="0" w:color="auto"/>
            </w:tcBorders>
            <w:shd w:val="clear" w:color="auto" w:fill="auto"/>
          </w:tcPr>
          <w:p w14:paraId="74685439" w14:textId="77777777" w:rsidR="00D86E3C" w:rsidRPr="005E3B43" w:rsidRDefault="00E75414" w:rsidP="00763BCF">
            <w:pPr>
              <w:pStyle w:val="ENoteTableText"/>
            </w:pPr>
            <w:r w:rsidRPr="005E3B43">
              <w:t>—</w:t>
            </w:r>
          </w:p>
        </w:tc>
      </w:tr>
      <w:tr w:rsidR="007F5E99" w:rsidRPr="005E3B43" w14:paraId="42B49E99" w14:textId="77777777" w:rsidTr="00D55E86">
        <w:trPr>
          <w:cantSplit/>
        </w:trPr>
        <w:tc>
          <w:tcPr>
            <w:tcW w:w="1310" w:type="pct"/>
            <w:tcBorders>
              <w:top w:val="single" w:sz="4" w:space="0" w:color="auto"/>
              <w:bottom w:val="single" w:sz="4" w:space="0" w:color="auto"/>
            </w:tcBorders>
            <w:shd w:val="clear" w:color="auto" w:fill="auto"/>
          </w:tcPr>
          <w:p w14:paraId="3D52C80C" w14:textId="0C817A32" w:rsidR="007F5E99" w:rsidRPr="005E3B43" w:rsidRDefault="007F5E99" w:rsidP="00763BCF">
            <w:pPr>
              <w:pStyle w:val="ENoteTableText"/>
            </w:pPr>
            <w:r w:rsidRPr="005E3B43">
              <w:t xml:space="preserve">Therapeutic Goods Legislation Amendment (2022 Measures No. 2) </w:t>
            </w:r>
            <w:r w:rsidR="007C3215">
              <w:t>Regulations 2</w:t>
            </w:r>
            <w:r w:rsidRPr="005E3B43">
              <w:t>022</w:t>
            </w:r>
          </w:p>
        </w:tc>
        <w:tc>
          <w:tcPr>
            <w:tcW w:w="1080" w:type="pct"/>
            <w:tcBorders>
              <w:top w:val="single" w:sz="4" w:space="0" w:color="auto"/>
              <w:bottom w:val="single" w:sz="4" w:space="0" w:color="auto"/>
            </w:tcBorders>
            <w:shd w:val="clear" w:color="auto" w:fill="auto"/>
          </w:tcPr>
          <w:p w14:paraId="2BD13DF1" w14:textId="77777777" w:rsidR="007F5E99" w:rsidRPr="005E3B43" w:rsidRDefault="007F5E99" w:rsidP="00763BCF">
            <w:pPr>
              <w:pStyle w:val="ENoteTableText"/>
            </w:pPr>
            <w:r w:rsidRPr="005E3B43">
              <w:t>30 Sept 2022 (F2022L01300)</w:t>
            </w:r>
          </w:p>
        </w:tc>
        <w:tc>
          <w:tcPr>
            <w:tcW w:w="1392" w:type="pct"/>
            <w:tcBorders>
              <w:top w:val="single" w:sz="4" w:space="0" w:color="auto"/>
              <w:bottom w:val="single" w:sz="4" w:space="0" w:color="auto"/>
            </w:tcBorders>
            <w:shd w:val="clear" w:color="auto" w:fill="auto"/>
          </w:tcPr>
          <w:p w14:paraId="15420844" w14:textId="77777777" w:rsidR="007F5E99" w:rsidRPr="005E3B43" w:rsidRDefault="007F5E99" w:rsidP="00763BCF">
            <w:pPr>
              <w:pStyle w:val="ENoteTableText"/>
            </w:pPr>
            <w:r w:rsidRPr="005E3B43">
              <w:t xml:space="preserve">Sch 3: 1 Oct 2022 (s 2(1) </w:t>
            </w:r>
            <w:r w:rsidR="006B5D8E" w:rsidRPr="005E3B43">
              <w:t>item 3</w:t>
            </w:r>
            <w:r w:rsidRPr="005E3B43">
              <w:t>)</w:t>
            </w:r>
          </w:p>
        </w:tc>
        <w:tc>
          <w:tcPr>
            <w:tcW w:w="1218" w:type="pct"/>
            <w:tcBorders>
              <w:top w:val="single" w:sz="4" w:space="0" w:color="auto"/>
              <w:bottom w:val="single" w:sz="4" w:space="0" w:color="auto"/>
            </w:tcBorders>
            <w:shd w:val="clear" w:color="auto" w:fill="auto"/>
          </w:tcPr>
          <w:p w14:paraId="2143D7A5" w14:textId="77777777" w:rsidR="007F5E99" w:rsidRPr="005E3B43" w:rsidRDefault="007F5E99" w:rsidP="00763BCF">
            <w:pPr>
              <w:pStyle w:val="ENoteTableText"/>
            </w:pPr>
            <w:r w:rsidRPr="005E3B43">
              <w:t>—</w:t>
            </w:r>
          </w:p>
        </w:tc>
      </w:tr>
      <w:tr w:rsidR="00CE0245" w:rsidRPr="005E3B43" w14:paraId="4CA43072" w14:textId="77777777" w:rsidTr="00115BB7">
        <w:trPr>
          <w:cantSplit/>
        </w:trPr>
        <w:tc>
          <w:tcPr>
            <w:tcW w:w="1310" w:type="pct"/>
            <w:tcBorders>
              <w:top w:val="single" w:sz="4" w:space="0" w:color="auto"/>
              <w:bottom w:val="single" w:sz="4" w:space="0" w:color="auto"/>
            </w:tcBorders>
            <w:shd w:val="clear" w:color="auto" w:fill="auto"/>
          </w:tcPr>
          <w:p w14:paraId="26351C44" w14:textId="5E6248EC" w:rsidR="00CE0245" w:rsidRPr="005E3B43" w:rsidRDefault="00CE0245" w:rsidP="00763BCF">
            <w:pPr>
              <w:pStyle w:val="ENoteTableText"/>
            </w:pPr>
            <w:r w:rsidRPr="005E3B43">
              <w:t xml:space="preserve">Therapeutic Goods Legislation Amendment (2022 Measures No. 3) </w:t>
            </w:r>
            <w:r w:rsidR="007C3215">
              <w:t>Regulations 2</w:t>
            </w:r>
            <w:r w:rsidRPr="005E3B43">
              <w:t>022</w:t>
            </w:r>
          </w:p>
        </w:tc>
        <w:tc>
          <w:tcPr>
            <w:tcW w:w="1080" w:type="pct"/>
            <w:tcBorders>
              <w:top w:val="single" w:sz="4" w:space="0" w:color="auto"/>
              <w:bottom w:val="single" w:sz="4" w:space="0" w:color="auto"/>
            </w:tcBorders>
            <w:shd w:val="clear" w:color="auto" w:fill="auto"/>
          </w:tcPr>
          <w:p w14:paraId="5E8A1785" w14:textId="77777777" w:rsidR="00CE0245" w:rsidRPr="005E3B43" w:rsidRDefault="00CE0245" w:rsidP="00763BCF">
            <w:pPr>
              <w:pStyle w:val="ENoteTableText"/>
            </w:pPr>
            <w:r w:rsidRPr="005E3B43">
              <w:t>19 Dec 2022 (F2022L01687)</w:t>
            </w:r>
          </w:p>
        </w:tc>
        <w:tc>
          <w:tcPr>
            <w:tcW w:w="1392" w:type="pct"/>
            <w:tcBorders>
              <w:top w:val="single" w:sz="4" w:space="0" w:color="auto"/>
              <w:bottom w:val="single" w:sz="4" w:space="0" w:color="auto"/>
            </w:tcBorders>
            <w:shd w:val="clear" w:color="auto" w:fill="auto"/>
          </w:tcPr>
          <w:p w14:paraId="72B539B5" w14:textId="461BE325" w:rsidR="00CE0245" w:rsidRPr="005E3B43" w:rsidRDefault="00CE0245" w:rsidP="00763BCF">
            <w:pPr>
              <w:pStyle w:val="ENoteTableText"/>
            </w:pPr>
            <w:r w:rsidRPr="005E3B43">
              <w:t xml:space="preserve">Sch 2: 20 Dec 2022 (s 2(1) </w:t>
            </w:r>
            <w:r w:rsidR="007C3215">
              <w:t>item 1</w:t>
            </w:r>
            <w:r w:rsidRPr="005E3B43">
              <w:t>)</w:t>
            </w:r>
          </w:p>
        </w:tc>
        <w:tc>
          <w:tcPr>
            <w:tcW w:w="1218" w:type="pct"/>
            <w:tcBorders>
              <w:top w:val="single" w:sz="4" w:space="0" w:color="auto"/>
              <w:bottom w:val="single" w:sz="4" w:space="0" w:color="auto"/>
            </w:tcBorders>
            <w:shd w:val="clear" w:color="auto" w:fill="auto"/>
          </w:tcPr>
          <w:p w14:paraId="2D73C047" w14:textId="77777777" w:rsidR="00CE0245" w:rsidRPr="005E3B43" w:rsidRDefault="00CE0245" w:rsidP="00763BCF">
            <w:pPr>
              <w:pStyle w:val="ENoteTableText"/>
            </w:pPr>
            <w:r w:rsidRPr="005E3B43">
              <w:t>—</w:t>
            </w:r>
          </w:p>
        </w:tc>
      </w:tr>
      <w:tr w:rsidR="00BC64F5" w:rsidRPr="005E3B43" w14:paraId="2E79FC73" w14:textId="77777777" w:rsidTr="00D17BF2">
        <w:trPr>
          <w:cantSplit/>
        </w:trPr>
        <w:tc>
          <w:tcPr>
            <w:tcW w:w="1310" w:type="pct"/>
            <w:tcBorders>
              <w:top w:val="single" w:sz="4" w:space="0" w:color="auto"/>
              <w:bottom w:val="single" w:sz="4" w:space="0" w:color="auto"/>
            </w:tcBorders>
            <w:shd w:val="clear" w:color="auto" w:fill="auto"/>
          </w:tcPr>
          <w:p w14:paraId="51E35849" w14:textId="091A39F0" w:rsidR="00BC64F5" w:rsidRPr="005E3B43" w:rsidRDefault="00BC64F5" w:rsidP="00763BCF">
            <w:pPr>
              <w:pStyle w:val="ENoteTableText"/>
            </w:pPr>
            <w:r w:rsidRPr="005E3B43">
              <w:t xml:space="preserve">Therapeutic Goods Legislation Amendment (2023 Measures No. 1) </w:t>
            </w:r>
            <w:r w:rsidR="007C3215">
              <w:t>Regulations 2</w:t>
            </w:r>
            <w:r w:rsidRPr="005E3B43">
              <w:t>023</w:t>
            </w:r>
          </w:p>
        </w:tc>
        <w:tc>
          <w:tcPr>
            <w:tcW w:w="1080" w:type="pct"/>
            <w:tcBorders>
              <w:top w:val="single" w:sz="4" w:space="0" w:color="auto"/>
              <w:bottom w:val="single" w:sz="4" w:space="0" w:color="auto"/>
            </w:tcBorders>
            <w:shd w:val="clear" w:color="auto" w:fill="auto"/>
          </w:tcPr>
          <w:p w14:paraId="19BEBE51" w14:textId="77777777" w:rsidR="00BC64F5" w:rsidRPr="005E3B43" w:rsidRDefault="0039288B" w:rsidP="00763BCF">
            <w:pPr>
              <w:pStyle w:val="ENoteTableText"/>
            </w:pPr>
            <w:r w:rsidRPr="005E3B43">
              <w:t>13 June</w:t>
            </w:r>
            <w:r w:rsidR="00BC64F5" w:rsidRPr="005E3B43">
              <w:t xml:space="preserve"> 2023 (F2023L00769)</w:t>
            </w:r>
          </w:p>
        </w:tc>
        <w:tc>
          <w:tcPr>
            <w:tcW w:w="1392" w:type="pct"/>
            <w:tcBorders>
              <w:top w:val="single" w:sz="4" w:space="0" w:color="auto"/>
              <w:bottom w:val="single" w:sz="4" w:space="0" w:color="auto"/>
            </w:tcBorders>
            <w:shd w:val="clear" w:color="auto" w:fill="auto"/>
          </w:tcPr>
          <w:p w14:paraId="4597DC14" w14:textId="5F4CFA9E" w:rsidR="00BC64F5" w:rsidRPr="005E3B43" w:rsidRDefault="00BC64F5" w:rsidP="00763BCF">
            <w:pPr>
              <w:pStyle w:val="ENoteTableText"/>
            </w:pPr>
            <w:r w:rsidRPr="005E3B43">
              <w:t>Sch 1 (</w:t>
            </w:r>
            <w:r w:rsidR="007C3215">
              <w:t>items 1</w:t>
            </w:r>
            <w:r w:rsidRPr="005E3B43">
              <w:t xml:space="preserve">–13): </w:t>
            </w:r>
            <w:r w:rsidR="00857FE0" w:rsidRPr="005E3B43">
              <w:t>21 June</w:t>
            </w:r>
            <w:r w:rsidRPr="005E3B43">
              <w:t xml:space="preserve"> 2023 (s 2(1) </w:t>
            </w:r>
            <w:r w:rsidR="006B5D8E" w:rsidRPr="005E3B43">
              <w:t>item 2</w:t>
            </w:r>
            <w:r w:rsidRPr="005E3B43">
              <w:t>)</w:t>
            </w:r>
            <w:r w:rsidR="00760E43" w:rsidRPr="005E3B43">
              <w:br/>
              <w:t>Sch 1 (</w:t>
            </w:r>
            <w:r w:rsidR="007C3215">
              <w:t>items 2</w:t>
            </w:r>
            <w:r w:rsidR="00760E43" w:rsidRPr="005E3B43">
              <w:t xml:space="preserve">0–28, 30, 52, 54): </w:t>
            </w:r>
            <w:r w:rsidR="007033B5" w:rsidRPr="005E3B43">
              <w:t>14 June</w:t>
            </w:r>
            <w:r w:rsidR="00760E43" w:rsidRPr="005E3B43">
              <w:t xml:space="preserve"> 2023 (s 2(1) </w:t>
            </w:r>
            <w:r w:rsidR="006B5D8E" w:rsidRPr="005E3B43">
              <w:t>item 3</w:t>
            </w:r>
            <w:r w:rsidR="00760E43" w:rsidRPr="005E3B43">
              <w:t>)</w:t>
            </w:r>
          </w:p>
        </w:tc>
        <w:tc>
          <w:tcPr>
            <w:tcW w:w="1218" w:type="pct"/>
            <w:tcBorders>
              <w:top w:val="single" w:sz="4" w:space="0" w:color="auto"/>
              <w:bottom w:val="single" w:sz="4" w:space="0" w:color="auto"/>
            </w:tcBorders>
            <w:shd w:val="clear" w:color="auto" w:fill="auto"/>
          </w:tcPr>
          <w:p w14:paraId="6DE2BD03" w14:textId="77777777" w:rsidR="00BC64F5" w:rsidRPr="005E3B43" w:rsidRDefault="00BC64F5" w:rsidP="00763BCF">
            <w:pPr>
              <w:pStyle w:val="ENoteTableText"/>
            </w:pPr>
            <w:r w:rsidRPr="005E3B43">
              <w:t>—</w:t>
            </w:r>
          </w:p>
        </w:tc>
      </w:tr>
      <w:tr w:rsidR="00540B18" w:rsidRPr="005E3B43" w14:paraId="32A8B5D0" w14:textId="77777777" w:rsidTr="00273B9F">
        <w:trPr>
          <w:cantSplit/>
        </w:trPr>
        <w:tc>
          <w:tcPr>
            <w:tcW w:w="1310" w:type="pct"/>
            <w:tcBorders>
              <w:top w:val="single" w:sz="4" w:space="0" w:color="auto"/>
              <w:bottom w:val="single" w:sz="4" w:space="0" w:color="auto"/>
            </w:tcBorders>
            <w:shd w:val="clear" w:color="auto" w:fill="auto"/>
          </w:tcPr>
          <w:p w14:paraId="18D69209" w14:textId="3B9F66BE" w:rsidR="00540B18" w:rsidRPr="005E3B43" w:rsidRDefault="004D32FA" w:rsidP="00763BCF">
            <w:pPr>
              <w:pStyle w:val="ENoteTableText"/>
            </w:pPr>
            <w:r w:rsidRPr="005E3B43">
              <w:t xml:space="preserve">Therapeutic Goods Legislation Amendment (Fees and Other Measures) </w:t>
            </w:r>
            <w:r w:rsidR="007C3215">
              <w:t>Regulations 2</w:t>
            </w:r>
            <w:r w:rsidRPr="005E3B43">
              <w:t>023</w:t>
            </w:r>
          </w:p>
        </w:tc>
        <w:tc>
          <w:tcPr>
            <w:tcW w:w="1080" w:type="pct"/>
            <w:tcBorders>
              <w:top w:val="single" w:sz="4" w:space="0" w:color="auto"/>
              <w:bottom w:val="single" w:sz="4" w:space="0" w:color="auto"/>
            </w:tcBorders>
            <w:shd w:val="clear" w:color="auto" w:fill="auto"/>
          </w:tcPr>
          <w:p w14:paraId="7AAD16F8" w14:textId="77777777" w:rsidR="00540B18" w:rsidRPr="005E3B43" w:rsidRDefault="0039288B" w:rsidP="00763BCF">
            <w:pPr>
              <w:pStyle w:val="ENoteTableText"/>
            </w:pPr>
            <w:r w:rsidRPr="005E3B43">
              <w:t>13 June</w:t>
            </w:r>
            <w:r w:rsidR="004D32FA" w:rsidRPr="005E3B43">
              <w:t xml:space="preserve"> 2023 (F2023L00770)</w:t>
            </w:r>
          </w:p>
        </w:tc>
        <w:tc>
          <w:tcPr>
            <w:tcW w:w="1392" w:type="pct"/>
            <w:tcBorders>
              <w:top w:val="single" w:sz="4" w:space="0" w:color="auto"/>
              <w:bottom w:val="single" w:sz="4" w:space="0" w:color="auto"/>
            </w:tcBorders>
            <w:shd w:val="clear" w:color="auto" w:fill="auto"/>
          </w:tcPr>
          <w:p w14:paraId="5D570EAB" w14:textId="2DF82888" w:rsidR="00540B18" w:rsidRPr="005E3B43" w:rsidRDefault="005F2C17" w:rsidP="00763BCF">
            <w:pPr>
              <w:pStyle w:val="ENoteTableText"/>
            </w:pPr>
            <w:r w:rsidRPr="005E3B43">
              <w:t>Sch 1 (</w:t>
            </w:r>
            <w:r w:rsidR="003774CD" w:rsidRPr="005E3B43">
              <w:t>items 7</w:t>
            </w:r>
            <w:r w:rsidRPr="005E3B43">
              <w:t xml:space="preserve">–13): </w:t>
            </w:r>
            <w:r w:rsidR="006B5D8E" w:rsidRPr="005E3B43">
              <w:t>1 July</w:t>
            </w:r>
            <w:r w:rsidRPr="005E3B43">
              <w:t xml:space="preserve"> 2023 (s 2(1) </w:t>
            </w:r>
            <w:r w:rsidR="007C3215">
              <w:t>item 1</w:t>
            </w:r>
            <w:r w:rsidRPr="005E3B43">
              <w:t>)</w:t>
            </w:r>
          </w:p>
        </w:tc>
        <w:tc>
          <w:tcPr>
            <w:tcW w:w="1218" w:type="pct"/>
            <w:tcBorders>
              <w:top w:val="single" w:sz="4" w:space="0" w:color="auto"/>
              <w:bottom w:val="single" w:sz="4" w:space="0" w:color="auto"/>
            </w:tcBorders>
            <w:shd w:val="clear" w:color="auto" w:fill="auto"/>
          </w:tcPr>
          <w:p w14:paraId="6FDAA995" w14:textId="77777777" w:rsidR="00540B18" w:rsidRPr="005E3B43" w:rsidRDefault="004D32FA" w:rsidP="00763BCF">
            <w:pPr>
              <w:pStyle w:val="ENoteTableText"/>
            </w:pPr>
            <w:r w:rsidRPr="005E3B43">
              <w:t>—</w:t>
            </w:r>
          </w:p>
        </w:tc>
      </w:tr>
      <w:tr w:rsidR="00C21911" w:rsidRPr="005E3B43" w14:paraId="6DA9AC17" w14:textId="77777777" w:rsidTr="00692ED0">
        <w:trPr>
          <w:cantSplit/>
        </w:trPr>
        <w:tc>
          <w:tcPr>
            <w:tcW w:w="1310" w:type="pct"/>
            <w:tcBorders>
              <w:top w:val="single" w:sz="4" w:space="0" w:color="auto"/>
              <w:bottom w:val="single" w:sz="4" w:space="0" w:color="auto"/>
            </w:tcBorders>
            <w:shd w:val="clear" w:color="auto" w:fill="auto"/>
          </w:tcPr>
          <w:p w14:paraId="0D53A9A2" w14:textId="34E003CD" w:rsidR="00C21911" w:rsidRPr="005E3B43" w:rsidRDefault="00C21911" w:rsidP="00763BCF">
            <w:pPr>
              <w:pStyle w:val="ENoteTableText"/>
            </w:pPr>
            <w:r w:rsidRPr="005E3B43">
              <w:t xml:space="preserve">Therapeutic Goods Legislation Amendment (2023 Measures No. 2) </w:t>
            </w:r>
            <w:r w:rsidR="007C3215">
              <w:t>Regulations 2</w:t>
            </w:r>
            <w:r w:rsidRPr="005E3B43">
              <w:t>023</w:t>
            </w:r>
          </w:p>
        </w:tc>
        <w:tc>
          <w:tcPr>
            <w:tcW w:w="1080" w:type="pct"/>
            <w:tcBorders>
              <w:top w:val="single" w:sz="4" w:space="0" w:color="auto"/>
              <w:bottom w:val="single" w:sz="4" w:space="0" w:color="auto"/>
            </w:tcBorders>
            <w:shd w:val="clear" w:color="auto" w:fill="auto"/>
          </w:tcPr>
          <w:p w14:paraId="5D9F60C0" w14:textId="77777777" w:rsidR="00C21911" w:rsidRPr="005E3B43" w:rsidRDefault="00C21911" w:rsidP="00763BCF">
            <w:pPr>
              <w:pStyle w:val="ENoteTableText"/>
            </w:pPr>
            <w:r w:rsidRPr="005E3B43">
              <w:t>27 Nov 2023 (F2023L01558)</w:t>
            </w:r>
          </w:p>
        </w:tc>
        <w:tc>
          <w:tcPr>
            <w:tcW w:w="1392" w:type="pct"/>
            <w:tcBorders>
              <w:top w:val="single" w:sz="4" w:space="0" w:color="auto"/>
              <w:bottom w:val="single" w:sz="4" w:space="0" w:color="auto"/>
            </w:tcBorders>
            <w:shd w:val="clear" w:color="auto" w:fill="auto"/>
          </w:tcPr>
          <w:p w14:paraId="464F88BB" w14:textId="14302AC3" w:rsidR="00C21911" w:rsidRPr="005E3B43" w:rsidRDefault="00560624" w:rsidP="00763BCF">
            <w:pPr>
              <w:pStyle w:val="ENoteTableText"/>
              <w:rPr>
                <w:u w:val="single"/>
              </w:rPr>
            </w:pPr>
            <w:r w:rsidRPr="005E3B43">
              <w:t>S</w:t>
            </w:r>
            <w:r w:rsidR="0053678F" w:rsidRPr="005E3B43">
              <w:t>ch 1 (</w:t>
            </w:r>
            <w:r w:rsidR="007C3215">
              <w:t>items 1</w:t>
            </w:r>
            <w:r w:rsidR="0053678F" w:rsidRPr="005E3B43">
              <w:t xml:space="preserve">3–23, 34): 28 Nov 2023 (s 2(1) </w:t>
            </w:r>
            <w:r w:rsidR="007C3215">
              <w:t>items 2</w:t>
            </w:r>
            <w:r w:rsidRPr="005E3B43">
              <w:t>, 4)</w:t>
            </w:r>
            <w:r w:rsidRPr="005E3B43">
              <w:br/>
              <w:t>Sch 1 (</w:t>
            </w:r>
            <w:r w:rsidR="007C3215">
              <w:t>items 2</w:t>
            </w:r>
            <w:r w:rsidRPr="005E3B43">
              <w:t xml:space="preserve">4–32): 1 Jan 2024 (s 2(1) </w:t>
            </w:r>
            <w:r w:rsidR="006B5D8E" w:rsidRPr="005E3B43">
              <w:t>item 3</w:t>
            </w:r>
            <w:r w:rsidRPr="005E3B43">
              <w:t>)</w:t>
            </w:r>
          </w:p>
        </w:tc>
        <w:tc>
          <w:tcPr>
            <w:tcW w:w="1218" w:type="pct"/>
            <w:tcBorders>
              <w:top w:val="single" w:sz="4" w:space="0" w:color="auto"/>
              <w:bottom w:val="single" w:sz="4" w:space="0" w:color="auto"/>
            </w:tcBorders>
            <w:shd w:val="clear" w:color="auto" w:fill="auto"/>
          </w:tcPr>
          <w:p w14:paraId="743D45BF" w14:textId="77777777" w:rsidR="00C21911" w:rsidRPr="005E3B43" w:rsidRDefault="00560624" w:rsidP="00763BCF">
            <w:pPr>
              <w:pStyle w:val="ENoteTableText"/>
            </w:pPr>
            <w:r w:rsidRPr="005E3B43">
              <w:t>—</w:t>
            </w:r>
          </w:p>
        </w:tc>
      </w:tr>
      <w:tr w:rsidR="00052826" w:rsidRPr="005E3B43" w14:paraId="70BACDFB" w14:textId="77777777" w:rsidTr="005A6CA7">
        <w:trPr>
          <w:cantSplit/>
        </w:trPr>
        <w:tc>
          <w:tcPr>
            <w:tcW w:w="1310" w:type="pct"/>
            <w:tcBorders>
              <w:top w:val="single" w:sz="4" w:space="0" w:color="auto"/>
              <w:bottom w:val="single" w:sz="4" w:space="0" w:color="auto"/>
            </w:tcBorders>
            <w:shd w:val="clear" w:color="auto" w:fill="auto"/>
          </w:tcPr>
          <w:p w14:paraId="213BEA5D" w14:textId="14113AFB" w:rsidR="00052826" w:rsidRPr="005E3B43" w:rsidRDefault="00052826" w:rsidP="00763BCF">
            <w:pPr>
              <w:pStyle w:val="ENoteTableText"/>
            </w:pPr>
            <w:r w:rsidRPr="005E3B43">
              <w:t xml:space="preserve">Therapeutic Goods Legislation Amendment (Vaping) </w:t>
            </w:r>
            <w:r w:rsidR="007C3215">
              <w:t>Regulations 2</w:t>
            </w:r>
            <w:r w:rsidRPr="005E3B43">
              <w:t>023</w:t>
            </w:r>
          </w:p>
        </w:tc>
        <w:tc>
          <w:tcPr>
            <w:tcW w:w="1080" w:type="pct"/>
            <w:tcBorders>
              <w:top w:val="single" w:sz="4" w:space="0" w:color="auto"/>
              <w:bottom w:val="single" w:sz="4" w:space="0" w:color="auto"/>
            </w:tcBorders>
            <w:shd w:val="clear" w:color="auto" w:fill="auto"/>
          </w:tcPr>
          <w:p w14:paraId="129ABCF1" w14:textId="77777777" w:rsidR="00052826" w:rsidRPr="005E3B43" w:rsidRDefault="00263704" w:rsidP="00763BCF">
            <w:pPr>
              <w:pStyle w:val="ENoteTableText"/>
            </w:pPr>
            <w:r w:rsidRPr="005E3B43">
              <w:t>14 Dec 2023 (F2023L01667)</w:t>
            </w:r>
          </w:p>
        </w:tc>
        <w:tc>
          <w:tcPr>
            <w:tcW w:w="1392" w:type="pct"/>
            <w:tcBorders>
              <w:top w:val="single" w:sz="4" w:space="0" w:color="auto"/>
              <w:bottom w:val="single" w:sz="4" w:space="0" w:color="auto"/>
            </w:tcBorders>
            <w:shd w:val="clear" w:color="auto" w:fill="auto"/>
          </w:tcPr>
          <w:p w14:paraId="554F2425" w14:textId="0A3E9A14" w:rsidR="00052826" w:rsidRPr="005E3B43" w:rsidRDefault="00263704" w:rsidP="00763BCF">
            <w:pPr>
              <w:pStyle w:val="ENoteTableText"/>
            </w:pPr>
            <w:bookmarkStart w:id="469" w:name="_Hlk155347883"/>
            <w:r w:rsidRPr="005E3B43">
              <w:t>Sch 1</w:t>
            </w:r>
            <w:bookmarkEnd w:id="469"/>
            <w:r w:rsidRPr="005E3B43">
              <w:t xml:space="preserve">: 1 Jan 2024 (s 2(1) </w:t>
            </w:r>
            <w:r w:rsidR="007C3215">
              <w:t>item 1</w:t>
            </w:r>
            <w:r w:rsidRPr="005E3B43">
              <w:t>)</w:t>
            </w:r>
          </w:p>
        </w:tc>
        <w:tc>
          <w:tcPr>
            <w:tcW w:w="1218" w:type="pct"/>
            <w:tcBorders>
              <w:top w:val="single" w:sz="4" w:space="0" w:color="auto"/>
              <w:bottom w:val="single" w:sz="4" w:space="0" w:color="auto"/>
            </w:tcBorders>
            <w:shd w:val="clear" w:color="auto" w:fill="auto"/>
          </w:tcPr>
          <w:p w14:paraId="582A7AED" w14:textId="77777777" w:rsidR="00052826" w:rsidRPr="005E3B43" w:rsidRDefault="005968CC" w:rsidP="00763BCF">
            <w:pPr>
              <w:pStyle w:val="ENoteTableText"/>
            </w:pPr>
            <w:r w:rsidRPr="005E3B43">
              <w:t>—</w:t>
            </w:r>
          </w:p>
        </w:tc>
      </w:tr>
      <w:tr w:rsidR="0038584F" w:rsidRPr="005E3B43" w14:paraId="440033E1" w14:textId="77777777" w:rsidTr="009C23CD">
        <w:trPr>
          <w:cantSplit/>
        </w:trPr>
        <w:tc>
          <w:tcPr>
            <w:tcW w:w="1310" w:type="pct"/>
            <w:tcBorders>
              <w:top w:val="single" w:sz="4" w:space="0" w:color="auto"/>
              <w:bottom w:val="single" w:sz="4" w:space="0" w:color="auto"/>
            </w:tcBorders>
            <w:shd w:val="clear" w:color="auto" w:fill="auto"/>
          </w:tcPr>
          <w:p w14:paraId="497D0800" w14:textId="33AB7ECF" w:rsidR="0038584F" w:rsidRPr="005E3B43" w:rsidRDefault="00E85DE1" w:rsidP="00763BCF">
            <w:pPr>
              <w:pStyle w:val="ENoteTableText"/>
            </w:pPr>
            <w:r w:rsidRPr="005E3B43">
              <w:t xml:space="preserve">Therapeutic Goods Amendment (2024 Measures No. 1) </w:t>
            </w:r>
            <w:r w:rsidR="007C3215">
              <w:t>Regulations 2</w:t>
            </w:r>
            <w:r w:rsidRPr="005E3B43">
              <w:t>024</w:t>
            </w:r>
          </w:p>
        </w:tc>
        <w:tc>
          <w:tcPr>
            <w:tcW w:w="1080" w:type="pct"/>
            <w:tcBorders>
              <w:top w:val="single" w:sz="4" w:space="0" w:color="auto"/>
              <w:bottom w:val="single" w:sz="4" w:space="0" w:color="auto"/>
            </w:tcBorders>
            <w:shd w:val="clear" w:color="auto" w:fill="auto"/>
          </w:tcPr>
          <w:p w14:paraId="5CA8BE8A" w14:textId="77777777" w:rsidR="0038584F" w:rsidRPr="005E3B43" w:rsidRDefault="00E85DE1" w:rsidP="00763BCF">
            <w:pPr>
              <w:pStyle w:val="ENoteTableText"/>
            </w:pPr>
            <w:r w:rsidRPr="005E3B43">
              <w:t>29 Feb 2024 (F2024L00260)</w:t>
            </w:r>
          </w:p>
        </w:tc>
        <w:tc>
          <w:tcPr>
            <w:tcW w:w="1392" w:type="pct"/>
            <w:tcBorders>
              <w:top w:val="single" w:sz="4" w:space="0" w:color="auto"/>
              <w:bottom w:val="single" w:sz="4" w:space="0" w:color="auto"/>
            </w:tcBorders>
            <w:shd w:val="clear" w:color="auto" w:fill="auto"/>
          </w:tcPr>
          <w:p w14:paraId="50A2AC78" w14:textId="6F890304" w:rsidR="0038584F" w:rsidRPr="005E3B43" w:rsidRDefault="00B22E07" w:rsidP="00763BCF">
            <w:pPr>
              <w:pStyle w:val="ENoteTableText"/>
            </w:pPr>
            <w:r w:rsidRPr="005E3B43">
              <w:t xml:space="preserve">1 Mar 2024 (s 2(1) </w:t>
            </w:r>
            <w:r w:rsidR="007C3215">
              <w:t>item 1</w:t>
            </w:r>
            <w:r w:rsidRPr="005E3B43">
              <w:t>)</w:t>
            </w:r>
          </w:p>
        </w:tc>
        <w:tc>
          <w:tcPr>
            <w:tcW w:w="1218" w:type="pct"/>
            <w:tcBorders>
              <w:top w:val="single" w:sz="4" w:space="0" w:color="auto"/>
              <w:bottom w:val="single" w:sz="4" w:space="0" w:color="auto"/>
            </w:tcBorders>
            <w:shd w:val="clear" w:color="auto" w:fill="auto"/>
          </w:tcPr>
          <w:p w14:paraId="0BBF467F" w14:textId="77777777" w:rsidR="0038584F" w:rsidRPr="005E3B43" w:rsidDel="005968CC" w:rsidRDefault="00440F03" w:rsidP="00763BCF">
            <w:pPr>
              <w:pStyle w:val="ENoteTableText"/>
            </w:pPr>
            <w:r w:rsidRPr="005E3B43">
              <w:t>—</w:t>
            </w:r>
          </w:p>
        </w:tc>
      </w:tr>
      <w:tr w:rsidR="00CC5C36" w:rsidRPr="005E3B43" w14:paraId="54847568" w14:textId="77777777" w:rsidTr="00B502AF">
        <w:trPr>
          <w:cantSplit/>
        </w:trPr>
        <w:tc>
          <w:tcPr>
            <w:tcW w:w="1310" w:type="pct"/>
            <w:tcBorders>
              <w:top w:val="single" w:sz="4" w:space="0" w:color="auto"/>
              <w:bottom w:val="single" w:sz="4" w:space="0" w:color="auto"/>
            </w:tcBorders>
            <w:shd w:val="clear" w:color="auto" w:fill="auto"/>
          </w:tcPr>
          <w:p w14:paraId="56D30BFD" w14:textId="2B76D14F" w:rsidR="00CC5C36" w:rsidRPr="005E3B43" w:rsidRDefault="00CC5C36" w:rsidP="00763BCF">
            <w:pPr>
              <w:pStyle w:val="ENoteTableText"/>
            </w:pPr>
            <w:r w:rsidRPr="005E3B43">
              <w:t xml:space="preserve">Therapeutic Goods Legislation Amendment (2024 Measures No. 2) </w:t>
            </w:r>
            <w:r w:rsidR="007C3215">
              <w:t>Regulations 2</w:t>
            </w:r>
            <w:r w:rsidRPr="005E3B43">
              <w:t>024</w:t>
            </w:r>
          </w:p>
        </w:tc>
        <w:tc>
          <w:tcPr>
            <w:tcW w:w="1080" w:type="pct"/>
            <w:tcBorders>
              <w:top w:val="single" w:sz="4" w:space="0" w:color="auto"/>
              <w:bottom w:val="single" w:sz="4" w:space="0" w:color="auto"/>
            </w:tcBorders>
            <w:shd w:val="clear" w:color="auto" w:fill="auto"/>
          </w:tcPr>
          <w:p w14:paraId="797FCD29" w14:textId="77777777" w:rsidR="00CC5C36" w:rsidRPr="005E3B43" w:rsidRDefault="007033B5" w:rsidP="00763BCF">
            <w:pPr>
              <w:pStyle w:val="ENoteTableText"/>
            </w:pPr>
            <w:r w:rsidRPr="005E3B43">
              <w:t>14 June</w:t>
            </w:r>
            <w:r w:rsidR="00805A80" w:rsidRPr="005E3B43">
              <w:t xml:space="preserve"> 2024 (F2024L00686)</w:t>
            </w:r>
          </w:p>
        </w:tc>
        <w:tc>
          <w:tcPr>
            <w:tcW w:w="1392" w:type="pct"/>
            <w:tcBorders>
              <w:top w:val="single" w:sz="4" w:space="0" w:color="auto"/>
              <w:bottom w:val="single" w:sz="4" w:space="0" w:color="auto"/>
            </w:tcBorders>
            <w:shd w:val="clear" w:color="auto" w:fill="auto"/>
          </w:tcPr>
          <w:p w14:paraId="36EE9F72" w14:textId="18A92F5A" w:rsidR="00CC5C36" w:rsidRPr="005E3B43" w:rsidRDefault="00805A80" w:rsidP="00763BCF">
            <w:pPr>
              <w:pStyle w:val="ENoteTableText"/>
            </w:pPr>
            <w:r w:rsidRPr="005E3B43">
              <w:t>Sch 1 (</w:t>
            </w:r>
            <w:r w:rsidR="007C3215">
              <w:t>items 1</w:t>
            </w:r>
            <w:r w:rsidRPr="005E3B43">
              <w:t>–4,</w:t>
            </w:r>
            <w:r w:rsidR="00FE1D25" w:rsidRPr="005E3B43">
              <w:t xml:space="preserve"> </w:t>
            </w:r>
            <w:r w:rsidRPr="005E3B43">
              <w:t>8–</w:t>
            </w:r>
            <w:r w:rsidR="00FE1D25" w:rsidRPr="005E3B43">
              <w:t xml:space="preserve">16, 18): </w:t>
            </w:r>
            <w:r w:rsidR="007033B5" w:rsidRPr="005E3B43">
              <w:t>15 June</w:t>
            </w:r>
            <w:r w:rsidR="00FE1D25" w:rsidRPr="005E3B43">
              <w:t xml:space="preserve"> 2024 (s 2(1) </w:t>
            </w:r>
            <w:r w:rsidR="006B5D8E" w:rsidRPr="005E3B43">
              <w:t>item 2</w:t>
            </w:r>
            <w:r w:rsidR="00FE1D25" w:rsidRPr="005E3B43">
              <w:t>)</w:t>
            </w:r>
            <w:r w:rsidR="00FE1D25" w:rsidRPr="005E3B43">
              <w:br/>
              <w:t>Sch 2 (</w:t>
            </w:r>
            <w:r w:rsidR="007C3215">
              <w:t>items 1</w:t>
            </w:r>
            <w:r w:rsidR="000B15A0" w:rsidRPr="005E3B43">
              <w:t xml:space="preserve">, </w:t>
            </w:r>
            <w:r w:rsidR="00FE1D25" w:rsidRPr="005E3B43">
              <w:t xml:space="preserve">2, </w:t>
            </w:r>
            <w:r w:rsidR="005A4F2E" w:rsidRPr="005E3B43">
              <w:t xml:space="preserve">11): </w:t>
            </w:r>
            <w:r w:rsidR="006B5D8E" w:rsidRPr="005E3B43">
              <w:t>1 July</w:t>
            </w:r>
            <w:r w:rsidR="005A4F2E" w:rsidRPr="005E3B43">
              <w:t xml:space="preserve"> 2024</w:t>
            </w:r>
            <w:r w:rsidR="007E763C" w:rsidRPr="005E3B43">
              <w:t xml:space="preserve"> (s 2(1) </w:t>
            </w:r>
            <w:r w:rsidR="006B5D8E" w:rsidRPr="005E3B43">
              <w:t>item 3</w:t>
            </w:r>
            <w:r w:rsidR="007E763C" w:rsidRPr="005E3B43">
              <w:t>)</w:t>
            </w:r>
            <w:r w:rsidR="007E763C" w:rsidRPr="005E3B43">
              <w:br/>
              <w:t xml:space="preserve">Sch 3: 1 Oct 2024 </w:t>
            </w:r>
            <w:r w:rsidR="00AA52C8" w:rsidRPr="005E3B43">
              <w:t xml:space="preserve">(s 2(1) </w:t>
            </w:r>
            <w:r w:rsidR="006B5D8E" w:rsidRPr="005E3B43">
              <w:t>item 4</w:t>
            </w:r>
            <w:r w:rsidR="00AA52C8" w:rsidRPr="005E3B43">
              <w:t>)</w:t>
            </w:r>
          </w:p>
        </w:tc>
        <w:tc>
          <w:tcPr>
            <w:tcW w:w="1218" w:type="pct"/>
            <w:tcBorders>
              <w:top w:val="single" w:sz="4" w:space="0" w:color="auto"/>
              <w:bottom w:val="single" w:sz="4" w:space="0" w:color="auto"/>
            </w:tcBorders>
            <w:shd w:val="clear" w:color="auto" w:fill="auto"/>
          </w:tcPr>
          <w:p w14:paraId="7B67B47F" w14:textId="77777777" w:rsidR="00CC5C36" w:rsidRPr="005E3B43" w:rsidRDefault="00FE1D25" w:rsidP="00763BCF">
            <w:pPr>
              <w:pStyle w:val="ENoteTableText"/>
            </w:pPr>
            <w:r w:rsidRPr="005E3B43">
              <w:t>—</w:t>
            </w:r>
          </w:p>
        </w:tc>
      </w:tr>
      <w:tr w:rsidR="00E21052" w:rsidRPr="005E3B43" w14:paraId="2A889903" w14:textId="77777777" w:rsidTr="006E676A">
        <w:trPr>
          <w:cantSplit/>
        </w:trPr>
        <w:tc>
          <w:tcPr>
            <w:tcW w:w="1310" w:type="pct"/>
            <w:tcBorders>
              <w:top w:val="single" w:sz="4" w:space="0" w:color="auto"/>
              <w:bottom w:val="single" w:sz="4" w:space="0" w:color="auto"/>
            </w:tcBorders>
            <w:shd w:val="clear" w:color="auto" w:fill="auto"/>
          </w:tcPr>
          <w:p w14:paraId="7898E7A0" w14:textId="61A5ED46" w:rsidR="00E21052" w:rsidRPr="005E3B43" w:rsidRDefault="00802343" w:rsidP="00763BCF">
            <w:pPr>
              <w:pStyle w:val="ENoteTableText"/>
            </w:pPr>
            <w:r w:rsidRPr="005E3B43">
              <w:t xml:space="preserve">Therapeutic Goods Legislation Amendment (Fees and Other Measures) </w:t>
            </w:r>
            <w:r w:rsidR="007C3215">
              <w:t>Regulations 2</w:t>
            </w:r>
            <w:r w:rsidRPr="005E3B43">
              <w:t>024</w:t>
            </w:r>
          </w:p>
        </w:tc>
        <w:tc>
          <w:tcPr>
            <w:tcW w:w="1080" w:type="pct"/>
            <w:tcBorders>
              <w:top w:val="single" w:sz="4" w:space="0" w:color="auto"/>
              <w:bottom w:val="single" w:sz="4" w:space="0" w:color="auto"/>
            </w:tcBorders>
            <w:shd w:val="clear" w:color="auto" w:fill="auto"/>
          </w:tcPr>
          <w:p w14:paraId="1CFAE4F5" w14:textId="77777777" w:rsidR="00E21052" w:rsidRPr="005E3B43" w:rsidRDefault="006B5D8E" w:rsidP="00763BCF">
            <w:pPr>
              <w:pStyle w:val="ENoteTableText"/>
            </w:pPr>
            <w:r w:rsidRPr="005E3B43">
              <w:t>17 June</w:t>
            </w:r>
            <w:r w:rsidR="00E21052" w:rsidRPr="005E3B43">
              <w:t xml:space="preserve"> 2024 (</w:t>
            </w:r>
            <w:r w:rsidR="00802343" w:rsidRPr="005E3B43">
              <w:t>F2024L00689)</w:t>
            </w:r>
          </w:p>
        </w:tc>
        <w:tc>
          <w:tcPr>
            <w:tcW w:w="1392" w:type="pct"/>
            <w:tcBorders>
              <w:top w:val="single" w:sz="4" w:space="0" w:color="auto"/>
              <w:bottom w:val="single" w:sz="4" w:space="0" w:color="auto"/>
            </w:tcBorders>
            <w:shd w:val="clear" w:color="auto" w:fill="auto"/>
          </w:tcPr>
          <w:p w14:paraId="602E39FB" w14:textId="2EFA413B" w:rsidR="00E21052" w:rsidRPr="005E3B43" w:rsidRDefault="00802343" w:rsidP="00763BCF">
            <w:pPr>
              <w:pStyle w:val="ENoteTableText"/>
            </w:pPr>
            <w:r w:rsidRPr="005E3B43">
              <w:t>Sch 1 (</w:t>
            </w:r>
            <w:r w:rsidR="007C3215">
              <w:t>items 1</w:t>
            </w:r>
            <w:r w:rsidRPr="005E3B43">
              <w:t xml:space="preserve">5–21): </w:t>
            </w:r>
            <w:r w:rsidR="006B5D8E" w:rsidRPr="005E3B43">
              <w:t>1 July</w:t>
            </w:r>
            <w:r w:rsidR="00E21860" w:rsidRPr="005E3B43">
              <w:t xml:space="preserve"> 2024 (s 2(1) </w:t>
            </w:r>
            <w:r w:rsidR="006B5D8E" w:rsidRPr="005E3B43">
              <w:t>item 2</w:t>
            </w:r>
            <w:r w:rsidR="00E21860" w:rsidRPr="005E3B43">
              <w:t>)</w:t>
            </w:r>
            <w:r w:rsidR="00E21860" w:rsidRPr="005E3B43">
              <w:br/>
              <w:t xml:space="preserve">Sch 2: </w:t>
            </w:r>
            <w:r w:rsidR="00E21860" w:rsidRPr="005E3B43">
              <w:rPr>
                <w:u w:val="single"/>
              </w:rPr>
              <w:t>1 Jan 2025 (</w:t>
            </w:r>
            <w:r w:rsidR="006B7505" w:rsidRPr="005E3B43">
              <w:rPr>
                <w:u w:val="single"/>
              </w:rPr>
              <w:t xml:space="preserve">s 2(1) </w:t>
            </w:r>
            <w:r w:rsidR="006B5D8E" w:rsidRPr="005E3B43">
              <w:rPr>
                <w:u w:val="single"/>
              </w:rPr>
              <w:t>item 3</w:t>
            </w:r>
            <w:r w:rsidR="006B7505" w:rsidRPr="005E3B43">
              <w:rPr>
                <w:u w:val="single"/>
              </w:rPr>
              <w:t>)</w:t>
            </w:r>
          </w:p>
        </w:tc>
        <w:tc>
          <w:tcPr>
            <w:tcW w:w="1218" w:type="pct"/>
            <w:tcBorders>
              <w:top w:val="single" w:sz="4" w:space="0" w:color="auto"/>
              <w:bottom w:val="single" w:sz="4" w:space="0" w:color="auto"/>
            </w:tcBorders>
            <w:shd w:val="clear" w:color="auto" w:fill="auto"/>
          </w:tcPr>
          <w:p w14:paraId="68734E1D" w14:textId="77777777" w:rsidR="00E21052" w:rsidRPr="005E3B43" w:rsidRDefault="006E676A" w:rsidP="00763BCF">
            <w:pPr>
              <w:pStyle w:val="ENoteTableText"/>
            </w:pPr>
            <w:r w:rsidRPr="005E3B43">
              <w:t>—</w:t>
            </w:r>
          </w:p>
        </w:tc>
      </w:tr>
      <w:tr w:rsidR="00786659" w:rsidRPr="005E3B43" w14:paraId="5BD6BB1C" w14:textId="77777777" w:rsidTr="00D24700">
        <w:trPr>
          <w:cantSplit/>
        </w:trPr>
        <w:tc>
          <w:tcPr>
            <w:tcW w:w="1310" w:type="pct"/>
            <w:tcBorders>
              <w:top w:val="single" w:sz="4" w:space="0" w:color="auto"/>
              <w:bottom w:val="single" w:sz="4" w:space="0" w:color="auto"/>
            </w:tcBorders>
            <w:shd w:val="clear" w:color="auto" w:fill="auto"/>
          </w:tcPr>
          <w:p w14:paraId="5562BFD6" w14:textId="6959C61D" w:rsidR="00786659" w:rsidRPr="005E3B43" w:rsidRDefault="00786659" w:rsidP="00763BCF">
            <w:pPr>
              <w:pStyle w:val="ENoteTableText"/>
            </w:pPr>
            <w:r w:rsidRPr="005E3B43">
              <w:t xml:space="preserve">Therapeutic Goods Legislation Amendment (Vaping Reforms) </w:t>
            </w:r>
            <w:r w:rsidR="007C3215">
              <w:t>Regulations 2</w:t>
            </w:r>
            <w:r w:rsidRPr="005E3B43">
              <w:t>024</w:t>
            </w:r>
          </w:p>
        </w:tc>
        <w:tc>
          <w:tcPr>
            <w:tcW w:w="1080" w:type="pct"/>
            <w:tcBorders>
              <w:top w:val="single" w:sz="4" w:space="0" w:color="auto"/>
              <w:bottom w:val="single" w:sz="4" w:space="0" w:color="auto"/>
            </w:tcBorders>
            <w:shd w:val="clear" w:color="auto" w:fill="auto"/>
          </w:tcPr>
          <w:p w14:paraId="486653FA" w14:textId="77777777" w:rsidR="00786659" w:rsidRPr="005E3B43" w:rsidRDefault="006B5D8E" w:rsidP="00763BCF">
            <w:pPr>
              <w:pStyle w:val="ENoteTableText"/>
            </w:pPr>
            <w:r w:rsidRPr="005E3B43">
              <w:t>28 June</w:t>
            </w:r>
            <w:r w:rsidR="00916D80" w:rsidRPr="005E3B43">
              <w:t xml:space="preserve"> 2024 (</w:t>
            </w:r>
            <w:r w:rsidR="00097968" w:rsidRPr="005E3B43">
              <w:t>F2024L00839)</w:t>
            </w:r>
          </w:p>
        </w:tc>
        <w:tc>
          <w:tcPr>
            <w:tcW w:w="1392" w:type="pct"/>
            <w:tcBorders>
              <w:top w:val="single" w:sz="4" w:space="0" w:color="auto"/>
              <w:bottom w:val="single" w:sz="4" w:space="0" w:color="auto"/>
            </w:tcBorders>
            <w:shd w:val="clear" w:color="auto" w:fill="auto"/>
          </w:tcPr>
          <w:p w14:paraId="18B0727E" w14:textId="4D0F0CBB" w:rsidR="00786659" w:rsidRPr="005E3B43" w:rsidRDefault="00097968" w:rsidP="00763BCF">
            <w:pPr>
              <w:pStyle w:val="ENoteTableText"/>
            </w:pPr>
            <w:r w:rsidRPr="005E3B43">
              <w:t>Sch 1 (</w:t>
            </w:r>
            <w:r w:rsidR="007C3215">
              <w:t>items 1</w:t>
            </w:r>
            <w:r w:rsidRPr="005E3B43">
              <w:t xml:space="preserve">6–32, 35, 36): </w:t>
            </w:r>
            <w:r w:rsidR="006B5D8E" w:rsidRPr="005E3B43">
              <w:t>1 July</w:t>
            </w:r>
            <w:r w:rsidRPr="005E3B43">
              <w:t xml:space="preserve"> 2024 (s 2(1) </w:t>
            </w:r>
            <w:r w:rsidR="006B5D8E" w:rsidRPr="005E3B43">
              <w:t>item 2</w:t>
            </w:r>
            <w:r w:rsidRPr="005E3B43">
              <w:t>)</w:t>
            </w:r>
            <w:r w:rsidRPr="005E3B43">
              <w:br/>
              <w:t>Sch 2</w:t>
            </w:r>
            <w:r w:rsidR="009D206D" w:rsidRPr="005E3B43">
              <w:t xml:space="preserve">: 1 Oct 2024 (s 2(1) </w:t>
            </w:r>
            <w:r w:rsidR="006B5D8E" w:rsidRPr="005E3B43">
              <w:t>item 3</w:t>
            </w:r>
            <w:r w:rsidR="009D206D" w:rsidRPr="005E3B43">
              <w:t>)</w:t>
            </w:r>
            <w:r w:rsidR="009D206D" w:rsidRPr="005E3B43">
              <w:br/>
              <w:t xml:space="preserve">Sch 3: </w:t>
            </w:r>
            <w:r w:rsidR="007D4B74" w:rsidRPr="005E3B43">
              <w:t>30 Aug 2024</w:t>
            </w:r>
            <w:r w:rsidR="009D206D" w:rsidRPr="005E3B43">
              <w:t xml:space="preserve"> (s 2(1) </w:t>
            </w:r>
            <w:r w:rsidR="006B5D8E" w:rsidRPr="005E3B43">
              <w:t>item 4</w:t>
            </w:r>
            <w:r w:rsidR="00854D14" w:rsidRPr="005E3B43">
              <w:t>)</w:t>
            </w:r>
          </w:p>
        </w:tc>
        <w:tc>
          <w:tcPr>
            <w:tcW w:w="1218" w:type="pct"/>
            <w:tcBorders>
              <w:top w:val="single" w:sz="4" w:space="0" w:color="auto"/>
              <w:bottom w:val="single" w:sz="4" w:space="0" w:color="auto"/>
            </w:tcBorders>
            <w:shd w:val="clear" w:color="auto" w:fill="auto"/>
          </w:tcPr>
          <w:p w14:paraId="442508FD" w14:textId="77777777" w:rsidR="00786659" w:rsidRPr="005E3B43" w:rsidRDefault="006E676A" w:rsidP="00763BCF">
            <w:pPr>
              <w:pStyle w:val="ENoteTableText"/>
            </w:pPr>
            <w:r w:rsidRPr="005E3B43">
              <w:t>—</w:t>
            </w:r>
          </w:p>
        </w:tc>
      </w:tr>
      <w:tr w:rsidR="00AB74D4" w:rsidRPr="005E3B43" w14:paraId="7F9D8992" w14:textId="77777777" w:rsidTr="002D450C">
        <w:trPr>
          <w:cantSplit/>
        </w:trPr>
        <w:tc>
          <w:tcPr>
            <w:tcW w:w="1310" w:type="pct"/>
            <w:tcBorders>
              <w:top w:val="single" w:sz="4" w:space="0" w:color="auto"/>
              <w:bottom w:val="single" w:sz="4" w:space="0" w:color="auto"/>
            </w:tcBorders>
            <w:shd w:val="clear" w:color="auto" w:fill="auto"/>
          </w:tcPr>
          <w:p w14:paraId="57D4FBE9" w14:textId="396D7226" w:rsidR="00AB74D4" w:rsidRPr="005E3B43" w:rsidRDefault="00AB74D4" w:rsidP="00763BCF">
            <w:pPr>
              <w:pStyle w:val="ENoteTableText"/>
            </w:pPr>
            <w:r w:rsidRPr="00AB74D4">
              <w:lastRenderedPageBreak/>
              <w:t xml:space="preserve">Administrative Review Tribunal Legislation Consequential Amendments (2024 Measures No. 1) </w:t>
            </w:r>
            <w:r w:rsidR="007C3215">
              <w:t>Regulations 2</w:t>
            </w:r>
            <w:r w:rsidRPr="00AB74D4">
              <w:t>024</w:t>
            </w:r>
          </w:p>
        </w:tc>
        <w:tc>
          <w:tcPr>
            <w:tcW w:w="1080" w:type="pct"/>
            <w:tcBorders>
              <w:top w:val="single" w:sz="4" w:space="0" w:color="auto"/>
              <w:bottom w:val="single" w:sz="4" w:space="0" w:color="auto"/>
            </w:tcBorders>
            <w:shd w:val="clear" w:color="auto" w:fill="auto"/>
          </w:tcPr>
          <w:p w14:paraId="20D0F236" w14:textId="77777777" w:rsidR="00AB74D4" w:rsidRPr="005E3B43" w:rsidRDefault="00AB74D4" w:rsidP="00763BCF">
            <w:pPr>
              <w:pStyle w:val="ENoteTableText"/>
            </w:pPr>
            <w:r>
              <w:t>11 Oct 2024 (</w:t>
            </w:r>
            <w:r w:rsidRPr="00AB74D4">
              <w:t>F2024L01299</w:t>
            </w:r>
            <w:r>
              <w:t>)</w:t>
            </w:r>
          </w:p>
        </w:tc>
        <w:tc>
          <w:tcPr>
            <w:tcW w:w="1392" w:type="pct"/>
            <w:tcBorders>
              <w:top w:val="single" w:sz="4" w:space="0" w:color="auto"/>
              <w:bottom w:val="single" w:sz="4" w:space="0" w:color="auto"/>
            </w:tcBorders>
            <w:shd w:val="clear" w:color="auto" w:fill="auto"/>
          </w:tcPr>
          <w:p w14:paraId="0AE8CFEC" w14:textId="6A96EEC7" w:rsidR="00AB74D4" w:rsidRPr="005E3B43" w:rsidRDefault="00AB74D4" w:rsidP="00763BCF">
            <w:pPr>
              <w:pStyle w:val="ENoteTableText"/>
            </w:pPr>
            <w:r>
              <w:t>Sch 7 (</w:t>
            </w:r>
            <w:r w:rsidR="007C3215">
              <w:t>items 2</w:t>
            </w:r>
            <w:r>
              <w:t xml:space="preserve">8–33): 14 Oct 2024 (s 2(1) </w:t>
            </w:r>
            <w:r w:rsidR="007C3215">
              <w:t>item 1</w:t>
            </w:r>
            <w:r>
              <w:t>)</w:t>
            </w:r>
          </w:p>
        </w:tc>
        <w:tc>
          <w:tcPr>
            <w:tcW w:w="1218" w:type="pct"/>
            <w:tcBorders>
              <w:top w:val="single" w:sz="4" w:space="0" w:color="auto"/>
              <w:bottom w:val="single" w:sz="4" w:space="0" w:color="auto"/>
            </w:tcBorders>
            <w:shd w:val="clear" w:color="auto" w:fill="auto"/>
          </w:tcPr>
          <w:p w14:paraId="207D3D18" w14:textId="77777777" w:rsidR="00AB74D4" w:rsidRPr="005E3B43" w:rsidRDefault="00AB74D4" w:rsidP="00763BCF">
            <w:pPr>
              <w:pStyle w:val="ENoteTableText"/>
            </w:pPr>
            <w:r>
              <w:t>—</w:t>
            </w:r>
          </w:p>
        </w:tc>
      </w:tr>
      <w:tr w:rsidR="00055A8B" w:rsidRPr="005E3B43" w14:paraId="5CA4ABF7" w14:textId="77777777" w:rsidTr="00044F80">
        <w:trPr>
          <w:cantSplit/>
        </w:trPr>
        <w:tc>
          <w:tcPr>
            <w:tcW w:w="1310" w:type="pct"/>
            <w:tcBorders>
              <w:top w:val="single" w:sz="4" w:space="0" w:color="auto"/>
              <w:bottom w:val="single" w:sz="12" w:space="0" w:color="auto"/>
            </w:tcBorders>
            <w:shd w:val="clear" w:color="auto" w:fill="auto"/>
          </w:tcPr>
          <w:p w14:paraId="6C854812" w14:textId="203E336A" w:rsidR="00055A8B" w:rsidRPr="00055A8B" w:rsidRDefault="00055A8B" w:rsidP="00763BCF">
            <w:pPr>
              <w:pStyle w:val="ENoteTableText"/>
              <w:rPr>
                <w:iCs/>
              </w:rPr>
            </w:pPr>
            <w:r w:rsidRPr="002D450C">
              <w:rPr>
                <w:iCs/>
              </w:rPr>
              <w:t xml:space="preserve">Therapeutic Goods Legislation Amendment (2024 Measures No. 3) </w:t>
            </w:r>
            <w:r w:rsidR="007C3215">
              <w:rPr>
                <w:iCs/>
              </w:rPr>
              <w:t>Regulations 2</w:t>
            </w:r>
            <w:r w:rsidRPr="002D450C">
              <w:rPr>
                <w:iCs/>
              </w:rPr>
              <w:t>024</w:t>
            </w:r>
          </w:p>
        </w:tc>
        <w:tc>
          <w:tcPr>
            <w:tcW w:w="1080" w:type="pct"/>
            <w:tcBorders>
              <w:top w:val="single" w:sz="4" w:space="0" w:color="auto"/>
              <w:bottom w:val="single" w:sz="12" w:space="0" w:color="auto"/>
            </w:tcBorders>
            <w:shd w:val="clear" w:color="auto" w:fill="auto"/>
          </w:tcPr>
          <w:p w14:paraId="502AD75E" w14:textId="7ADBA97A" w:rsidR="00055A8B" w:rsidRDefault="00055A8B" w:rsidP="00763BCF">
            <w:pPr>
              <w:pStyle w:val="ENoteTableText"/>
            </w:pPr>
            <w:r>
              <w:t>13 Dec 2024 (</w:t>
            </w:r>
            <w:r w:rsidRPr="00055A8B">
              <w:t>F2024L01673</w:t>
            </w:r>
            <w:r>
              <w:t>)</w:t>
            </w:r>
          </w:p>
        </w:tc>
        <w:tc>
          <w:tcPr>
            <w:tcW w:w="1392" w:type="pct"/>
            <w:tcBorders>
              <w:top w:val="single" w:sz="4" w:space="0" w:color="auto"/>
              <w:bottom w:val="single" w:sz="12" w:space="0" w:color="auto"/>
            </w:tcBorders>
            <w:shd w:val="clear" w:color="auto" w:fill="auto"/>
          </w:tcPr>
          <w:p w14:paraId="169522AB" w14:textId="4530A726" w:rsidR="00055A8B" w:rsidRDefault="00055A8B" w:rsidP="00763BCF">
            <w:pPr>
              <w:pStyle w:val="ENoteTableText"/>
            </w:pPr>
            <w:r>
              <w:t>Sch 1 (</w:t>
            </w:r>
            <w:r w:rsidR="007C3215">
              <w:t>items 8</w:t>
            </w:r>
            <w:r>
              <w:t xml:space="preserve">–15, 17): 14 Dec 2024 (s 2(1) </w:t>
            </w:r>
            <w:r w:rsidR="007C3215">
              <w:t>item 1</w:t>
            </w:r>
            <w:r>
              <w:t>)</w:t>
            </w:r>
          </w:p>
        </w:tc>
        <w:tc>
          <w:tcPr>
            <w:tcW w:w="1218" w:type="pct"/>
            <w:tcBorders>
              <w:top w:val="single" w:sz="4" w:space="0" w:color="auto"/>
              <w:bottom w:val="single" w:sz="12" w:space="0" w:color="auto"/>
            </w:tcBorders>
            <w:shd w:val="clear" w:color="auto" w:fill="auto"/>
          </w:tcPr>
          <w:p w14:paraId="725FB4B6" w14:textId="600E376F" w:rsidR="00055A8B" w:rsidRDefault="00055A8B" w:rsidP="00763BCF">
            <w:pPr>
              <w:pStyle w:val="ENoteTableText"/>
            </w:pPr>
            <w:r>
              <w:t>—</w:t>
            </w:r>
          </w:p>
        </w:tc>
      </w:tr>
    </w:tbl>
    <w:p w14:paraId="59B3ADA8" w14:textId="77777777" w:rsidR="00616946" w:rsidRPr="005E3B43" w:rsidRDefault="00616946" w:rsidP="00763BCF">
      <w:pPr>
        <w:pStyle w:val="Tabletext"/>
      </w:pPr>
    </w:p>
    <w:tbl>
      <w:tblPr>
        <w:tblW w:w="5000" w:type="pct"/>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170"/>
        <w:gridCol w:w="1171"/>
        <w:gridCol w:w="1172"/>
        <w:gridCol w:w="2178"/>
        <w:gridCol w:w="1838"/>
      </w:tblGrid>
      <w:tr w:rsidR="00391CBB" w:rsidRPr="005E3B43" w14:paraId="55798504" w14:textId="77777777" w:rsidTr="00C561C6">
        <w:trPr>
          <w:cantSplit/>
          <w:tblHeader/>
        </w:trPr>
        <w:tc>
          <w:tcPr>
            <w:tcW w:w="2170" w:type="dxa"/>
            <w:tcBorders>
              <w:top w:val="single" w:sz="12" w:space="0" w:color="auto"/>
              <w:bottom w:val="single" w:sz="12" w:space="0" w:color="auto"/>
            </w:tcBorders>
            <w:shd w:val="clear" w:color="auto" w:fill="auto"/>
          </w:tcPr>
          <w:p w14:paraId="5D19FD8A" w14:textId="77777777" w:rsidR="00391CBB" w:rsidRPr="005E3B43" w:rsidRDefault="00391CBB" w:rsidP="001E35F9">
            <w:pPr>
              <w:pStyle w:val="ENoteTableHeading"/>
            </w:pPr>
            <w:r w:rsidRPr="005E3B43">
              <w:t>Act</w:t>
            </w:r>
          </w:p>
        </w:tc>
        <w:tc>
          <w:tcPr>
            <w:tcW w:w="1171" w:type="dxa"/>
            <w:tcBorders>
              <w:top w:val="single" w:sz="12" w:space="0" w:color="auto"/>
              <w:bottom w:val="single" w:sz="12" w:space="0" w:color="auto"/>
            </w:tcBorders>
            <w:shd w:val="clear" w:color="auto" w:fill="auto"/>
          </w:tcPr>
          <w:p w14:paraId="49208C78" w14:textId="77777777" w:rsidR="00391CBB" w:rsidRPr="005E3B43" w:rsidRDefault="00391CBB" w:rsidP="001E35F9">
            <w:pPr>
              <w:pStyle w:val="ENoteTableHeading"/>
            </w:pPr>
            <w:r w:rsidRPr="005E3B43">
              <w:t>Number and year</w:t>
            </w:r>
          </w:p>
        </w:tc>
        <w:tc>
          <w:tcPr>
            <w:tcW w:w="1172" w:type="dxa"/>
            <w:tcBorders>
              <w:top w:val="single" w:sz="12" w:space="0" w:color="auto"/>
              <w:bottom w:val="single" w:sz="12" w:space="0" w:color="auto"/>
            </w:tcBorders>
            <w:shd w:val="clear" w:color="auto" w:fill="auto"/>
          </w:tcPr>
          <w:p w14:paraId="00B9C2AC" w14:textId="77777777" w:rsidR="00391CBB" w:rsidRPr="005E3B43" w:rsidRDefault="00391CBB" w:rsidP="001E35F9">
            <w:pPr>
              <w:pStyle w:val="ENoteTableHeading"/>
            </w:pPr>
            <w:r w:rsidRPr="005E3B43">
              <w:t>Assent</w:t>
            </w:r>
          </w:p>
        </w:tc>
        <w:tc>
          <w:tcPr>
            <w:tcW w:w="2178" w:type="dxa"/>
            <w:tcBorders>
              <w:top w:val="single" w:sz="12" w:space="0" w:color="auto"/>
              <w:bottom w:val="single" w:sz="12" w:space="0" w:color="auto"/>
            </w:tcBorders>
            <w:shd w:val="clear" w:color="auto" w:fill="auto"/>
          </w:tcPr>
          <w:p w14:paraId="716DE340" w14:textId="77777777" w:rsidR="00391CBB" w:rsidRPr="005E3B43" w:rsidRDefault="00391CBB" w:rsidP="001E35F9">
            <w:pPr>
              <w:pStyle w:val="ENoteTableHeading"/>
            </w:pPr>
            <w:r w:rsidRPr="005E3B43">
              <w:t>Commencement</w:t>
            </w:r>
          </w:p>
        </w:tc>
        <w:tc>
          <w:tcPr>
            <w:tcW w:w="1838" w:type="dxa"/>
            <w:tcBorders>
              <w:top w:val="single" w:sz="12" w:space="0" w:color="auto"/>
              <w:bottom w:val="single" w:sz="12" w:space="0" w:color="auto"/>
            </w:tcBorders>
            <w:shd w:val="clear" w:color="auto" w:fill="auto"/>
          </w:tcPr>
          <w:p w14:paraId="1FB3F2E2" w14:textId="77777777" w:rsidR="00391CBB" w:rsidRPr="005E3B43" w:rsidRDefault="00391CBB" w:rsidP="001E35F9">
            <w:pPr>
              <w:pStyle w:val="ENoteTableHeading"/>
            </w:pPr>
            <w:r w:rsidRPr="005E3B43">
              <w:t>Application, saving and transitional provisions</w:t>
            </w:r>
          </w:p>
        </w:tc>
      </w:tr>
      <w:tr w:rsidR="00391CBB" w:rsidRPr="005E3B43" w14:paraId="72EAB95F" w14:textId="77777777" w:rsidTr="00C561C6">
        <w:trPr>
          <w:cantSplit/>
        </w:trPr>
        <w:tc>
          <w:tcPr>
            <w:tcW w:w="2170" w:type="dxa"/>
            <w:tcBorders>
              <w:bottom w:val="single" w:sz="12" w:space="0" w:color="auto"/>
            </w:tcBorders>
            <w:shd w:val="clear" w:color="auto" w:fill="auto"/>
          </w:tcPr>
          <w:p w14:paraId="31F0DE25" w14:textId="77777777" w:rsidR="00391CBB" w:rsidRPr="005E3B43" w:rsidRDefault="005332D5" w:rsidP="001E35F9">
            <w:pPr>
              <w:pStyle w:val="ENoteTableText"/>
            </w:pPr>
            <w:r w:rsidRPr="005E3B43">
              <w:t>Therapeutic Goods and Other Legislation Amendment (Vaping Reforms) Act 2024</w:t>
            </w:r>
          </w:p>
        </w:tc>
        <w:tc>
          <w:tcPr>
            <w:tcW w:w="1171" w:type="dxa"/>
            <w:tcBorders>
              <w:bottom w:val="single" w:sz="12" w:space="0" w:color="auto"/>
            </w:tcBorders>
            <w:shd w:val="clear" w:color="auto" w:fill="auto"/>
          </w:tcPr>
          <w:p w14:paraId="0086F64E" w14:textId="77777777" w:rsidR="00391CBB" w:rsidRPr="005E3B43" w:rsidRDefault="005332D5" w:rsidP="001E35F9">
            <w:pPr>
              <w:pStyle w:val="ENoteTableText"/>
            </w:pPr>
            <w:r w:rsidRPr="005E3B43">
              <w:rPr>
                <w:noProof/>
              </w:rPr>
              <w:t>50, 2024</w:t>
            </w:r>
          </w:p>
        </w:tc>
        <w:tc>
          <w:tcPr>
            <w:tcW w:w="1172" w:type="dxa"/>
            <w:tcBorders>
              <w:bottom w:val="single" w:sz="12" w:space="0" w:color="auto"/>
            </w:tcBorders>
            <w:shd w:val="clear" w:color="auto" w:fill="auto"/>
          </w:tcPr>
          <w:p w14:paraId="54A3BF0A" w14:textId="77777777" w:rsidR="00391CBB" w:rsidRPr="005E3B43" w:rsidRDefault="006B5D8E" w:rsidP="001E35F9">
            <w:pPr>
              <w:pStyle w:val="ENoteTableText"/>
            </w:pPr>
            <w:r w:rsidRPr="005E3B43">
              <w:t>27 June</w:t>
            </w:r>
            <w:r w:rsidR="005332D5" w:rsidRPr="005E3B43">
              <w:t xml:space="preserve"> 2024</w:t>
            </w:r>
          </w:p>
        </w:tc>
        <w:tc>
          <w:tcPr>
            <w:tcW w:w="2178" w:type="dxa"/>
            <w:tcBorders>
              <w:bottom w:val="single" w:sz="12" w:space="0" w:color="auto"/>
            </w:tcBorders>
            <w:shd w:val="clear" w:color="auto" w:fill="auto"/>
          </w:tcPr>
          <w:p w14:paraId="28E4BF06" w14:textId="1CA9F702" w:rsidR="00391CBB" w:rsidRPr="005E3B43" w:rsidRDefault="005332D5" w:rsidP="001E35F9">
            <w:pPr>
              <w:pStyle w:val="ENoteTableText"/>
            </w:pPr>
            <w:r w:rsidRPr="005E3B43">
              <w:t>Sch 4 (</w:t>
            </w:r>
            <w:r w:rsidR="007C3215">
              <w:t>items 1</w:t>
            </w:r>
            <w:r w:rsidRPr="005E3B43">
              <w:t>7</w:t>
            </w:r>
            <w:r w:rsidR="007649C9" w:rsidRPr="005E3B43">
              <w:t>–19</w:t>
            </w:r>
            <w:r w:rsidRPr="005E3B43">
              <w:t xml:space="preserve">): 1 Oct 2024 (s 2(1) </w:t>
            </w:r>
            <w:r w:rsidR="006B5D8E" w:rsidRPr="005E3B43">
              <w:t>item 5</w:t>
            </w:r>
            <w:r w:rsidRPr="005E3B43">
              <w:t>)</w:t>
            </w:r>
          </w:p>
        </w:tc>
        <w:tc>
          <w:tcPr>
            <w:tcW w:w="1838" w:type="dxa"/>
            <w:tcBorders>
              <w:bottom w:val="single" w:sz="12" w:space="0" w:color="auto"/>
            </w:tcBorders>
            <w:shd w:val="clear" w:color="auto" w:fill="auto"/>
          </w:tcPr>
          <w:p w14:paraId="6A8106B2" w14:textId="22E36855" w:rsidR="00391CBB" w:rsidRPr="005E3B43" w:rsidRDefault="00DB0925" w:rsidP="001E35F9">
            <w:pPr>
              <w:pStyle w:val="ENoteTableText"/>
            </w:pPr>
            <w:r w:rsidRPr="005E3B43">
              <w:t>Sch 4 (</w:t>
            </w:r>
            <w:r w:rsidR="007C3215">
              <w:t>items 1</w:t>
            </w:r>
            <w:r w:rsidRPr="005E3B43">
              <w:t>8, 19)</w:t>
            </w:r>
          </w:p>
        </w:tc>
      </w:tr>
    </w:tbl>
    <w:p w14:paraId="31D66221" w14:textId="77777777" w:rsidR="00391CBB" w:rsidRPr="005E3B43" w:rsidRDefault="00391CBB" w:rsidP="00763BCF">
      <w:pPr>
        <w:pStyle w:val="Tabletext"/>
      </w:pPr>
    </w:p>
    <w:p w14:paraId="087F6621" w14:textId="77777777" w:rsidR="008449D6" w:rsidRPr="005E3B43" w:rsidRDefault="008449D6" w:rsidP="00763BCF">
      <w:pPr>
        <w:pStyle w:val="ENotesHeading2"/>
        <w:pageBreakBefore/>
        <w:outlineLvl w:val="9"/>
      </w:pPr>
      <w:bookmarkStart w:id="470" w:name="_Toc187136053"/>
      <w:r w:rsidRPr="005E3B43">
        <w:lastRenderedPageBreak/>
        <w:t>Endnote 4—Amendment history</w:t>
      </w:r>
      <w:bookmarkEnd w:id="470"/>
    </w:p>
    <w:p w14:paraId="1A7DC72C" w14:textId="77777777" w:rsidR="008449D6" w:rsidRPr="005E3B43" w:rsidRDefault="008449D6" w:rsidP="00763BCF">
      <w:pPr>
        <w:pStyle w:val="Tabletext"/>
      </w:pPr>
    </w:p>
    <w:tbl>
      <w:tblPr>
        <w:tblW w:w="5000" w:type="pct"/>
        <w:tblLook w:val="0000" w:firstRow="0" w:lastRow="0" w:firstColumn="0" w:lastColumn="0" w:noHBand="0" w:noVBand="0"/>
      </w:tblPr>
      <w:tblGrid>
        <w:gridCol w:w="2550"/>
        <w:gridCol w:w="5979"/>
      </w:tblGrid>
      <w:tr w:rsidR="008449D6" w:rsidRPr="005E3B43" w14:paraId="71521A40" w14:textId="77777777" w:rsidTr="00034EA9">
        <w:trPr>
          <w:cantSplit/>
          <w:tblHeader/>
        </w:trPr>
        <w:tc>
          <w:tcPr>
            <w:tcW w:w="1495" w:type="pct"/>
            <w:tcBorders>
              <w:top w:val="single" w:sz="12" w:space="0" w:color="auto"/>
              <w:bottom w:val="single" w:sz="12" w:space="0" w:color="auto"/>
            </w:tcBorders>
            <w:shd w:val="clear" w:color="auto" w:fill="auto"/>
          </w:tcPr>
          <w:p w14:paraId="664EABE3" w14:textId="77777777" w:rsidR="008449D6" w:rsidRPr="005E3B43" w:rsidRDefault="008449D6" w:rsidP="00763BCF">
            <w:pPr>
              <w:pStyle w:val="ENoteTableHeading"/>
            </w:pPr>
            <w:r w:rsidRPr="005E3B43">
              <w:t>Provision affected</w:t>
            </w:r>
          </w:p>
        </w:tc>
        <w:tc>
          <w:tcPr>
            <w:tcW w:w="3505" w:type="pct"/>
            <w:tcBorders>
              <w:top w:val="single" w:sz="12" w:space="0" w:color="auto"/>
              <w:bottom w:val="single" w:sz="12" w:space="0" w:color="auto"/>
            </w:tcBorders>
            <w:shd w:val="clear" w:color="auto" w:fill="auto"/>
          </w:tcPr>
          <w:p w14:paraId="7325198D" w14:textId="77777777" w:rsidR="008449D6" w:rsidRPr="005E3B43" w:rsidRDefault="008449D6" w:rsidP="00763BCF">
            <w:pPr>
              <w:pStyle w:val="ENoteTableHeading"/>
            </w:pPr>
            <w:r w:rsidRPr="005E3B43">
              <w:t>How affected</w:t>
            </w:r>
          </w:p>
        </w:tc>
      </w:tr>
      <w:tr w:rsidR="00D64E96" w:rsidRPr="005E3B43" w14:paraId="5557F153" w14:textId="77777777" w:rsidTr="00034EA9">
        <w:trPr>
          <w:cantSplit/>
        </w:trPr>
        <w:tc>
          <w:tcPr>
            <w:tcW w:w="1495" w:type="pct"/>
          </w:tcPr>
          <w:p w14:paraId="75C5F5F8" w14:textId="77777777" w:rsidR="00D64E96" w:rsidRPr="005E3B43" w:rsidRDefault="00D64E96" w:rsidP="00763BCF">
            <w:pPr>
              <w:pStyle w:val="ENoteTableText"/>
            </w:pPr>
            <w:r w:rsidRPr="005E3B43">
              <w:rPr>
                <w:b/>
              </w:rPr>
              <w:t>Part</w:t>
            </w:r>
            <w:r w:rsidR="004E6D00" w:rsidRPr="005E3B43">
              <w:rPr>
                <w:b/>
              </w:rPr>
              <w:t> </w:t>
            </w:r>
            <w:r w:rsidRPr="005E3B43">
              <w:rPr>
                <w:b/>
              </w:rPr>
              <w:t>1</w:t>
            </w:r>
          </w:p>
        </w:tc>
        <w:tc>
          <w:tcPr>
            <w:tcW w:w="3505" w:type="pct"/>
          </w:tcPr>
          <w:p w14:paraId="467A1A83" w14:textId="77777777" w:rsidR="00D64E96" w:rsidRPr="005E3B43" w:rsidRDefault="00D64E96" w:rsidP="00763BCF">
            <w:pPr>
              <w:pStyle w:val="ENoteTableText"/>
            </w:pPr>
          </w:p>
        </w:tc>
      </w:tr>
      <w:tr w:rsidR="00D64E96" w:rsidRPr="005E3B43" w14:paraId="378D194B" w14:textId="77777777" w:rsidTr="00034EA9">
        <w:trPr>
          <w:cantSplit/>
        </w:trPr>
        <w:tc>
          <w:tcPr>
            <w:tcW w:w="1495" w:type="pct"/>
          </w:tcPr>
          <w:p w14:paraId="29D1DFE9" w14:textId="77777777" w:rsidR="00D64E96" w:rsidRPr="005E3B43" w:rsidRDefault="00D64E96" w:rsidP="00763BCF">
            <w:pPr>
              <w:pStyle w:val="ENoteTableText"/>
              <w:tabs>
                <w:tab w:val="center" w:leader="dot" w:pos="2268"/>
              </w:tabs>
            </w:pPr>
            <w:r w:rsidRPr="005E3B43">
              <w:t>r 1</w:t>
            </w:r>
            <w:r w:rsidRPr="005E3B43">
              <w:tab/>
            </w:r>
          </w:p>
        </w:tc>
        <w:tc>
          <w:tcPr>
            <w:tcW w:w="3505" w:type="pct"/>
          </w:tcPr>
          <w:p w14:paraId="7387B08D" w14:textId="77777777" w:rsidR="00D64E96" w:rsidRPr="005E3B43" w:rsidRDefault="00D64E96" w:rsidP="00763BCF">
            <w:pPr>
              <w:pStyle w:val="ENoteTableText"/>
            </w:pPr>
            <w:r w:rsidRPr="005E3B43">
              <w:t>rs No</w:t>
            </w:r>
            <w:r w:rsidR="00EC3300" w:rsidRPr="005E3B43">
              <w:t> </w:t>
            </w:r>
            <w:r w:rsidRPr="005E3B43">
              <w:t>369</w:t>
            </w:r>
            <w:r w:rsidR="00287F8C" w:rsidRPr="005E3B43">
              <w:t>, 1998</w:t>
            </w:r>
          </w:p>
        </w:tc>
      </w:tr>
      <w:tr w:rsidR="00D64E96" w:rsidRPr="005E3B43" w14:paraId="74AFA004" w14:textId="77777777" w:rsidTr="00034EA9">
        <w:trPr>
          <w:cantSplit/>
        </w:trPr>
        <w:tc>
          <w:tcPr>
            <w:tcW w:w="1495" w:type="pct"/>
          </w:tcPr>
          <w:p w14:paraId="3B1026B1" w14:textId="77777777" w:rsidR="00D64E96" w:rsidRPr="005E3B43" w:rsidRDefault="00D64E96" w:rsidP="00763BCF">
            <w:pPr>
              <w:pStyle w:val="ENoteTableText"/>
              <w:tabs>
                <w:tab w:val="center" w:leader="dot" w:pos="2268"/>
              </w:tabs>
            </w:pPr>
            <w:r w:rsidRPr="005E3B43">
              <w:t>r 2</w:t>
            </w:r>
            <w:r w:rsidRPr="005E3B43">
              <w:tab/>
            </w:r>
          </w:p>
        </w:tc>
        <w:tc>
          <w:tcPr>
            <w:tcW w:w="3505" w:type="pct"/>
          </w:tcPr>
          <w:p w14:paraId="75A922F9" w14:textId="77777777" w:rsidR="00D64E96" w:rsidRPr="005E3B43" w:rsidRDefault="00D64E96" w:rsidP="00763BCF">
            <w:pPr>
              <w:pStyle w:val="ENoteTableText"/>
            </w:pPr>
            <w:r w:rsidRPr="005E3B43">
              <w:t>am No</w:t>
            </w:r>
            <w:r w:rsidR="00A01264" w:rsidRPr="005E3B43">
              <w:t> </w:t>
            </w:r>
            <w:r w:rsidRPr="005E3B43">
              <w:t>485</w:t>
            </w:r>
            <w:r w:rsidR="00601443" w:rsidRPr="005E3B43">
              <w:t>, 1991</w:t>
            </w:r>
            <w:r w:rsidRPr="005E3B43">
              <w:t>; No</w:t>
            </w:r>
            <w:r w:rsidR="00A01264" w:rsidRPr="005E3B43">
              <w:t> </w:t>
            </w:r>
            <w:r w:rsidRPr="005E3B43">
              <w:t>332</w:t>
            </w:r>
            <w:r w:rsidR="00601443" w:rsidRPr="005E3B43">
              <w:t>, 1992</w:t>
            </w:r>
            <w:r w:rsidRPr="005E3B43">
              <w:t>; No</w:t>
            </w:r>
            <w:r w:rsidR="00A01264" w:rsidRPr="005E3B43">
              <w:t> </w:t>
            </w:r>
            <w:r w:rsidRPr="005E3B43">
              <w:t>364</w:t>
            </w:r>
            <w:r w:rsidR="00601443" w:rsidRPr="005E3B43">
              <w:t>, 1994</w:t>
            </w:r>
            <w:r w:rsidRPr="005E3B43">
              <w:t>; No 111,</w:t>
            </w:r>
            <w:r w:rsidR="00601443" w:rsidRPr="005E3B43">
              <w:t xml:space="preserve"> 1995; No</w:t>
            </w:r>
            <w:r w:rsidRPr="005E3B43">
              <w:t xml:space="preserve"> 208</w:t>
            </w:r>
            <w:r w:rsidR="00601443" w:rsidRPr="005E3B43">
              <w:t>, 1995; No</w:t>
            </w:r>
            <w:r w:rsidRPr="005E3B43">
              <w:t xml:space="preserve"> 328</w:t>
            </w:r>
            <w:r w:rsidR="00601443" w:rsidRPr="005E3B43">
              <w:t>, 1995</w:t>
            </w:r>
            <w:r w:rsidRPr="005E3B43">
              <w:t>; No 398,</w:t>
            </w:r>
            <w:r w:rsidR="003A66CC" w:rsidRPr="005E3B43">
              <w:t xml:space="preserve"> </w:t>
            </w:r>
            <w:r w:rsidR="00601443" w:rsidRPr="005E3B43">
              <w:t>1997;</w:t>
            </w:r>
            <w:r w:rsidRPr="005E3B43">
              <w:t xml:space="preserve"> </w:t>
            </w:r>
            <w:r w:rsidR="00601443" w:rsidRPr="005E3B43">
              <w:t xml:space="preserve">No </w:t>
            </w:r>
            <w:r w:rsidRPr="005E3B43">
              <w:t>399</w:t>
            </w:r>
            <w:r w:rsidR="00601443" w:rsidRPr="005E3B43">
              <w:t>, 1997; No</w:t>
            </w:r>
            <w:r w:rsidRPr="005E3B43">
              <w:t xml:space="preserve"> 400</w:t>
            </w:r>
            <w:r w:rsidR="00601443" w:rsidRPr="005E3B43">
              <w:t>, 1997</w:t>
            </w:r>
            <w:r w:rsidRPr="005E3B43">
              <w:t>; No</w:t>
            </w:r>
            <w:r w:rsidR="00A01264" w:rsidRPr="005E3B43">
              <w:t> </w:t>
            </w:r>
            <w:r w:rsidRPr="005E3B43">
              <w:t>369</w:t>
            </w:r>
            <w:r w:rsidR="00601443" w:rsidRPr="005E3B43">
              <w:t>, 1998</w:t>
            </w:r>
            <w:r w:rsidRPr="005E3B43">
              <w:t>; No 62</w:t>
            </w:r>
            <w:r w:rsidR="00601443" w:rsidRPr="005E3B43">
              <w:t>, 1999</w:t>
            </w:r>
            <w:r w:rsidR="00DB3F69" w:rsidRPr="005E3B43">
              <w:t>; No</w:t>
            </w:r>
            <w:r w:rsidRPr="005E3B43">
              <w:t xml:space="preserve"> 324</w:t>
            </w:r>
            <w:r w:rsidR="00DB3F69" w:rsidRPr="005E3B43">
              <w:t>, 1999</w:t>
            </w:r>
            <w:r w:rsidRPr="005E3B43">
              <w:t>; No 29,</w:t>
            </w:r>
            <w:r w:rsidR="00DB3F69" w:rsidRPr="005E3B43">
              <w:t xml:space="preserve"> 2000; No</w:t>
            </w:r>
            <w:r w:rsidRPr="005E3B43">
              <w:t xml:space="preserve"> 48</w:t>
            </w:r>
            <w:r w:rsidR="00DB3F69" w:rsidRPr="005E3B43">
              <w:t>, 2000; No</w:t>
            </w:r>
            <w:r w:rsidRPr="005E3B43">
              <w:t xml:space="preserve"> 358</w:t>
            </w:r>
            <w:r w:rsidR="00DB3F69" w:rsidRPr="005E3B43">
              <w:t>, 2000</w:t>
            </w:r>
            <w:r w:rsidRPr="005E3B43">
              <w:t>; No</w:t>
            </w:r>
            <w:r w:rsidR="00A01264" w:rsidRPr="005E3B43">
              <w:t> </w:t>
            </w:r>
            <w:r w:rsidRPr="005E3B43">
              <w:t>159</w:t>
            </w:r>
            <w:r w:rsidR="00DB3F69" w:rsidRPr="005E3B43">
              <w:t>, 2001</w:t>
            </w:r>
            <w:r w:rsidRPr="005E3B43">
              <w:t>; No</w:t>
            </w:r>
            <w:r w:rsidR="00A01264" w:rsidRPr="005E3B43">
              <w:t> </w:t>
            </w:r>
            <w:r w:rsidRPr="005E3B43">
              <w:t>234</w:t>
            </w:r>
            <w:r w:rsidR="00DB3F69" w:rsidRPr="005E3B43">
              <w:t>, 2002</w:t>
            </w:r>
            <w:r w:rsidRPr="005E3B43">
              <w:t>; No 111</w:t>
            </w:r>
            <w:r w:rsidR="00DB3F69" w:rsidRPr="005E3B43">
              <w:t>, 2003; No</w:t>
            </w:r>
            <w:r w:rsidRPr="005E3B43">
              <w:t xml:space="preserve"> 151</w:t>
            </w:r>
            <w:r w:rsidR="00DB3F69" w:rsidRPr="005E3B43">
              <w:t>, 2003; No</w:t>
            </w:r>
            <w:r w:rsidRPr="005E3B43">
              <w:t xml:space="preserve"> 301</w:t>
            </w:r>
            <w:r w:rsidR="00DB3F69" w:rsidRPr="005E3B43">
              <w:t xml:space="preserve">, 2003; No </w:t>
            </w:r>
            <w:r w:rsidRPr="005E3B43">
              <w:t>361</w:t>
            </w:r>
            <w:r w:rsidR="00DB3F69" w:rsidRPr="005E3B43">
              <w:t>, 2003</w:t>
            </w:r>
            <w:r w:rsidRPr="005E3B43">
              <w:t>; No</w:t>
            </w:r>
            <w:r w:rsidR="00A01264" w:rsidRPr="005E3B43">
              <w:t> </w:t>
            </w:r>
            <w:r w:rsidRPr="005E3B43">
              <w:t>127</w:t>
            </w:r>
            <w:r w:rsidR="00DB3F69" w:rsidRPr="005E3B43">
              <w:t>, 2004</w:t>
            </w:r>
            <w:r w:rsidRPr="005E3B43">
              <w:t>; No</w:t>
            </w:r>
            <w:r w:rsidR="00A01264" w:rsidRPr="005E3B43">
              <w:t> </w:t>
            </w:r>
            <w:r w:rsidRPr="005E3B43">
              <w:t>374</w:t>
            </w:r>
            <w:r w:rsidR="00DB3F69" w:rsidRPr="005E3B43">
              <w:t>, 2009</w:t>
            </w:r>
            <w:r w:rsidRPr="005E3B43">
              <w:t>; No</w:t>
            </w:r>
            <w:r w:rsidR="00A01264" w:rsidRPr="005E3B43">
              <w:t> </w:t>
            </w:r>
            <w:r w:rsidRPr="005E3B43">
              <w:t>26</w:t>
            </w:r>
            <w:r w:rsidR="00DB3F69" w:rsidRPr="005E3B43">
              <w:t>, 2010</w:t>
            </w:r>
            <w:r w:rsidRPr="005E3B43">
              <w:t>; No 30</w:t>
            </w:r>
            <w:r w:rsidR="00DB3F69" w:rsidRPr="005E3B43">
              <w:t>, 2011;</w:t>
            </w:r>
            <w:r w:rsidRPr="005E3B43">
              <w:t xml:space="preserve"> </w:t>
            </w:r>
            <w:r w:rsidR="00DB3F69" w:rsidRPr="005E3B43">
              <w:t>No</w:t>
            </w:r>
            <w:r w:rsidRPr="005E3B43">
              <w:t xml:space="preserve"> 102</w:t>
            </w:r>
            <w:r w:rsidR="00DB3F69" w:rsidRPr="005E3B43">
              <w:t>, 2011</w:t>
            </w:r>
            <w:r w:rsidRPr="005E3B43">
              <w:t>; No</w:t>
            </w:r>
            <w:r w:rsidR="00A01264" w:rsidRPr="005E3B43">
              <w:t> </w:t>
            </w:r>
            <w:r w:rsidRPr="005E3B43">
              <w:t>251</w:t>
            </w:r>
            <w:r w:rsidR="00DB3F69" w:rsidRPr="005E3B43">
              <w:t>, 2012</w:t>
            </w:r>
            <w:r w:rsidR="00EC68E4" w:rsidRPr="005E3B43">
              <w:t>; No 75, 2015</w:t>
            </w:r>
            <w:r w:rsidR="00FB5EE4" w:rsidRPr="005E3B43">
              <w:t>; No 214, 2015</w:t>
            </w:r>
            <w:r w:rsidR="003865D8" w:rsidRPr="005E3B43">
              <w:t>; F2016L00109</w:t>
            </w:r>
            <w:r w:rsidR="00D7213F" w:rsidRPr="005E3B43">
              <w:t>; F2016L01614</w:t>
            </w:r>
            <w:r w:rsidR="00A75468" w:rsidRPr="005E3B43">
              <w:t>; F2017L00853</w:t>
            </w:r>
            <w:r w:rsidR="00BD3E81" w:rsidRPr="005E3B43">
              <w:t>; F2017L01561</w:t>
            </w:r>
            <w:r w:rsidR="00B329FD" w:rsidRPr="005E3B43">
              <w:t>; F2018L00311</w:t>
            </w:r>
            <w:r w:rsidR="00501F68" w:rsidRPr="005E3B43">
              <w:t>; F2018L00865</w:t>
            </w:r>
            <w:r w:rsidR="00417B93" w:rsidRPr="005E3B43">
              <w:t>; F2018L01434</w:t>
            </w:r>
            <w:r w:rsidR="00583DA2" w:rsidRPr="005E3B43">
              <w:t>; F2019L00396</w:t>
            </w:r>
          </w:p>
        </w:tc>
      </w:tr>
      <w:tr w:rsidR="00601443" w:rsidRPr="005E3B43" w14:paraId="0A2F65DF" w14:textId="77777777" w:rsidTr="00034EA9">
        <w:trPr>
          <w:cantSplit/>
        </w:trPr>
        <w:tc>
          <w:tcPr>
            <w:tcW w:w="1495" w:type="pct"/>
          </w:tcPr>
          <w:p w14:paraId="109AB982" w14:textId="77777777" w:rsidR="00601443" w:rsidRPr="005E3B43" w:rsidRDefault="00601443" w:rsidP="00763BCF">
            <w:pPr>
              <w:pStyle w:val="ENoteTableText"/>
              <w:tabs>
                <w:tab w:val="center" w:leader="dot" w:pos="2268"/>
              </w:tabs>
            </w:pPr>
          </w:p>
        </w:tc>
        <w:tc>
          <w:tcPr>
            <w:tcW w:w="3505" w:type="pct"/>
          </w:tcPr>
          <w:p w14:paraId="1ACB740A" w14:textId="77777777" w:rsidR="00601443" w:rsidRPr="005E3B43" w:rsidRDefault="00601443" w:rsidP="00763BCF">
            <w:pPr>
              <w:pStyle w:val="ENoteTableText"/>
            </w:pPr>
            <w:r w:rsidRPr="005E3B43">
              <w:t>ed C88</w:t>
            </w:r>
          </w:p>
        </w:tc>
      </w:tr>
      <w:tr w:rsidR="00C724DE" w:rsidRPr="005E3B43" w14:paraId="2AF58718" w14:textId="77777777" w:rsidTr="00034EA9">
        <w:trPr>
          <w:cantSplit/>
        </w:trPr>
        <w:tc>
          <w:tcPr>
            <w:tcW w:w="1495" w:type="pct"/>
          </w:tcPr>
          <w:p w14:paraId="5763E55E" w14:textId="77777777" w:rsidR="00C724DE" w:rsidRPr="005E3B43" w:rsidRDefault="00C724DE" w:rsidP="00763BCF">
            <w:pPr>
              <w:pStyle w:val="ENoteTableText"/>
              <w:tabs>
                <w:tab w:val="center" w:leader="dot" w:pos="2268"/>
              </w:tabs>
            </w:pPr>
          </w:p>
        </w:tc>
        <w:tc>
          <w:tcPr>
            <w:tcW w:w="3505" w:type="pct"/>
          </w:tcPr>
          <w:p w14:paraId="2E631A52" w14:textId="4DB9081C" w:rsidR="00C724DE" w:rsidRPr="005E3B43" w:rsidRDefault="00C724DE" w:rsidP="00763BCF">
            <w:pPr>
              <w:pStyle w:val="ENoteTableText"/>
            </w:pPr>
            <w:r w:rsidRPr="005E3B43">
              <w:t>am F2019L01465</w:t>
            </w:r>
            <w:r w:rsidR="00BE6888" w:rsidRPr="005E3B43">
              <w:t>; F2019L01660</w:t>
            </w:r>
            <w:r w:rsidR="004E1992" w:rsidRPr="005E3B43">
              <w:t xml:space="preserve">; </w:t>
            </w:r>
            <w:r w:rsidR="002E0506" w:rsidRPr="005E3B43">
              <w:t xml:space="preserve">F2020L00720; </w:t>
            </w:r>
            <w:r w:rsidR="004E1992" w:rsidRPr="005E3B43">
              <w:t xml:space="preserve">F2020L00946 </w:t>
            </w:r>
            <w:r w:rsidR="00693297" w:rsidRPr="005E3B43">
              <w:t xml:space="preserve">(amdt never applied </w:t>
            </w:r>
            <w:r w:rsidR="004E1992" w:rsidRPr="005E3B43">
              <w:t xml:space="preserve">(Sch 9 </w:t>
            </w:r>
            <w:r w:rsidR="007C3215">
              <w:t>item 1</w:t>
            </w:r>
            <w:r w:rsidR="004E1992" w:rsidRPr="005E3B43">
              <w:t>)</w:t>
            </w:r>
            <w:r w:rsidR="00693297" w:rsidRPr="005E3B43">
              <w:t>)</w:t>
            </w:r>
            <w:r w:rsidR="00155B0B" w:rsidRPr="005E3B43">
              <w:t>; F2021L01032</w:t>
            </w:r>
            <w:r w:rsidR="00B53CCB" w:rsidRPr="005E3B43">
              <w:t>; F2021L01390</w:t>
            </w:r>
            <w:r w:rsidR="007F5E99" w:rsidRPr="005E3B43">
              <w:t>; F2022L01300</w:t>
            </w:r>
            <w:r w:rsidR="00763BCF" w:rsidRPr="005E3B43">
              <w:t xml:space="preserve">; </w:t>
            </w:r>
            <w:r w:rsidR="0009515A" w:rsidRPr="005E3B43">
              <w:t xml:space="preserve">F2022L01687; </w:t>
            </w:r>
            <w:r w:rsidR="00763BCF" w:rsidRPr="005E3B43">
              <w:t>F2023L00769</w:t>
            </w:r>
            <w:r w:rsidR="009D79EC" w:rsidRPr="005E3B43">
              <w:t>; F2023L01667</w:t>
            </w:r>
            <w:r w:rsidR="00E856F0" w:rsidRPr="005E3B43">
              <w:t>; F2024L00686</w:t>
            </w:r>
            <w:r w:rsidR="00001FB5" w:rsidRPr="005E3B43">
              <w:t>; F2024L00839</w:t>
            </w:r>
          </w:p>
        </w:tc>
      </w:tr>
      <w:tr w:rsidR="00D64E96" w:rsidRPr="005E3B43" w14:paraId="69BD2868" w14:textId="77777777" w:rsidTr="00034EA9">
        <w:trPr>
          <w:cantSplit/>
        </w:trPr>
        <w:tc>
          <w:tcPr>
            <w:tcW w:w="1495" w:type="pct"/>
          </w:tcPr>
          <w:p w14:paraId="284C6C40" w14:textId="77777777" w:rsidR="00D64E96" w:rsidRPr="005E3B43" w:rsidRDefault="00D64E96" w:rsidP="00763BCF">
            <w:pPr>
              <w:pStyle w:val="ENoteTableText"/>
              <w:tabs>
                <w:tab w:val="center" w:leader="dot" w:pos="2268"/>
              </w:tabs>
            </w:pPr>
            <w:r w:rsidRPr="005E3B43">
              <w:t>r 2A</w:t>
            </w:r>
            <w:r w:rsidRPr="005E3B43">
              <w:tab/>
            </w:r>
          </w:p>
        </w:tc>
        <w:tc>
          <w:tcPr>
            <w:tcW w:w="3505" w:type="pct"/>
          </w:tcPr>
          <w:p w14:paraId="16E1A680" w14:textId="77777777" w:rsidR="00D64E96" w:rsidRPr="005E3B43" w:rsidRDefault="00D64E96" w:rsidP="00763BCF">
            <w:pPr>
              <w:pStyle w:val="ENoteTableText"/>
            </w:pPr>
            <w:r w:rsidRPr="005E3B43">
              <w:t>ad No</w:t>
            </w:r>
            <w:r w:rsidR="00EC3300" w:rsidRPr="005E3B43">
              <w:t> </w:t>
            </w:r>
            <w:r w:rsidRPr="005E3B43">
              <w:t>361</w:t>
            </w:r>
            <w:r w:rsidR="00601443" w:rsidRPr="005E3B43">
              <w:t>, 2003</w:t>
            </w:r>
          </w:p>
        </w:tc>
      </w:tr>
      <w:tr w:rsidR="00D64E96" w:rsidRPr="005E3B43" w14:paraId="2A4CD701" w14:textId="77777777" w:rsidTr="00034EA9">
        <w:trPr>
          <w:cantSplit/>
        </w:trPr>
        <w:tc>
          <w:tcPr>
            <w:tcW w:w="1495" w:type="pct"/>
          </w:tcPr>
          <w:p w14:paraId="18C4088F" w14:textId="77777777" w:rsidR="00D64E96" w:rsidRPr="005E3B43" w:rsidRDefault="00D64E96" w:rsidP="00763BCF">
            <w:pPr>
              <w:pStyle w:val="ENoteTableText"/>
              <w:tabs>
                <w:tab w:val="center" w:leader="dot" w:pos="2268"/>
              </w:tabs>
            </w:pPr>
            <w:r w:rsidRPr="005E3B43">
              <w:t>r 3</w:t>
            </w:r>
            <w:r w:rsidRPr="005E3B43">
              <w:tab/>
            </w:r>
          </w:p>
        </w:tc>
        <w:tc>
          <w:tcPr>
            <w:tcW w:w="3505" w:type="pct"/>
          </w:tcPr>
          <w:p w14:paraId="33890335" w14:textId="77777777" w:rsidR="00D64E96" w:rsidRPr="005E3B43" w:rsidRDefault="00D64E96" w:rsidP="00763BCF">
            <w:pPr>
              <w:pStyle w:val="ENoteTableText"/>
            </w:pPr>
            <w:r w:rsidRPr="005E3B43">
              <w:t>am No 89</w:t>
            </w:r>
            <w:r w:rsidR="00601443" w:rsidRPr="005E3B43">
              <w:t>, 1992; No</w:t>
            </w:r>
            <w:r w:rsidRPr="005E3B43">
              <w:t xml:space="preserve"> 430</w:t>
            </w:r>
            <w:r w:rsidR="00601443" w:rsidRPr="005E3B43">
              <w:t>, 1992</w:t>
            </w:r>
          </w:p>
        </w:tc>
      </w:tr>
      <w:tr w:rsidR="00D64E96" w:rsidRPr="005E3B43" w14:paraId="4BFA080F" w14:textId="77777777" w:rsidTr="00034EA9">
        <w:trPr>
          <w:cantSplit/>
        </w:trPr>
        <w:tc>
          <w:tcPr>
            <w:tcW w:w="1495" w:type="pct"/>
          </w:tcPr>
          <w:p w14:paraId="60E11787" w14:textId="77777777" w:rsidR="00D64E96" w:rsidRPr="005E3B43" w:rsidRDefault="00D64E96" w:rsidP="00763BCF">
            <w:pPr>
              <w:pStyle w:val="ENoteTableText"/>
            </w:pPr>
          </w:p>
        </w:tc>
        <w:tc>
          <w:tcPr>
            <w:tcW w:w="3505" w:type="pct"/>
          </w:tcPr>
          <w:p w14:paraId="365091E6" w14:textId="77777777" w:rsidR="00D64E96" w:rsidRPr="005E3B43" w:rsidRDefault="00D64E96" w:rsidP="00763BCF">
            <w:pPr>
              <w:pStyle w:val="ENoteTableText"/>
            </w:pPr>
            <w:r w:rsidRPr="005E3B43">
              <w:t>rs No</w:t>
            </w:r>
            <w:r w:rsidR="00EC3300" w:rsidRPr="005E3B43">
              <w:t> </w:t>
            </w:r>
            <w:r w:rsidRPr="005E3B43">
              <w:t>111</w:t>
            </w:r>
            <w:r w:rsidR="00601443" w:rsidRPr="005E3B43">
              <w:t>, 1995</w:t>
            </w:r>
          </w:p>
        </w:tc>
      </w:tr>
      <w:tr w:rsidR="00D64E96" w:rsidRPr="005E3B43" w14:paraId="338185BB" w14:textId="77777777" w:rsidTr="00034EA9">
        <w:trPr>
          <w:cantSplit/>
        </w:trPr>
        <w:tc>
          <w:tcPr>
            <w:tcW w:w="1495" w:type="pct"/>
          </w:tcPr>
          <w:p w14:paraId="521409AE" w14:textId="77777777" w:rsidR="00D64E96" w:rsidRPr="005E3B43" w:rsidRDefault="00D64E96" w:rsidP="00763BCF">
            <w:pPr>
              <w:pStyle w:val="ENoteTableText"/>
            </w:pPr>
          </w:p>
        </w:tc>
        <w:tc>
          <w:tcPr>
            <w:tcW w:w="3505" w:type="pct"/>
          </w:tcPr>
          <w:p w14:paraId="65C43711" w14:textId="77777777" w:rsidR="00D64E96" w:rsidRPr="005E3B43" w:rsidRDefault="00D64E96" w:rsidP="00763BCF">
            <w:pPr>
              <w:pStyle w:val="ENoteTableText"/>
            </w:pPr>
            <w:r w:rsidRPr="005E3B43">
              <w:t>am No</w:t>
            </w:r>
            <w:r w:rsidR="00EC3300" w:rsidRPr="005E3B43">
              <w:t> </w:t>
            </w:r>
            <w:r w:rsidRPr="005E3B43">
              <w:t>200</w:t>
            </w:r>
            <w:r w:rsidR="00601443" w:rsidRPr="005E3B43">
              <w:t>, 1996</w:t>
            </w:r>
          </w:p>
        </w:tc>
      </w:tr>
      <w:tr w:rsidR="00D64E96" w:rsidRPr="005E3B43" w14:paraId="61DCC408" w14:textId="77777777" w:rsidTr="00034EA9">
        <w:trPr>
          <w:cantSplit/>
        </w:trPr>
        <w:tc>
          <w:tcPr>
            <w:tcW w:w="1495" w:type="pct"/>
          </w:tcPr>
          <w:p w14:paraId="0AF428C2" w14:textId="77777777" w:rsidR="00D64E96" w:rsidRPr="005E3B43" w:rsidRDefault="00D64E96" w:rsidP="00763BCF">
            <w:pPr>
              <w:pStyle w:val="ENoteTableText"/>
            </w:pPr>
          </w:p>
        </w:tc>
        <w:tc>
          <w:tcPr>
            <w:tcW w:w="3505" w:type="pct"/>
          </w:tcPr>
          <w:p w14:paraId="53CC5B70" w14:textId="77777777" w:rsidR="00D64E96" w:rsidRPr="005E3B43" w:rsidRDefault="00D64E96" w:rsidP="00763BCF">
            <w:pPr>
              <w:pStyle w:val="ENoteTableText"/>
            </w:pPr>
            <w:r w:rsidRPr="005E3B43">
              <w:t>rs No</w:t>
            </w:r>
            <w:r w:rsidR="00EC3300" w:rsidRPr="005E3B43">
              <w:t> </w:t>
            </w:r>
            <w:r w:rsidRPr="005E3B43">
              <w:t>361</w:t>
            </w:r>
            <w:r w:rsidR="00601443" w:rsidRPr="005E3B43">
              <w:t>, 2003</w:t>
            </w:r>
          </w:p>
        </w:tc>
      </w:tr>
      <w:tr w:rsidR="00D64E96" w:rsidRPr="005E3B43" w14:paraId="7F148D51" w14:textId="77777777" w:rsidTr="00034EA9">
        <w:trPr>
          <w:cantSplit/>
        </w:trPr>
        <w:tc>
          <w:tcPr>
            <w:tcW w:w="1495" w:type="pct"/>
          </w:tcPr>
          <w:p w14:paraId="6D5959C5" w14:textId="77777777" w:rsidR="00D64E96" w:rsidRPr="005E3B43" w:rsidRDefault="00D64E96" w:rsidP="00763BCF">
            <w:pPr>
              <w:pStyle w:val="ENoteTableText"/>
            </w:pPr>
          </w:p>
        </w:tc>
        <w:tc>
          <w:tcPr>
            <w:tcW w:w="3505" w:type="pct"/>
          </w:tcPr>
          <w:p w14:paraId="17D5C5DE" w14:textId="77777777" w:rsidR="00D64E96" w:rsidRPr="005E3B43" w:rsidRDefault="00D64E96" w:rsidP="00763BCF">
            <w:pPr>
              <w:pStyle w:val="ENoteTableText"/>
            </w:pPr>
            <w:r w:rsidRPr="005E3B43">
              <w:t>am No</w:t>
            </w:r>
            <w:r w:rsidR="00EC3300" w:rsidRPr="005E3B43">
              <w:t> </w:t>
            </w:r>
            <w:r w:rsidRPr="005E3B43">
              <w:t>26</w:t>
            </w:r>
            <w:r w:rsidR="00601443" w:rsidRPr="005E3B43">
              <w:t>, 2010</w:t>
            </w:r>
            <w:r w:rsidRPr="005E3B43">
              <w:t>; No 102</w:t>
            </w:r>
            <w:r w:rsidR="00601443" w:rsidRPr="005E3B43">
              <w:t>, 2011; No</w:t>
            </w:r>
            <w:r w:rsidRPr="005E3B43">
              <w:t xml:space="preserve"> 281</w:t>
            </w:r>
            <w:r w:rsidR="00F521E6" w:rsidRPr="005E3B43">
              <w:t>,</w:t>
            </w:r>
            <w:r w:rsidR="00601443" w:rsidRPr="005E3B43">
              <w:t xml:space="preserve"> 2011;</w:t>
            </w:r>
            <w:r w:rsidR="00495F19" w:rsidRPr="005E3B43">
              <w:t xml:space="preserve"> No 87, 2015</w:t>
            </w:r>
          </w:p>
        </w:tc>
      </w:tr>
      <w:tr w:rsidR="00601443" w:rsidRPr="005E3B43" w14:paraId="1ACC3453" w14:textId="77777777" w:rsidTr="00034EA9">
        <w:trPr>
          <w:cantSplit/>
        </w:trPr>
        <w:tc>
          <w:tcPr>
            <w:tcW w:w="1495" w:type="pct"/>
          </w:tcPr>
          <w:p w14:paraId="527E5B0E" w14:textId="77777777" w:rsidR="00601443" w:rsidRPr="005E3B43" w:rsidRDefault="00601443" w:rsidP="00763BCF">
            <w:pPr>
              <w:pStyle w:val="ENoteTableText"/>
            </w:pPr>
          </w:p>
        </w:tc>
        <w:tc>
          <w:tcPr>
            <w:tcW w:w="3505" w:type="pct"/>
          </w:tcPr>
          <w:p w14:paraId="54780106" w14:textId="77777777" w:rsidR="00601443" w:rsidRPr="005E3B43" w:rsidRDefault="00601443" w:rsidP="00763BCF">
            <w:pPr>
              <w:pStyle w:val="ENoteTableText"/>
            </w:pPr>
            <w:r w:rsidRPr="005E3B43">
              <w:t>ed C88</w:t>
            </w:r>
          </w:p>
        </w:tc>
      </w:tr>
      <w:tr w:rsidR="00E466BB" w:rsidRPr="005E3B43" w14:paraId="7BAA23C1" w14:textId="77777777" w:rsidTr="00034EA9">
        <w:trPr>
          <w:cantSplit/>
        </w:trPr>
        <w:tc>
          <w:tcPr>
            <w:tcW w:w="1495" w:type="pct"/>
          </w:tcPr>
          <w:p w14:paraId="27001245" w14:textId="77777777" w:rsidR="00E466BB" w:rsidRPr="005E3B43" w:rsidRDefault="00E466BB" w:rsidP="00763BCF">
            <w:pPr>
              <w:pStyle w:val="ENoteTableText"/>
            </w:pPr>
          </w:p>
        </w:tc>
        <w:tc>
          <w:tcPr>
            <w:tcW w:w="3505" w:type="pct"/>
          </w:tcPr>
          <w:p w14:paraId="48C9AACC" w14:textId="77777777" w:rsidR="00E466BB" w:rsidRPr="005E3B43" w:rsidRDefault="00E466BB" w:rsidP="00763BCF">
            <w:pPr>
              <w:pStyle w:val="ENoteTableText"/>
            </w:pPr>
            <w:r w:rsidRPr="005E3B43">
              <w:t>am F2021L01474</w:t>
            </w:r>
            <w:r w:rsidR="00B96BA3" w:rsidRPr="005E3B43">
              <w:t>; F2024L00839</w:t>
            </w:r>
          </w:p>
        </w:tc>
      </w:tr>
      <w:tr w:rsidR="00D64E96" w:rsidRPr="005E3B43" w14:paraId="372A1D83" w14:textId="77777777" w:rsidTr="00034EA9">
        <w:trPr>
          <w:cantSplit/>
        </w:trPr>
        <w:tc>
          <w:tcPr>
            <w:tcW w:w="1495" w:type="pct"/>
          </w:tcPr>
          <w:p w14:paraId="492AA68A" w14:textId="77777777" w:rsidR="00D64E96" w:rsidRPr="005E3B43" w:rsidRDefault="00D64E96" w:rsidP="00763BCF">
            <w:pPr>
              <w:pStyle w:val="ENoteTableText"/>
              <w:tabs>
                <w:tab w:val="center" w:leader="dot" w:pos="2268"/>
              </w:tabs>
            </w:pPr>
            <w:r w:rsidRPr="005E3B43">
              <w:t>r 3AA</w:t>
            </w:r>
            <w:r w:rsidRPr="005E3B43">
              <w:tab/>
            </w:r>
          </w:p>
        </w:tc>
        <w:tc>
          <w:tcPr>
            <w:tcW w:w="3505" w:type="pct"/>
          </w:tcPr>
          <w:p w14:paraId="0443C6B1" w14:textId="77777777" w:rsidR="00D64E96" w:rsidRPr="005E3B43" w:rsidRDefault="00D64E96" w:rsidP="00763BCF">
            <w:pPr>
              <w:pStyle w:val="ENoteTableText"/>
            </w:pPr>
            <w:r w:rsidRPr="005E3B43">
              <w:t>ad No</w:t>
            </w:r>
            <w:r w:rsidR="00A34E92" w:rsidRPr="005E3B43">
              <w:t> </w:t>
            </w:r>
            <w:r w:rsidRPr="005E3B43">
              <w:t>102</w:t>
            </w:r>
            <w:r w:rsidR="007F6DF4" w:rsidRPr="005E3B43">
              <w:t>, 2011</w:t>
            </w:r>
          </w:p>
        </w:tc>
      </w:tr>
      <w:tr w:rsidR="009A3B8C" w:rsidRPr="005E3B43" w14:paraId="32418EB6" w14:textId="77777777" w:rsidTr="00034EA9">
        <w:trPr>
          <w:cantSplit/>
        </w:trPr>
        <w:tc>
          <w:tcPr>
            <w:tcW w:w="1495" w:type="pct"/>
          </w:tcPr>
          <w:p w14:paraId="65BB00AE" w14:textId="77777777" w:rsidR="009A3B8C" w:rsidRPr="005E3B43" w:rsidRDefault="009A3B8C" w:rsidP="00763BCF">
            <w:pPr>
              <w:pStyle w:val="ENoteTableText"/>
              <w:tabs>
                <w:tab w:val="center" w:leader="dot" w:pos="2268"/>
              </w:tabs>
            </w:pPr>
          </w:p>
        </w:tc>
        <w:tc>
          <w:tcPr>
            <w:tcW w:w="3505" w:type="pct"/>
          </w:tcPr>
          <w:p w14:paraId="52160819" w14:textId="77777777" w:rsidR="009A3B8C" w:rsidRPr="005E3B43" w:rsidRDefault="009A3B8C" w:rsidP="00763BCF">
            <w:pPr>
              <w:pStyle w:val="ENoteTableText"/>
            </w:pPr>
            <w:r w:rsidRPr="005E3B43">
              <w:t>am No 213, 2015</w:t>
            </w:r>
            <w:r w:rsidR="00B329FD" w:rsidRPr="005E3B43">
              <w:t>; F2018L00311</w:t>
            </w:r>
            <w:r w:rsidR="00417B93" w:rsidRPr="005E3B43">
              <w:t>; F2018L01434</w:t>
            </w:r>
          </w:p>
        </w:tc>
      </w:tr>
      <w:tr w:rsidR="00D64E96" w:rsidRPr="005E3B43" w14:paraId="2F8AC585" w14:textId="77777777" w:rsidTr="00034EA9">
        <w:trPr>
          <w:cantSplit/>
        </w:trPr>
        <w:tc>
          <w:tcPr>
            <w:tcW w:w="1495" w:type="pct"/>
          </w:tcPr>
          <w:p w14:paraId="180C979D" w14:textId="77777777" w:rsidR="00D64E96" w:rsidRPr="005E3B43" w:rsidRDefault="00D64E96" w:rsidP="00763BCF">
            <w:pPr>
              <w:pStyle w:val="ENoteTableText"/>
              <w:tabs>
                <w:tab w:val="center" w:leader="dot" w:pos="2268"/>
              </w:tabs>
            </w:pPr>
            <w:r w:rsidRPr="005E3B43">
              <w:t>r 3A</w:t>
            </w:r>
            <w:r w:rsidRPr="005E3B43">
              <w:tab/>
            </w:r>
          </w:p>
        </w:tc>
        <w:tc>
          <w:tcPr>
            <w:tcW w:w="3505" w:type="pct"/>
          </w:tcPr>
          <w:p w14:paraId="36211E0E" w14:textId="77777777" w:rsidR="00D64E96" w:rsidRPr="005E3B43" w:rsidRDefault="00D64E96" w:rsidP="00763BCF">
            <w:pPr>
              <w:pStyle w:val="ENoteTableText"/>
            </w:pPr>
            <w:r w:rsidRPr="005E3B43">
              <w:t>ad 2003 No</w:t>
            </w:r>
            <w:r w:rsidR="00B146AB" w:rsidRPr="005E3B43">
              <w:t> </w:t>
            </w:r>
            <w:r w:rsidRPr="005E3B43">
              <w:t>301</w:t>
            </w:r>
          </w:p>
        </w:tc>
      </w:tr>
      <w:tr w:rsidR="00D64E96" w:rsidRPr="005E3B43" w14:paraId="4E7E7BDD" w14:textId="77777777" w:rsidTr="00034EA9">
        <w:trPr>
          <w:cantSplit/>
        </w:trPr>
        <w:tc>
          <w:tcPr>
            <w:tcW w:w="1495" w:type="pct"/>
          </w:tcPr>
          <w:p w14:paraId="79C84F43" w14:textId="77777777" w:rsidR="00D64E96" w:rsidRPr="005E3B43" w:rsidRDefault="00D64E96" w:rsidP="00763BCF">
            <w:pPr>
              <w:pStyle w:val="ENoteTableText"/>
            </w:pPr>
          </w:p>
        </w:tc>
        <w:tc>
          <w:tcPr>
            <w:tcW w:w="3505" w:type="pct"/>
          </w:tcPr>
          <w:p w14:paraId="1495B647" w14:textId="77777777" w:rsidR="00D64E96" w:rsidRPr="005E3B43" w:rsidRDefault="00D64E96" w:rsidP="00763BCF">
            <w:pPr>
              <w:pStyle w:val="ENoteTableText"/>
            </w:pPr>
            <w:r w:rsidRPr="005E3B43">
              <w:t>am 2005 No</w:t>
            </w:r>
            <w:r w:rsidR="00B146AB" w:rsidRPr="005E3B43">
              <w:t> </w:t>
            </w:r>
            <w:r w:rsidRPr="005E3B43">
              <w:t>192</w:t>
            </w:r>
            <w:r w:rsidR="00971A00" w:rsidRPr="005E3B43">
              <w:t>; F2017L00853</w:t>
            </w:r>
          </w:p>
        </w:tc>
      </w:tr>
      <w:tr w:rsidR="00501F68" w:rsidRPr="005E3B43" w14:paraId="305DFFCB" w14:textId="77777777" w:rsidTr="00034EA9">
        <w:trPr>
          <w:cantSplit/>
        </w:trPr>
        <w:tc>
          <w:tcPr>
            <w:tcW w:w="1495" w:type="pct"/>
          </w:tcPr>
          <w:p w14:paraId="65629E5B" w14:textId="77777777" w:rsidR="00501F68" w:rsidRPr="005E3B43" w:rsidRDefault="00501F68" w:rsidP="00763BCF">
            <w:pPr>
              <w:pStyle w:val="ENoteTableText"/>
              <w:tabs>
                <w:tab w:val="center" w:leader="dot" w:pos="2268"/>
              </w:tabs>
            </w:pPr>
            <w:r w:rsidRPr="005E3B43">
              <w:t>r 3B</w:t>
            </w:r>
            <w:r w:rsidRPr="005E3B43">
              <w:tab/>
            </w:r>
          </w:p>
        </w:tc>
        <w:tc>
          <w:tcPr>
            <w:tcW w:w="3505" w:type="pct"/>
          </w:tcPr>
          <w:p w14:paraId="1361F76E" w14:textId="77777777" w:rsidR="00501F68" w:rsidRPr="005E3B43" w:rsidRDefault="00501F68" w:rsidP="00763BCF">
            <w:pPr>
              <w:pStyle w:val="ENoteTableText"/>
            </w:pPr>
            <w:r w:rsidRPr="005E3B43">
              <w:t>ad F2018L00865</w:t>
            </w:r>
          </w:p>
        </w:tc>
      </w:tr>
      <w:tr w:rsidR="003E2BB8" w:rsidRPr="005E3B43" w14:paraId="4D6F9993" w14:textId="77777777" w:rsidTr="00034EA9">
        <w:trPr>
          <w:cantSplit/>
        </w:trPr>
        <w:tc>
          <w:tcPr>
            <w:tcW w:w="1495" w:type="pct"/>
          </w:tcPr>
          <w:p w14:paraId="212AD781" w14:textId="77777777" w:rsidR="003E2BB8" w:rsidRPr="005E3B43" w:rsidRDefault="003E2BB8" w:rsidP="00763BCF">
            <w:pPr>
              <w:pStyle w:val="ENoteTableText"/>
              <w:tabs>
                <w:tab w:val="center" w:leader="dot" w:pos="2268"/>
              </w:tabs>
            </w:pPr>
            <w:r w:rsidRPr="005E3B43">
              <w:t>r 3C</w:t>
            </w:r>
            <w:r w:rsidRPr="005E3B43">
              <w:tab/>
            </w:r>
          </w:p>
        </w:tc>
        <w:tc>
          <w:tcPr>
            <w:tcW w:w="3505" w:type="pct"/>
          </w:tcPr>
          <w:p w14:paraId="039A31A8" w14:textId="77777777" w:rsidR="003E2BB8" w:rsidRPr="005E3B43" w:rsidRDefault="003E2BB8" w:rsidP="00763BCF">
            <w:pPr>
              <w:pStyle w:val="ENoteTableText"/>
            </w:pPr>
            <w:r w:rsidRPr="005E3B43">
              <w:t>ad F2023L00769</w:t>
            </w:r>
          </w:p>
        </w:tc>
      </w:tr>
      <w:tr w:rsidR="00D64E96" w:rsidRPr="005E3B43" w14:paraId="45C3D934" w14:textId="77777777" w:rsidTr="00034EA9">
        <w:trPr>
          <w:cantSplit/>
        </w:trPr>
        <w:tc>
          <w:tcPr>
            <w:tcW w:w="1495" w:type="pct"/>
          </w:tcPr>
          <w:p w14:paraId="4D63884C" w14:textId="77777777" w:rsidR="00D64E96" w:rsidRPr="005E3B43" w:rsidRDefault="006B5D8E" w:rsidP="00763BCF">
            <w:pPr>
              <w:pStyle w:val="ENoteTableText"/>
            </w:pPr>
            <w:r w:rsidRPr="005E3B43">
              <w:rPr>
                <w:b/>
              </w:rPr>
              <w:t>Part 2</w:t>
            </w:r>
          </w:p>
        </w:tc>
        <w:tc>
          <w:tcPr>
            <w:tcW w:w="3505" w:type="pct"/>
          </w:tcPr>
          <w:p w14:paraId="7E70BB06" w14:textId="77777777" w:rsidR="00D64E96" w:rsidRPr="005E3B43" w:rsidRDefault="00D64E96" w:rsidP="00763BCF">
            <w:pPr>
              <w:pStyle w:val="ENoteTableText"/>
            </w:pPr>
          </w:p>
        </w:tc>
      </w:tr>
      <w:tr w:rsidR="00D64E96" w:rsidRPr="005E3B43" w14:paraId="2E3BC4A3" w14:textId="77777777" w:rsidTr="00034EA9">
        <w:trPr>
          <w:cantSplit/>
        </w:trPr>
        <w:tc>
          <w:tcPr>
            <w:tcW w:w="1495" w:type="pct"/>
          </w:tcPr>
          <w:p w14:paraId="05707BD5" w14:textId="77777777" w:rsidR="00D64E96" w:rsidRPr="005E3B43" w:rsidRDefault="003C0723" w:rsidP="00763BCF">
            <w:pPr>
              <w:pStyle w:val="ENoteTableText"/>
            </w:pPr>
            <w:r w:rsidRPr="005E3B43">
              <w:rPr>
                <w:b/>
              </w:rPr>
              <w:t>Division 1</w:t>
            </w:r>
          </w:p>
        </w:tc>
        <w:tc>
          <w:tcPr>
            <w:tcW w:w="3505" w:type="pct"/>
          </w:tcPr>
          <w:p w14:paraId="474B48FC" w14:textId="77777777" w:rsidR="00D64E96" w:rsidRPr="005E3B43" w:rsidRDefault="00D64E96" w:rsidP="00763BCF">
            <w:pPr>
              <w:pStyle w:val="ENoteTableText"/>
            </w:pPr>
          </w:p>
        </w:tc>
      </w:tr>
      <w:tr w:rsidR="00D64E96" w:rsidRPr="005E3B43" w14:paraId="232B4C82" w14:textId="77777777" w:rsidTr="00034EA9">
        <w:trPr>
          <w:cantSplit/>
        </w:trPr>
        <w:tc>
          <w:tcPr>
            <w:tcW w:w="1495" w:type="pct"/>
          </w:tcPr>
          <w:p w14:paraId="45F379EE" w14:textId="77777777" w:rsidR="00D64E96" w:rsidRPr="005E3B43" w:rsidRDefault="003C0723" w:rsidP="00763BCF">
            <w:pPr>
              <w:pStyle w:val="ENoteTableText"/>
              <w:tabs>
                <w:tab w:val="center" w:leader="dot" w:pos="2268"/>
              </w:tabs>
            </w:pPr>
            <w:r w:rsidRPr="005E3B43">
              <w:t>Division 1</w:t>
            </w:r>
            <w:r w:rsidR="00FD7E9E" w:rsidRPr="005E3B43">
              <w:t xml:space="preserve"> heading</w:t>
            </w:r>
            <w:r w:rsidR="00D64E96" w:rsidRPr="005E3B43">
              <w:tab/>
            </w:r>
          </w:p>
        </w:tc>
        <w:tc>
          <w:tcPr>
            <w:tcW w:w="3505" w:type="pct"/>
          </w:tcPr>
          <w:p w14:paraId="28997BB3" w14:textId="77777777" w:rsidR="00D64E96" w:rsidRPr="005E3B43" w:rsidRDefault="00D64E96" w:rsidP="00763BCF">
            <w:pPr>
              <w:pStyle w:val="ENoteTableText"/>
            </w:pPr>
            <w:r w:rsidRPr="005E3B43">
              <w:t>ad No</w:t>
            </w:r>
            <w:r w:rsidR="004E6D00" w:rsidRPr="005E3B43">
              <w:t> </w:t>
            </w:r>
            <w:r w:rsidRPr="005E3B43">
              <w:t>400</w:t>
            </w:r>
            <w:r w:rsidR="00DC0EE2" w:rsidRPr="005E3B43">
              <w:t>, 1997</w:t>
            </w:r>
          </w:p>
        </w:tc>
      </w:tr>
      <w:tr w:rsidR="00D64E96" w:rsidRPr="005E3B43" w14:paraId="61A93D5E" w14:textId="77777777" w:rsidTr="00034EA9">
        <w:trPr>
          <w:cantSplit/>
        </w:trPr>
        <w:tc>
          <w:tcPr>
            <w:tcW w:w="1495" w:type="pct"/>
          </w:tcPr>
          <w:p w14:paraId="4F22DFD5" w14:textId="77777777" w:rsidR="00D64E96" w:rsidRPr="005E3B43" w:rsidRDefault="003C0723" w:rsidP="00763BCF">
            <w:pPr>
              <w:pStyle w:val="ENoteTableText"/>
              <w:tabs>
                <w:tab w:val="center" w:leader="dot" w:pos="2268"/>
              </w:tabs>
            </w:pPr>
            <w:r w:rsidRPr="005E3B43">
              <w:t>Division 1</w:t>
            </w:r>
            <w:r w:rsidR="00D64E96" w:rsidRPr="005E3B43">
              <w:tab/>
            </w:r>
          </w:p>
        </w:tc>
        <w:tc>
          <w:tcPr>
            <w:tcW w:w="3505" w:type="pct"/>
          </w:tcPr>
          <w:p w14:paraId="07F1C899" w14:textId="77777777" w:rsidR="00D64E96" w:rsidRPr="005E3B43" w:rsidRDefault="00D64E96" w:rsidP="00763BCF">
            <w:pPr>
              <w:pStyle w:val="ENoteTableText"/>
            </w:pPr>
            <w:r w:rsidRPr="005E3B43">
              <w:t>rs No</w:t>
            </w:r>
            <w:r w:rsidR="004E6D00" w:rsidRPr="005E3B43">
              <w:t> </w:t>
            </w:r>
            <w:r w:rsidRPr="005E3B43">
              <w:t>301</w:t>
            </w:r>
            <w:r w:rsidR="00DC0EE2" w:rsidRPr="005E3B43">
              <w:t>, 2003</w:t>
            </w:r>
          </w:p>
        </w:tc>
      </w:tr>
      <w:tr w:rsidR="00D64E96" w:rsidRPr="005E3B43" w14:paraId="686B8142" w14:textId="77777777" w:rsidTr="00034EA9">
        <w:trPr>
          <w:cantSplit/>
        </w:trPr>
        <w:tc>
          <w:tcPr>
            <w:tcW w:w="1495" w:type="pct"/>
          </w:tcPr>
          <w:p w14:paraId="34A42A4C" w14:textId="77777777" w:rsidR="00D64E96" w:rsidRPr="005E3B43" w:rsidRDefault="00D64E96" w:rsidP="00763BCF">
            <w:pPr>
              <w:pStyle w:val="ENoteTableText"/>
              <w:tabs>
                <w:tab w:val="center" w:leader="dot" w:pos="2268"/>
              </w:tabs>
            </w:pPr>
            <w:r w:rsidRPr="005E3B43">
              <w:t>r 4</w:t>
            </w:r>
            <w:r w:rsidRPr="005E3B43">
              <w:tab/>
            </w:r>
          </w:p>
        </w:tc>
        <w:tc>
          <w:tcPr>
            <w:tcW w:w="3505" w:type="pct"/>
          </w:tcPr>
          <w:p w14:paraId="18F775B6" w14:textId="77777777" w:rsidR="00D64E96" w:rsidRPr="005E3B43" w:rsidRDefault="00D64E96" w:rsidP="00763BCF">
            <w:pPr>
              <w:pStyle w:val="ENoteTableText"/>
            </w:pPr>
            <w:r w:rsidRPr="005E3B43">
              <w:t>am No</w:t>
            </w:r>
            <w:r w:rsidR="004E6D00" w:rsidRPr="005E3B43">
              <w:t> </w:t>
            </w:r>
            <w:r w:rsidRPr="005E3B43">
              <w:t>19</w:t>
            </w:r>
            <w:r w:rsidR="00DC0EE2" w:rsidRPr="005E3B43">
              <w:t>, 1992</w:t>
            </w:r>
            <w:r w:rsidRPr="005E3B43">
              <w:t>; No</w:t>
            </w:r>
            <w:r w:rsidR="004E6D00" w:rsidRPr="005E3B43">
              <w:t> </w:t>
            </w:r>
            <w:r w:rsidRPr="005E3B43">
              <w:t>159</w:t>
            </w:r>
            <w:r w:rsidR="00DC0EE2" w:rsidRPr="005E3B43">
              <w:t>, 2001</w:t>
            </w:r>
          </w:p>
        </w:tc>
      </w:tr>
      <w:tr w:rsidR="00D64E96" w:rsidRPr="005E3B43" w14:paraId="28DD42C4" w14:textId="77777777" w:rsidTr="00034EA9">
        <w:trPr>
          <w:cantSplit/>
        </w:trPr>
        <w:tc>
          <w:tcPr>
            <w:tcW w:w="1495" w:type="pct"/>
          </w:tcPr>
          <w:p w14:paraId="7F4ABF61" w14:textId="77777777" w:rsidR="00D64E96" w:rsidRPr="005E3B43" w:rsidRDefault="00D64E96" w:rsidP="00763BCF">
            <w:pPr>
              <w:pStyle w:val="ENoteTableText"/>
            </w:pPr>
          </w:p>
        </w:tc>
        <w:tc>
          <w:tcPr>
            <w:tcW w:w="3505" w:type="pct"/>
          </w:tcPr>
          <w:p w14:paraId="719CD67C" w14:textId="77777777" w:rsidR="00D64E96" w:rsidRPr="005E3B43" w:rsidRDefault="00D64E96" w:rsidP="00763BCF">
            <w:pPr>
              <w:pStyle w:val="ENoteTableText"/>
            </w:pPr>
            <w:r w:rsidRPr="005E3B43">
              <w:t>rs No</w:t>
            </w:r>
            <w:r w:rsidR="004E6D00" w:rsidRPr="005E3B43">
              <w:t> </w:t>
            </w:r>
            <w:r w:rsidRPr="005E3B43">
              <w:t>301</w:t>
            </w:r>
            <w:r w:rsidR="00DC0EE2" w:rsidRPr="005E3B43">
              <w:t>, 2003</w:t>
            </w:r>
          </w:p>
        </w:tc>
      </w:tr>
      <w:tr w:rsidR="00D64E96" w:rsidRPr="005E3B43" w14:paraId="41FB5922" w14:textId="77777777" w:rsidTr="00034EA9">
        <w:trPr>
          <w:cantSplit/>
        </w:trPr>
        <w:tc>
          <w:tcPr>
            <w:tcW w:w="1495" w:type="pct"/>
          </w:tcPr>
          <w:p w14:paraId="4B572C73" w14:textId="77777777" w:rsidR="00D64E96" w:rsidRPr="005E3B43" w:rsidRDefault="00D64E96" w:rsidP="00763BCF">
            <w:pPr>
              <w:pStyle w:val="ENoteTableText"/>
              <w:tabs>
                <w:tab w:val="center" w:leader="dot" w:pos="2268"/>
              </w:tabs>
            </w:pPr>
            <w:r w:rsidRPr="005E3B43">
              <w:t>r 4A</w:t>
            </w:r>
            <w:r w:rsidRPr="005E3B43">
              <w:tab/>
            </w:r>
          </w:p>
        </w:tc>
        <w:tc>
          <w:tcPr>
            <w:tcW w:w="3505" w:type="pct"/>
          </w:tcPr>
          <w:p w14:paraId="6A510A0C" w14:textId="77777777" w:rsidR="00D64E96" w:rsidRPr="005E3B43" w:rsidRDefault="00D64E96" w:rsidP="00763BCF">
            <w:pPr>
              <w:pStyle w:val="ENoteTableText"/>
            </w:pPr>
            <w:r w:rsidRPr="005E3B43">
              <w:t>ad No</w:t>
            </w:r>
            <w:r w:rsidR="004E6D00" w:rsidRPr="005E3B43">
              <w:t> </w:t>
            </w:r>
            <w:r w:rsidRPr="005E3B43">
              <w:t>301</w:t>
            </w:r>
            <w:r w:rsidR="00DC0EE2" w:rsidRPr="005E3B43">
              <w:t>, 2003</w:t>
            </w:r>
          </w:p>
        </w:tc>
      </w:tr>
      <w:tr w:rsidR="00D64E96" w:rsidRPr="005E3B43" w14:paraId="3FE54A6C" w14:textId="77777777" w:rsidTr="00034EA9">
        <w:trPr>
          <w:cantSplit/>
        </w:trPr>
        <w:tc>
          <w:tcPr>
            <w:tcW w:w="1495" w:type="pct"/>
          </w:tcPr>
          <w:p w14:paraId="629740F8" w14:textId="77777777" w:rsidR="00D64E96" w:rsidRPr="005E3B43" w:rsidRDefault="00D64E96" w:rsidP="00763BCF">
            <w:pPr>
              <w:pStyle w:val="ENoteTableText"/>
              <w:tabs>
                <w:tab w:val="center" w:leader="dot" w:pos="2268"/>
              </w:tabs>
            </w:pPr>
            <w:r w:rsidRPr="005E3B43">
              <w:t>r 5</w:t>
            </w:r>
            <w:r w:rsidRPr="005E3B43">
              <w:tab/>
            </w:r>
          </w:p>
        </w:tc>
        <w:tc>
          <w:tcPr>
            <w:tcW w:w="3505" w:type="pct"/>
          </w:tcPr>
          <w:p w14:paraId="5FA45F34" w14:textId="77777777" w:rsidR="00D64E96" w:rsidRPr="005E3B43" w:rsidRDefault="00D64E96" w:rsidP="00763BCF">
            <w:pPr>
              <w:pStyle w:val="ENoteTableText"/>
            </w:pPr>
            <w:r w:rsidRPr="005E3B43">
              <w:t>rep No</w:t>
            </w:r>
            <w:r w:rsidR="004E6D00" w:rsidRPr="005E3B43">
              <w:t> </w:t>
            </w:r>
            <w:r w:rsidRPr="005E3B43">
              <w:t>301</w:t>
            </w:r>
            <w:r w:rsidR="00DC0EE2" w:rsidRPr="005E3B43">
              <w:t>, 2003</w:t>
            </w:r>
          </w:p>
        </w:tc>
      </w:tr>
      <w:tr w:rsidR="00D64E96" w:rsidRPr="005E3B43" w14:paraId="16D72823" w14:textId="77777777" w:rsidTr="00034EA9">
        <w:trPr>
          <w:cantSplit/>
        </w:trPr>
        <w:tc>
          <w:tcPr>
            <w:tcW w:w="1495" w:type="pct"/>
          </w:tcPr>
          <w:p w14:paraId="5A64E6BA" w14:textId="77777777" w:rsidR="00D64E96" w:rsidRPr="005E3B43" w:rsidRDefault="00D64E96" w:rsidP="00763BCF">
            <w:pPr>
              <w:pStyle w:val="ENoteTableText"/>
              <w:tabs>
                <w:tab w:val="center" w:leader="dot" w:pos="2268"/>
              </w:tabs>
            </w:pPr>
            <w:r w:rsidRPr="005E3B43">
              <w:t>r 5A</w:t>
            </w:r>
            <w:r w:rsidRPr="005E3B43">
              <w:tab/>
            </w:r>
          </w:p>
        </w:tc>
        <w:tc>
          <w:tcPr>
            <w:tcW w:w="3505" w:type="pct"/>
          </w:tcPr>
          <w:p w14:paraId="6BF45113" w14:textId="77777777" w:rsidR="00D64E96" w:rsidRPr="005E3B43" w:rsidRDefault="00D64E96" w:rsidP="00763BCF">
            <w:pPr>
              <w:pStyle w:val="ENoteTableText"/>
            </w:pPr>
            <w:r w:rsidRPr="005E3B43">
              <w:t>ad No</w:t>
            </w:r>
            <w:r w:rsidR="004E6D00" w:rsidRPr="005E3B43">
              <w:t> </w:t>
            </w:r>
            <w:r w:rsidRPr="005E3B43">
              <w:t>19</w:t>
            </w:r>
            <w:r w:rsidR="00833356" w:rsidRPr="005E3B43">
              <w:t>, 1992</w:t>
            </w:r>
          </w:p>
        </w:tc>
      </w:tr>
      <w:tr w:rsidR="00D64E96" w:rsidRPr="005E3B43" w14:paraId="4A70CAE9" w14:textId="77777777" w:rsidTr="00034EA9">
        <w:trPr>
          <w:cantSplit/>
        </w:trPr>
        <w:tc>
          <w:tcPr>
            <w:tcW w:w="1495" w:type="pct"/>
          </w:tcPr>
          <w:p w14:paraId="572B7F49" w14:textId="77777777" w:rsidR="00D64E96" w:rsidRPr="005E3B43" w:rsidRDefault="00D64E96" w:rsidP="00763BCF">
            <w:pPr>
              <w:pStyle w:val="ENoteTableText"/>
            </w:pPr>
          </w:p>
        </w:tc>
        <w:tc>
          <w:tcPr>
            <w:tcW w:w="3505" w:type="pct"/>
          </w:tcPr>
          <w:p w14:paraId="3ABEF2AE" w14:textId="77777777" w:rsidR="00D64E96" w:rsidRPr="005E3B43" w:rsidRDefault="00D64E96" w:rsidP="00763BCF">
            <w:pPr>
              <w:pStyle w:val="ENoteTableText"/>
            </w:pPr>
            <w:r w:rsidRPr="005E3B43">
              <w:t>rep No</w:t>
            </w:r>
            <w:r w:rsidR="004E6D00" w:rsidRPr="005E3B43">
              <w:t> </w:t>
            </w:r>
            <w:r w:rsidRPr="005E3B43">
              <w:t>301</w:t>
            </w:r>
            <w:r w:rsidR="00833356" w:rsidRPr="005E3B43">
              <w:t>, 2003</w:t>
            </w:r>
          </w:p>
        </w:tc>
      </w:tr>
      <w:tr w:rsidR="00D64E96" w:rsidRPr="005E3B43" w14:paraId="37CFD602" w14:textId="77777777" w:rsidTr="00034EA9">
        <w:trPr>
          <w:cantSplit/>
        </w:trPr>
        <w:tc>
          <w:tcPr>
            <w:tcW w:w="1495" w:type="pct"/>
          </w:tcPr>
          <w:p w14:paraId="64253458" w14:textId="3E3684F8" w:rsidR="00D64E96" w:rsidRPr="005E3B43" w:rsidRDefault="007C3215" w:rsidP="00763BCF">
            <w:pPr>
              <w:pStyle w:val="ENoteTableText"/>
              <w:tabs>
                <w:tab w:val="center" w:leader="dot" w:pos="2268"/>
              </w:tabs>
            </w:pPr>
            <w:r>
              <w:t>Division 2</w:t>
            </w:r>
            <w:r w:rsidR="00D64E96" w:rsidRPr="005E3B43">
              <w:tab/>
            </w:r>
          </w:p>
        </w:tc>
        <w:tc>
          <w:tcPr>
            <w:tcW w:w="3505" w:type="pct"/>
          </w:tcPr>
          <w:p w14:paraId="0255FCCC" w14:textId="77777777" w:rsidR="00D64E96" w:rsidRPr="005E3B43" w:rsidRDefault="00D64E96" w:rsidP="00763BCF">
            <w:pPr>
              <w:pStyle w:val="ENoteTableText"/>
            </w:pPr>
            <w:r w:rsidRPr="005E3B43">
              <w:t>ad No</w:t>
            </w:r>
            <w:r w:rsidR="00A34E92" w:rsidRPr="005E3B43">
              <w:t> </w:t>
            </w:r>
            <w:r w:rsidRPr="005E3B43">
              <w:t>400</w:t>
            </w:r>
            <w:r w:rsidR="009D3E71" w:rsidRPr="005E3B43">
              <w:t>, 1997</w:t>
            </w:r>
          </w:p>
        </w:tc>
      </w:tr>
      <w:tr w:rsidR="0061118C" w:rsidRPr="005E3B43" w14:paraId="55A477CA" w14:textId="77777777" w:rsidTr="00034EA9">
        <w:trPr>
          <w:cantSplit/>
        </w:trPr>
        <w:tc>
          <w:tcPr>
            <w:tcW w:w="1495" w:type="pct"/>
          </w:tcPr>
          <w:p w14:paraId="3B51D189" w14:textId="77777777" w:rsidR="0061118C" w:rsidRPr="005E3B43" w:rsidRDefault="0061118C" w:rsidP="00763BCF">
            <w:pPr>
              <w:pStyle w:val="ENoteTableText"/>
              <w:tabs>
                <w:tab w:val="center" w:leader="dot" w:pos="2268"/>
              </w:tabs>
            </w:pPr>
          </w:p>
        </w:tc>
        <w:tc>
          <w:tcPr>
            <w:tcW w:w="3505" w:type="pct"/>
          </w:tcPr>
          <w:p w14:paraId="4CE05833" w14:textId="77777777" w:rsidR="0061118C" w:rsidRPr="005E3B43" w:rsidRDefault="0061118C" w:rsidP="00763BCF">
            <w:pPr>
              <w:pStyle w:val="ENoteTableText"/>
            </w:pPr>
            <w:r w:rsidRPr="005E3B43">
              <w:t>rep F2018L00311</w:t>
            </w:r>
          </w:p>
        </w:tc>
      </w:tr>
      <w:tr w:rsidR="00D64E96" w:rsidRPr="005E3B43" w14:paraId="3500EF4A" w14:textId="77777777" w:rsidTr="00034EA9">
        <w:trPr>
          <w:cantSplit/>
        </w:trPr>
        <w:tc>
          <w:tcPr>
            <w:tcW w:w="1495" w:type="pct"/>
          </w:tcPr>
          <w:p w14:paraId="2194635E" w14:textId="77777777" w:rsidR="00D64E96" w:rsidRPr="005E3B43" w:rsidRDefault="00D64E96" w:rsidP="00763BCF">
            <w:pPr>
              <w:pStyle w:val="ENoteTableText"/>
              <w:tabs>
                <w:tab w:val="center" w:leader="dot" w:pos="2268"/>
              </w:tabs>
            </w:pPr>
            <w:r w:rsidRPr="005E3B43">
              <w:lastRenderedPageBreak/>
              <w:t>r 5B</w:t>
            </w:r>
            <w:r w:rsidRPr="005E3B43">
              <w:tab/>
            </w:r>
          </w:p>
        </w:tc>
        <w:tc>
          <w:tcPr>
            <w:tcW w:w="3505" w:type="pct"/>
          </w:tcPr>
          <w:p w14:paraId="54B4BE9A" w14:textId="77777777" w:rsidR="00D64E96" w:rsidRPr="005E3B43" w:rsidRDefault="00D64E96" w:rsidP="00763BCF">
            <w:pPr>
              <w:pStyle w:val="ENoteTableText"/>
            </w:pPr>
            <w:r w:rsidRPr="005E3B43">
              <w:t>ad No</w:t>
            </w:r>
            <w:r w:rsidR="00A34E92" w:rsidRPr="005E3B43">
              <w:t> </w:t>
            </w:r>
            <w:r w:rsidRPr="005E3B43">
              <w:t>400</w:t>
            </w:r>
            <w:r w:rsidR="009D3E71" w:rsidRPr="005E3B43">
              <w:t>, 1997</w:t>
            </w:r>
          </w:p>
        </w:tc>
      </w:tr>
      <w:tr w:rsidR="00D64E96" w:rsidRPr="005E3B43" w14:paraId="326F3A70" w14:textId="77777777" w:rsidTr="00034EA9">
        <w:trPr>
          <w:cantSplit/>
        </w:trPr>
        <w:tc>
          <w:tcPr>
            <w:tcW w:w="1495" w:type="pct"/>
          </w:tcPr>
          <w:p w14:paraId="7FE8BF73" w14:textId="77777777" w:rsidR="00D64E96" w:rsidRPr="005E3B43" w:rsidRDefault="00D64E96" w:rsidP="00763BCF">
            <w:pPr>
              <w:pStyle w:val="ENoteTableText"/>
            </w:pPr>
          </w:p>
        </w:tc>
        <w:tc>
          <w:tcPr>
            <w:tcW w:w="3505" w:type="pct"/>
          </w:tcPr>
          <w:p w14:paraId="1F058941" w14:textId="77777777" w:rsidR="00D64E96" w:rsidRPr="005E3B43" w:rsidRDefault="00D64E96" w:rsidP="00763BCF">
            <w:pPr>
              <w:pStyle w:val="ENoteTableText"/>
            </w:pPr>
            <w:r w:rsidRPr="005E3B43">
              <w:t>am No 227</w:t>
            </w:r>
            <w:r w:rsidR="009D3E71" w:rsidRPr="005E3B43">
              <w:t>, 1998; No</w:t>
            </w:r>
            <w:r w:rsidRPr="005E3B43">
              <w:t xml:space="preserve"> 369</w:t>
            </w:r>
            <w:r w:rsidR="009D3E71" w:rsidRPr="005E3B43">
              <w:t>, 1998</w:t>
            </w:r>
            <w:r w:rsidRPr="005E3B43">
              <w:t>; No</w:t>
            </w:r>
            <w:r w:rsidR="00A34E92" w:rsidRPr="005E3B43">
              <w:t> </w:t>
            </w:r>
            <w:r w:rsidRPr="005E3B43">
              <w:t>62</w:t>
            </w:r>
            <w:r w:rsidR="009D3E71" w:rsidRPr="005E3B43">
              <w:t>, 1999</w:t>
            </w:r>
            <w:r w:rsidRPr="005E3B43">
              <w:t>; No</w:t>
            </w:r>
            <w:r w:rsidR="00A34E92" w:rsidRPr="005E3B43">
              <w:t> </w:t>
            </w:r>
            <w:r w:rsidRPr="005E3B43">
              <w:t>48</w:t>
            </w:r>
            <w:r w:rsidR="009D3E71" w:rsidRPr="005E3B43">
              <w:t>, 2000</w:t>
            </w:r>
            <w:r w:rsidRPr="005E3B43">
              <w:t>; No</w:t>
            </w:r>
            <w:r w:rsidR="00A34E92" w:rsidRPr="005E3B43">
              <w:t> </w:t>
            </w:r>
            <w:r w:rsidRPr="005E3B43">
              <w:t>159</w:t>
            </w:r>
            <w:r w:rsidR="009D3E71" w:rsidRPr="005E3B43">
              <w:t>, 2001</w:t>
            </w:r>
            <w:r w:rsidRPr="005E3B43">
              <w:t>; No</w:t>
            </w:r>
            <w:r w:rsidR="00A34E92" w:rsidRPr="005E3B43">
              <w:t> </w:t>
            </w:r>
            <w:r w:rsidRPr="005E3B43">
              <w:t>234</w:t>
            </w:r>
            <w:r w:rsidR="009D3E71" w:rsidRPr="005E3B43">
              <w:t>, 2002</w:t>
            </w:r>
            <w:r w:rsidRPr="005E3B43">
              <w:t>; No</w:t>
            </w:r>
            <w:r w:rsidR="00A34E92" w:rsidRPr="005E3B43">
              <w:t> </w:t>
            </w:r>
            <w:r w:rsidRPr="005E3B43">
              <w:t>301</w:t>
            </w:r>
            <w:r w:rsidR="009D3E71" w:rsidRPr="005E3B43">
              <w:t>, 2003</w:t>
            </w:r>
            <w:r w:rsidR="00267E56" w:rsidRPr="005E3B43">
              <w:t>; F2019L01465</w:t>
            </w:r>
          </w:p>
        </w:tc>
      </w:tr>
      <w:tr w:rsidR="0061118C" w:rsidRPr="005E3B43" w14:paraId="1CDA6DE3" w14:textId="77777777" w:rsidTr="00034EA9">
        <w:trPr>
          <w:cantSplit/>
        </w:trPr>
        <w:tc>
          <w:tcPr>
            <w:tcW w:w="1495" w:type="pct"/>
          </w:tcPr>
          <w:p w14:paraId="70219A86" w14:textId="77777777" w:rsidR="0061118C" w:rsidRPr="005E3B43" w:rsidRDefault="0061118C" w:rsidP="00763BCF">
            <w:pPr>
              <w:pStyle w:val="ENoteTableText"/>
            </w:pPr>
          </w:p>
        </w:tc>
        <w:tc>
          <w:tcPr>
            <w:tcW w:w="3505" w:type="pct"/>
          </w:tcPr>
          <w:p w14:paraId="5431FD97" w14:textId="77777777" w:rsidR="0061118C" w:rsidRPr="005E3B43" w:rsidRDefault="0061118C" w:rsidP="00763BCF">
            <w:pPr>
              <w:pStyle w:val="ENoteTableText"/>
            </w:pPr>
            <w:r w:rsidRPr="005E3B43">
              <w:t>rep F2018L00311</w:t>
            </w:r>
          </w:p>
        </w:tc>
      </w:tr>
      <w:tr w:rsidR="00D64E96" w:rsidRPr="005E3B43" w14:paraId="4894D9A8" w14:textId="77777777" w:rsidTr="00034EA9">
        <w:trPr>
          <w:cantSplit/>
        </w:trPr>
        <w:tc>
          <w:tcPr>
            <w:tcW w:w="1495" w:type="pct"/>
          </w:tcPr>
          <w:p w14:paraId="02B663C0" w14:textId="77777777" w:rsidR="00D64E96" w:rsidRPr="005E3B43" w:rsidRDefault="00D64E96" w:rsidP="00763BCF">
            <w:pPr>
              <w:pStyle w:val="ENoteTableText"/>
              <w:tabs>
                <w:tab w:val="center" w:leader="dot" w:pos="2268"/>
              </w:tabs>
            </w:pPr>
            <w:r w:rsidRPr="005E3B43">
              <w:t>r 5BA</w:t>
            </w:r>
            <w:r w:rsidRPr="005E3B43">
              <w:tab/>
            </w:r>
          </w:p>
        </w:tc>
        <w:tc>
          <w:tcPr>
            <w:tcW w:w="3505" w:type="pct"/>
          </w:tcPr>
          <w:p w14:paraId="2A1D7EC3" w14:textId="77777777" w:rsidR="00D64E96" w:rsidRPr="005E3B43" w:rsidRDefault="00D64E96" w:rsidP="00763BCF">
            <w:pPr>
              <w:pStyle w:val="ENoteTableText"/>
            </w:pPr>
            <w:r w:rsidRPr="005E3B43">
              <w:t>ad No</w:t>
            </w:r>
            <w:r w:rsidR="00A34E92" w:rsidRPr="005E3B43">
              <w:t> </w:t>
            </w:r>
            <w:r w:rsidRPr="005E3B43">
              <w:t>301</w:t>
            </w:r>
            <w:r w:rsidR="009D3E71" w:rsidRPr="005E3B43">
              <w:t>, 2003</w:t>
            </w:r>
          </w:p>
        </w:tc>
      </w:tr>
      <w:tr w:rsidR="0061118C" w:rsidRPr="005E3B43" w14:paraId="33187612" w14:textId="77777777" w:rsidTr="00034EA9">
        <w:trPr>
          <w:cantSplit/>
        </w:trPr>
        <w:tc>
          <w:tcPr>
            <w:tcW w:w="1495" w:type="pct"/>
          </w:tcPr>
          <w:p w14:paraId="116ED235" w14:textId="77777777" w:rsidR="0061118C" w:rsidRPr="005E3B43" w:rsidRDefault="0061118C" w:rsidP="00763BCF">
            <w:pPr>
              <w:pStyle w:val="ENoteTableText"/>
              <w:tabs>
                <w:tab w:val="center" w:leader="dot" w:pos="2268"/>
              </w:tabs>
            </w:pPr>
          </w:p>
        </w:tc>
        <w:tc>
          <w:tcPr>
            <w:tcW w:w="3505" w:type="pct"/>
          </w:tcPr>
          <w:p w14:paraId="6382FC5D" w14:textId="77777777" w:rsidR="0061118C" w:rsidRPr="005E3B43" w:rsidRDefault="0061118C" w:rsidP="00763BCF">
            <w:pPr>
              <w:pStyle w:val="ENoteTableText"/>
            </w:pPr>
            <w:r w:rsidRPr="005E3B43">
              <w:t>rep F2018L00311</w:t>
            </w:r>
          </w:p>
        </w:tc>
      </w:tr>
      <w:tr w:rsidR="00D64E96" w:rsidRPr="005E3B43" w14:paraId="7F7F8F85" w14:textId="77777777" w:rsidTr="00034EA9">
        <w:trPr>
          <w:cantSplit/>
        </w:trPr>
        <w:tc>
          <w:tcPr>
            <w:tcW w:w="1495" w:type="pct"/>
          </w:tcPr>
          <w:p w14:paraId="4C7654CC" w14:textId="77777777" w:rsidR="00D64E96" w:rsidRPr="005E3B43" w:rsidRDefault="00D64E96" w:rsidP="00763BCF">
            <w:pPr>
              <w:pStyle w:val="ENoteTableText"/>
              <w:tabs>
                <w:tab w:val="center" w:leader="dot" w:pos="2268"/>
              </w:tabs>
            </w:pPr>
            <w:r w:rsidRPr="005E3B43">
              <w:t>r 5C</w:t>
            </w:r>
            <w:r w:rsidRPr="005E3B43">
              <w:tab/>
            </w:r>
          </w:p>
        </w:tc>
        <w:tc>
          <w:tcPr>
            <w:tcW w:w="3505" w:type="pct"/>
          </w:tcPr>
          <w:p w14:paraId="72A00227" w14:textId="77777777" w:rsidR="00D64E96" w:rsidRPr="005E3B43" w:rsidRDefault="00D64E96" w:rsidP="00763BCF">
            <w:pPr>
              <w:pStyle w:val="ENoteTableText"/>
            </w:pPr>
            <w:r w:rsidRPr="005E3B43">
              <w:t>ad No</w:t>
            </w:r>
            <w:r w:rsidR="00A0306E" w:rsidRPr="005E3B43">
              <w:t> </w:t>
            </w:r>
            <w:r w:rsidRPr="005E3B43">
              <w:t>400</w:t>
            </w:r>
            <w:r w:rsidR="001D71A3" w:rsidRPr="005E3B43">
              <w:t>, 1997</w:t>
            </w:r>
          </w:p>
        </w:tc>
      </w:tr>
      <w:tr w:rsidR="00D64E96" w:rsidRPr="005E3B43" w14:paraId="0747B184" w14:textId="77777777" w:rsidTr="00034EA9">
        <w:trPr>
          <w:cantSplit/>
        </w:trPr>
        <w:tc>
          <w:tcPr>
            <w:tcW w:w="1495" w:type="pct"/>
          </w:tcPr>
          <w:p w14:paraId="5BB1DD2C" w14:textId="77777777" w:rsidR="00D64E96" w:rsidRPr="005E3B43" w:rsidRDefault="00D64E96" w:rsidP="00763BCF">
            <w:pPr>
              <w:pStyle w:val="ENoteTableText"/>
            </w:pPr>
          </w:p>
        </w:tc>
        <w:tc>
          <w:tcPr>
            <w:tcW w:w="3505" w:type="pct"/>
          </w:tcPr>
          <w:p w14:paraId="517EC490" w14:textId="77777777" w:rsidR="00D64E96" w:rsidRPr="005E3B43" w:rsidRDefault="00D64E96" w:rsidP="00763BCF">
            <w:pPr>
              <w:pStyle w:val="ENoteTableText"/>
            </w:pPr>
            <w:r w:rsidRPr="005E3B43">
              <w:t>am No</w:t>
            </w:r>
            <w:r w:rsidR="00A0306E" w:rsidRPr="005E3B43">
              <w:t> </w:t>
            </w:r>
            <w:r w:rsidRPr="005E3B43">
              <w:t>159</w:t>
            </w:r>
            <w:r w:rsidR="001D71A3" w:rsidRPr="005E3B43">
              <w:t>, 2001</w:t>
            </w:r>
          </w:p>
        </w:tc>
      </w:tr>
      <w:tr w:rsidR="0061118C" w:rsidRPr="005E3B43" w14:paraId="0F8317EF" w14:textId="77777777" w:rsidTr="00034EA9">
        <w:trPr>
          <w:cantSplit/>
        </w:trPr>
        <w:tc>
          <w:tcPr>
            <w:tcW w:w="1495" w:type="pct"/>
          </w:tcPr>
          <w:p w14:paraId="6471C953" w14:textId="77777777" w:rsidR="0061118C" w:rsidRPr="005E3B43" w:rsidRDefault="0061118C" w:rsidP="00763BCF">
            <w:pPr>
              <w:pStyle w:val="ENoteTableText"/>
            </w:pPr>
          </w:p>
        </w:tc>
        <w:tc>
          <w:tcPr>
            <w:tcW w:w="3505" w:type="pct"/>
          </w:tcPr>
          <w:p w14:paraId="7C457414" w14:textId="77777777" w:rsidR="0061118C" w:rsidRPr="005E3B43" w:rsidRDefault="0061118C" w:rsidP="00763BCF">
            <w:pPr>
              <w:pStyle w:val="ENoteTableText"/>
            </w:pPr>
            <w:r w:rsidRPr="005E3B43">
              <w:t>rep F2018L00311</w:t>
            </w:r>
          </w:p>
        </w:tc>
      </w:tr>
      <w:tr w:rsidR="00D64E96" w:rsidRPr="005E3B43" w14:paraId="65B8D79B" w14:textId="77777777" w:rsidTr="00034EA9">
        <w:trPr>
          <w:cantSplit/>
        </w:trPr>
        <w:tc>
          <w:tcPr>
            <w:tcW w:w="1495" w:type="pct"/>
          </w:tcPr>
          <w:p w14:paraId="3339D842" w14:textId="77777777" w:rsidR="00D64E96" w:rsidRPr="005E3B43" w:rsidRDefault="00D64E96" w:rsidP="00763BCF">
            <w:pPr>
              <w:pStyle w:val="ENoteTableText"/>
              <w:tabs>
                <w:tab w:val="center" w:leader="dot" w:pos="2268"/>
              </w:tabs>
            </w:pPr>
            <w:r w:rsidRPr="005E3B43">
              <w:t>r</w:t>
            </w:r>
            <w:r w:rsidR="00A0306E" w:rsidRPr="005E3B43">
              <w:t> </w:t>
            </w:r>
            <w:r w:rsidRPr="005E3B43">
              <w:t>5D</w:t>
            </w:r>
            <w:r w:rsidRPr="005E3B43">
              <w:tab/>
            </w:r>
          </w:p>
        </w:tc>
        <w:tc>
          <w:tcPr>
            <w:tcW w:w="3505" w:type="pct"/>
          </w:tcPr>
          <w:p w14:paraId="4D2A2ACD" w14:textId="77777777" w:rsidR="00D64E96" w:rsidRPr="005E3B43" w:rsidRDefault="00D64E96" w:rsidP="00763BCF">
            <w:pPr>
              <w:pStyle w:val="ENoteTableText"/>
            </w:pPr>
            <w:r w:rsidRPr="005E3B43">
              <w:t>ad No</w:t>
            </w:r>
            <w:r w:rsidR="00A0306E" w:rsidRPr="005E3B43">
              <w:t> </w:t>
            </w:r>
            <w:r w:rsidRPr="005E3B43">
              <w:t>400</w:t>
            </w:r>
            <w:r w:rsidR="001D71A3" w:rsidRPr="005E3B43">
              <w:t>, 1997</w:t>
            </w:r>
          </w:p>
        </w:tc>
      </w:tr>
      <w:tr w:rsidR="00D64E96" w:rsidRPr="005E3B43" w14:paraId="07B5AA2A" w14:textId="77777777" w:rsidTr="00034EA9">
        <w:trPr>
          <w:cantSplit/>
        </w:trPr>
        <w:tc>
          <w:tcPr>
            <w:tcW w:w="1495" w:type="pct"/>
          </w:tcPr>
          <w:p w14:paraId="7F344D0A" w14:textId="77777777" w:rsidR="00D64E96" w:rsidRPr="005E3B43" w:rsidRDefault="00D64E96" w:rsidP="00763BCF">
            <w:pPr>
              <w:pStyle w:val="ENoteTableText"/>
            </w:pPr>
          </w:p>
        </w:tc>
        <w:tc>
          <w:tcPr>
            <w:tcW w:w="3505" w:type="pct"/>
          </w:tcPr>
          <w:p w14:paraId="147C82E1" w14:textId="77777777" w:rsidR="00D64E96" w:rsidRPr="005E3B43" w:rsidRDefault="00D64E96" w:rsidP="00763BCF">
            <w:pPr>
              <w:pStyle w:val="ENoteTableText"/>
            </w:pPr>
            <w:r w:rsidRPr="005E3B43">
              <w:t>rep No</w:t>
            </w:r>
            <w:r w:rsidR="00A0306E" w:rsidRPr="005E3B43">
              <w:t> </w:t>
            </w:r>
            <w:r w:rsidRPr="005E3B43">
              <w:t>62</w:t>
            </w:r>
            <w:r w:rsidR="001D71A3" w:rsidRPr="005E3B43">
              <w:t>, 1999</w:t>
            </w:r>
          </w:p>
        </w:tc>
      </w:tr>
      <w:tr w:rsidR="001D71A3" w:rsidRPr="005E3B43" w14:paraId="7FCE1B0E" w14:textId="77777777" w:rsidTr="00034EA9">
        <w:trPr>
          <w:cantSplit/>
        </w:trPr>
        <w:tc>
          <w:tcPr>
            <w:tcW w:w="1495" w:type="pct"/>
          </w:tcPr>
          <w:p w14:paraId="5F4DB81D" w14:textId="77777777" w:rsidR="001D71A3" w:rsidRPr="005E3B43" w:rsidRDefault="001D71A3" w:rsidP="00763BCF">
            <w:pPr>
              <w:pStyle w:val="ENoteTableText"/>
              <w:tabs>
                <w:tab w:val="center" w:leader="dot" w:pos="2268"/>
              </w:tabs>
            </w:pPr>
            <w:r w:rsidRPr="005E3B43">
              <w:t>r 5E</w:t>
            </w:r>
            <w:r w:rsidRPr="005E3B43">
              <w:tab/>
            </w:r>
          </w:p>
        </w:tc>
        <w:tc>
          <w:tcPr>
            <w:tcW w:w="3505" w:type="pct"/>
          </w:tcPr>
          <w:p w14:paraId="439D2CD7" w14:textId="77777777" w:rsidR="001D71A3" w:rsidRPr="005E3B43" w:rsidRDefault="001D71A3" w:rsidP="00763BCF">
            <w:pPr>
              <w:pStyle w:val="ENoteTableText"/>
            </w:pPr>
            <w:r w:rsidRPr="005E3B43">
              <w:t>ad No 400, 1997</w:t>
            </w:r>
          </w:p>
        </w:tc>
      </w:tr>
      <w:tr w:rsidR="001D71A3" w:rsidRPr="005E3B43" w14:paraId="67BC44AE" w14:textId="77777777" w:rsidTr="00034EA9">
        <w:trPr>
          <w:cantSplit/>
        </w:trPr>
        <w:tc>
          <w:tcPr>
            <w:tcW w:w="1495" w:type="pct"/>
          </w:tcPr>
          <w:p w14:paraId="20F0D7F5" w14:textId="77777777" w:rsidR="001D71A3" w:rsidRPr="005E3B43" w:rsidRDefault="001D71A3" w:rsidP="00763BCF">
            <w:pPr>
              <w:pStyle w:val="ENoteTableText"/>
              <w:tabs>
                <w:tab w:val="center" w:leader="dot" w:pos="2268"/>
              </w:tabs>
            </w:pPr>
          </w:p>
        </w:tc>
        <w:tc>
          <w:tcPr>
            <w:tcW w:w="3505" w:type="pct"/>
          </w:tcPr>
          <w:p w14:paraId="52998CD2" w14:textId="77777777" w:rsidR="001D71A3" w:rsidRPr="005E3B43" w:rsidRDefault="001D71A3" w:rsidP="00763BCF">
            <w:pPr>
              <w:pStyle w:val="ENoteTableText"/>
            </w:pPr>
            <w:r w:rsidRPr="005E3B43">
              <w:t>rep No 62, 1999</w:t>
            </w:r>
          </w:p>
        </w:tc>
      </w:tr>
      <w:tr w:rsidR="00D64E96" w:rsidRPr="005E3B43" w14:paraId="52D13747" w14:textId="77777777" w:rsidTr="00034EA9">
        <w:trPr>
          <w:cantSplit/>
        </w:trPr>
        <w:tc>
          <w:tcPr>
            <w:tcW w:w="1495" w:type="pct"/>
          </w:tcPr>
          <w:p w14:paraId="3CA3B2BC" w14:textId="77777777" w:rsidR="00D64E96" w:rsidRPr="005E3B43" w:rsidRDefault="00D64E96" w:rsidP="00763BCF">
            <w:pPr>
              <w:pStyle w:val="ENoteTableText"/>
              <w:tabs>
                <w:tab w:val="center" w:leader="dot" w:pos="2268"/>
              </w:tabs>
            </w:pPr>
            <w:r w:rsidRPr="005E3B43">
              <w:t>r 5F</w:t>
            </w:r>
            <w:r w:rsidRPr="005E3B43">
              <w:tab/>
            </w:r>
          </w:p>
        </w:tc>
        <w:tc>
          <w:tcPr>
            <w:tcW w:w="3505" w:type="pct"/>
          </w:tcPr>
          <w:p w14:paraId="6F0CA2DF" w14:textId="77777777" w:rsidR="00D64E96" w:rsidRPr="005E3B43" w:rsidRDefault="00D64E96" w:rsidP="00763BCF">
            <w:pPr>
              <w:pStyle w:val="ENoteTableText"/>
            </w:pPr>
            <w:r w:rsidRPr="005E3B43">
              <w:t>ad No</w:t>
            </w:r>
            <w:r w:rsidR="00A34E92" w:rsidRPr="005E3B43">
              <w:t> </w:t>
            </w:r>
            <w:r w:rsidRPr="005E3B43">
              <w:t>400</w:t>
            </w:r>
            <w:r w:rsidR="005E6E48" w:rsidRPr="005E3B43">
              <w:t>, 1997</w:t>
            </w:r>
          </w:p>
        </w:tc>
      </w:tr>
      <w:tr w:rsidR="00D64E96" w:rsidRPr="005E3B43" w14:paraId="1B7FB1DA" w14:textId="77777777" w:rsidTr="00034EA9">
        <w:trPr>
          <w:cantSplit/>
        </w:trPr>
        <w:tc>
          <w:tcPr>
            <w:tcW w:w="1495" w:type="pct"/>
          </w:tcPr>
          <w:p w14:paraId="3F4278C8" w14:textId="77777777" w:rsidR="00D64E96" w:rsidRPr="005E3B43" w:rsidRDefault="00D64E96" w:rsidP="00763BCF">
            <w:pPr>
              <w:pStyle w:val="ENoteTableText"/>
            </w:pPr>
          </w:p>
        </w:tc>
        <w:tc>
          <w:tcPr>
            <w:tcW w:w="3505" w:type="pct"/>
          </w:tcPr>
          <w:p w14:paraId="74207043" w14:textId="77777777" w:rsidR="00D64E96" w:rsidRPr="005E3B43" w:rsidRDefault="00D64E96" w:rsidP="00763BCF">
            <w:pPr>
              <w:pStyle w:val="ENoteTableText"/>
            </w:pPr>
            <w:r w:rsidRPr="005E3B43">
              <w:t>am No</w:t>
            </w:r>
            <w:r w:rsidR="00A34E92" w:rsidRPr="005E3B43">
              <w:t> </w:t>
            </w:r>
            <w:r w:rsidRPr="005E3B43">
              <w:t>324</w:t>
            </w:r>
            <w:r w:rsidR="005E6E48" w:rsidRPr="005E3B43">
              <w:t>, 1999</w:t>
            </w:r>
          </w:p>
        </w:tc>
      </w:tr>
      <w:tr w:rsidR="0061118C" w:rsidRPr="005E3B43" w14:paraId="5DAB8AAF" w14:textId="77777777" w:rsidTr="00034EA9">
        <w:trPr>
          <w:cantSplit/>
        </w:trPr>
        <w:tc>
          <w:tcPr>
            <w:tcW w:w="1495" w:type="pct"/>
          </w:tcPr>
          <w:p w14:paraId="0CD6C740" w14:textId="77777777" w:rsidR="0061118C" w:rsidRPr="005E3B43" w:rsidRDefault="0061118C" w:rsidP="00763BCF">
            <w:pPr>
              <w:pStyle w:val="ENoteTableText"/>
            </w:pPr>
          </w:p>
        </w:tc>
        <w:tc>
          <w:tcPr>
            <w:tcW w:w="3505" w:type="pct"/>
          </w:tcPr>
          <w:p w14:paraId="26A68791" w14:textId="77777777" w:rsidR="0061118C" w:rsidRPr="005E3B43" w:rsidRDefault="0061118C" w:rsidP="00763BCF">
            <w:pPr>
              <w:pStyle w:val="ENoteTableText"/>
            </w:pPr>
            <w:r w:rsidRPr="005E3B43">
              <w:t>rep F2018L00311</w:t>
            </w:r>
          </w:p>
        </w:tc>
      </w:tr>
      <w:tr w:rsidR="00D64E96" w:rsidRPr="005E3B43" w14:paraId="541360CF" w14:textId="77777777" w:rsidTr="00034EA9">
        <w:trPr>
          <w:cantSplit/>
        </w:trPr>
        <w:tc>
          <w:tcPr>
            <w:tcW w:w="1495" w:type="pct"/>
          </w:tcPr>
          <w:p w14:paraId="18F44095" w14:textId="77777777" w:rsidR="00D64E96" w:rsidRPr="005E3B43" w:rsidRDefault="00D64E96" w:rsidP="00763BCF">
            <w:pPr>
              <w:pStyle w:val="ENoteTableText"/>
              <w:tabs>
                <w:tab w:val="center" w:leader="dot" w:pos="2268"/>
              </w:tabs>
            </w:pPr>
            <w:r w:rsidRPr="005E3B43">
              <w:t>r 5G</w:t>
            </w:r>
            <w:r w:rsidRPr="005E3B43">
              <w:tab/>
            </w:r>
          </w:p>
        </w:tc>
        <w:tc>
          <w:tcPr>
            <w:tcW w:w="3505" w:type="pct"/>
          </w:tcPr>
          <w:p w14:paraId="6D5E41E8" w14:textId="77777777" w:rsidR="00D64E96" w:rsidRPr="005E3B43" w:rsidRDefault="00D64E96" w:rsidP="00763BCF">
            <w:pPr>
              <w:pStyle w:val="ENoteTableText"/>
            </w:pPr>
            <w:r w:rsidRPr="005E3B43">
              <w:t>ad No</w:t>
            </w:r>
            <w:r w:rsidR="00A34E92" w:rsidRPr="005E3B43">
              <w:t> </w:t>
            </w:r>
            <w:r w:rsidRPr="005E3B43">
              <w:t>400</w:t>
            </w:r>
            <w:r w:rsidR="005E6E48" w:rsidRPr="005E3B43">
              <w:t>, 1997</w:t>
            </w:r>
          </w:p>
        </w:tc>
      </w:tr>
      <w:tr w:rsidR="00D64E96" w:rsidRPr="005E3B43" w14:paraId="06C904FB" w14:textId="77777777" w:rsidTr="00034EA9">
        <w:trPr>
          <w:cantSplit/>
        </w:trPr>
        <w:tc>
          <w:tcPr>
            <w:tcW w:w="1495" w:type="pct"/>
          </w:tcPr>
          <w:p w14:paraId="0675C509" w14:textId="77777777" w:rsidR="00D64E96" w:rsidRPr="005E3B43" w:rsidRDefault="00D64E96" w:rsidP="00763BCF">
            <w:pPr>
              <w:pStyle w:val="ENoteTableText"/>
            </w:pPr>
          </w:p>
        </w:tc>
        <w:tc>
          <w:tcPr>
            <w:tcW w:w="3505" w:type="pct"/>
          </w:tcPr>
          <w:p w14:paraId="6F14A9F5" w14:textId="77777777" w:rsidR="00D64E96" w:rsidRPr="005E3B43" w:rsidRDefault="00D64E96" w:rsidP="00763BCF">
            <w:pPr>
              <w:pStyle w:val="ENoteTableText"/>
            </w:pPr>
            <w:r w:rsidRPr="005E3B43">
              <w:t>am No</w:t>
            </w:r>
            <w:r w:rsidR="00A34E92" w:rsidRPr="005E3B43">
              <w:t> </w:t>
            </w:r>
            <w:r w:rsidRPr="005E3B43">
              <w:t>324</w:t>
            </w:r>
            <w:r w:rsidR="005E6E48" w:rsidRPr="005E3B43">
              <w:t>, 1999</w:t>
            </w:r>
            <w:r w:rsidRPr="005E3B43">
              <w:t>; No</w:t>
            </w:r>
            <w:r w:rsidR="00A34E92" w:rsidRPr="005E3B43">
              <w:t> </w:t>
            </w:r>
            <w:r w:rsidRPr="005E3B43">
              <w:t>48</w:t>
            </w:r>
            <w:r w:rsidR="005E6E48" w:rsidRPr="005E3B43">
              <w:t>, 2000</w:t>
            </w:r>
            <w:r w:rsidRPr="005E3B43">
              <w:t>; No</w:t>
            </w:r>
            <w:r w:rsidR="00A34E92" w:rsidRPr="005E3B43">
              <w:t> </w:t>
            </w:r>
            <w:r w:rsidRPr="005E3B43">
              <w:t>301</w:t>
            </w:r>
            <w:r w:rsidR="00B271DF" w:rsidRPr="005E3B43">
              <w:t>,</w:t>
            </w:r>
            <w:r w:rsidR="005E6E48" w:rsidRPr="005E3B43">
              <w:t xml:space="preserve"> 200</w:t>
            </w:r>
            <w:r w:rsidR="00E371E4" w:rsidRPr="005E3B43">
              <w:t>3</w:t>
            </w:r>
          </w:p>
        </w:tc>
      </w:tr>
      <w:tr w:rsidR="0061118C" w:rsidRPr="005E3B43" w14:paraId="41B07BAB" w14:textId="77777777" w:rsidTr="00034EA9">
        <w:trPr>
          <w:cantSplit/>
        </w:trPr>
        <w:tc>
          <w:tcPr>
            <w:tcW w:w="1495" w:type="pct"/>
          </w:tcPr>
          <w:p w14:paraId="68D0D717" w14:textId="77777777" w:rsidR="0061118C" w:rsidRPr="005E3B43" w:rsidRDefault="0061118C" w:rsidP="00763BCF">
            <w:pPr>
              <w:pStyle w:val="ENoteTableText"/>
            </w:pPr>
          </w:p>
        </w:tc>
        <w:tc>
          <w:tcPr>
            <w:tcW w:w="3505" w:type="pct"/>
          </w:tcPr>
          <w:p w14:paraId="2ED87941" w14:textId="77777777" w:rsidR="0061118C" w:rsidRPr="005E3B43" w:rsidRDefault="0061118C" w:rsidP="00763BCF">
            <w:pPr>
              <w:pStyle w:val="ENoteTableText"/>
            </w:pPr>
            <w:r w:rsidRPr="005E3B43">
              <w:t>rep F2018L00311</w:t>
            </w:r>
          </w:p>
        </w:tc>
      </w:tr>
      <w:tr w:rsidR="00D64E96" w:rsidRPr="005E3B43" w14:paraId="5D306C72" w14:textId="77777777" w:rsidTr="00034EA9">
        <w:trPr>
          <w:cantSplit/>
        </w:trPr>
        <w:tc>
          <w:tcPr>
            <w:tcW w:w="1495" w:type="pct"/>
          </w:tcPr>
          <w:p w14:paraId="2A852CC8" w14:textId="77777777" w:rsidR="00D64E96" w:rsidRPr="005E3B43" w:rsidRDefault="00D64E96" w:rsidP="00763BCF">
            <w:pPr>
              <w:pStyle w:val="ENoteTableText"/>
              <w:tabs>
                <w:tab w:val="center" w:leader="dot" w:pos="2268"/>
              </w:tabs>
            </w:pPr>
            <w:r w:rsidRPr="005E3B43">
              <w:t>r 5H</w:t>
            </w:r>
            <w:r w:rsidRPr="005E3B43">
              <w:tab/>
            </w:r>
          </w:p>
        </w:tc>
        <w:tc>
          <w:tcPr>
            <w:tcW w:w="3505" w:type="pct"/>
          </w:tcPr>
          <w:p w14:paraId="5213D071" w14:textId="77777777" w:rsidR="00D64E96" w:rsidRPr="005E3B43" w:rsidRDefault="00D64E96" w:rsidP="00763BCF">
            <w:pPr>
              <w:pStyle w:val="ENoteTableText"/>
            </w:pPr>
            <w:r w:rsidRPr="005E3B43">
              <w:t>ad No</w:t>
            </w:r>
            <w:r w:rsidR="00A34E92" w:rsidRPr="005E3B43">
              <w:t> </w:t>
            </w:r>
            <w:r w:rsidRPr="005E3B43">
              <w:t>400</w:t>
            </w:r>
            <w:r w:rsidR="005E6E48" w:rsidRPr="005E3B43">
              <w:t>, 1997</w:t>
            </w:r>
          </w:p>
        </w:tc>
      </w:tr>
      <w:tr w:rsidR="0061118C" w:rsidRPr="005E3B43" w14:paraId="3E4ADCFA" w14:textId="77777777" w:rsidTr="00034EA9">
        <w:trPr>
          <w:cantSplit/>
        </w:trPr>
        <w:tc>
          <w:tcPr>
            <w:tcW w:w="1495" w:type="pct"/>
          </w:tcPr>
          <w:p w14:paraId="25BD32BF" w14:textId="77777777" w:rsidR="0061118C" w:rsidRPr="005E3B43" w:rsidRDefault="0061118C" w:rsidP="00763BCF">
            <w:pPr>
              <w:pStyle w:val="ENoteTableText"/>
              <w:tabs>
                <w:tab w:val="center" w:leader="dot" w:pos="2268"/>
              </w:tabs>
            </w:pPr>
          </w:p>
        </w:tc>
        <w:tc>
          <w:tcPr>
            <w:tcW w:w="3505" w:type="pct"/>
          </w:tcPr>
          <w:p w14:paraId="6650A15A" w14:textId="77777777" w:rsidR="0061118C" w:rsidRPr="005E3B43" w:rsidRDefault="0061118C" w:rsidP="00763BCF">
            <w:pPr>
              <w:pStyle w:val="ENoteTableText"/>
            </w:pPr>
            <w:r w:rsidRPr="005E3B43">
              <w:t>rep F2018L00311</w:t>
            </w:r>
          </w:p>
        </w:tc>
      </w:tr>
      <w:tr w:rsidR="00D64E96" w:rsidRPr="005E3B43" w14:paraId="6860DED3" w14:textId="77777777" w:rsidTr="00034EA9">
        <w:trPr>
          <w:cantSplit/>
        </w:trPr>
        <w:tc>
          <w:tcPr>
            <w:tcW w:w="1495" w:type="pct"/>
          </w:tcPr>
          <w:p w14:paraId="590C3025" w14:textId="77777777" w:rsidR="00D64E96" w:rsidRPr="005E3B43" w:rsidRDefault="00D64E96" w:rsidP="00763BCF">
            <w:pPr>
              <w:pStyle w:val="ENoteTableText"/>
              <w:tabs>
                <w:tab w:val="center" w:leader="dot" w:pos="2268"/>
              </w:tabs>
            </w:pPr>
            <w:r w:rsidRPr="005E3B43">
              <w:t>r 5J</w:t>
            </w:r>
            <w:r w:rsidRPr="005E3B43">
              <w:tab/>
            </w:r>
          </w:p>
        </w:tc>
        <w:tc>
          <w:tcPr>
            <w:tcW w:w="3505" w:type="pct"/>
          </w:tcPr>
          <w:p w14:paraId="439FE6AA" w14:textId="77777777" w:rsidR="00D64E96" w:rsidRPr="005E3B43" w:rsidRDefault="00D64E96" w:rsidP="00763BCF">
            <w:pPr>
              <w:pStyle w:val="ENoteTableText"/>
            </w:pPr>
            <w:r w:rsidRPr="005E3B43">
              <w:t>ad No</w:t>
            </w:r>
            <w:r w:rsidR="00A34E92" w:rsidRPr="005E3B43">
              <w:t> </w:t>
            </w:r>
            <w:r w:rsidRPr="005E3B43">
              <w:t>400</w:t>
            </w:r>
            <w:r w:rsidR="005E6E48" w:rsidRPr="005E3B43">
              <w:t>, 1997</w:t>
            </w:r>
          </w:p>
        </w:tc>
      </w:tr>
      <w:tr w:rsidR="00D64E96" w:rsidRPr="005E3B43" w14:paraId="33649416" w14:textId="77777777" w:rsidTr="00034EA9">
        <w:trPr>
          <w:cantSplit/>
        </w:trPr>
        <w:tc>
          <w:tcPr>
            <w:tcW w:w="1495" w:type="pct"/>
          </w:tcPr>
          <w:p w14:paraId="67512109" w14:textId="77777777" w:rsidR="00D64E96" w:rsidRPr="005E3B43" w:rsidRDefault="00D64E96" w:rsidP="00763BCF">
            <w:pPr>
              <w:pStyle w:val="ENoteTableText"/>
            </w:pPr>
          </w:p>
        </w:tc>
        <w:tc>
          <w:tcPr>
            <w:tcW w:w="3505" w:type="pct"/>
          </w:tcPr>
          <w:p w14:paraId="2E6D550D" w14:textId="77777777" w:rsidR="00D64E96" w:rsidRPr="005E3B43" w:rsidRDefault="00D64E96" w:rsidP="00763BCF">
            <w:pPr>
              <w:pStyle w:val="ENoteTableText"/>
            </w:pPr>
            <w:r w:rsidRPr="005E3B43">
              <w:t>am No</w:t>
            </w:r>
            <w:r w:rsidR="00A34E92" w:rsidRPr="005E3B43">
              <w:t> </w:t>
            </w:r>
            <w:r w:rsidRPr="005E3B43">
              <w:t>48</w:t>
            </w:r>
            <w:r w:rsidR="005E6E48" w:rsidRPr="005E3B43">
              <w:t>, 2000</w:t>
            </w:r>
          </w:p>
        </w:tc>
      </w:tr>
      <w:tr w:rsidR="0061118C" w:rsidRPr="005E3B43" w14:paraId="6B129A78" w14:textId="77777777" w:rsidTr="00034EA9">
        <w:trPr>
          <w:cantSplit/>
        </w:trPr>
        <w:tc>
          <w:tcPr>
            <w:tcW w:w="1495" w:type="pct"/>
          </w:tcPr>
          <w:p w14:paraId="3491EAF5" w14:textId="77777777" w:rsidR="0061118C" w:rsidRPr="005E3B43" w:rsidRDefault="0061118C" w:rsidP="00763BCF">
            <w:pPr>
              <w:pStyle w:val="ENoteTableText"/>
            </w:pPr>
          </w:p>
        </w:tc>
        <w:tc>
          <w:tcPr>
            <w:tcW w:w="3505" w:type="pct"/>
          </w:tcPr>
          <w:p w14:paraId="5CEF801C" w14:textId="77777777" w:rsidR="0061118C" w:rsidRPr="005E3B43" w:rsidRDefault="0061118C" w:rsidP="00763BCF">
            <w:pPr>
              <w:pStyle w:val="ENoteTableText"/>
            </w:pPr>
            <w:r w:rsidRPr="005E3B43">
              <w:t>rep F2018L00311</w:t>
            </w:r>
          </w:p>
        </w:tc>
      </w:tr>
      <w:tr w:rsidR="00D64E96" w:rsidRPr="005E3B43" w14:paraId="71F0A6A9" w14:textId="77777777" w:rsidTr="00034EA9">
        <w:trPr>
          <w:cantSplit/>
        </w:trPr>
        <w:tc>
          <w:tcPr>
            <w:tcW w:w="1495" w:type="pct"/>
          </w:tcPr>
          <w:p w14:paraId="43BCE7CD" w14:textId="77777777" w:rsidR="00D64E96" w:rsidRPr="005E3B43" w:rsidRDefault="00D64E96" w:rsidP="00763BCF">
            <w:pPr>
              <w:pStyle w:val="ENoteTableText"/>
              <w:tabs>
                <w:tab w:val="center" w:leader="dot" w:pos="2268"/>
              </w:tabs>
            </w:pPr>
            <w:r w:rsidRPr="005E3B43">
              <w:t>r 5K</w:t>
            </w:r>
            <w:r w:rsidRPr="005E3B43">
              <w:tab/>
            </w:r>
          </w:p>
        </w:tc>
        <w:tc>
          <w:tcPr>
            <w:tcW w:w="3505" w:type="pct"/>
          </w:tcPr>
          <w:p w14:paraId="41158734" w14:textId="77777777" w:rsidR="00D64E96" w:rsidRPr="005E3B43" w:rsidRDefault="00D64E96" w:rsidP="00763BCF">
            <w:pPr>
              <w:pStyle w:val="ENoteTableText"/>
            </w:pPr>
            <w:r w:rsidRPr="005E3B43">
              <w:t>ad No</w:t>
            </w:r>
            <w:r w:rsidR="00A34E92" w:rsidRPr="005E3B43">
              <w:t> </w:t>
            </w:r>
            <w:r w:rsidRPr="005E3B43">
              <w:t>400</w:t>
            </w:r>
            <w:r w:rsidR="005E6E48" w:rsidRPr="005E3B43">
              <w:t>, 1997</w:t>
            </w:r>
          </w:p>
        </w:tc>
      </w:tr>
      <w:tr w:rsidR="0061118C" w:rsidRPr="005E3B43" w14:paraId="253CB997" w14:textId="77777777" w:rsidTr="00034EA9">
        <w:trPr>
          <w:cantSplit/>
        </w:trPr>
        <w:tc>
          <w:tcPr>
            <w:tcW w:w="1495" w:type="pct"/>
          </w:tcPr>
          <w:p w14:paraId="38369A41" w14:textId="77777777" w:rsidR="0061118C" w:rsidRPr="005E3B43" w:rsidRDefault="0061118C" w:rsidP="00763BCF">
            <w:pPr>
              <w:pStyle w:val="ENoteTableText"/>
              <w:tabs>
                <w:tab w:val="center" w:leader="dot" w:pos="2268"/>
              </w:tabs>
            </w:pPr>
          </w:p>
        </w:tc>
        <w:tc>
          <w:tcPr>
            <w:tcW w:w="3505" w:type="pct"/>
          </w:tcPr>
          <w:p w14:paraId="21C88901" w14:textId="77777777" w:rsidR="0061118C" w:rsidRPr="005E3B43" w:rsidRDefault="0061118C" w:rsidP="00763BCF">
            <w:pPr>
              <w:pStyle w:val="ENoteTableText"/>
            </w:pPr>
            <w:r w:rsidRPr="005E3B43">
              <w:t>rep F2018L00311</w:t>
            </w:r>
          </w:p>
        </w:tc>
      </w:tr>
      <w:tr w:rsidR="00D64E96" w:rsidRPr="005E3B43" w14:paraId="05152631" w14:textId="77777777" w:rsidTr="00034EA9">
        <w:trPr>
          <w:cantSplit/>
        </w:trPr>
        <w:tc>
          <w:tcPr>
            <w:tcW w:w="1495" w:type="pct"/>
          </w:tcPr>
          <w:p w14:paraId="25A8A19C" w14:textId="77777777" w:rsidR="00D64E96" w:rsidRPr="005E3B43" w:rsidRDefault="00D64E96" w:rsidP="00763BCF">
            <w:pPr>
              <w:pStyle w:val="ENoteTableText"/>
              <w:tabs>
                <w:tab w:val="center" w:leader="dot" w:pos="2268"/>
              </w:tabs>
            </w:pPr>
            <w:r w:rsidRPr="005E3B43">
              <w:t>r 5L</w:t>
            </w:r>
            <w:r w:rsidRPr="005E3B43">
              <w:tab/>
            </w:r>
          </w:p>
        </w:tc>
        <w:tc>
          <w:tcPr>
            <w:tcW w:w="3505" w:type="pct"/>
          </w:tcPr>
          <w:p w14:paraId="514CA9A6" w14:textId="77777777" w:rsidR="00D64E96" w:rsidRPr="005E3B43" w:rsidRDefault="00D64E96" w:rsidP="00763BCF">
            <w:pPr>
              <w:pStyle w:val="ENoteTableText"/>
            </w:pPr>
            <w:r w:rsidRPr="005E3B43">
              <w:t>ad No</w:t>
            </w:r>
            <w:r w:rsidR="00A34E92" w:rsidRPr="005E3B43">
              <w:t> </w:t>
            </w:r>
            <w:r w:rsidRPr="005E3B43">
              <w:t>400</w:t>
            </w:r>
            <w:r w:rsidR="00375B48" w:rsidRPr="005E3B43">
              <w:t>, 1997</w:t>
            </w:r>
          </w:p>
        </w:tc>
      </w:tr>
      <w:tr w:rsidR="00D64E96" w:rsidRPr="005E3B43" w14:paraId="0D703263" w14:textId="77777777" w:rsidTr="00034EA9">
        <w:trPr>
          <w:cantSplit/>
        </w:trPr>
        <w:tc>
          <w:tcPr>
            <w:tcW w:w="1495" w:type="pct"/>
          </w:tcPr>
          <w:p w14:paraId="1766D3F6" w14:textId="77777777" w:rsidR="00D64E96" w:rsidRPr="005E3B43" w:rsidRDefault="00D64E96" w:rsidP="00763BCF">
            <w:pPr>
              <w:pStyle w:val="ENoteTableText"/>
            </w:pPr>
          </w:p>
        </w:tc>
        <w:tc>
          <w:tcPr>
            <w:tcW w:w="3505" w:type="pct"/>
          </w:tcPr>
          <w:p w14:paraId="5EDE33A5" w14:textId="77777777" w:rsidR="00D64E96" w:rsidRPr="005E3B43" w:rsidRDefault="00D64E96" w:rsidP="00763BCF">
            <w:pPr>
              <w:pStyle w:val="ENoteTableText"/>
            </w:pPr>
            <w:r w:rsidRPr="005E3B43">
              <w:t>am No</w:t>
            </w:r>
            <w:r w:rsidR="00A34E92" w:rsidRPr="005E3B43">
              <w:t> </w:t>
            </w:r>
            <w:r w:rsidRPr="005E3B43">
              <w:t>62</w:t>
            </w:r>
            <w:r w:rsidR="00375B48" w:rsidRPr="005E3B43">
              <w:t>, 1999</w:t>
            </w:r>
            <w:r w:rsidRPr="005E3B43">
              <w:t>; No</w:t>
            </w:r>
            <w:r w:rsidR="00A34E92" w:rsidRPr="005E3B43">
              <w:t> </w:t>
            </w:r>
            <w:r w:rsidRPr="005E3B43">
              <w:t>48</w:t>
            </w:r>
            <w:r w:rsidR="00375B48" w:rsidRPr="005E3B43">
              <w:t>, 2000</w:t>
            </w:r>
            <w:r w:rsidR="00B71286" w:rsidRPr="005E3B43">
              <w:t>; F2018L00311</w:t>
            </w:r>
          </w:p>
        </w:tc>
      </w:tr>
      <w:tr w:rsidR="00E371E4" w:rsidRPr="005E3B43" w14:paraId="3008B161" w14:textId="77777777" w:rsidTr="00034EA9">
        <w:trPr>
          <w:cantSplit/>
        </w:trPr>
        <w:tc>
          <w:tcPr>
            <w:tcW w:w="1495" w:type="pct"/>
          </w:tcPr>
          <w:p w14:paraId="2449B398" w14:textId="77777777" w:rsidR="00E371E4" w:rsidRPr="005E3B43" w:rsidRDefault="00E371E4" w:rsidP="00763BCF">
            <w:pPr>
              <w:pStyle w:val="ENoteTableText"/>
            </w:pPr>
          </w:p>
        </w:tc>
        <w:tc>
          <w:tcPr>
            <w:tcW w:w="3505" w:type="pct"/>
          </w:tcPr>
          <w:p w14:paraId="3A7B8777" w14:textId="77777777" w:rsidR="00E371E4" w:rsidRPr="005E3B43" w:rsidRDefault="00E371E4" w:rsidP="00763BCF">
            <w:pPr>
              <w:pStyle w:val="ENoteTableText"/>
            </w:pPr>
            <w:r w:rsidRPr="005E3B43">
              <w:t>rep F2018L00311</w:t>
            </w:r>
          </w:p>
        </w:tc>
      </w:tr>
      <w:tr w:rsidR="00D64E96" w:rsidRPr="005E3B43" w14:paraId="4DF8966E" w14:textId="77777777" w:rsidTr="00034EA9">
        <w:trPr>
          <w:cantSplit/>
        </w:trPr>
        <w:tc>
          <w:tcPr>
            <w:tcW w:w="1495" w:type="pct"/>
          </w:tcPr>
          <w:p w14:paraId="5889A536" w14:textId="77777777" w:rsidR="00D64E96" w:rsidRPr="005E3B43" w:rsidRDefault="00D64E96" w:rsidP="00763BCF">
            <w:pPr>
              <w:pStyle w:val="ENoteTableText"/>
              <w:tabs>
                <w:tab w:val="center" w:leader="dot" w:pos="2268"/>
              </w:tabs>
            </w:pPr>
            <w:r w:rsidRPr="005E3B43">
              <w:t>r 5M</w:t>
            </w:r>
            <w:r w:rsidRPr="005E3B43">
              <w:tab/>
            </w:r>
          </w:p>
        </w:tc>
        <w:tc>
          <w:tcPr>
            <w:tcW w:w="3505" w:type="pct"/>
          </w:tcPr>
          <w:p w14:paraId="3393F3B1" w14:textId="77777777" w:rsidR="00D64E96" w:rsidRPr="005E3B43" w:rsidRDefault="00D64E96" w:rsidP="00763BCF">
            <w:pPr>
              <w:pStyle w:val="ENoteTableText"/>
            </w:pPr>
            <w:r w:rsidRPr="005E3B43">
              <w:t>ad No</w:t>
            </w:r>
            <w:r w:rsidR="00A34E92" w:rsidRPr="005E3B43">
              <w:t> </w:t>
            </w:r>
            <w:r w:rsidRPr="005E3B43">
              <w:t>400</w:t>
            </w:r>
            <w:r w:rsidR="00375B48" w:rsidRPr="005E3B43">
              <w:t>, 1997</w:t>
            </w:r>
          </w:p>
        </w:tc>
      </w:tr>
      <w:tr w:rsidR="006F1577" w:rsidRPr="005E3B43" w14:paraId="31CEC216" w14:textId="77777777" w:rsidTr="00034EA9">
        <w:trPr>
          <w:cantSplit/>
        </w:trPr>
        <w:tc>
          <w:tcPr>
            <w:tcW w:w="1495" w:type="pct"/>
          </w:tcPr>
          <w:p w14:paraId="54AFDE97" w14:textId="77777777" w:rsidR="006F1577" w:rsidRPr="005E3B43" w:rsidRDefault="006F1577" w:rsidP="00763BCF">
            <w:pPr>
              <w:pStyle w:val="ENoteTableText"/>
              <w:tabs>
                <w:tab w:val="center" w:leader="dot" w:pos="2268"/>
              </w:tabs>
            </w:pPr>
          </w:p>
        </w:tc>
        <w:tc>
          <w:tcPr>
            <w:tcW w:w="3505" w:type="pct"/>
          </w:tcPr>
          <w:p w14:paraId="79FB1E85" w14:textId="77777777" w:rsidR="006F1577" w:rsidRPr="005E3B43" w:rsidRDefault="00254B44" w:rsidP="00763BCF">
            <w:pPr>
              <w:pStyle w:val="ENoteTableText"/>
            </w:pPr>
            <w:r w:rsidRPr="005E3B43">
              <w:t>am F2016L00109</w:t>
            </w:r>
            <w:r w:rsidR="00DD2DD6" w:rsidRPr="005E3B43">
              <w:t>; F2018L00311</w:t>
            </w:r>
          </w:p>
        </w:tc>
      </w:tr>
      <w:tr w:rsidR="0061118C" w:rsidRPr="005E3B43" w14:paraId="0DCFA236" w14:textId="77777777" w:rsidTr="00034EA9">
        <w:trPr>
          <w:cantSplit/>
        </w:trPr>
        <w:tc>
          <w:tcPr>
            <w:tcW w:w="1495" w:type="pct"/>
          </w:tcPr>
          <w:p w14:paraId="63F8A3E0" w14:textId="77777777" w:rsidR="0061118C" w:rsidRPr="005E3B43" w:rsidRDefault="0061118C" w:rsidP="00763BCF">
            <w:pPr>
              <w:pStyle w:val="ENoteTableText"/>
              <w:tabs>
                <w:tab w:val="center" w:leader="dot" w:pos="2268"/>
              </w:tabs>
            </w:pPr>
          </w:p>
        </w:tc>
        <w:tc>
          <w:tcPr>
            <w:tcW w:w="3505" w:type="pct"/>
          </w:tcPr>
          <w:p w14:paraId="54B3B911" w14:textId="77777777" w:rsidR="0061118C" w:rsidRPr="005E3B43" w:rsidRDefault="0061118C" w:rsidP="00763BCF">
            <w:pPr>
              <w:pStyle w:val="ENoteTableText"/>
            </w:pPr>
            <w:r w:rsidRPr="005E3B43">
              <w:t>rep F2018L00311</w:t>
            </w:r>
          </w:p>
        </w:tc>
      </w:tr>
      <w:tr w:rsidR="00D64E96" w:rsidRPr="005E3B43" w14:paraId="7D407637" w14:textId="77777777" w:rsidTr="00034EA9">
        <w:trPr>
          <w:cantSplit/>
        </w:trPr>
        <w:tc>
          <w:tcPr>
            <w:tcW w:w="1495" w:type="pct"/>
          </w:tcPr>
          <w:p w14:paraId="718EADB5" w14:textId="77777777" w:rsidR="00D64E96" w:rsidRPr="005E3B43" w:rsidRDefault="00D64E96" w:rsidP="00763BCF">
            <w:pPr>
              <w:pStyle w:val="ENoteTableText"/>
              <w:tabs>
                <w:tab w:val="center" w:leader="dot" w:pos="2268"/>
              </w:tabs>
            </w:pPr>
            <w:r w:rsidRPr="005E3B43">
              <w:t>r 5N</w:t>
            </w:r>
            <w:r w:rsidRPr="005E3B43">
              <w:tab/>
            </w:r>
          </w:p>
        </w:tc>
        <w:tc>
          <w:tcPr>
            <w:tcW w:w="3505" w:type="pct"/>
          </w:tcPr>
          <w:p w14:paraId="09AAEC86" w14:textId="77777777" w:rsidR="00D64E96" w:rsidRPr="005E3B43" w:rsidRDefault="00D64E96" w:rsidP="00763BCF">
            <w:pPr>
              <w:pStyle w:val="ENoteTableText"/>
            </w:pPr>
            <w:r w:rsidRPr="005E3B43">
              <w:t>ad No</w:t>
            </w:r>
            <w:r w:rsidR="00A34E92" w:rsidRPr="005E3B43">
              <w:t> </w:t>
            </w:r>
            <w:r w:rsidRPr="005E3B43">
              <w:t>400</w:t>
            </w:r>
            <w:r w:rsidR="00375B48" w:rsidRPr="005E3B43">
              <w:t>, 1997</w:t>
            </w:r>
          </w:p>
        </w:tc>
      </w:tr>
      <w:tr w:rsidR="00DD2DD6" w:rsidRPr="005E3B43" w14:paraId="1734CAAB" w14:textId="77777777" w:rsidTr="00034EA9">
        <w:trPr>
          <w:cantSplit/>
        </w:trPr>
        <w:tc>
          <w:tcPr>
            <w:tcW w:w="1495" w:type="pct"/>
          </w:tcPr>
          <w:p w14:paraId="2D041C42" w14:textId="77777777" w:rsidR="00DD2DD6" w:rsidRPr="005E3B43" w:rsidRDefault="00DD2DD6" w:rsidP="00763BCF">
            <w:pPr>
              <w:pStyle w:val="ENoteTableText"/>
              <w:tabs>
                <w:tab w:val="center" w:leader="dot" w:pos="2268"/>
              </w:tabs>
            </w:pPr>
          </w:p>
        </w:tc>
        <w:tc>
          <w:tcPr>
            <w:tcW w:w="3505" w:type="pct"/>
          </w:tcPr>
          <w:p w14:paraId="11BCE89F" w14:textId="77777777" w:rsidR="00DD2DD6" w:rsidRPr="005E3B43" w:rsidRDefault="00DD2DD6" w:rsidP="00763BCF">
            <w:pPr>
              <w:pStyle w:val="ENoteTableText"/>
            </w:pPr>
            <w:r w:rsidRPr="005E3B43">
              <w:t>am F2018L00311</w:t>
            </w:r>
          </w:p>
        </w:tc>
      </w:tr>
      <w:tr w:rsidR="0061118C" w:rsidRPr="005E3B43" w14:paraId="6E34D36C" w14:textId="77777777" w:rsidTr="00034EA9">
        <w:trPr>
          <w:cantSplit/>
        </w:trPr>
        <w:tc>
          <w:tcPr>
            <w:tcW w:w="1495" w:type="pct"/>
          </w:tcPr>
          <w:p w14:paraId="5F4FD0B8" w14:textId="77777777" w:rsidR="0061118C" w:rsidRPr="005E3B43" w:rsidRDefault="0061118C" w:rsidP="00763BCF">
            <w:pPr>
              <w:pStyle w:val="ENoteTableText"/>
              <w:tabs>
                <w:tab w:val="center" w:leader="dot" w:pos="2268"/>
              </w:tabs>
            </w:pPr>
          </w:p>
        </w:tc>
        <w:tc>
          <w:tcPr>
            <w:tcW w:w="3505" w:type="pct"/>
          </w:tcPr>
          <w:p w14:paraId="14071171" w14:textId="77777777" w:rsidR="0061118C" w:rsidRPr="005E3B43" w:rsidRDefault="0061118C" w:rsidP="00763BCF">
            <w:pPr>
              <w:pStyle w:val="ENoteTableText"/>
              <w:rPr>
                <w:u w:val="single"/>
              </w:rPr>
            </w:pPr>
            <w:r w:rsidRPr="005E3B43">
              <w:t>rep F2018L00311</w:t>
            </w:r>
          </w:p>
        </w:tc>
      </w:tr>
      <w:tr w:rsidR="00D64E96" w:rsidRPr="005E3B43" w14:paraId="4B21CB99" w14:textId="77777777" w:rsidTr="00034EA9">
        <w:trPr>
          <w:cantSplit/>
        </w:trPr>
        <w:tc>
          <w:tcPr>
            <w:tcW w:w="1495" w:type="pct"/>
          </w:tcPr>
          <w:p w14:paraId="7B9FB8FD" w14:textId="77777777" w:rsidR="00D64E96" w:rsidRPr="005E3B43" w:rsidRDefault="00D64E96" w:rsidP="00763BCF">
            <w:pPr>
              <w:pStyle w:val="ENoteTableText"/>
              <w:tabs>
                <w:tab w:val="center" w:leader="dot" w:pos="2268"/>
              </w:tabs>
            </w:pPr>
            <w:r w:rsidRPr="005E3B43">
              <w:t>r 5P</w:t>
            </w:r>
            <w:r w:rsidRPr="005E3B43">
              <w:tab/>
            </w:r>
          </w:p>
        </w:tc>
        <w:tc>
          <w:tcPr>
            <w:tcW w:w="3505" w:type="pct"/>
          </w:tcPr>
          <w:p w14:paraId="3988AB56" w14:textId="77777777" w:rsidR="00D64E96" w:rsidRPr="005E3B43" w:rsidRDefault="00D64E96" w:rsidP="00763BCF">
            <w:pPr>
              <w:pStyle w:val="ENoteTableText"/>
            </w:pPr>
            <w:r w:rsidRPr="005E3B43">
              <w:t>ad No</w:t>
            </w:r>
            <w:r w:rsidR="00A34E92" w:rsidRPr="005E3B43">
              <w:t> </w:t>
            </w:r>
            <w:r w:rsidRPr="005E3B43">
              <w:t>400</w:t>
            </w:r>
            <w:r w:rsidR="00375B48" w:rsidRPr="005E3B43">
              <w:t>, 1997</w:t>
            </w:r>
          </w:p>
        </w:tc>
      </w:tr>
      <w:tr w:rsidR="0061118C" w:rsidRPr="005E3B43" w14:paraId="4D810367" w14:textId="77777777" w:rsidTr="00034EA9">
        <w:trPr>
          <w:cantSplit/>
        </w:trPr>
        <w:tc>
          <w:tcPr>
            <w:tcW w:w="1495" w:type="pct"/>
          </w:tcPr>
          <w:p w14:paraId="6A8C7FC0" w14:textId="77777777" w:rsidR="0061118C" w:rsidRPr="005E3B43" w:rsidRDefault="0061118C" w:rsidP="00763BCF">
            <w:pPr>
              <w:pStyle w:val="ENoteTableText"/>
              <w:tabs>
                <w:tab w:val="center" w:leader="dot" w:pos="2268"/>
              </w:tabs>
            </w:pPr>
          </w:p>
        </w:tc>
        <w:tc>
          <w:tcPr>
            <w:tcW w:w="3505" w:type="pct"/>
          </w:tcPr>
          <w:p w14:paraId="2B0DDA6B" w14:textId="77777777" w:rsidR="0061118C" w:rsidRPr="005E3B43" w:rsidRDefault="0061118C" w:rsidP="00763BCF">
            <w:pPr>
              <w:pStyle w:val="ENoteTableText"/>
            </w:pPr>
            <w:r w:rsidRPr="005E3B43">
              <w:t>rep F2018L00311</w:t>
            </w:r>
          </w:p>
        </w:tc>
      </w:tr>
      <w:tr w:rsidR="00D64E96" w:rsidRPr="005E3B43" w14:paraId="52067451" w14:textId="77777777" w:rsidTr="00034EA9">
        <w:trPr>
          <w:cantSplit/>
        </w:trPr>
        <w:tc>
          <w:tcPr>
            <w:tcW w:w="1495" w:type="pct"/>
          </w:tcPr>
          <w:p w14:paraId="696C59A9" w14:textId="77777777" w:rsidR="00D64E96" w:rsidRPr="005E3B43" w:rsidRDefault="00D64E96" w:rsidP="00763BCF">
            <w:pPr>
              <w:pStyle w:val="ENoteTableText"/>
              <w:tabs>
                <w:tab w:val="center" w:leader="dot" w:pos="2268"/>
              </w:tabs>
            </w:pPr>
            <w:r w:rsidRPr="005E3B43">
              <w:t>r 5Q</w:t>
            </w:r>
            <w:r w:rsidRPr="005E3B43">
              <w:tab/>
            </w:r>
          </w:p>
        </w:tc>
        <w:tc>
          <w:tcPr>
            <w:tcW w:w="3505" w:type="pct"/>
          </w:tcPr>
          <w:p w14:paraId="7CB8A107" w14:textId="77777777" w:rsidR="00D64E96" w:rsidRPr="005E3B43" w:rsidRDefault="00D64E96" w:rsidP="00763BCF">
            <w:pPr>
              <w:pStyle w:val="ENoteTableText"/>
            </w:pPr>
            <w:r w:rsidRPr="005E3B43">
              <w:t>ad No</w:t>
            </w:r>
            <w:r w:rsidR="00A34E92" w:rsidRPr="005E3B43">
              <w:t> </w:t>
            </w:r>
            <w:r w:rsidRPr="005E3B43">
              <w:t>400</w:t>
            </w:r>
            <w:r w:rsidR="00375B48" w:rsidRPr="005E3B43">
              <w:t>, 1997</w:t>
            </w:r>
          </w:p>
        </w:tc>
      </w:tr>
      <w:tr w:rsidR="00D64E96" w:rsidRPr="005E3B43" w14:paraId="475CF43B" w14:textId="77777777" w:rsidTr="00034EA9">
        <w:trPr>
          <w:cantSplit/>
        </w:trPr>
        <w:tc>
          <w:tcPr>
            <w:tcW w:w="1495" w:type="pct"/>
          </w:tcPr>
          <w:p w14:paraId="5CA91B1F" w14:textId="77777777" w:rsidR="00D64E96" w:rsidRPr="005E3B43" w:rsidRDefault="00D64E96" w:rsidP="00763BCF">
            <w:pPr>
              <w:pStyle w:val="ENoteTableText"/>
            </w:pPr>
          </w:p>
        </w:tc>
        <w:tc>
          <w:tcPr>
            <w:tcW w:w="3505" w:type="pct"/>
          </w:tcPr>
          <w:p w14:paraId="5E8249FA" w14:textId="77777777" w:rsidR="00D64E96" w:rsidRPr="005E3B43" w:rsidRDefault="00D64E96" w:rsidP="00763BCF">
            <w:pPr>
              <w:pStyle w:val="ENoteTableText"/>
            </w:pPr>
            <w:r w:rsidRPr="005E3B43">
              <w:t>am No</w:t>
            </w:r>
            <w:r w:rsidR="00A34E92" w:rsidRPr="005E3B43">
              <w:t> </w:t>
            </w:r>
            <w:r w:rsidRPr="005E3B43">
              <w:t>369</w:t>
            </w:r>
            <w:r w:rsidR="00375B48" w:rsidRPr="005E3B43">
              <w:t>, 1998</w:t>
            </w:r>
            <w:r w:rsidRPr="005E3B43">
              <w:t>; No</w:t>
            </w:r>
            <w:r w:rsidR="00A34E92" w:rsidRPr="005E3B43">
              <w:t> </w:t>
            </w:r>
            <w:r w:rsidRPr="005E3B43">
              <w:t>48</w:t>
            </w:r>
            <w:r w:rsidR="00375B48" w:rsidRPr="005E3B43">
              <w:t>, 2000</w:t>
            </w:r>
            <w:r w:rsidRPr="005E3B43">
              <w:t>; No</w:t>
            </w:r>
            <w:r w:rsidR="00A34E92" w:rsidRPr="005E3B43">
              <w:t> </w:t>
            </w:r>
            <w:r w:rsidRPr="005E3B43">
              <w:t>159</w:t>
            </w:r>
            <w:r w:rsidR="00375B48" w:rsidRPr="005E3B43">
              <w:t>, 2001</w:t>
            </w:r>
            <w:r w:rsidRPr="005E3B43">
              <w:t>; No</w:t>
            </w:r>
            <w:r w:rsidR="00A34E92" w:rsidRPr="005E3B43">
              <w:t> </w:t>
            </w:r>
            <w:r w:rsidRPr="005E3B43">
              <w:t>301</w:t>
            </w:r>
            <w:r w:rsidR="00375B48" w:rsidRPr="005E3B43">
              <w:t>, 2003</w:t>
            </w:r>
            <w:r w:rsidRPr="005E3B43">
              <w:t>; No</w:t>
            </w:r>
            <w:r w:rsidR="00A34E92" w:rsidRPr="005E3B43">
              <w:t> </w:t>
            </w:r>
            <w:r w:rsidRPr="005E3B43">
              <w:t>281</w:t>
            </w:r>
            <w:r w:rsidR="00375B48" w:rsidRPr="005E3B43">
              <w:t>, 2011</w:t>
            </w:r>
            <w:r w:rsidR="00B74531" w:rsidRPr="005E3B43">
              <w:t>; F2016L00109</w:t>
            </w:r>
            <w:r w:rsidR="00DD2DD6" w:rsidRPr="005E3B43">
              <w:t>; F2018L00311</w:t>
            </w:r>
            <w:r w:rsidR="00267E56" w:rsidRPr="005E3B43">
              <w:t>; F2019L01465</w:t>
            </w:r>
          </w:p>
        </w:tc>
      </w:tr>
      <w:tr w:rsidR="0061118C" w:rsidRPr="005E3B43" w14:paraId="09D442A2" w14:textId="77777777" w:rsidTr="00034EA9">
        <w:trPr>
          <w:cantSplit/>
        </w:trPr>
        <w:tc>
          <w:tcPr>
            <w:tcW w:w="1495" w:type="pct"/>
          </w:tcPr>
          <w:p w14:paraId="5412514D" w14:textId="77777777" w:rsidR="0061118C" w:rsidRPr="005E3B43" w:rsidRDefault="0061118C" w:rsidP="00763BCF">
            <w:pPr>
              <w:pStyle w:val="ENoteTableText"/>
            </w:pPr>
          </w:p>
        </w:tc>
        <w:tc>
          <w:tcPr>
            <w:tcW w:w="3505" w:type="pct"/>
          </w:tcPr>
          <w:p w14:paraId="5DC5D6F4" w14:textId="77777777" w:rsidR="0061118C" w:rsidRPr="005E3B43" w:rsidRDefault="0061118C" w:rsidP="00763BCF">
            <w:pPr>
              <w:pStyle w:val="ENoteTableText"/>
              <w:rPr>
                <w:u w:val="single"/>
              </w:rPr>
            </w:pPr>
            <w:r w:rsidRPr="005E3B43">
              <w:t>rep F2018L00311</w:t>
            </w:r>
          </w:p>
        </w:tc>
      </w:tr>
      <w:tr w:rsidR="00D64E96" w:rsidRPr="005E3B43" w14:paraId="675C74C4" w14:textId="77777777" w:rsidTr="00034EA9">
        <w:trPr>
          <w:cantSplit/>
        </w:trPr>
        <w:tc>
          <w:tcPr>
            <w:tcW w:w="1495" w:type="pct"/>
          </w:tcPr>
          <w:p w14:paraId="2F0CFB39" w14:textId="77777777" w:rsidR="00D64E96" w:rsidRPr="005E3B43" w:rsidRDefault="00BE7FAC" w:rsidP="00763BCF">
            <w:pPr>
              <w:pStyle w:val="ENoteTableText"/>
            </w:pPr>
            <w:r w:rsidRPr="005E3B43">
              <w:rPr>
                <w:b/>
              </w:rPr>
              <w:t>Division 3</w:t>
            </w:r>
          </w:p>
        </w:tc>
        <w:tc>
          <w:tcPr>
            <w:tcW w:w="3505" w:type="pct"/>
          </w:tcPr>
          <w:p w14:paraId="200E804B" w14:textId="77777777" w:rsidR="00D64E96" w:rsidRPr="005E3B43" w:rsidRDefault="00D64E96" w:rsidP="00763BCF">
            <w:pPr>
              <w:pStyle w:val="ENoteTableText"/>
            </w:pPr>
          </w:p>
        </w:tc>
      </w:tr>
      <w:tr w:rsidR="00D64E96" w:rsidRPr="005E3B43" w14:paraId="599FE229" w14:textId="77777777" w:rsidTr="00034EA9">
        <w:trPr>
          <w:cantSplit/>
        </w:trPr>
        <w:tc>
          <w:tcPr>
            <w:tcW w:w="1495" w:type="pct"/>
          </w:tcPr>
          <w:p w14:paraId="60F873E5" w14:textId="77777777" w:rsidR="00D64E96" w:rsidRPr="005E3B43" w:rsidRDefault="00BE7FAC" w:rsidP="00763BCF">
            <w:pPr>
              <w:pStyle w:val="ENoteTableText"/>
              <w:tabs>
                <w:tab w:val="center" w:leader="dot" w:pos="2268"/>
              </w:tabs>
            </w:pPr>
            <w:r w:rsidRPr="005E3B43">
              <w:t>Division 3</w:t>
            </w:r>
            <w:r w:rsidR="00FD7E9E" w:rsidRPr="005E3B43">
              <w:t xml:space="preserve"> heading</w:t>
            </w:r>
            <w:r w:rsidR="00D64E96" w:rsidRPr="005E3B43">
              <w:tab/>
            </w:r>
          </w:p>
        </w:tc>
        <w:tc>
          <w:tcPr>
            <w:tcW w:w="3505" w:type="pct"/>
          </w:tcPr>
          <w:p w14:paraId="3682F939" w14:textId="77777777" w:rsidR="00D64E96" w:rsidRPr="005E3B43" w:rsidRDefault="00D64E96" w:rsidP="00763BCF">
            <w:pPr>
              <w:pStyle w:val="ENoteTableText"/>
            </w:pPr>
            <w:r w:rsidRPr="005E3B43">
              <w:t>ad. 1997 No.</w:t>
            </w:r>
            <w:r w:rsidR="004E6D00" w:rsidRPr="005E3B43">
              <w:t> </w:t>
            </w:r>
            <w:r w:rsidRPr="005E3B43">
              <w:t>400</w:t>
            </w:r>
          </w:p>
        </w:tc>
      </w:tr>
      <w:tr w:rsidR="00D64E96" w:rsidRPr="005E3B43" w14:paraId="51EDE2A7" w14:textId="77777777" w:rsidTr="00034EA9">
        <w:trPr>
          <w:cantSplit/>
        </w:trPr>
        <w:tc>
          <w:tcPr>
            <w:tcW w:w="1495" w:type="pct"/>
          </w:tcPr>
          <w:p w14:paraId="65B432A8" w14:textId="77777777" w:rsidR="00D64E96" w:rsidRPr="005E3B43" w:rsidRDefault="00D64E96" w:rsidP="00763BCF">
            <w:pPr>
              <w:pStyle w:val="ENoteTableText"/>
            </w:pPr>
          </w:p>
        </w:tc>
        <w:tc>
          <w:tcPr>
            <w:tcW w:w="3505" w:type="pct"/>
          </w:tcPr>
          <w:p w14:paraId="4D084939" w14:textId="77777777" w:rsidR="00D64E96" w:rsidRPr="005E3B43" w:rsidRDefault="00D64E96" w:rsidP="00763BCF">
            <w:pPr>
              <w:pStyle w:val="ENoteTableText"/>
            </w:pPr>
            <w:r w:rsidRPr="005E3B43">
              <w:t>rs. 2003 No.</w:t>
            </w:r>
            <w:r w:rsidR="004E6D00" w:rsidRPr="005E3B43">
              <w:t> </w:t>
            </w:r>
            <w:r w:rsidRPr="005E3B43">
              <w:t>301</w:t>
            </w:r>
          </w:p>
        </w:tc>
      </w:tr>
      <w:tr w:rsidR="00D64E96" w:rsidRPr="005E3B43" w14:paraId="2D3F58AE" w14:textId="77777777" w:rsidTr="00034EA9">
        <w:trPr>
          <w:cantSplit/>
        </w:trPr>
        <w:tc>
          <w:tcPr>
            <w:tcW w:w="1495" w:type="pct"/>
          </w:tcPr>
          <w:p w14:paraId="2E1CFD6E" w14:textId="77777777" w:rsidR="00D64E96" w:rsidRPr="005E3B43" w:rsidRDefault="00BE7FAC" w:rsidP="00763BCF">
            <w:pPr>
              <w:pStyle w:val="ENoteTableText"/>
              <w:tabs>
                <w:tab w:val="center" w:leader="dot" w:pos="2268"/>
              </w:tabs>
            </w:pPr>
            <w:r w:rsidRPr="005E3B43">
              <w:t>Division 3</w:t>
            </w:r>
            <w:r w:rsidR="00D64E96" w:rsidRPr="005E3B43">
              <w:tab/>
            </w:r>
          </w:p>
        </w:tc>
        <w:tc>
          <w:tcPr>
            <w:tcW w:w="3505" w:type="pct"/>
          </w:tcPr>
          <w:p w14:paraId="293339DB" w14:textId="77777777" w:rsidR="00D64E96" w:rsidRPr="005E3B43" w:rsidRDefault="00D64E96" w:rsidP="00763BCF">
            <w:pPr>
              <w:pStyle w:val="ENoteTableText"/>
            </w:pPr>
            <w:r w:rsidRPr="005E3B43">
              <w:t>rs. 2003 No.</w:t>
            </w:r>
            <w:r w:rsidR="004E6D00" w:rsidRPr="005E3B43">
              <w:t> </w:t>
            </w:r>
            <w:r w:rsidRPr="005E3B43">
              <w:t>301</w:t>
            </w:r>
          </w:p>
        </w:tc>
      </w:tr>
      <w:tr w:rsidR="00D64E96" w:rsidRPr="005E3B43" w14:paraId="241788DC" w14:textId="77777777" w:rsidTr="00034EA9">
        <w:trPr>
          <w:cantSplit/>
        </w:trPr>
        <w:tc>
          <w:tcPr>
            <w:tcW w:w="1495" w:type="pct"/>
          </w:tcPr>
          <w:p w14:paraId="7239E80B" w14:textId="77777777" w:rsidR="00D64E96" w:rsidRPr="005E3B43" w:rsidRDefault="00D64E96" w:rsidP="00763BCF">
            <w:pPr>
              <w:pStyle w:val="ENoteTableText"/>
              <w:tabs>
                <w:tab w:val="center" w:leader="dot" w:pos="2268"/>
              </w:tabs>
            </w:pPr>
            <w:r w:rsidRPr="005E3B43">
              <w:t>r. 5R</w:t>
            </w:r>
            <w:r w:rsidRPr="005E3B43">
              <w:tab/>
            </w:r>
          </w:p>
        </w:tc>
        <w:tc>
          <w:tcPr>
            <w:tcW w:w="3505" w:type="pct"/>
          </w:tcPr>
          <w:p w14:paraId="3287F039" w14:textId="77777777" w:rsidR="00D64E96" w:rsidRPr="005E3B43" w:rsidRDefault="00D64E96" w:rsidP="00763BCF">
            <w:pPr>
              <w:pStyle w:val="ENoteTableText"/>
            </w:pPr>
            <w:r w:rsidRPr="005E3B43">
              <w:t>ad. 1997 No.</w:t>
            </w:r>
            <w:r w:rsidR="004E6D00" w:rsidRPr="005E3B43">
              <w:t> </w:t>
            </w:r>
            <w:r w:rsidRPr="005E3B43">
              <w:t>400</w:t>
            </w:r>
          </w:p>
        </w:tc>
      </w:tr>
      <w:tr w:rsidR="00D64E96" w:rsidRPr="005E3B43" w14:paraId="7393A2B3" w14:textId="77777777" w:rsidTr="00034EA9">
        <w:trPr>
          <w:cantSplit/>
        </w:trPr>
        <w:tc>
          <w:tcPr>
            <w:tcW w:w="1495" w:type="pct"/>
          </w:tcPr>
          <w:p w14:paraId="35EA24B5" w14:textId="77777777" w:rsidR="00D64E96" w:rsidRPr="005E3B43" w:rsidRDefault="00D64E96" w:rsidP="00763BCF">
            <w:pPr>
              <w:pStyle w:val="ENoteTableText"/>
            </w:pPr>
          </w:p>
        </w:tc>
        <w:tc>
          <w:tcPr>
            <w:tcW w:w="3505" w:type="pct"/>
          </w:tcPr>
          <w:p w14:paraId="728F03D9" w14:textId="77777777" w:rsidR="00D64E96" w:rsidRPr="005E3B43" w:rsidRDefault="00D64E96" w:rsidP="00763BCF">
            <w:pPr>
              <w:pStyle w:val="ENoteTableText"/>
            </w:pPr>
            <w:r w:rsidRPr="005E3B43">
              <w:t>rep. 2003 No.</w:t>
            </w:r>
            <w:r w:rsidR="004E6D00" w:rsidRPr="005E3B43">
              <w:t> </w:t>
            </w:r>
            <w:r w:rsidRPr="005E3B43">
              <w:t>301</w:t>
            </w:r>
          </w:p>
        </w:tc>
      </w:tr>
      <w:tr w:rsidR="00D64E96" w:rsidRPr="005E3B43" w14:paraId="16EC11B3" w14:textId="77777777" w:rsidTr="00034EA9">
        <w:trPr>
          <w:cantSplit/>
        </w:trPr>
        <w:tc>
          <w:tcPr>
            <w:tcW w:w="1495" w:type="pct"/>
          </w:tcPr>
          <w:p w14:paraId="01D5AB6F" w14:textId="77777777" w:rsidR="00D64E96" w:rsidRPr="005E3B43" w:rsidRDefault="00D64E96" w:rsidP="00763BCF">
            <w:pPr>
              <w:pStyle w:val="ENoteTableText"/>
              <w:tabs>
                <w:tab w:val="center" w:leader="dot" w:pos="2268"/>
              </w:tabs>
            </w:pPr>
            <w:r w:rsidRPr="005E3B43">
              <w:t>r 6</w:t>
            </w:r>
            <w:r w:rsidRPr="005E3B43">
              <w:tab/>
            </w:r>
          </w:p>
        </w:tc>
        <w:tc>
          <w:tcPr>
            <w:tcW w:w="3505" w:type="pct"/>
          </w:tcPr>
          <w:p w14:paraId="7D1E8548" w14:textId="77777777" w:rsidR="00D64E96" w:rsidRPr="005E3B43" w:rsidRDefault="00D64E96" w:rsidP="00763BCF">
            <w:pPr>
              <w:pStyle w:val="ENoteTableText"/>
            </w:pPr>
            <w:r w:rsidRPr="005E3B43">
              <w:t>am 1992 No.</w:t>
            </w:r>
            <w:r w:rsidR="004E6D00" w:rsidRPr="005E3B43">
              <w:t> </w:t>
            </w:r>
            <w:r w:rsidRPr="005E3B43">
              <w:t>19; 1995 No.</w:t>
            </w:r>
            <w:r w:rsidR="004E6D00" w:rsidRPr="005E3B43">
              <w:t> </w:t>
            </w:r>
            <w:r w:rsidRPr="005E3B43">
              <w:t>253; 1996 No.</w:t>
            </w:r>
            <w:r w:rsidR="004E6D00" w:rsidRPr="005E3B43">
              <w:t> </w:t>
            </w:r>
            <w:r w:rsidRPr="005E3B43">
              <w:t>9; 1998 No.</w:t>
            </w:r>
            <w:r w:rsidR="004E6D00" w:rsidRPr="005E3B43">
              <w:t> </w:t>
            </w:r>
            <w:r w:rsidRPr="005E3B43">
              <w:t>227; 2000 No.</w:t>
            </w:r>
            <w:r w:rsidR="004E6D00" w:rsidRPr="005E3B43">
              <w:t> </w:t>
            </w:r>
            <w:r w:rsidRPr="005E3B43">
              <w:t>48; 2001 No.</w:t>
            </w:r>
            <w:r w:rsidR="004E6D00" w:rsidRPr="005E3B43">
              <w:t> </w:t>
            </w:r>
            <w:r w:rsidRPr="005E3B43">
              <w:t>159; 2002 Nos. 9 and 234</w:t>
            </w:r>
          </w:p>
        </w:tc>
      </w:tr>
      <w:tr w:rsidR="00D64E96" w:rsidRPr="005E3B43" w14:paraId="1E40A091" w14:textId="77777777" w:rsidTr="00034EA9">
        <w:trPr>
          <w:cantSplit/>
        </w:trPr>
        <w:tc>
          <w:tcPr>
            <w:tcW w:w="1495" w:type="pct"/>
          </w:tcPr>
          <w:p w14:paraId="796FB1DA" w14:textId="77777777" w:rsidR="00D64E96" w:rsidRPr="005E3B43" w:rsidRDefault="00D64E96" w:rsidP="00763BCF">
            <w:pPr>
              <w:pStyle w:val="ENoteTableText"/>
            </w:pPr>
          </w:p>
        </w:tc>
        <w:tc>
          <w:tcPr>
            <w:tcW w:w="3505" w:type="pct"/>
          </w:tcPr>
          <w:p w14:paraId="4D06F061" w14:textId="77777777" w:rsidR="00D64E96" w:rsidRPr="005E3B43" w:rsidRDefault="00D64E96" w:rsidP="00763BCF">
            <w:pPr>
              <w:pStyle w:val="ENoteTableText"/>
            </w:pPr>
            <w:r w:rsidRPr="005E3B43">
              <w:t>rs. 2003 No.</w:t>
            </w:r>
            <w:r w:rsidR="004E6D00" w:rsidRPr="005E3B43">
              <w:t> </w:t>
            </w:r>
            <w:r w:rsidRPr="005E3B43">
              <w:t>301</w:t>
            </w:r>
          </w:p>
        </w:tc>
      </w:tr>
      <w:tr w:rsidR="005B5592" w:rsidRPr="005E3B43" w14:paraId="5B7C1F7D" w14:textId="77777777" w:rsidTr="00034EA9">
        <w:trPr>
          <w:cantSplit/>
        </w:trPr>
        <w:tc>
          <w:tcPr>
            <w:tcW w:w="1495" w:type="pct"/>
          </w:tcPr>
          <w:p w14:paraId="305CA0A9" w14:textId="77777777" w:rsidR="005B5592" w:rsidRPr="005E3B43" w:rsidRDefault="005B5592" w:rsidP="00763BCF">
            <w:pPr>
              <w:pStyle w:val="ENoteTableText"/>
            </w:pPr>
          </w:p>
        </w:tc>
        <w:tc>
          <w:tcPr>
            <w:tcW w:w="3505" w:type="pct"/>
          </w:tcPr>
          <w:p w14:paraId="6C8C3FE5" w14:textId="77777777" w:rsidR="005B5592" w:rsidRPr="005E3B43" w:rsidRDefault="005B5592" w:rsidP="00763BCF">
            <w:pPr>
              <w:pStyle w:val="ENoteTableText"/>
            </w:pPr>
            <w:r w:rsidRPr="005E3B43">
              <w:t>rep F2018L00311</w:t>
            </w:r>
          </w:p>
        </w:tc>
      </w:tr>
      <w:tr w:rsidR="00D64E96" w:rsidRPr="005E3B43" w14:paraId="7B9CC0FF" w14:textId="77777777" w:rsidTr="00034EA9">
        <w:trPr>
          <w:cantSplit/>
        </w:trPr>
        <w:tc>
          <w:tcPr>
            <w:tcW w:w="1495" w:type="pct"/>
          </w:tcPr>
          <w:p w14:paraId="43D0DC72" w14:textId="77777777" w:rsidR="00D64E96" w:rsidRPr="005E3B43" w:rsidRDefault="00D64E96" w:rsidP="00763BCF">
            <w:pPr>
              <w:pStyle w:val="ENoteTableText"/>
              <w:tabs>
                <w:tab w:val="center" w:leader="dot" w:pos="2268"/>
              </w:tabs>
            </w:pPr>
            <w:r w:rsidRPr="005E3B43">
              <w:t>r</w:t>
            </w:r>
            <w:r w:rsidR="00A177C9" w:rsidRPr="005E3B43">
              <w:t xml:space="preserve"> </w:t>
            </w:r>
            <w:r w:rsidRPr="005E3B43">
              <w:t>6AA</w:t>
            </w:r>
            <w:r w:rsidRPr="005E3B43">
              <w:tab/>
            </w:r>
          </w:p>
        </w:tc>
        <w:tc>
          <w:tcPr>
            <w:tcW w:w="3505" w:type="pct"/>
          </w:tcPr>
          <w:p w14:paraId="3EA5D9AE" w14:textId="77777777" w:rsidR="00D64E96" w:rsidRPr="005E3B43" w:rsidRDefault="00D64E96" w:rsidP="00763BCF">
            <w:pPr>
              <w:pStyle w:val="ENoteTableText"/>
            </w:pPr>
            <w:r w:rsidRPr="005E3B43">
              <w:t>ad. 2000 No.</w:t>
            </w:r>
            <w:r w:rsidR="004E6D00" w:rsidRPr="005E3B43">
              <w:t> </w:t>
            </w:r>
            <w:r w:rsidRPr="005E3B43">
              <w:t>48</w:t>
            </w:r>
          </w:p>
        </w:tc>
      </w:tr>
      <w:tr w:rsidR="00D64E96" w:rsidRPr="005E3B43" w14:paraId="1661CB05" w14:textId="77777777" w:rsidTr="00034EA9">
        <w:trPr>
          <w:cantSplit/>
        </w:trPr>
        <w:tc>
          <w:tcPr>
            <w:tcW w:w="1495" w:type="pct"/>
          </w:tcPr>
          <w:p w14:paraId="47A50034" w14:textId="77777777" w:rsidR="00D64E96" w:rsidRPr="005E3B43" w:rsidRDefault="00D64E96" w:rsidP="00763BCF">
            <w:pPr>
              <w:pStyle w:val="ENoteTableText"/>
            </w:pPr>
          </w:p>
        </w:tc>
        <w:tc>
          <w:tcPr>
            <w:tcW w:w="3505" w:type="pct"/>
          </w:tcPr>
          <w:p w14:paraId="2005B79D" w14:textId="77777777" w:rsidR="00D64E96" w:rsidRPr="005E3B43" w:rsidRDefault="00D64E96" w:rsidP="00763BCF">
            <w:pPr>
              <w:pStyle w:val="ENoteTableText"/>
            </w:pPr>
            <w:r w:rsidRPr="005E3B43">
              <w:t>rep. 2003 No.</w:t>
            </w:r>
            <w:r w:rsidR="004E6D00" w:rsidRPr="005E3B43">
              <w:t> </w:t>
            </w:r>
            <w:r w:rsidRPr="005E3B43">
              <w:t>301</w:t>
            </w:r>
          </w:p>
        </w:tc>
      </w:tr>
      <w:tr w:rsidR="00A177C9" w:rsidRPr="005E3B43" w14:paraId="0D6B095B" w14:textId="77777777" w:rsidTr="00034EA9">
        <w:trPr>
          <w:cantSplit/>
        </w:trPr>
        <w:tc>
          <w:tcPr>
            <w:tcW w:w="1495" w:type="pct"/>
          </w:tcPr>
          <w:p w14:paraId="40B62F25" w14:textId="77777777" w:rsidR="00A177C9" w:rsidRPr="005E3B43" w:rsidRDefault="00A177C9" w:rsidP="00763BCF">
            <w:pPr>
              <w:pStyle w:val="ENoteTableText"/>
            </w:pPr>
          </w:p>
        </w:tc>
        <w:tc>
          <w:tcPr>
            <w:tcW w:w="3505" w:type="pct"/>
          </w:tcPr>
          <w:p w14:paraId="283B7E5A" w14:textId="77777777" w:rsidR="00A177C9" w:rsidRPr="005E3B43" w:rsidRDefault="00A177C9" w:rsidP="00763BCF">
            <w:pPr>
              <w:pStyle w:val="ENoteTableText"/>
            </w:pPr>
            <w:r w:rsidRPr="005E3B43">
              <w:t>ad. 2009 No.</w:t>
            </w:r>
            <w:r w:rsidR="004E6D00" w:rsidRPr="005E3B43">
              <w:t> </w:t>
            </w:r>
            <w:r w:rsidRPr="005E3B43">
              <w:t>374</w:t>
            </w:r>
          </w:p>
        </w:tc>
      </w:tr>
      <w:tr w:rsidR="00A177C9" w:rsidRPr="005E3B43" w14:paraId="6C2A9E5E" w14:textId="77777777" w:rsidTr="00034EA9">
        <w:trPr>
          <w:cantSplit/>
        </w:trPr>
        <w:tc>
          <w:tcPr>
            <w:tcW w:w="1495" w:type="pct"/>
          </w:tcPr>
          <w:p w14:paraId="5E52A68C" w14:textId="77777777" w:rsidR="00A177C9" w:rsidRPr="005E3B43" w:rsidRDefault="00A177C9" w:rsidP="00763BCF">
            <w:pPr>
              <w:pStyle w:val="ENoteTableText"/>
            </w:pPr>
          </w:p>
        </w:tc>
        <w:tc>
          <w:tcPr>
            <w:tcW w:w="3505" w:type="pct"/>
          </w:tcPr>
          <w:p w14:paraId="23CC356F" w14:textId="77777777" w:rsidR="00A177C9" w:rsidRPr="005E3B43" w:rsidRDefault="00A177C9" w:rsidP="00763BCF">
            <w:pPr>
              <w:pStyle w:val="ENoteTableText"/>
            </w:pPr>
            <w:r w:rsidRPr="005E3B43">
              <w:t>am F2016L01614</w:t>
            </w:r>
            <w:r w:rsidR="0042454F" w:rsidRPr="005E3B43">
              <w:t>; F2018L00311</w:t>
            </w:r>
          </w:p>
        </w:tc>
      </w:tr>
      <w:tr w:rsidR="00A177C9" w:rsidRPr="005E3B43" w14:paraId="6CE7D9F4" w14:textId="77777777" w:rsidTr="00034EA9">
        <w:trPr>
          <w:cantSplit/>
        </w:trPr>
        <w:tc>
          <w:tcPr>
            <w:tcW w:w="1495" w:type="pct"/>
          </w:tcPr>
          <w:p w14:paraId="3A0A5B15" w14:textId="77777777" w:rsidR="00A177C9" w:rsidRPr="005E3B43" w:rsidRDefault="00A177C9" w:rsidP="00763BCF">
            <w:pPr>
              <w:pStyle w:val="ENoteTableText"/>
              <w:tabs>
                <w:tab w:val="center" w:leader="dot" w:pos="2268"/>
              </w:tabs>
            </w:pPr>
            <w:r w:rsidRPr="005E3B43">
              <w:t>r 6AB</w:t>
            </w:r>
            <w:r w:rsidRPr="005E3B43">
              <w:tab/>
            </w:r>
          </w:p>
        </w:tc>
        <w:tc>
          <w:tcPr>
            <w:tcW w:w="3505" w:type="pct"/>
          </w:tcPr>
          <w:p w14:paraId="3A5513DD" w14:textId="77777777" w:rsidR="00A177C9" w:rsidRPr="005E3B43" w:rsidRDefault="00A177C9" w:rsidP="00763BCF">
            <w:pPr>
              <w:pStyle w:val="ENoteTableText"/>
            </w:pPr>
            <w:r w:rsidRPr="005E3B43">
              <w:t>ad. 2000 No.</w:t>
            </w:r>
            <w:r w:rsidR="004E6D00" w:rsidRPr="005E3B43">
              <w:t> </w:t>
            </w:r>
            <w:r w:rsidRPr="005E3B43">
              <w:t>48</w:t>
            </w:r>
          </w:p>
        </w:tc>
      </w:tr>
      <w:tr w:rsidR="00A177C9" w:rsidRPr="005E3B43" w14:paraId="20D6D91B" w14:textId="77777777" w:rsidTr="00034EA9">
        <w:trPr>
          <w:cantSplit/>
        </w:trPr>
        <w:tc>
          <w:tcPr>
            <w:tcW w:w="1495" w:type="pct"/>
          </w:tcPr>
          <w:p w14:paraId="15A14939" w14:textId="77777777" w:rsidR="00A177C9" w:rsidRPr="005E3B43" w:rsidRDefault="00A177C9" w:rsidP="00763BCF">
            <w:pPr>
              <w:pStyle w:val="ENoteTableText"/>
            </w:pPr>
          </w:p>
        </w:tc>
        <w:tc>
          <w:tcPr>
            <w:tcW w:w="3505" w:type="pct"/>
          </w:tcPr>
          <w:p w14:paraId="6782D29E" w14:textId="77777777" w:rsidR="00A177C9" w:rsidRPr="005E3B43" w:rsidRDefault="00A177C9" w:rsidP="00763BCF">
            <w:pPr>
              <w:pStyle w:val="ENoteTableText"/>
            </w:pPr>
            <w:r w:rsidRPr="005E3B43">
              <w:t>rep. 2003 No.</w:t>
            </w:r>
            <w:r w:rsidR="004E6D00" w:rsidRPr="005E3B43">
              <w:t> </w:t>
            </w:r>
            <w:r w:rsidRPr="005E3B43">
              <w:t>301</w:t>
            </w:r>
          </w:p>
        </w:tc>
      </w:tr>
      <w:tr w:rsidR="00D64E96" w:rsidRPr="005E3B43" w14:paraId="796ADF3B" w14:textId="77777777" w:rsidTr="00034EA9">
        <w:trPr>
          <w:cantSplit/>
        </w:trPr>
        <w:tc>
          <w:tcPr>
            <w:tcW w:w="1495" w:type="pct"/>
          </w:tcPr>
          <w:p w14:paraId="6D53B540" w14:textId="77777777" w:rsidR="00D64E96" w:rsidRPr="005E3B43" w:rsidRDefault="00D64E96" w:rsidP="00763BCF">
            <w:pPr>
              <w:pStyle w:val="ENoteTableText"/>
              <w:tabs>
                <w:tab w:val="center" w:leader="dot" w:pos="2268"/>
              </w:tabs>
            </w:pPr>
            <w:r w:rsidRPr="005E3B43">
              <w:t>r 6A</w:t>
            </w:r>
            <w:r w:rsidRPr="005E3B43">
              <w:tab/>
            </w:r>
          </w:p>
        </w:tc>
        <w:tc>
          <w:tcPr>
            <w:tcW w:w="3505" w:type="pct"/>
          </w:tcPr>
          <w:p w14:paraId="3F5D4D4A" w14:textId="77777777" w:rsidR="00D64E96" w:rsidRPr="005E3B43" w:rsidRDefault="00D64E96" w:rsidP="00763BCF">
            <w:pPr>
              <w:pStyle w:val="ENoteTableText"/>
            </w:pPr>
            <w:r w:rsidRPr="005E3B43">
              <w:t>ad No</w:t>
            </w:r>
            <w:r w:rsidR="00A34E92" w:rsidRPr="005E3B43">
              <w:t> </w:t>
            </w:r>
            <w:r w:rsidRPr="005E3B43">
              <w:t>208</w:t>
            </w:r>
            <w:r w:rsidR="00D572B0" w:rsidRPr="005E3B43">
              <w:t>, 1995</w:t>
            </w:r>
          </w:p>
        </w:tc>
      </w:tr>
      <w:tr w:rsidR="00D64E96" w:rsidRPr="005E3B43" w14:paraId="3DA13791" w14:textId="77777777" w:rsidTr="00034EA9">
        <w:trPr>
          <w:cantSplit/>
        </w:trPr>
        <w:tc>
          <w:tcPr>
            <w:tcW w:w="1495" w:type="pct"/>
          </w:tcPr>
          <w:p w14:paraId="1402C1FD" w14:textId="77777777" w:rsidR="00D64E96" w:rsidRPr="005E3B43" w:rsidRDefault="00D64E96" w:rsidP="00763BCF">
            <w:pPr>
              <w:pStyle w:val="ENoteTableText"/>
            </w:pPr>
          </w:p>
        </w:tc>
        <w:tc>
          <w:tcPr>
            <w:tcW w:w="3505" w:type="pct"/>
          </w:tcPr>
          <w:p w14:paraId="48D8BB96" w14:textId="77777777" w:rsidR="00D64E96" w:rsidRPr="005E3B43" w:rsidRDefault="00D64E96" w:rsidP="00763BCF">
            <w:pPr>
              <w:pStyle w:val="ENoteTableText"/>
            </w:pPr>
            <w:r w:rsidRPr="005E3B43">
              <w:t>rs No</w:t>
            </w:r>
            <w:r w:rsidR="00A34E92" w:rsidRPr="005E3B43">
              <w:t> </w:t>
            </w:r>
            <w:r w:rsidRPr="005E3B43">
              <w:t>301</w:t>
            </w:r>
            <w:r w:rsidR="00D572B0" w:rsidRPr="005E3B43">
              <w:t>, 2003</w:t>
            </w:r>
            <w:r w:rsidRPr="005E3B43">
              <w:t>; No</w:t>
            </w:r>
            <w:r w:rsidR="00A34E92" w:rsidRPr="005E3B43">
              <w:t> </w:t>
            </w:r>
            <w:r w:rsidRPr="005E3B43">
              <w:t>192</w:t>
            </w:r>
            <w:r w:rsidR="00D572B0" w:rsidRPr="005E3B43">
              <w:t>, 2005</w:t>
            </w:r>
          </w:p>
        </w:tc>
      </w:tr>
      <w:tr w:rsidR="00D572B0" w:rsidRPr="005E3B43" w14:paraId="7C2FC46C" w14:textId="77777777" w:rsidTr="00034EA9">
        <w:trPr>
          <w:cantSplit/>
        </w:trPr>
        <w:tc>
          <w:tcPr>
            <w:tcW w:w="1495" w:type="pct"/>
          </w:tcPr>
          <w:p w14:paraId="6CDD99DA" w14:textId="77777777" w:rsidR="00D572B0" w:rsidRPr="005E3B43" w:rsidRDefault="00D572B0" w:rsidP="00763BCF">
            <w:pPr>
              <w:pStyle w:val="ENoteTableText"/>
            </w:pPr>
          </w:p>
        </w:tc>
        <w:tc>
          <w:tcPr>
            <w:tcW w:w="3505" w:type="pct"/>
          </w:tcPr>
          <w:p w14:paraId="0C643AC8" w14:textId="77777777" w:rsidR="00D572B0" w:rsidRPr="005E3B43" w:rsidRDefault="00D572B0" w:rsidP="00763BCF">
            <w:pPr>
              <w:pStyle w:val="ENoteTableText"/>
            </w:pPr>
            <w:r w:rsidRPr="005E3B43">
              <w:t>rep F2018L00311</w:t>
            </w:r>
          </w:p>
        </w:tc>
      </w:tr>
      <w:tr w:rsidR="00D64E96" w:rsidRPr="005E3B43" w14:paraId="72BC9309" w14:textId="77777777" w:rsidTr="00034EA9">
        <w:trPr>
          <w:cantSplit/>
        </w:trPr>
        <w:tc>
          <w:tcPr>
            <w:tcW w:w="1495" w:type="pct"/>
          </w:tcPr>
          <w:p w14:paraId="4F8F6529" w14:textId="77777777" w:rsidR="00D64E96" w:rsidRPr="005E3B43" w:rsidRDefault="00D64E96" w:rsidP="00763BCF">
            <w:pPr>
              <w:pStyle w:val="ENoteTableText"/>
              <w:tabs>
                <w:tab w:val="center" w:leader="dot" w:pos="2268"/>
              </w:tabs>
            </w:pPr>
            <w:r w:rsidRPr="005E3B43">
              <w:t>r 6B</w:t>
            </w:r>
            <w:r w:rsidRPr="005E3B43">
              <w:tab/>
            </w:r>
          </w:p>
        </w:tc>
        <w:tc>
          <w:tcPr>
            <w:tcW w:w="3505" w:type="pct"/>
          </w:tcPr>
          <w:p w14:paraId="4B28AE89" w14:textId="77777777" w:rsidR="00D64E96" w:rsidRPr="005E3B43" w:rsidRDefault="00D64E96" w:rsidP="00763BCF">
            <w:pPr>
              <w:pStyle w:val="ENoteTableText"/>
            </w:pPr>
            <w:r w:rsidRPr="005E3B43">
              <w:t>ad 2003 No</w:t>
            </w:r>
            <w:r w:rsidR="009C6F46" w:rsidRPr="005E3B43">
              <w:t> </w:t>
            </w:r>
            <w:r w:rsidRPr="005E3B43">
              <w:t>301</w:t>
            </w:r>
          </w:p>
        </w:tc>
      </w:tr>
      <w:tr w:rsidR="00417B93" w:rsidRPr="005E3B43" w14:paraId="66B5D526" w14:textId="77777777" w:rsidTr="00034EA9">
        <w:trPr>
          <w:cantSplit/>
        </w:trPr>
        <w:tc>
          <w:tcPr>
            <w:tcW w:w="1495" w:type="pct"/>
          </w:tcPr>
          <w:p w14:paraId="4761B53C" w14:textId="77777777" w:rsidR="00417B93" w:rsidRPr="005E3B43" w:rsidRDefault="00417B93" w:rsidP="00763BCF">
            <w:pPr>
              <w:pStyle w:val="ENoteTableText"/>
              <w:tabs>
                <w:tab w:val="center" w:leader="dot" w:pos="2268"/>
              </w:tabs>
            </w:pPr>
          </w:p>
        </w:tc>
        <w:tc>
          <w:tcPr>
            <w:tcW w:w="3505" w:type="pct"/>
          </w:tcPr>
          <w:p w14:paraId="0A72871B" w14:textId="77777777" w:rsidR="00417B93" w:rsidRPr="005E3B43" w:rsidRDefault="00417B93" w:rsidP="00763BCF">
            <w:pPr>
              <w:pStyle w:val="ENoteTableText"/>
            </w:pPr>
            <w:r w:rsidRPr="005E3B43">
              <w:t>am F2018L01434</w:t>
            </w:r>
            <w:r w:rsidR="00262B2C" w:rsidRPr="005E3B43">
              <w:t xml:space="preserve">; </w:t>
            </w:r>
            <w:r w:rsidR="0057052D" w:rsidRPr="005E3B43">
              <w:t>F2021L01809</w:t>
            </w:r>
          </w:p>
        </w:tc>
      </w:tr>
      <w:tr w:rsidR="00D64E96" w:rsidRPr="005E3B43" w14:paraId="6227A46D" w14:textId="77777777" w:rsidTr="00034EA9">
        <w:trPr>
          <w:cantSplit/>
        </w:trPr>
        <w:tc>
          <w:tcPr>
            <w:tcW w:w="1495" w:type="pct"/>
          </w:tcPr>
          <w:p w14:paraId="68BEF170" w14:textId="77777777" w:rsidR="00D64E96" w:rsidRPr="005E3B43" w:rsidRDefault="00D64E96" w:rsidP="00763BCF">
            <w:pPr>
              <w:pStyle w:val="ENoteTableText"/>
              <w:tabs>
                <w:tab w:val="center" w:leader="dot" w:pos="2268"/>
              </w:tabs>
            </w:pPr>
            <w:r w:rsidRPr="005E3B43">
              <w:t>r 7</w:t>
            </w:r>
            <w:r w:rsidRPr="005E3B43">
              <w:tab/>
            </w:r>
          </w:p>
        </w:tc>
        <w:tc>
          <w:tcPr>
            <w:tcW w:w="3505" w:type="pct"/>
          </w:tcPr>
          <w:p w14:paraId="00413F57" w14:textId="77777777" w:rsidR="00D64E96" w:rsidRPr="005E3B43" w:rsidRDefault="00D64E96" w:rsidP="00763BCF">
            <w:pPr>
              <w:pStyle w:val="ENoteTableText"/>
            </w:pPr>
            <w:r w:rsidRPr="005E3B43">
              <w:t>rs No</w:t>
            </w:r>
            <w:r w:rsidR="00A34E92" w:rsidRPr="005E3B43">
              <w:t> </w:t>
            </w:r>
            <w:r w:rsidRPr="005E3B43">
              <w:t>301</w:t>
            </w:r>
            <w:r w:rsidR="00D162B7" w:rsidRPr="005E3B43">
              <w:t>, 2003</w:t>
            </w:r>
          </w:p>
        </w:tc>
      </w:tr>
      <w:tr w:rsidR="00B74531" w:rsidRPr="005E3B43" w14:paraId="64C4D6F0" w14:textId="77777777" w:rsidTr="00034EA9">
        <w:trPr>
          <w:cantSplit/>
        </w:trPr>
        <w:tc>
          <w:tcPr>
            <w:tcW w:w="1495" w:type="pct"/>
          </w:tcPr>
          <w:p w14:paraId="25DBCFCE" w14:textId="77777777" w:rsidR="00B74531" w:rsidRPr="005E3B43" w:rsidRDefault="00B74531" w:rsidP="00763BCF">
            <w:pPr>
              <w:pStyle w:val="ENoteTableText"/>
              <w:tabs>
                <w:tab w:val="center" w:leader="dot" w:pos="2268"/>
              </w:tabs>
            </w:pPr>
          </w:p>
        </w:tc>
        <w:tc>
          <w:tcPr>
            <w:tcW w:w="3505" w:type="pct"/>
          </w:tcPr>
          <w:p w14:paraId="7CBFCA67" w14:textId="77777777" w:rsidR="00B74531" w:rsidRPr="005E3B43" w:rsidRDefault="00B74531" w:rsidP="00763BCF">
            <w:pPr>
              <w:pStyle w:val="ENoteTableText"/>
            </w:pPr>
            <w:r w:rsidRPr="005E3B43">
              <w:t>am F2016L00109</w:t>
            </w:r>
          </w:p>
        </w:tc>
      </w:tr>
      <w:tr w:rsidR="00D162B7" w:rsidRPr="005E3B43" w14:paraId="128D9E09" w14:textId="77777777" w:rsidTr="00034EA9">
        <w:trPr>
          <w:cantSplit/>
        </w:trPr>
        <w:tc>
          <w:tcPr>
            <w:tcW w:w="1495" w:type="pct"/>
          </w:tcPr>
          <w:p w14:paraId="6E76A966" w14:textId="77777777" w:rsidR="00D162B7" w:rsidRPr="005E3B43" w:rsidRDefault="00D162B7" w:rsidP="00763BCF">
            <w:pPr>
              <w:pStyle w:val="ENoteTableText"/>
              <w:tabs>
                <w:tab w:val="center" w:leader="dot" w:pos="2268"/>
              </w:tabs>
            </w:pPr>
          </w:p>
        </w:tc>
        <w:tc>
          <w:tcPr>
            <w:tcW w:w="3505" w:type="pct"/>
          </w:tcPr>
          <w:p w14:paraId="594DA3B1" w14:textId="77777777" w:rsidR="00D162B7" w:rsidRPr="005E3B43" w:rsidRDefault="00D162B7" w:rsidP="00763BCF">
            <w:pPr>
              <w:pStyle w:val="ENoteTableText"/>
            </w:pPr>
            <w:r w:rsidRPr="005E3B43">
              <w:t>rs F2018L00311</w:t>
            </w:r>
          </w:p>
        </w:tc>
      </w:tr>
      <w:tr w:rsidR="00FC29BF" w:rsidRPr="005E3B43" w14:paraId="431E21F5" w14:textId="77777777" w:rsidTr="00034EA9">
        <w:trPr>
          <w:cantSplit/>
        </w:trPr>
        <w:tc>
          <w:tcPr>
            <w:tcW w:w="1495" w:type="pct"/>
          </w:tcPr>
          <w:p w14:paraId="5DF485DA" w14:textId="77777777" w:rsidR="00FC29BF" w:rsidRPr="005E3B43" w:rsidRDefault="00FC29BF" w:rsidP="00763BCF">
            <w:pPr>
              <w:pStyle w:val="ENoteTableText"/>
              <w:tabs>
                <w:tab w:val="center" w:leader="dot" w:pos="2268"/>
              </w:tabs>
            </w:pPr>
          </w:p>
        </w:tc>
        <w:tc>
          <w:tcPr>
            <w:tcW w:w="3505" w:type="pct"/>
          </w:tcPr>
          <w:p w14:paraId="08BFDA16" w14:textId="77777777" w:rsidR="00FC29BF" w:rsidRPr="005E3B43" w:rsidRDefault="00FC29BF" w:rsidP="00763BCF">
            <w:pPr>
              <w:pStyle w:val="ENoteTableText"/>
            </w:pPr>
            <w:r w:rsidRPr="005E3B43">
              <w:t>am F2021L01809</w:t>
            </w:r>
            <w:r w:rsidR="00CE0245" w:rsidRPr="005E3B43">
              <w:t>; F2022L01687</w:t>
            </w:r>
          </w:p>
        </w:tc>
      </w:tr>
      <w:tr w:rsidR="00D64E96" w:rsidRPr="005E3B43" w14:paraId="779D191E" w14:textId="77777777" w:rsidTr="00034EA9">
        <w:trPr>
          <w:cantSplit/>
        </w:trPr>
        <w:tc>
          <w:tcPr>
            <w:tcW w:w="1495" w:type="pct"/>
          </w:tcPr>
          <w:p w14:paraId="76099508" w14:textId="77777777" w:rsidR="00D64E96" w:rsidRPr="005E3B43" w:rsidRDefault="00D64E96" w:rsidP="00763BCF">
            <w:pPr>
              <w:pStyle w:val="ENoteTableText"/>
              <w:tabs>
                <w:tab w:val="center" w:leader="dot" w:pos="2268"/>
              </w:tabs>
            </w:pPr>
            <w:r w:rsidRPr="005E3B43">
              <w:t>r</w:t>
            </w:r>
            <w:r w:rsidR="00D44BF0" w:rsidRPr="005E3B43">
              <w:t xml:space="preserve"> </w:t>
            </w:r>
            <w:r w:rsidRPr="005E3B43">
              <w:t>7A</w:t>
            </w:r>
            <w:r w:rsidRPr="005E3B43">
              <w:tab/>
            </w:r>
          </w:p>
        </w:tc>
        <w:tc>
          <w:tcPr>
            <w:tcW w:w="3505" w:type="pct"/>
          </w:tcPr>
          <w:p w14:paraId="68A75CB9" w14:textId="77777777" w:rsidR="00D64E96" w:rsidRPr="005E3B43" w:rsidRDefault="00D64E96" w:rsidP="00763BCF">
            <w:pPr>
              <w:pStyle w:val="ENoteTableText"/>
            </w:pPr>
            <w:r w:rsidRPr="005E3B43">
              <w:t>ad No</w:t>
            </w:r>
            <w:r w:rsidR="00A34E92" w:rsidRPr="005E3B43">
              <w:t> </w:t>
            </w:r>
            <w:r w:rsidRPr="005E3B43">
              <w:t>48</w:t>
            </w:r>
            <w:r w:rsidR="00D44BF0" w:rsidRPr="005E3B43">
              <w:t>, 2000</w:t>
            </w:r>
          </w:p>
        </w:tc>
      </w:tr>
      <w:tr w:rsidR="00D64E96" w:rsidRPr="005E3B43" w14:paraId="16265D24" w14:textId="77777777" w:rsidTr="00034EA9">
        <w:trPr>
          <w:cantSplit/>
        </w:trPr>
        <w:tc>
          <w:tcPr>
            <w:tcW w:w="1495" w:type="pct"/>
          </w:tcPr>
          <w:p w14:paraId="60D99406" w14:textId="77777777" w:rsidR="00D64E96" w:rsidRPr="005E3B43" w:rsidRDefault="00D64E96" w:rsidP="00763BCF">
            <w:pPr>
              <w:pStyle w:val="ENoteTableText"/>
            </w:pPr>
          </w:p>
        </w:tc>
        <w:tc>
          <w:tcPr>
            <w:tcW w:w="3505" w:type="pct"/>
          </w:tcPr>
          <w:p w14:paraId="16109B66" w14:textId="77777777" w:rsidR="00D64E96" w:rsidRPr="005E3B43" w:rsidRDefault="00D64E96" w:rsidP="00763BCF">
            <w:pPr>
              <w:pStyle w:val="ENoteTableText"/>
            </w:pPr>
            <w:r w:rsidRPr="005E3B43">
              <w:t>rep No</w:t>
            </w:r>
            <w:r w:rsidR="00A34E92" w:rsidRPr="005E3B43">
              <w:t> </w:t>
            </w:r>
            <w:r w:rsidRPr="005E3B43">
              <w:t>301</w:t>
            </w:r>
            <w:r w:rsidR="00D44BF0" w:rsidRPr="005E3B43">
              <w:t>, 2003</w:t>
            </w:r>
          </w:p>
        </w:tc>
      </w:tr>
      <w:tr w:rsidR="00F24AE1" w:rsidRPr="005E3B43" w14:paraId="581494E8" w14:textId="77777777" w:rsidTr="00034EA9">
        <w:trPr>
          <w:cantSplit/>
        </w:trPr>
        <w:tc>
          <w:tcPr>
            <w:tcW w:w="1495" w:type="pct"/>
          </w:tcPr>
          <w:p w14:paraId="58CFF3AF" w14:textId="77777777" w:rsidR="00F24AE1" w:rsidRPr="005E3B43" w:rsidRDefault="00F24AE1" w:rsidP="00763BCF">
            <w:pPr>
              <w:pStyle w:val="ENoteTableText"/>
            </w:pPr>
          </w:p>
        </w:tc>
        <w:tc>
          <w:tcPr>
            <w:tcW w:w="3505" w:type="pct"/>
          </w:tcPr>
          <w:p w14:paraId="3CC476F6" w14:textId="77777777" w:rsidR="00F24AE1" w:rsidRPr="005E3B43" w:rsidRDefault="00F24AE1" w:rsidP="00763BCF">
            <w:pPr>
              <w:pStyle w:val="ENoteTableText"/>
            </w:pPr>
            <w:r w:rsidRPr="005E3B43">
              <w:t>ad F2018L00311</w:t>
            </w:r>
          </w:p>
        </w:tc>
      </w:tr>
      <w:tr w:rsidR="00F24AE1" w:rsidRPr="005E3B43" w14:paraId="0CA34CD4" w14:textId="77777777" w:rsidTr="00034EA9">
        <w:trPr>
          <w:cantSplit/>
        </w:trPr>
        <w:tc>
          <w:tcPr>
            <w:tcW w:w="1495" w:type="pct"/>
          </w:tcPr>
          <w:p w14:paraId="28A16472" w14:textId="77777777" w:rsidR="00F24AE1" w:rsidRPr="005E3B43" w:rsidRDefault="00F24AE1" w:rsidP="00763BCF">
            <w:pPr>
              <w:pStyle w:val="ENoteTableText"/>
              <w:tabs>
                <w:tab w:val="center" w:leader="dot" w:pos="2268"/>
              </w:tabs>
            </w:pPr>
            <w:r w:rsidRPr="005E3B43">
              <w:t>r 7B</w:t>
            </w:r>
            <w:r w:rsidRPr="005E3B43">
              <w:tab/>
            </w:r>
          </w:p>
        </w:tc>
        <w:tc>
          <w:tcPr>
            <w:tcW w:w="3505" w:type="pct"/>
          </w:tcPr>
          <w:p w14:paraId="52972CEC" w14:textId="77777777" w:rsidR="00F24AE1" w:rsidRPr="005E3B43" w:rsidRDefault="00F24AE1" w:rsidP="00763BCF">
            <w:pPr>
              <w:pStyle w:val="ENoteTableText"/>
            </w:pPr>
            <w:r w:rsidRPr="005E3B43">
              <w:t>ad No 48, 2000</w:t>
            </w:r>
          </w:p>
        </w:tc>
      </w:tr>
      <w:tr w:rsidR="00F24AE1" w:rsidRPr="005E3B43" w14:paraId="5346A9F4" w14:textId="77777777" w:rsidTr="00034EA9">
        <w:trPr>
          <w:cantSplit/>
        </w:trPr>
        <w:tc>
          <w:tcPr>
            <w:tcW w:w="1495" w:type="pct"/>
          </w:tcPr>
          <w:p w14:paraId="6FC7147D" w14:textId="77777777" w:rsidR="00F24AE1" w:rsidRPr="005E3B43" w:rsidRDefault="00F24AE1" w:rsidP="00763BCF">
            <w:pPr>
              <w:pStyle w:val="ENoteTableText"/>
              <w:tabs>
                <w:tab w:val="center" w:leader="dot" w:pos="2268"/>
              </w:tabs>
            </w:pPr>
          </w:p>
        </w:tc>
        <w:tc>
          <w:tcPr>
            <w:tcW w:w="3505" w:type="pct"/>
          </w:tcPr>
          <w:p w14:paraId="4369F772" w14:textId="77777777" w:rsidR="00F24AE1" w:rsidRPr="005E3B43" w:rsidRDefault="00F24AE1" w:rsidP="00763BCF">
            <w:pPr>
              <w:pStyle w:val="ENoteTableText"/>
            </w:pPr>
            <w:r w:rsidRPr="005E3B43">
              <w:t>rep No 301, 2003</w:t>
            </w:r>
          </w:p>
        </w:tc>
      </w:tr>
      <w:tr w:rsidR="00F24AE1" w:rsidRPr="005E3B43" w14:paraId="7DF3160E" w14:textId="77777777" w:rsidTr="00034EA9">
        <w:trPr>
          <w:cantSplit/>
        </w:trPr>
        <w:tc>
          <w:tcPr>
            <w:tcW w:w="1495" w:type="pct"/>
          </w:tcPr>
          <w:p w14:paraId="58F2D1CD" w14:textId="77777777" w:rsidR="00F24AE1" w:rsidRPr="005E3B43" w:rsidRDefault="00F24AE1" w:rsidP="00763BCF">
            <w:pPr>
              <w:pStyle w:val="ENoteTableText"/>
              <w:tabs>
                <w:tab w:val="center" w:leader="dot" w:pos="2268"/>
              </w:tabs>
            </w:pPr>
            <w:r w:rsidRPr="005E3B43">
              <w:t>r 7C</w:t>
            </w:r>
            <w:r w:rsidRPr="005E3B43">
              <w:tab/>
            </w:r>
          </w:p>
        </w:tc>
        <w:tc>
          <w:tcPr>
            <w:tcW w:w="3505" w:type="pct"/>
          </w:tcPr>
          <w:p w14:paraId="76678F58" w14:textId="77777777" w:rsidR="00F24AE1" w:rsidRPr="005E3B43" w:rsidRDefault="00F24AE1" w:rsidP="00763BCF">
            <w:pPr>
              <w:pStyle w:val="ENoteTableText"/>
            </w:pPr>
            <w:r w:rsidRPr="005E3B43">
              <w:t>ad No 48, 2000</w:t>
            </w:r>
          </w:p>
        </w:tc>
      </w:tr>
      <w:tr w:rsidR="00F24AE1" w:rsidRPr="005E3B43" w14:paraId="0B8357ED" w14:textId="77777777" w:rsidTr="00034EA9">
        <w:trPr>
          <w:cantSplit/>
        </w:trPr>
        <w:tc>
          <w:tcPr>
            <w:tcW w:w="1495" w:type="pct"/>
          </w:tcPr>
          <w:p w14:paraId="71A21749" w14:textId="77777777" w:rsidR="00F24AE1" w:rsidRPr="005E3B43" w:rsidRDefault="00F24AE1" w:rsidP="00763BCF">
            <w:pPr>
              <w:pStyle w:val="ENoteTableText"/>
              <w:tabs>
                <w:tab w:val="center" w:leader="dot" w:pos="2268"/>
              </w:tabs>
            </w:pPr>
          </w:p>
        </w:tc>
        <w:tc>
          <w:tcPr>
            <w:tcW w:w="3505" w:type="pct"/>
          </w:tcPr>
          <w:p w14:paraId="726443A0" w14:textId="77777777" w:rsidR="00F24AE1" w:rsidRPr="005E3B43" w:rsidRDefault="00F24AE1" w:rsidP="00763BCF">
            <w:pPr>
              <w:pStyle w:val="ENoteTableText"/>
            </w:pPr>
            <w:r w:rsidRPr="005E3B43">
              <w:t>rep No 301, 2003</w:t>
            </w:r>
          </w:p>
        </w:tc>
      </w:tr>
      <w:tr w:rsidR="00F24AE1" w:rsidRPr="005E3B43" w14:paraId="30056DFA" w14:textId="77777777" w:rsidTr="00034EA9">
        <w:trPr>
          <w:cantSplit/>
        </w:trPr>
        <w:tc>
          <w:tcPr>
            <w:tcW w:w="1495" w:type="pct"/>
          </w:tcPr>
          <w:p w14:paraId="48D0C9E2" w14:textId="77777777" w:rsidR="00F24AE1" w:rsidRPr="005E3B43" w:rsidRDefault="00F24AE1" w:rsidP="00763BCF">
            <w:pPr>
              <w:pStyle w:val="ENoteTableText"/>
              <w:tabs>
                <w:tab w:val="center" w:leader="dot" w:pos="2268"/>
              </w:tabs>
            </w:pPr>
            <w:r w:rsidRPr="005E3B43">
              <w:t>r 7D</w:t>
            </w:r>
            <w:r w:rsidRPr="005E3B43">
              <w:tab/>
            </w:r>
          </w:p>
        </w:tc>
        <w:tc>
          <w:tcPr>
            <w:tcW w:w="3505" w:type="pct"/>
          </w:tcPr>
          <w:p w14:paraId="0CDDB214" w14:textId="77777777" w:rsidR="00F24AE1" w:rsidRPr="005E3B43" w:rsidRDefault="00F24AE1" w:rsidP="00763BCF">
            <w:pPr>
              <w:pStyle w:val="ENoteTableText"/>
            </w:pPr>
            <w:r w:rsidRPr="005E3B43">
              <w:t>ad No 48, 2000</w:t>
            </w:r>
          </w:p>
        </w:tc>
      </w:tr>
      <w:tr w:rsidR="00F24AE1" w:rsidRPr="005E3B43" w14:paraId="45E689F3" w14:textId="77777777" w:rsidTr="00034EA9">
        <w:trPr>
          <w:cantSplit/>
        </w:trPr>
        <w:tc>
          <w:tcPr>
            <w:tcW w:w="1495" w:type="pct"/>
          </w:tcPr>
          <w:p w14:paraId="5B58D8F3" w14:textId="77777777" w:rsidR="00F24AE1" w:rsidRPr="005E3B43" w:rsidRDefault="00F24AE1" w:rsidP="00763BCF">
            <w:pPr>
              <w:pStyle w:val="ENoteTableText"/>
              <w:tabs>
                <w:tab w:val="center" w:leader="dot" w:pos="2268"/>
              </w:tabs>
            </w:pPr>
          </w:p>
        </w:tc>
        <w:tc>
          <w:tcPr>
            <w:tcW w:w="3505" w:type="pct"/>
          </w:tcPr>
          <w:p w14:paraId="7A87C6E7" w14:textId="77777777" w:rsidR="00F24AE1" w:rsidRPr="005E3B43" w:rsidRDefault="00F24AE1" w:rsidP="00763BCF">
            <w:pPr>
              <w:pStyle w:val="ENoteTableText"/>
            </w:pPr>
            <w:r w:rsidRPr="005E3B43">
              <w:t>rep No 301, 2003</w:t>
            </w:r>
          </w:p>
        </w:tc>
      </w:tr>
      <w:tr w:rsidR="00F24AE1" w:rsidRPr="005E3B43" w14:paraId="3F9AEE1B" w14:textId="77777777" w:rsidTr="00034EA9">
        <w:trPr>
          <w:cantSplit/>
        </w:trPr>
        <w:tc>
          <w:tcPr>
            <w:tcW w:w="1495" w:type="pct"/>
          </w:tcPr>
          <w:p w14:paraId="3846F6D6" w14:textId="77777777" w:rsidR="00F24AE1" w:rsidRPr="005E3B43" w:rsidRDefault="00F24AE1" w:rsidP="00763BCF">
            <w:pPr>
              <w:pStyle w:val="ENoteTableText"/>
              <w:tabs>
                <w:tab w:val="center" w:leader="dot" w:pos="2268"/>
              </w:tabs>
            </w:pPr>
            <w:r w:rsidRPr="005E3B43">
              <w:t>r 7E</w:t>
            </w:r>
            <w:r w:rsidRPr="005E3B43">
              <w:tab/>
            </w:r>
          </w:p>
        </w:tc>
        <w:tc>
          <w:tcPr>
            <w:tcW w:w="3505" w:type="pct"/>
          </w:tcPr>
          <w:p w14:paraId="15783521" w14:textId="77777777" w:rsidR="00F24AE1" w:rsidRPr="005E3B43" w:rsidRDefault="00F24AE1" w:rsidP="00763BCF">
            <w:pPr>
              <w:pStyle w:val="ENoteTableText"/>
            </w:pPr>
            <w:r w:rsidRPr="005E3B43">
              <w:t>ad No 48, 2000</w:t>
            </w:r>
          </w:p>
        </w:tc>
      </w:tr>
      <w:tr w:rsidR="00F24AE1" w:rsidRPr="005E3B43" w14:paraId="70BDA89B" w14:textId="77777777" w:rsidTr="00034EA9">
        <w:trPr>
          <w:cantSplit/>
        </w:trPr>
        <w:tc>
          <w:tcPr>
            <w:tcW w:w="1495" w:type="pct"/>
          </w:tcPr>
          <w:p w14:paraId="35AD67B6" w14:textId="77777777" w:rsidR="00F24AE1" w:rsidRPr="005E3B43" w:rsidRDefault="00F24AE1" w:rsidP="00763BCF">
            <w:pPr>
              <w:pStyle w:val="ENoteTableText"/>
              <w:tabs>
                <w:tab w:val="center" w:leader="dot" w:pos="2268"/>
              </w:tabs>
            </w:pPr>
          </w:p>
        </w:tc>
        <w:tc>
          <w:tcPr>
            <w:tcW w:w="3505" w:type="pct"/>
          </w:tcPr>
          <w:p w14:paraId="58708C27" w14:textId="77777777" w:rsidR="00F24AE1" w:rsidRPr="005E3B43" w:rsidRDefault="00F24AE1" w:rsidP="00763BCF">
            <w:pPr>
              <w:pStyle w:val="ENoteTableText"/>
            </w:pPr>
            <w:r w:rsidRPr="005E3B43">
              <w:t>rep No 301, 2003</w:t>
            </w:r>
          </w:p>
        </w:tc>
      </w:tr>
      <w:tr w:rsidR="00F24AE1" w:rsidRPr="005E3B43" w14:paraId="574EA97E" w14:textId="77777777" w:rsidTr="00034EA9">
        <w:trPr>
          <w:cantSplit/>
        </w:trPr>
        <w:tc>
          <w:tcPr>
            <w:tcW w:w="1495" w:type="pct"/>
          </w:tcPr>
          <w:p w14:paraId="36FA267D" w14:textId="77777777" w:rsidR="00F24AE1" w:rsidRPr="005E3B43" w:rsidRDefault="00F24AE1" w:rsidP="00763BCF">
            <w:pPr>
              <w:pStyle w:val="ENoteTableText"/>
              <w:tabs>
                <w:tab w:val="center" w:leader="dot" w:pos="2268"/>
              </w:tabs>
            </w:pPr>
            <w:r w:rsidRPr="005E3B43">
              <w:t>r 7F</w:t>
            </w:r>
            <w:r w:rsidRPr="005E3B43">
              <w:tab/>
            </w:r>
          </w:p>
        </w:tc>
        <w:tc>
          <w:tcPr>
            <w:tcW w:w="3505" w:type="pct"/>
          </w:tcPr>
          <w:p w14:paraId="35A35DB5" w14:textId="77777777" w:rsidR="00F24AE1" w:rsidRPr="005E3B43" w:rsidRDefault="00F24AE1" w:rsidP="00763BCF">
            <w:pPr>
              <w:pStyle w:val="ENoteTableText"/>
            </w:pPr>
            <w:r w:rsidRPr="005E3B43">
              <w:t>ad No 48, 2000</w:t>
            </w:r>
          </w:p>
        </w:tc>
      </w:tr>
      <w:tr w:rsidR="00F24AE1" w:rsidRPr="005E3B43" w14:paraId="4528D4CB" w14:textId="77777777" w:rsidTr="00034EA9">
        <w:trPr>
          <w:cantSplit/>
        </w:trPr>
        <w:tc>
          <w:tcPr>
            <w:tcW w:w="1495" w:type="pct"/>
          </w:tcPr>
          <w:p w14:paraId="7FC91E36" w14:textId="77777777" w:rsidR="00F24AE1" w:rsidRPr="005E3B43" w:rsidRDefault="00F24AE1" w:rsidP="00763BCF">
            <w:pPr>
              <w:pStyle w:val="ENoteTableText"/>
              <w:tabs>
                <w:tab w:val="center" w:leader="dot" w:pos="2268"/>
              </w:tabs>
            </w:pPr>
          </w:p>
        </w:tc>
        <w:tc>
          <w:tcPr>
            <w:tcW w:w="3505" w:type="pct"/>
          </w:tcPr>
          <w:p w14:paraId="6198FCD8" w14:textId="77777777" w:rsidR="00F24AE1" w:rsidRPr="005E3B43" w:rsidRDefault="00F24AE1" w:rsidP="00763BCF">
            <w:pPr>
              <w:pStyle w:val="ENoteTableText"/>
            </w:pPr>
            <w:r w:rsidRPr="005E3B43">
              <w:t>rep No 301, 2003</w:t>
            </w:r>
          </w:p>
        </w:tc>
      </w:tr>
      <w:tr w:rsidR="00F24AE1" w:rsidRPr="005E3B43" w14:paraId="6008B5C0" w14:textId="77777777" w:rsidTr="00034EA9">
        <w:trPr>
          <w:cantSplit/>
        </w:trPr>
        <w:tc>
          <w:tcPr>
            <w:tcW w:w="1495" w:type="pct"/>
          </w:tcPr>
          <w:p w14:paraId="4A783FEB" w14:textId="77777777" w:rsidR="00F24AE1" w:rsidRPr="005E3B43" w:rsidRDefault="00F24AE1" w:rsidP="00763BCF">
            <w:pPr>
              <w:pStyle w:val="ENoteTableText"/>
              <w:tabs>
                <w:tab w:val="center" w:leader="dot" w:pos="2268"/>
              </w:tabs>
            </w:pPr>
            <w:r w:rsidRPr="005E3B43">
              <w:t>r 7G</w:t>
            </w:r>
            <w:r w:rsidRPr="005E3B43">
              <w:tab/>
            </w:r>
          </w:p>
        </w:tc>
        <w:tc>
          <w:tcPr>
            <w:tcW w:w="3505" w:type="pct"/>
          </w:tcPr>
          <w:p w14:paraId="023901DA" w14:textId="77777777" w:rsidR="00F24AE1" w:rsidRPr="005E3B43" w:rsidRDefault="00F24AE1" w:rsidP="00763BCF">
            <w:pPr>
              <w:pStyle w:val="ENoteTableText"/>
            </w:pPr>
            <w:r w:rsidRPr="005E3B43">
              <w:t>ad No 48, 2000</w:t>
            </w:r>
          </w:p>
        </w:tc>
      </w:tr>
      <w:tr w:rsidR="00F24AE1" w:rsidRPr="005E3B43" w14:paraId="46A0FE3D" w14:textId="77777777" w:rsidTr="00034EA9">
        <w:trPr>
          <w:cantSplit/>
        </w:trPr>
        <w:tc>
          <w:tcPr>
            <w:tcW w:w="1495" w:type="pct"/>
          </w:tcPr>
          <w:p w14:paraId="49317160" w14:textId="77777777" w:rsidR="00F24AE1" w:rsidRPr="005E3B43" w:rsidRDefault="00F24AE1" w:rsidP="00763BCF">
            <w:pPr>
              <w:pStyle w:val="ENoteTableText"/>
              <w:tabs>
                <w:tab w:val="center" w:leader="dot" w:pos="2268"/>
              </w:tabs>
            </w:pPr>
          </w:p>
        </w:tc>
        <w:tc>
          <w:tcPr>
            <w:tcW w:w="3505" w:type="pct"/>
          </w:tcPr>
          <w:p w14:paraId="08D74C91" w14:textId="77777777" w:rsidR="00F24AE1" w:rsidRPr="005E3B43" w:rsidRDefault="00F24AE1" w:rsidP="00763BCF">
            <w:pPr>
              <w:pStyle w:val="ENoteTableText"/>
            </w:pPr>
            <w:r w:rsidRPr="005E3B43">
              <w:t>rep No 301, 2003</w:t>
            </w:r>
          </w:p>
        </w:tc>
      </w:tr>
      <w:tr w:rsidR="00F24AE1" w:rsidRPr="005E3B43" w14:paraId="2D001620" w14:textId="77777777" w:rsidTr="00034EA9">
        <w:trPr>
          <w:cantSplit/>
        </w:trPr>
        <w:tc>
          <w:tcPr>
            <w:tcW w:w="1495" w:type="pct"/>
          </w:tcPr>
          <w:p w14:paraId="29464068" w14:textId="77777777" w:rsidR="00F24AE1" w:rsidRPr="005E3B43" w:rsidRDefault="00F24AE1" w:rsidP="00763BCF">
            <w:pPr>
              <w:pStyle w:val="ENoteTableText"/>
              <w:tabs>
                <w:tab w:val="center" w:leader="dot" w:pos="2268"/>
              </w:tabs>
            </w:pPr>
            <w:r w:rsidRPr="005E3B43">
              <w:t>r 7H</w:t>
            </w:r>
            <w:r w:rsidRPr="005E3B43">
              <w:tab/>
            </w:r>
          </w:p>
        </w:tc>
        <w:tc>
          <w:tcPr>
            <w:tcW w:w="3505" w:type="pct"/>
          </w:tcPr>
          <w:p w14:paraId="07218BE2" w14:textId="77777777" w:rsidR="00F24AE1" w:rsidRPr="005E3B43" w:rsidRDefault="00F24AE1" w:rsidP="00763BCF">
            <w:pPr>
              <w:pStyle w:val="ENoteTableText"/>
            </w:pPr>
            <w:r w:rsidRPr="005E3B43">
              <w:t>ad No 48, 2000</w:t>
            </w:r>
          </w:p>
        </w:tc>
      </w:tr>
      <w:tr w:rsidR="00F24AE1" w:rsidRPr="005E3B43" w14:paraId="522C5D92" w14:textId="77777777" w:rsidTr="00034EA9">
        <w:trPr>
          <w:cantSplit/>
        </w:trPr>
        <w:tc>
          <w:tcPr>
            <w:tcW w:w="1495" w:type="pct"/>
          </w:tcPr>
          <w:p w14:paraId="775D85DD" w14:textId="77777777" w:rsidR="00F24AE1" w:rsidRPr="005E3B43" w:rsidRDefault="00F24AE1" w:rsidP="00763BCF">
            <w:pPr>
              <w:pStyle w:val="ENoteTableText"/>
              <w:tabs>
                <w:tab w:val="center" w:leader="dot" w:pos="2268"/>
              </w:tabs>
            </w:pPr>
          </w:p>
        </w:tc>
        <w:tc>
          <w:tcPr>
            <w:tcW w:w="3505" w:type="pct"/>
          </w:tcPr>
          <w:p w14:paraId="59E570FC" w14:textId="77777777" w:rsidR="00F24AE1" w:rsidRPr="005E3B43" w:rsidRDefault="00F24AE1" w:rsidP="00763BCF">
            <w:pPr>
              <w:pStyle w:val="ENoteTableText"/>
            </w:pPr>
            <w:r w:rsidRPr="005E3B43">
              <w:t>rep No 301, 2003</w:t>
            </w:r>
          </w:p>
        </w:tc>
      </w:tr>
      <w:tr w:rsidR="00D64E96" w:rsidRPr="005E3B43" w14:paraId="427CC255" w14:textId="77777777" w:rsidTr="00034EA9">
        <w:trPr>
          <w:cantSplit/>
        </w:trPr>
        <w:tc>
          <w:tcPr>
            <w:tcW w:w="1495" w:type="pct"/>
          </w:tcPr>
          <w:p w14:paraId="0B0E84B5" w14:textId="77777777" w:rsidR="00D64E96" w:rsidRPr="005E3B43" w:rsidRDefault="00D64E96" w:rsidP="00763BCF">
            <w:pPr>
              <w:pStyle w:val="ENoteTableText"/>
              <w:tabs>
                <w:tab w:val="center" w:leader="dot" w:pos="2268"/>
              </w:tabs>
            </w:pPr>
            <w:r w:rsidRPr="005E3B43">
              <w:t>r. 7J</w:t>
            </w:r>
            <w:r w:rsidRPr="005E3B43">
              <w:tab/>
            </w:r>
          </w:p>
        </w:tc>
        <w:tc>
          <w:tcPr>
            <w:tcW w:w="3505" w:type="pct"/>
          </w:tcPr>
          <w:p w14:paraId="4705BEFD" w14:textId="77777777" w:rsidR="00D64E96" w:rsidRPr="005E3B43" w:rsidRDefault="00D64E96" w:rsidP="00763BCF">
            <w:pPr>
              <w:pStyle w:val="ENoteTableText"/>
            </w:pPr>
            <w:r w:rsidRPr="005E3B43">
              <w:t>ad. 2000 No.</w:t>
            </w:r>
            <w:r w:rsidR="004E6D00" w:rsidRPr="005E3B43">
              <w:t> </w:t>
            </w:r>
            <w:r w:rsidRPr="005E3B43">
              <w:t>48</w:t>
            </w:r>
          </w:p>
        </w:tc>
      </w:tr>
      <w:tr w:rsidR="00D64E96" w:rsidRPr="005E3B43" w14:paraId="22F82847" w14:textId="77777777" w:rsidTr="00034EA9">
        <w:trPr>
          <w:cantSplit/>
        </w:trPr>
        <w:tc>
          <w:tcPr>
            <w:tcW w:w="1495" w:type="pct"/>
          </w:tcPr>
          <w:p w14:paraId="4738093A" w14:textId="77777777" w:rsidR="00D64E96" w:rsidRPr="005E3B43" w:rsidRDefault="00D64E96" w:rsidP="00763BCF">
            <w:pPr>
              <w:pStyle w:val="ENoteTableText"/>
            </w:pPr>
          </w:p>
        </w:tc>
        <w:tc>
          <w:tcPr>
            <w:tcW w:w="3505" w:type="pct"/>
          </w:tcPr>
          <w:p w14:paraId="4BC6C173" w14:textId="77777777" w:rsidR="00D64E96" w:rsidRPr="005E3B43" w:rsidRDefault="00D64E96" w:rsidP="00763BCF">
            <w:pPr>
              <w:pStyle w:val="ENoteTableText"/>
            </w:pPr>
            <w:r w:rsidRPr="005E3B43">
              <w:t>rep. 2003 No.</w:t>
            </w:r>
            <w:r w:rsidR="004E6D00" w:rsidRPr="005E3B43">
              <w:t> </w:t>
            </w:r>
            <w:r w:rsidRPr="005E3B43">
              <w:t>301</w:t>
            </w:r>
          </w:p>
        </w:tc>
      </w:tr>
      <w:tr w:rsidR="00D64E96" w:rsidRPr="005E3B43" w14:paraId="45A86CB4" w14:textId="77777777" w:rsidTr="00034EA9">
        <w:tc>
          <w:tcPr>
            <w:tcW w:w="1495" w:type="pct"/>
          </w:tcPr>
          <w:p w14:paraId="252DFAEB" w14:textId="77777777" w:rsidR="00D64E96" w:rsidRPr="005E3B43" w:rsidRDefault="00BE7FAC" w:rsidP="00763BCF">
            <w:pPr>
              <w:pStyle w:val="ENoteTableText"/>
              <w:keepNext/>
            </w:pPr>
            <w:r w:rsidRPr="005E3B43">
              <w:rPr>
                <w:b/>
              </w:rPr>
              <w:t>Division 4</w:t>
            </w:r>
          </w:p>
        </w:tc>
        <w:tc>
          <w:tcPr>
            <w:tcW w:w="3505" w:type="pct"/>
          </w:tcPr>
          <w:p w14:paraId="6FFFDC04" w14:textId="77777777" w:rsidR="00D64E96" w:rsidRPr="005E3B43" w:rsidRDefault="00D64E96" w:rsidP="00763BCF">
            <w:pPr>
              <w:pStyle w:val="ENoteTableText"/>
            </w:pPr>
          </w:p>
        </w:tc>
      </w:tr>
      <w:tr w:rsidR="00D64E96" w:rsidRPr="005E3B43" w14:paraId="76A39823" w14:textId="77777777" w:rsidTr="00034EA9">
        <w:trPr>
          <w:cantSplit/>
        </w:trPr>
        <w:tc>
          <w:tcPr>
            <w:tcW w:w="1495" w:type="pct"/>
          </w:tcPr>
          <w:p w14:paraId="695F1AEB" w14:textId="77777777" w:rsidR="00D64E96" w:rsidRPr="005E3B43" w:rsidRDefault="00BE7FAC" w:rsidP="00763BCF">
            <w:pPr>
              <w:pStyle w:val="ENoteTableText"/>
              <w:tabs>
                <w:tab w:val="center" w:leader="dot" w:pos="2268"/>
              </w:tabs>
            </w:pPr>
            <w:r w:rsidRPr="005E3B43">
              <w:t>Division 4</w:t>
            </w:r>
            <w:r w:rsidR="00FD7E9E" w:rsidRPr="005E3B43">
              <w:t xml:space="preserve"> heading</w:t>
            </w:r>
            <w:r w:rsidR="00D64E96" w:rsidRPr="005E3B43">
              <w:tab/>
            </w:r>
          </w:p>
        </w:tc>
        <w:tc>
          <w:tcPr>
            <w:tcW w:w="3505" w:type="pct"/>
          </w:tcPr>
          <w:p w14:paraId="009887EF" w14:textId="77777777" w:rsidR="00D64E96" w:rsidRPr="005E3B43" w:rsidRDefault="00D64E96" w:rsidP="00763BCF">
            <w:pPr>
              <w:pStyle w:val="ENoteTableText"/>
            </w:pPr>
            <w:r w:rsidRPr="005E3B43">
              <w:t>ad. 1997 No.</w:t>
            </w:r>
            <w:r w:rsidR="004E6D00" w:rsidRPr="005E3B43">
              <w:t> </w:t>
            </w:r>
            <w:r w:rsidRPr="005E3B43">
              <w:t>400</w:t>
            </w:r>
          </w:p>
        </w:tc>
      </w:tr>
      <w:tr w:rsidR="00D64E96" w:rsidRPr="005E3B43" w14:paraId="2EB1D431" w14:textId="77777777" w:rsidTr="00034EA9">
        <w:tc>
          <w:tcPr>
            <w:tcW w:w="1495" w:type="pct"/>
          </w:tcPr>
          <w:p w14:paraId="7D107F62" w14:textId="77777777" w:rsidR="00D64E96" w:rsidRPr="005E3B43" w:rsidRDefault="00D64E96" w:rsidP="00763BCF">
            <w:pPr>
              <w:pStyle w:val="ENoteTableText"/>
            </w:pPr>
          </w:p>
        </w:tc>
        <w:tc>
          <w:tcPr>
            <w:tcW w:w="3505" w:type="pct"/>
          </w:tcPr>
          <w:p w14:paraId="7CF3C3F7" w14:textId="77777777" w:rsidR="00D64E96" w:rsidRPr="005E3B43" w:rsidRDefault="00D64E96" w:rsidP="00763BCF">
            <w:pPr>
              <w:pStyle w:val="ENoteTableText"/>
            </w:pPr>
            <w:r w:rsidRPr="005E3B43">
              <w:t>rs. 2003 No.</w:t>
            </w:r>
            <w:r w:rsidR="004E6D00" w:rsidRPr="005E3B43">
              <w:t> </w:t>
            </w:r>
            <w:r w:rsidRPr="005E3B43">
              <w:t>301</w:t>
            </w:r>
          </w:p>
        </w:tc>
      </w:tr>
      <w:tr w:rsidR="00D64E96" w:rsidRPr="005E3B43" w14:paraId="1F2071EA" w14:textId="77777777" w:rsidTr="00034EA9">
        <w:trPr>
          <w:cantSplit/>
        </w:trPr>
        <w:tc>
          <w:tcPr>
            <w:tcW w:w="1495" w:type="pct"/>
          </w:tcPr>
          <w:p w14:paraId="77262035" w14:textId="77777777" w:rsidR="00D64E96" w:rsidRPr="005E3B43" w:rsidRDefault="00BE7FAC" w:rsidP="00763BCF">
            <w:pPr>
              <w:pStyle w:val="ENoteTableText"/>
              <w:tabs>
                <w:tab w:val="center" w:leader="dot" w:pos="2268"/>
              </w:tabs>
            </w:pPr>
            <w:r w:rsidRPr="005E3B43">
              <w:t>Division 4</w:t>
            </w:r>
            <w:r w:rsidR="00D64E96" w:rsidRPr="005E3B43">
              <w:tab/>
            </w:r>
          </w:p>
        </w:tc>
        <w:tc>
          <w:tcPr>
            <w:tcW w:w="3505" w:type="pct"/>
          </w:tcPr>
          <w:p w14:paraId="0CAE8B3E" w14:textId="77777777" w:rsidR="00D64E96" w:rsidRPr="005E3B43" w:rsidRDefault="00D64E96" w:rsidP="00763BCF">
            <w:pPr>
              <w:pStyle w:val="ENoteTableText"/>
            </w:pPr>
            <w:r w:rsidRPr="005E3B43">
              <w:t>rs. 2003 No.</w:t>
            </w:r>
            <w:r w:rsidR="004E6D00" w:rsidRPr="005E3B43">
              <w:t> </w:t>
            </w:r>
            <w:r w:rsidRPr="005E3B43">
              <w:t>301</w:t>
            </w:r>
          </w:p>
        </w:tc>
      </w:tr>
      <w:tr w:rsidR="00D64E96" w:rsidRPr="005E3B43" w14:paraId="72594E97" w14:textId="77777777" w:rsidTr="00034EA9">
        <w:trPr>
          <w:cantSplit/>
        </w:trPr>
        <w:tc>
          <w:tcPr>
            <w:tcW w:w="1495" w:type="pct"/>
          </w:tcPr>
          <w:p w14:paraId="3ABECDD0" w14:textId="77777777" w:rsidR="00D64E96" w:rsidRPr="005E3B43" w:rsidRDefault="00D64E96" w:rsidP="00763BCF">
            <w:pPr>
              <w:pStyle w:val="ENoteTableText"/>
              <w:tabs>
                <w:tab w:val="center" w:leader="dot" w:pos="2268"/>
              </w:tabs>
            </w:pPr>
            <w:r w:rsidRPr="005E3B43">
              <w:t>r 8</w:t>
            </w:r>
            <w:r w:rsidRPr="005E3B43">
              <w:tab/>
            </w:r>
          </w:p>
        </w:tc>
        <w:tc>
          <w:tcPr>
            <w:tcW w:w="3505" w:type="pct"/>
          </w:tcPr>
          <w:p w14:paraId="44EA7A0E" w14:textId="77777777" w:rsidR="00D64E96" w:rsidRPr="005E3B43" w:rsidRDefault="00D64E96" w:rsidP="00763BCF">
            <w:pPr>
              <w:pStyle w:val="ENoteTableText"/>
            </w:pPr>
            <w:r w:rsidRPr="005E3B43">
              <w:t>am No</w:t>
            </w:r>
            <w:r w:rsidR="00A34E92" w:rsidRPr="005E3B43">
              <w:t> </w:t>
            </w:r>
            <w:r w:rsidRPr="005E3B43">
              <w:t>400</w:t>
            </w:r>
            <w:r w:rsidR="00903244" w:rsidRPr="005E3B43">
              <w:t>, 1997</w:t>
            </w:r>
          </w:p>
        </w:tc>
      </w:tr>
      <w:tr w:rsidR="00D64E96" w:rsidRPr="005E3B43" w14:paraId="64930641" w14:textId="77777777" w:rsidTr="00034EA9">
        <w:trPr>
          <w:cantSplit/>
        </w:trPr>
        <w:tc>
          <w:tcPr>
            <w:tcW w:w="1495" w:type="pct"/>
          </w:tcPr>
          <w:p w14:paraId="6728D916" w14:textId="77777777" w:rsidR="00D64E96" w:rsidRPr="005E3B43" w:rsidRDefault="00D64E96" w:rsidP="00763BCF">
            <w:pPr>
              <w:pStyle w:val="ENoteTableText"/>
            </w:pPr>
          </w:p>
        </w:tc>
        <w:tc>
          <w:tcPr>
            <w:tcW w:w="3505" w:type="pct"/>
          </w:tcPr>
          <w:p w14:paraId="251CFFEE" w14:textId="77777777" w:rsidR="00D64E96" w:rsidRPr="005E3B43" w:rsidRDefault="00D64E96" w:rsidP="00763BCF">
            <w:pPr>
              <w:pStyle w:val="ENoteTableText"/>
            </w:pPr>
            <w:r w:rsidRPr="005E3B43">
              <w:t>rs No</w:t>
            </w:r>
            <w:r w:rsidR="00A34E92" w:rsidRPr="005E3B43">
              <w:t> </w:t>
            </w:r>
            <w:r w:rsidRPr="005E3B43">
              <w:t>301</w:t>
            </w:r>
            <w:r w:rsidR="00903244" w:rsidRPr="005E3B43">
              <w:t>, 2003</w:t>
            </w:r>
          </w:p>
        </w:tc>
      </w:tr>
      <w:tr w:rsidR="00D64E96" w:rsidRPr="005E3B43" w14:paraId="15C1FEB0" w14:textId="77777777" w:rsidTr="00034EA9">
        <w:trPr>
          <w:cantSplit/>
        </w:trPr>
        <w:tc>
          <w:tcPr>
            <w:tcW w:w="1495" w:type="pct"/>
          </w:tcPr>
          <w:p w14:paraId="7763DFAD" w14:textId="77777777" w:rsidR="00D64E96" w:rsidRPr="005E3B43" w:rsidRDefault="00D64E96" w:rsidP="00763BCF">
            <w:pPr>
              <w:pStyle w:val="ENoteTableText"/>
            </w:pPr>
          </w:p>
        </w:tc>
        <w:tc>
          <w:tcPr>
            <w:tcW w:w="3505" w:type="pct"/>
          </w:tcPr>
          <w:p w14:paraId="4D88D78C" w14:textId="77777777" w:rsidR="00D64E96" w:rsidRPr="005E3B43" w:rsidRDefault="00D64E96" w:rsidP="00763BCF">
            <w:pPr>
              <w:pStyle w:val="ENoteTableText"/>
            </w:pPr>
            <w:r w:rsidRPr="005E3B43">
              <w:t>am No</w:t>
            </w:r>
            <w:r w:rsidR="00A34E92" w:rsidRPr="005E3B43">
              <w:t> </w:t>
            </w:r>
            <w:r w:rsidRPr="005E3B43">
              <w:t>122</w:t>
            </w:r>
            <w:r w:rsidR="00903244" w:rsidRPr="005E3B43">
              <w:t>, 2006; F2018L00311</w:t>
            </w:r>
            <w:r w:rsidR="00417B93" w:rsidRPr="005E3B43">
              <w:t>; F2018L0143</w:t>
            </w:r>
            <w:r w:rsidR="008564DA" w:rsidRPr="005E3B43">
              <w:t>4</w:t>
            </w:r>
            <w:r w:rsidR="00262B2C" w:rsidRPr="005E3B43">
              <w:t xml:space="preserve">; </w:t>
            </w:r>
            <w:r w:rsidR="0057052D" w:rsidRPr="005E3B43">
              <w:t>F2021L01809</w:t>
            </w:r>
          </w:p>
        </w:tc>
      </w:tr>
      <w:tr w:rsidR="00D64E96" w:rsidRPr="005E3B43" w14:paraId="4E626AA6" w14:textId="77777777" w:rsidTr="00034EA9">
        <w:trPr>
          <w:cantSplit/>
        </w:trPr>
        <w:tc>
          <w:tcPr>
            <w:tcW w:w="1495" w:type="pct"/>
          </w:tcPr>
          <w:p w14:paraId="4E545DD5" w14:textId="77777777" w:rsidR="00D64E96" w:rsidRPr="005E3B43" w:rsidRDefault="00D64E96" w:rsidP="00763BCF">
            <w:pPr>
              <w:pStyle w:val="ENoteTableText"/>
              <w:tabs>
                <w:tab w:val="center" w:leader="dot" w:pos="2268"/>
              </w:tabs>
            </w:pPr>
            <w:r w:rsidRPr="005E3B43">
              <w:t>r 8A</w:t>
            </w:r>
            <w:r w:rsidRPr="005E3B43">
              <w:tab/>
            </w:r>
          </w:p>
        </w:tc>
        <w:tc>
          <w:tcPr>
            <w:tcW w:w="3505" w:type="pct"/>
          </w:tcPr>
          <w:p w14:paraId="15A0A18D" w14:textId="77777777" w:rsidR="00D64E96" w:rsidRPr="005E3B43" w:rsidRDefault="00D64E96" w:rsidP="00763BCF">
            <w:pPr>
              <w:pStyle w:val="ENoteTableText"/>
            </w:pPr>
            <w:r w:rsidRPr="005E3B43">
              <w:t>ad No</w:t>
            </w:r>
            <w:r w:rsidR="00A34E92" w:rsidRPr="005E3B43">
              <w:t> </w:t>
            </w:r>
            <w:r w:rsidRPr="005E3B43">
              <w:t>301</w:t>
            </w:r>
            <w:r w:rsidR="00903244" w:rsidRPr="005E3B43">
              <w:t>, 2003</w:t>
            </w:r>
          </w:p>
        </w:tc>
      </w:tr>
      <w:tr w:rsidR="00D64E96" w:rsidRPr="005E3B43" w14:paraId="32B9FF9E" w14:textId="77777777" w:rsidTr="00034EA9">
        <w:trPr>
          <w:cantSplit/>
        </w:trPr>
        <w:tc>
          <w:tcPr>
            <w:tcW w:w="1495" w:type="pct"/>
          </w:tcPr>
          <w:p w14:paraId="30A246A3" w14:textId="77777777" w:rsidR="00D64E96" w:rsidRPr="005E3B43" w:rsidRDefault="00D64E96" w:rsidP="00763BCF">
            <w:pPr>
              <w:pStyle w:val="ENoteTableText"/>
            </w:pPr>
          </w:p>
        </w:tc>
        <w:tc>
          <w:tcPr>
            <w:tcW w:w="3505" w:type="pct"/>
          </w:tcPr>
          <w:p w14:paraId="5C7C9702" w14:textId="77777777" w:rsidR="00D64E96" w:rsidRPr="005E3B43" w:rsidRDefault="00D64E96" w:rsidP="00763BCF">
            <w:pPr>
              <w:pStyle w:val="ENoteTableText"/>
            </w:pPr>
            <w:r w:rsidRPr="005E3B43">
              <w:t>am No</w:t>
            </w:r>
            <w:r w:rsidR="00A34E92" w:rsidRPr="005E3B43">
              <w:t> </w:t>
            </w:r>
            <w:r w:rsidRPr="005E3B43">
              <w:t>122</w:t>
            </w:r>
            <w:r w:rsidR="00903244" w:rsidRPr="005E3B43">
              <w:t>, 2006</w:t>
            </w:r>
          </w:p>
        </w:tc>
      </w:tr>
      <w:tr w:rsidR="00903244" w:rsidRPr="005E3B43" w14:paraId="65CB6629" w14:textId="77777777" w:rsidTr="00034EA9">
        <w:trPr>
          <w:cantSplit/>
        </w:trPr>
        <w:tc>
          <w:tcPr>
            <w:tcW w:w="1495" w:type="pct"/>
          </w:tcPr>
          <w:p w14:paraId="24902CB6" w14:textId="77777777" w:rsidR="00903244" w:rsidRPr="005E3B43" w:rsidRDefault="00903244" w:rsidP="00763BCF">
            <w:pPr>
              <w:pStyle w:val="ENoteTableText"/>
            </w:pPr>
          </w:p>
        </w:tc>
        <w:tc>
          <w:tcPr>
            <w:tcW w:w="3505" w:type="pct"/>
          </w:tcPr>
          <w:p w14:paraId="4A101390" w14:textId="77777777" w:rsidR="00903244" w:rsidRPr="005E3B43" w:rsidRDefault="00903244" w:rsidP="00763BCF">
            <w:pPr>
              <w:pStyle w:val="ENoteTableText"/>
            </w:pPr>
            <w:r w:rsidRPr="005E3B43">
              <w:t>rep F2018L00311</w:t>
            </w:r>
          </w:p>
        </w:tc>
      </w:tr>
      <w:tr w:rsidR="00D64E96" w:rsidRPr="005E3B43" w14:paraId="1D7C7B64" w14:textId="77777777" w:rsidTr="00034EA9">
        <w:trPr>
          <w:cantSplit/>
        </w:trPr>
        <w:tc>
          <w:tcPr>
            <w:tcW w:w="1495" w:type="pct"/>
          </w:tcPr>
          <w:p w14:paraId="471B0D7C" w14:textId="77777777" w:rsidR="00D64E96" w:rsidRPr="005E3B43" w:rsidRDefault="00BE7FAC" w:rsidP="00763BCF">
            <w:pPr>
              <w:pStyle w:val="ENoteTableText"/>
              <w:tabs>
                <w:tab w:val="center" w:leader="dot" w:pos="2268"/>
              </w:tabs>
            </w:pPr>
            <w:r w:rsidRPr="005E3B43">
              <w:t>Division 5</w:t>
            </w:r>
            <w:r w:rsidR="00D64E96" w:rsidRPr="005E3B43">
              <w:tab/>
            </w:r>
          </w:p>
        </w:tc>
        <w:tc>
          <w:tcPr>
            <w:tcW w:w="3505" w:type="pct"/>
          </w:tcPr>
          <w:p w14:paraId="73E118AC" w14:textId="77777777" w:rsidR="00D64E96" w:rsidRPr="005E3B43" w:rsidRDefault="00D64E96" w:rsidP="00763BCF">
            <w:pPr>
              <w:pStyle w:val="ENoteTableText"/>
            </w:pPr>
            <w:r w:rsidRPr="005E3B43">
              <w:t>ad No</w:t>
            </w:r>
            <w:r w:rsidR="00A34E92" w:rsidRPr="005E3B43">
              <w:t> </w:t>
            </w:r>
            <w:r w:rsidRPr="005E3B43">
              <w:t>400</w:t>
            </w:r>
            <w:r w:rsidR="00C27C42" w:rsidRPr="005E3B43">
              <w:t>, 1997</w:t>
            </w:r>
          </w:p>
        </w:tc>
      </w:tr>
      <w:tr w:rsidR="00D64E96" w:rsidRPr="005E3B43" w14:paraId="34CDD602" w14:textId="77777777" w:rsidTr="00034EA9">
        <w:trPr>
          <w:cantSplit/>
        </w:trPr>
        <w:tc>
          <w:tcPr>
            <w:tcW w:w="1495" w:type="pct"/>
          </w:tcPr>
          <w:p w14:paraId="4B967D60" w14:textId="77777777" w:rsidR="00D64E96" w:rsidRPr="005E3B43" w:rsidRDefault="00D64E96" w:rsidP="00763BCF">
            <w:pPr>
              <w:pStyle w:val="ENoteTableText"/>
            </w:pPr>
          </w:p>
        </w:tc>
        <w:tc>
          <w:tcPr>
            <w:tcW w:w="3505" w:type="pct"/>
          </w:tcPr>
          <w:p w14:paraId="6754A1BE" w14:textId="77777777" w:rsidR="00D64E96" w:rsidRPr="005E3B43" w:rsidRDefault="00D64E96" w:rsidP="00763BCF">
            <w:pPr>
              <w:pStyle w:val="ENoteTableText"/>
            </w:pPr>
            <w:r w:rsidRPr="005E3B43">
              <w:t>rep No</w:t>
            </w:r>
            <w:r w:rsidR="00A34E92" w:rsidRPr="005E3B43">
              <w:t> </w:t>
            </w:r>
            <w:r w:rsidRPr="005E3B43">
              <w:t>48</w:t>
            </w:r>
            <w:r w:rsidR="00C27C42" w:rsidRPr="005E3B43">
              <w:t>, 2000</w:t>
            </w:r>
          </w:p>
        </w:tc>
      </w:tr>
      <w:tr w:rsidR="00D64E96" w:rsidRPr="005E3B43" w14:paraId="662FA38B" w14:textId="77777777" w:rsidTr="00034EA9">
        <w:trPr>
          <w:cantSplit/>
        </w:trPr>
        <w:tc>
          <w:tcPr>
            <w:tcW w:w="1495" w:type="pct"/>
          </w:tcPr>
          <w:p w14:paraId="5797D85A" w14:textId="77777777" w:rsidR="00D64E96" w:rsidRPr="005E3B43" w:rsidRDefault="00D64E96" w:rsidP="00763BCF">
            <w:pPr>
              <w:pStyle w:val="ENoteTableText"/>
            </w:pPr>
          </w:p>
        </w:tc>
        <w:tc>
          <w:tcPr>
            <w:tcW w:w="3505" w:type="pct"/>
          </w:tcPr>
          <w:p w14:paraId="7753D56D" w14:textId="77777777" w:rsidR="00D64E96" w:rsidRPr="005E3B43" w:rsidRDefault="00D64E96" w:rsidP="00763BCF">
            <w:pPr>
              <w:pStyle w:val="ENoteTableText"/>
            </w:pPr>
            <w:r w:rsidRPr="005E3B43">
              <w:t>ad No</w:t>
            </w:r>
            <w:r w:rsidR="00A34E92" w:rsidRPr="005E3B43">
              <w:t> </w:t>
            </w:r>
            <w:r w:rsidRPr="005E3B43">
              <w:t>301</w:t>
            </w:r>
            <w:r w:rsidR="00C27C42" w:rsidRPr="005E3B43">
              <w:t>, 2003</w:t>
            </w:r>
          </w:p>
        </w:tc>
      </w:tr>
      <w:tr w:rsidR="00C27C42" w:rsidRPr="005E3B43" w14:paraId="6FD34546" w14:textId="77777777" w:rsidTr="00034EA9">
        <w:trPr>
          <w:cantSplit/>
        </w:trPr>
        <w:tc>
          <w:tcPr>
            <w:tcW w:w="1495" w:type="pct"/>
          </w:tcPr>
          <w:p w14:paraId="4CA1E988" w14:textId="77777777" w:rsidR="00C27C42" w:rsidRPr="005E3B43" w:rsidRDefault="00C27C42" w:rsidP="00763BCF">
            <w:pPr>
              <w:pStyle w:val="ENoteTableText"/>
            </w:pPr>
          </w:p>
        </w:tc>
        <w:tc>
          <w:tcPr>
            <w:tcW w:w="3505" w:type="pct"/>
          </w:tcPr>
          <w:p w14:paraId="7A88DEAB" w14:textId="77777777" w:rsidR="00C27C42" w:rsidRPr="005E3B43" w:rsidRDefault="00C27C42" w:rsidP="00763BCF">
            <w:pPr>
              <w:pStyle w:val="ENoteTableText"/>
            </w:pPr>
            <w:r w:rsidRPr="005E3B43">
              <w:t>rep F2018L00311</w:t>
            </w:r>
          </w:p>
        </w:tc>
      </w:tr>
      <w:tr w:rsidR="00D64E96" w:rsidRPr="005E3B43" w14:paraId="2EC45A25" w14:textId="77777777" w:rsidTr="00034EA9">
        <w:trPr>
          <w:cantSplit/>
        </w:trPr>
        <w:tc>
          <w:tcPr>
            <w:tcW w:w="1495" w:type="pct"/>
          </w:tcPr>
          <w:p w14:paraId="171571B6" w14:textId="77777777" w:rsidR="00D64E96" w:rsidRPr="005E3B43" w:rsidRDefault="00D64E96" w:rsidP="00763BCF">
            <w:pPr>
              <w:pStyle w:val="ENoteTableText"/>
              <w:tabs>
                <w:tab w:val="center" w:leader="dot" w:pos="2268"/>
              </w:tabs>
            </w:pPr>
            <w:r w:rsidRPr="005E3B43">
              <w:t>r 9</w:t>
            </w:r>
            <w:r w:rsidRPr="005E3B43">
              <w:tab/>
            </w:r>
          </w:p>
        </w:tc>
        <w:tc>
          <w:tcPr>
            <w:tcW w:w="3505" w:type="pct"/>
          </w:tcPr>
          <w:p w14:paraId="2CB82085" w14:textId="77777777" w:rsidR="00D64E96" w:rsidRPr="005E3B43" w:rsidRDefault="00D64E96" w:rsidP="00763BCF">
            <w:pPr>
              <w:pStyle w:val="ENoteTableText"/>
            </w:pPr>
            <w:r w:rsidRPr="005E3B43">
              <w:t>rs No</w:t>
            </w:r>
            <w:r w:rsidR="00A34E92" w:rsidRPr="005E3B43">
              <w:t> </w:t>
            </w:r>
            <w:r w:rsidRPr="005E3B43">
              <w:t>48</w:t>
            </w:r>
            <w:r w:rsidR="00C27C42" w:rsidRPr="005E3B43">
              <w:t>, 2000</w:t>
            </w:r>
            <w:r w:rsidRPr="005E3B43">
              <w:t>; No</w:t>
            </w:r>
            <w:r w:rsidR="00A34E92" w:rsidRPr="005E3B43">
              <w:t> </w:t>
            </w:r>
            <w:r w:rsidRPr="005E3B43">
              <w:t>301</w:t>
            </w:r>
            <w:r w:rsidR="00C27C42" w:rsidRPr="005E3B43">
              <w:t>, 2003</w:t>
            </w:r>
          </w:p>
        </w:tc>
      </w:tr>
      <w:tr w:rsidR="00C27C42" w:rsidRPr="005E3B43" w14:paraId="019BEE78" w14:textId="77777777" w:rsidTr="00034EA9">
        <w:trPr>
          <w:cantSplit/>
        </w:trPr>
        <w:tc>
          <w:tcPr>
            <w:tcW w:w="1495" w:type="pct"/>
          </w:tcPr>
          <w:p w14:paraId="3DC31063" w14:textId="77777777" w:rsidR="00C27C42" w:rsidRPr="005E3B43" w:rsidRDefault="00C27C42" w:rsidP="00763BCF">
            <w:pPr>
              <w:pStyle w:val="ENoteTableText"/>
              <w:tabs>
                <w:tab w:val="center" w:leader="dot" w:pos="2268"/>
              </w:tabs>
            </w:pPr>
          </w:p>
        </w:tc>
        <w:tc>
          <w:tcPr>
            <w:tcW w:w="3505" w:type="pct"/>
          </w:tcPr>
          <w:p w14:paraId="7F5882B9" w14:textId="77777777" w:rsidR="00C27C42" w:rsidRPr="005E3B43" w:rsidRDefault="00C27C42" w:rsidP="00763BCF">
            <w:pPr>
              <w:pStyle w:val="ENoteTableText"/>
            </w:pPr>
            <w:r w:rsidRPr="005E3B43">
              <w:t>rep F2018L00311</w:t>
            </w:r>
          </w:p>
        </w:tc>
      </w:tr>
      <w:tr w:rsidR="00D64E96" w:rsidRPr="005E3B43" w14:paraId="5487CC9F" w14:textId="77777777" w:rsidTr="00034EA9">
        <w:trPr>
          <w:cantSplit/>
        </w:trPr>
        <w:tc>
          <w:tcPr>
            <w:tcW w:w="1495" w:type="pct"/>
          </w:tcPr>
          <w:p w14:paraId="56181D6D" w14:textId="77777777" w:rsidR="00D64E96" w:rsidRPr="005E3B43" w:rsidRDefault="00D64E96" w:rsidP="00763BCF">
            <w:pPr>
              <w:pStyle w:val="ENoteTableText"/>
              <w:tabs>
                <w:tab w:val="center" w:leader="dot" w:pos="2268"/>
              </w:tabs>
            </w:pPr>
            <w:r w:rsidRPr="005E3B43">
              <w:t>r. 9AA</w:t>
            </w:r>
            <w:r w:rsidRPr="005E3B43">
              <w:tab/>
            </w:r>
          </w:p>
        </w:tc>
        <w:tc>
          <w:tcPr>
            <w:tcW w:w="3505" w:type="pct"/>
          </w:tcPr>
          <w:p w14:paraId="762DC266" w14:textId="77777777" w:rsidR="00D64E96" w:rsidRPr="005E3B43" w:rsidRDefault="00D64E96" w:rsidP="00763BCF">
            <w:pPr>
              <w:pStyle w:val="ENoteTableText"/>
            </w:pPr>
            <w:r w:rsidRPr="005E3B43">
              <w:t>ad. 1997 No.</w:t>
            </w:r>
            <w:r w:rsidR="004E6D00" w:rsidRPr="005E3B43">
              <w:t> </w:t>
            </w:r>
            <w:r w:rsidRPr="005E3B43">
              <w:t>400</w:t>
            </w:r>
          </w:p>
        </w:tc>
      </w:tr>
      <w:tr w:rsidR="00D64E96" w:rsidRPr="005E3B43" w14:paraId="3108C563" w14:textId="77777777" w:rsidTr="00034EA9">
        <w:trPr>
          <w:cantSplit/>
        </w:trPr>
        <w:tc>
          <w:tcPr>
            <w:tcW w:w="1495" w:type="pct"/>
          </w:tcPr>
          <w:p w14:paraId="78C1DC7B" w14:textId="77777777" w:rsidR="00D64E96" w:rsidRPr="005E3B43" w:rsidRDefault="00D64E96" w:rsidP="00763BCF">
            <w:pPr>
              <w:pStyle w:val="ENoteTableText"/>
            </w:pPr>
          </w:p>
        </w:tc>
        <w:tc>
          <w:tcPr>
            <w:tcW w:w="3505" w:type="pct"/>
          </w:tcPr>
          <w:p w14:paraId="40344A07" w14:textId="77777777" w:rsidR="00D64E96" w:rsidRPr="005E3B43" w:rsidRDefault="00D64E96" w:rsidP="00763BCF">
            <w:pPr>
              <w:pStyle w:val="ENoteTableText"/>
            </w:pPr>
            <w:r w:rsidRPr="005E3B43">
              <w:t>rs. 2000 No.</w:t>
            </w:r>
            <w:r w:rsidR="004E6D00" w:rsidRPr="005E3B43">
              <w:t> </w:t>
            </w:r>
            <w:r w:rsidRPr="005E3B43">
              <w:t>48</w:t>
            </w:r>
          </w:p>
        </w:tc>
      </w:tr>
      <w:tr w:rsidR="00D64E96" w:rsidRPr="005E3B43" w14:paraId="64BF2D67" w14:textId="77777777" w:rsidTr="00034EA9">
        <w:trPr>
          <w:cantSplit/>
        </w:trPr>
        <w:tc>
          <w:tcPr>
            <w:tcW w:w="1495" w:type="pct"/>
          </w:tcPr>
          <w:p w14:paraId="38892E72" w14:textId="77777777" w:rsidR="00D64E96" w:rsidRPr="005E3B43" w:rsidRDefault="00D64E96" w:rsidP="00763BCF">
            <w:pPr>
              <w:pStyle w:val="ENoteTableText"/>
            </w:pPr>
          </w:p>
        </w:tc>
        <w:tc>
          <w:tcPr>
            <w:tcW w:w="3505" w:type="pct"/>
          </w:tcPr>
          <w:p w14:paraId="01C7B032" w14:textId="77777777" w:rsidR="00D64E96" w:rsidRPr="005E3B43" w:rsidRDefault="00D64E96" w:rsidP="00763BCF">
            <w:pPr>
              <w:pStyle w:val="ENoteTableText"/>
            </w:pPr>
            <w:r w:rsidRPr="005E3B43">
              <w:t>am. 2002 No.</w:t>
            </w:r>
            <w:r w:rsidR="004E6D00" w:rsidRPr="005E3B43">
              <w:t> </w:t>
            </w:r>
            <w:r w:rsidRPr="005E3B43">
              <w:t>315</w:t>
            </w:r>
          </w:p>
        </w:tc>
      </w:tr>
      <w:tr w:rsidR="00D64E96" w:rsidRPr="005E3B43" w14:paraId="139CABF0" w14:textId="77777777" w:rsidTr="00034EA9">
        <w:trPr>
          <w:cantSplit/>
        </w:trPr>
        <w:tc>
          <w:tcPr>
            <w:tcW w:w="1495" w:type="pct"/>
          </w:tcPr>
          <w:p w14:paraId="153DADF3" w14:textId="77777777" w:rsidR="00D64E96" w:rsidRPr="005E3B43" w:rsidRDefault="00D64E96" w:rsidP="00763BCF">
            <w:pPr>
              <w:pStyle w:val="ENoteTableText"/>
            </w:pPr>
          </w:p>
        </w:tc>
        <w:tc>
          <w:tcPr>
            <w:tcW w:w="3505" w:type="pct"/>
          </w:tcPr>
          <w:p w14:paraId="7A471279" w14:textId="77777777" w:rsidR="00D64E96" w:rsidRPr="005E3B43" w:rsidRDefault="00D64E96" w:rsidP="00763BCF">
            <w:pPr>
              <w:pStyle w:val="ENoteTableText"/>
            </w:pPr>
            <w:r w:rsidRPr="005E3B43">
              <w:t>rep. 2003 No.</w:t>
            </w:r>
            <w:r w:rsidR="004E6D00" w:rsidRPr="005E3B43">
              <w:t> </w:t>
            </w:r>
            <w:r w:rsidRPr="005E3B43">
              <w:t>301</w:t>
            </w:r>
          </w:p>
        </w:tc>
      </w:tr>
      <w:tr w:rsidR="00D64E96" w:rsidRPr="005E3B43" w14:paraId="66A2AFF1" w14:textId="77777777" w:rsidTr="00034EA9">
        <w:trPr>
          <w:cantSplit/>
        </w:trPr>
        <w:tc>
          <w:tcPr>
            <w:tcW w:w="1495" w:type="pct"/>
          </w:tcPr>
          <w:p w14:paraId="7C7CD2F3" w14:textId="77777777" w:rsidR="00D64E96" w:rsidRPr="005E3B43" w:rsidRDefault="00D64E96" w:rsidP="00763BCF">
            <w:pPr>
              <w:pStyle w:val="ENoteTableText"/>
              <w:tabs>
                <w:tab w:val="center" w:leader="dot" w:pos="2268"/>
              </w:tabs>
            </w:pPr>
            <w:r w:rsidRPr="005E3B43">
              <w:t>rr.</w:t>
            </w:r>
            <w:r w:rsidR="004E6D00" w:rsidRPr="005E3B43">
              <w:t> </w:t>
            </w:r>
            <w:r w:rsidRPr="005E3B43">
              <w:t>9AB–9AE</w:t>
            </w:r>
            <w:r w:rsidRPr="005E3B43">
              <w:tab/>
            </w:r>
          </w:p>
        </w:tc>
        <w:tc>
          <w:tcPr>
            <w:tcW w:w="3505" w:type="pct"/>
          </w:tcPr>
          <w:p w14:paraId="5BB5C064" w14:textId="77777777" w:rsidR="00D64E96" w:rsidRPr="005E3B43" w:rsidRDefault="00D64E96" w:rsidP="00763BCF">
            <w:pPr>
              <w:pStyle w:val="ENoteTableText"/>
            </w:pPr>
            <w:r w:rsidRPr="005E3B43">
              <w:t>ad. 1997 No.</w:t>
            </w:r>
            <w:r w:rsidR="004E6D00" w:rsidRPr="005E3B43">
              <w:t> </w:t>
            </w:r>
            <w:r w:rsidRPr="005E3B43">
              <w:t>400</w:t>
            </w:r>
          </w:p>
        </w:tc>
      </w:tr>
      <w:tr w:rsidR="00D64E96" w:rsidRPr="005E3B43" w14:paraId="14A88832" w14:textId="77777777" w:rsidTr="00034EA9">
        <w:trPr>
          <w:cantSplit/>
        </w:trPr>
        <w:tc>
          <w:tcPr>
            <w:tcW w:w="1495" w:type="pct"/>
          </w:tcPr>
          <w:p w14:paraId="0A4494CF" w14:textId="77777777" w:rsidR="00D64E96" w:rsidRPr="005E3B43" w:rsidRDefault="00D64E96" w:rsidP="00763BCF">
            <w:pPr>
              <w:pStyle w:val="ENoteTableText"/>
            </w:pPr>
          </w:p>
        </w:tc>
        <w:tc>
          <w:tcPr>
            <w:tcW w:w="3505" w:type="pct"/>
          </w:tcPr>
          <w:p w14:paraId="040D7E07" w14:textId="77777777" w:rsidR="00D64E96" w:rsidRPr="005E3B43" w:rsidRDefault="00D64E96" w:rsidP="00763BCF">
            <w:pPr>
              <w:pStyle w:val="ENoteTableText"/>
            </w:pPr>
            <w:r w:rsidRPr="005E3B43">
              <w:t>rep. 2000 No.</w:t>
            </w:r>
            <w:r w:rsidR="004E6D00" w:rsidRPr="005E3B43">
              <w:t> </w:t>
            </w:r>
            <w:r w:rsidRPr="005E3B43">
              <w:t>48</w:t>
            </w:r>
          </w:p>
        </w:tc>
      </w:tr>
      <w:tr w:rsidR="00D64E96" w:rsidRPr="005E3B43" w14:paraId="77EFD793" w14:textId="77777777" w:rsidTr="00034EA9">
        <w:trPr>
          <w:cantSplit/>
        </w:trPr>
        <w:tc>
          <w:tcPr>
            <w:tcW w:w="1495" w:type="pct"/>
          </w:tcPr>
          <w:p w14:paraId="207D9BBD" w14:textId="77777777" w:rsidR="00D64E96" w:rsidRPr="005E3B43" w:rsidRDefault="006B5D8E" w:rsidP="00763BCF">
            <w:pPr>
              <w:pStyle w:val="ENoteTableText"/>
            </w:pPr>
            <w:r w:rsidRPr="005E3B43">
              <w:rPr>
                <w:b/>
              </w:rPr>
              <w:t>Part 2</w:t>
            </w:r>
            <w:r w:rsidR="00D64E96" w:rsidRPr="005E3B43">
              <w:rPr>
                <w:b/>
              </w:rPr>
              <w:t>A</w:t>
            </w:r>
          </w:p>
        </w:tc>
        <w:tc>
          <w:tcPr>
            <w:tcW w:w="3505" w:type="pct"/>
          </w:tcPr>
          <w:p w14:paraId="0DCC76A2" w14:textId="77777777" w:rsidR="00D64E96" w:rsidRPr="005E3B43" w:rsidRDefault="00D64E96" w:rsidP="00763BCF">
            <w:pPr>
              <w:pStyle w:val="ENoteTableText"/>
            </w:pPr>
          </w:p>
        </w:tc>
      </w:tr>
      <w:tr w:rsidR="00D64E96" w:rsidRPr="005E3B43" w14:paraId="2B1EF337" w14:textId="77777777" w:rsidTr="00034EA9">
        <w:trPr>
          <w:cantSplit/>
        </w:trPr>
        <w:tc>
          <w:tcPr>
            <w:tcW w:w="1495" w:type="pct"/>
          </w:tcPr>
          <w:p w14:paraId="472E217B" w14:textId="77777777" w:rsidR="00D64E96" w:rsidRPr="005E3B43" w:rsidRDefault="006B5D8E" w:rsidP="00763BCF">
            <w:pPr>
              <w:pStyle w:val="ENoteTableText"/>
              <w:tabs>
                <w:tab w:val="center" w:leader="dot" w:pos="2268"/>
              </w:tabs>
            </w:pPr>
            <w:r w:rsidRPr="005E3B43">
              <w:t>Part 2</w:t>
            </w:r>
            <w:r w:rsidR="00D64E96" w:rsidRPr="005E3B43">
              <w:t>A</w:t>
            </w:r>
            <w:r w:rsidR="00D64E96" w:rsidRPr="005E3B43">
              <w:tab/>
            </w:r>
          </w:p>
        </w:tc>
        <w:tc>
          <w:tcPr>
            <w:tcW w:w="3505" w:type="pct"/>
          </w:tcPr>
          <w:p w14:paraId="4FC747EB" w14:textId="77777777" w:rsidR="00D64E96" w:rsidRPr="005E3B43" w:rsidRDefault="00D64E96" w:rsidP="00763BCF">
            <w:pPr>
              <w:pStyle w:val="ENoteTableText"/>
            </w:pPr>
            <w:r w:rsidRPr="005E3B43">
              <w:t>ad. 1992 No.</w:t>
            </w:r>
            <w:r w:rsidR="004E6D00" w:rsidRPr="005E3B43">
              <w:t> </w:t>
            </w:r>
            <w:r w:rsidRPr="005E3B43">
              <w:t>430</w:t>
            </w:r>
          </w:p>
        </w:tc>
      </w:tr>
      <w:tr w:rsidR="00D64E96" w:rsidRPr="005E3B43" w14:paraId="46D7E6E7" w14:textId="77777777" w:rsidTr="00034EA9">
        <w:trPr>
          <w:cantSplit/>
        </w:trPr>
        <w:tc>
          <w:tcPr>
            <w:tcW w:w="1495" w:type="pct"/>
          </w:tcPr>
          <w:p w14:paraId="5D654D96" w14:textId="77777777" w:rsidR="00D64E96" w:rsidRPr="005E3B43" w:rsidRDefault="00D64E96" w:rsidP="00763BCF">
            <w:pPr>
              <w:pStyle w:val="ENoteTableText"/>
              <w:tabs>
                <w:tab w:val="center" w:leader="dot" w:pos="2268"/>
              </w:tabs>
            </w:pPr>
            <w:r w:rsidRPr="005E3B43">
              <w:t>r 9A</w:t>
            </w:r>
            <w:r w:rsidRPr="005E3B43">
              <w:tab/>
            </w:r>
          </w:p>
        </w:tc>
        <w:tc>
          <w:tcPr>
            <w:tcW w:w="3505" w:type="pct"/>
          </w:tcPr>
          <w:p w14:paraId="125E4DB5" w14:textId="77777777" w:rsidR="00D64E96" w:rsidRPr="005E3B43" w:rsidRDefault="00D64E96" w:rsidP="00763BCF">
            <w:pPr>
              <w:pStyle w:val="ENoteTableText"/>
            </w:pPr>
            <w:r w:rsidRPr="005E3B43">
              <w:t>ad 1992 No</w:t>
            </w:r>
            <w:r w:rsidR="00A76B04" w:rsidRPr="005E3B43">
              <w:t> </w:t>
            </w:r>
            <w:r w:rsidRPr="005E3B43">
              <w:t>430</w:t>
            </w:r>
          </w:p>
        </w:tc>
      </w:tr>
      <w:tr w:rsidR="00D64E96" w:rsidRPr="005E3B43" w14:paraId="7EB2D8EF" w14:textId="77777777" w:rsidTr="00034EA9">
        <w:trPr>
          <w:cantSplit/>
        </w:trPr>
        <w:tc>
          <w:tcPr>
            <w:tcW w:w="1495" w:type="pct"/>
          </w:tcPr>
          <w:p w14:paraId="63C21710" w14:textId="77777777" w:rsidR="00D64E96" w:rsidRPr="005E3B43" w:rsidRDefault="00D64E96" w:rsidP="00763BCF">
            <w:pPr>
              <w:pStyle w:val="ENoteTableText"/>
            </w:pPr>
          </w:p>
        </w:tc>
        <w:tc>
          <w:tcPr>
            <w:tcW w:w="3505" w:type="pct"/>
          </w:tcPr>
          <w:p w14:paraId="27FBB747" w14:textId="77777777" w:rsidR="00D64E96" w:rsidRPr="005E3B43" w:rsidRDefault="00D64E96" w:rsidP="00763BCF">
            <w:pPr>
              <w:pStyle w:val="ENoteTableText"/>
            </w:pPr>
            <w:r w:rsidRPr="005E3B43">
              <w:t>am. 1994 No.</w:t>
            </w:r>
            <w:r w:rsidR="004E6D00" w:rsidRPr="005E3B43">
              <w:t> </w:t>
            </w:r>
            <w:r w:rsidRPr="005E3B43">
              <w:t>364; 1995 No.</w:t>
            </w:r>
            <w:r w:rsidR="004E6D00" w:rsidRPr="005E3B43">
              <w:t> </w:t>
            </w:r>
            <w:r w:rsidRPr="005E3B43">
              <w:t>208; 1998 No.</w:t>
            </w:r>
            <w:r w:rsidR="004E6D00" w:rsidRPr="005E3B43">
              <w:t> </w:t>
            </w:r>
            <w:r w:rsidRPr="005E3B43">
              <w:t>369; 1999 No.</w:t>
            </w:r>
            <w:r w:rsidR="004E6D00" w:rsidRPr="005E3B43">
              <w:t> </w:t>
            </w:r>
            <w:r w:rsidRPr="005E3B43">
              <w:t>62; 2002 Nos. 9 and 315</w:t>
            </w:r>
            <w:r w:rsidR="00FD7E9E" w:rsidRPr="005E3B43">
              <w:t>; 2003 No.</w:t>
            </w:r>
            <w:r w:rsidR="004E6D00" w:rsidRPr="005E3B43">
              <w:t> </w:t>
            </w:r>
            <w:r w:rsidR="00FD7E9E" w:rsidRPr="005E3B43">
              <w:t>257</w:t>
            </w:r>
            <w:r w:rsidR="00BE6888" w:rsidRPr="005E3B43">
              <w:t>; F2019L01660</w:t>
            </w:r>
            <w:r w:rsidR="00E466BB" w:rsidRPr="005E3B43">
              <w:t>; F2021L01474</w:t>
            </w:r>
          </w:p>
        </w:tc>
      </w:tr>
      <w:tr w:rsidR="00D64E96" w:rsidRPr="005E3B43" w14:paraId="345B00DE" w14:textId="77777777" w:rsidTr="00034EA9">
        <w:trPr>
          <w:cantSplit/>
        </w:trPr>
        <w:tc>
          <w:tcPr>
            <w:tcW w:w="1495" w:type="pct"/>
          </w:tcPr>
          <w:p w14:paraId="2E39473B" w14:textId="77777777" w:rsidR="00D64E96" w:rsidRPr="005E3B43" w:rsidRDefault="00D64E96" w:rsidP="00763BCF">
            <w:pPr>
              <w:pStyle w:val="ENoteTableText"/>
              <w:tabs>
                <w:tab w:val="center" w:leader="dot" w:pos="2268"/>
              </w:tabs>
            </w:pPr>
            <w:r w:rsidRPr="005E3B43">
              <w:t>r 9B</w:t>
            </w:r>
            <w:r w:rsidRPr="005E3B43">
              <w:tab/>
            </w:r>
          </w:p>
        </w:tc>
        <w:tc>
          <w:tcPr>
            <w:tcW w:w="3505" w:type="pct"/>
          </w:tcPr>
          <w:p w14:paraId="666E6664" w14:textId="77777777" w:rsidR="00D64E96" w:rsidRPr="005E3B43" w:rsidRDefault="00D64E96" w:rsidP="00763BCF">
            <w:pPr>
              <w:pStyle w:val="ENoteTableText"/>
            </w:pPr>
            <w:r w:rsidRPr="005E3B43">
              <w:t>ad No</w:t>
            </w:r>
            <w:r w:rsidR="00A34E92" w:rsidRPr="005E3B43">
              <w:t> </w:t>
            </w:r>
            <w:r w:rsidRPr="005E3B43">
              <w:t>257</w:t>
            </w:r>
            <w:r w:rsidR="00422386" w:rsidRPr="005E3B43">
              <w:t>, 2003</w:t>
            </w:r>
          </w:p>
        </w:tc>
      </w:tr>
      <w:tr w:rsidR="00D64E96" w:rsidRPr="005E3B43" w14:paraId="60D24619" w14:textId="77777777" w:rsidTr="00034EA9">
        <w:trPr>
          <w:cantSplit/>
        </w:trPr>
        <w:tc>
          <w:tcPr>
            <w:tcW w:w="1495" w:type="pct"/>
          </w:tcPr>
          <w:p w14:paraId="223D05C3" w14:textId="77777777" w:rsidR="00D64E96" w:rsidRPr="005E3B43" w:rsidRDefault="00D64E96" w:rsidP="00763BCF">
            <w:pPr>
              <w:pStyle w:val="ENoteTableText"/>
            </w:pPr>
          </w:p>
        </w:tc>
        <w:tc>
          <w:tcPr>
            <w:tcW w:w="3505" w:type="pct"/>
          </w:tcPr>
          <w:p w14:paraId="1A12DDC3" w14:textId="77777777" w:rsidR="00D64E96" w:rsidRPr="005E3B43" w:rsidRDefault="00D64E96" w:rsidP="00763BCF">
            <w:pPr>
              <w:pStyle w:val="ENoteTableText"/>
            </w:pPr>
            <w:r w:rsidRPr="005E3B43">
              <w:t>am No</w:t>
            </w:r>
            <w:r w:rsidR="00A34E92" w:rsidRPr="005E3B43">
              <w:t> </w:t>
            </w:r>
            <w:r w:rsidRPr="005E3B43">
              <w:t>102</w:t>
            </w:r>
            <w:r w:rsidR="00422386" w:rsidRPr="005E3B43">
              <w:t>, 2011; F2018L00311</w:t>
            </w:r>
            <w:r w:rsidR="00BE6888" w:rsidRPr="005E3B43">
              <w:t>; F2019L01660</w:t>
            </w:r>
          </w:p>
        </w:tc>
      </w:tr>
      <w:tr w:rsidR="00D64E96" w:rsidRPr="005E3B43" w14:paraId="1478BBAE" w14:textId="77777777" w:rsidTr="00034EA9">
        <w:trPr>
          <w:cantSplit/>
        </w:trPr>
        <w:tc>
          <w:tcPr>
            <w:tcW w:w="1495" w:type="pct"/>
          </w:tcPr>
          <w:p w14:paraId="7DD81920" w14:textId="77777777" w:rsidR="00D64E96" w:rsidRPr="005E3B43" w:rsidRDefault="006B5D8E" w:rsidP="00763BCF">
            <w:pPr>
              <w:pStyle w:val="ENoteTableText"/>
              <w:tabs>
                <w:tab w:val="center" w:leader="dot" w:pos="2268"/>
              </w:tabs>
            </w:pPr>
            <w:r w:rsidRPr="005E3B43">
              <w:t>Part 2</w:t>
            </w:r>
            <w:r w:rsidR="00D64E96" w:rsidRPr="005E3B43">
              <w:t>B</w:t>
            </w:r>
            <w:r w:rsidR="00D64E96" w:rsidRPr="005E3B43">
              <w:tab/>
            </w:r>
          </w:p>
        </w:tc>
        <w:tc>
          <w:tcPr>
            <w:tcW w:w="3505" w:type="pct"/>
          </w:tcPr>
          <w:p w14:paraId="6648DDFA" w14:textId="77777777" w:rsidR="00D64E96" w:rsidRPr="005E3B43" w:rsidRDefault="00D64E96" w:rsidP="00763BCF">
            <w:pPr>
              <w:pStyle w:val="ENoteTableText"/>
            </w:pPr>
            <w:r w:rsidRPr="005E3B43">
              <w:t>ad. 2000 No.</w:t>
            </w:r>
            <w:r w:rsidR="004E6D00" w:rsidRPr="005E3B43">
              <w:t> </w:t>
            </w:r>
            <w:r w:rsidRPr="005E3B43">
              <w:t>48</w:t>
            </w:r>
          </w:p>
        </w:tc>
      </w:tr>
      <w:tr w:rsidR="00D64E96" w:rsidRPr="005E3B43" w14:paraId="60358008" w14:textId="77777777" w:rsidTr="00034EA9">
        <w:trPr>
          <w:cantSplit/>
        </w:trPr>
        <w:tc>
          <w:tcPr>
            <w:tcW w:w="1495" w:type="pct"/>
          </w:tcPr>
          <w:p w14:paraId="76C4BF59" w14:textId="77777777" w:rsidR="00D64E96" w:rsidRPr="005E3B43" w:rsidRDefault="00D64E96" w:rsidP="00763BCF">
            <w:pPr>
              <w:pStyle w:val="ENoteTableText"/>
            </w:pPr>
          </w:p>
        </w:tc>
        <w:tc>
          <w:tcPr>
            <w:tcW w:w="3505" w:type="pct"/>
          </w:tcPr>
          <w:p w14:paraId="74EDC1EC" w14:textId="77777777" w:rsidR="00D64E96" w:rsidRPr="005E3B43" w:rsidRDefault="00D64E96" w:rsidP="00763BCF">
            <w:pPr>
              <w:pStyle w:val="ENoteTableText"/>
            </w:pPr>
            <w:r w:rsidRPr="005E3B43">
              <w:t>rep. 2003 No.</w:t>
            </w:r>
            <w:r w:rsidR="004E6D00" w:rsidRPr="005E3B43">
              <w:t> </w:t>
            </w:r>
            <w:r w:rsidRPr="005E3B43">
              <w:t>301</w:t>
            </w:r>
          </w:p>
        </w:tc>
      </w:tr>
      <w:tr w:rsidR="00D64E96" w:rsidRPr="005E3B43" w14:paraId="619FDA1D" w14:textId="77777777" w:rsidTr="00034EA9">
        <w:trPr>
          <w:cantSplit/>
        </w:trPr>
        <w:tc>
          <w:tcPr>
            <w:tcW w:w="1495" w:type="pct"/>
          </w:tcPr>
          <w:p w14:paraId="7F7D9223" w14:textId="77777777" w:rsidR="00D64E96" w:rsidRPr="005E3B43" w:rsidRDefault="00D64E96" w:rsidP="00763BCF">
            <w:pPr>
              <w:pStyle w:val="ENoteTableText"/>
              <w:tabs>
                <w:tab w:val="center" w:leader="dot" w:pos="2268"/>
              </w:tabs>
            </w:pPr>
            <w:r w:rsidRPr="005E3B43">
              <w:t>r. 9P</w:t>
            </w:r>
            <w:r w:rsidRPr="005E3B43">
              <w:tab/>
            </w:r>
          </w:p>
        </w:tc>
        <w:tc>
          <w:tcPr>
            <w:tcW w:w="3505" w:type="pct"/>
          </w:tcPr>
          <w:p w14:paraId="0F5C43C0" w14:textId="77777777" w:rsidR="00D64E96" w:rsidRPr="005E3B43" w:rsidRDefault="00D64E96" w:rsidP="00763BCF">
            <w:pPr>
              <w:pStyle w:val="ENoteTableText"/>
            </w:pPr>
            <w:r w:rsidRPr="005E3B43">
              <w:t>ad. 2000 No.</w:t>
            </w:r>
            <w:r w:rsidR="004E6D00" w:rsidRPr="005E3B43">
              <w:t> </w:t>
            </w:r>
            <w:r w:rsidRPr="005E3B43">
              <w:t>48</w:t>
            </w:r>
          </w:p>
        </w:tc>
      </w:tr>
      <w:tr w:rsidR="00D64E96" w:rsidRPr="005E3B43" w14:paraId="2420F780" w14:textId="77777777" w:rsidTr="00034EA9">
        <w:trPr>
          <w:cantSplit/>
        </w:trPr>
        <w:tc>
          <w:tcPr>
            <w:tcW w:w="1495" w:type="pct"/>
          </w:tcPr>
          <w:p w14:paraId="4C7F81AC" w14:textId="77777777" w:rsidR="00D64E96" w:rsidRPr="005E3B43" w:rsidRDefault="00D64E96" w:rsidP="00763BCF">
            <w:pPr>
              <w:pStyle w:val="ENoteTableText"/>
            </w:pPr>
          </w:p>
        </w:tc>
        <w:tc>
          <w:tcPr>
            <w:tcW w:w="3505" w:type="pct"/>
          </w:tcPr>
          <w:p w14:paraId="529E75FB" w14:textId="77777777" w:rsidR="00D64E96" w:rsidRPr="005E3B43" w:rsidRDefault="00D64E96" w:rsidP="00763BCF">
            <w:pPr>
              <w:pStyle w:val="ENoteTableText"/>
            </w:pPr>
            <w:r w:rsidRPr="005E3B43">
              <w:t>rep. 2003 No.</w:t>
            </w:r>
            <w:r w:rsidR="004E6D00" w:rsidRPr="005E3B43">
              <w:t> </w:t>
            </w:r>
            <w:r w:rsidRPr="005E3B43">
              <w:t>301</w:t>
            </w:r>
          </w:p>
        </w:tc>
      </w:tr>
      <w:tr w:rsidR="00D64E96" w:rsidRPr="005E3B43" w14:paraId="6A72924C" w14:textId="77777777" w:rsidTr="00034EA9">
        <w:trPr>
          <w:cantSplit/>
        </w:trPr>
        <w:tc>
          <w:tcPr>
            <w:tcW w:w="1495" w:type="pct"/>
          </w:tcPr>
          <w:p w14:paraId="1FC3B0C2" w14:textId="77777777" w:rsidR="00D64E96" w:rsidRPr="005E3B43" w:rsidRDefault="00D64E96" w:rsidP="00763BCF">
            <w:pPr>
              <w:pStyle w:val="ENoteTableText"/>
              <w:tabs>
                <w:tab w:val="center" w:leader="dot" w:pos="2268"/>
              </w:tabs>
            </w:pPr>
            <w:r w:rsidRPr="005E3B43">
              <w:t>r. 9Q</w:t>
            </w:r>
            <w:r w:rsidRPr="005E3B43">
              <w:tab/>
            </w:r>
          </w:p>
        </w:tc>
        <w:tc>
          <w:tcPr>
            <w:tcW w:w="3505" w:type="pct"/>
          </w:tcPr>
          <w:p w14:paraId="3160D25A" w14:textId="77777777" w:rsidR="00D64E96" w:rsidRPr="005E3B43" w:rsidRDefault="00D64E96" w:rsidP="00763BCF">
            <w:pPr>
              <w:pStyle w:val="ENoteTableText"/>
            </w:pPr>
            <w:r w:rsidRPr="005E3B43">
              <w:t>ad. 2000 No.</w:t>
            </w:r>
            <w:r w:rsidR="004E6D00" w:rsidRPr="005E3B43">
              <w:t> </w:t>
            </w:r>
            <w:r w:rsidRPr="005E3B43">
              <w:t>48</w:t>
            </w:r>
          </w:p>
        </w:tc>
      </w:tr>
      <w:tr w:rsidR="00D64E96" w:rsidRPr="005E3B43" w14:paraId="421CDFC0" w14:textId="77777777" w:rsidTr="00034EA9">
        <w:trPr>
          <w:cantSplit/>
        </w:trPr>
        <w:tc>
          <w:tcPr>
            <w:tcW w:w="1495" w:type="pct"/>
          </w:tcPr>
          <w:p w14:paraId="48635203" w14:textId="77777777" w:rsidR="00D64E96" w:rsidRPr="005E3B43" w:rsidRDefault="00D64E96" w:rsidP="00763BCF">
            <w:pPr>
              <w:pStyle w:val="ENoteTableText"/>
            </w:pPr>
          </w:p>
        </w:tc>
        <w:tc>
          <w:tcPr>
            <w:tcW w:w="3505" w:type="pct"/>
          </w:tcPr>
          <w:p w14:paraId="254E2637" w14:textId="77777777" w:rsidR="00D64E96" w:rsidRPr="005E3B43" w:rsidRDefault="00D64E96" w:rsidP="00763BCF">
            <w:pPr>
              <w:pStyle w:val="ENoteTableText"/>
            </w:pPr>
            <w:r w:rsidRPr="005E3B43">
              <w:t>rep. 2003 No.</w:t>
            </w:r>
            <w:r w:rsidR="004E6D00" w:rsidRPr="005E3B43">
              <w:t> </w:t>
            </w:r>
            <w:r w:rsidRPr="005E3B43">
              <w:t>301</w:t>
            </w:r>
          </w:p>
        </w:tc>
      </w:tr>
      <w:tr w:rsidR="00D64E96" w:rsidRPr="005E3B43" w14:paraId="6D3A6846" w14:textId="77777777" w:rsidTr="00034EA9">
        <w:trPr>
          <w:cantSplit/>
        </w:trPr>
        <w:tc>
          <w:tcPr>
            <w:tcW w:w="1495" w:type="pct"/>
          </w:tcPr>
          <w:p w14:paraId="68C0A56F" w14:textId="77777777" w:rsidR="00D64E96" w:rsidRPr="005E3B43" w:rsidRDefault="00D64E96" w:rsidP="00763BCF">
            <w:pPr>
              <w:pStyle w:val="ENoteTableText"/>
              <w:tabs>
                <w:tab w:val="center" w:leader="dot" w:pos="2268"/>
              </w:tabs>
            </w:pPr>
            <w:r w:rsidRPr="005E3B43">
              <w:lastRenderedPageBreak/>
              <w:t>r. 9R</w:t>
            </w:r>
            <w:r w:rsidRPr="005E3B43">
              <w:tab/>
            </w:r>
          </w:p>
        </w:tc>
        <w:tc>
          <w:tcPr>
            <w:tcW w:w="3505" w:type="pct"/>
          </w:tcPr>
          <w:p w14:paraId="4197879D" w14:textId="77777777" w:rsidR="00D64E96" w:rsidRPr="005E3B43" w:rsidRDefault="00D64E96" w:rsidP="00763BCF">
            <w:pPr>
              <w:pStyle w:val="ENoteTableText"/>
            </w:pPr>
            <w:r w:rsidRPr="005E3B43">
              <w:t>ad. 2000 No.</w:t>
            </w:r>
            <w:r w:rsidR="004E6D00" w:rsidRPr="005E3B43">
              <w:t> </w:t>
            </w:r>
            <w:r w:rsidRPr="005E3B43">
              <w:t>48</w:t>
            </w:r>
          </w:p>
        </w:tc>
      </w:tr>
      <w:tr w:rsidR="00D64E96" w:rsidRPr="005E3B43" w14:paraId="67EF0D0E" w14:textId="77777777" w:rsidTr="00034EA9">
        <w:trPr>
          <w:cantSplit/>
        </w:trPr>
        <w:tc>
          <w:tcPr>
            <w:tcW w:w="1495" w:type="pct"/>
          </w:tcPr>
          <w:p w14:paraId="74BF4840" w14:textId="77777777" w:rsidR="00D64E96" w:rsidRPr="005E3B43" w:rsidRDefault="00D64E96" w:rsidP="00763BCF">
            <w:pPr>
              <w:pStyle w:val="ENoteTableText"/>
            </w:pPr>
          </w:p>
        </w:tc>
        <w:tc>
          <w:tcPr>
            <w:tcW w:w="3505" w:type="pct"/>
          </w:tcPr>
          <w:p w14:paraId="6943C525" w14:textId="77777777" w:rsidR="00D64E96" w:rsidRPr="005E3B43" w:rsidRDefault="00D64E96" w:rsidP="00763BCF">
            <w:pPr>
              <w:pStyle w:val="ENoteTableText"/>
            </w:pPr>
            <w:r w:rsidRPr="005E3B43">
              <w:t>am. 2002 No.</w:t>
            </w:r>
            <w:r w:rsidR="004E6D00" w:rsidRPr="005E3B43">
              <w:t> </w:t>
            </w:r>
            <w:r w:rsidRPr="005E3B43">
              <w:t>9</w:t>
            </w:r>
          </w:p>
        </w:tc>
      </w:tr>
      <w:tr w:rsidR="00D64E96" w:rsidRPr="005E3B43" w14:paraId="563788A5" w14:textId="77777777" w:rsidTr="00034EA9">
        <w:trPr>
          <w:cantSplit/>
        </w:trPr>
        <w:tc>
          <w:tcPr>
            <w:tcW w:w="1495" w:type="pct"/>
          </w:tcPr>
          <w:p w14:paraId="58D4D283" w14:textId="77777777" w:rsidR="00D64E96" w:rsidRPr="005E3B43" w:rsidRDefault="00D64E96" w:rsidP="00763BCF">
            <w:pPr>
              <w:pStyle w:val="ENoteTableText"/>
            </w:pPr>
          </w:p>
        </w:tc>
        <w:tc>
          <w:tcPr>
            <w:tcW w:w="3505" w:type="pct"/>
          </w:tcPr>
          <w:p w14:paraId="779CD22A" w14:textId="77777777" w:rsidR="00D64E96" w:rsidRPr="005E3B43" w:rsidRDefault="00D64E96" w:rsidP="00763BCF">
            <w:pPr>
              <w:pStyle w:val="ENoteTableText"/>
            </w:pPr>
            <w:r w:rsidRPr="005E3B43">
              <w:t>rep. 2003 No.</w:t>
            </w:r>
            <w:r w:rsidR="004E6D00" w:rsidRPr="005E3B43">
              <w:t> </w:t>
            </w:r>
            <w:r w:rsidRPr="005E3B43">
              <w:t>301</w:t>
            </w:r>
          </w:p>
        </w:tc>
      </w:tr>
      <w:tr w:rsidR="00D64E96" w:rsidRPr="005E3B43" w14:paraId="764FC43B" w14:textId="77777777" w:rsidTr="00034EA9">
        <w:trPr>
          <w:cantSplit/>
        </w:trPr>
        <w:tc>
          <w:tcPr>
            <w:tcW w:w="1495" w:type="pct"/>
          </w:tcPr>
          <w:p w14:paraId="2B8217A8" w14:textId="77777777" w:rsidR="00D64E96" w:rsidRPr="005E3B43" w:rsidRDefault="00D64E96" w:rsidP="00763BCF">
            <w:pPr>
              <w:pStyle w:val="ENoteTableText"/>
              <w:tabs>
                <w:tab w:val="center" w:leader="dot" w:pos="2268"/>
              </w:tabs>
            </w:pPr>
            <w:r w:rsidRPr="005E3B43">
              <w:t>r. 9S</w:t>
            </w:r>
            <w:r w:rsidRPr="005E3B43">
              <w:tab/>
            </w:r>
          </w:p>
        </w:tc>
        <w:tc>
          <w:tcPr>
            <w:tcW w:w="3505" w:type="pct"/>
          </w:tcPr>
          <w:p w14:paraId="38D24938" w14:textId="77777777" w:rsidR="00D64E96" w:rsidRPr="005E3B43" w:rsidRDefault="00D64E96" w:rsidP="00763BCF">
            <w:pPr>
              <w:pStyle w:val="ENoteTableText"/>
            </w:pPr>
            <w:r w:rsidRPr="005E3B43">
              <w:t>ad. 2000 No.</w:t>
            </w:r>
            <w:r w:rsidR="004E6D00" w:rsidRPr="005E3B43">
              <w:t> </w:t>
            </w:r>
            <w:r w:rsidRPr="005E3B43">
              <w:t>48</w:t>
            </w:r>
          </w:p>
        </w:tc>
      </w:tr>
      <w:tr w:rsidR="00D64E96" w:rsidRPr="005E3B43" w14:paraId="3822266F" w14:textId="77777777" w:rsidTr="00034EA9">
        <w:trPr>
          <w:cantSplit/>
        </w:trPr>
        <w:tc>
          <w:tcPr>
            <w:tcW w:w="1495" w:type="pct"/>
          </w:tcPr>
          <w:p w14:paraId="6D27F1EF" w14:textId="77777777" w:rsidR="00D64E96" w:rsidRPr="005E3B43" w:rsidRDefault="00D64E96" w:rsidP="00763BCF">
            <w:pPr>
              <w:pStyle w:val="ENoteTableText"/>
            </w:pPr>
          </w:p>
        </w:tc>
        <w:tc>
          <w:tcPr>
            <w:tcW w:w="3505" w:type="pct"/>
          </w:tcPr>
          <w:p w14:paraId="30794A3F" w14:textId="77777777" w:rsidR="00D64E96" w:rsidRPr="005E3B43" w:rsidRDefault="00D64E96" w:rsidP="00763BCF">
            <w:pPr>
              <w:pStyle w:val="ENoteTableText"/>
            </w:pPr>
            <w:r w:rsidRPr="005E3B43">
              <w:t>am. 2002 No.</w:t>
            </w:r>
            <w:r w:rsidR="004E6D00" w:rsidRPr="005E3B43">
              <w:t> </w:t>
            </w:r>
            <w:r w:rsidRPr="005E3B43">
              <w:t>315</w:t>
            </w:r>
          </w:p>
        </w:tc>
      </w:tr>
      <w:tr w:rsidR="00D64E96" w:rsidRPr="005E3B43" w14:paraId="220D1A34" w14:textId="77777777" w:rsidTr="00034EA9">
        <w:trPr>
          <w:cantSplit/>
        </w:trPr>
        <w:tc>
          <w:tcPr>
            <w:tcW w:w="1495" w:type="pct"/>
          </w:tcPr>
          <w:p w14:paraId="1129381C" w14:textId="77777777" w:rsidR="00D64E96" w:rsidRPr="005E3B43" w:rsidRDefault="00D64E96" w:rsidP="00763BCF">
            <w:pPr>
              <w:pStyle w:val="ENoteTableText"/>
            </w:pPr>
          </w:p>
        </w:tc>
        <w:tc>
          <w:tcPr>
            <w:tcW w:w="3505" w:type="pct"/>
          </w:tcPr>
          <w:p w14:paraId="755A3E18" w14:textId="77777777" w:rsidR="00D64E96" w:rsidRPr="005E3B43" w:rsidRDefault="00D64E96" w:rsidP="00763BCF">
            <w:pPr>
              <w:pStyle w:val="ENoteTableText"/>
            </w:pPr>
            <w:r w:rsidRPr="005E3B43">
              <w:t>rep. 2003 No.</w:t>
            </w:r>
            <w:r w:rsidR="004E6D00" w:rsidRPr="005E3B43">
              <w:t> </w:t>
            </w:r>
            <w:r w:rsidRPr="005E3B43">
              <w:t>301</w:t>
            </w:r>
          </w:p>
        </w:tc>
      </w:tr>
      <w:tr w:rsidR="00D64E96" w:rsidRPr="005E3B43" w14:paraId="7D537995" w14:textId="77777777" w:rsidTr="00034EA9">
        <w:trPr>
          <w:cantSplit/>
        </w:trPr>
        <w:tc>
          <w:tcPr>
            <w:tcW w:w="1495" w:type="pct"/>
          </w:tcPr>
          <w:p w14:paraId="6BB2FD8D" w14:textId="77777777" w:rsidR="00D64E96" w:rsidRPr="005E3B43" w:rsidRDefault="006B5D8E" w:rsidP="00763BCF">
            <w:pPr>
              <w:pStyle w:val="ENoteTableText"/>
              <w:keepNext/>
              <w:keepLines/>
            </w:pPr>
            <w:r w:rsidRPr="005E3B43">
              <w:rPr>
                <w:b/>
              </w:rPr>
              <w:t>Part 2</w:t>
            </w:r>
            <w:r w:rsidR="00D64E96" w:rsidRPr="005E3B43">
              <w:rPr>
                <w:b/>
              </w:rPr>
              <w:t>C</w:t>
            </w:r>
          </w:p>
        </w:tc>
        <w:tc>
          <w:tcPr>
            <w:tcW w:w="3505" w:type="pct"/>
          </w:tcPr>
          <w:p w14:paraId="4CB6010F" w14:textId="77777777" w:rsidR="00D64E96" w:rsidRPr="005E3B43" w:rsidRDefault="00D64E96" w:rsidP="00763BCF">
            <w:pPr>
              <w:pStyle w:val="ENoteTableText"/>
            </w:pPr>
          </w:p>
        </w:tc>
      </w:tr>
      <w:tr w:rsidR="00D64E96" w:rsidRPr="005E3B43" w14:paraId="0559E3B6" w14:textId="77777777" w:rsidTr="00034EA9">
        <w:trPr>
          <w:cantSplit/>
        </w:trPr>
        <w:tc>
          <w:tcPr>
            <w:tcW w:w="1495" w:type="pct"/>
          </w:tcPr>
          <w:p w14:paraId="066C40DE" w14:textId="77777777" w:rsidR="00D64E96" w:rsidRPr="005E3B43" w:rsidRDefault="006B5D8E" w:rsidP="00763BCF">
            <w:pPr>
              <w:pStyle w:val="ENoteTableText"/>
              <w:tabs>
                <w:tab w:val="center" w:leader="dot" w:pos="2268"/>
              </w:tabs>
            </w:pPr>
            <w:r w:rsidRPr="005E3B43">
              <w:t>Part 2</w:t>
            </w:r>
            <w:r w:rsidR="00D64E96" w:rsidRPr="005E3B43">
              <w:t>C</w:t>
            </w:r>
            <w:r w:rsidR="00D64E96" w:rsidRPr="005E3B43">
              <w:tab/>
            </w:r>
          </w:p>
        </w:tc>
        <w:tc>
          <w:tcPr>
            <w:tcW w:w="3505" w:type="pct"/>
          </w:tcPr>
          <w:p w14:paraId="02014252" w14:textId="77777777" w:rsidR="00D64E96" w:rsidRPr="005E3B43" w:rsidRDefault="00D64E96" w:rsidP="00763BCF">
            <w:pPr>
              <w:pStyle w:val="ENoteTableText"/>
            </w:pPr>
            <w:r w:rsidRPr="005E3B43">
              <w:t>ad. 2002 No.</w:t>
            </w:r>
            <w:r w:rsidR="004E6D00" w:rsidRPr="005E3B43">
              <w:t> </w:t>
            </w:r>
            <w:r w:rsidRPr="005E3B43">
              <w:t>234</w:t>
            </w:r>
          </w:p>
        </w:tc>
      </w:tr>
      <w:tr w:rsidR="00D64E96" w:rsidRPr="005E3B43" w14:paraId="5DCC874A" w14:textId="77777777" w:rsidTr="00034EA9">
        <w:trPr>
          <w:cantSplit/>
        </w:trPr>
        <w:tc>
          <w:tcPr>
            <w:tcW w:w="1495" w:type="pct"/>
          </w:tcPr>
          <w:p w14:paraId="64817F21" w14:textId="7D17FD1B" w:rsidR="00D64E96" w:rsidRPr="005E3B43" w:rsidRDefault="007C3215" w:rsidP="00763BCF">
            <w:pPr>
              <w:pStyle w:val="ENoteTableText"/>
            </w:pPr>
            <w:r>
              <w:rPr>
                <w:b/>
              </w:rPr>
              <w:t>Division 2</w:t>
            </w:r>
            <w:r w:rsidR="00D64E96" w:rsidRPr="005E3B43">
              <w:rPr>
                <w:b/>
              </w:rPr>
              <w:t>C.1</w:t>
            </w:r>
          </w:p>
        </w:tc>
        <w:tc>
          <w:tcPr>
            <w:tcW w:w="3505" w:type="pct"/>
          </w:tcPr>
          <w:p w14:paraId="56F706CB" w14:textId="77777777" w:rsidR="00D64E96" w:rsidRPr="005E3B43" w:rsidRDefault="00D64E96" w:rsidP="00763BCF">
            <w:pPr>
              <w:pStyle w:val="ENoteTableText"/>
            </w:pPr>
          </w:p>
        </w:tc>
      </w:tr>
      <w:tr w:rsidR="00D64E96" w:rsidRPr="005E3B43" w14:paraId="158112DC" w14:textId="77777777" w:rsidTr="00034EA9">
        <w:trPr>
          <w:cantSplit/>
        </w:trPr>
        <w:tc>
          <w:tcPr>
            <w:tcW w:w="1495" w:type="pct"/>
          </w:tcPr>
          <w:p w14:paraId="0A6F1128" w14:textId="77777777" w:rsidR="00D64E96" w:rsidRPr="005E3B43" w:rsidRDefault="00D64E96" w:rsidP="00763BCF">
            <w:pPr>
              <w:pStyle w:val="ENoteTableText"/>
              <w:tabs>
                <w:tab w:val="center" w:leader="dot" w:pos="2268"/>
              </w:tabs>
            </w:pPr>
            <w:r w:rsidRPr="005E3B43">
              <w:t>r 10</w:t>
            </w:r>
            <w:r w:rsidRPr="005E3B43">
              <w:tab/>
            </w:r>
          </w:p>
        </w:tc>
        <w:tc>
          <w:tcPr>
            <w:tcW w:w="3505" w:type="pct"/>
          </w:tcPr>
          <w:p w14:paraId="61F1D4E4" w14:textId="77777777" w:rsidR="00D64E96" w:rsidRPr="005E3B43" w:rsidRDefault="00D64E96" w:rsidP="00763BCF">
            <w:pPr>
              <w:pStyle w:val="ENoteTableText"/>
            </w:pPr>
            <w:r w:rsidRPr="005E3B43">
              <w:t>rs No</w:t>
            </w:r>
            <w:r w:rsidR="00A34E92" w:rsidRPr="005E3B43">
              <w:t> </w:t>
            </w:r>
            <w:r w:rsidRPr="005E3B43">
              <w:t>234</w:t>
            </w:r>
            <w:r w:rsidR="004D5C37" w:rsidRPr="005E3B43">
              <w:t>, 2002</w:t>
            </w:r>
          </w:p>
        </w:tc>
      </w:tr>
      <w:tr w:rsidR="009A3B8C" w:rsidRPr="005E3B43" w14:paraId="79F39A83" w14:textId="77777777" w:rsidTr="00034EA9">
        <w:trPr>
          <w:cantSplit/>
        </w:trPr>
        <w:tc>
          <w:tcPr>
            <w:tcW w:w="1495" w:type="pct"/>
          </w:tcPr>
          <w:p w14:paraId="13BD4835" w14:textId="77777777" w:rsidR="009A3B8C" w:rsidRPr="005E3B43" w:rsidRDefault="009A3B8C" w:rsidP="00763BCF">
            <w:pPr>
              <w:pStyle w:val="ENoteTableText"/>
              <w:tabs>
                <w:tab w:val="center" w:leader="dot" w:pos="2268"/>
              </w:tabs>
            </w:pPr>
          </w:p>
        </w:tc>
        <w:tc>
          <w:tcPr>
            <w:tcW w:w="3505" w:type="pct"/>
          </w:tcPr>
          <w:p w14:paraId="5F87DB44" w14:textId="77777777" w:rsidR="009A3B8C" w:rsidRPr="005E3B43" w:rsidRDefault="009A3B8C" w:rsidP="00763BCF">
            <w:pPr>
              <w:pStyle w:val="ENoteTableText"/>
            </w:pPr>
            <w:r w:rsidRPr="005E3B43">
              <w:t>am No 213, 2015</w:t>
            </w:r>
            <w:r w:rsidR="004D5C37" w:rsidRPr="005E3B43">
              <w:t>; F2018L00311</w:t>
            </w:r>
          </w:p>
        </w:tc>
      </w:tr>
      <w:tr w:rsidR="00A75468" w:rsidRPr="005E3B43" w14:paraId="4457C5D2" w14:textId="77777777" w:rsidTr="00034EA9">
        <w:trPr>
          <w:cantSplit/>
        </w:trPr>
        <w:tc>
          <w:tcPr>
            <w:tcW w:w="1495" w:type="pct"/>
          </w:tcPr>
          <w:p w14:paraId="117B997D" w14:textId="77777777" w:rsidR="00A75468" w:rsidRPr="005E3B43" w:rsidRDefault="00A75468" w:rsidP="00763BCF">
            <w:pPr>
              <w:pStyle w:val="ENoteTableText"/>
              <w:tabs>
                <w:tab w:val="center" w:leader="dot" w:pos="2268"/>
              </w:tabs>
            </w:pPr>
            <w:r w:rsidRPr="005E3B43">
              <w:t>r 10AAA</w:t>
            </w:r>
            <w:r w:rsidRPr="005E3B43">
              <w:tab/>
            </w:r>
          </w:p>
        </w:tc>
        <w:tc>
          <w:tcPr>
            <w:tcW w:w="3505" w:type="pct"/>
          </w:tcPr>
          <w:p w14:paraId="4DBC1AAA" w14:textId="77777777" w:rsidR="00A75468" w:rsidRPr="005E3B43" w:rsidRDefault="00A75468" w:rsidP="00763BCF">
            <w:pPr>
              <w:pStyle w:val="ENoteTableText"/>
            </w:pPr>
            <w:r w:rsidRPr="005E3B43">
              <w:t>ad F2017L00853</w:t>
            </w:r>
          </w:p>
        </w:tc>
      </w:tr>
      <w:tr w:rsidR="00BD3E81" w:rsidRPr="005E3B43" w14:paraId="51439032" w14:textId="77777777" w:rsidTr="00034EA9">
        <w:trPr>
          <w:cantSplit/>
        </w:trPr>
        <w:tc>
          <w:tcPr>
            <w:tcW w:w="1495" w:type="pct"/>
          </w:tcPr>
          <w:p w14:paraId="764CEFDD" w14:textId="77777777" w:rsidR="00BD3E81" w:rsidRPr="005E3B43" w:rsidRDefault="00BD3E81" w:rsidP="00763BCF">
            <w:pPr>
              <w:pStyle w:val="ENoteTableText"/>
              <w:tabs>
                <w:tab w:val="center" w:leader="dot" w:pos="2268"/>
              </w:tabs>
            </w:pPr>
          </w:p>
        </w:tc>
        <w:tc>
          <w:tcPr>
            <w:tcW w:w="3505" w:type="pct"/>
          </w:tcPr>
          <w:p w14:paraId="009AE4AE" w14:textId="77777777" w:rsidR="00BD3E81" w:rsidRPr="005E3B43" w:rsidRDefault="00BD3E81" w:rsidP="00763BCF">
            <w:pPr>
              <w:pStyle w:val="ENoteTableText"/>
            </w:pPr>
            <w:r w:rsidRPr="005E3B43">
              <w:t>am F2017L01561</w:t>
            </w:r>
          </w:p>
        </w:tc>
      </w:tr>
      <w:tr w:rsidR="00A75468" w:rsidRPr="005E3B43" w14:paraId="3064B0DD" w14:textId="77777777" w:rsidTr="00034EA9">
        <w:trPr>
          <w:cantSplit/>
        </w:trPr>
        <w:tc>
          <w:tcPr>
            <w:tcW w:w="1495" w:type="pct"/>
          </w:tcPr>
          <w:p w14:paraId="27FFB5B8" w14:textId="77777777" w:rsidR="00A75468" w:rsidRPr="005E3B43" w:rsidRDefault="00A75468" w:rsidP="00763BCF">
            <w:pPr>
              <w:pStyle w:val="ENoteTableText"/>
              <w:tabs>
                <w:tab w:val="center" w:leader="dot" w:pos="2268"/>
              </w:tabs>
            </w:pPr>
            <w:r w:rsidRPr="005E3B43">
              <w:t>r 10AAB</w:t>
            </w:r>
            <w:r w:rsidRPr="005E3B43">
              <w:tab/>
            </w:r>
          </w:p>
        </w:tc>
        <w:tc>
          <w:tcPr>
            <w:tcW w:w="3505" w:type="pct"/>
          </w:tcPr>
          <w:p w14:paraId="17EB13D6" w14:textId="77777777" w:rsidR="00A75468" w:rsidRPr="005E3B43" w:rsidRDefault="00A75468" w:rsidP="00763BCF">
            <w:pPr>
              <w:pStyle w:val="ENoteTableText"/>
            </w:pPr>
            <w:r w:rsidRPr="005E3B43">
              <w:t>ad F2017L00853</w:t>
            </w:r>
          </w:p>
        </w:tc>
      </w:tr>
      <w:tr w:rsidR="00BD3E81" w:rsidRPr="005E3B43" w14:paraId="4D53C544" w14:textId="77777777" w:rsidTr="00034EA9">
        <w:trPr>
          <w:cantSplit/>
        </w:trPr>
        <w:tc>
          <w:tcPr>
            <w:tcW w:w="1495" w:type="pct"/>
          </w:tcPr>
          <w:p w14:paraId="21E1EA00" w14:textId="77777777" w:rsidR="00BD3E81" w:rsidRPr="005E3B43" w:rsidRDefault="00BD3E81" w:rsidP="00763BCF">
            <w:pPr>
              <w:pStyle w:val="ENoteTableText"/>
              <w:tabs>
                <w:tab w:val="center" w:leader="dot" w:pos="2268"/>
              </w:tabs>
            </w:pPr>
          </w:p>
        </w:tc>
        <w:tc>
          <w:tcPr>
            <w:tcW w:w="3505" w:type="pct"/>
          </w:tcPr>
          <w:p w14:paraId="72DAC210" w14:textId="77777777" w:rsidR="00BD3E81" w:rsidRPr="005E3B43" w:rsidRDefault="00BD3E81" w:rsidP="00763BCF">
            <w:pPr>
              <w:pStyle w:val="ENoteTableText"/>
            </w:pPr>
            <w:r w:rsidRPr="005E3B43">
              <w:t>am F2017L01561</w:t>
            </w:r>
            <w:r w:rsidR="00501F68" w:rsidRPr="005E3B43">
              <w:t>; F2018L00865</w:t>
            </w:r>
          </w:p>
        </w:tc>
      </w:tr>
      <w:tr w:rsidR="00A75468" w:rsidRPr="005E3B43" w14:paraId="7640B712" w14:textId="77777777" w:rsidTr="00034EA9">
        <w:trPr>
          <w:cantSplit/>
        </w:trPr>
        <w:tc>
          <w:tcPr>
            <w:tcW w:w="1495" w:type="pct"/>
          </w:tcPr>
          <w:p w14:paraId="21C39972" w14:textId="77777777" w:rsidR="00A75468" w:rsidRPr="005E3B43" w:rsidRDefault="00A75468" w:rsidP="00763BCF">
            <w:pPr>
              <w:pStyle w:val="ENoteTableText"/>
              <w:tabs>
                <w:tab w:val="center" w:leader="dot" w:pos="2268"/>
              </w:tabs>
            </w:pPr>
            <w:r w:rsidRPr="005E3B43">
              <w:t>r 10AAC</w:t>
            </w:r>
            <w:r w:rsidRPr="005E3B43">
              <w:tab/>
            </w:r>
          </w:p>
        </w:tc>
        <w:tc>
          <w:tcPr>
            <w:tcW w:w="3505" w:type="pct"/>
          </w:tcPr>
          <w:p w14:paraId="67E278C9" w14:textId="77777777" w:rsidR="00A75468" w:rsidRPr="005E3B43" w:rsidRDefault="00A75468" w:rsidP="00763BCF">
            <w:pPr>
              <w:pStyle w:val="ENoteTableText"/>
            </w:pPr>
            <w:r w:rsidRPr="005E3B43">
              <w:t>ad F2017L00853</w:t>
            </w:r>
          </w:p>
        </w:tc>
      </w:tr>
      <w:tr w:rsidR="00BD3E81" w:rsidRPr="005E3B43" w14:paraId="5DF7B74E" w14:textId="77777777" w:rsidTr="00034EA9">
        <w:trPr>
          <w:cantSplit/>
        </w:trPr>
        <w:tc>
          <w:tcPr>
            <w:tcW w:w="1495" w:type="pct"/>
          </w:tcPr>
          <w:p w14:paraId="2BBC17A4" w14:textId="77777777" w:rsidR="00BD3E81" w:rsidRPr="005E3B43" w:rsidRDefault="00BD3E81" w:rsidP="00763BCF">
            <w:pPr>
              <w:pStyle w:val="ENoteTableText"/>
              <w:tabs>
                <w:tab w:val="center" w:leader="dot" w:pos="2268"/>
              </w:tabs>
            </w:pPr>
          </w:p>
        </w:tc>
        <w:tc>
          <w:tcPr>
            <w:tcW w:w="3505" w:type="pct"/>
          </w:tcPr>
          <w:p w14:paraId="69E3A9D8" w14:textId="77777777" w:rsidR="00BD3E81" w:rsidRPr="005E3B43" w:rsidRDefault="00BD3E81" w:rsidP="00763BCF">
            <w:pPr>
              <w:pStyle w:val="ENoteTableText"/>
            </w:pPr>
            <w:r w:rsidRPr="005E3B43">
              <w:t>am F2017L01561</w:t>
            </w:r>
          </w:p>
        </w:tc>
      </w:tr>
      <w:tr w:rsidR="00BD3E81" w:rsidRPr="005E3B43" w14:paraId="7376BC81" w14:textId="77777777" w:rsidTr="00034EA9">
        <w:trPr>
          <w:cantSplit/>
        </w:trPr>
        <w:tc>
          <w:tcPr>
            <w:tcW w:w="1495" w:type="pct"/>
          </w:tcPr>
          <w:p w14:paraId="03402480" w14:textId="77777777" w:rsidR="00BD3E81" w:rsidRPr="005E3B43" w:rsidRDefault="00BD3E81" w:rsidP="00763BCF">
            <w:pPr>
              <w:pStyle w:val="ENoteTableText"/>
              <w:tabs>
                <w:tab w:val="center" w:leader="dot" w:pos="2268"/>
              </w:tabs>
            </w:pPr>
            <w:r w:rsidRPr="005E3B43">
              <w:t>r 10AAD</w:t>
            </w:r>
            <w:r w:rsidRPr="005E3B43">
              <w:tab/>
            </w:r>
          </w:p>
        </w:tc>
        <w:tc>
          <w:tcPr>
            <w:tcW w:w="3505" w:type="pct"/>
          </w:tcPr>
          <w:p w14:paraId="4EC4EAF6" w14:textId="77777777" w:rsidR="00BD3E81" w:rsidRPr="005E3B43" w:rsidRDefault="00BD3E81" w:rsidP="00763BCF">
            <w:pPr>
              <w:pStyle w:val="ENoteTableText"/>
            </w:pPr>
            <w:r w:rsidRPr="005E3B43">
              <w:t>ad F2017L01561</w:t>
            </w:r>
          </w:p>
        </w:tc>
      </w:tr>
      <w:tr w:rsidR="003E2BB8" w:rsidRPr="005E3B43" w14:paraId="4A70E6DC" w14:textId="77777777" w:rsidTr="00034EA9">
        <w:trPr>
          <w:cantSplit/>
        </w:trPr>
        <w:tc>
          <w:tcPr>
            <w:tcW w:w="1495" w:type="pct"/>
          </w:tcPr>
          <w:p w14:paraId="2D2A893D" w14:textId="77777777" w:rsidR="003E2BB8" w:rsidRPr="005E3B43" w:rsidRDefault="003E2BB8" w:rsidP="00763BCF">
            <w:pPr>
              <w:pStyle w:val="ENoteTableText"/>
              <w:tabs>
                <w:tab w:val="center" w:leader="dot" w:pos="2268"/>
              </w:tabs>
            </w:pPr>
          </w:p>
        </w:tc>
        <w:tc>
          <w:tcPr>
            <w:tcW w:w="3505" w:type="pct"/>
          </w:tcPr>
          <w:p w14:paraId="53DFC40C" w14:textId="77777777" w:rsidR="003E2BB8" w:rsidRPr="005E3B43" w:rsidRDefault="003E2BB8" w:rsidP="00763BCF">
            <w:pPr>
              <w:pStyle w:val="ENoteTableText"/>
            </w:pPr>
            <w:r w:rsidRPr="005E3B43">
              <w:t>am F2023L00769</w:t>
            </w:r>
          </w:p>
        </w:tc>
      </w:tr>
      <w:tr w:rsidR="00D64E96" w:rsidRPr="005E3B43" w14:paraId="5E4348DD" w14:textId="77777777" w:rsidTr="00034EA9">
        <w:trPr>
          <w:cantSplit/>
        </w:trPr>
        <w:tc>
          <w:tcPr>
            <w:tcW w:w="1495" w:type="pct"/>
          </w:tcPr>
          <w:p w14:paraId="68557257" w14:textId="77777777" w:rsidR="00D64E96" w:rsidRPr="005E3B43" w:rsidRDefault="00D64E96" w:rsidP="00763BCF">
            <w:pPr>
              <w:pStyle w:val="ENoteTableText"/>
              <w:tabs>
                <w:tab w:val="center" w:leader="dot" w:pos="2268"/>
              </w:tabs>
            </w:pPr>
            <w:r w:rsidRPr="005E3B43">
              <w:t>r 10A</w:t>
            </w:r>
            <w:r w:rsidR="001F41DB" w:rsidRPr="005E3B43">
              <w:t xml:space="preserve"> (prev r 13)</w:t>
            </w:r>
            <w:r w:rsidRPr="005E3B43">
              <w:tab/>
            </w:r>
          </w:p>
        </w:tc>
        <w:tc>
          <w:tcPr>
            <w:tcW w:w="3505" w:type="pct"/>
          </w:tcPr>
          <w:p w14:paraId="31106D71" w14:textId="77777777" w:rsidR="00D64E96" w:rsidRPr="005E3B43" w:rsidRDefault="00FD7E9E" w:rsidP="00763BCF">
            <w:pPr>
              <w:pStyle w:val="ENoteTableText"/>
            </w:pPr>
            <w:r w:rsidRPr="005E3B43">
              <w:t>rep F2016L00109</w:t>
            </w:r>
          </w:p>
        </w:tc>
      </w:tr>
      <w:tr w:rsidR="00FB5EE4" w:rsidRPr="005E3B43" w14:paraId="6353A154" w14:textId="77777777" w:rsidTr="00034EA9">
        <w:trPr>
          <w:cantSplit/>
        </w:trPr>
        <w:tc>
          <w:tcPr>
            <w:tcW w:w="1495" w:type="pct"/>
          </w:tcPr>
          <w:p w14:paraId="564F24B2" w14:textId="77777777" w:rsidR="00FB5EE4" w:rsidRPr="005E3B43" w:rsidRDefault="00FB5EE4" w:rsidP="00763BCF">
            <w:pPr>
              <w:pStyle w:val="ENoteTableText"/>
              <w:tabs>
                <w:tab w:val="center" w:leader="dot" w:pos="2268"/>
              </w:tabs>
            </w:pPr>
            <w:r w:rsidRPr="005E3B43">
              <w:t>r 10AA</w:t>
            </w:r>
            <w:r w:rsidRPr="005E3B43">
              <w:tab/>
            </w:r>
          </w:p>
        </w:tc>
        <w:tc>
          <w:tcPr>
            <w:tcW w:w="3505" w:type="pct"/>
          </w:tcPr>
          <w:p w14:paraId="353F9569" w14:textId="77777777" w:rsidR="00FB5EE4" w:rsidRPr="005E3B43" w:rsidRDefault="00FB5EE4" w:rsidP="00763BCF">
            <w:pPr>
              <w:pStyle w:val="ENoteTableText"/>
            </w:pPr>
            <w:r w:rsidRPr="005E3B43">
              <w:t>ad No 214, 2015</w:t>
            </w:r>
          </w:p>
        </w:tc>
      </w:tr>
      <w:tr w:rsidR="00BD3E81" w:rsidRPr="005E3B43" w14:paraId="165223ED" w14:textId="77777777" w:rsidTr="00034EA9">
        <w:trPr>
          <w:cantSplit/>
        </w:trPr>
        <w:tc>
          <w:tcPr>
            <w:tcW w:w="1495" w:type="pct"/>
          </w:tcPr>
          <w:p w14:paraId="1A60F899" w14:textId="77777777" w:rsidR="00BD3E81" w:rsidRPr="005E3B43" w:rsidRDefault="00BD3E81" w:rsidP="00763BCF">
            <w:pPr>
              <w:pStyle w:val="ENoteTableText"/>
              <w:tabs>
                <w:tab w:val="center" w:leader="dot" w:pos="2268"/>
              </w:tabs>
            </w:pPr>
          </w:p>
        </w:tc>
        <w:tc>
          <w:tcPr>
            <w:tcW w:w="3505" w:type="pct"/>
          </w:tcPr>
          <w:p w14:paraId="152DBA56" w14:textId="77777777" w:rsidR="00BD3E81" w:rsidRPr="005E3B43" w:rsidRDefault="00BD3E81" w:rsidP="00763BCF">
            <w:pPr>
              <w:pStyle w:val="ENoteTableText"/>
            </w:pPr>
            <w:r w:rsidRPr="005E3B43">
              <w:t>am F2017L01561</w:t>
            </w:r>
            <w:r w:rsidR="00B329FD" w:rsidRPr="005E3B43">
              <w:t>; F2018L00311</w:t>
            </w:r>
            <w:r w:rsidR="00831048" w:rsidRPr="005E3B43">
              <w:t>; F2019L00396</w:t>
            </w:r>
          </w:p>
        </w:tc>
      </w:tr>
      <w:tr w:rsidR="007F21CC" w:rsidRPr="005E3B43" w14:paraId="522BBA37" w14:textId="77777777" w:rsidTr="00034EA9">
        <w:trPr>
          <w:cantSplit/>
        </w:trPr>
        <w:tc>
          <w:tcPr>
            <w:tcW w:w="1495" w:type="pct"/>
          </w:tcPr>
          <w:p w14:paraId="6838F4CA" w14:textId="77777777" w:rsidR="007F21CC" w:rsidRPr="005E3B43" w:rsidRDefault="007F21CC" w:rsidP="00763BCF">
            <w:pPr>
              <w:pStyle w:val="ENoteTableText"/>
              <w:tabs>
                <w:tab w:val="center" w:leader="dot" w:pos="2268"/>
              </w:tabs>
            </w:pPr>
            <w:r w:rsidRPr="005E3B43">
              <w:t>r 10AB</w:t>
            </w:r>
            <w:r w:rsidRPr="005E3B43">
              <w:tab/>
            </w:r>
          </w:p>
        </w:tc>
        <w:tc>
          <w:tcPr>
            <w:tcW w:w="3505" w:type="pct"/>
          </w:tcPr>
          <w:p w14:paraId="6C13E456" w14:textId="77777777" w:rsidR="007F21CC" w:rsidRPr="005E3B43" w:rsidRDefault="007F21CC" w:rsidP="00763BCF">
            <w:pPr>
              <w:pStyle w:val="ENoteTableText"/>
            </w:pPr>
            <w:r w:rsidRPr="005E3B43">
              <w:t>ad F2016L00109</w:t>
            </w:r>
          </w:p>
        </w:tc>
      </w:tr>
      <w:tr w:rsidR="007F21CC" w:rsidRPr="005E3B43" w14:paraId="1D56787B" w14:textId="77777777" w:rsidTr="00034EA9">
        <w:trPr>
          <w:cantSplit/>
        </w:trPr>
        <w:tc>
          <w:tcPr>
            <w:tcW w:w="1495" w:type="pct"/>
          </w:tcPr>
          <w:p w14:paraId="7293BD4C" w14:textId="77777777" w:rsidR="007F21CC" w:rsidRPr="005E3B43" w:rsidRDefault="007F21CC" w:rsidP="00763BCF">
            <w:pPr>
              <w:pStyle w:val="ENoteTableText"/>
              <w:tabs>
                <w:tab w:val="center" w:leader="dot" w:pos="2268"/>
              </w:tabs>
            </w:pPr>
            <w:r w:rsidRPr="005E3B43">
              <w:t>r 10AC</w:t>
            </w:r>
            <w:r w:rsidRPr="005E3B43">
              <w:tab/>
            </w:r>
          </w:p>
        </w:tc>
        <w:tc>
          <w:tcPr>
            <w:tcW w:w="3505" w:type="pct"/>
          </w:tcPr>
          <w:p w14:paraId="28D20D57" w14:textId="77777777" w:rsidR="007F21CC" w:rsidRPr="005E3B43" w:rsidRDefault="007F21CC" w:rsidP="00763BCF">
            <w:pPr>
              <w:pStyle w:val="ENoteTableText"/>
            </w:pPr>
            <w:r w:rsidRPr="005E3B43">
              <w:t>ad F2016L00109</w:t>
            </w:r>
          </w:p>
        </w:tc>
      </w:tr>
      <w:tr w:rsidR="00D64E96" w:rsidRPr="005E3B43" w14:paraId="2DF6F880" w14:textId="77777777" w:rsidTr="00034EA9">
        <w:trPr>
          <w:cantSplit/>
        </w:trPr>
        <w:tc>
          <w:tcPr>
            <w:tcW w:w="1495" w:type="pct"/>
          </w:tcPr>
          <w:p w14:paraId="1958D12A" w14:textId="77777777" w:rsidR="00D64E96" w:rsidRPr="005E3B43" w:rsidRDefault="00D64E96" w:rsidP="00763BCF">
            <w:pPr>
              <w:pStyle w:val="ENoteTableText"/>
              <w:tabs>
                <w:tab w:val="center" w:leader="dot" w:pos="2268"/>
              </w:tabs>
            </w:pPr>
            <w:r w:rsidRPr="005E3B43">
              <w:t>r 10B</w:t>
            </w:r>
            <w:r w:rsidR="001F41DB" w:rsidRPr="005E3B43">
              <w:t xml:space="preserve"> (prev r 14)</w:t>
            </w:r>
            <w:r w:rsidRPr="005E3B43">
              <w:tab/>
            </w:r>
          </w:p>
        </w:tc>
        <w:tc>
          <w:tcPr>
            <w:tcW w:w="3505" w:type="pct"/>
          </w:tcPr>
          <w:p w14:paraId="7F5D00DC" w14:textId="77777777" w:rsidR="00D64E96" w:rsidRPr="005E3B43" w:rsidRDefault="00D64E96" w:rsidP="00763BCF">
            <w:pPr>
              <w:pStyle w:val="ENoteTableText"/>
            </w:pPr>
            <w:r w:rsidRPr="005E3B43">
              <w:t>rs No</w:t>
            </w:r>
            <w:r w:rsidR="004E6D00" w:rsidRPr="005E3B43">
              <w:t> </w:t>
            </w:r>
            <w:r w:rsidRPr="005E3B43">
              <w:t>30</w:t>
            </w:r>
            <w:r w:rsidR="00F0008D" w:rsidRPr="005E3B43">
              <w:t>, 2011</w:t>
            </w:r>
          </w:p>
        </w:tc>
      </w:tr>
      <w:tr w:rsidR="00D64E96" w:rsidRPr="005E3B43" w14:paraId="40B6A564" w14:textId="77777777" w:rsidTr="00034EA9">
        <w:trPr>
          <w:cantSplit/>
        </w:trPr>
        <w:tc>
          <w:tcPr>
            <w:tcW w:w="1495" w:type="pct"/>
          </w:tcPr>
          <w:p w14:paraId="76A814A6" w14:textId="77777777" w:rsidR="00D64E96" w:rsidRPr="005E3B43" w:rsidRDefault="00D64E96" w:rsidP="00763BCF">
            <w:pPr>
              <w:pStyle w:val="ENoteTableText"/>
              <w:tabs>
                <w:tab w:val="center" w:leader="dot" w:pos="2268"/>
              </w:tabs>
            </w:pPr>
            <w:r w:rsidRPr="005E3B43">
              <w:t>r 10C</w:t>
            </w:r>
            <w:r w:rsidR="001F41DB" w:rsidRPr="005E3B43">
              <w:t xml:space="preserve"> (prev r 14A)</w:t>
            </w:r>
            <w:r w:rsidRPr="005E3B43">
              <w:tab/>
            </w:r>
          </w:p>
        </w:tc>
        <w:tc>
          <w:tcPr>
            <w:tcW w:w="3505" w:type="pct"/>
          </w:tcPr>
          <w:p w14:paraId="292D0F74" w14:textId="77777777" w:rsidR="00D64E96" w:rsidRPr="005E3B43" w:rsidRDefault="001F41DB" w:rsidP="00763BCF">
            <w:pPr>
              <w:pStyle w:val="ENoteTableText"/>
            </w:pPr>
            <w:r w:rsidRPr="005E3B43">
              <w:t>am F2020L00946</w:t>
            </w:r>
          </w:p>
        </w:tc>
      </w:tr>
      <w:tr w:rsidR="00D64E96" w:rsidRPr="005E3B43" w14:paraId="292BA48D" w14:textId="77777777" w:rsidTr="00034EA9">
        <w:trPr>
          <w:cantSplit/>
        </w:trPr>
        <w:tc>
          <w:tcPr>
            <w:tcW w:w="1495" w:type="pct"/>
          </w:tcPr>
          <w:p w14:paraId="39F3B569" w14:textId="77777777" w:rsidR="00D64E96" w:rsidRPr="005E3B43" w:rsidRDefault="00D64E96" w:rsidP="00763BCF">
            <w:pPr>
              <w:pStyle w:val="ENoteTableText"/>
              <w:tabs>
                <w:tab w:val="center" w:leader="dot" w:pos="2268"/>
              </w:tabs>
            </w:pPr>
            <w:r w:rsidRPr="005E3B43">
              <w:t>r. 10D</w:t>
            </w:r>
            <w:r w:rsidRPr="005E3B43">
              <w:tab/>
            </w:r>
          </w:p>
        </w:tc>
        <w:tc>
          <w:tcPr>
            <w:tcW w:w="3505" w:type="pct"/>
          </w:tcPr>
          <w:p w14:paraId="55834CF1" w14:textId="77777777" w:rsidR="00D64E96" w:rsidRPr="005E3B43" w:rsidRDefault="00D64E96" w:rsidP="00763BCF">
            <w:pPr>
              <w:pStyle w:val="ENoteTableText"/>
            </w:pPr>
            <w:r w:rsidRPr="005E3B43">
              <w:t>ad. 2002 No.</w:t>
            </w:r>
            <w:r w:rsidR="004E6D00" w:rsidRPr="005E3B43">
              <w:t> </w:t>
            </w:r>
            <w:r w:rsidRPr="005E3B43">
              <w:t>234</w:t>
            </w:r>
          </w:p>
        </w:tc>
      </w:tr>
      <w:tr w:rsidR="00D64E96" w:rsidRPr="005E3B43" w14:paraId="4DDCFAFC" w14:textId="77777777" w:rsidTr="00034EA9">
        <w:trPr>
          <w:cantSplit/>
        </w:trPr>
        <w:tc>
          <w:tcPr>
            <w:tcW w:w="1495" w:type="pct"/>
          </w:tcPr>
          <w:p w14:paraId="0A547763" w14:textId="26B9BBE1" w:rsidR="00D64E96" w:rsidRPr="005E3B43" w:rsidRDefault="007C3215" w:rsidP="00763BCF">
            <w:pPr>
              <w:pStyle w:val="ENoteTableText"/>
            </w:pPr>
            <w:r>
              <w:rPr>
                <w:b/>
              </w:rPr>
              <w:t>Division 2</w:t>
            </w:r>
            <w:r w:rsidR="00D64E96" w:rsidRPr="005E3B43">
              <w:rPr>
                <w:b/>
              </w:rPr>
              <w:t>C.2</w:t>
            </w:r>
          </w:p>
        </w:tc>
        <w:tc>
          <w:tcPr>
            <w:tcW w:w="3505" w:type="pct"/>
          </w:tcPr>
          <w:p w14:paraId="6574D359" w14:textId="77777777" w:rsidR="00D64E96" w:rsidRPr="005E3B43" w:rsidRDefault="00D64E96" w:rsidP="00763BCF">
            <w:pPr>
              <w:pStyle w:val="ENoteTableText"/>
            </w:pPr>
          </w:p>
        </w:tc>
      </w:tr>
      <w:tr w:rsidR="00D64E96" w:rsidRPr="005E3B43" w14:paraId="75599061" w14:textId="77777777" w:rsidTr="00034EA9">
        <w:trPr>
          <w:cantSplit/>
        </w:trPr>
        <w:tc>
          <w:tcPr>
            <w:tcW w:w="1495" w:type="pct"/>
          </w:tcPr>
          <w:p w14:paraId="319586D7" w14:textId="77777777" w:rsidR="00D64E96" w:rsidRPr="005E3B43" w:rsidRDefault="00D64E96" w:rsidP="00763BCF">
            <w:pPr>
              <w:pStyle w:val="ENoteTableText"/>
              <w:tabs>
                <w:tab w:val="center" w:leader="dot" w:pos="2268"/>
              </w:tabs>
            </w:pPr>
            <w:r w:rsidRPr="005E3B43">
              <w:t>r. 10E</w:t>
            </w:r>
            <w:r w:rsidRPr="005E3B43">
              <w:tab/>
            </w:r>
          </w:p>
        </w:tc>
        <w:tc>
          <w:tcPr>
            <w:tcW w:w="3505" w:type="pct"/>
          </w:tcPr>
          <w:p w14:paraId="5062B228" w14:textId="77777777" w:rsidR="00D64E96" w:rsidRPr="005E3B43" w:rsidRDefault="00D64E96" w:rsidP="00763BCF">
            <w:pPr>
              <w:pStyle w:val="ENoteTableText"/>
            </w:pPr>
            <w:r w:rsidRPr="005E3B43">
              <w:t>ad. 2002 No.</w:t>
            </w:r>
            <w:r w:rsidR="004E6D00" w:rsidRPr="005E3B43">
              <w:t> </w:t>
            </w:r>
            <w:r w:rsidRPr="005E3B43">
              <w:t>234</w:t>
            </w:r>
          </w:p>
        </w:tc>
      </w:tr>
      <w:tr w:rsidR="00D64E96" w:rsidRPr="005E3B43" w14:paraId="5FD5753E" w14:textId="77777777" w:rsidTr="00034EA9">
        <w:trPr>
          <w:cantSplit/>
        </w:trPr>
        <w:tc>
          <w:tcPr>
            <w:tcW w:w="1495" w:type="pct"/>
          </w:tcPr>
          <w:p w14:paraId="0804D001" w14:textId="77777777" w:rsidR="00D64E96" w:rsidRPr="005E3B43" w:rsidRDefault="00D64E96" w:rsidP="00763BCF">
            <w:pPr>
              <w:pStyle w:val="ENoteTableText"/>
              <w:tabs>
                <w:tab w:val="center" w:leader="dot" w:pos="2268"/>
              </w:tabs>
            </w:pPr>
            <w:r w:rsidRPr="005E3B43">
              <w:t>r. 10F</w:t>
            </w:r>
            <w:r w:rsidRPr="005E3B43">
              <w:tab/>
            </w:r>
          </w:p>
        </w:tc>
        <w:tc>
          <w:tcPr>
            <w:tcW w:w="3505" w:type="pct"/>
          </w:tcPr>
          <w:p w14:paraId="3BAC6618" w14:textId="77777777" w:rsidR="00D64E96" w:rsidRPr="005E3B43" w:rsidRDefault="00D64E96" w:rsidP="00763BCF">
            <w:pPr>
              <w:pStyle w:val="ENoteTableText"/>
            </w:pPr>
            <w:r w:rsidRPr="005E3B43">
              <w:t>ad. 2002 No.</w:t>
            </w:r>
            <w:r w:rsidR="004E6D00" w:rsidRPr="005E3B43">
              <w:t> </w:t>
            </w:r>
            <w:r w:rsidRPr="005E3B43">
              <w:t>234</w:t>
            </w:r>
          </w:p>
        </w:tc>
      </w:tr>
      <w:tr w:rsidR="00D64E96" w:rsidRPr="005E3B43" w14:paraId="39A227C7" w14:textId="77777777" w:rsidTr="00034EA9">
        <w:trPr>
          <w:cantSplit/>
        </w:trPr>
        <w:tc>
          <w:tcPr>
            <w:tcW w:w="1495" w:type="pct"/>
          </w:tcPr>
          <w:p w14:paraId="1AFFB327" w14:textId="77777777" w:rsidR="00D64E96" w:rsidRPr="005E3B43" w:rsidRDefault="00D64E96" w:rsidP="00763BCF">
            <w:pPr>
              <w:pStyle w:val="ENoteTableText"/>
            </w:pPr>
          </w:p>
        </w:tc>
        <w:tc>
          <w:tcPr>
            <w:tcW w:w="3505" w:type="pct"/>
          </w:tcPr>
          <w:p w14:paraId="5E889AA9" w14:textId="77777777" w:rsidR="00D64E96" w:rsidRPr="005E3B43" w:rsidRDefault="00D64E96" w:rsidP="00763BCF">
            <w:pPr>
              <w:pStyle w:val="ENoteTableText"/>
            </w:pPr>
            <w:r w:rsidRPr="005E3B43">
              <w:t>am. 2009 No.</w:t>
            </w:r>
            <w:r w:rsidR="004E6D00" w:rsidRPr="005E3B43">
              <w:t> </w:t>
            </w:r>
            <w:r w:rsidRPr="005E3B43">
              <w:t>140</w:t>
            </w:r>
          </w:p>
        </w:tc>
      </w:tr>
      <w:tr w:rsidR="006E0BCF" w:rsidRPr="005E3B43" w14:paraId="252E6EE4" w14:textId="77777777" w:rsidTr="00034EA9">
        <w:trPr>
          <w:cantSplit/>
        </w:trPr>
        <w:tc>
          <w:tcPr>
            <w:tcW w:w="1495" w:type="pct"/>
          </w:tcPr>
          <w:p w14:paraId="1CDCC3BA" w14:textId="77777777" w:rsidR="006E0BCF" w:rsidRPr="005E3B43" w:rsidRDefault="006E0BCF" w:rsidP="00763BCF">
            <w:pPr>
              <w:pStyle w:val="ENoteTableText"/>
            </w:pPr>
          </w:p>
        </w:tc>
        <w:tc>
          <w:tcPr>
            <w:tcW w:w="3505" w:type="pct"/>
          </w:tcPr>
          <w:p w14:paraId="5C4D8684" w14:textId="77777777" w:rsidR="006E0BCF" w:rsidRPr="005E3B43" w:rsidRDefault="006E0BCF" w:rsidP="00763BCF">
            <w:pPr>
              <w:pStyle w:val="ENoteTableText"/>
            </w:pPr>
            <w:r w:rsidRPr="005E3B43">
              <w:t>rs F2016L00109</w:t>
            </w:r>
          </w:p>
        </w:tc>
      </w:tr>
      <w:tr w:rsidR="006E0BCF" w:rsidRPr="005E3B43" w14:paraId="5F7266B6" w14:textId="77777777" w:rsidTr="00034EA9">
        <w:trPr>
          <w:cantSplit/>
        </w:trPr>
        <w:tc>
          <w:tcPr>
            <w:tcW w:w="1495" w:type="pct"/>
          </w:tcPr>
          <w:p w14:paraId="0160DAC0" w14:textId="77777777" w:rsidR="006E0BCF" w:rsidRPr="005E3B43" w:rsidRDefault="006E0BCF" w:rsidP="00763BCF">
            <w:pPr>
              <w:pStyle w:val="ENoteTableText"/>
              <w:tabs>
                <w:tab w:val="center" w:leader="dot" w:pos="2268"/>
              </w:tabs>
            </w:pPr>
            <w:r w:rsidRPr="005E3B43">
              <w:t>r 10FA</w:t>
            </w:r>
            <w:r w:rsidRPr="005E3B43">
              <w:tab/>
            </w:r>
          </w:p>
        </w:tc>
        <w:tc>
          <w:tcPr>
            <w:tcW w:w="3505" w:type="pct"/>
          </w:tcPr>
          <w:p w14:paraId="7BB4BAE2" w14:textId="77777777" w:rsidR="006E0BCF" w:rsidRPr="005E3B43" w:rsidRDefault="006E0BCF" w:rsidP="00763BCF">
            <w:pPr>
              <w:pStyle w:val="ENoteTableText"/>
            </w:pPr>
            <w:r w:rsidRPr="005E3B43">
              <w:t>ad F2016L00109</w:t>
            </w:r>
          </w:p>
        </w:tc>
      </w:tr>
      <w:tr w:rsidR="00D64E96" w:rsidRPr="005E3B43" w14:paraId="71EA6038" w14:textId="77777777" w:rsidTr="00034EA9">
        <w:trPr>
          <w:cantSplit/>
        </w:trPr>
        <w:tc>
          <w:tcPr>
            <w:tcW w:w="1495" w:type="pct"/>
          </w:tcPr>
          <w:p w14:paraId="42DB4E2D" w14:textId="6CC4C9FC" w:rsidR="00D64E96" w:rsidRPr="005E3B43" w:rsidRDefault="007C3215" w:rsidP="00763BCF">
            <w:pPr>
              <w:pStyle w:val="ENoteTableText"/>
            </w:pPr>
            <w:r>
              <w:rPr>
                <w:b/>
              </w:rPr>
              <w:t>Division 2</w:t>
            </w:r>
            <w:r w:rsidR="00D64E96" w:rsidRPr="005E3B43">
              <w:rPr>
                <w:b/>
              </w:rPr>
              <w:t>C.3</w:t>
            </w:r>
          </w:p>
        </w:tc>
        <w:tc>
          <w:tcPr>
            <w:tcW w:w="3505" w:type="pct"/>
          </w:tcPr>
          <w:p w14:paraId="7252EA10" w14:textId="77777777" w:rsidR="00D64E96" w:rsidRPr="005E3B43" w:rsidRDefault="00D64E96" w:rsidP="00763BCF">
            <w:pPr>
              <w:pStyle w:val="ENoteTableText"/>
            </w:pPr>
          </w:p>
        </w:tc>
      </w:tr>
      <w:tr w:rsidR="00D64E96" w:rsidRPr="005E3B43" w14:paraId="3399185A" w14:textId="77777777" w:rsidTr="00034EA9">
        <w:trPr>
          <w:cantSplit/>
        </w:trPr>
        <w:tc>
          <w:tcPr>
            <w:tcW w:w="1495" w:type="pct"/>
          </w:tcPr>
          <w:p w14:paraId="477A40A6" w14:textId="27994BC8" w:rsidR="00D64E96" w:rsidRPr="005E3B43" w:rsidRDefault="007C3215" w:rsidP="00763BCF">
            <w:pPr>
              <w:pStyle w:val="ENoteTableText"/>
              <w:tabs>
                <w:tab w:val="center" w:leader="dot" w:pos="2268"/>
              </w:tabs>
            </w:pPr>
            <w:r>
              <w:t>Division 2</w:t>
            </w:r>
            <w:r w:rsidR="00D64E96" w:rsidRPr="005E3B43">
              <w:t>C.3</w:t>
            </w:r>
            <w:r w:rsidR="00D64E96" w:rsidRPr="005E3B43">
              <w:tab/>
            </w:r>
          </w:p>
        </w:tc>
        <w:tc>
          <w:tcPr>
            <w:tcW w:w="3505" w:type="pct"/>
          </w:tcPr>
          <w:p w14:paraId="380F0755" w14:textId="77777777" w:rsidR="00D64E96" w:rsidRPr="005E3B43" w:rsidRDefault="00D64E96" w:rsidP="00763BCF">
            <w:pPr>
              <w:pStyle w:val="ENoteTableText"/>
            </w:pPr>
            <w:r w:rsidRPr="005E3B43">
              <w:t>ad. 2011 No.</w:t>
            </w:r>
            <w:r w:rsidR="004E6D00" w:rsidRPr="005E3B43">
              <w:t> </w:t>
            </w:r>
            <w:r w:rsidRPr="005E3B43">
              <w:t>30</w:t>
            </w:r>
          </w:p>
        </w:tc>
      </w:tr>
      <w:tr w:rsidR="00D64E96" w:rsidRPr="005E3B43" w14:paraId="48E77AD9" w14:textId="77777777" w:rsidTr="00034EA9">
        <w:trPr>
          <w:cantSplit/>
        </w:trPr>
        <w:tc>
          <w:tcPr>
            <w:tcW w:w="1495" w:type="pct"/>
          </w:tcPr>
          <w:p w14:paraId="134811AF" w14:textId="77777777" w:rsidR="00D64E96" w:rsidRPr="005E3B43" w:rsidRDefault="00D64E96" w:rsidP="00763BCF">
            <w:pPr>
              <w:pStyle w:val="ENoteTableText"/>
              <w:tabs>
                <w:tab w:val="center" w:leader="dot" w:pos="2268"/>
              </w:tabs>
            </w:pPr>
            <w:r w:rsidRPr="005E3B43">
              <w:t>r. 10G</w:t>
            </w:r>
            <w:r w:rsidRPr="005E3B43">
              <w:tab/>
            </w:r>
          </w:p>
        </w:tc>
        <w:tc>
          <w:tcPr>
            <w:tcW w:w="3505" w:type="pct"/>
          </w:tcPr>
          <w:p w14:paraId="4EDB2A02" w14:textId="77777777" w:rsidR="00D64E96" w:rsidRPr="005E3B43" w:rsidRDefault="00D64E96" w:rsidP="00763BCF">
            <w:pPr>
              <w:pStyle w:val="ENoteTableText"/>
            </w:pPr>
            <w:r w:rsidRPr="005E3B43">
              <w:t>ad. 2011 No.</w:t>
            </w:r>
            <w:r w:rsidR="004E6D00" w:rsidRPr="005E3B43">
              <w:t> </w:t>
            </w:r>
            <w:r w:rsidRPr="005E3B43">
              <w:t>30</w:t>
            </w:r>
          </w:p>
        </w:tc>
      </w:tr>
      <w:tr w:rsidR="00D64E96" w:rsidRPr="005E3B43" w14:paraId="2CA2FFFC" w14:textId="77777777" w:rsidTr="00034EA9">
        <w:trPr>
          <w:cantSplit/>
        </w:trPr>
        <w:tc>
          <w:tcPr>
            <w:tcW w:w="1495" w:type="pct"/>
          </w:tcPr>
          <w:p w14:paraId="7360B4CA" w14:textId="77777777" w:rsidR="00D64E96" w:rsidRPr="005E3B43" w:rsidRDefault="00D64E96" w:rsidP="00763BCF">
            <w:pPr>
              <w:pStyle w:val="ENoteTableText"/>
              <w:tabs>
                <w:tab w:val="center" w:leader="dot" w:pos="2268"/>
              </w:tabs>
            </w:pPr>
            <w:r w:rsidRPr="005E3B43">
              <w:t>r. 10H</w:t>
            </w:r>
            <w:r w:rsidRPr="005E3B43">
              <w:tab/>
            </w:r>
          </w:p>
        </w:tc>
        <w:tc>
          <w:tcPr>
            <w:tcW w:w="3505" w:type="pct"/>
          </w:tcPr>
          <w:p w14:paraId="6004A10B" w14:textId="77777777" w:rsidR="00D64E96" w:rsidRPr="005E3B43" w:rsidRDefault="00D64E96" w:rsidP="00763BCF">
            <w:pPr>
              <w:pStyle w:val="ENoteTableText"/>
            </w:pPr>
            <w:r w:rsidRPr="005E3B43">
              <w:t>ad. 2011 No.</w:t>
            </w:r>
            <w:r w:rsidR="004E6D00" w:rsidRPr="005E3B43">
              <w:t> </w:t>
            </w:r>
            <w:r w:rsidRPr="005E3B43">
              <w:t>30</w:t>
            </w:r>
          </w:p>
        </w:tc>
      </w:tr>
      <w:tr w:rsidR="00D64E96" w:rsidRPr="005E3B43" w14:paraId="01CA844D" w14:textId="77777777" w:rsidTr="00034EA9">
        <w:trPr>
          <w:cantSplit/>
        </w:trPr>
        <w:tc>
          <w:tcPr>
            <w:tcW w:w="1495" w:type="pct"/>
          </w:tcPr>
          <w:p w14:paraId="044329FC" w14:textId="77777777" w:rsidR="00D64E96" w:rsidRPr="005E3B43" w:rsidRDefault="00D64E96" w:rsidP="00763BCF">
            <w:pPr>
              <w:pStyle w:val="ENoteTableText"/>
            </w:pPr>
          </w:p>
        </w:tc>
        <w:tc>
          <w:tcPr>
            <w:tcW w:w="3505" w:type="pct"/>
          </w:tcPr>
          <w:p w14:paraId="1FAE6E4F" w14:textId="77777777" w:rsidR="00D64E96" w:rsidRPr="005E3B43" w:rsidRDefault="00D64E96" w:rsidP="00763BCF">
            <w:pPr>
              <w:pStyle w:val="ENoteTableText"/>
            </w:pPr>
            <w:r w:rsidRPr="005E3B43">
              <w:t>am. 2011 No.</w:t>
            </w:r>
            <w:r w:rsidR="004E6D00" w:rsidRPr="005E3B43">
              <w:t> </w:t>
            </w:r>
            <w:r w:rsidRPr="005E3B43">
              <w:t>281</w:t>
            </w:r>
          </w:p>
        </w:tc>
      </w:tr>
      <w:tr w:rsidR="006E0BCF" w:rsidRPr="005E3B43" w14:paraId="09C136A3" w14:textId="77777777" w:rsidTr="00034EA9">
        <w:trPr>
          <w:cantSplit/>
        </w:trPr>
        <w:tc>
          <w:tcPr>
            <w:tcW w:w="1495" w:type="pct"/>
          </w:tcPr>
          <w:p w14:paraId="514228E8" w14:textId="77777777" w:rsidR="006E0BCF" w:rsidRPr="005E3B43" w:rsidRDefault="006E0BCF" w:rsidP="00763BCF">
            <w:pPr>
              <w:pStyle w:val="ENoteTableText"/>
            </w:pPr>
          </w:p>
        </w:tc>
        <w:tc>
          <w:tcPr>
            <w:tcW w:w="3505" w:type="pct"/>
          </w:tcPr>
          <w:p w14:paraId="72282931" w14:textId="77777777" w:rsidR="006E0BCF" w:rsidRPr="005E3B43" w:rsidRDefault="006E0BCF" w:rsidP="00763BCF">
            <w:pPr>
              <w:pStyle w:val="ENoteTableText"/>
            </w:pPr>
            <w:r w:rsidRPr="005E3B43">
              <w:t>rs F2016L00109</w:t>
            </w:r>
          </w:p>
        </w:tc>
      </w:tr>
      <w:tr w:rsidR="006E0BCF" w:rsidRPr="005E3B43" w14:paraId="16A5672B" w14:textId="77777777" w:rsidTr="00034EA9">
        <w:trPr>
          <w:cantSplit/>
        </w:trPr>
        <w:tc>
          <w:tcPr>
            <w:tcW w:w="1495" w:type="pct"/>
          </w:tcPr>
          <w:p w14:paraId="5459CC2D" w14:textId="77777777" w:rsidR="006E0BCF" w:rsidRPr="005E3B43" w:rsidRDefault="006E0BCF" w:rsidP="00763BCF">
            <w:pPr>
              <w:pStyle w:val="ENoteTableText"/>
              <w:tabs>
                <w:tab w:val="center" w:leader="dot" w:pos="2268"/>
              </w:tabs>
            </w:pPr>
            <w:r w:rsidRPr="005E3B43">
              <w:t>r 10HA</w:t>
            </w:r>
            <w:r w:rsidRPr="005E3B43">
              <w:tab/>
            </w:r>
          </w:p>
        </w:tc>
        <w:tc>
          <w:tcPr>
            <w:tcW w:w="3505" w:type="pct"/>
          </w:tcPr>
          <w:p w14:paraId="13FAC6B2" w14:textId="77777777" w:rsidR="006E0BCF" w:rsidRPr="005E3B43" w:rsidRDefault="006E0BCF" w:rsidP="00763BCF">
            <w:pPr>
              <w:pStyle w:val="ENoteTableText"/>
            </w:pPr>
            <w:r w:rsidRPr="005E3B43">
              <w:t>ad F2016L00109</w:t>
            </w:r>
          </w:p>
        </w:tc>
      </w:tr>
      <w:tr w:rsidR="00D64E96" w:rsidRPr="005E3B43" w14:paraId="51B08607" w14:textId="77777777" w:rsidTr="00034EA9">
        <w:trPr>
          <w:cantSplit/>
        </w:trPr>
        <w:tc>
          <w:tcPr>
            <w:tcW w:w="1495" w:type="pct"/>
          </w:tcPr>
          <w:p w14:paraId="6273A18E" w14:textId="77777777" w:rsidR="00D64E96" w:rsidRPr="005E3B43" w:rsidRDefault="00D64E96" w:rsidP="00763BCF">
            <w:pPr>
              <w:pStyle w:val="ENoteTableText"/>
              <w:tabs>
                <w:tab w:val="center" w:leader="dot" w:pos="2268"/>
              </w:tabs>
            </w:pPr>
            <w:r w:rsidRPr="005E3B43">
              <w:lastRenderedPageBreak/>
              <w:t>r. 10I</w:t>
            </w:r>
            <w:r w:rsidRPr="005E3B43">
              <w:tab/>
            </w:r>
          </w:p>
        </w:tc>
        <w:tc>
          <w:tcPr>
            <w:tcW w:w="3505" w:type="pct"/>
          </w:tcPr>
          <w:p w14:paraId="0909A2A0" w14:textId="77777777" w:rsidR="00D64E96" w:rsidRPr="005E3B43" w:rsidRDefault="00D64E96" w:rsidP="00763BCF">
            <w:pPr>
              <w:pStyle w:val="ENoteTableText"/>
            </w:pPr>
            <w:r w:rsidRPr="005E3B43">
              <w:t>ad. 2011 No.</w:t>
            </w:r>
            <w:r w:rsidR="004E6D00" w:rsidRPr="005E3B43">
              <w:t> </w:t>
            </w:r>
            <w:r w:rsidRPr="005E3B43">
              <w:t>30</w:t>
            </w:r>
          </w:p>
        </w:tc>
      </w:tr>
      <w:tr w:rsidR="00D64E96" w:rsidRPr="005E3B43" w14:paraId="0F3B9D5A" w14:textId="77777777" w:rsidTr="00034EA9">
        <w:trPr>
          <w:cantSplit/>
        </w:trPr>
        <w:tc>
          <w:tcPr>
            <w:tcW w:w="1495" w:type="pct"/>
          </w:tcPr>
          <w:p w14:paraId="7C129354" w14:textId="77777777" w:rsidR="00D64E96" w:rsidRPr="005E3B43" w:rsidRDefault="00D64E96" w:rsidP="00763BCF">
            <w:pPr>
              <w:pStyle w:val="ENoteTableText"/>
              <w:tabs>
                <w:tab w:val="center" w:leader="dot" w:pos="2268"/>
              </w:tabs>
            </w:pPr>
            <w:r w:rsidRPr="005E3B43">
              <w:t>r. 10J</w:t>
            </w:r>
            <w:r w:rsidRPr="005E3B43">
              <w:tab/>
            </w:r>
          </w:p>
        </w:tc>
        <w:tc>
          <w:tcPr>
            <w:tcW w:w="3505" w:type="pct"/>
          </w:tcPr>
          <w:p w14:paraId="6FAB0715" w14:textId="77777777" w:rsidR="00D64E96" w:rsidRPr="005E3B43" w:rsidRDefault="00D64E96" w:rsidP="00763BCF">
            <w:pPr>
              <w:pStyle w:val="ENoteTableText"/>
            </w:pPr>
            <w:r w:rsidRPr="005E3B43">
              <w:t>ad. 2011 No.</w:t>
            </w:r>
            <w:r w:rsidR="004E6D00" w:rsidRPr="005E3B43">
              <w:t> </w:t>
            </w:r>
            <w:r w:rsidRPr="005E3B43">
              <w:t>30</w:t>
            </w:r>
          </w:p>
        </w:tc>
      </w:tr>
      <w:tr w:rsidR="00B53CCB" w:rsidRPr="005E3B43" w14:paraId="14D20D16" w14:textId="77777777" w:rsidTr="00034EA9">
        <w:trPr>
          <w:cantSplit/>
        </w:trPr>
        <w:tc>
          <w:tcPr>
            <w:tcW w:w="1495" w:type="pct"/>
          </w:tcPr>
          <w:p w14:paraId="7D104EBF" w14:textId="77777777" w:rsidR="00B53CCB" w:rsidRPr="005E3B43" w:rsidRDefault="006B5D8E" w:rsidP="00763BCF">
            <w:pPr>
              <w:pStyle w:val="ENoteTableText"/>
              <w:tabs>
                <w:tab w:val="center" w:leader="dot" w:pos="2268"/>
              </w:tabs>
              <w:rPr>
                <w:b/>
              </w:rPr>
            </w:pPr>
            <w:r w:rsidRPr="005E3B43">
              <w:rPr>
                <w:b/>
              </w:rPr>
              <w:t>Part 2</w:t>
            </w:r>
            <w:r w:rsidR="00B53CCB" w:rsidRPr="005E3B43">
              <w:rPr>
                <w:b/>
              </w:rPr>
              <w:t>CA</w:t>
            </w:r>
          </w:p>
        </w:tc>
        <w:tc>
          <w:tcPr>
            <w:tcW w:w="3505" w:type="pct"/>
          </w:tcPr>
          <w:p w14:paraId="75A9F968" w14:textId="77777777" w:rsidR="00B53CCB" w:rsidRPr="005E3B43" w:rsidRDefault="00B53CCB" w:rsidP="00763BCF">
            <w:pPr>
              <w:pStyle w:val="ENoteTableText"/>
            </w:pPr>
          </w:p>
        </w:tc>
      </w:tr>
      <w:tr w:rsidR="006D0BFC" w:rsidRPr="005E3B43" w14:paraId="7F2F8216" w14:textId="77777777" w:rsidTr="00034EA9">
        <w:trPr>
          <w:cantSplit/>
        </w:trPr>
        <w:tc>
          <w:tcPr>
            <w:tcW w:w="1495" w:type="pct"/>
          </w:tcPr>
          <w:p w14:paraId="594CB3AC" w14:textId="77777777" w:rsidR="006D0BFC" w:rsidRPr="005E3B43" w:rsidRDefault="006B5D8E" w:rsidP="00763BCF">
            <w:pPr>
              <w:pStyle w:val="ENoteTableText"/>
              <w:tabs>
                <w:tab w:val="center" w:leader="dot" w:pos="2268"/>
              </w:tabs>
            </w:pPr>
            <w:r w:rsidRPr="005E3B43">
              <w:t>Part 2</w:t>
            </w:r>
            <w:r w:rsidR="006D0BFC" w:rsidRPr="005E3B43">
              <w:t>CA</w:t>
            </w:r>
            <w:r w:rsidR="006D0BFC" w:rsidRPr="005E3B43">
              <w:tab/>
            </w:r>
          </w:p>
        </w:tc>
        <w:tc>
          <w:tcPr>
            <w:tcW w:w="3505" w:type="pct"/>
          </w:tcPr>
          <w:p w14:paraId="6E95AD8A" w14:textId="77777777" w:rsidR="006D0BFC" w:rsidRPr="005E3B43" w:rsidRDefault="006D0BFC" w:rsidP="00763BCF">
            <w:pPr>
              <w:pStyle w:val="ENoteTableText"/>
              <w:tabs>
                <w:tab w:val="center" w:leader="dot" w:pos="2268"/>
              </w:tabs>
            </w:pPr>
            <w:r w:rsidRPr="005E3B43">
              <w:t>ad F2021L01390</w:t>
            </w:r>
          </w:p>
        </w:tc>
      </w:tr>
      <w:tr w:rsidR="00B53CCB" w:rsidRPr="005E3B43" w14:paraId="0F236BDA" w14:textId="77777777" w:rsidTr="00034EA9">
        <w:trPr>
          <w:cantSplit/>
        </w:trPr>
        <w:tc>
          <w:tcPr>
            <w:tcW w:w="1495" w:type="pct"/>
          </w:tcPr>
          <w:p w14:paraId="5C9E890A" w14:textId="77777777" w:rsidR="00B53CCB" w:rsidRPr="005E3B43" w:rsidRDefault="003C0723" w:rsidP="00763BCF">
            <w:pPr>
              <w:pStyle w:val="ENoteTableText"/>
              <w:tabs>
                <w:tab w:val="center" w:leader="dot" w:pos="2268"/>
              </w:tabs>
              <w:rPr>
                <w:b/>
              </w:rPr>
            </w:pPr>
            <w:r w:rsidRPr="005E3B43">
              <w:rPr>
                <w:b/>
              </w:rPr>
              <w:t>Division 1</w:t>
            </w:r>
          </w:p>
        </w:tc>
        <w:tc>
          <w:tcPr>
            <w:tcW w:w="3505" w:type="pct"/>
          </w:tcPr>
          <w:p w14:paraId="48FC38FF" w14:textId="77777777" w:rsidR="00B53CCB" w:rsidRPr="005E3B43" w:rsidRDefault="00B53CCB" w:rsidP="00763BCF">
            <w:pPr>
              <w:pStyle w:val="ENoteTableText"/>
            </w:pPr>
          </w:p>
        </w:tc>
      </w:tr>
      <w:tr w:rsidR="00B53CCB" w:rsidRPr="005E3B43" w14:paraId="3475AF1C" w14:textId="77777777" w:rsidTr="00034EA9">
        <w:trPr>
          <w:cantSplit/>
        </w:trPr>
        <w:tc>
          <w:tcPr>
            <w:tcW w:w="1495" w:type="pct"/>
          </w:tcPr>
          <w:p w14:paraId="5CED3C2C" w14:textId="77777777" w:rsidR="00B53CCB" w:rsidRPr="005E3B43" w:rsidRDefault="00B53CCB" w:rsidP="00763BCF">
            <w:pPr>
              <w:pStyle w:val="ENoteTableText"/>
              <w:tabs>
                <w:tab w:val="center" w:leader="dot" w:pos="2268"/>
              </w:tabs>
            </w:pPr>
            <w:r w:rsidRPr="005E3B43">
              <w:t>r 10JA</w:t>
            </w:r>
            <w:r w:rsidRPr="005E3B43">
              <w:tab/>
            </w:r>
          </w:p>
        </w:tc>
        <w:tc>
          <w:tcPr>
            <w:tcW w:w="3505" w:type="pct"/>
          </w:tcPr>
          <w:p w14:paraId="142A43BF" w14:textId="77777777" w:rsidR="00B53CCB" w:rsidRPr="005E3B43" w:rsidRDefault="00B53CCB" w:rsidP="00763BCF">
            <w:pPr>
              <w:pStyle w:val="ENoteTableText"/>
            </w:pPr>
            <w:r w:rsidRPr="005E3B43">
              <w:t>ad F2021L01390</w:t>
            </w:r>
          </w:p>
        </w:tc>
      </w:tr>
      <w:tr w:rsidR="00B53CCB" w:rsidRPr="005E3B43" w14:paraId="0D33231D" w14:textId="77777777" w:rsidTr="00034EA9">
        <w:trPr>
          <w:cantSplit/>
        </w:trPr>
        <w:tc>
          <w:tcPr>
            <w:tcW w:w="1495" w:type="pct"/>
          </w:tcPr>
          <w:p w14:paraId="21CB8BE8" w14:textId="0CA0B1CE" w:rsidR="00B53CCB" w:rsidRPr="005E3B43" w:rsidRDefault="007C3215" w:rsidP="00763BCF">
            <w:pPr>
              <w:pStyle w:val="ENoteTableText"/>
              <w:tabs>
                <w:tab w:val="center" w:leader="dot" w:pos="2268"/>
              </w:tabs>
              <w:rPr>
                <w:b/>
              </w:rPr>
            </w:pPr>
            <w:r>
              <w:rPr>
                <w:b/>
              </w:rPr>
              <w:t>Division 2</w:t>
            </w:r>
          </w:p>
        </w:tc>
        <w:tc>
          <w:tcPr>
            <w:tcW w:w="3505" w:type="pct"/>
          </w:tcPr>
          <w:p w14:paraId="18C308BE" w14:textId="77777777" w:rsidR="00B53CCB" w:rsidRPr="005E3B43" w:rsidRDefault="00B53CCB" w:rsidP="00763BCF">
            <w:pPr>
              <w:pStyle w:val="ENoteTableText"/>
            </w:pPr>
          </w:p>
        </w:tc>
      </w:tr>
      <w:tr w:rsidR="00B53CCB" w:rsidRPr="005E3B43" w14:paraId="68D1B9A3" w14:textId="77777777" w:rsidTr="00034EA9">
        <w:trPr>
          <w:cantSplit/>
        </w:trPr>
        <w:tc>
          <w:tcPr>
            <w:tcW w:w="1495" w:type="pct"/>
          </w:tcPr>
          <w:p w14:paraId="7DD6CAF3" w14:textId="77777777" w:rsidR="00B53CCB" w:rsidRPr="005E3B43" w:rsidRDefault="00B53CCB" w:rsidP="00763BCF">
            <w:pPr>
              <w:pStyle w:val="ENoteTableText"/>
              <w:tabs>
                <w:tab w:val="center" w:leader="dot" w:pos="2268"/>
              </w:tabs>
            </w:pPr>
            <w:r w:rsidRPr="005E3B43">
              <w:t>r 10JB</w:t>
            </w:r>
            <w:r w:rsidRPr="005E3B43">
              <w:tab/>
            </w:r>
          </w:p>
        </w:tc>
        <w:tc>
          <w:tcPr>
            <w:tcW w:w="3505" w:type="pct"/>
          </w:tcPr>
          <w:p w14:paraId="3434CE0E" w14:textId="77777777" w:rsidR="00B53CCB" w:rsidRPr="005E3B43" w:rsidRDefault="00B53CCB" w:rsidP="00763BCF">
            <w:pPr>
              <w:pStyle w:val="ENoteTableText"/>
            </w:pPr>
            <w:r w:rsidRPr="005E3B43">
              <w:t>ad F2021L01390</w:t>
            </w:r>
          </w:p>
        </w:tc>
      </w:tr>
      <w:tr w:rsidR="00B53CCB" w:rsidRPr="005E3B43" w14:paraId="5DC666DD" w14:textId="77777777" w:rsidTr="00034EA9">
        <w:trPr>
          <w:cantSplit/>
        </w:trPr>
        <w:tc>
          <w:tcPr>
            <w:tcW w:w="1495" w:type="pct"/>
          </w:tcPr>
          <w:p w14:paraId="50CB9827" w14:textId="77777777" w:rsidR="00B53CCB" w:rsidRPr="005E3B43" w:rsidRDefault="00BE7FAC" w:rsidP="00763BCF">
            <w:pPr>
              <w:pStyle w:val="ENoteTableText"/>
              <w:tabs>
                <w:tab w:val="center" w:leader="dot" w:pos="2268"/>
              </w:tabs>
              <w:rPr>
                <w:b/>
              </w:rPr>
            </w:pPr>
            <w:r w:rsidRPr="005E3B43">
              <w:rPr>
                <w:b/>
              </w:rPr>
              <w:t>Division 3</w:t>
            </w:r>
          </w:p>
        </w:tc>
        <w:tc>
          <w:tcPr>
            <w:tcW w:w="3505" w:type="pct"/>
          </w:tcPr>
          <w:p w14:paraId="2D98E643" w14:textId="77777777" w:rsidR="00B53CCB" w:rsidRPr="005E3B43" w:rsidRDefault="00B53CCB" w:rsidP="00763BCF">
            <w:pPr>
              <w:pStyle w:val="ENoteTableText"/>
            </w:pPr>
          </w:p>
        </w:tc>
      </w:tr>
      <w:tr w:rsidR="00B53CCB" w:rsidRPr="005E3B43" w14:paraId="062817E2" w14:textId="77777777" w:rsidTr="00034EA9">
        <w:trPr>
          <w:cantSplit/>
        </w:trPr>
        <w:tc>
          <w:tcPr>
            <w:tcW w:w="1495" w:type="pct"/>
          </w:tcPr>
          <w:p w14:paraId="1F6513EA" w14:textId="77777777" w:rsidR="00B53CCB" w:rsidRPr="005E3B43" w:rsidRDefault="00B53CCB" w:rsidP="00763BCF">
            <w:pPr>
              <w:pStyle w:val="ENoteTableText"/>
              <w:tabs>
                <w:tab w:val="center" w:leader="dot" w:pos="2268"/>
              </w:tabs>
            </w:pPr>
            <w:r w:rsidRPr="005E3B43">
              <w:t>r 10JC</w:t>
            </w:r>
            <w:r w:rsidRPr="005E3B43">
              <w:tab/>
            </w:r>
          </w:p>
        </w:tc>
        <w:tc>
          <w:tcPr>
            <w:tcW w:w="3505" w:type="pct"/>
          </w:tcPr>
          <w:p w14:paraId="03B9B381" w14:textId="77777777" w:rsidR="00B53CCB" w:rsidRPr="005E3B43" w:rsidRDefault="00B53CCB" w:rsidP="00763BCF">
            <w:pPr>
              <w:pStyle w:val="ENoteTableText"/>
            </w:pPr>
            <w:r w:rsidRPr="005E3B43">
              <w:t>ad F2021L01390</w:t>
            </w:r>
          </w:p>
        </w:tc>
      </w:tr>
      <w:tr w:rsidR="00B53CCB" w:rsidRPr="005E3B43" w14:paraId="71A23769" w14:textId="77777777" w:rsidTr="00034EA9">
        <w:trPr>
          <w:cantSplit/>
        </w:trPr>
        <w:tc>
          <w:tcPr>
            <w:tcW w:w="1495" w:type="pct"/>
          </w:tcPr>
          <w:p w14:paraId="4B28FF89" w14:textId="77777777" w:rsidR="00B53CCB" w:rsidRPr="005E3B43" w:rsidRDefault="00BE7FAC" w:rsidP="00763BCF">
            <w:pPr>
              <w:pStyle w:val="ENoteTableText"/>
              <w:tabs>
                <w:tab w:val="center" w:leader="dot" w:pos="2268"/>
              </w:tabs>
              <w:rPr>
                <w:b/>
              </w:rPr>
            </w:pPr>
            <w:r w:rsidRPr="005E3B43">
              <w:rPr>
                <w:b/>
              </w:rPr>
              <w:t>Division 4</w:t>
            </w:r>
          </w:p>
        </w:tc>
        <w:tc>
          <w:tcPr>
            <w:tcW w:w="3505" w:type="pct"/>
          </w:tcPr>
          <w:p w14:paraId="7EDFFAB7" w14:textId="77777777" w:rsidR="00B53CCB" w:rsidRPr="005E3B43" w:rsidRDefault="00B53CCB" w:rsidP="00763BCF">
            <w:pPr>
              <w:pStyle w:val="ENoteTableText"/>
            </w:pPr>
          </w:p>
        </w:tc>
      </w:tr>
      <w:tr w:rsidR="00B53CCB" w:rsidRPr="005E3B43" w14:paraId="4A337D14" w14:textId="77777777" w:rsidTr="00034EA9">
        <w:trPr>
          <w:cantSplit/>
        </w:trPr>
        <w:tc>
          <w:tcPr>
            <w:tcW w:w="1495" w:type="pct"/>
          </w:tcPr>
          <w:p w14:paraId="7734BDF0" w14:textId="77777777" w:rsidR="00B53CCB" w:rsidRPr="005E3B43" w:rsidRDefault="00B53CCB" w:rsidP="00763BCF">
            <w:pPr>
              <w:pStyle w:val="ENoteTableText"/>
              <w:tabs>
                <w:tab w:val="center" w:leader="dot" w:pos="2268"/>
              </w:tabs>
            </w:pPr>
            <w:r w:rsidRPr="005E3B43">
              <w:t>r 10JD</w:t>
            </w:r>
            <w:r w:rsidRPr="005E3B43">
              <w:tab/>
            </w:r>
          </w:p>
        </w:tc>
        <w:tc>
          <w:tcPr>
            <w:tcW w:w="3505" w:type="pct"/>
          </w:tcPr>
          <w:p w14:paraId="3D6797B3" w14:textId="77777777" w:rsidR="00B53CCB" w:rsidRPr="005E3B43" w:rsidRDefault="00B53CCB" w:rsidP="00763BCF">
            <w:pPr>
              <w:pStyle w:val="ENoteTableText"/>
            </w:pPr>
            <w:r w:rsidRPr="005E3B43">
              <w:t>ad F2021L01390</w:t>
            </w:r>
          </w:p>
        </w:tc>
      </w:tr>
      <w:tr w:rsidR="00B53CCB" w:rsidRPr="005E3B43" w14:paraId="146135BE" w14:textId="77777777" w:rsidTr="00034EA9">
        <w:trPr>
          <w:cantSplit/>
        </w:trPr>
        <w:tc>
          <w:tcPr>
            <w:tcW w:w="1495" w:type="pct"/>
          </w:tcPr>
          <w:p w14:paraId="345233F2" w14:textId="77777777" w:rsidR="00B53CCB" w:rsidRPr="005E3B43" w:rsidRDefault="00B53CCB" w:rsidP="00763BCF">
            <w:pPr>
              <w:pStyle w:val="ENoteTableText"/>
              <w:tabs>
                <w:tab w:val="center" w:leader="dot" w:pos="2268"/>
              </w:tabs>
            </w:pPr>
            <w:r w:rsidRPr="005E3B43">
              <w:t>r 10JE</w:t>
            </w:r>
            <w:r w:rsidRPr="005E3B43">
              <w:tab/>
            </w:r>
          </w:p>
        </w:tc>
        <w:tc>
          <w:tcPr>
            <w:tcW w:w="3505" w:type="pct"/>
          </w:tcPr>
          <w:p w14:paraId="509F8FEC" w14:textId="77777777" w:rsidR="00B53CCB" w:rsidRPr="005E3B43" w:rsidRDefault="00B53CCB" w:rsidP="00763BCF">
            <w:pPr>
              <w:pStyle w:val="ENoteTableText"/>
            </w:pPr>
            <w:r w:rsidRPr="005E3B43">
              <w:t>ad F2021L01390</w:t>
            </w:r>
          </w:p>
        </w:tc>
      </w:tr>
      <w:tr w:rsidR="00B53CCB" w:rsidRPr="005E3B43" w14:paraId="0BE996D6" w14:textId="77777777" w:rsidTr="00034EA9">
        <w:trPr>
          <w:cantSplit/>
        </w:trPr>
        <w:tc>
          <w:tcPr>
            <w:tcW w:w="1495" w:type="pct"/>
          </w:tcPr>
          <w:p w14:paraId="705767CD" w14:textId="77777777" w:rsidR="00B53CCB" w:rsidRPr="005E3B43" w:rsidRDefault="00B53CCB" w:rsidP="00763BCF">
            <w:pPr>
              <w:pStyle w:val="ENoteTableText"/>
              <w:tabs>
                <w:tab w:val="center" w:leader="dot" w:pos="2268"/>
              </w:tabs>
            </w:pPr>
            <w:r w:rsidRPr="005E3B43">
              <w:t>r 10JF</w:t>
            </w:r>
          </w:p>
        </w:tc>
        <w:tc>
          <w:tcPr>
            <w:tcW w:w="3505" w:type="pct"/>
          </w:tcPr>
          <w:p w14:paraId="64362300" w14:textId="77777777" w:rsidR="00B53CCB" w:rsidRPr="005E3B43" w:rsidRDefault="00B53CCB" w:rsidP="00763BCF">
            <w:pPr>
              <w:pStyle w:val="ENoteTableText"/>
            </w:pPr>
            <w:r w:rsidRPr="005E3B43">
              <w:t>ad F2021L01390</w:t>
            </w:r>
          </w:p>
        </w:tc>
      </w:tr>
      <w:tr w:rsidR="00B53CCB" w:rsidRPr="005E3B43" w14:paraId="07F31806" w14:textId="77777777" w:rsidTr="00034EA9">
        <w:trPr>
          <w:cantSplit/>
        </w:trPr>
        <w:tc>
          <w:tcPr>
            <w:tcW w:w="1495" w:type="pct"/>
          </w:tcPr>
          <w:p w14:paraId="1B4C4F6F" w14:textId="77777777" w:rsidR="00B53CCB" w:rsidRPr="005E3B43" w:rsidRDefault="00BE7FAC" w:rsidP="00763BCF">
            <w:pPr>
              <w:pStyle w:val="ENoteTableText"/>
              <w:tabs>
                <w:tab w:val="center" w:leader="dot" w:pos="2268"/>
              </w:tabs>
              <w:rPr>
                <w:b/>
              </w:rPr>
            </w:pPr>
            <w:r w:rsidRPr="005E3B43">
              <w:rPr>
                <w:b/>
              </w:rPr>
              <w:t>Division 5</w:t>
            </w:r>
          </w:p>
        </w:tc>
        <w:tc>
          <w:tcPr>
            <w:tcW w:w="3505" w:type="pct"/>
          </w:tcPr>
          <w:p w14:paraId="599017EF" w14:textId="77777777" w:rsidR="00B53CCB" w:rsidRPr="005E3B43" w:rsidRDefault="00B53CCB" w:rsidP="00763BCF">
            <w:pPr>
              <w:pStyle w:val="ENoteTableText"/>
            </w:pPr>
          </w:p>
        </w:tc>
      </w:tr>
      <w:tr w:rsidR="00B53CCB" w:rsidRPr="005E3B43" w14:paraId="257FE99A" w14:textId="77777777" w:rsidTr="00034EA9">
        <w:trPr>
          <w:cantSplit/>
        </w:trPr>
        <w:tc>
          <w:tcPr>
            <w:tcW w:w="1495" w:type="pct"/>
          </w:tcPr>
          <w:p w14:paraId="13ED5CBF" w14:textId="77777777" w:rsidR="00B53CCB" w:rsidRPr="005E3B43" w:rsidRDefault="00B53CCB" w:rsidP="00763BCF">
            <w:pPr>
              <w:pStyle w:val="ENoteTableText"/>
              <w:tabs>
                <w:tab w:val="center" w:leader="dot" w:pos="2268"/>
              </w:tabs>
            </w:pPr>
            <w:r w:rsidRPr="005E3B43">
              <w:t>r 10JG</w:t>
            </w:r>
            <w:r w:rsidRPr="005E3B43">
              <w:tab/>
            </w:r>
          </w:p>
        </w:tc>
        <w:tc>
          <w:tcPr>
            <w:tcW w:w="3505" w:type="pct"/>
          </w:tcPr>
          <w:p w14:paraId="140BD891" w14:textId="77777777" w:rsidR="00B53CCB" w:rsidRPr="005E3B43" w:rsidRDefault="00B53CCB" w:rsidP="00763BCF">
            <w:pPr>
              <w:pStyle w:val="ENoteTableText"/>
            </w:pPr>
            <w:r w:rsidRPr="005E3B43">
              <w:t>ad F2021L01390</w:t>
            </w:r>
          </w:p>
        </w:tc>
      </w:tr>
      <w:tr w:rsidR="00B53CCB" w:rsidRPr="005E3B43" w14:paraId="1B569BB1" w14:textId="77777777" w:rsidTr="00034EA9">
        <w:trPr>
          <w:cantSplit/>
        </w:trPr>
        <w:tc>
          <w:tcPr>
            <w:tcW w:w="1495" w:type="pct"/>
          </w:tcPr>
          <w:p w14:paraId="373171E4" w14:textId="77777777" w:rsidR="00B53CCB" w:rsidRPr="005E3B43" w:rsidRDefault="00B53CCB" w:rsidP="00763BCF">
            <w:pPr>
              <w:pStyle w:val="ENoteTableText"/>
              <w:tabs>
                <w:tab w:val="center" w:leader="dot" w:pos="2268"/>
              </w:tabs>
            </w:pPr>
            <w:r w:rsidRPr="005E3B43">
              <w:t>r 10JH</w:t>
            </w:r>
            <w:r w:rsidRPr="005E3B43">
              <w:tab/>
            </w:r>
          </w:p>
        </w:tc>
        <w:tc>
          <w:tcPr>
            <w:tcW w:w="3505" w:type="pct"/>
          </w:tcPr>
          <w:p w14:paraId="7EEB1376" w14:textId="77777777" w:rsidR="00B53CCB" w:rsidRPr="005E3B43" w:rsidRDefault="00B53CCB" w:rsidP="00763BCF">
            <w:pPr>
              <w:pStyle w:val="ENoteTableText"/>
            </w:pPr>
            <w:r w:rsidRPr="005E3B43">
              <w:t>ad F2021L01390</w:t>
            </w:r>
          </w:p>
        </w:tc>
      </w:tr>
      <w:tr w:rsidR="004D5C37" w:rsidRPr="005E3B43" w14:paraId="60DA8CF0" w14:textId="77777777" w:rsidTr="00034EA9">
        <w:trPr>
          <w:cantSplit/>
        </w:trPr>
        <w:tc>
          <w:tcPr>
            <w:tcW w:w="1495" w:type="pct"/>
          </w:tcPr>
          <w:p w14:paraId="649F98A9" w14:textId="77777777" w:rsidR="004D5C37" w:rsidRPr="005E3B43" w:rsidRDefault="006B5D8E" w:rsidP="00763BCF">
            <w:pPr>
              <w:pStyle w:val="ENoteTableText"/>
              <w:tabs>
                <w:tab w:val="center" w:leader="dot" w:pos="2268"/>
              </w:tabs>
              <w:rPr>
                <w:b/>
              </w:rPr>
            </w:pPr>
            <w:r w:rsidRPr="005E3B43">
              <w:rPr>
                <w:b/>
              </w:rPr>
              <w:t>Part 2</w:t>
            </w:r>
            <w:r w:rsidR="004D5C37" w:rsidRPr="005E3B43">
              <w:rPr>
                <w:b/>
              </w:rPr>
              <w:t>D</w:t>
            </w:r>
          </w:p>
        </w:tc>
        <w:tc>
          <w:tcPr>
            <w:tcW w:w="3505" w:type="pct"/>
          </w:tcPr>
          <w:p w14:paraId="59B0708C" w14:textId="77777777" w:rsidR="004D5C37" w:rsidRPr="005E3B43" w:rsidRDefault="004D5C37" w:rsidP="00763BCF">
            <w:pPr>
              <w:pStyle w:val="ENoteTableText"/>
            </w:pPr>
          </w:p>
        </w:tc>
      </w:tr>
      <w:tr w:rsidR="004D5C37" w:rsidRPr="005E3B43" w14:paraId="20712167" w14:textId="77777777" w:rsidTr="00034EA9">
        <w:trPr>
          <w:cantSplit/>
        </w:trPr>
        <w:tc>
          <w:tcPr>
            <w:tcW w:w="1495" w:type="pct"/>
          </w:tcPr>
          <w:p w14:paraId="3B5DCA79" w14:textId="77777777" w:rsidR="004D5C37" w:rsidRPr="005E3B43" w:rsidRDefault="006B5D8E" w:rsidP="00763BCF">
            <w:pPr>
              <w:pStyle w:val="ENoteTableText"/>
              <w:tabs>
                <w:tab w:val="center" w:leader="dot" w:pos="2268"/>
              </w:tabs>
            </w:pPr>
            <w:r w:rsidRPr="005E3B43">
              <w:t>Part 2</w:t>
            </w:r>
            <w:r w:rsidR="004D5C37" w:rsidRPr="005E3B43">
              <w:t>D</w:t>
            </w:r>
            <w:r w:rsidR="004D5C37" w:rsidRPr="005E3B43">
              <w:tab/>
            </w:r>
          </w:p>
        </w:tc>
        <w:tc>
          <w:tcPr>
            <w:tcW w:w="3505" w:type="pct"/>
          </w:tcPr>
          <w:p w14:paraId="182D6464" w14:textId="77777777" w:rsidR="004D5C37" w:rsidRPr="005E3B43" w:rsidRDefault="004D5C37" w:rsidP="00763BCF">
            <w:pPr>
              <w:pStyle w:val="ENoteTableText"/>
            </w:pPr>
            <w:r w:rsidRPr="005E3B43">
              <w:t>ad F2018L00311</w:t>
            </w:r>
          </w:p>
        </w:tc>
      </w:tr>
      <w:tr w:rsidR="004D5C37" w:rsidRPr="005E3B43" w14:paraId="24E4FEB8" w14:textId="77777777" w:rsidTr="00034EA9">
        <w:trPr>
          <w:cantSplit/>
        </w:trPr>
        <w:tc>
          <w:tcPr>
            <w:tcW w:w="1495" w:type="pct"/>
          </w:tcPr>
          <w:p w14:paraId="2F1B346D" w14:textId="77777777" w:rsidR="004D5C37" w:rsidRPr="005E3B43" w:rsidRDefault="004D5C37" w:rsidP="00763BCF">
            <w:pPr>
              <w:pStyle w:val="ENoteTableText"/>
              <w:tabs>
                <w:tab w:val="center" w:leader="dot" w:pos="2268"/>
              </w:tabs>
            </w:pPr>
            <w:r w:rsidRPr="005E3B43">
              <w:t>r 10K</w:t>
            </w:r>
            <w:r w:rsidRPr="005E3B43">
              <w:tab/>
            </w:r>
          </w:p>
        </w:tc>
        <w:tc>
          <w:tcPr>
            <w:tcW w:w="3505" w:type="pct"/>
          </w:tcPr>
          <w:p w14:paraId="41B7026E" w14:textId="77777777" w:rsidR="004D5C37" w:rsidRPr="005E3B43" w:rsidRDefault="004D5C37" w:rsidP="00763BCF">
            <w:pPr>
              <w:pStyle w:val="ENoteTableText"/>
            </w:pPr>
            <w:r w:rsidRPr="005E3B43">
              <w:t>ad F2018L00311</w:t>
            </w:r>
          </w:p>
        </w:tc>
      </w:tr>
      <w:tr w:rsidR="004D5C37" w:rsidRPr="005E3B43" w14:paraId="34FE4460" w14:textId="77777777" w:rsidTr="00034EA9">
        <w:trPr>
          <w:cantSplit/>
        </w:trPr>
        <w:tc>
          <w:tcPr>
            <w:tcW w:w="1495" w:type="pct"/>
          </w:tcPr>
          <w:p w14:paraId="000C9AA3" w14:textId="77777777" w:rsidR="004D5C37" w:rsidRPr="005E3B43" w:rsidRDefault="004D5C37" w:rsidP="00763BCF">
            <w:pPr>
              <w:pStyle w:val="ENoteTableText"/>
              <w:tabs>
                <w:tab w:val="center" w:leader="dot" w:pos="2268"/>
              </w:tabs>
            </w:pPr>
            <w:r w:rsidRPr="005E3B43">
              <w:t>r 10L</w:t>
            </w:r>
            <w:r w:rsidRPr="005E3B43">
              <w:tab/>
            </w:r>
          </w:p>
        </w:tc>
        <w:tc>
          <w:tcPr>
            <w:tcW w:w="3505" w:type="pct"/>
          </w:tcPr>
          <w:p w14:paraId="7E94FEC2" w14:textId="77777777" w:rsidR="004D5C37" w:rsidRPr="005E3B43" w:rsidRDefault="004D5C37" w:rsidP="00763BCF">
            <w:pPr>
              <w:pStyle w:val="ENoteTableText"/>
            </w:pPr>
            <w:r w:rsidRPr="005E3B43">
              <w:t>ad F2018L00311</w:t>
            </w:r>
          </w:p>
        </w:tc>
      </w:tr>
      <w:tr w:rsidR="00155B0B" w:rsidRPr="005E3B43" w14:paraId="18AA1BEF" w14:textId="77777777" w:rsidTr="00034EA9">
        <w:trPr>
          <w:cantSplit/>
        </w:trPr>
        <w:tc>
          <w:tcPr>
            <w:tcW w:w="1495" w:type="pct"/>
          </w:tcPr>
          <w:p w14:paraId="1991EDB8" w14:textId="77777777" w:rsidR="00155B0B" w:rsidRPr="005E3B43" w:rsidRDefault="00155B0B" w:rsidP="00763BCF">
            <w:pPr>
              <w:pStyle w:val="ENoteTableText"/>
              <w:tabs>
                <w:tab w:val="center" w:leader="dot" w:pos="2268"/>
              </w:tabs>
            </w:pPr>
          </w:p>
        </w:tc>
        <w:tc>
          <w:tcPr>
            <w:tcW w:w="3505" w:type="pct"/>
          </w:tcPr>
          <w:p w14:paraId="0E597354" w14:textId="77777777" w:rsidR="00155B0B" w:rsidRPr="005E3B43" w:rsidRDefault="00155B0B" w:rsidP="00763BCF">
            <w:pPr>
              <w:pStyle w:val="ENoteTableText"/>
            </w:pPr>
            <w:r w:rsidRPr="005E3B43">
              <w:t>am F2021L01032</w:t>
            </w:r>
          </w:p>
        </w:tc>
      </w:tr>
      <w:tr w:rsidR="004E1992" w:rsidRPr="005E3B43" w14:paraId="79A5BE29" w14:textId="77777777" w:rsidTr="00034EA9">
        <w:trPr>
          <w:cantSplit/>
        </w:trPr>
        <w:tc>
          <w:tcPr>
            <w:tcW w:w="1495" w:type="pct"/>
          </w:tcPr>
          <w:p w14:paraId="50FE5F10" w14:textId="77777777" w:rsidR="004E1992" w:rsidRPr="005E3B43" w:rsidRDefault="006B5D8E" w:rsidP="00763BCF">
            <w:pPr>
              <w:pStyle w:val="ENoteTableText"/>
              <w:tabs>
                <w:tab w:val="center" w:leader="dot" w:pos="2268"/>
              </w:tabs>
              <w:rPr>
                <w:b/>
              </w:rPr>
            </w:pPr>
            <w:r w:rsidRPr="005E3B43">
              <w:rPr>
                <w:b/>
              </w:rPr>
              <w:t>Part 2</w:t>
            </w:r>
            <w:r w:rsidR="004E1992" w:rsidRPr="005E3B43">
              <w:rPr>
                <w:b/>
              </w:rPr>
              <w:t>E</w:t>
            </w:r>
          </w:p>
        </w:tc>
        <w:tc>
          <w:tcPr>
            <w:tcW w:w="3505" w:type="pct"/>
          </w:tcPr>
          <w:p w14:paraId="4991CE57" w14:textId="77777777" w:rsidR="004E1992" w:rsidRPr="005E3B43" w:rsidRDefault="004E1992" w:rsidP="00763BCF">
            <w:pPr>
              <w:pStyle w:val="ENoteTableText"/>
            </w:pPr>
          </w:p>
        </w:tc>
      </w:tr>
      <w:tr w:rsidR="004E1992" w:rsidRPr="005E3B43" w14:paraId="300B8779" w14:textId="77777777" w:rsidTr="00034EA9">
        <w:trPr>
          <w:cantSplit/>
        </w:trPr>
        <w:tc>
          <w:tcPr>
            <w:tcW w:w="1495" w:type="pct"/>
          </w:tcPr>
          <w:p w14:paraId="667D33F0" w14:textId="77777777" w:rsidR="004E1992" w:rsidRPr="005E3B43" w:rsidRDefault="006B5D8E" w:rsidP="00763BCF">
            <w:pPr>
              <w:pStyle w:val="ENoteTableText"/>
              <w:tabs>
                <w:tab w:val="center" w:leader="dot" w:pos="2268"/>
              </w:tabs>
            </w:pPr>
            <w:r w:rsidRPr="005E3B43">
              <w:t>Part 2</w:t>
            </w:r>
            <w:r w:rsidR="004E1992" w:rsidRPr="005E3B43">
              <w:t>E</w:t>
            </w:r>
            <w:r w:rsidR="004E1992" w:rsidRPr="005E3B43">
              <w:tab/>
            </w:r>
          </w:p>
        </w:tc>
        <w:tc>
          <w:tcPr>
            <w:tcW w:w="3505" w:type="pct"/>
          </w:tcPr>
          <w:p w14:paraId="6C3E6091" w14:textId="77777777" w:rsidR="004E1992" w:rsidRPr="005E3B43" w:rsidRDefault="004E1992" w:rsidP="00763BCF">
            <w:pPr>
              <w:pStyle w:val="ENoteTableText"/>
            </w:pPr>
            <w:r w:rsidRPr="005E3B43">
              <w:t>ad F2020L00946</w:t>
            </w:r>
          </w:p>
        </w:tc>
      </w:tr>
      <w:tr w:rsidR="004E1992" w:rsidRPr="005E3B43" w14:paraId="34A4E57B" w14:textId="77777777" w:rsidTr="00034EA9">
        <w:trPr>
          <w:cantSplit/>
        </w:trPr>
        <w:tc>
          <w:tcPr>
            <w:tcW w:w="1495" w:type="pct"/>
          </w:tcPr>
          <w:p w14:paraId="4558FCE8" w14:textId="77777777" w:rsidR="004E1992" w:rsidRPr="005E3B43" w:rsidRDefault="004E1992" w:rsidP="00763BCF">
            <w:pPr>
              <w:pStyle w:val="ENoteTableText"/>
              <w:tabs>
                <w:tab w:val="center" w:leader="dot" w:pos="2268"/>
              </w:tabs>
            </w:pPr>
            <w:r w:rsidRPr="005E3B43">
              <w:t>r 10M</w:t>
            </w:r>
            <w:r w:rsidRPr="005E3B43">
              <w:tab/>
            </w:r>
          </w:p>
        </w:tc>
        <w:tc>
          <w:tcPr>
            <w:tcW w:w="3505" w:type="pct"/>
          </w:tcPr>
          <w:p w14:paraId="01EB22DB" w14:textId="77777777" w:rsidR="004E1992" w:rsidRPr="005E3B43" w:rsidRDefault="004E1992" w:rsidP="00763BCF">
            <w:pPr>
              <w:pStyle w:val="ENoteTableText"/>
            </w:pPr>
            <w:r w:rsidRPr="005E3B43">
              <w:t>ad F2020L00946</w:t>
            </w:r>
          </w:p>
        </w:tc>
      </w:tr>
      <w:tr w:rsidR="00563F64" w:rsidRPr="005E3B43" w14:paraId="0B250884" w14:textId="77777777" w:rsidTr="00034EA9">
        <w:trPr>
          <w:cantSplit/>
        </w:trPr>
        <w:tc>
          <w:tcPr>
            <w:tcW w:w="1495" w:type="pct"/>
          </w:tcPr>
          <w:p w14:paraId="350462D3" w14:textId="77777777" w:rsidR="00563F64" w:rsidRPr="005E3B43" w:rsidRDefault="006B5D8E" w:rsidP="00763BCF">
            <w:pPr>
              <w:pStyle w:val="ENoteTableText"/>
              <w:tabs>
                <w:tab w:val="center" w:leader="dot" w:pos="2268"/>
              </w:tabs>
              <w:rPr>
                <w:b/>
              </w:rPr>
            </w:pPr>
            <w:r w:rsidRPr="005E3B43">
              <w:rPr>
                <w:b/>
              </w:rPr>
              <w:t>Part 2</w:t>
            </w:r>
            <w:r w:rsidR="00563F64" w:rsidRPr="005E3B43">
              <w:rPr>
                <w:b/>
              </w:rPr>
              <w:t>F</w:t>
            </w:r>
          </w:p>
        </w:tc>
        <w:tc>
          <w:tcPr>
            <w:tcW w:w="3505" w:type="pct"/>
          </w:tcPr>
          <w:p w14:paraId="044FF98B" w14:textId="77777777" w:rsidR="00563F64" w:rsidRPr="005E3B43" w:rsidRDefault="00563F64" w:rsidP="00763BCF">
            <w:pPr>
              <w:pStyle w:val="ENoteTableText"/>
            </w:pPr>
          </w:p>
        </w:tc>
      </w:tr>
      <w:tr w:rsidR="00563F64" w:rsidRPr="005E3B43" w14:paraId="1CABF3B1" w14:textId="77777777" w:rsidTr="00034EA9">
        <w:trPr>
          <w:cantSplit/>
        </w:trPr>
        <w:tc>
          <w:tcPr>
            <w:tcW w:w="1495" w:type="pct"/>
          </w:tcPr>
          <w:p w14:paraId="26C45A37" w14:textId="77777777" w:rsidR="00563F64" w:rsidRPr="005E3B43" w:rsidRDefault="006B5D8E" w:rsidP="00763BCF">
            <w:pPr>
              <w:pStyle w:val="ENoteTableText"/>
              <w:tabs>
                <w:tab w:val="center" w:leader="dot" w:pos="2268"/>
              </w:tabs>
            </w:pPr>
            <w:r w:rsidRPr="005E3B43">
              <w:t>Part 2</w:t>
            </w:r>
            <w:r w:rsidR="00563F64" w:rsidRPr="005E3B43">
              <w:t>F</w:t>
            </w:r>
            <w:r w:rsidR="00563F64" w:rsidRPr="005E3B43">
              <w:tab/>
            </w:r>
          </w:p>
        </w:tc>
        <w:tc>
          <w:tcPr>
            <w:tcW w:w="3505" w:type="pct"/>
          </w:tcPr>
          <w:p w14:paraId="55C5B48A" w14:textId="77777777" w:rsidR="00563F64" w:rsidRPr="005E3B43" w:rsidRDefault="00563F64" w:rsidP="00763BCF">
            <w:pPr>
              <w:pStyle w:val="ENoteTableText"/>
            </w:pPr>
            <w:r w:rsidRPr="005E3B43">
              <w:t>ad F2024L00839</w:t>
            </w:r>
          </w:p>
        </w:tc>
      </w:tr>
      <w:tr w:rsidR="00F74F28" w:rsidRPr="005E3B43" w14:paraId="33D2A459" w14:textId="77777777" w:rsidTr="00034EA9">
        <w:trPr>
          <w:cantSplit/>
        </w:trPr>
        <w:tc>
          <w:tcPr>
            <w:tcW w:w="1495" w:type="pct"/>
          </w:tcPr>
          <w:p w14:paraId="0BB093D0" w14:textId="77777777" w:rsidR="00F74F28" w:rsidRPr="005E3B43" w:rsidRDefault="00F74F28" w:rsidP="00763BCF">
            <w:pPr>
              <w:pStyle w:val="ENoteTableText"/>
              <w:tabs>
                <w:tab w:val="center" w:leader="dot" w:pos="2268"/>
              </w:tabs>
            </w:pPr>
            <w:r w:rsidRPr="005E3B43">
              <w:t>r 10N</w:t>
            </w:r>
            <w:r w:rsidRPr="005E3B43">
              <w:tab/>
            </w:r>
          </w:p>
        </w:tc>
        <w:tc>
          <w:tcPr>
            <w:tcW w:w="3505" w:type="pct"/>
          </w:tcPr>
          <w:p w14:paraId="1023431F" w14:textId="77777777" w:rsidR="00F74F28" w:rsidRPr="005E3B43" w:rsidRDefault="00F74F28" w:rsidP="00763BCF">
            <w:pPr>
              <w:pStyle w:val="ENoteTableText"/>
            </w:pPr>
            <w:r w:rsidRPr="005E3B43">
              <w:t>ad F2024L00839</w:t>
            </w:r>
          </w:p>
        </w:tc>
      </w:tr>
      <w:tr w:rsidR="00BC01F2" w:rsidRPr="005E3B43" w14:paraId="320DB379" w14:textId="77777777" w:rsidTr="00034EA9">
        <w:trPr>
          <w:cantSplit/>
        </w:trPr>
        <w:tc>
          <w:tcPr>
            <w:tcW w:w="1495" w:type="pct"/>
          </w:tcPr>
          <w:p w14:paraId="32F7CAFE" w14:textId="77777777" w:rsidR="00BC01F2" w:rsidRPr="005E3B43" w:rsidRDefault="00BC01F2" w:rsidP="00763BCF">
            <w:pPr>
              <w:pStyle w:val="ENoteTableText"/>
              <w:tabs>
                <w:tab w:val="center" w:leader="dot" w:pos="2268"/>
              </w:tabs>
            </w:pPr>
          </w:p>
        </w:tc>
        <w:tc>
          <w:tcPr>
            <w:tcW w:w="3505" w:type="pct"/>
          </w:tcPr>
          <w:p w14:paraId="673331E3" w14:textId="515F9278" w:rsidR="00BC01F2" w:rsidRPr="005E3B43" w:rsidRDefault="00BC01F2" w:rsidP="00763BCF">
            <w:pPr>
              <w:pStyle w:val="ENoteTableText"/>
            </w:pPr>
            <w:r w:rsidRPr="005E3B43">
              <w:t xml:space="preserve">am </w:t>
            </w:r>
            <w:r w:rsidR="00B96BA3" w:rsidRPr="005E3B43">
              <w:t>F2024L00839</w:t>
            </w:r>
            <w:r w:rsidR="00CC7E43">
              <w:t xml:space="preserve">; </w:t>
            </w:r>
            <w:r w:rsidR="00CC7E43" w:rsidRPr="00CC7E43">
              <w:t>F2024L01673</w:t>
            </w:r>
          </w:p>
        </w:tc>
      </w:tr>
      <w:tr w:rsidR="00F74F28" w:rsidRPr="005E3B43" w14:paraId="3F0EAA3A" w14:textId="77777777" w:rsidTr="00034EA9">
        <w:trPr>
          <w:cantSplit/>
        </w:trPr>
        <w:tc>
          <w:tcPr>
            <w:tcW w:w="1495" w:type="pct"/>
          </w:tcPr>
          <w:p w14:paraId="52AAF2E9" w14:textId="77777777" w:rsidR="00F74F28" w:rsidRPr="005E3B43" w:rsidRDefault="00F74F28" w:rsidP="00763BCF">
            <w:pPr>
              <w:pStyle w:val="ENoteTableText"/>
              <w:tabs>
                <w:tab w:val="center" w:leader="dot" w:pos="2268"/>
              </w:tabs>
            </w:pPr>
            <w:r w:rsidRPr="005E3B43">
              <w:t>r 10P</w:t>
            </w:r>
            <w:r w:rsidRPr="005E3B43">
              <w:tab/>
            </w:r>
          </w:p>
        </w:tc>
        <w:tc>
          <w:tcPr>
            <w:tcW w:w="3505" w:type="pct"/>
          </w:tcPr>
          <w:p w14:paraId="0335B934" w14:textId="77777777" w:rsidR="00F74F28" w:rsidRPr="005E3B43" w:rsidRDefault="00F74F28" w:rsidP="00763BCF">
            <w:pPr>
              <w:pStyle w:val="ENoteTableText"/>
            </w:pPr>
            <w:r w:rsidRPr="005E3B43">
              <w:t>ad F2024L00839</w:t>
            </w:r>
          </w:p>
        </w:tc>
      </w:tr>
      <w:tr w:rsidR="00F74F28" w:rsidRPr="005E3B43" w14:paraId="3D266BFF" w14:textId="77777777" w:rsidTr="00034EA9">
        <w:trPr>
          <w:cantSplit/>
        </w:trPr>
        <w:tc>
          <w:tcPr>
            <w:tcW w:w="1495" w:type="pct"/>
          </w:tcPr>
          <w:p w14:paraId="30A53E9A" w14:textId="77777777" w:rsidR="00F74F28" w:rsidRPr="005E3B43" w:rsidRDefault="00F74F28" w:rsidP="00763BCF">
            <w:pPr>
              <w:pStyle w:val="ENoteTableText"/>
              <w:tabs>
                <w:tab w:val="center" w:leader="dot" w:pos="2268"/>
              </w:tabs>
            </w:pPr>
            <w:r w:rsidRPr="005E3B43">
              <w:t>r 10Q</w:t>
            </w:r>
            <w:r w:rsidRPr="005E3B43">
              <w:tab/>
            </w:r>
          </w:p>
        </w:tc>
        <w:tc>
          <w:tcPr>
            <w:tcW w:w="3505" w:type="pct"/>
          </w:tcPr>
          <w:p w14:paraId="4E5F6805" w14:textId="77777777" w:rsidR="00F74F28" w:rsidRPr="005E3B43" w:rsidRDefault="00F74F28" w:rsidP="00763BCF">
            <w:pPr>
              <w:pStyle w:val="ENoteTableText"/>
            </w:pPr>
            <w:r w:rsidRPr="005E3B43">
              <w:t>ad F2024L00839</w:t>
            </w:r>
          </w:p>
        </w:tc>
      </w:tr>
      <w:tr w:rsidR="00D64E96" w:rsidRPr="005E3B43" w14:paraId="28D39FDD" w14:textId="77777777" w:rsidTr="00034EA9">
        <w:trPr>
          <w:cantSplit/>
        </w:trPr>
        <w:tc>
          <w:tcPr>
            <w:tcW w:w="1495" w:type="pct"/>
          </w:tcPr>
          <w:p w14:paraId="0609E9DC" w14:textId="77777777" w:rsidR="00D64E96" w:rsidRPr="005E3B43" w:rsidRDefault="00BB758E" w:rsidP="00763BCF">
            <w:pPr>
              <w:pStyle w:val="ENoteTableText"/>
            </w:pPr>
            <w:r w:rsidRPr="005E3B43">
              <w:rPr>
                <w:b/>
              </w:rPr>
              <w:t>Part 3</w:t>
            </w:r>
          </w:p>
        </w:tc>
        <w:tc>
          <w:tcPr>
            <w:tcW w:w="3505" w:type="pct"/>
          </w:tcPr>
          <w:p w14:paraId="455D56B1" w14:textId="77777777" w:rsidR="00D64E96" w:rsidRPr="005E3B43" w:rsidRDefault="00D64E96" w:rsidP="00763BCF">
            <w:pPr>
              <w:pStyle w:val="ENoteTableText"/>
            </w:pPr>
          </w:p>
        </w:tc>
      </w:tr>
      <w:tr w:rsidR="00D64E96" w:rsidRPr="005E3B43" w14:paraId="4962A6F7" w14:textId="77777777" w:rsidTr="00034EA9">
        <w:trPr>
          <w:cantSplit/>
        </w:trPr>
        <w:tc>
          <w:tcPr>
            <w:tcW w:w="1495" w:type="pct"/>
          </w:tcPr>
          <w:p w14:paraId="59A8B9C6" w14:textId="77777777" w:rsidR="00D64E96" w:rsidRPr="005E3B43" w:rsidRDefault="00BB758E" w:rsidP="00763BCF">
            <w:pPr>
              <w:pStyle w:val="ENoteTableText"/>
              <w:tabs>
                <w:tab w:val="center" w:leader="dot" w:pos="2268"/>
              </w:tabs>
            </w:pPr>
            <w:r w:rsidRPr="005E3B43">
              <w:t>Part 3</w:t>
            </w:r>
            <w:r w:rsidR="00FD7E9E" w:rsidRPr="005E3B43">
              <w:t xml:space="preserve"> heading</w:t>
            </w:r>
            <w:r w:rsidR="00D64E96" w:rsidRPr="005E3B43">
              <w:tab/>
            </w:r>
          </w:p>
        </w:tc>
        <w:tc>
          <w:tcPr>
            <w:tcW w:w="3505" w:type="pct"/>
          </w:tcPr>
          <w:p w14:paraId="38EBCEA0" w14:textId="77777777" w:rsidR="00D64E96" w:rsidRPr="005E3B43" w:rsidRDefault="00D64E96" w:rsidP="00763BCF">
            <w:pPr>
              <w:pStyle w:val="ENoteTableText"/>
            </w:pPr>
            <w:r w:rsidRPr="005E3B43">
              <w:t>rs. 2011 No.</w:t>
            </w:r>
            <w:r w:rsidR="004E6D00" w:rsidRPr="005E3B43">
              <w:t> </w:t>
            </w:r>
            <w:r w:rsidRPr="005E3B43">
              <w:t>30</w:t>
            </w:r>
          </w:p>
        </w:tc>
      </w:tr>
      <w:tr w:rsidR="00D64E96" w:rsidRPr="005E3B43" w14:paraId="008BFD51" w14:textId="77777777" w:rsidTr="00034EA9">
        <w:trPr>
          <w:cantSplit/>
        </w:trPr>
        <w:tc>
          <w:tcPr>
            <w:tcW w:w="1495" w:type="pct"/>
          </w:tcPr>
          <w:p w14:paraId="68AC3F93" w14:textId="77777777" w:rsidR="00D64E96" w:rsidRPr="005E3B43" w:rsidRDefault="00D64E96" w:rsidP="00763BCF">
            <w:pPr>
              <w:pStyle w:val="ENoteTableText"/>
              <w:tabs>
                <w:tab w:val="center" w:leader="dot" w:pos="2268"/>
              </w:tabs>
            </w:pPr>
            <w:r w:rsidRPr="005E3B43">
              <w:t>r 10A</w:t>
            </w:r>
            <w:r w:rsidRPr="005E3B43">
              <w:tab/>
            </w:r>
          </w:p>
        </w:tc>
        <w:tc>
          <w:tcPr>
            <w:tcW w:w="3505" w:type="pct"/>
          </w:tcPr>
          <w:p w14:paraId="330FCF2F" w14:textId="77777777" w:rsidR="00D64E96" w:rsidRPr="005E3B43" w:rsidRDefault="00D64E96" w:rsidP="00763BCF">
            <w:pPr>
              <w:pStyle w:val="ENoteTableText"/>
            </w:pPr>
            <w:r w:rsidRPr="005E3B43">
              <w:t>ad No</w:t>
            </w:r>
            <w:r w:rsidR="004E6D00" w:rsidRPr="005E3B43">
              <w:t> </w:t>
            </w:r>
            <w:r w:rsidRPr="005E3B43">
              <w:t>252</w:t>
            </w:r>
            <w:r w:rsidR="00602EA5" w:rsidRPr="005E3B43">
              <w:t>, 2001</w:t>
            </w:r>
          </w:p>
        </w:tc>
      </w:tr>
      <w:tr w:rsidR="00D64E96" w:rsidRPr="005E3B43" w14:paraId="66A356B0" w14:textId="77777777" w:rsidTr="00034EA9">
        <w:trPr>
          <w:cantSplit/>
        </w:trPr>
        <w:tc>
          <w:tcPr>
            <w:tcW w:w="1495" w:type="pct"/>
          </w:tcPr>
          <w:p w14:paraId="1581CB98" w14:textId="77777777" w:rsidR="00D64E96" w:rsidRPr="005E3B43" w:rsidRDefault="00D64E96" w:rsidP="00763BCF">
            <w:pPr>
              <w:pStyle w:val="ENoteTableText"/>
              <w:tabs>
                <w:tab w:val="center" w:leader="dot" w:pos="2268"/>
              </w:tabs>
            </w:pPr>
          </w:p>
        </w:tc>
        <w:tc>
          <w:tcPr>
            <w:tcW w:w="3505" w:type="pct"/>
          </w:tcPr>
          <w:p w14:paraId="2F6C3E6B" w14:textId="77777777" w:rsidR="00D64E96" w:rsidRPr="005E3B43" w:rsidRDefault="00602EA5" w:rsidP="00763BCF">
            <w:pPr>
              <w:pStyle w:val="ENoteTableText"/>
            </w:pPr>
            <w:r w:rsidRPr="005E3B43">
              <w:t>renum</w:t>
            </w:r>
            <w:r w:rsidR="00D64E96" w:rsidRPr="005E3B43">
              <w:t xml:space="preserve"> No</w:t>
            </w:r>
            <w:r w:rsidR="004E6D00" w:rsidRPr="005E3B43">
              <w:t> </w:t>
            </w:r>
            <w:r w:rsidR="00D64E96" w:rsidRPr="005E3B43">
              <w:t>234</w:t>
            </w:r>
            <w:r w:rsidRPr="005E3B43">
              <w:t>, 2002</w:t>
            </w:r>
          </w:p>
        </w:tc>
      </w:tr>
      <w:tr w:rsidR="00602EA5" w:rsidRPr="005E3B43" w14:paraId="7DFBAE73" w14:textId="77777777" w:rsidTr="00034EA9">
        <w:trPr>
          <w:cantSplit/>
        </w:trPr>
        <w:tc>
          <w:tcPr>
            <w:tcW w:w="1495" w:type="pct"/>
          </w:tcPr>
          <w:p w14:paraId="23418EE5" w14:textId="77777777" w:rsidR="00602EA5" w:rsidRPr="005E3B43" w:rsidRDefault="00602EA5" w:rsidP="00763BCF">
            <w:pPr>
              <w:pStyle w:val="ENoteTableText"/>
              <w:tabs>
                <w:tab w:val="center" w:leader="dot" w:pos="2268"/>
              </w:tabs>
            </w:pPr>
            <w:r w:rsidRPr="005E3B43">
              <w:t>r 11 (prev r 10A)</w:t>
            </w:r>
            <w:r w:rsidRPr="005E3B43">
              <w:tab/>
            </w:r>
          </w:p>
        </w:tc>
        <w:tc>
          <w:tcPr>
            <w:tcW w:w="3505" w:type="pct"/>
          </w:tcPr>
          <w:p w14:paraId="2513A708" w14:textId="77777777" w:rsidR="00602EA5" w:rsidRPr="005E3B43" w:rsidRDefault="00602EA5" w:rsidP="00763BCF">
            <w:pPr>
              <w:pStyle w:val="ENoteTableText"/>
            </w:pPr>
            <w:r w:rsidRPr="005E3B43">
              <w:t>am No 127, 2004; F2018L00311</w:t>
            </w:r>
          </w:p>
        </w:tc>
      </w:tr>
      <w:tr w:rsidR="00D64E96" w:rsidRPr="005E3B43" w14:paraId="4120F0EE" w14:textId="77777777" w:rsidTr="00034EA9">
        <w:trPr>
          <w:cantSplit/>
        </w:trPr>
        <w:tc>
          <w:tcPr>
            <w:tcW w:w="1495" w:type="pct"/>
          </w:tcPr>
          <w:p w14:paraId="3B607C18" w14:textId="77777777" w:rsidR="00D64E96" w:rsidRPr="005E3B43" w:rsidRDefault="00D64E96" w:rsidP="00763BCF">
            <w:pPr>
              <w:pStyle w:val="ENoteTableText"/>
              <w:tabs>
                <w:tab w:val="center" w:leader="dot" w:pos="2268"/>
              </w:tabs>
            </w:pPr>
            <w:r w:rsidRPr="005E3B43">
              <w:t>r. 11</w:t>
            </w:r>
            <w:r w:rsidRPr="005E3B43">
              <w:tab/>
            </w:r>
          </w:p>
        </w:tc>
        <w:tc>
          <w:tcPr>
            <w:tcW w:w="3505" w:type="pct"/>
          </w:tcPr>
          <w:p w14:paraId="7F858A8B" w14:textId="77777777" w:rsidR="00D64E96" w:rsidRPr="005E3B43" w:rsidRDefault="00D64E96" w:rsidP="00763BCF">
            <w:pPr>
              <w:pStyle w:val="ENoteTableText"/>
            </w:pPr>
            <w:r w:rsidRPr="005E3B43">
              <w:t>am. 1992 No.</w:t>
            </w:r>
            <w:r w:rsidR="004E6D00" w:rsidRPr="005E3B43">
              <w:t> </w:t>
            </w:r>
            <w:r w:rsidRPr="005E3B43">
              <w:t>89; 1994 No.</w:t>
            </w:r>
            <w:r w:rsidR="004E6D00" w:rsidRPr="005E3B43">
              <w:t> </w:t>
            </w:r>
            <w:r w:rsidRPr="005E3B43">
              <w:t>150</w:t>
            </w:r>
          </w:p>
        </w:tc>
      </w:tr>
      <w:tr w:rsidR="00D64E96" w:rsidRPr="005E3B43" w14:paraId="74AF9943" w14:textId="77777777" w:rsidTr="00034EA9">
        <w:trPr>
          <w:cantSplit/>
        </w:trPr>
        <w:tc>
          <w:tcPr>
            <w:tcW w:w="1495" w:type="pct"/>
          </w:tcPr>
          <w:p w14:paraId="27C7ACCF" w14:textId="77777777" w:rsidR="00D64E96" w:rsidRPr="005E3B43" w:rsidRDefault="00D64E96" w:rsidP="00763BCF">
            <w:pPr>
              <w:pStyle w:val="ENoteTableText"/>
            </w:pPr>
          </w:p>
        </w:tc>
        <w:tc>
          <w:tcPr>
            <w:tcW w:w="3505" w:type="pct"/>
          </w:tcPr>
          <w:p w14:paraId="323D4C94" w14:textId="77777777" w:rsidR="00D64E96" w:rsidRPr="005E3B43" w:rsidRDefault="00D64E96" w:rsidP="00763BCF">
            <w:pPr>
              <w:pStyle w:val="ENoteTableText"/>
            </w:pPr>
            <w:r w:rsidRPr="005E3B43">
              <w:t>rep. 2002 No.</w:t>
            </w:r>
            <w:r w:rsidR="004E6D00" w:rsidRPr="005E3B43">
              <w:t> </w:t>
            </w:r>
            <w:r w:rsidRPr="005E3B43">
              <w:t>234</w:t>
            </w:r>
          </w:p>
        </w:tc>
      </w:tr>
      <w:tr w:rsidR="00D64E96" w:rsidRPr="005E3B43" w14:paraId="2B0A49A6" w14:textId="77777777" w:rsidTr="00034EA9">
        <w:trPr>
          <w:cantSplit/>
        </w:trPr>
        <w:tc>
          <w:tcPr>
            <w:tcW w:w="1495" w:type="pct"/>
          </w:tcPr>
          <w:p w14:paraId="0F9794D5" w14:textId="77777777" w:rsidR="00D64E96" w:rsidRPr="005E3B43" w:rsidRDefault="00D64E96" w:rsidP="00763BCF">
            <w:pPr>
              <w:pStyle w:val="ENoteTableText"/>
              <w:tabs>
                <w:tab w:val="center" w:leader="dot" w:pos="2268"/>
              </w:tabs>
            </w:pPr>
            <w:r w:rsidRPr="005E3B43">
              <w:t>r 11A</w:t>
            </w:r>
            <w:r w:rsidRPr="005E3B43">
              <w:tab/>
            </w:r>
          </w:p>
        </w:tc>
        <w:tc>
          <w:tcPr>
            <w:tcW w:w="3505" w:type="pct"/>
          </w:tcPr>
          <w:p w14:paraId="45355BA9" w14:textId="77777777" w:rsidR="00D64E96" w:rsidRPr="005E3B43" w:rsidRDefault="00D64E96" w:rsidP="00763BCF">
            <w:pPr>
              <w:pStyle w:val="ENoteTableText"/>
            </w:pPr>
            <w:r w:rsidRPr="005E3B43">
              <w:t>ad 1994 No</w:t>
            </w:r>
            <w:r w:rsidR="00A01264" w:rsidRPr="005E3B43">
              <w:t> </w:t>
            </w:r>
            <w:r w:rsidRPr="005E3B43">
              <w:t>150</w:t>
            </w:r>
          </w:p>
        </w:tc>
      </w:tr>
      <w:tr w:rsidR="00D64E96" w:rsidRPr="005E3B43" w14:paraId="703F5D11" w14:textId="77777777" w:rsidTr="00034EA9">
        <w:trPr>
          <w:cantSplit/>
        </w:trPr>
        <w:tc>
          <w:tcPr>
            <w:tcW w:w="1495" w:type="pct"/>
          </w:tcPr>
          <w:p w14:paraId="44B82452" w14:textId="77777777" w:rsidR="00D64E96" w:rsidRPr="005E3B43" w:rsidRDefault="00D64E96" w:rsidP="00763BCF">
            <w:pPr>
              <w:pStyle w:val="ENoteTableText"/>
            </w:pPr>
          </w:p>
        </w:tc>
        <w:tc>
          <w:tcPr>
            <w:tcW w:w="3505" w:type="pct"/>
          </w:tcPr>
          <w:p w14:paraId="67562E69" w14:textId="77777777" w:rsidR="00D64E96" w:rsidRPr="005E3B43" w:rsidRDefault="00D64E96" w:rsidP="00763BCF">
            <w:pPr>
              <w:pStyle w:val="ENoteTableText"/>
            </w:pPr>
            <w:r w:rsidRPr="005E3B43">
              <w:t>rep 2002 No</w:t>
            </w:r>
            <w:r w:rsidR="00A01264" w:rsidRPr="005E3B43">
              <w:t> </w:t>
            </w:r>
            <w:r w:rsidRPr="005E3B43">
              <w:t>234</w:t>
            </w:r>
          </w:p>
        </w:tc>
      </w:tr>
      <w:tr w:rsidR="00D64E96" w:rsidRPr="005E3B43" w14:paraId="5B77C57E" w14:textId="77777777" w:rsidTr="00034EA9">
        <w:trPr>
          <w:cantSplit/>
        </w:trPr>
        <w:tc>
          <w:tcPr>
            <w:tcW w:w="1495" w:type="pct"/>
          </w:tcPr>
          <w:p w14:paraId="49E236BB" w14:textId="77777777" w:rsidR="00D64E96" w:rsidRPr="005E3B43" w:rsidRDefault="00D64E96" w:rsidP="00763BCF">
            <w:pPr>
              <w:pStyle w:val="ENoteTableText"/>
            </w:pPr>
          </w:p>
        </w:tc>
        <w:tc>
          <w:tcPr>
            <w:tcW w:w="3505" w:type="pct"/>
          </w:tcPr>
          <w:p w14:paraId="065A90F5" w14:textId="77777777" w:rsidR="00D64E96" w:rsidRPr="005E3B43" w:rsidRDefault="00D64E96" w:rsidP="00763BCF">
            <w:pPr>
              <w:pStyle w:val="ENoteTableText"/>
            </w:pPr>
            <w:r w:rsidRPr="005E3B43">
              <w:t>ad 2011 No</w:t>
            </w:r>
            <w:r w:rsidR="00A01264" w:rsidRPr="005E3B43">
              <w:t> </w:t>
            </w:r>
            <w:r w:rsidRPr="005E3B43">
              <w:t>30</w:t>
            </w:r>
          </w:p>
        </w:tc>
      </w:tr>
      <w:tr w:rsidR="00D7213F" w:rsidRPr="005E3B43" w14:paraId="056705D0" w14:textId="77777777" w:rsidTr="00034EA9">
        <w:trPr>
          <w:cantSplit/>
        </w:trPr>
        <w:tc>
          <w:tcPr>
            <w:tcW w:w="1495" w:type="pct"/>
          </w:tcPr>
          <w:p w14:paraId="1CE05F59" w14:textId="77777777" w:rsidR="00D7213F" w:rsidRPr="005E3B43" w:rsidRDefault="00D7213F" w:rsidP="00763BCF">
            <w:pPr>
              <w:pStyle w:val="ENoteTableText"/>
            </w:pPr>
          </w:p>
        </w:tc>
        <w:tc>
          <w:tcPr>
            <w:tcW w:w="3505" w:type="pct"/>
          </w:tcPr>
          <w:p w14:paraId="66B69460" w14:textId="77777777" w:rsidR="00D7213F" w:rsidRPr="005E3B43" w:rsidRDefault="00D7213F" w:rsidP="00763BCF">
            <w:pPr>
              <w:pStyle w:val="ENoteTableText"/>
            </w:pPr>
            <w:r w:rsidRPr="005E3B43">
              <w:t>am F2016L01614</w:t>
            </w:r>
            <w:r w:rsidR="000F572E" w:rsidRPr="005E3B43">
              <w:t>; F2023L00769</w:t>
            </w:r>
          </w:p>
        </w:tc>
      </w:tr>
      <w:tr w:rsidR="00D64E96" w:rsidRPr="005E3B43" w14:paraId="74D984F6" w14:textId="77777777" w:rsidTr="00034EA9">
        <w:trPr>
          <w:cantSplit/>
        </w:trPr>
        <w:tc>
          <w:tcPr>
            <w:tcW w:w="1495" w:type="pct"/>
          </w:tcPr>
          <w:p w14:paraId="5C56B55B" w14:textId="77777777" w:rsidR="00D64E96" w:rsidRPr="005E3B43" w:rsidRDefault="00D64E96" w:rsidP="00763BCF">
            <w:pPr>
              <w:pStyle w:val="ENoteTableText"/>
              <w:tabs>
                <w:tab w:val="center" w:leader="dot" w:pos="2268"/>
              </w:tabs>
            </w:pPr>
            <w:r w:rsidRPr="005E3B43">
              <w:t>r. 12</w:t>
            </w:r>
            <w:r w:rsidRPr="005E3B43">
              <w:tab/>
            </w:r>
          </w:p>
        </w:tc>
        <w:tc>
          <w:tcPr>
            <w:tcW w:w="3505" w:type="pct"/>
          </w:tcPr>
          <w:p w14:paraId="05785820" w14:textId="77777777" w:rsidR="00D64E96" w:rsidRPr="005E3B43" w:rsidRDefault="00D64E96" w:rsidP="00763BCF">
            <w:pPr>
              <w:pStyle w:val="ENoteTableText"/>
            </w:pPr>
            <w:r w:rsidRPr="005E3B43">
              <w:t>am. 1991 No.</w:t>
            </w:r>
            <w:r w:rsidR="004E6D00" w:rsidRPr="005E3B43">
              <w:t> </w:t>
            </w:r>
            <w:r w:rsidRPr="005E3B43">
              <w:t>84; 1992 No.</w:t>
            </w:r>
            <w:r w:rsidR="004E6D00" w:rsidRPr="005E3B43">
              <w:t> </w:t>
            </w:r>
            <w:r w:rsidRPr="005E3B43">
              <w:t>89; 1995 No.</w:t>
            </w:r>
            <w:r w:rsidR="004E6D00" w:rsidRPr="005E3B43">
              <w:t> </w:t>
            </w:r>
            <w:r w:rsidRPr="005E3B43">
              <w:t>33; 1996 No.</w:t>
            </w:r>
            <w:r w:rsidR="004E6D00" w:rsidRPr="005E3B43">
              <w:t> </w:t>
            </w:r>
            <w:r w:rsidRPr="005E3B43">
              <w:t>9; 2000 No.</w:t>
            </w:r>
            <w:r w:rsidR="004E6D00" w:rsidRPr="005E3B43">
              <w:t> </w:t>
            </w:r>
            <w:r w:rsidRPr="005E3B43">
              <w:t>358; 2001 No.</w:t>
            </w:r>
            <w:r w:rsidR="004E6D00" w:rsidRPr="005E3B43">
              <w:t> </w:t>
            </w:r>
            <w:r w:rsidRPr="005E3B43">
              <w:t>343; 2002 Nos. 84, 234 and 345; 2003 No.</w:t>
            </w:r>
            <w:r w:rsidR="004E6D00" w:rsidRPr="005E3B43">
              <w:t> </w:t>
            </w:r>
            <w:r w:rsidRPr="005E3B43">
              <w:t>258; 2010 No.</w:t>
            </w:r>
            <w:r w:rsidR="004E6D00" w:rsidRPr="005E3B43">
              <w:t> </w:t>
            </w:r>
            <w:r w:rsidRPr="005E3B43">
              <w:t>26</w:t>
            </w:r>
          </w:p>
        </w:tc>
      </w:tr>
      <w:tr w:rsidR="00D64E96" w:rsidRPr="005E3B43" w14:paraId="480FB47E" w14:textId="77777777" w:rsidTr="00034EA9">
        <w:trPr>
          <w:cantSplit/>
        </w:trPr>
        <w:tc>
          <w:tcPr>
            <w:tcW w:w="1495" w:type="pct"/>
          </w:tcPr>
          <w:p w14:paraId="57CEBA31" w14:textId="77777777" w:rsidR="00D64E96" w:rsidRPr="005E3B43" w:rsidRDefault="00D64E96" w:rsidP="00763BCF">
            <w:pPr>
              <w:pStyle w:val="ENoteTableText"/>
            </w:pPr>
          </w:p>
        </w:tc>
        <w:tc>
          <w:tcPr>
            <w:tcW w:w="3505" w:type="pct"/>
          </w:tcPr>
          <w:p w14:paraId="30C9C823" w14:textId="77777777" w:rsidR="00D64E96" w:rsidRPr="005E3B43" w:rsidRDefault="00D64E96" w:rsidP="00763BCF">
            <w:pPr>
              <w:pStyle w:val="ENoteTableText"/>
            </w:pPr>
            <w:r w:rsidRPr="005E3B43">
              <w:t>rs. 2011 No.</w:t>
            </w:r>
            <w:r w:rsidR="004E6D00" w:rsidRPr="005E3B43">
              <w:t> </w:t>
            </w:r>
            <w:r w:rsidRPr="005E3B43">
              <w:t>30</w:t>
            </w:r>
          </w:p>
        </w:tc>
      </w:tr>
      <w:tr w:rsidR="00155B0B" w:rsidRPr="005E3B43" w14:paraId="56F67DBA" w14:textId="77777777" w:rsidTr="00034EA9">
        <w:trPr>
          <w:cantSplit/>
        </w:trPr>
        <w:tc>
          <w:tcPr>
            <w:tcW w:w="1495" w:type="pct"/>
          </w:tcPr>
          <w:p w14:paraId="1D8C0E15" w14:textId="77777777" w:rsidR="00155B0B" w:rsidRPr="005E3B43" w:rsidRDefault="00155B0B" w:rsidP="00763BCF">
            <w:pPr>
              <w:pStyle w:val="ENoteTableText"/>
            </w:pPr>
          </w:p>
        </w:tc>
        <w:tc>
          <w:tcPr>
            <w:tcW w:w="3505" w:type="pct"/>
          </w:tcPr>
          <w:p w14:paraId="2104F9F9" w14:textId="77777777" w:rsidR="00155B0B" w:rsidRPr="005E3B43" w:rsidRDefault="00155B0B" w:rsidP="00763BCF">
            <w:pPr>
              <w:pStyle w:val="ENoteTableText"/>
            </w:pPr>
            <w:r w:rsidRPr="005E3B43">
              <w:t>am F2021L01032</w:t>
            </w:r>
            <w:r w:rsidR="009D79EC" w:rsidRPr="005E3B43">
              <w:t>; F2023L01667</w:t>
            </w:r>
          </w:p>
        </w:tc>
      </w:tr>
      <w:tr w:rsidR="00D64E96" w:rsidRPr="005E3B43" w14:paraId="4B895D3F" w14:textId="77777777" w:rsidTr="00034EA9">
        <w:trPr>
          <w:cantSplit/>
        </w:trPr>
        <w:tc>
          <w:tcPr>
            <w:tcW w:w="1495" w:type="pct"/>
          </w:tcPr>
          <w:p w14:paraId="49423238" w14:textId="77777777" w:rsidR="00D64E96" w:rsidRPr="005E3B43" w:rsidRDefault="00D64E96" w:rsidP="00763BCF">
            <w:pPr>
              <w:pStyle w:val="ENoteTableText"/>
              <w:tabs>
                <w:tab w:val="center" w:leader="dot" w:pos="2268"/>
              </w:tabs>
            </w:pPr>
            <w:r w:rsidRPr="005E3B43">
              <w:t>r 12A</w:t>
            </w:r>
            <w:r w:rsidRPr="005E3B43">
              <w:tab/>
            </w:r>
          </w:p>
        </w:tc>
        <w:tc>
          <w:tcPr>
            <w:tcW w:w="3505" w:type="pct"/>
          </w:tcPr>
          <w:p w14:paraId="0B8D6C88" w14:textId="77777777" w:rsidR="00D64E96" w:rsidRPr="005E3B43" w:rsidRDefault="00D64E96" w:rsidP="00763BCF">
            <w:pPr>
              <w:pStyle w:val="ENoteTableText"/>
            </w:pPr>
            <w:r w:rsidRPr="005E3B43">
              <w:t>ad 1991 No</w:t>
            </w:r>
            <w:r w:rsidR="00B146AB" w:rsidRPr="005E3B43">
              <w:t> </w:t>
            </w:r>
            <w:r w:rsidRPr="005E3B43">
              <w:t>485</w:t>
            </w:r>
          </w:p>
        </w:tc>
      </w:tr>
      <w:tr w:rsidR="00D64E96" w:rsidRPr="005E3B43" w14:paraId="7982119E" w14:textId="77777777" w:rsidTr="00034EA9">
        <w:trPr>
          <w:cantSplit/>
        </w:trPr>
        <w:tc>
          <w:tcPr>
            <w:tcW w:w="1495" w:type="pct"/>
          </w:tcPr>
          <w:p w14:paraId="6FCB0A6F" w14:textId="77777777" w:rsidR="00D64E96" w:rsidRPr="005E3B43" w:rsidRDefault="00D64E96" w:rsidP="00763BCF">
            <w:pPr>
              <w:pStyle w:val="ENoteTableText"/>
            </w:pPr>
          </w:p>
        </w:tc>
        <w:tc>
          <w:tcPr>
            <w:tcW w:w="3505" w:type="pct"/>
          </w:tcPr>
          <w:p w14:paraId="5B5C2847" w14:textId="10CE6D6C" w:rsidR="00D64E96" w:rsidRPr="005E3B43" w:rsidRDefault="00D64E96" w:rsidP="00763BCF">
            <w:pPr>
              <w:pStyle w:val="ENoteTableText"/>
            </w:pPr>
            <w:r w:rsidRPr="005E3B43">
              <w:t>am 1999 No</w:t>
            </w:r>
            <w:r w:rsidR="00B146AB" w:rsidRPr="005E3B43">
              <w:t> </w:t>
            </w:r>
            <w:r w:rsidRPr="005E3B43">
              <w:t>62; 2000 No</w:t>
            </w:r>
            <w:r w:rsidR="00B146AB" w:rsidRPr="005E3B43">
              <w:t> </w:t>
            </w:r>
            <w:r w:rsidRPr="005E3B43">
              <w:t>358; 2002 Nos 9 and 234; 2011 No</w:t>
            </w:r>
            <w:r w:rsidR="00B146AB" w:rsidRPr="005E3B43">
              <w:t> </w:t>
            </w:r>
            <w:r w:rsidRPr="005E3B43">
              <w:t>30</w:t>
            </w:r>
            <w:r w:rsidR="00230B30" w:rsidRPr="005E3B43">
              <w:t>; F2016L01652</w:t>
            </w:r>
            <w:r w:rsidR="00E64616" w:rsidRPr="005E3B43">
              <w:t xml:space="preserve"> (Sch 1 </w:t>
            </w:r>
            <w:r w:rsidR="007C3215">
              <w:t>item 1</w:t>
            </w:r>
            <w:r w:rsidR="00E64616" w:rsidRPr="005E3B43">
              <w:t xml:space="preserve"> disallowed)</w:t>
            </w:r>
            <w:r w:rsidR="001B7AA2" w:rsidRPr="005E3B43">
              <w:t>; F2017L00853</w:t>
            </w:r>
            <w:r w:rsidR="00BD3E81" w:rsidRPr="005E3B43">
              <w:t>; F2017L01561</w:t>
            </w:r>
            <w:r w:rsidR="000A33A2" w:rsidRPr="005E3B43">
              <w:t>; F2022L00243</w:t>
            </w:r>
          </w:p>
        </w:tc>
      </w:tr>
      <w:tr w:rsidR="00D64E96" w:rsidRPr="005E3B43" w14:paraId="165BC7F3" w14:textId="77777777" w:rsidTr="00034EA9">
        <w:trPr>
          <w:cantSplit/>
        </w:trPr>
        <w:tc>
          <w:tcPr>
            <w:tcW w:w="1495" w:type="pct"/>
          </w:tcPr>
          <w:p w14:paraId="0DEAD4D6" w14:textId="77777777" w:rsidR="00D64E96" w:rsidRPr="005E3B43" w:rsidRDefault="00D64E96" w:rsidP="00763BCF">
            <w:pPr>
              <w:pStyle w:val="ENoteTableText"/>
              <w:tabs>
                <w:tab w:val="center" w:leader="dot" w:pos="2268"/>
              </w:tabs>
            </w:pPr>
            <w:r w:rsidRPr="005E3B43">
              <w:t>r. 12AAA</w:t>
            </w:r>
            <w:r w:rsidRPr="005E3B43">
              <w:tab/>
            </w:r>
          </w:p>
        </w:tc>
        <w:tc>
          <w:tcPr>
            <w:tcW w:w="3505" w:type="pct"/>
          </w:tcPr>
          <w:p w14:paraId="04F3C1BB" w14:textId="77777777" w:rsidR="00D64E96" w:rsidRPr="005E3B43" w:rsidRDefault="00D64E96" w:rsidP="00763BCF">
            <w:pPr>
              <w:pStyle w:val="ENoteTableText"/>
            </w:pPr>
            <w:r w:rsidRPr="005E3B43">
              <w:t>ad. 2003 No.</w:t>
            </w:r>
            <w:r w:rsidR="004E6D00" w:rsidRPr="005E3B43">
              <w:t> </w:t>
            </w:r>
            <w:r w:rsidRPr="005E3B43">
              <w:t>111</w:t>
            </w:r>
          </w:p>
        </w:tc>
      </w:tr>
      <w:tr w:rsidR="00D64E96" w:rsidRPr="005E3B43" w14:paraId="2D7CFC85" w14:textId="77777777" w:rsidTr="00034EA9">
        <w:trPr>
          <w:cantSplit/>
        </w:trPr>
        <w:tc>
          <w:tcPr>
            <w:tcW w:w="1495" w:type="pct"/>
          </w:tcPr>
          <w:p w14:paraId="5A1284C6" w14:textId="77777777" w:rsidR="00D64E96" w:rsidRPr="005E3B43" w:rsidRDefault="00D64E96" w:rsidP="00763BCF">
            <w:pPr>
              <w:pStyle w:val="ENoteTableText"/>
            </w:pPr>
          </w:p>
        </w:tc>
        <w:tc>
          <w:tcPr>
            <w:tcW w:w="3505" w:type="pct"/>
          </w:tcPr>
          <w:p w14:paraId="137C956C" w14:textId="77777777" w:rsidR="00D64E96" w:rsidRPr="005E3B43" w:rsidRDefault="00D64E96" w:rsidP="00763BCF">
            <w:pPr>
              <w:pStyle w:val="ENoteTableText"/>
            </w:pPr>
            <w:r w:rsidRPr="005E3B43">
              <w:t>rep. 2010 No.</w:t>
            </w:r>
            <w:r w:rsidR="004E6D00" w:rsidRPr="005E3B43">
              <w:t> </w:t>
            </w:r>
            <w:r w:rsidRPr="005E3B43">
              <w:t>266</w:t>
            </w:r>
          </w:p>
        </w:tc>
      </w:tr>
      <w:tr w:rsidR="00D64E96" w:rsidRPr="005E3B43" w14:paraId="3EE86AB1" w14:textId="77777777" w:rsidTr="00034EA9">
        <w:trPr>
          <w:cantSplit/>
        </w:trPr>
        <w:tc>
          <w:tcPr>
            <w:tcW w:w="1495" w:type="pct"/>
          </w:tcPr>
          <w:p w14:paraId="2EF03B35" w14:textId="77777777" w:rsidR="00D64E96" w:rsidRPr="005E3B43" w:rsidRDefault="00D64E96" w:rsidP="00763BCF">
            <w:pPr>
              <w:pStyle w:val="ENoteTableText"/>
              <w:tabs>
                <w:tab w:val="center" w:leader="dot" w:pos="2268"/>
              </w:tabs>
            </w:pPr>
            <w:r w:rsidRPr="005E3B43">
              <w:t>r. 12AAB</w:t>
            </w:r>
            <w:r w:rsidRPr="005E3B43">
              <w:tab/>
            </w:r>
          </w:p>
        </w:tc>
        <w:tc>
          <w:tcPr>
            <w:tcW w:w="3505" w:type="pct"/>
          </w:tcPr>
          <w:p w14:paraId="511C1F45" w14:textId="77777777" w:rsidR="00D64E96" w:rsidRPr="005E3B43" w:rsidRDefault="00D64E96" w:rsidP="00763BCF">
            <w:pPr>
              <w:pStyle w:val="ENoteTableText"/>
            </w:pPr>
            <w:r w:rsidRPr="005E3B43">
              <w:t>ad. 2003 No.</w:t>
            </w:r>
            <w:r w:rsidR="004E6D00" w:rsidRPr="005E3B43">
              <w:t> </w:t>
            </w:r>
            <w:r w:rsidRPr="005E3B43">
              <w:t>111</w:t>
            </w:r>
          </w:p>
        </w:tc>
      </w:tr>
      <w:tr w:rsidR="00D64E96" w:rsidRPr="005E3B43" w14:paraId="7DD23656" w14:textId="77777777" w:rsidTr="00034EA9">
        <w:trPr>
          <w:cantSplit/>
        </w:trPr>
        <w:tc>
          <w:tcPr>
            <w:tcW w:w="1495" w:type="pct"/>
          </w:tcPr>
          <w:p w14:paraId="7551CCDB" w14:textId="77777777" w:rsidR="00D64E96" w:rsidRPr="005E3B43" w:rsidRDefault="00D64E96" w:rsidP="00763BCF">
            <w:pPr>
              <w:pStyle w:val="ENoteTableText"/>
            </w:pPr>
          </w:p>
        </w:tc>
        <w:tc>
          <w:tcPr>
            <w:tcW w:w="3505" w:type="pct"/>
          </w:tcPr>
          <w:p w14:paraId="5E2CF57A" w14:textId="77777777" w:rsidR="00D64E96" w:rsidRPr="005E3B43" w:rsidRDefault="00D64E96" w:rsidP="00763BCF">
            <w:pPr>
              <w:pStyle w:val="ENoteTableText"/>
            </w:pPr>
            <w:r w:rsidRPr="005E3B43">
              <w:t>am. 2011 No.</w:t>
            </w:r>
            <w:r w:rsidR="004E6D00" w:rsidRPr="005E3B43">
              <w:t> </w:t>
            </w:r>
            <w:r w:rsidRPr="005E3B43">
              <w:t>30</w:t>
            </w:r>
          </w:p>
        </w:tc>
      </w:tr>
      <w:tr w:rsidR="00D64E96" w:rsidRPr="005E3B43" w14:paraId="29E0E70D" w14:textId="77777777" w:rsidTr="00034EA9">
        <w:trPr>
          <w:cantSplit/>
        </w:trPr>
        <w:tc>
          <w:tcPr>
            <w:tcW w:w="1495" w:type="pct"/>
          </w:tcPr>
          <w:p w14:paraId="047B8C77" w14:textId="77777777" w:rsidR="00D64E96" w:rsidRPr="005E3B43" w:rsidRDefault="00D64E96" w:rsidP="00763BCF">
            <w:pPr>
              <w:pStyle w:val="ENoteTableText"/>
              <w:tabs>
                <w:tab w:val="center" w:leader="dot" w:pos="2268"/>
              </w:tabs>
            </w:pPr>
            <w:r w:rsidRPr="005E3B43">
              <w:t>r. 12AA</w:t>
            </w:r>
            <w:r w:rsidRPr="005E3B43">
              <w:tab/>
            </w:r>
          </w:p>
        </w:tc>
        <w:tc>
          <w:tcPr>
            <w:tcW w:w="3505" w:type="pct"/>
          </w:tcPr>
          <w:p w14:paraId="12C8513A" w14:textId="77777777" w:rsidR="00D64E96" w:rsidRPr="005E3B43" w:rsidRDefault="00D64E96" w:rsidP="00763BCF">
            <w:pPr>
              <w:pStyle w:val="ENoteTableText"/>
            </w:pPr>
            <w:r w:rsidRPr="005E3B43">
              <w:t>ad. 2000 No.</w:t>
            </w:r>
            <w:r w:rsidR="004E6D00" w:rsidRPr="005E3B43">
              <w:t> </w:t>
            </w:r>
            <w:r w:rsidRPr="005E3B43">
              <w:t>358</w:t>
            </w:r>
          </w:p>
        </w:tc>
      </w:tr>
      <w:tr w:rsidR="00D64E96" w:rsidRPr="005E3B43" w14:paraId="44389D87" w14:textId="77777777" w:rsidTr="00034EA9">
        <w:trPr>
          <w:cantSplit/>
        </w:trPr>
        <w:tc>
          <w:tcPr>
            <w:tcW w:w="1495" w:type="pct"/>
          </w:tcPr>
          <w:p w14:paraId="340CB46A" w14:textId="77777777" w:rsidR="00D64E96" w:rsidRPr="005E3B43" w:rsidRDefault="00D64E96" w:rsidP="00763BCF">
            <w:pPr>
              <w:pStyle w:val="ENoteTableText"/>
            </w:pPr>
          </w:p>
        </w:tc>
        <w:tc>
          <w:tcPr>
            <w:tcW w:w="3505" w:type="pct"/>
          </w:tcPr>
          <w:p w14:paraId="6672266A" w14:textId="77777777" w:rsidR="00D64E96" w:rsidRPr="005E3B43" w:rsidRDefault="00D64E96" w:rsidP="00763BCF">
            <w:pPr>
              <w:pStyle w:val="ENoteTableText"/>
            </w:pPr>
            <w:r w:rsidRPr="005E3B43">
              <w:t>am. 2011 No.</w:t>
            </w:r>
            <w:r w:rsidR="004E6D00" w:rsidRPr="005E3B43">
              <w:t> </w:t>
            </w:r>
            <w:r w:rsidRPr="005E3B43">
              <w:t>30</w:t>
            </w:r>
          </w:p>
        </w:tc>
      </w:tr>
      <w:tr w:rsidR="00D64E96" w:rsidRPr="005E3B43" w14:paraId="5708AB3F" w14:textId="77777777" w:rsidTr="00034EA9">
        <w:trPr>
          <w:cantSplit/>
        </w:trPr>
        <w:tc>
          <w:tcPr>
            <w:tcW w:w="1495" w:type="pct"/>
          </w:tcPr>
          <w:p w14:paraId="4B0028E5" w14:textId="77777777" w:rsidR="00D64E96" w:rsidRPr="005E3B43" w:rsidRDefault="00D64E96" w:rsidP="00763BCF">
            <w:pPr>
              <w:pStyle w:val="ENoteTableText"/>
              <w:tabs>
                <w:tab w:val="center" w:leader="dot" w:pos="2268"/>
              </w:tabs>
            </w:pPr>
            <w:r w:rsidRPr="005E3B43">
              <w:t>r 12AB</w:t>
            </w:r>
            <w:r w:rsidRPr="005E3B43">
              <w:tab/>
            </w:r>
          </w:p>
        </w:tc>
        <w:tc>
          <w:tcPr>
            <w:tcW w:w="3505" w:type="pct"/>
          </w:tcPr>
          <w:p w14:paraId="602DC5C3" w14:textId="77777777" w:rsidR="00D64E96" w:rsidRPr="005E3B43" w:rsidRDefault="00D64E96" w:rsidP="00763BCF">
            <w:pPr>
              <w:pStyle w:val="ENoteTableText"/>
            </w:pPr>
            <w:r w:rsidRPr="005E3B43">
              <w:t xml:space="preserve">ad </w:t>
            </w:r>
            <w:r w:rsidR="00FA7373" w:rsidRPr="005E3B43">
              <w:t xml:space="preserve">No 358, </w:t>
            </w:r>
            <w:r w:rsidRPr="005E3B43">
              <w:t>2000</w:t>
            </w:r>
          </w:p>
        </w:tc>
      </w:tr>
      <w:tr w:rsidR="00D64E96" w:rsidRPr="005E3B43" w14:paraId="26BE027B" w14:textId="77777777" w:rsidTr="00034EA9">
        <w:trPr>
          <w:cantSplit/>
        </w:trPr>
        <w:tc>
          <w:tcPr>
            <w:tcW w:w="1495" w:type="pct"/>
          </w:tcPr>
          <w:p w14:paraId="029E6ED3" w14:textId="77777777" w:rsidR="00D64E96" w:rsidRPr="005E3B43" w:rsidRDefault="00D64E96" w:rsidP="00763BCF">
            <w:pPr>
              <w:pStyle w:val="ENoteTableText"/>
            </w:pPr>
          </w:p>
        </w:tc>
        <w:tc>
          <w:tcPr>
            <w:tcW w:w="3505" w:type="pct"/>
          </w:tcPr>
          <w:p w14:paraId="130E4D73" w14:textId="77777777" w:rsidR="00D64E96" w:rsidRPr="005E3B43" w:rsidRDefault="00D64E96" w:rsidP="00763BCF">
            <w:pPr>
              <w:pStyle w:val="ENoteTableText"/>
            </w:pPr>
            <w:r w:rsidRPr="005E3B43">
              <w:t xml:space="preserve">am </w:t>
            </w:r>
            <w:r w:rsidR="00FA7373" w:rsidRPr="005E3B43">
              <w:t xml:space="preserve">No 258, </w:t>
            </w:r>
            <w:r w:rsidRPr="005E3B43">
              <w:t>2003</w:t>
            </w:r>
            <w:r w:rsidR="00FA7373" w:rsidRPr="005E3B43">
              <w:t>; No</w:t>
            </w:r>
            <w:r w:rsidRPr="005E3B43">
              <w:t xml:space="preserve"> 361</w:t>
            </w:r>
            <w:r w:rsidR="00FA7373" w:rsidRPr="005E3B43">
              <w:t>, 2003</w:t>
            </w:r>
            <w:r w:rsidRPr="005E3B43">
              <w:t xml:space="preserve">; </w:t>
            </w:r>
            <w:r w:rsidR="00FA7373" w:rsidRPr="005E3B43">
              <w:t xml:space="preserve">No 30, </w:t>
            </w:r>
            <w:r w:rsidRPr="005E3B43">
              <w:t>2011</w:t>
            </w:r>
            <w:r w:rsidR="00A57667" w:rsidRPr="005E3B43">
              <w:t>; F2016L0109</w:t>
            </w:r>
            <w:r w:rsidR="002F33B7" w:rsidRPr="005E3B43">
              <w:t>; F2019L01660</w:t>
            </w:r>
          </w:p>
        </w:tc>
      </w:tr>
      <w:tr w:rsidR="00D64E96" w:rsidRPr="005E3B43" w14:paraId="2FAF3046" w14:textId="77777777" w:rsidTr="00034EA9">
        <w:trPr>
          <w:cantSplit/>
        </w:trPr>
        <w:tc>
          <w:tcPr>
            <w:tcW w:w="1495" w:type="pct"/>
          </w:tcPr>
          <w:p w14:paraId="62720106" w14:textId="77777777" w:rsidR="00D64E96" w:rsidRPr="005E3B43" w:rsidRDefault="00D64E96" w:rsidP="00763BCF">
            <w:pPr>
              <w:pStyle w:val="ENoteTableText"/>
              <w:tabs>
                <w:tab w:val="center" w:leader="dot" w:pos="2268"/>
              </w:tabs>
            </w:pPr>
            <w:r w:rsidRPr="005E3B43">
              <w:t>r 12AC</w:t>
            </w:r>
            <w:r w:rsidRPr="005E3B43">
              <w:tab/>
            </w:r>
          </w:p>
        </w:tc>
        <w:tc>
          <w:tcPr>
            <w:tcW w:w="3505" w:type="pct"/>
          </w:tcPr>
          <w:p w14:paraId="4A9E22F0" w14:textId="77777777" w:rsidR="00D64E96" w:rsidRPr="005E3B43" w:rsidRDefault="00D64E96" w:rsidP="00763BCF">
            <w:pPr>
              <w:pStyle w:val="ENoteTableText"/>
            </w:pPr>
            <w:r w:rsidRPr="005E3B43">
              <w:t xml:space="preserve">ad </w:t>
            </w:r>
            <w:r w:rsidR="00FA7373" w:rsidRPr="005E3B43">
              <w:t xml:space="preserve">No 358, </w:t>
            </w:r>
            <w:r w:rsidRPr="005E3B43">
              <w:t>2000</w:t>
            </w:r>
          </w:p>
        </w:tc>
      </w:tr>
      <w:tr w:rsidR="00D64E96" w:rsidRPr="005E3B43" w14:paraId="4FD97901" w14:textId="77777777" w:rsidTr="00034EA9">
        <w:trPr>
          <w:cantSplit/>
        </w:trPr>
        <w:tc>
          <w:tcPr>
            <w:tcW w:w="1495" w:type="pct"/>
          </w:tcPr>
          <w:p w14:paraId="6EDBB429" w14:textId="77777777" w:rsidR="00D64E96" w:rsidRPr="005E3B43" w:rsidRDefault="00D64E96" w:rsidP="00763BCF">
            <w:pPr>
              <w:pStyle w:val="ENoteTableText"/>
            </w:pPr>
          </w:p>
        </w:tc>
        <w:tc>
          <w:tcPr>
            <w:tcW w:w="3505" w:type="pct"/>
          </w:tcPr>
          <w:p w14:paraId="7D9B74B7" w14:textId="77777777" w:rsidR="00D64E96" w:rsidRPr="005E3B43" w:rsidRDefault="00D64E96" w:rsidP="00763BCF">
            <w:pPr>
              <w:pStyle w:val="ENoteTableText"/>
            </w:pPr>
            <w:r w:rsidRPr="005E3B43">
              <w:t xml:space="preserve">am </w:t>
            </w:r>
            <w:r w:rsidR="00FA7373" w:rsidRPr="005E3B43">
              <w:t xml:space="preserve">No 361, </w:t>
            </w:r>
            <w:r w:rsidRPr="005E3B43">
              <w:t>2003</w:t>
            </w:r>
            <w:r w:rsidR="002F33B7" w:rsidRPr="005E3B43">
              <w:t>; F2019L01660</w:t>
            </w:r>
            <w:r w:rsidR="00AF409A" w:rsidRPr="005E3B43">
              <w:t>; F2023L00769</w:t>
            </w:r>
            <w:r w:rsidR="00FD51F9" w:rsidRPr="005E3B43">
              <w:t>; F2023L01558</w:t>
            </w:r>
            <w:r w:rsidR="00DE141D" w:rsidRPr="005E3B43">
              <w:t>; F2024L00686</w:t>
            </w:r>
          </w:p>
        </w:tc>
      </w:tr>
      <w:tr w:rsidR="00D64E96" w:rsidRPr="005E3B43" w14:paraId="2EC630D6" w14:textId="77777777" w:rsidTr="00034EA9">
        <w:trPr>
          <w:cantSplit/>
        </w:trPr>
        <w:tc>
          <w:tcPr>
            <w:tcW w:w="1495" w:type="pct"/>
          </w:tcPr>
          <w:p w14:paraId="65040430" w14:textId="77777777" w:rsidR="00D64E96" w:rsidRPr="005E3B43" w:rsidRDefault="00D64E96" w:rsidP="00763BCF">
            <w:pPr>
              <w:pStyle w:val="ENoteTableText"/>
              <w:tabs>
                <w:tab w:val="center" w:leader="dot" w:pos="2268"/>
              </w:tabs>
            </w:pPr>
            <w:r w:rsidRPr="005E3B43">
              <w:t>r 12AD</w:t>
            </w:r>
            <w:r w:rsidRPr="005E3B43">
              <w:tab/>
            </w:r>
          </w:p>
        </w:tc>
        <w:tc>
          <w:tcPr>
            <w:tcW w:w="3505" w:type="pct"/>
          </w:tcPr>
          <w:p w14:paraId="662183B2" w14:textId="77777777" w:rsidR="00D64E96" w:rsidRPr="005E3B43" w:rsidRDefault="00D64E96" w:rsidP="00763BCF">
            <w:pPr>
              <w:pStyle w:val="ENoteTableText"/>
            </w:pPr>
            <w:r w:rsidRPr="005E3B43">
              <w:t xml:space="preserve">ad </w:t>
            </w:r>
            <w:r w:rsidR="00FA7373" w:rsidRPr="005E3B43">
              <w:t xml:space="preserve">No 358, </w:t>
            </w:r>
            <w:r w:rsidRPr="005E3B43">
              <w:t>2000</w:t>
            </w:r>
          </w:p>
        </w:tc>
      </w:tr>
      <w:tr w:rsidR="00D64E96" w:rsidRPr="005E3B43" w14:paraId="37546B6F" w14:textId="77777777" w:rsidTr="00034EA9">
        <w:trPr>
          <w:cantSplit/>
        </w:trPr>
        <w:tc>
          <w:tcPr>
            <w:tcW w:w="1495" w:type="pct"/>
          </w:tcPr>
          <w:p w14:paraId="044C4E2C" w14:textId="77777777" w:rsidR="00D64E96" w:rsidRPr="005E3B43" w:rsidRDefault="00D64E96" w:rsidP="00763BCF">
            <w:pPr>
              <w:pStyle w:val="ENoteTableText"/>
            </w:pPr>
          </w:p>
        </w:tc>
        <w:tc>
          <w:tcPr>
            <w:tcW w:w="3505" w:type="pct"/>
          </w:tcPr>
          <w:p w14:paraId="7E5FABF2" w14:textId="77777777" w:rsidR="00D64E96" w:rsidRPr="005E3B43" w:rsidRDefault="00D64E96" w:rsidP="00763BCF">
            <w:pPr>
              <w:pStyle w:val="ENoteTableText"/>
            </w:pPr>
            <w:r w:rsidRPr="005E3B43">
              <w:t xml:space="preserve">am </w:t>
            </w:r>
            <w:r w:rsidR="00FA7373" w:rsidRPr="005E3B43">
              <w:t xml:space="preserve">No 234, </w:t>
            </w:r>
            <w:r w:rsidRPr="005E3B43">
              <w:t xml:space="preserve">2002; </w:t>
            </w:r>
            <w:r w:rsidR="00FA7373" w:rsidRPr="005E3B43">
              <w:t xml:space="preserve">No 30, </w:t>
            </w:r>
            <w:r w:rsidRPr="005E3B43">
              <w:t>2011</w:t>
            </w:r>
            <w:r w:rsidR="002F33B7" w:rsidRPr="005E3B43">
              <w:t>; F2019L01660</w:t>
            </w:r>
          </w:p>
        </w:tc>
      </w:tr>
      <w:tr w:rsidR="00D64E96" w:rsidRPr="005E3B43" w14:paraId="3CA0357A" w14:textId="77777777" w:rsidTr="00034EA9">
        <w:trPr>
          <w:cantSplit/>
        </w:trPr>
        <w:tc>
          <w:tcPr>
            <w:tcW w:w="1495" w:type="pct"/>
          </w:tcPr>
          <w:p w14:paraId="3CAA595E" w14:textId="77777777" w:rsidR="00D64E96" w:rsidRPr="005E3B43" w:rsidRDefault="00D64E96" w:rsidP="00763BCF">
            <w:pPr>
              <w:pStyle w:val="ENoteTableText"/>
              <w:tabs>
                <w:tab w:val="center" w:leader="dot" w:pos="2268"/>
              </w:tabs>
            </w:pPr>
            <w:r w:rsidRPr="005E3B43">
              <w:t>r 12B</w:t>
            </w:r>
            <w:r w:rsidRPr="005E3B43">
              <w:tab/>
            </w:r>
          </w:p>
        </w:tc>
        <w:tc>
          <w:tcPr>
            <w:tcW w:w="3505" w:type="pct"/>
          </w:tcPr>
          <w:p w14:paraId="6E332F08" w14:textId="77777777" w:rsidR="00D64E96" w:rsidRPr="005E3B43" w:rsidRDefault="00D64E96" w:rsidP="00763BCF">
            <w:pPr>
              <w:pStyle w:val="ENoteTableText"/>
            </w:pPr>
            <w:r w:rsidRPr="005E3B43">
              <w:t>ad 1991 No</w:t>
            </w:r>
            <w:r w:rsidR="00B146AB" w:rsidRPr="005E3B43">
              <w:t> </w:t>
            </w:r>
            <w:r w:rsidRPr="005E3B43">
              <w:t>485</w:t>
            </w:r>
          </w:p>
        </w:tc>
      </w:tr>
      <w:tr w:rsidR="00D64E96" w:rsidRPr="005E3B43" w14:paraId="67415705" w14:textId="77777777" w:rsidTr="00034EA9">
        <w:trPr>
          <w:cantSplit/>
        </w:trPr>
        <w:tc>
          <w:tcPr>
            <w:tcW w:w="1495" w:type="pct"/>
          </w:tcPr>
          <w:p w14:paraId="69304EA0" w14:textId="77777777" w:rsidR="00D64E96" w:rsidRPr="005E3B43" w:rsidRDefault="00D64E96" w:rsidP="00763BCF">
            <w:pPr>
              <w:pStyle w:val="ENoteTableText"/>
            </w:pPr>
          </w:p>
        </w:tc>
        <w:tc>
          <w:tcPr>
            <w:tcW w:w="3505" w:type="pct"/>
          </w:tcPr>
          <w:p w14:paraId="7D455100" w14:textId="77777777" w:rsidR="00D64E96" w:rsidRPr="005E3B43" w:rsidRDefault="00D64E96" w:rsidP="00763BCF">
            <w:pPr>
              <w:pStyle w:val="ENoteTableText"/>
            </w:pPr>
            <w:r w:rsidRPr="005E3B43">
              <w:t>am No</w:t>
            </w:r>
            <w:r w:rsidR="00B146AB" w:rsidRPr="005E3B43">
              <w:t> </w:t>
            </w:r>
            <w:r w:rsidRPr="005E3B43">
              <w:t>19</w:t>
            </w:r>
            <w:r w:rsidR="0063374C" w:rsidRPr="005E3B43">
              <w:t>, 1992</w:t>
            </w:r>
            <w:r w:rsidRPr="005E3B43">
              <w:t>; No</w:t>
            </w:r>
            <w:r w:rsidR="00B146AB" w:rsidRPr="005E3B43">
              <w:t> </w:t>
            </w:r>
            <w:r w:rsidRPr="005E3B43">
              <w:t>62</w:t>
            </w:r>
            <w:r w:rsidR="0063374C" w:rsidRPr="005E3B43">
              <w:t>, 1999</w:t>
            </w:r>
            <w:r w:rsidRPr="005E3B43">
              <w:t>; No</w:t>
            </w:r>
            <w:r w:rsidR="00B146AB" w:rsidRPr="005E3B43">
              <w:t> </w:t>
            </w:r>
            <w:r w:rsidRPr="005E3B43">
              <w:t>358</w:t>
            </w:r>
            <w:r w:rsidR="0063374C" w:rsidRPr="005E3B43">
              <w:t>, 2000</w:t>
            </w:r>
            <w:r w:rsidRPr="005E3B43">
              <w:t>; No 258</w:t>
            </w:r>
            <w:r w:rsidR="0063374C" w:rsidRPr="005E3B43">
              <w:t>, 2003;</w:t>
            </w:r>
            <w:r w:rsidRPr="005E3B43">
              <w:t xml:space="preserve"> </w:t>
            </w:r>
            <w:r w:rsidR="0063374C" w:rsidRPr="005E3B43">
              <w:t>No</w:t>
            </w:r>
            <w:r w:rsidRPr="005E3B43">
              <w:t xml:space="preserve"> 361</w:t>
            </w:r>
            <w:r w:rsidR="0063374C" w:rsidRPr="005E3B43">
              <w:t>, 2003</w:t>
            </w:r>
            <w:r w:rsidR="00FD7E9E" w:rsidRPr="005E3B43">
              <w:t>; No</w:t>
            </w:r>
            <w:r w:rsidR="00B146AB" w:rsidRPr="005E3B43">
              <w:t> </w:t>
            </w:r>
            <w:r w:rsidR="00FD7E9E" w:rsidRPr="005E3B43">
              <w:t>30</w:t>
            </w:r>
            <w:r w:rsidR="0063374C" w:rsidRPr="005E3B43">
              <w:t>, 2011</w:t>
            </w:r>
            <w:r w:rsidR="001B7AA2" w:rsidRPr="005E3B43">
              <w:t>; F2017L00853</w:t>
            </w:r>
            <w:r w:rsidR="004E1992" w:rsidRPr="005E3B43">
              <w:t>; F2020L00946</w:t>
            </w:r>
            <w:r w:rsidR="00224C7A" w:rsidRPr="005E3B43">
              <w:t>; F2020L01598</w:t>
            </w:r>
            <w:r w:rsidR="00E466BB" w:rsidRPr="005E3B43">
              <w:t>; F2021L01474</w:t>
            </w:r>
            <w:r w:rsidR="00FC29BF" w:rsidRPr="005E3B43">
              <w:t>; F2021L01809</w:t>
            </w:r>
            <w:r w:rsidR="00CE0245" w:rsidRPr="005E3B43">
              <w:t>; F2022L01687</w:t>
            </w:r>
            <w:r w:rsidR="002647A6" w:rsidRPr="005E3B43">
              <w:t>; F2023L00769</w:t>
            </w:r>
            <w:r w:rsidR="00EF76BC" w:rsidRPr="005E3B43">
              <w:t>; F2023L01558</w:t>
            </w:r>
            <w:r w:rsidR="009D79EC" w:rsidRPr="005E3B43">
              <w:t>; F2023L01667</w:t>
            </w:r>
          </w:p>
        </w:tc>
      </w:tr>
      <w:tr w:rsidR="00B0756B" w:rsidRPr="005E3B43" w14:paraId="07AAAB7E" w14:textId="77777777" w:rsidTr="00034EA9">
        <w:trPr>
          <w:cantSplit/>
        </w:trPr>
        <w:tc>
          <w:tcPr>
            <w:tcW w:w="1495" w:type="pct"/>
          </w:tcPr>
          <w:p w14:paraId="50B45BEB" w14:textId="77777777" w:rsidR="00B0756B" w:rsidRPr="005E3B43" w:rsidRDefault="00B0756B" w:rsidP="00220146">
            <w:pPr>
              <w:pStyle w:val="ENoteTableText"/>
              <w:tabs>
                <w:tab w:val="center" w:leader="dot" w:pos="2268"/>
              </w:tabs>
            </w:pPr>
            <w:r w:rsidRPr="005E3B43">
              <w:t>r 12BA</w:t>
            </w:r>
            <w:r w:rsidR="001071B9" w:rsidRPr="005E3B43">
              <w:tab/>
            </w:r>
          </w:p>
        </w:tc>
        <w:tc>
          <w:tcPr>
            <w:tcW w:w="3505" w:type="pct"/>
          </w:tcPr>
          <w:p w14:paraId="32371EF0" w14:textId="77777777" w:rsidR="00B0756B" w:rsidRPr="005E3B43" w:rsidRDefault="001071B9" w:rsidP="00763BCF">
            <w:pPr>
              <w:pStyle w:val="ENoteTableText"/>
            </w:pPr>
            <w:r w:rsidRPr="005E3B43">
              <w:t>ad F2024L00839</w:t>
            </w:r>
          </w:p>
        </w:tc>
      </w:tr>
      <w:tr w:rsidR="00D64E96" w:rsidRPr="005E3B43" w14:paraId="0E5D0784" w14:textId="77777777" w:rsidTr="00034EA9">
        <w:trPr>
          <w:cantSplit/>
        </w:trPr>
        <w:tc>
          <w:tcPr>
            <w:tcW w:w="1495" w:type="pct"/>
          </w:tcPr>
          <w:p w14:paraId="3981AD22" w14:textId="77777777" w:rsidR="00D64E96" w:rsidRPr="005E3B43" w:rsidRDefault="00D64E96" w:rsidP="00763BCF">
            <w:pPr>
              <w:pStyle w:val="ENoteTableText"/>
              <w:tabs>
                <w:tab w:val="center" w:leader="dot" w:pos="2268"/>
              </w:tabs>
            </w:pPr>
            <w:r w:rsidRPr="005E3B43">
              <w:t>r 12C</w:t>
            </w:r>
            <w:r w:rsidRPr="005E3B43">
              <w:tab/>
            </w:r>
          </w:p>
        </w:tc>
        <w:tc>
          <w:tcPr>
            <w:tcW w:w="3505" w:type="pct"/>
          </w:tcPr>
          <w:p w14:paraId="3EDBB935" w14:textId="77777777" w:rsidR="00D64E96" w:rsidRPr="005E3B43" w:rsidRDefault="00D64E96" w:rsidP="00763BCF">
            <w:pPr>
              <w:pStyle w:val="ENoteTableText"/>
            </w:pPr>
            <w:r w:rsidRPr="005E3B43">
              <w:t>ad 2002 No</w:t>
            </w:r>
            <w:r w:rsidR="00B146AB" w:rsidRPr="005E3B43">
              <w:t> </w:t>
            </w:r>
            <w:r w:rsidRPr="005E3B43">
              <w:t>234</w:t>
            </w:r>
          </w:p>
        </w:tc>
      </w:tr>
      <w:tr w:rsidR="00D64E96" w:rsidRPr="005E3B43" w14:paraId="405C0025" w14:textId="77777777" w:rsidTr="00034EA9">
        <w:trPr>
          <w:cantSplit/>
        </w:trPr>
        <w:tc>
          <w:tcPr>
            <w:tcW w:w="1495" w:type="pct"/>
          </w:tcPr>
          <w:p w14:paraId="21F5FD97" w14:textId="77777777" w:rsidR="00D64E96" w:rsidRPr="005E3B43" w:rsidRDefault="00D64E96" w:rsidP="00763BCF">
            <w:pPr>
              <w:pStyle w:val="ENoteTableText"/>
            </w:pPr>
          </w:p>
        </w:tc>
        <w:tc>
          <w:tcPr>
            <w:tcW w:w="3505" w:type="pct"/>
          </w:tcPr>
          <w:p w14:paraId="750E4AE4" w14:textId="77777777" w:rsidR="00D64E96" w:rsidRPr="005E3B43" w:rsidRDefault="00D64E96" w:rsidP="00763BCF">
            <w:pPr>
              <w:pStyle w:val="ENoteTableText"/>
            </w:pPr>
            <w:r w:rsidRPr="005E3B43">
              <w:t>rep 2010 No</w:t>
            </w:r>
            <w:r w:rsidR="00B146AB" w:rsidRPr="005E3B43">
              <w:t> </w:t>
            </w:r>
            <w:r w:rsidRPr="005E3B43">
              <w:t>26</w:t>
            </w:r>
          </w:p>
        </w:tc>
      </w:tr>
      <w:tr w:rsidR="00D64E96" w:rsidRPr="005E3B43" w14:paraId="56C043C5" w14:textId="77777777" w:rsidTr="00034EA9">
        <w:trPr>
          <w:cantSplit/>
        </w:trPr>
        <w:tc>
          <w:tcPr>
            <w:tcW w:w="1495" w:type="pct"/>
          </w:tcPr>
          <w:p w14:paraId="247E53E6" w14:textId="77777777" w:rsidR="00D64E96" w:rsidRPr="005E3B43" w:rsidRDefault="00D64E96" w:rsidP="00763BCF">
            <w:pPr>
              <w:pStyle w:val="ENoteTableText"/>
            </w:pPr>
          </w:p>
        </w:tc>
        <w:tc>
          <w:tcPr>
            <w:tcW w:w="3505" w:type="pct"/>
          </w:tcPr>
          <w:p w14:paraId="1D656AD6" w14:textId="77777777" w:rsidR="00D64E96" w:rsidRPr="005E3B43" w:rsidRDefault="00D64E96" w:rsidP="00763BCF">
            <w:pPr>
              <w:pStyle w:val="ENoteTableText"/>
            </w:pPr>
            <w:r w:rsidRPr="005E3B43">
              <w:t>ad</w:t>
            </w:r>
            <w:r w:rsidR="00943A0F" w:rsidRPr="005E3B43">
              <w:t xml:space="preserve"> 2011 No</w:t>
            </w:r>
            <w:r w:rsidR="00B146AB" w:rsidRPr="005E3B43">
              <w:t> </w:t>
            </w:r>
            <w:r w:rsidRPr="005E3B43">
              <w:t>30</w:t>
            </w:r>
          </w:p>
        </w:tc>
      </w:tr>
      <w:tr w:rsidR="001B7AA2" w:rsidRPr="005E3B43" w14:paraId="7B03F65D" w14:textId="77777777" w:rsidTr="00034EA9">
        <w:trPr>
          <w:cantSplit/>
        </w:trPr>
        <w:tc>
          <w:tcPr>
            <w:tcW w:w="1495" w:type="pct"/>
          </w:tcPr>
          <w:p w14:paraId="28F4C6F7" w14:textId="77777777" w:rsidR="001B7AA2" w:rsidRPr="005E3B43" w:rsidRDefault="001B7AA2" w:rsidP="00763BCF">
            <w:pPr>
              <w:pStyle w:val="ENoteTableText"/>
            </w:pPr>
          </w:p>
        </w:tc>
        <w:tc>
          <w:tcPr>
            <w:tcW w:w="3505" w:type="pct"/>
          </w:tcPr>
          <w:p w14:paraId="5181C8DF" w14:textId="77777777" w:rsidR="001B7AA2" w:rsidRPr="005E3B43" w:rsidRDefault="001B7AA2" w:rsidP="00763BCF">
            <w:pPr>
              <w:pStyle w:val="ENoteTableText"/>
            </w:pPr>
            <w:r w:rsidRPr="005E3B43">
              <w:t>am F2017L00853</w:t>
            </w:r>
          </w:p>
        </w:tc>
      </w:tr>
      <w:tr w:rsidR="00D64E96" w:rsidRPr="005E3B43" w14:paraId="60D7D57A" w14:textId="77777777" w:rsidTr="00034EA9">
        <w:trPr>
          <w:cantSplit/>
        </w:trPr>
        <w:tc>
          <w:tcPr>
            <w:tcW w:w="1495" w:type="pct"/>
          </w:tcPr>
          <w:p w14:paraId="620F4871" w14:textId="77777777" w:rsidR="00D64E96" w:rsidRPr="005E3B43" w:rsidRDefault="00D64E96" w:rsidP="00763BCF">
            <w:pPr>
              <w:pStyle w:val="ENoteTableText"/>
              <w:tabs>
                <w:tab w:val="center" w:leader="dot" w:pos="2268"/>
              </w:tabs>
            </w:pPr>
            <w:r w:rsidRPr="005E3B43">
              <w:t>r 13</w:t>
            </w:r>
            <w:r w:rsidRPr="005E3B43">
              <w:tab/>
            </w:r>
          </w:p>
        </w:tc>
        <w:tc>
          <w:tcPr>
            <w:tcW w:w="3505" w:type="pct"/>
          </w:tcPr>
          <w:p w14:paraId="7F5AFE39" w14:textId="77777777" w:rsidR="00D64E96" w:rsidRPr="005E3B43" w:rsidRDefault="00D64E96" w:rsidP="00763BCF">
            <w:pPr>
              <w:pStyle w:val="ENoteTableText"/>
            </w:pPr>
            <w:r w:rsidRPr="005E3B43">
              <w:t>am No</w:t>
            </w:r>
            <w:r w:rsidR="004E6D00" w:rsidRPr="005E3B43">
              <w:t> </w:t>
            </w:r>
            <w:r w:rsidRPr="005E3B43">
              <w:t>19</w:t>
            </w:r>
            <w:r w:rsidR="00364A9C" w:rsidRPr="005E3B43">
              <w:t>, 1992</w:t>
            </w:r>
            <w:r w:rsidRPr="005E3B43">
              <w:t>; No</w:t>
            </w:r>
            <w:r w:rsidR="004E6D00" w:rsidRPr="005E3B43">
              <w:t> </w:t>
            </w:r>
            <w:r w:rsidRPr="005E3B43">
              <w:t>9</w:t>
            </w:r>
            <w:r w:rsidR="00364A9C" w:rsidRPr="005E3B43">
              <w:t>, 2002</w:t>
            </w:r>
          </w:p>
        </w:tc>
      </w:tr>
      <w:tr w:rsidR="00D64E96" w:rsidRPr="005E3B43" w14:paraId="3AD47485" w14:textId="77777777" w:rsidTr="00034EA9">
        <w:trPr>
          <w:cantSplit/>
        </w:trPr>
        <w:tc>
          <w:tcPr>
            <w:tcW w:w="1495" w:type="pct"/>
          </w:tcPr>
          <w:p w14:paraId="5325A46D" w14:textId="77777777" w:rsidR="00D64E96" w:rsidRPr="005E3B43" w:rsidRDefault="00D64E96" w:rsidP="00763BCF">
            <w:pPr>
              <w:pStyle w:val="ENoteTableText"/>
              <w:tabs>
                <w:tab w:val="center" w:leader="dot" w:pos="2268"/>
              </w:tabs>
            </w:pPr>
          </w:p>
        </w:tc>
        <w:tc>
          <w:tcPr>
            <w:tcW w:w="3505" w:type="pct"/>
          </w:tcPr>
          <w:p w14:paraId="6621D425" w14:textId="77777777" w:rsidR="00D64E96" w:rsidRPr="005E3B43" w:rsidRDefault="00344EE0" w:rsidP="00763BCF">
            <w:pPr>
              <w:pStyle w:val="ENoteTableText"/>
            </w:pPr>
            <w:r w:rsidRPr="005E3B43">
              <w:t xml:space="preserve">reloc and </w:t>
            </w:r>
            <w:r w:rsidR="00364A9C" w:rsidRPr="005E3B43">
              <w:t>renum</w:t>
            </w:r>
            <w:r w:rsidR="00D64E96" w:rsidRPr="005E3B43">
              <w:t xml:space="preserve"> No</w:t>
            </w:r>
            <w:r w:rsidR="004E6D00" w:rsidRPr="005E3B43">
              <w:t> </w:t>
            </w:r>
            <w:r w:rsidR="00D64E96" w:rsidRPr="005E3B43">
              <w:t>234</w:t>
            </w:r>
            <w:r w:rsidR="00364A9C" w:rsidRPr="005E3B43">
              <w:t>, 2002</w:t>
            </w:r>
          </w:p>
        </w:tc>
      </w:tr>
      <w:tr w:rsidR="00D64E96" w:rsidRPr="005E3B43" w14:paraId="03A2886D" w14:textId="77777777" w:rsidTr="00034EA9">
        <w:trPr>
          <w:cantSplit/>
        </w:trPr>
        <w:tc>
          <w:tcPr>
            <w:tcW w:w="1495" w:type="pct"/>
          </w:tcPr>
          <w:p w14:paraId="0386ED6F" w14:textId="77777777" w:rsidR="00D64E96" w:rsidRPr="005E3B43" w:rsidRDefault="00D64E96" w:rsidP="00763BCF">
            <w:pPr>
              <w:pStyle w:val="ENoteTableText"/>
              <w:tabs>
                <w:tab w:val="center" w:leader="dot" w:pos="2268"/>
              </w:tabs>
            </w:pPr>
            <w:r w:rsidRPr="005E3B43">
              <w:t>r 14</w:t>
            </w:r>
            <w:r w:rsidRPr="005E3B43">
              <w:tab/>
            </w:r>
          </w:p>
        </w:tc>
        <w:tc>
          <w:tcPr>
            <w:tcW w:w="3505" w:type="pct"/>
          </w:tcPr>
          <w:p w14:paraId="6A4F6A01" w14:textId="77777777" w:rsidR="00D64E96" w:rsidRPr="005E3B43" w:rsidRDefault="00D64E96" w:rsidP="00763BCF">
            <w:pPr>
              <w:pStyle w:val="ENoteTableText"/>
            </w:pPr>
            <w:r w:rsidRPr="005E3B43">
              <w:t>am No</w:t>
            </w:r>
            <w:r w:rsidR="004E6D00" w:rsidRPr="005E3B43">
              <w:t> </w:t>
            </w:r>
            <w:r w:rsidRPr="005E3B43">
              <w:t>9</w:t>
            </w:r>
            <w:r w:rsidR="00364A9C" w:rsidRPr="005E3B43">
              <w:t>, 2002</w:t>
            </w:r>
            <w:r w:rsidRPr="005E3B43">
              <w:t>; No</w:t>
            </w:r>
            <w:r w:rsidR="004E6D00" w:rsidRPr="005E3B43">
              <w:t> </w:t>
            </w:r>
            <w:r w:rsidRPr="005E3B43">
              <w:t>234</w:t>
            </w:r>
            <w:r w:rsidR="00364A9C" w:rsidRPr="005E3B43">
              <w:t>, 2002</w:t>
            </w:r>
          </w:p>
        </w:tc>
      </w:tr>
      <w:tr w:rsidR="00D64E96" w:rsidRPr="005E3B43" w14:paraId="30AC6772" w14:textId="77777777" w:rsidTr="00034EA9">
        <w:trPr>
          <w:cantSplit/>
        </w:trPr>
        <w:tc>
          <w:tcPr>
            <w:tcW w:w="1495" w:type="pct"/>
          </w:tcPr>
          <w:p w14:paraId="0D586BD5" w14:textId="77777777" w:rsidR="00D64E96" w:rsidRPr="005E3B43" w:rsidRDefault="00D64E96" w:rsidP="00763BCF">
            <w:pPr>
              <w:pStyle w:val="ENoteTableText"/>
              <w:tabs>
                <w:tab w:val="center" w:leader="dot" w:pos="2268"/>
              </w:tabs>
            </w:pPr>
          </w:p>
        </w:tc>
        <w:tc>
          <w:tcPr>
            <w:tcW w:w="3505" w:type="pct"/>
          </w:tcPr>
          <w:p w14:paraId="142D80A1" w14:textId="77777777" w:rsidR="00D64E96" w:rsidRPr="005E3B43" w:rsidRDefault="00344EE0" w:rsidP="00763BCF">
            <w:pPr>
              <w:pStyle w:val="ENoteTableText"/>
            </w:pPr>
            <w:r w:rsidRPr="005E3B43">
              <w:t xml:space="preserve">reloc and </w:t>
            </w:r>
            <w:r w:rsidR="00364A9C" w:rsidRPr="005E3B43">
              <w:t>renum</w:t>
            </w:r>
            <w:r w:rsidR="00D64E96" w:rsidRPr="005E3B43">
              <w:t xml:space="preserve"> No</w:t>
            </w:r>
            <w:r w:rsidR="004E6D00" w:rsidRPr="005E3B43">
              <w:t> </w:t>
            </w:r>
            <w:r w:rsidR="00D64E96" w:rsidRPr="005E3B43">
              <w:t>234</w:t>
            </w:r>
            <w:r w:rsidR="00364A9C" w:rsidRPr="005E3B43">
              <w:t>, 2002</w:t>
            </w:r>
          </w:p>
        </w:tc>
      </w:tr>
      <w:tr w:rsidR="00D64E96" w:rsidRPr="005E3B43" w14:paraId="0D3A4C26" w14:textId="77777777" w:rsidTr="00034EA9">
        <w:trPr>
          <w:cantSplit/>
        </w:trPr>
        <w:tc>
          <w:tcPr>
            <w:tcW w:w="1495" w:type="pct"/>
          </w:tcPr>
          <w:p w14:paraId="61095AC7" w14:textId="77777777" w:rsidR="00D64E96" w:rsidRPr="005E3B43" w:rsidRDefault="00D64E96" w:rsidP="00763BCF">
            <w:pPr>
              <w:pStyle w:val="ENoteTableText"/>
              <w:tabs>
                <w:tab w:val="center" w:leader="dot" w:pos="2268"/>
              </w:tabs>
            </w:pPr>
            <w:r w:rsidRPr="005E3B43">
              <w:t>r 14A</w:t>
            </w:r>
            <w:r w:rsidRPr="005E3B43">
              <w:tab/>
            </w:r>
          </w:p>
        </w:tc>
        <w:tc>
          <w:tcPr>
            <w:tcW w:w="3505" w:type="pct"/>
          </w:tcPr>
          <w:p w14:paraId="3EEC6061" w14:textId="77777777" w:rsidR="00D64E96" w:rsidRPr="005E3B43" w:rsidRDefault="00D64E96" w:rsidP="00763BCF">
            <w:pPr>
              <w:pStyle w:val="ENoteTableText"/>
            </w:pPr>
            <w:r w:rsidRPr="005E3B43">
              <w:t xml:space="preserve">ad </w:t>
            </w:r>
            <w:r w:rsidR="001F41DB" w:rsidRPr="005E3B43">
              <w:t xml:space="preserve">No 430, </w:t>
            </w:r>
            <w:r w:rsidRPr="005E3B43">
              <w:t>1992</w:t>
            </w:r>
          </w:p>
        </w:tc>
      </w:tr>
      <w:tr w:rsidR="00D64E96" w:rsidRPr="005E3B43" w14:paraId="65461386" w14:textId="77777777" w:rsidTr="00034EA9">
        <w:trPr>
          <w:cantSplit/>
        </w:trPr>
        <w:tc>
          <w:tcPr>
            <w:tcW w:w="1495" w:type="pct"/>
          </w:tcPr>
          <w:p w14:paraId="1087F84B" w14:textId="77777777" w:rsidR="00D64E96" w:rsidRPr="005E3B43" w:rsidRDefault="00D64E96" w:rsidP="00763BCF">
            <w:pPr>
              <w:pStyle w:val="ENoteTableText"/>
              <w:tabs>
                <w:tab w:val="center" w:leader="dot" w:pos="2268"/>
              </w:tabs>
            </w:pPr>
          </w:p>
        </w:tc>
        <w:tc>
          <w:tcPr>
            <w:tcW w:w="3505" w:type="pct"/>
          </w:tcPr>
          <w:p w14:paraId="4B4D0859" w14:textId="77777777" w:rsidR="00D64E96" w:rsidRPr="005E3B43" w:rsidRDefault="00344EE0" w:rsidP="00763BCF">
            <w:pPr>
              <w:pStyle w:val="ENoteTableText"/>
            </w:pPr>
            <w:r w:rsidRPr="005E3B43">
              <w:t xml:space="preserve">reloc and </w:t>
            </w:r>
            <w:r w:rsidR="001F41DB" w:rsidRPr="005E3B43">
              <w:t>renum</w:t>
            </w:r>
            <w:r w:rsidR="00D64E96" w:rsidRPr="005E3B43">
              <w:t xml:space="preserve"> No</w:t>
            </w:r>
            <w:r w:rsidR="004E6D00" w:rsidRPr="005E3B43">
              <w:t> </w:t>
            </w:r>
            <w:r w:rsidR="00D64E96" w:rsidRPr="005E3B43">
              <w:t>234</w:t>
            </w:r>
            <w:r w:rsidR="001F41DB" w:rsidRPr="005E3B43">
              <w:t>, 2002</w:t>
            </w:r>
          </w:p>
        </w:tc>
      </w:tr>
      <w:tr w:rsidR="00D64E96" w:rsidRPr="005E3B43" w14:paraId="4336A7E3" w14:textId="77777777" w:rsidTr="00034EA9">
        <w:trPr>
          <w:cantSplit/>
        </w:trPr>
        <w:tc>
          <w:tcPr>
            <w:tcW w:w="1495" w:type="pct"/>
          </w:tcPr>
          <w:p w14:paraId="4C67E9AD" w14:textId="77777777" w:rsidR="00D64E96" w:rsidRPr="005E3B43" w:rsidRDefault="00D64E96" w:rsidP="00763BCF">
            <w:pPr>
              <w:pStyle w:val="ENoteTableText"/>
              <w:tabs>
                <w:tab w:val="center" w:leader="dot" w:pos="2268"/>
              </w:tabs>
            </w:pPr>
            <w:r w:rsidRPr="005E3B43">
              <w:t>r</w:t>
            </w:r>
            <w:r w:rsidR="00F70D6E" w:rsidRPr="005E3B43">
              <w:t> </w:t>
            </w:r>
            <w:r w:rsidRPr="005E3B43">
              <w:t>14B</w:t>
            </w:r>
            <w:r w:rsidRPr="005E3B43">
              <w:tab/>
            </w:r>
          </w:p>
        </w:tc>
        <w:tc>
          <w:tcPr>
            <w:tcW w:w="3505" w:type="pct"/>
          </w:tcPr>
          <w:p w14:paraId="497C5E33" w14:textId="77777777" w:rsidR="00D64E96" w:rsidRPr="005E3B43" w:rsidRDefault="00D64E96" w:rsidP="00763BCF">
            <w:pPr>
              <w:pStyle w:val="ENoteTableText"/>
            </w:pPr>
            <w:r w:rsidRPr="005E3B43">
              <w:t>ad 1992 No</w:t>
            </w:r>
            <w:r w:rsidR="00F70D6E" w:rsidRPr="005E3B43">
              <w:t> </w:t>
            </w:r>
            <w:r w:rsidRPr="005E3B43">
              <w:t>430</w:t>
            </w:r>
          </w:p>
        </w:tc>
      </w:tr>
      <w:tr w:rsidR="00D64E96" w:rsidRPr="005E3B43" w14:paraId="53249AF7" w14:textId="77777777" w:rsidTr="00034EA9">
        <w:trPr>
          <w:cantSplit/>
        </w:trPr>
        <w:tc>
          <w:tcPr>
            <w:tcW w:w="1495" w:type="pct"/>
          </w:tcPr>
          <w:p w14:paraId="22D395BE" w14:textId="77777777" w:rsidR="00D64E96" w:rsidRPr="005E3B43" w:rsidRDefault="00D64E96" w:rsidP="00763BCF">
            <w:pPr>
              <w:pStyle w:val="ENoteTableText"/>
            </w:pPr>
          </w:p>
        </w:tc>
        <w:tc>
          <w:tcPr>
            <w:tcW w:w="3505" w:type="pct"/>
          </w:tcPr>
          <w:p w14:paraId="2A24718B" w14:textId="77777777" w:rsidR="00D64E96" w:rsidRPr="005E3B43" w:rsidRDefault="00D64E96" w:rsidP="00763BCF">
            <w:pPr>
              <w:pStyle w:val="ENoteTableText"/>
            </w:pPr>
            <w:r w:rsidRPr="005E3B43">
              <w:t>rep 2002 No</w:t>
            </w:r>
            <w:r w:rsidR="00F70D6E" w:rsidRPr="005E3B43">
              <w:t> </w:t>
            </w:r>
            <w:r w:rsidRPr="005E3B43">
              <w:t>234</w:t>
            </w:r>
          </w:p>
        </w:tc>
      </w:tr>
      <w:tr w:rsidR="000447ED" w:rsidRPr="005E3B43" w14:paraId="075ABCB0" w14:textId="77777777" w:rsidTr="00034EA9">
        <w:trPr>
          <w:cantSplit/>
        </w:trPr>
        <w:tc>
          <w:tcPr>
            <w:tcW w:w="1495" w:type="pct"/>
          </w:tcPr>
          <w:p w14:paraId="3E59DBC9" w14:textId="77777777" w:rsidR="000447ED" w:rsidRPr="005E3B43" w:rsidRDefault="000447ED" w:rsidP="00763BCF">
            <w:pPr>
              <w:pStyle w:val="ENoteTableText"/>
              <w:tabs>
                <w:tab w:val="center" w:leader="dot" w:pos="2268"/>
              </w:tabs>
            </w:pPr>
            <w:r w:rsidRPr="005E3B43">
              <w:t>r 14C</w:t>
            </w:r>
            <w:r w:rsidRPr="005E3B43">
              <w:tab/>
            </w:r>
          </w:p>
        </w:tc>
        <w:tc>
          <w:tcPr>
            <w:tcW w:w="3505" w:type="pct"/>
          </w:tcPr>
          <w:p w14:paraId="185170A2" w14:textId="77777777" w:rsidR="000447ED" w:rsidRPr="005E3B43" w:rsidRDefault="000447ED" w:rsidP="00763BCF">
            <w:pPr>
              <w:pStyle w:val="ENoteTableText"/>
            </w:pPr>
            <w:r w:rsidRPr="005E3B43">
              <w:t>ad 1992 No 430</w:t>
            </w:r>
          </w:p>
        </w:tc>
      </w:tr>
      <w:tr w:rsidR="000447ED" w:rsidRPr="005E3B43" w14:paraId="4B48F0EB" w14:textId="77777777" w:rsidTr="00034EA9">
        <w:trPr>
          <w:cantSplit/>
        </w:trPr>
        <w:tc>
          <w:tcPr>
            <w:tcW w:w="1495" w:type="pct"/>
          </w:tcPr>
          <w:p w14:paraId="3F056A81" w14:textId="77777777" w:rsidR="000447ED" w:rsidRPr="005E3B43" w:rsidRDefault="000447ED" w:rsidP="00763BCF">
            <w:pPr>
              <w:pStyle w:val="ENoteTableText"/>
            </w:pPr>
          </w:p>
        </w:tc>
        <w:tc>
          <w:tcPr>
            <w:tcW w:w="3505" w:type="pct"/>
          </w:tcPr>
          <w:p w14:paraId="4DD3A40A" w14:textId="77777777" w:rsidR="000447ED" w:rsidRPr="005E3B43" w:rsidRDefault="000447ED" w:rsidP="00763BCF">
            <w:pPr>
              <w:pStyle w:val="ENoteTableText"/>
            </w:pPr>
            <w:r w:rsidRPr="005E3B43">
              <w:t>rep 2002 No 234</w:t>
            </w:r>
          </w:p>
        </w:tc>
      </w:tr>
      <w:tr w:rsidR="000447ED" w:rsidRPr="005E3B43" w14:paraId="4691D04A" w14:textId="77777777" w:rsidTr="00034EA9">
        <w:trPr>
          <w:cantSplit/>
        </w:trPr>
        <w:tc>
          <w:tcPr>
            <w:tcW w:w="1495" w:type="pct"/>
          </w:tcPr>
          <w:p w14:paraId="484F46AE" w14:textId="77777777" w:rsidR="000447ED" w:rsidRPr="005E3B43" w:rsidRDefault="000447ED" w:rsidP="00763BCF">
            <w:pPr>
              <w:pStyle w:val="ENoteTableText"/>
              <w:tabs>
                <w:tab w:val="center" w:leader="dot" w:pos="2268"/>
              </w:tabs>
            </w:pPr>
            <w:r w:rsidRPr="005E3B43">
              <w:lastRenderedPageBreak/>
              <w:t>r 15</w:t>
            </w:r>
            <w:r w:rsidRPr="005E3B43">
              <w:tab/>
            </w:r>
          </w:p>
        </w:tc>
        <w:tc>
          <w:tcPr>
            <w:tcW w:w="3505" w:type="pct"/>
          </w:tcPr>
          <w:p w14:paraId="24575CDA" w14:textId="77777777" w:rsidR="000447ED" w:rsidRPr="005E3B43" w:rsidRDefault="000447ED" w:rsidP="00763BCF">
            <w:pPr>
              <w:pStyle w:val="ENoteTableText"/>
            </w:pPr>
            <w:r w:rsidRPr="005E3B43">
              <w:t>am No 19, 1992; No 398, 1997; No 62, 1999; No 102, 2011; F2018L00311</w:t>
            </w:r>
            <w:r w:rsidR="001F41DB" w:rsidRPr="005E3B43">
              <w:t>; F2020L00946</w:t>
            </w:r>
          </w:p>
        </w:tc>
      </w:tr>
      <w:tr w:rsidR="002461D7" w:rsidRPr="005E3B43" w14:paraId="307C102B" w14:textId="77777777" w:rsidTr="00034EA9">
        <w:trPr>
          <w:cantSplit/>
        </w:trPr>
        <w:tc>
          <w:tcPr>
            <w:tcW w:w="1495" w:type="pct"/>
          </w:tcPr>
          <w:p w14:paraId="62F09074" w14:textId="77777777" w:rsidR="002461D7" w:rsidRPr="005E3B43" w:rsidRDefault="002461D7" w:rsidP="00763BCF">
            <w:pPr>
              <w:pStyle w:val="ENoteTableText"/>
              <w:tabs>
                <w:tab w:val="center" w:leader="dot" w:pos="2268"/>
              </w:tabs>
            </w:pPr>
            <w:r w:rsidRPr="005E3B43">
              <w:t>r 15AA</w:t>
            </w:r>
            <w:r w:rsidRPr="005E3B43">
              <w:tab/>
            </w:r>
          </w:p>
        </w:tc>
        <w:tc>
          <w:tcPr>
            <w:tcW w:w="3505" w:type="pct"/>
          </w:tcPr>
          <w:p w14:paraId="41E2AFB8" w14:textId="77777777" w:rsidR="002461D7" w:rsidRPr="005E3B43" w:rsidRDefault="002461D7" w:rsidP="00763BCF">
            <w:pPr>
              <w:pStyle w:val="ENoteTableText"/>
              <w:rPr>
                <w:u w:val="single"/>
              </w:rPr>
            </w:pPr>
            <w:r w:rsidRPr="005E3B43">
              <w:t>ad F2021L00450</w:t>
            </w:r>
          </w:p>
        </w:tc>
      </w:tr>
      <w:tr w:rsidR="000447ED" w:rsidRPr="005E3B43" w14:paraId="6F2BDEA0" w14:textId="77777777" w:rsidTr="00034EA9">
        <w:trPr>
          <w:cantSplit/>
        </w:trPr>
        <w:tc>
          <w:tcPr>
            <w:tcW w:w="1495" w:type="pct"/>
          </w:tcPr>
          <w:p w14:paraId="228511CC" w14:textId="77777777" w:rsidR="000447ED" w:rsidRPr="005E3B43" w:rsidRDefault="000447ED" w:rsidP="00763BCF">
            <w:pPr>
              <w:pStyle w:val="ENoteTableText"/>
              <w:tabs>
                <w:tab w:val="center" w:leader="dot" w:pos="2268"/>
              </w:tabs>
            </w:pPr>
            <w:r w:rsidRPr="005E3B43">
              <w:t>r 15A</w:t>
            </w:r>
            <w:r w:rsidRPr="005E3B43">
              <w:tab/>
            </w:r>
          </w:p>
        </w:tc>
        <w:tc>
          <w:tcPr>
            <w:tcW w:w="3505" w:type="pct"/>
          </w:tcPr>
          <w:p w14:paraId="66088038" w14:textId="77777777" w:rsidR="000447ED" w:rsidRPr="005E3B43" w:rsidRDefault="000447ED" w:rsidP="00763BCF">
            <w:pPr>
              <w:pStyle w:val="ENoteTableText"/>
            </w:pPr>
            <w:r w:rsidRPr="005E3B43">
              <w:t>ad 2003 No 258</w:t>
            </w:r>
          </w:p>
        </w:tc>
      </w:tr>
      <w:tr w:rsidR="000447ED" w:rsidRPr="005E3B43" w14:paraId="37703230" w14:textId="77777777" w:rsidTr="00034EA9">
        <w:trPr>
          <w:cantSplit/>
        </w:trPr>
        <w:tc>
          <w:tcPr>
            <w:tcW w:w="1495" w:type="pct"/>
          </w:tcPr>
          <w:p w14:paraId="01088AC1" w14:textId="77777777" w:rsidR="000447ED" w:rsidRPr="005E3B43" w:rsidRDefault="000447ED" w:rsidP="00763BCF">
            <w:pPr>
              <w:pStyle w:val="ENoteTableText"/>
            </w:pPr>
          </w:p>
        </w:tc>
        <w:tc>
          <w:tcPr>
            <w:tcW w:w="3505" w:type="pct"/>
          </w:tcPr>
          <w:p w14:paraId="3FBFAD82" w14:textId="77777777" w:rsidR="000447ED" w:rsidRPr="005E3B43" w:rsidRDefault="000447ED" w:rsidP="00763BCF">
            <w:pPr>
              <w:pStyle w:val="ENoteTableText"/>
            </w:pPr>
            <w:r w:rsidRPr="005E3B43">
              <w:t>am 2010 No 26; 2011 No 102</w:t>
            </w:r>
          </w:p>
        </w:tc>
      </w:tr>
      <w:tr w:rsidR="000447ED" w:rsidRPr="005E3B43" w14:paraId="70D8EE5A" w14:textId="77777777" w:rsidTr="00034EA9">
        <w:trPr>
          <w:cantSplit/>
        </w:trPr>
        <w:tc>
          <w:tcPr>
            <w:tcW w:w="1495" w:type="pct"/>
          </w:tcPr>
          <w:p w14:paraId="66423832" w14:textId="77777777" w:rsidR="000447ED" w:rsidRPr="005E3B43" w:rsidRDefault="000447ED" w:rsidP="00763BCF">
            <w:pPr>
              <w:pStyle w:val="ENoteTableText"/>
            </w:pPr>
          </w:p>
        </w:tc>
        <w:tc>
          <w:tcPr>
            <w:tcW w:w="3505" w:type="pct"/>
          </w:tcPr>
          <w:p w14:paraId="1572D16D" w14:textId="77777777" w:rsidR="000447ED" w:rsidRPr="005E3B43" w:rsidRDefault="000447ED" w:rsidP="00763BCF">
            <w:pPr>
              <w:pStyle w:val="ENoteTableText"/>
            </w:pPr>
            <w:r w:rsidRPr="005E3B43">
              <w:t>rs 2012 No 251</w:t>
            </w:r>
          </w:p>
        </w:tc>
      </w:tr>
      <w:tr w:rsidR="000447ED" w:rsidRPr="005E3B43" w14:paraId="6CA07CF4" w14:textId="77777777" w:rsidTr="00034EA9">
        <w:trPr>
          <w:cantSplit/>
        </w:trPr>
        <w:tc>
          <w:tcPr>
            <w:tcW w:w="1495" w:type="pct"/>
          </w:tcPr>
          <w:p w14:paraId="4D3CF5E5" w14:textId="77777777" w:rsidR="000447ED" w:rsidRPr="005E3B43" w:rsidRDefault="000447ED" w:rsidP="00763BCF">
            <w:pPr>
              <w:pStyle w:val="ENoteTableText"/>
            </w:pPr>
          </w:p>
        </w:tc>
        <w:tc>
          <w:tcPr>
            <w:tcW w:w="3505" w:type="pct"/>
          </w:tcPr>
          <w:p w14:paraId="36B22E21" w14:textId="77777777" w:rsidR="000447ED" w:rsidRPr="005E3B43" w:rsidRDefault="000447ED" w:rsidP="00763BCF">
            <w:pPr>
              <w:pStyle w:val="ENoteTableText"/>
            </w:pPr>
            <w:r w:rsidRPr="005E3B43">
              <w:t>am F2017L00853</w:t>
            </w:r>
          </w:p>
        </w:tc>
      </w:tr>
      <w:tr w:rsidR="000447ED" w:rsidRPr="005E3B43" w14:paraId="761BE76E" w14:textId="77777777" w:rsidTr="00034EA9">
        <w:trPr>
          <w:cantSplit/>
        </w:trPr>
        <w:tc>
          <w:tcPr>
            <w:tcW w:w="1495" w:type="pct"/>
          </w:tcPr>
          <w:p w14:paraId="63E69C17" w14:textId="77777777" w:rsidR="000447ED" w:rsidRPr="005E3B43" w:rsidRDefault="000447ED" w:rsidP="00763BCF">
            <w:pPr>
              <w:pStyle w:val="ENoteTableText"/>
              <w:tabs>
                <w:tab w:val="center" w:leader="dot" w:pos="2268"/>
              </w:tabs>
            </w:pPr>
            <w:r w:rsidRPr="005E3B43">
              <w:t>r 16</w:t>
            </w:r>
            <w:r w:rsidRPr="005E3B43">
              <w:tab/>
            </w:r>
          </w:p>
        </w:tc>
        <w:tc>
          <w:tcPr>
            <w:tcW w:w="3505" w:type="pct"/>
          </w:tcPr>
          <w:p w14:paraId="20FF1D83" w14:textId="77777777" w:rsidR="000447ED" w:rsidRPr="005E3B43" w:rsidRDefault="000447ED" w:rsidP="00763BCF">
            <w:pPr>
              <w:pStyle w:val="ENoteTableText"/>
            </w:pPr>
            <w:r w:rsidRPr="005E3B43">
              <w:t>am No</w:t>
            </w:r>
            <w:r w:rsidR="004E6D00" w:rsidRPr="005E3B43">
              <w:t> </w:t>
            </w:r>
            <w:r w:rsidRPr="005E3B43">
              <w:t>89</w:t>
            </w:r>
            <w:r w:rsidR="001F41DB" w:rsidRPr="005E3B43">
              <w:t>, 1992; No 26, 2010</w:t>
            </w:r>
          </w:p>
        </w:tc>
      </w:tr>
      <w:tr w:rsidR="000447ED" w:rsidRPr="005E3B43" w14:paraId="5A7EE326" w14:textId="77777777" w:rsidTr="00034EA9">
        <w:trPr>
          <w:cantSplit/>
        </w:trPr>
        <w:tc>
          <w:tcPr>
            <w:tcW w:w="1495" w:type="pct"/>
          </w:tcPr>
          <w:p w14:paraId="278A53AF" w14:textId="77777777" w:rsidR="000447ED" w:rsidRPr="005E3B43" w:rsidRDefault="000447ED" w:rsidP="00763BCF">
            <w:pPr>
              <w:pStyle w:val="ENoteTableText"/>
            </w:pPr>
          </w:p>
        </w:tc>
        <w:tc>
          <w:tcPr>
            <w:tcW w:w="3505" w:type="pct"/>
          </w:tcPr>
          <w:p w14:paraId="00B929A2" w14:textId="77777777" w:rsidR="000447ED" w:rsidRPr="005E3B43" w:rsidRDefault="001F41DB" w:rsidP="00763BCF">
            <w:pPr>
              <w:pStyle w:val="ENoteTableText"/>
            </w:pPr>
            <w:r w:rsidRPr="005E3B43">
              <w:t>rep F2020L00946</w:t>
            </w:r>
          </w:p>
        </w:tc>
      </w:tr>
      <w:tr w:rsidR="000447ED" w:rsidRPr="005E3B43" w14:paraId="6548FECB" w14:textId="77777777" w:rsidTr="00034EA9">
        <w:trPr>
          <w:cantSplit/>
        </w:trPr>
        <w:tc>
          <w:tcPr>
            <w:tcW w:w="1495" w:type="pct"/>
          </w:tcPr>
          <w:p w14:paraId="50DD0498" w14:textId="77777777" w:rsidR="000447ED" w:rsidRPr="005E3B43" w:rsidRDefault="000447ED" w:rsidP="00763BCF">
            <w:pPr>
              <w:pStyle w:val="ENoteTableText"/>
              <w:tabs>
                <w:tab w:val="center" w:leader="dot" w:pos="2268"/>
              </w:tabs>
            </w:pPr>
            <w:r w:rsidRPr="005E3B43">
              <w:t>r. 16AA</w:t>
            </w:r>
            <w:r w:rsidRPr="005E3B43">
              <w:tab/>
            </w:r>
          </w:p>
        </w:tc>
        <w:tc>
          <w:tcPr>
            <w:tcW w:w="3505" w:type="pct"/>
          </w:tcPr>
          <w:p w14:paraId="4A060DB7" w14:textId="77777777" w:rsidR="000447ED" w:rsidRPr="005E3B43" w:rsidRDefault="000447ED" w:rsidP="00763BCF">
            <w:pPr>
              <w:pStyle w:val="ENoteTableText"/>
            </w:pPr>
            <w:r w:rsidRPr="005E3B43">
              <w:t>ad. 2003 No.</w:t>
            </w:r>
            <w:r w:rsidR="004E6D00" w:rsidRPr="005E3B43">
              <w:t> </w:t>
            </w:r>
            <w:r w:rsidRPr="005E3B43">
              <w:t>151</w:t>
            </w:r>
          </w:p>
        </w:tc>
      </w:tr>
      <w:tr w:rsidR="000447ED" w:rsidRPr="005E3B43" w14:paraId="099216C9" w14:textId="77777777" w:rsidTr="00034EA9">
        <w:trPr>
          <w:cantSplit/>
        </w:trPr>
        <w:tc>
          <w:tcPr>
            <w:tcW w:w="1495" w:type="pct"/>
          </w:tcPr>
          <w:p w14:paraId="3C639F5E" w14:textId="77777777" w:rsidR="000447ED" w:rsidRPr="005E3B43" w:rsidRDefault="000447ED" w:rsidP="00763BCF">
            <w:pPr>
              <w:pStyle w:val="ENoteTableText"/>
              <w:tabs>
                <w:tab w:val="center" w:leader="dot" w:pos="2268"/>
              </w:tabs>
            </w:pPr>
          </w:p>
        </w:tc>
        <w:tc>
          <w:tcPr>
            <w:tcW w:w="3505" w:type="pct"/>
          </w:tcPr>
          <w:p w14:paraId="54E5A905" w14:textId="77777777" w:rsidR="000447ED" w:rsidRPr="005E3B43" w:rsidRDefault="000447ED" w:rsidP="00763BCF">
            <w:pPr>
              <w:pStyle w:val="ENoteTableText"/>
            </w:pPr>
            <w:r w:rsidRPr="005E3B43">
              <w:t>rs No 75, 2015</w:t>
            </w:r>
          </w:p>
        </w:tc>
      </w:tr>
      <w:tr w:rsidR="000447ED" w:rsidRPr="005E3B43" w14:paraId="7F6F562B" w14:textId="77777777" w:rsidTr="00034EA9">
        <w:trPr>
          <w:cantSplit/>
        </w:trPr>
        <w:tc>
          <w:tcPr>
            <w:tcW w:w="1495" w:type="pct"/>
          </w:tcPr>
          <w:p w14:paraId="4480DB0F" w14:textId="77777777" w:rsidR="000447ED" w:rsidRPr="005E3B43" w:rsidRDefault="000447ED" w:rsidP="00763BCF">
            <w:pPr>
              <w:pStyle w:val="ENoteTableText"/>
              <w:tabs>
                <w:tab w:val="center" w:leader="dot" w:pos="2268"/>
              </w:tabs>
            </w:pPr>
            <w:r w:rsidRPr="005E3B43">
              <w:t>r 16AB</w:t>
            </w:r>
            <w:r w:rsidRPr="005E3B43">
              <w:tab/>
            </w:r>
          </w:p>
        </w:tc>
        <w:tc>
          <w:tcPr>
            <w:tcW w:w="3505" w:type="pct"/>
          </w:tcPr>
          <w:p w14:paraId="1E60B793" w14:textId="77777777" w:rsidR="000447ED" w:rsidRPr="005E3B43" w:rsidRDefault="000447ED" w:rsidP="00763BCF">
            <w:pPr>
              <w:pStyle w:val="ENoteTableText"/>
            </w:pPr>
            <w:r w:rsidRPr="005E3B43">
              <w:t>ad No 30, 2011</w:t>
            </w:r>
          </w:p>
        </w:tc>
      </w:tr>
      <w:tr w:rsidR="000447ED" w:rsidRPr="005E3B43" w14:paraId="3761F855" w14:textId="77777777" w:rsidTr="00034EA9">
        <w:trPr>
          <w:cantSplit/>
        </w:trPr>
        <w:tc>
          <w:tcPr>
            <w:tcW w:w="1495" w:type="pct"/>
          </w:tcPr>
          <w:p w14:paraId="6D49B2AB" w14:textId="77777777" w:rsidR="000447ED" w:rsidRPr="005E3B43" w:rsidRDefault="000447ED" w:rsidP="00763BCF">
            <w:pPr>
              <w:pStyle w:val="ENoteTableText"/>
              <w:tabs>
                <w:tab w:val="center" w:leader="dot" w:pos="2268"/>
              </w:tabs>
            </w:pPr>
          </w:p>
        </w:tc>
        <w:tc>
          <w:tcPr>
            <w:tcW w:w="3505" w:type="pct"/>
          </w:tcPr>
          <w:p w14:paraId="3F583E7C" w14:textId="77777777" w:rsidR="000447ED" w:rsidRPr="005E3B43" w:rsidRDefault="000447ED" w:rsidP="00763BCF">
            <w:pPr>
              <w:pStyle w:val="ENoteTableText"/>
            </w:pPr>
            <w:r w:rsidRPr="005E3B43">
              <w:t>am F2018L00865; F2018L01434</w:t>
            </w:r>
          </w:p>
        </w:tc>
      </w:tr>
      <w:tr w:rsidR="000447ED" w:rsidRPr="005E3B43" w14:paraId="0537C55D" w14:textId="77777777" w:rsidTr="00034EA9">
        <w:trPr>
          <w:cantSplit/>
        </w:trPr>
        <w:tc>
          <w:tcPr>
            <w:tcW w:w="1495" w:type="pct"/>
          </w:tcPr>
          <w:p w14:paraId="4480B430" w14:textId="77777777" w:rsidR="000447ED" w:rsidRPr="005E3B43" w:rsidRDefault="00BB758E" w:rsidP="00763BCF">
            <w:pPr>
              <w:pStyle w:val="ENoteTableText"/>
              <w:keepNext/>
              <w:keepLines/>
            </w:pPr>
            <w:r w:rsidRPr="005E3B43">
              <w:rPr>
                <w:b/>
              </w:rPr>
              <w:t>Part 3</w:t>
            </w:r>
            <w:r w:rsidR="000447ED" w:rsidRPr="005E3B43">
              <w:rPr>
                <w:b/>
              </w:rPr>
              <w:t>A</w:t>
            </w:r>
          </w:p>
        </w:tc>
        <w:tc>
          <w:tcPr>
            <w:tcW w:w="3505" w:type="pct"/>
          </w:tcPr>
          <w:p w14:paraId="188D7114" w14:textId="77777777" w:rsidR="000447ED" w:rsidRPr="005E3B43" w:rsidRDefault="000447ED" w:rsidP="00763BCF">
            <w:pPr>
              <w:pStyle w:val="ENoteTableText"/>
            </w:pPr>
          </w:p>
        </w:tc>
      </w:tr>
      <w:tr w:rsidR="000447ED" w:rsidRPr="005E3B43" w14:paraId="6705E984" w14:textId="77777777" w:rsidTr="00034EA9">
        <w:trPr>
          <w:cantSplit/>
        </w:trPr>
        <w:tc>
          <w:tcPr>
            <w:tcW w:w="1495" w:type="pct"/>
          </w:tcPr>
          <w:p w14:paraId="479B43FF" w14:textId="77777777" w:rsidR="000447ED" w:rsidRPr="005E3B43" w:rsidRDefault="00BB758E" w:rsidP="00763BCF">
            <w:pPr>
              <w:pStyle w:val="ENoteTableText"/>
              <w:tabs>
                <w:tab w:val="center" w:leader="dot" w:pos="2268"/>
              </w:tabs>
            </w:pPr>
            <w:r w:rsidRPr="005E3B43">
              <w:t>Part 3</w:t>
            </w:r>
            <w:r w:rsidR="000447ED" w:rsidRPr="005E3B43">
              <w:t>A heading</w:t>
            </w:r>
            <w:r w:rsidR="000447ED" w:rsidRPr="005E3B43">
              <w:tab/>
            </w:r>
          </w:p>
        </w:tc>
        <w:tc>
          <w:tcPr>
            <w:tcW w:w="3505" w:type="pct"/>
          </w:tcPr>
          <w:p w14:paraId="2A8C64DB" w14:textId="77777777" w:rsidR="000447ED" w:rsidRPr="005E3B43" w:rsidRDefault="000447ED" w:rsidP="00763BCF">
            <w:pPr>
              <w:pStyle w:val="ENoteTableText"/>
            </w:pPr>
            <w:r w:rsidRPr="005E3B43">
              <w:t>am. 1999 No.</w:t>
            </w:r>
            <w:r w:rsidR="004E6D00" w:rsidRPr="005E3B43">
              <w:t> </w:t>
            </w:r>
            <w:r w:rsidRPr="005E3B43">
              <w:t>62</w:t>
            </w:r>
          </w:p>
        </w:tc>
      </w:tr>
      <w:tr w:rsidR="000447ED" w:rsidRPr="005E3B43" w14:paraId="0ED96D63" w14:textId="77777777" w:rsidTr="00034EA9">
        <w:trPr>
          <w:cantSplit/>
        </w:trPr>
        <w:tc>
          <w:tcPr>
            <w:tcW w:w="1495" w:type="pct"/>
          </w:tcPr>
          <w:p w14:paraId="68DC637D" w14:textId="77777777" w:rsidR="000447ED" w:rsidRPr="005E3B43" w:rsidRDefault="000447ED" w:rsidP="00763BCF">
            <w:pPr>
              <w:pStyle w:val="ENoteTableText"/>
            </w:pPr>
          </w:p>
        </w:tc>
        <w:tc>
          <w:tcPr>
            <w:tcW w:w="3505" w:type="pct"/>
          </w:tcPr>
          <w:p w14:paraId="69E199E2" w14:textId="77777777" w:rsidR="000447ED" w:rsidRPr="005E3B43" w:rsidRDefault="000447ED" w:rsidP="00763BCF">
            <w:pPr>
              <w:pStyle w:val="ENoteTableText"/>
            </w:pPr>
            <w:r w:rsidRPr="005E3B43">
              <w:t>rs. 2000 No.</w:t>
            </w:r>
            <w:r w:rsidR="004E6D00" w:rsidRPr="005E3B43">
              <w:t> </w:t>
            </w:r>
            <w:r w:rsidRPr="005E3B43">
              <w:t>29</w:t>
            </w:r>
          </w:p>
        </w:tc>
      </w:tr>
      <w:tr w:rsidR="000447ED" w:rsidRPr="005E3B43" w14:paraId="2F3EAC1B" w14:textId="77777777" w:rsidTr="00034EA9">
        <w:trPr>
          <w:cantSplit/>
        </w:trPr>
        <w:tc>
          <w:tcPr>
            <w:tcW w:w="1495" w:type="pct"/>
          </w:tcPr>
          <w:p w14:paraId="46463339" w14:textId="77777777" w:rsidR="000447ED" w:rsidRPr="005E3B43" w:rsidRDefault="00BB758E" w:rsidP="00763BCF">
            <w:pPr>
              <w:pStyle w:val="ENoteTableText"/>
              <w:tabs>
                <w:tab w:val="center" w:leader="dot" w:pos="2268"/>
              </w:tabs>
            </w:pPr>
            <w:r w:rsidRPr="005E3B43">
              <w:t>Part 3</w:t>
            </w:r>
            <w:r w:rsidR="000447ED" w:rsidRPr="005E3B43">
              <w:t>A</w:t>
            </w:r>
            <w:r w:rsidR="000447ED" w:rsidRPr="005E3B43">
              <w:tab/>
            </w:r>
          </w:p>
        </w:tc>
        <w:tc>
          <w:tcPr>
            <w:tcW w:w="3505" w:type="pct"/>
          </w:tcPr>
          <w:p w14:paraId="0E27FDC2" w14:textId="77777777" w:rsidR="000447ED" w:rsidRPr="005E3B43" w:rsidRDefault="000447ED" w:rsidP="00763BCF">
            <w:pPr>
              <w:pStyle w:val="ENoteTableText"/>
            </w:pPr>
            <w:r w:rsidRPr="005E3B43">
              <w:t>ad. 1992 No.</w:t>
            </w:r>
            <w:r w:rsidR="004E6D00" w:rsidRPr="005E3B43">
              <w:t> </w:t>
            </w:r>
            <w:r w:rsidRPr="005E3B43">
              <w:t>19</w:t>
            </w:r>
          </w:p>
        </w:tc>
      </w:tr>
      <w:tr w:rsidR="000447ED" w:rsidRPr="005E3B43" w14:paraId="60DD5EA9" w14:textId="77777777" w:rsidTr="00034EA9">
        <w:trPr>
          <w:cantSplit/>
        </w:trPr>
        <w:tc>
          <w:tcPr>
            <w:tcW w:w="1495" w:type="pct"/>
          </w:tcPr>
          <w:p w14:paraId="125D5D3B" w14:textId="77777777" w:rsidR="000447ED" w:rsidRPr="005E3B43" w:rsidRDefault="003C0723" w:rsidP="00763BCF">
            <w:pPr>
              <w:pStyle w:val="ENoteTableText"/>
            </w:pPr>
            <w:r w:rsidRPr="005E3B43">
              <w:rPr>
                <w:b/>
              </w:rPr>
              <w:t>Division 1</w:t>
            </w:r>
          </w:p>
        </w:tc>
        <w:tc>
          <w:tcPr>
            <w:tcW w:w="3505" w:type="pct"/>
          </w:tcPr>
          <w:p w14:paraId="22CE569C" w14:textId="77777777" w:rsidR="000447ED" w:rsidRPr="005E3B43" w:rsidRDefault="000447ED" w:rsidP="00763BCF">
            <w:pPr>
              <w:pStyle w:val="ENoteTableText"/>
            </w:pPr>
          </w:p>
        </w:tc>
      </w:tr>
      <w:tr w:rsidR="000447ED" w:rsidRPr="005E3B43" w14:paraId="46C7D834" w14:textId="77777777" w:rsidTr="00034EA9">
        <w:trPr>
          <w:cantSplit/>
        </w:trPr>
        <w:tc>
          <w:tcPr>
            <w:tcW w:w="1495" w:type="pct"/>
          </w:tcPr>
          <w:p w14:paraId="278557E2" w14:textId="77777777" w:rsidR="000447ED" w:rsidRPr="005E3B43" w:rsidRDefault="003C0723" w:rsidP="00763BCF">
            <w:pPr>
              <w:pStyle w:val="ENoteTableText"/>
              <w:tabs>
                <w:tab w:val="center" w:leader="dot" w:pos="2268"/>
              </w:tabs>
            </w:pPr>
            <w:r w:rsidRPr="005E3B43">
              <w:t>Division 1</w:t>
            </w:r>
            <w:r w:rsidR="000447ED" w:rsidRPr="005E3B43">
              <w:t xml:space="preserve"> heading</w:t>
            </w:r>
            <w:r w:rsidR="000447ED" w:rsidRPr="005E3B43">
              <w:tab/>
            </w:r>
          </w:p>
        </w:tc>
        <w:tc>
          <w:tcPr>
            <w:tcW w:w="3505" w:type="pct"/>
          </w:tcPr>
          <w:p w14:paraId="41892E73"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347647D4" w14:textId="77777777" w:rsidTr="00034EA9">
        <w:trPr>
          <w:cantSplit/>
        </w:trPr>
        <w:tc>
          <w:tcPr>
            <w:tcW w:w="1495" w:type="pct"/>
          </w:tcPr>
          <w:p w14:paraId="7BBE2857" w14:textId="77777777" w:rsidR="000447ED" w:rsidRPr="005E3B43" w:rsidRDefault="000447ED" w:rsidP="00763BCF">
            <w:pPr>
              <w:pStyle w:val="ENoteTableText"/>
              <w:tabs>
                <w:tab w:val="center" w:leader="dot" w:pos="2268"/>
              </w:tabs>
            </w:pPr>
          </w:p>
        </w:tc>
        <w:tc>
          <w:tcPr>
            <w:tcW w:w="3505" w:type="pct"/>
          </w:tcPr>
          <w:p w14:paraId="491E8F8F" w14:textId="77777777" w:rsidR="000447ED" w:rsidRPr="005E3B43" w:rsidRDefault="000447ED" w:rsidP="00763BCF">
            <w:pPr>
              <w:pStyle w:val="ENoteTableText"/>
            </w:pPr>
            <w:r w:rsidRPr="005E3B43">
              <w:t>rs F2017L01561</w:t>
            </w:r>
          </w:p>
        </w:tc>
      </w:tr>
      <w:tr w:rsidR="000447ED" w:rsidRPr="005E3B43" w14:paraId="64C6B4D3" w14:textId="77777777" w:rsidTr="00034EA9">
        <w:trPr>
          <w:cantSplit/>
        </w:trPr>
        <w:tc>
          <w:tcPr>
            <w:tcW w:w="1495" w:type="pct"/>
          </w:tcPr>
          <w:p w14:paraId="38AE528D" w14:textId="77777777" w:rsidR="000447ED" w:rsidRPr="005E3B43" w:rsidRDefault="000447ED" w:rsidP="00763BCF">
            <w:pPr>
              <w:pStyle w:val="ENoteTableText"/>
              <w:tabs>
                <w:tab w:val="center" w:leader="dot" w:pos="2268"/>
              </w:tabs>
            </w:pPr>
            <w:r w:rsidRPr="005E3B43">
              <w:t>r. 16A</w:t>
            </w:r>
            <w:r w:rsidRPr="005E3B43">
              <w:tab/>
            </w:r>
          </w:p>
        </w:tc>
        <w:tc>
          <w:tcPr>
            <w:tcW w:w="3505" w:type="pct"/>
          </w:tcPr>
          <w:p w14:paraId="12A1D074" w14:textId="77777777" w:rsidR="000447ED" w:rsidRPr="005E3B43" w:rsidRDefault="000447ED" w:rsidP="00763BCF">
            <w:pPr>
              <w:pStyle w:val="ENoteTableText"/>
            </w:pPr>
            <w:r w:rsidRPr="005E3B43">
              <w:t>ad. 1992 No.</w:t>
            </w:r>
            <w:r w:rsidR="004E6D00" w:rsidRPr="005E3B43">
              <w:t> </w:t>
            </w:r>
            <w:r w:rsidRPr="005E3B43">
              <w:t>19</w:t>
            </w:r>
          </w:p>
        </w:tc>
      </w:tr>
      <w:tr w:rsidR="000447ED" w:rsidRPr="005E3B43" w14:paraId="062F80DA" w14:textId="77777777" w:rsidTr="00034EA9">
        <w:trPr>
          <w:cantSplit/>
        </w:trPr>
        <w:tc>
          <w:tcPr>
            <w:tcW w:w="1495" w:type="pct"/>
          </w:tcPr>
          <w:p w14:paraId="3613F5D1" w14:textId="77777777" w:rsidR="000447ED" w:rsidRPr="005E3B43" w:rsidRDefault="000447ED" w:rsidP="00763BCF">
            <w:pPr>
              <w:pStyle w:val="ENoteTableText"/>
            </w:pPr>
          </w:p>
        </w:tc>
        <w:tc>
          <w:tcPr>
            <w:tcW w:w="3505" w:type="pct"/>
          </w:tcPr>
          <w:p w14:paraId="36CA33BC" w14:textId="77777777" w:rsidR="000447ED" w:rsidRPr="005E3B43" w:rsidRDefault="000447ED" w:rsidP="00763BCF">
            <w:pPr>
              <w:pStyle w:val="ENoteTableText"/>
            </w:pPr>
            <w:r w:rsidRPr="005E3B43">
              <w:t>am. 2011 No.</w:t>
            </w:r>
            <w:r w:rsidR="004E6D00" w:rsidRPr="005E3B43">
              <w:t> </w:t>
            </w:r>
            <w:r w:rsidRPr="005E3B43">
              <w:t>281</w:t>
            </w:r>
          </w:p>
        </w:tc>
      </w:tr>
      <w:tr w:rsidR="000447ED" w:rsidRPr="005E3B43" w14:paraId="7653F407" w14:textId="77777777" w:rsidTr="00034EA9">
        <w:trPr>
          <w:cantSplit/>
        </w:trPr>
        <w:tc>
          <w:tcPr>
            <w:tcW w:w="1495" w:type="pct"/>
          </w:tcPr>
          <w:p w14:paraId="676EDE98" w14:textId="77777777" w:rsidR="000447ED" w:rsidRPr="005E3B43" w:rsidRDefault="003C0723" w:rsidP="00763BCF">
            <w:pPr>
              <w:pStyle w:val="ENoteTableText"/>
              <w:rPr>
                <w:b/>
              </w:rPr>
            </w:pPr>
            <w:r w:rsidRPr="005E3B43">
              <w:rPr>
                <w:b/>
              </w:rPr>
              <w:t>Division 1</w:t>
            </w:r>
            <w:r w:rsidR="000447ED" w:rsidRPr="005E3B43">
              <w:rPr>
                <w:b/>
              </w:rPr>
              <w:t>A</w:t>
            </w:r>
          </w:p>
        </w:tc>
        <w:tc>
          <w:tcPr>
            <w:tcW w:w="3505" w:type="pct"/>
          </w:tcPr>
          <w:p w14:paraId="235E5E4A" w14:textId="77777777" w:rsidR="000447ED" w:rsidRPr="005E3B43" w:rsidRDefault="000447ED" w:rsidP="00763BCF">
            <w:pPr>
              <w:pStyle w:val="ENoteTableText"/>
            </w:pPr>
          </w:p>
        </w:tc>
      </w:tr>
      <w:tr w:rsidR="000447ED" w:rsidRPr="005E3B43" w14:paraId="470B0734" w14:textId="77777777" w:rsidTr="00034EA9">
        <w:trPr>
          <w:cantSplit/>
        </w:trPr>
        <w:tc>
          <w:tcPr>
            <w:tcW w:w="1495" w:type="pct"/>
          </w:tcPr>
          <w:p w14:paraId="0DC5A4C3" w14:textId="77777777" w:rsidR="000447ED" w:rsidRPr="005E3B43" w:rsidRDefault="003C0723" w:rsidP="00763BCF">
            <w:pPr>
              <w:pStyle w:val="ENoteTableText"/>
              <w:tabs>
                <w:tab w:val="center" w:leader="dot" w:pos="2268"/>
              </w:tabs>
            </w:pPr>
            <w:r w:rsidRPr="005E3B43">
              <w:t>Division 1</w:t>
            </w:r>
            <w:r w:rsidR="000447ED" w:rsidRPr="005E3B43">
              <w:t>A heading</w:t>
            </w:r>
            <w:r w:rsidR="000447ED" w:rsidRPr="005E3B43">
              <w:tab/>
            </w:r>
          </w:p>
        </w:tc>
        <w:tc>
          <w:tcPr>
            <w:tcW w:w="3505" w:type="pct"/>
          </w:tcPr>
          <w:p w14:paraId="724E75D3" w14:textId="77777777" w:rsidR="000447ED" w:rsidRPr="005E3B43" w:rsidRDefault="000447ED" w:rsidP="00763BCF">
            <w:pPr>
              <w:pStyle w:val="ENoteTableText"/>
            </w:pPr>
            <w:r w:rsidRPr="005E3B43">
              <w:t>ad F2017L01561</w:t>
            </w:r>
          </w:p>
        </w:tc>
      </w:tr>
      <w:tr w:rsidR="000447ED" w:rsidRPr="005E3B43" w14:paraId="0F42B3F4" w14:textId="77777777" w:rsidTr="00034EA9">
        <w:trPr>
          <w:cantSplit/>
        </w:trPr>
        <w:tc>
          <w:tcPr>
            <w:tcW w:w="1495" w:type="pct"/>
          </w:tcPr>
          <w:p w14:paraId="0D2030EF" w14:textId="77777777" w:rsidR="000447ED" w:rsidRPr="005E3B43" w:rsidRDefault="000447ED" w:rsidP="00763BCF">
            <w:pPr>
              <w:pStyle w:val="ENoteTableText"/>
              <w:tabs>
                <w:tab w:val="center" w:leader="dot" w:pos="2268"/>
              </w:tabs>
            </w:pPr>
            <w:r w:rsidRPr="005E3B43">
              <w:t>r. 16B</w:t>
            </w:r>
            <w:r w:rsidRPr="005E3B43">
              <w:tab/>
            </w:r>
          </w:p>
        </w:tc>
        <w:tc>
          <w:tcPr>
            <w:tcW w:w="3505" w:type="pct"/>
          </w:tcPr>
          <w:p w14:paraId="2701E88A" w14:textId="77777777" w:rsidR="000447ED" w:rsidRPr="005E3B43" w:rsidRDefault="000447ED" w:rsidP="00763BCF">
            <w:pPr>
              <w:pStyle w:val="ENoteTableText"/>
            </w:pPr>
            <w:r w:rsidRPr="005E3B43">
              <w:t>ad. 1992 No.</w:t>
            </w:r>
            <w:r w:rsidR="004E6D00" w:rsidRPr="005E3B43">
              <w:t> </w:t>
            </w:r>
            <w:r w:rsidRPr="005E3B43">
              <w:t>19</w:t>
            </w:r>
          </w:p>
        </w:tc>
      </w:tr>
      <w:tr w:rsidR="000447ED" w:rsidRPr="005E3B43" w14:paraId="19B3A7A2" w14:textId="77777777" w:rsidTr="00034EA9">
        <w:trPr>
          <w:cantSplit/>
        </w:trPr>
        <w:tc>
          <w:tcPr>
            <w:tcW w:w="1495" w:type="pct"/>
          </w:tcPr>
          <w:p w14:paraId="0CFE4580" w14:textId="77777777" w:rsidR="000447ED" w:rsidRPr="005E3B43" w:rsidRDefault="000447ED" w:rsidP="00763BCF">
            <w:pPr>
              <w:pStyle w:val="ENoteTableText"/>
              <w:tabs>
                <w:tab w:val="center" w:leader="dot" w:pos="2268"/>
              </w:tabs>
            </w:pPr>
          </w:p>
        </w:tc>
        <w:tc>
          <w:tcPr>
            <w:tcW w:w="3505" w:type="pct"/>
          </w:tcPr>
          <w:p w14:paraId="11BCF946" w14:textId="77777777" w:rsidR="000447ED" w:rsidRPr="005E3B43" w:rsidRDefault="000447ED" w:rsidP="00763BCF">
            <w:pPr>
              <w:pStyle w:val="ENoteTableText"/>
            </w:pPr>
            <w:r w:rsidRPr="005E3B43">
              <w:t>rep F2017L01561</w:t>
            </w:r>
          </w:p>
        </w:tc>
      </w:tr>
      <w:tr w:rsidR="000447ED" w:rsidRPr="005E3B43" w14:paraId="1A5FEDCC" w14:textId="77777777" w:rsidTr="00034EA9">
        <w:trPr>
          <w:cantSplit/>
        </w:trPr>
        <w:tc>
          <w:tcPr>
            <w:tcW w:w="1495" w:type="pct"/>
          </w:tcPr>
          <w:p w14:paraId="1C32A3FB" w14:textId="77777777" w:rsidR="000447ED" w:rsidRPr="005E3B43" w:rsidRDefault="000447ED" w:rsidP="00763BCF">
            <w:pPr>
              <w:pStyle w:val="ENoteTableText"/>
              <w:tabs>
                <w:tab w:val="center" w:leader="dot" w:pos="2268"/>
              </w:tabs>
            </w:pPr>
            <w:r w:rsidRPr="005E3B43">
              <w:t>r. 16C</w:t>
            </w:r>
            <w:r w:rsidRPr="005E3B43">
              <w:tab/>
            </w:r>
          </w:p>
        </w:tc>
        <w:tc>
          <w:tcPr>
            <w:tcW w:w="3505" w:type="pct"/>
          </w:tcPr>
          <w:p w14:paraId="5DC99B84" w14:textId="77777777" w:rsidR="000447ED" w:rsidRPr="005E3B43" w:rsidRDefault="000447ED" w:rsidP="00763BCF">
            <w:pPr>
              <w:pStyle w:val="ENoteTableText"/>
            </w:pPr>
            <w:r w:rsidRPr="005E3B43">
              <w:t>ad. 1992 No.</w:t>
            </w:r>
            <w:r w:rsidR="004E6D00" w:rsidRPr="005E3B43">
              <w:t> </w:t>
            </w:r>
            <w:r w:rsidRPr="005E3B43">
              <w:t>19</w:t>
            </w:r>
          </w:p>
        </w:tc>
      </w:tr>
      <w:tr w:rsidR="000447ED" w:rsidRPr="005E3B43" w14:paraId="458FFF87" w14:textId="77777777" w:rsidTr="00034EA9">
        <w:trPr>
          <w:cantSplit/>
        </w:trPr>
        <w:tc>
          <w:tcPr>
            <w:tcW w:w="1495" w:type="pct"/>
          </w:tcPr>
          <w:p w14:paraId="6D327297" w14:textId="77777777" w:rsidR="000447ED" w:rsidRPr="005E3B43" w:rsidRDefault="000447ED" w:rsidP="00763BCF">
            <w:pPr>
              <w:pStyle w:val="ENoteTableText"/>
            </w:pPr>
          </w:p>
        </w:tc>
        <w:tc>
          <w:tcPr>
            <w:tcW w:w="3505" w:type="pct"/>
          </w:tcPr>
          <w:p w14:paraId="4362EFA2" w14:textId="77777777" w:rsidR="000447ED" w:rsidRPr="005E3B43" w:rsidRDefault="000447ED" w:rsidP="00763BCF">
            <w:pPr>
              <w:pStyle w:val="ENoteTableText"/>
            </w:pPr>
            <w:r w:rsidRPr="005E3B43">
              <w:t>am. 1992 No.</w:t>
            </w:r>
            <w:r w:rsidR="004E6D00" w:rsidRPr="005E3B43">
              <w:t> </w:t>
            </w:r>
            <w:r w:rsidRPr="005E3B43">
              <w:t>109; 1998 No.</w:t>
            </w:r>
            <w:r w:rsidR="004E6D00" w:rsidRPr="005E3B43">
              <w:t> </w:t>
            </w:r>
            <w:r w:rsidRPr="005E3B43">
              <w:t>227; 1999 No.</w:t>
            </w:r>
            <w:r w:rsidR="004E6D00" w:rsidRPr="005E3B43">
              <w:t> </w:t>
            </w:r>
            <w:r w:rsidRPr="005E3B43">
              <w:t>62; F2016L00109</w:t>
            </w:r>
          </w:p>
        </w:tc>
      </w:tr>
      <w:tr w:rsidR="000447ED" w:rsidRPr="005E3B43" w14:paraId="585BC618" w14:textId="77777777" w:rsidTr="00034EA9">
        <w:trPr>
          <w:cantSplit/>
        </w:trPr>
        <w:tc>
          <w:tcPr>
            <w:tcW w:w="1495" w:type="pct"/>
          </w:tcPr>
          <w:p w14:paraId="404ACA8A" w14:textId="77777777" w:rsidR="000447ED" w:rsidRPr="005E3B43" w:rsidRDefault="000447ED" w:rsidP="00763BCF">
            <w:pPr>
              <w:pStyle w:val="ENoteTableText"/>
            </w:pPr>
          </w:p>
        </w:tc>
        <w:tc>
          <w:tcPr>
            <w:tcW w:w="3505" w:type="pct"/>
          </w:tcPr>
          <w:p w14:paraId="1048EA93" w14:textId="77777777" w:rsidR="000447ED" w:rsidRPr="005E3B43" w:rsidRDefault="000447ED" w:rsidP="00763BCF">
            <w:pPr>
              <w:pStyle w:val="ENoteTableText"/>
            </w:pPr>
            <w:r w:rsidRPr="005E3B43">
              <w:t>rs F2017L01561</w:t>
            </w:r>
          </w:p>
        </w:tc>
      </w:tr>
      <w:tr w:rsidR="000447ED" w:rsidRPr="005E3B43" w14:paraId="0AA53CF0" w14:textId="77777777" w:rsidTr="00034EA9">
        <w:trPr>
          <w:cantSplit/>
        </w:trPr>
        <w:tc>
          <w:tcPr>
            <w:tcW w:w="1495" w:type="pct"/>
          </w:tcPr>
          <w:p w14:paraId="53CB6581" w14:textId="77777777" w:rsidR="000447ED" w:rsidRPr="005E3B43" w:rsidRDefault="000447ED" w:rsidP="00763BCF">
            <w:pPr>
              <w:pStyle w:val="ENoteTableText"/>
            </w:pPr>
          </w:p>
        </w:tc>
        <w:tc>
          <w:tcPr>
            <w:tcW w:w="3505" w:type="pct"/>
          </w:tcPr>
          <w:p w14:paraId="3D01D716" w14:textId="77777777" w:rsidR="000447ED" w:rsidRPr="005E3B43" w:rsidRDefault="000447ED" w:rsidP="00763BCF">
            <w:pPr>
              <w:pStyle w:val="ENoteTableText"/>
            </w:pPr>
            <w:r w:rsidRPr="005E3B43">
              <w:t>am F2018L00311</w:t>
            </w:r>
          </w:p>
        </w:tc>
      </w:tr>
      <w:tr w:rsidR="000447ED" w:rsidRPr="005E3B43" w14:paraId="661C9D37" w14:textId="77777777" w:rsidTr="00034EA9">
        <w:trPr>
          <w:cantSplit/>
        </w:trPr>
        <w:tc>
          <w:tcPr>
            <w:tcW w:w="1495" w:type="pct"/>
          </w:tcPr>
          <w:p w14:paraId="001F83C8" w14:textId="77777777" w:rsidR="000447ED" w:rsidRPr="005E3B43" w:rsidRDefault="000447ED" w:rsidP="00763BCF">
            <w:pPr>
              <w:pStyle w:val="ENoteTableText"/>
              <w:tabs>
                <w:tab w:val="center" w:leader="dot" w:pos="2268"/>
              </w:tabs>
            </w:pPr>
            <w:r w:rsidRPr="005E3B43">
              <w:t>r. 16D</w:t>
            </w:r>
            <w:r w:rsidRPr="005E3B43">
              <w:tab/>
            </w:r>
          </w:p>
        </w:tc>
        <w:tc>
          <w:tcPr>
            <w:tcW w:w="3505" w:type="pct"/>
          </w:tcPr>
          <w:p w14:paraId="540F32CC" w14:textId="77777777" w:rsidR="000447ED" w:rsidRPr="005E3B43" w:rsidRDefault="000447ED" w:rsidP="00763BCF">
            <w:pPr>
              <w:pStyle w:val="ENoteTableText"/>
            </w:pPr>
            <w:r w:rsidRPr="005E3B43">
              <w:t>ad. 1992 No.</w:t>
            </w:r>
            <w:r w:rsidR="004E6D00" w:rsidRPr="005E3B43">
              <w:t> </w:t>
            </w:r>
            <w:r w:rsidRPr="005E3B43">
              <w:t>19</w:t>
            </w:r>
          </w:p>
        </w:tc>
      </w:tr>
      <w:tr w:rsidR="000447ED" w:rsidRPr="005E3B43" w14:paraId="19E4D02D" w14:textId="77777777" w:rsidTr="00034EA9">
        <w:trPr>
          <w:cantSplit/>
        </w:trPr>
        <w:tc>
          <w:tcPr>
            <w:tcW w:w="1495" w:type="pct"/>
          </w:tcPr>
          <w:p w14:paraId="72C83ECA" w14:textId="77777777" w:rsidR="000447ED" w:rsidRPr="005E3B43" w:rsidRDefault="000447ED" w:rsidP="00763BCF">
            <w:pPr>
              <w:pStyle w:val="ENoteTableText"/>
            </w:pPr>
          </w:p>
        </w:tc>
        <w:tc>
          <w:tcPr>
            <w:tcW w:w="3505" w:type="pct"/>
          </w:tcPr>
          <w:p w14:paraId="071DB63C" w14:textId="77777777" w:rsidR="000447ED" w:rsidRPr="005E3B43" w:rsidRDefault="000447ED" w:rsidP="00763BCF">
            <w:pPr>
              <w:pStyle w:val="ENoteTableText"/>
            </w:pPr>
            <w:r w:rsidRPr="005E3B43">
              <w:t>am. 1992 No.</w:t>
            </w:r>
            <w:r w:rsidR="004E6D00" w:rsidRPr="005E3B43">
              <w:t> </w:t>
            </w:r>
            <w:r w:rsidRPr="005E3B43">
              <w:t>109; 1998 No.</w:t>
            </w:r>
            <w:r w:rsidR="004E6D00" w:rsidRPr="005E3B43">
              <w:t> </w:t>
            </w:r>
            <w:r w:rsidRPr="005E3B43">
              <w:t>227; 1999 No.</w:t>
            </w:r>
            <w:r w:rsidR="004E6D00" w:rsidRPr="005E3B43">
              <w:t> </w:t>
            </w:r>
            <w:r w:rsidRPr="005E3B43">
              <w:t>62; 2003 No.</w:t>
            </w:r>
            <w:r w:rsidR="004E6D00" w:rsidRPr="005E3B43">
              <w:t> </w:t>
            </w:r>
            <w:r w:rsidRPr="005E3B43">
              <w:t>151</w:t>
            </w:r>
          </w:p>
        </w:tc>
      </w:tr>
      <w:tr w:rsidR="000447ED" w:rsidRPr="005E3B43" w14:paraId="5FD9BA79" w14:textId="77777777" w:rsidTr="00034EA9">
        <w:trPr>
          <w:cantSplit/>
        </w:trPr>
        <w:tc>
          <w:tcPr>
            <w:tcW w:w="1495" w:type="pct"/>
          </w:tcPr>
          <w:p w14:paraId="7A13008C" w14:textId="77777777" w:rsidR="000447ED" w:rsidRPr="005E3B43" w:rsidRDefault="000447ED" w:rsidP="00763BCF">
            <w:pPr>
              <w:pStyle w:val="ENoteTableText"/>
            </w:pPr>
          </w:p>
        </w:tc>
        <w:tc>
          <w:tcPr>
            <w:tcW w:w="3505" w:type="pct"/>
          </w:tcPr>
          <w:p w14:paraId="4608EF86" w14:textId="77777777" w:rsidR="000447ED" w:rsidRPr="005E3B43" w:rsidRDefault="000447ED" w:rsidP="00763BCF">
            <w:pPr>
              <w:pStyle w:val="ENoteTableText"/>
            </w:pPr>
            <w:r w:rsidRPr="005E3B43">
              <w:t>rs F2017L01561</w:t>
            </w:r>
          </w:p>
        </w:tc>
      </w:tr>
      <w:tr w:rsidR="000447ED" w:rsidRPr="005E3B43" w14:paraId="5B377823" w14:textId="77777777" w:rsidTr="00034EA9">
        <w:trPr>
          <w:cantSplit/>
        </w:trPr>
        <w:tc>
          <w:tcPr>
            <w:tcW w:w="1495" w:type="pct"/>
          </w:tcPr>
          <w:p w14:paraId="3ED3A925" w14:textId="77777777" w:rsidR="000447ED" w:rsidRPr="005E3B43" w:rsidRDefault="000447ED" w:rsidP="00763BCF">
            <w:pPr>
              <w:pStyle w:val="ENoteTableText"/>
              <w:tabs>
                <w:tab w:val="center" w:leader="dot" w:pos="2268"/>
              </w:tabs>
            </w:pPr>
            <w:r w:rsidRPr="005E3B43">
              <w:t>r 16DA</w:t>
            </w:r>
            <w:r w:rsidRPr="005E3B43">
              <w:tab/>
            </w:r>
          </w:p>
        </w:tc>
        <w:tc>
          <w:tcPr>
            <w:tcW w:w="3505" w:type="pct"/>
          </w:tcPr>
          <w:p w14:paraId="590CCD93" w14:textId="77777777" w:rsidR="000447ED" w:rsidRPr="005E3B43" w:rsidRDefault="000447ED" w:rsidP="00763BCF">
            <w:pPr>
              <w:pStyle w:val="ENoteTableText"/>
            </w:pPr>
            <w:r w:rsidRPr="005E3B43">
              <w:t>ad F2017L01561</w:t>
            </w:r>
          </w:p>
        </w:tc>
      </w:tr>
      <w:tr w:rsidR="000447ED" w:rsidRPr="005E3B43" w14:paraId="49CD6FB7" w14:textId="77777777" w:rsidTr="00034EA9">
        <w:trPr>
          <w:cantSplit/>
        </w:trPr>
        <w:tc>
          <w:tcPr>
            <w:tcW w:w="1495" w:type="pct"/>
          </w:tcPr>
          <w:p w14:paraId="7A08BA97" w14:textId="77777777" w:rsidR="000447ED" w:rsidRPr="005E3B43" w:rsidRDefault="000447ED" w:rsidP="00763BCF">
            <w:pPr>
              <w:pStyle w:val="ENoteTableText"/>
              <w:tabs>
                <w:tab w:val="center" w:leader="dot" w:pos="2268"/>
              </w:tabs>
            </w:pPr>
          </w:p>
        </w:tc>
        <w:tc>
          <w:tcPr>
            <w:tcW w:w="3505" w:type="pct"/>
          </w:tcPr>
          <w:p w14:paraId="3BEB37EE" w14:textId="77777777" w:rsidR="000447ED" w:rsidRPr="005E3B43" w:rsidRDefault="000447ED" w:rsidP="00763BCF">
            <w:pPr>
              <w:pStyle w:val="ENoteTableText"/>
            </w:pPr>
            <w:r w:rsidRPr="005E3B43">
              <w:t>am F2018L00865</w:t>
            </w:r>
          </w:p>
        </w:tc>
      </w:tr>
      <w:tr w:rsidR="000447ED" w:rsidRPr="005E3B43" w14:paraId="2D1AB5EE" w14:textId="77777777" w:rsidTr="00034EA9">
        <w:trPr>
          <w:cantSplit/>
        </w:trPr>
        <w:tc>
          <w:tcPr>
            <w:tcW w:w="1495" w:type="pct"/>
          </w:tcPr>
          <w:p w14:paraId="6943998B" w14:textId="77777777" w:rsidR="000447ED" w:rsidRPr="005E3B43" w:rsidRDefault="000447ED" w:rsidP="00763BCF">
            <w:pPr>
              <w:pStyle w:val="ENoteTableText"/>
              <w:tabs>
                <w:tab w:val="center" w:leader="dot" w:pos="2268"/>
              </w:tabs>
            </w:pPr>
            <w:r w:rsidRPr="005E3B43">
              <w:t>r. 16E</w:t>
            </w:r>
            <w:r w:rsidRPr="005E3B43">
              <w:tab/>
            </w:r>
          </w:p>
        </w:tc>
        <w:tc>
          <w:tcPr>
            <w:tcW w:w="3505" w:type="pct"/>
          </w:tcPr>
          <w:p w14:paraId="61665012" w14:textId="77777777" w:rsidR="000447ED" w:rsidRPr="005E3B43" w:rsidRDefault="000447ED" w:rsidP="00763BCF">
            <w:pPr>
              <w:pStyle w:val="ENoteTableText"/>
            </w:pPr>
            <w:r w:rsidRPr="005E3B43">
              <w:t>ad. 1992 No.</w:t>
            </w:r>
            <w:r w:rsidR="004E6D00" w:rsidRPr="005E3B43">
              <w:t> </w:t>
            </w:r>
            <w:r w:rsidRPr="005E3B43">
              <w:t>19</w:t>
            </w:r>
          </w:p>
        </w:tc>
      </w:tr>
      <w:tr w:rsidR="000447ED" w:rsidRPr="005E3B43" w14:paraId="5677E6C9" w14:textId="77777777" w:rsidTr="00034EA9">
        <w:trPr>
          <w:cantSplit/>
        </w:trPr>
        <w:tc>
          <w:tcPr>
            <w:tcW w:w="1495" w:type="pct"/>
          </w:tcPr>
          <w:p w14:paraId="74C23ACF" w14:textId="77777777" w:rsidR="000447ED" w:rsidRPr="005E3B43" w:rsidRDefault="000447ED" w:rsidP="00763BCF">
            <w:pPr>
              <w:pStyle w:val="ENoteTableText"/>
              <w:tabs>
                <w:tab w:val="center" w:leader="dot" w:pos="2268"/>
              </w:tabs>
            </w:pPr>
          </w:p>
        </w:tc>
        <w:tc>
          <w:tcPr>
            <w:tcW w:w="3505" w:type="pct"/>
          </w:tcPr>
          <w:p w14:paraId="5A56FEC0" w14:textId="77777777" w:rsidR="000447ED" w:rsidRPr="005E3B43" w:rsidRDefault="000447ED" w:rsidP="00763BCF">
            <w:pPr>
              <w:pStyle w:val="ENoteTableText"/>
            </w:pPr>
            <w:r w:rsidRPr="005E3B43">
              <w:t>am F2017L01561</w:t>
            </w:r>
          </w:p>
        </w:tc>
      </w:tr>
      <w:tr w:rsidR="000447ED" w:rsidRPr="005E3B43" w14:paraId="361CB2CB" w14:textId="77777777" w:rsidTr="00034EA9">
        <w:trPr>
          <w:cantSplit/>
        </w:trPr>
        <w:tc>
          <w:tcPr>
            <w:tcW w:w="1495" w:type="pct"/>
          </w:tcPr>
          <w:p w14:paraId="50DDA175" w14:textId="77777777" w:rsidR="000447ED" w:rsidRPr="005E3B43" w:rsidRDefault="000447ED" w:rsidP="00763BCF">
            <w:pPr>
              <w:pStyle w:val="ENoteTableText"/>
              <w:tabs>
                <w:tab w:val="center" w:leader="dot" w:pos="2268"/>
              </w:tabs>
            </w:pPr>
            <w:r w:rsidRPr="005E3B43">
              <w:t>r. 16F</w:t>
            </w:r>
            <w:r w:rsidRPr="005E3B43">
              <w:tab/>
            </w:r>
          </w:p>
        </w:tc>
        <w:tc>
          <w:tcPr>
            <w:tcW w:w="3505" w:type="pct"/>
          </w:tcPr>
          <w:p w14:paraId="6187E9AE" w14:textId="77777777" w:rsidR="000447ED" w:rsidRPr="005E3B43" w:rsidRDefault="000447ED" w:rsidP="00763BCF">
            <w:pPr>
              <w:pStyle w:val="ENoteTableText"/>
            </w:pPr>
            <w:r w:rsidRPr="005E3B43">
              <w:t>ad. 1992 No.</w:t>
            </w:r>
            <w:r w:rsidR="004E6D00" w:rsidRPr="005E3B43">
              <w:t> </w:t>
            </w:r>
            <w:r w:rsidRPr="005E3B43">
              <w:t>19</w:t>
            </w:r>
          </w:p>
        </w:tc>
      </w:tr>
      <w:tr w:rsidR="000447ED" w:rsidRPr="005E3B43" w14:paraId="54D22676" w14:textId="77777777" w:rsidTr="00034EA9">
        <w:trPr>
          <w:cantSplit/>
        </w:trPr>
        <w:tc>
          <w:tcPr>
            <w:tcW w:w="1495" w:type="pct"/>
          </w:tcPr>
          <w:p w14:paraId="0603F5E2" w14:textId="77777777" w:rsidR="000447ED" w:rsidRPr="005E3B43" w:rsidRDefault="000447ED" w:rsidP="00763BCF">
            <w:pPr>
              <w:pStyle w:val="ENoteTableText"/>
            </w:pPr>
          </w:p>
        </w:tc>
        <w:tc>
          <w:tcPr>
            <w:tcW w:w="3505" w:type="pct"/>
          </w:tcPr>
          <w:p w14:paraId="60FC944D" w14:textId="77777777" w:rsidR="000447ED" w:rsidRPr="005E3B43" w:rsidRDefault="000447ED" w:rsidP="00763BCF">
            <w:pPr>
              <w:pStyle w:val="ENoteTableText"/>
            </w:pPr>
            <w:r w:rsidRPr="005E3B43">
              <w:t>am. 1998 No.</w:t>
            </w:r>
            <w:r w:rsidR="004E6D00" w:rsidRPr="005E3B43">
              <w:t> </w:t>
            </w:r>
            <w:r w:rsidRPr="005E3B43">
              <w:t>227; 1999 No.</w:t>
            </w:r>
            <w:r w:rsidR="004E6D00" w:rsidRPr="005E3B43">
              <w:t> </w:t>
            </w:r>
            <w:r w:rsidRPr="005E3B43">
              <w:t>62; 2003 No.</w:t>
            </w:r>
            <w:r w:rsidR="004E6D00" w:rsidRPr="005E3B43">
              <w:t> </w:t>
            </w:r>
            <w:r w:rsidRPr="005E3B43">
              <w:t>151; F2017L01561</w:t>
            </w:r>
          </w:p>
        </w:tc>
      </w:tr>
      <w:tr w:rsidR="000447ED" w:rsidRPr="005E3B43" w14:paraId="0274DF04" w14:textId="77777777" w:rsidTr="00034EA9">
        <w:trPr>
          <w:cantSplit/>
        </w:trPr>
        <w:tc>
          <w:tcPr>
            <w:tcW w:w="1495" w:type="pct"/>
          </w:tcPr>
          <w:p w14:paraId="1D1A6A91" w14:textId="77777777" w:rsidR="000447ED" w:rsidRPr="005E3B43" w:rsidRDefault="000447ED" w:rsidP="00763BCF">
            <w:pPr>
              <w:pStyle w:val="ENoteTableText"/>
              <w:tabs>
                <w:tab w:val="center" w:leader="dot" w:pos="2268"/>
              </w:tabs>
            </w:pPr>
            <w:r w:rsidRPr="005E3B43">
              <w:t>r. 16G</w:t>
            </w:r>
            <w:r w:rsidRPr="005E3B43">
              <w:tab/>
            </w:r>
          </w:p>
        </w:tc>
        <w:tc>
          <w:tcPr>
            <w:tcW w:w="3505" w:type="pct"/>
          </w:tcPr>
          <w:p w14:paraId="1976ED28" w14:textId="77777777" w:rsidR="000447ED" w:rsidRPr="005E3B43" w:rsidRDefault="000447ED" w:rsidP="00763BCF">
            <w:pPr>
              <w:pStyle w:val="ENoteTableText"/>
            </w:pPr>
            <w:r w:rsidRPr="005E3B43">
              <w:t>ad. 1992 No.</w:t>
            </w:r>
            <w:r w:rsidR="004E6D00" w:rsidRPr="005E3B43">
              <w:t> </w:t>
            </w:r>
            <w:r w:rsidRPr="005E3B43">
              <w:t>109</w:t>
            </w:r>
          </w:p>
        </w:tc>
      </w:tr>
      <w:tr w:rsidR="000447ED" w:rsidRPr="005E3B43" w14:paraId="7C4C7FC7" w14:textId="77777777" w:rsidTr="00034EA9">
        <w:trPr>
          <w:cantSplit/>
        </w:trPr>
        <w:tc>
          <w:tcPr>
            <w:tcW w:w="1495" w:type="pct"/>
          </w:tcPr>
          <w:p w14:paraId="589C5ADE" w14:textId="77777777" w:rsidR="000447ED" w:rsidRPr="005E3B43" w:rsidRDefault="000447ED" w:rsidP="00763BCF">
            <w:pPr>
              <w:pStyle w:val="ENoteTableText"/>
            </w:pPr>
          </w:p>
        </w:tc>
        <w:tc>
          <w:tcPr>
            <w:tcW w:w="3505" w:type="pct"/>
          </w:tcPr>
          <w:p w14:paraId="0156DC42" w14:textId="77777777" w:rsidR="000447ED" w:rsidRPr="005E3B43" w:rsidRDefault="000447ED" w:rsidP="00763BCF">
            <w:pPr>
              <w:pStyle w:val="ENoteTableText"/>
            </w:pPr>
            <w:r w:rsidRPr="005E3B43">
              <w:t>am. 1998 No.</w:t>
            </w:r>
            <w:r w:rsidR="004E6D00" w:rsidRPr="005E3B43">
              <w:t> </w:t>
            </w:r>
            <w:r w:rsidRPr="005E3B43">
              <w:t>227; 1999 No.</w:t>
            </w:r>
            <w:r w:rsidR="004E6D00" w:rsidRPr="005E3B43">
              <w:t> </w:t>
            </w:r>
            <w:r w:rsidRPr="005E3B43">
              <w:t>62; F2017L01561</w:t>
            </w:r>
          </w:p>
        </w:tc>
      </w:tr>
      <w:tr w:rsidR="000447ED" w:rsidRPr="005E3B43" w14:paraId="331C9EE3" w14:textId="77777777" w:rsidTr="00034EA9">
        <w:trPr>
          <w:cantSplit/>
        </w:trPr>
        <w:tc>
          <w:tcPr>
            <w:tcW w:w="1495" w:type="pct"/>
          </w:tcPr>
          <w:p w14:paraId="1DCEF127" w14:textId="0E2029D9" w:rsidR="000447ED" w:rsidRPr="005E3B43" w:rsidRDefault="007C3215" w:rsidP="00763BCF">
            <w:pPr>
              <w:pStyle w:val="ENoteTableText"/>
              <w:keepNext/>
            </w:pPr>
            <w:r>
              <w:rPr>
                <w:b/>
              </w:rPr>
              <w:t>Division 2</w:t>
            </w:r>
          </w:p>
        </w:tc>
        <w:tc>
          <w:tcPr>
            <w:tcW w:w="3505" w:type="pct"/>
          </w:tcPr>
          <w:p w14:paraId="27062DED" w14:textId="77777777" w:rsidR="000447ED" w:rsidRPr="005E3B43" w:rsidRDefault="000447ED" w:rsidP="00763BCF">
            <w:pPr>
              <w:pStyle w:val="ENoteTableText"/>
            </w:pPr>
          </w:p>
        </w:tc>
      </w:tr>
      <w:tr w:rsidR="000447ED" w:rsidRPr="005E3B43" w14:paraId="29C7BD34" w14:textId="77777777" w:rsidTr="00034EA9">
        <w:trPr>
          <w:cantSplit/>
        </w:trPr>
        <w:tc>
          <w:tcPr>
            <w:tcW w:w="1495" w:type="pct"/>
          </w:tcPr>
          <w:p w14:paraId="6C08305F" w14:textId="1FDC3489" w:rsidR="000447ED" w:rsidRPr="005E3B43" w:rsidRDefault="007C3215" w:rsidP="00763BCF">
            <w:pPr>
              <w:pStyle w:val="ENoteTableText"/>
              <w:tabs>
                <w:tab w:val="center" w:leader="dot" w:pos="2268"/>
              </w:tabs>
            </w:pPr>
            <w:r>
              <w:t>Division 2</w:t>
            </w:r>
            <w:r w:rsidR="000447ED" w:rsidRPr="005E3B43">
              <w:tab/>
            </w:r>
          </w:p>
        </w:tc>
        <w:tc>
          <w:tcPr>
            <w:tcW w:w="3505" w:type="pct"/>
          </w:tcPr>
          <w:p w14:paraId="11349869"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73EEF42D" w14:textId="77777777" w:rsidTr="00034EA9">
        <w:trPr>
          <w:cantSplit/>
        </w:trPr>
        <w:tc>
          <w:tcPr>
            <w:tcW w:w="1495" w:type="pct"/>
          </w:tcPr>
          <w:p w14:paraId="6EB22B2F" w14:textId="77777777" w:rsidR="000447ED" w:rsidRPr="005E3B43" w:rsidRDefault="000447ED" w:rsidP="00763BCF">
            <w:pPr>
              <w:pStyle w:val="ENoteTableText"/>
              <w:tabs>
                <w:tab w:val="center" w:leader="dot" w:pos="2268"/>
              </w:tabs>
            </w:pPr>
            <w:r w:rsidRPr="005E3B43">
              <w:t>r 16GA</w:t>
            </w:r>
            <w:r w:rsidRPr="005E3B43">
              <w:tab/>
            </w:r>
          </w:p>
        </w:tc>
        <w:tc>
          <w:tcPr>
            <w:tcW w:w="3505" w:type="pct"/>
          </w:tcPr>
          <w:p w14:paraId="442FAC3A" w14:textId="77777777" w:rsidR="000447ED" w:rsidRPr="005E3B43" w:rsidRDefault="000447ED" w:rsidP="00763BCF">
            <w:pPr>
              <w:pStyle w:val="ENoteTableText"/>
            </w:pPr>
            <w:r w:rsidRPr="005E3B43">
              <w:t>ad No 29, 2000</w:t>
            </w:r>
          </w:p>
        </w:tc>
      </w:tr>
      <w:tr w:rsidR="000447ED" w:rsidRPr="005E3B43" w14:paraId="3CC31376" w14:textId="77777777" w:rsidTr="00034EA9">
        <w:trPr>
          <w:cantSplit/>
        </w:trPr>
        <w:tc>
          <w:tcPr>
            <w:tcW w:w="1495" w:type="pct"/>
          </w:tcPr>
          <w:p w14:paraId="311A4AA6" w14:textId="77777777" w:rsidR="000447ED" w:rsidRPr="005E3B43" w:rsidRDefault="000447ED" w:rsidP="00763BCF">
            <w:pPr>
              <w:pStyle w:val="ENoteTableText"/>
            </w:pPr>
          </w:p>
        </w:tc>
        <w:tc>
          <w:tcPr>
            <w:tcW w:w="3505" w:type="pct"/>
          </w:tcPr>
          <w:p w14:paraId="58AE9626" w14:textId="77777777" w:rsidR="000447ED" w:rsidRPr="005E3B43" w:rsidRDefault="000447ED" w:rsidP="00763BCF">
            <w:pPr>
              <w:pStyle w:val="ENoteTableText"/>
            </w:pPr>
            <w:r w:rsidRPr="005E3B43">
              <w:t>am No 151, 2003; F2018L00311</w:t>
            </w:r>
          </w:p>
        </w:tc>
      </w:tr>
      <w:tr w:rsidR="000447ED" w:rsidRPr="005E3B43" w14:paraId="44915E63" w14:textId="77777777" w:rsidTr="00034EA9">
        <w:trPr>
          <w:cantSplit/>
        </w:trPr>
        <w:tc>
          <w:tcPr>
            <w:tcW w:w="1495" w:type="pct"/>
          </w:tcPr>
          <w:p w14:paraId="22CE5FAC" w14:textId="77777777" w:rsidR="000447ED" w:rsidRPr="005E3B43" w:rsidRDefault="00BE7FAC" w:rsidP="00763BCF">
            <w:pPr>
              <w:pStyle w:val="ENoteTableText"/>
              <w:keepNext/>
            </w:pPr>
            <w:r w:rsidRPr="005E3B43">
              <w:rPr>
                <w:b/>
              </w:rPr>
              <w:t>Division 3</w:t>
            </w:r>
          </w:p>
        </w:tc>
        <w:tc>
          <w:tcPr>
            <w:tcW w:w="3505" w:type="pct"/>
          </w:tcPr>
          <w:p w14:paraId="6239201A" w14:textId="77777777" w:rsidR="000447ED" w:rsidRPr="005E3B43" w:rsidRDefault="000447ED" w:rsidP="00763BCF">
            <w:pPr>
              <w:pStyle w:val="ENoteTableText"/>
            </w:pPr>
          </w:p>
        </w:tc>
      </w:tr>
      <w:tr w:rsidR="000447ED" w:rsidRPr="005E3B43" w14:paraId="0D0C5D99" w14:textId="77777777" w:rsidTr="00034EA9">
        <w:trPr>
          <w:cantSplit/>
        </w:trPr>
        <w:tc>
          <w:tcPr>
            <w:tcW w:w="1495" w:type="pct"/>
          </w:tcPr>
          <w:p w14:paraId="17DEC6BF" w14:textId="77777777" w:rsidR="000447ED" w:rsidRPr="005E3B43" w:rsidRDefault="00BE7FAC" w:rsidP="00763BCF">
            <w:pPr>
              <w:pStyle w:val="ENoteTableText"/>
              <w:tabs>
                <w:tab w:val="center" w:leader="dot" w:pos="2268"/>
              </w:tabs>
            </w:pPr>
            <w:r w:rsidRPr="005E3B43">
              <w:t>Division 3</w:t>
            </w:r>
            <w:r w:rsidR="000447ED" w:rsidRPr="005E3B43">
              <w:tab/>
            </w:r>
          </w:p>
        </w:tc>
        <w:tc>
          <w:tcPr>
            <w:tcW w:w="3505" w:type="pct"/>
          </w:tcPr>
          <w:p w14:paraId="587B4B80" w14:textId="77777777" w:rsidR="000447ED" w:rsidRPr="005E3B43" w:rsidRDefault="000447ED" w:rsidP="00763BCF">
            <w:pPr>
              <w:pStyle w:val="ENoteTableText"/>
            </w:pPr>
            <w:r w:rsidRPr="005E3B43">
              <w:t>ad. 2011 No.</w:t>
            </w:r>
            <w:r w:rsidR="004E6D00" w:rsidRPr="005E3B43">
              <w:t> </w:t>
            </w:r>
            <w:r w:rsidRPr="005E3B43">
              <w:t>30</w:t>
            </w:r>
          </w:p>
        </w:tc>
      </w:tr>
      <w:tr w:rsidR="000447ED" w:rsidRPr="005E3B43" w14:paraId="6364A485" w14:textId="77777777" w:rsidTr="00034EA9">
        <w:trPr>
          <w:cantSplit/>
        </w:trPr>
        <w:tc>
          <w:tcPr>
            <w:tcW w:w="1495" w:type="pct"/>
          </w:tcPr>
          <w:p w14:paraId="2E6F5FDE" w14:textId="77777777" w:rsidR="000447ED" w:rsidRPr="005E3B43" w:rsidRDefault="000447ED" w:rsidP="00763BCF">
            <w:pPr>
              <w:pStyle w:val="ENoteTableText"/>
              <w:tabs>
                <w:tab w:val="center" w:leader="dot" w:pos="2268"/>
              </w:tabs>
            </w:pPr>
            <w:r w:rsidRPr="005E3B43">
              <w:t>r 16GB</w:t>
            </w:r>
            <w:r w:rsidRPr="005E3B43">
              <w:tab/>
            </w:r>
          </w:p>
        </w:tc>
        <w:tc>
          <w:tcPr>
            <w:tcW w:w="3505" w:type="pct"/>
          </w:tcPr>
          <w:p w14:paraId="01BDA4B7" w14:textId="77777777" w:rsidR="000447ED" w:rsidRPr="005E3B43" w:rsidRDefault="000447ED" w:rsidP="00763BCF">
            <w:pPr>
              <w:pStyle w:val="ENoteTableText"/>
            </w:pPr>
            <w:r w:rsidRPr="005E3B43">
              <w:t>ad No 30, 2011</w:t>
            </w:r>
          </w:p>
        </w:tc>
      </w:tr>
      <w:tr w:rsidR="000447ED" w:rsidRPr="005E3B43" w14:paraId="1EB515EA" w14:textId="77777777" w:rsidTr="00034EA9">
        <w:trPr>
          <w:cantSplit/>
        </w:trPr>
        <w:tc>
          <w:tcPr>
            <w:tcW w:w="1495" w:type="pct"/>
          </w:tcPr>
          <w:p w14:paraId="27086A52" w14:textId="77777777" w:rsidR="000447ED" w:rsidRPr="005E3B43" w:rsidRDefault="000447ED" w:rsidP="00763BCF">
            <w:pPr>
              <w:pStyle w:val="ENoteTableText"/>
            </w:pPr>
          </w:p>
        </w:tc>
        <w:tc>
          <w:tcPr>
            <w:tcW w:w="3505" w:type="pct"/>
          </w:tcPr>
          <w:p w14:paraId="08E39AC4" w14:textId="77777777" w:rsidR="000447ED" w:rsidRPr="005E3B43" w:rsidRDefault="000447ED" w:rsidP="00763BCF">
            <w:pPr>
              <w:pStyle w:val="ENoteTableText"/>
            </w:pPr>
            <w:r w:rsidRPr="005E3B43">
              <w:t>am No 281, 2011</w:t>
            </w:r>
          </w:p>
        </w:tc>
      </w:tr>
      <w:tr w:rsidR="000447ED" w:rsidRPr="005E3B43" w14:paraId="555851A2" w14:textId="77777777" w:rsidTr="00034EA9">
        <w:trPr>
          <w:cantSplit/>
        </w:trPr>
        <w:tc>
          <w:tcPr>
            <w:tcW w:w="1495" w:type="pct"/>
          </w:tcPr>
          <w:p w14:paraId="24167B24" w14:textId="77777777" w:rsidR="000447ED" w:rsidRPr="005E3B43" w:rsidRDefault="000447ED" w:rsidP="00763BCF">
            <w:pPr>
              <w:pStyle w:val="ENoteTableText"/>
            </w:pPr>
          </w:p>
        </w:tc>
        <w:tc>
          <w:tcPr>
            <w:tcW w:w="3505" w:type="pct"/>
          </w:tcPr>
          <w:p w14:paraId="0D7ED259" w14:textId="77777777" w:rsidR="000447ED" w:rsidRPr="005E3B43" w:rsidRDefault="000447ED" w:rsidP="00763BCF">
            <w:pPr>
              <w:pStyle w:val="ENoteTableText"/>
            </w:pPr>
            <w:r w:rsidRPr="005E3B43">
              <w:t>rep F2018L00311</w:t>
            </w:r>
          </w:p>
        </w:tc>
      </w:tr>
      <w:tr w:rsidR="000447ED" w:rsidRPr="005E3B43" w14:paraId="6A5880C3" w14:textId="77777777" w:rsidTr="00034EA9">
        <w:trPr>
          <w:cantSplit/>
        </w:trPr>
        <w:tc>
          <w:tcPr>
            <w:tcW w:w="1495" w:type="pct"/>
          </w:tcPr>
          <w:p w14:paraId="3840A19F" w14:textId="77777777" w:rsidR="000447ED" w:rsidRPr="005E3B43" w:rsidRDefault="000447ED" w:rsidP="00763BCF">
            <w:pPr>
              <w:pStyle w:val="ENoteTableText"/>
              <w:tabs>
                <w:tab w:val="center" w:leader="dot" w:pos="2268"/>
              </w:tabs>
            </w:pPr>
            <w:r w:rsidRPr="005E3B43">
              <w:t>r 16GC</w:t>
            </w:r>
            <w:r w:rsidRPr="005E3B43">
              <w:tab/>
            </w:r>
          </w:p>
        </w:tc>
        <w:tc>
          <w:tcPr>
            <w:tcW w:w="3505" w:type="pct"/>
          </w:tcPr>
          <w:p w14:paraId="22852E93" w14:textId="77777777" w:rsidR="000447ED" w:rsidRPr="005E3B43" w:rsidRDefault="000447ED" w:rsidP="00763BCF">
            <w:pPr>
              <w:pStyle w:val="ENoteTableText"/>
            </w:pPr>
            <w:r w:rsidRPr="005E3B43">
              <w:t>ad No 30, 2011</w:t>
            </w:r>
          </w:p>
        </w:tc>
      </w:tr>
      <w:tr w:rsidR="000447ED" w:rsidRPr="005E3B43" w14:paraId="52BCA2FB" w14:textId="77777777" w:rsidTr="00034EA9">
        <w:trPr>
          <w:cantSplit/>
        </w:trPr>
        <w:tc>
          <w:tcPr>
            <w:tcW w:w="1495" w:type="pct"/>
          </w:tcPr>
          <w:p w14:paraId="60509DFE" w14:textId="77777777" w:rsidR="000447ED" w:rsidRPr="005E3B43" w:rsidRDefault="000447ED" w:rsidP="00763BCF">
            <w:pPr>
              <w:pStyle w:val="ENoteTableText"/>
            </w:pPr>
          </w:p>
        </w:tc>
        <w:tc>
          <w:tcPr>
            <w:tcW w:w="3505" w:type="pct"/>
          </w:tcPr>
          <w:p w14:paraId="0FC9FB5C" w14:textId="77777777" w:rsidR="000447ED" w:rsidRPr="005E3B43" w:rsidRDefault="000447ED" w:rsidP="00763BCF">
            <w:pPr>
              <w:pStyle w:val="ENoteTableText"/>
            </w:pPr>
            <w:r w:rsidRPr="005E3B43">
              <w:t>am No 281, 2011</w:t>
            </w:r>
          </w:p>
        </w:tc>
      </w:tr>
      <w:tr w:rsidR="000447ED" w:rsidRPr="005E3B43" w14:paraId="4840FEF7" w14:textId="77777777" w:rsidTr="00034EA9">
        <w:trPr>
          <w:cantSplit/>
        </w:trPr>
        <w:tc>
          <w:tcPr>
            <w:tcW w:w="1495" w:type="pct"/>
          </w:tcPr>
          <w:p w14:paraId="29C5579E" w14:textId="77777777" w:rsidR="000447ED" w:rsidRPr="005E3B43" w:rsidRDefault="000447ED" w:rsidP="00763BCF">
            <w:pPr>
              <w:pStyle w:val="ENoteTableText"/>
            </w:pPr>
          </w:p>
        </w:tc>
        <w:tc>
          <w:tcPr>
            <w:tcW w:w="3505" w:type="pct"/>
          </w:tcPr>
          <w:p w14:paraId="12BF1979" w14:textId="77777777" w:rsidR="000447ED" w:rsidRPr="005E3B43" w:rsidRDefault="000447ED" w:rsidP="00763BCF">
            <w:pPr>
              <w:pStyle w:val="ENoteTableText"/>
            </w:pPr>
            <w:r w:rsidRPr="005E3B43">
              <w:t>rs F2018L00311</w:t>
            </w:r>
          </w:p>
        </w:tc>
      </w:tr>
      <w:tr w:rsidR="000447ED" w:rsidRPr="005E3B43" w14:paraId="6BC35F53" w14:textId="77777777" w:rsidTr="00034EA9">
        <w:trPr>
          <w:cantSplit/>
        </w:trPr>
        <w:tc>
          <w:tcPr>
            <w:tcW w:w="1495" w:type="pct"/>
          </w:tcPr>
          <w:p w14:paraId="00821291" w14:textId="77777777" w:rsidR="000447ED" w:rsidRPr="005E3B43" w:rsidRDefault="000447ED" w:rsidP="00763BCF">
            <w:pPr>
              <w:pStyle w:val="ENoteTableText"/>
              <w:tabs>
                <w:tab w:val="center" w:leader="dot" w:pos="2268"/>
              </w:tabs>
            </w:pPr>
            <w:r w:rsidRPr="005E3B43">
              <w:t>r 16GD</w:t>
            </w:r>
            <w:r w:rsidRPr="005E3B43">
              <w:tab/>
            </w:r>
          </w:p>
        </w:tc>
        <w:tc>
          <w:tcPr>
            <w:tcW w:w="3505" w:type="pct"/>
          </w:tcPr>
          <w:p w14:paraId="190EE712" w14:textId="77777777" w:rsidR="000447ED" w:rsidRPr="005E3B43" w:rsidRDefault="000447ED" w:rsidP="00763BCF">
            <w:pPr>
              <w:pStyle w:val="ENoteTableText"/>
            </w:pPr>
            <w:r w:rsidRPr="005E3B43">
              <w:t>ad No 30, 2011</w:t>
            </w:r>
          </w:p>
        </w:tc>
      </w:tr>
      <w:tr w:rsidR="000447ED" w:rsidRPr="005E3B43" w14:paraId="13C1956F" w14:textId="77777777" w:rsidTr="00034EA9">
        <w:trPr>
          <w:cantSplit/>
        </w:trPr>
        <w:tc>
          <w:tcPr>
            <w:tcW w:w="1495" w:type="pct"/>
          </w:tcPr>
          <w:p w14:paraId="412CEAED" w14:textId="77777777" w:rsidR="000447ED" w:rsidRPr="005E3B43" w:rsidRDefault="000447ED" w:rsidP="00763BCF">
            <w:pPr>
              <w:pStyle w:val="ENoteTableText"/>
            </w:pPr>
          </w:p>
        </w:tc>
        <w:tc>
          <w:tcPr>
            <w:tcW w:w="3505" w:type="pct"/>
          </w:tcPr>
          <w:p w14:paraId="733D5A64" w14:textId="77777777" w:rsidR="000447ED" w:rsidRPr="005E3B43" w:rsidRDefault="000447ED" w:rsidP="00763BCF">
            <w:pPr>
              <w:pStyle w:val="ENoteTableText"/>
            </w:pPr>
            <w:r w:rsidRPr="005E3B43">
              <w:t>am No 281, 2011</w:t>
            </w:r>
          </w:p>
        </w:tc>
      </w:tr>
      <w:tr w:rsidR="000447ED" w:rsidRPr="005E3B43" w14:paraId="728AF054" w14:textId="77777777" w:rsidTr="00034EA9">
        <w:trPr>
          <w:cantSplit/>
        </w:trPr>
        <w:tc>
          <w:tcPr>
            <w:tcW w:w="1495" w:type="pct"/>
          </w:tcPr>
          <w:p w14:paraId="048E7468" w14:textId="77777777" w:rsidR="000447ED" w:rsidRPr="005E3B43" w:rsidRDefault="000447ED" w:rsidP="00763BCF">
            <w:pPr>
              <w:pStyle w:val="ENoteTableText"/>
            </w:pPr>
          </w:p>
        </w:tc>
        <w:tc>
          <w:tcPr>
            <w:tcW w:w="3505" w:type="pct"/>
          </w:tcPr>
          <w:p w14:paraId="68146C48" w14:textId="77777777" w:rsidR="000447ED" w:rsidRPr="005E3B43" w:rsidRDefault="000447ED" w:rsidP="00763BCF">
            <w:pPr>
              <w:pStyle w:val="ENoteTableText"/>
            </w:pPr>
            <w:r w:rsidRPr="005E3B43">
              <w:t>rs F2018L00311</w:t>
            </w:r>
          </w:p>
        </w:tc>
      </w:tr>
      <w:tr w:rsidR="000447ED" w:rsidRPr="005E3B43" w14:paraId="740C1FC8" w14:textId="77777777" w:rsidTr="00034EA9">
        <w:trPr>
          <w:cantSplit/>
        </w:trPr>
        <w:tc>
          <w:tcPr>
            <w:tcW w:w="1495" w:type="pct"/>
          </w:tcPr>
          <w:p w14:paraId="5732AF1D" w14:textId="77777777" w:rsidR="000447ED" w:rsidRPr="005E3B43" w:rsidRDefault="000447ED" w:rsidP="00763BCF">
            <w:pPr>
              <w:pStyle w:val="ENoteTableText"/>
              <w:tabs>
                <w:tab w:val="center" w:leader="dot" w:pos="2268"/>
              </w:tabs>
            </w:pPr>
            <w:r w:rsidRPr="005E3B43">
              <w:t>r 16GE</w:t>
            </w:r>
            <w:r w:rsidRPr="005E3B43">
              <w:tab/>
            </w:r>
          </w:p>
        </w:tc>
        <w:tc>
          <w:tcPr>
            <w:tcW w:w="3505" w:type="pct"/>
          </w:tcPr>
          <w:p w14:paraId="4E74DB41" w14:textId="77777777" w:rsidR="000447ED" w:rsidRPr="005E3B43" w:rsidRDefault="000447ED" w:rsidP="00763BCF">
            <w:pPr>
              <w:pStyle w:val="ENoteTableText"/>
            </w:pPr>
            <w:r w:rsidRPr="005E3B43">
              <w:t>ad No 30, 2011</w:t>
            </w:r>
          </w:p>
        </w:tc>
      </w:tr>
      <w:tr w:rsidR="000447ED" w:rsidRPr="005E3B43" w14:paraId="148B99B1" w14:textId="77777777" w:rsidTr="00034EA9">
        <w:trPr>
          <w:cantSplit/>
        </w:trPr>
        <w:tc>
          <w:tcPr>
            <w:tcW w:w="1495" w:type="pct"/>
          </w:tcPr>
          <w:p w14:paraId="102C2D53" w14:textId="77777777" w:rsidR="000447ED" w:rsidRPr="005E3B43" w:rsidRDefault="000447ED" w:rsidP="00763BCF">
            <w:pPr>
              <w:pStyle w:val="ENoteTableText"/>
              <w:tabs>
                <w:tab w:val="center" w:leader="dot" w:pos="2268"/>
              </w:tabs>
            </w:pPr>
          </w:p>
        </w:tc>
        <w:tc>
          <w:tcPr>
            <w:tcW w:w="3505" w:type="pct"/>
          </w:tcPr>
          <w:p w14:paraId="09D391C3" w14:textId="77777777" w:rsidR="000447ED" w:rsidRPr="005E3B43" w:rsidRDefault="000447ED" w:rsidP="00763BCF">
            <w:pPr>
              <w:pStyle w:val="ENoteTableText"/>
            </w:pPr>
            <w:r w:rsidRPr="005E3B43">
              <w:t>am F2018L00311</w:t>
            </w:r>
          </w:p>
        </w:tc>
      </w:tr>
      <w:tr w:rsidR="000447ED" w:rsidRPr="005E3B43" w14:paraId="06EF1333" w14:textId="77777777" w:rsidTr="00034EA9">
        <w:trPr>
          <w:cantSplit/>
        </w:trPr>
        <w:tc>
          <w:tcPr>
            <w:tcW w:w="1495" w:type="pct"/>
          </w:tcPr>
          <w:p w14:paraId="4A93E973" w14:textId="77777777" w:rsidR="000447ED" w:rsidRPr="005E3B43" w:rsidRDefault="000447ED" w:rsidP="00763BCF">
            <w:pPr>
              <w:pStyle w:val="ENoteTableText"/>
              <w:tabs>
                <w:tab w:val="center" w:leader="dot" w:pos="2268"/>
              </w:tabs>
            </w:pPr>
            <w:r w:rsidRPr="005E3B43">
              <w:t>r 16GF</w:t>
            </w:r>
            <w:r w:rsidRPr="005E3B43">
              <w:tab/>
            </w:r>
          </w:p>
        </w:tc>
        <w:tc>
          <w:tcPr>
            <w:tcW w:w="3505" w:type="pct"/>
          </w:tcPr>
          <w:p w14:paraId="276FCBED" w14:textId="77777777" w:rsidR="000447ED" w:rsidRPr="005E3B43" w:rsidRDefault="000447ED" w:rsidP="00763BCF">
            <w:pPr>
              <w:pStyle w:val="ENoteTableText"/>
            </w:pPr>
            <w:r w:rsidRPr="005E3B43">
              <w:t>ad No 30, 2011</w:t>
            </w:r>
          </w:p>
        </w:tc>
      </w:tr>
      <w:tr w:rsidR="000447ED" w:rsidRPr="005E3B43" w14:paraId="348391EE" w14:textId="77777777" w:rsidTr="00034EA9">
        <w:trPr>
          <w:cantSplit/>
        </w:trPr>
        <w:tc>
          <w:tcPr>
            <w:tcW w:w="1495" w:type="pct"/>
          </w:tcPr>
          <w:p w14:paraId="1CC045AD" w14:textId="77777777" w:rsidR="000447ED" w:rsidRPr="005E3B43" w:rsidRDefault="000447ED" w:rsidP="00763BCF">
            <w:pPr>
              <w:pStyle w:val="ENoteTableText"/>
              <w:tabs>
                <w:tab w:val="center" w:leader="dot" w:pos="2268"/>
              </w:tabs>
            </w:pPr>
          </w:p>
        </w:tc>
        <w:tc>
          <w:tcPr>
            <w:tcW w:w="3505" w:type="pct"/>
          </w:tcPr>
          <w:p w14:paraId="173DAF87" w14:textId="77777777" w:rsidR="000447ED" w:rsidRPr="005E3B43" w:rsidRDefault="000447ED" w:rsidP="00763BCF">
            <w:pPr>
              <w:pStyle w:val="ENoteTableText"/>
            </w:pPr>
            <w:r w:rsidRPr="005E3B43">
              <w:t>am F2018L00311</w:t>
            </w:r>
          </w:p>
        </w:tc>
      </w:tr>
      <w:tr w:rsidR="000447ED" w:rsidRPr="005E3B43" w14:paraId="68D6479A" w14:textId="77777777" w:rsidTr="00034EA9">
        <w:trPr>
          <w:cantSplit/>
        </w:trPr>
        <w:tc>
          <w:tcPr>
            <w:tcW w:w="1495" w:type="pct"/>
          </w:tcPr>
          <w:p w14:paraId="368220AB" w14:textId="77777777" w:rsidR="000447ED" w:rsidRPr="005E3B43" w:rsidRDefault="00BE7FAC" w:rsidP="00763BCF">
            <w:pPr>
              <w:pStyle w:val="ENoteTableText"/>
              <w:tabs>
                <w:tab w:val="center" w:leader="dot" w:pos="2268"/>
              </w:tabs>
              <w:rPr>
                <w:b/>
              </w:rPr>
            </w:pPr>
            <w:r w:rsidRPr="005E3B43">
              <w:rPr>
                <w:b/>
              </w:rPr>
              <w:t>Division 4</w:t>
            </w:r>
          </w:p>
        </w:tc>
        <w:tc>
          <w:tcPr>
            <w:tcW w:w="3505" w:type="pct"/>
          </w:tcPr>
          <w:p w14:paraId="392C055B" w14:textId="77777777" w:rsidR="000447ED" w:rsidRPr="005E3B43" w:rsidRDefault="000447ED" w:rsidP="00763BCF">
            <w:pPr>
              <w:pStyle w:val="ENoteTableText"/>
            </w:pPr>
          </w:p>
        </w:tc>
      </w:tr>
      <w:tr w:rsidR="000447ED" w:rsidRPr="005E3B43" w14:paraId="36C02023" w14:textId="77777777" w:rsidTr="00034EA9">
        <w:trPr>
          <w:cantSplit/>
        </w:trPr>
        <w:tc>
          <w:tcPr>
            <w:tcW w:w="1495" w:type="pct"/>
          </w:tcPr>
          <w:p w14:paraId="7F85CD16" w14:textId="77777777" w:rsidR="000447ED" w:rsidRPr="005E3B43" w:rsidRDefault="00BE7FAC" w:rsidP="00763BCF">
            <w:pPr>
              <w:pStyle w:val="ENoteTableText"/>
              <w:tabs>
                <w:tab w:val="center" w:leader="dot" w:pos="2268"/>
              </w:tabs>
            </w:pPr>
            <w:r w:rsidRPr="005E3B43">
              <w:t>Division 4</w:t>
            </w:r>
            <w:r w:rsidR="000447ED" w:rsidRPr="005E3B43">
              <w:t xml:space="preserve"> heading</w:t>
            </w:r>
            <w:r w:rsidR="000447ED" w:rsidRPr="005E3B43">
              <w:tab/>
            </w:r>
          </w:p>
        </w:tc>
        <w:tc>
          <w:tcPr>
            <w:tcW w:w="3505" w:type="pct"/>
          </w:tcPr>
          <w:p w14:paraId="4B19C5A5" w14:textId="77777777" w:rsidR="000447ED" w:rsidRPr="005E3B43" w:rsidRDefault="000447ED" w:rsidP="00763BCF">
            <w:pPr>
              <w:pStyle w:val="ENoteTableText"/>
            </w:pPr>
            <w:r w:rsidRPr="005E3B43">
              <w:t>am F2018L01434</w:t>
            </w:r>
          </w:p>
        </w:tc>
      </w:tr>
      <w:tr w:rsidR="000447ED" w:rsidRPr="005E3B43" w14:paraId="6906C6EF" w14:textId="77777777" w:rsidTr="00034EA9">
        <w:trPr>
          <w:cantSplit/>
        </w:trPr>
        <w:tc>
          <w:tcPr>
            <w:tcW w:w="1495" w:type="pct"/>
          </w:tcPr>
          <w:p w14:paraId="039DA65A" w14:textId="77777777" w:rsidR="000447ED" w:rsidRPr="005E3B43" w:rsidRDefault="00BE7FAC" w:rsidP="00763BCF">
            <w:pPr>
              <w:pStyle w:val="ENoteTableText"/>
              <w:tabs>
                <w:tab w:val="center" w:leader="dot" w:pos="2268"/>
              </w:tabs>
            </w:pPr>
            <w:r w:rsidRPr="005E3B43">
              <w:t>Division 4</w:t>
            </w:r>
            <w:r w:rsidR="000447ED" w:rsidRPr="005E3B43">
              <w:tab/>
            </w:r>
          </w:p>
        </w:tc>
        <w:tc>
          <w:tcPr>
            <w:tcW w:w="3505" w:type="pct"/>
          </w:tcPr>
          <w:p w14:paraId="520370AF" w14:textId="77777777" w:rsidR="000447ED" w:rsidRPr="005E3B43" w:rsidRDefault="000447ED" w:rsidP="00763BCF">
            <w:pPr>
              <w:pStyle w:val="ENoteTableText"/>
            </w:pPr>
            <w:r w:rsidRPr="005E3B43">
              <w:t>ad F2018L00311</w:t>
            </w:r>
          </w:p>
        </w:tc>
      </w:tr>
      <w:tr w:rsidR="000447ED" w:rsidRPr="005E3B43" w14:paraId="4F5A9633" w14:textId="77777777" w:rsidTr="00034EA9">
        <w:trPr>
          <w:cantSplit/>
        </w:trPr>
        <w:tc>
          <w:tcPr>
            <w:tcW w:w="1495" w:type="pct"/>
          </w:tcPr>
          <w:p w14:paraId="440AA51A" w14:textId="77777777" w:rsidR="000447ED" w:rsidRPr="005E3B43" w:rsidRDefault="000447ED" w:rsidP="00763BCF">
            <w:pPr>
              <w:pStyle w:val="ENoteTableText"/>
              <w:tabs>
                <w:tab w:val="center" w:leader="dot" w:pos="2268"/>
              </w:tabs>
            </w:pPr>
            <w:r w:rsidRPr="005E3B43">
              <w:t>r 16GG</w:t>
            </w:r>
            <w:r w:rsidRPr="005E3B43">
              <w:tab/>
            </w:r>
          </w:p>
        </w:tc>
        <w:tc>
          <w:tcPr>
            <w:tcW w:w="3505" w:type="pct"/>
          </w:tcPr>
          <w:p w14:paraId="676CADF6" w14:textId="77777777" w:rsidR="000447ED" w:rsidRPr="005E3B43" w:rsidRDefault="000447ED" w:rsidP="00763BCF">
            <w:pPr>
              <w:pStyle w:val="ENoteTableText"/>
            </w:pPr>
            <w:r w:rsidRPr="005E3B43">
              <w:t>ad F2018L00311</w:t>
            </w:r>
          </w:p>
        </w:tc>
      </w:tr>
      <w:tr w:rsidR="00831048" w:rsidRPr="005E3B43" w14:paraId="032384DC" w14:textId="77777777" w:rsidTr="00034EA9">
        <w:trPr>
          <w:cantSplit/>
        </w:trPr>
        <w:tc>
          <w:tcPr>
            <w:tcW w:w="1495" w:type="pct"/>
          </w:tcPr>
          <w:p w14:paraId="61410894" w14:textId="77777777" w:rsidR="00831048" w:rsidRPr="005E3B43" w:rsidRDefault="00831048" w:rsidP="00763BCF">
            <w:pPr>
              <w:pStyle w:val="ENoteTableText"/>
              <w:tabs>
                <w:tab w:val="center" w:leader="dot" w:pos="2268"/>
              </w:tabs>
            </w:pPr>
          </w:p>
        </w:tc>
        <w:tc>
          <w:tcPr>
            <w:tcW w:w="3505" w:type="pct"/>
          </w:tcPr>
          <w:p w14:paraId="16F2FEBE" w14:textId="77777777" w:rsidR="00831048" w:rsidRPr="005E3B43" w:rsidRDefault="00831048" w:rsidP="00763BCF">
            <w:pPr>
              <w:pStyle w:val="ENoteTableText"/>
            </w:pPr>
            <w:r w:rsidRPr="005E3B43">
              <w:t>am F2019L00396</w:t>
            </w:r>
          </w:p>
        </w:tc>
      </w:tr>
      <w:tr w:rsidR="000447ED" w:rsidRPr="005E3B43" w14:paraId="1EDB50C6" w14:textId="77777777" w:rsidTr="00034EA9">
        <w:trPr>
          <w:cantSplit/>
        </w:trPr>
        <w:tc>
          <w:tcPr>
            <w:tcW w:w="1495" w:type="pct"/>
          </w:tcPr>
          <w:p w14:paraId="04ACAA7E" w14:textId="77777777" w:rsidR="000447ED" w:rsidRPr="005E3B43" w:rsidRDefault="000447ED" w:rsidP="00763BCF">
            <w:pPr>
              <w:pStyle w:val="ENoteTableText"/>
              <w:tabs>
                <w:tab w:val="center" w:leader="dot" w:pos="2268"/>
              </w:tabs>
            </w:pPr>
            <w:r w:rsidRPr="005E3B43">
              <w:t>r 16GH</w:t>
            </w:r>
            <w:r w:rsidRPr="005E3B43">
              <w:tab/>
            </w:r>
          </w:p>
        </w:tc>
        <w:tc>
          <w:tcPr>
            <w:tcW w:w="3505" w:type="pct"/>
          </w:tcPr>
          <w:p w14:paraId="6F154A96" w14:textId="77777777" w:rsidR="000447ED" w:rsidRPr="005E3B43" w:rsidRDefault="000447ED" w:rsidP="00763BCF">
            <w:pPr>
              <w:pStyle w:val="ENoteTableText"/>
            </w:pPr>
            <w:r w:rsidRPr="005E3B43">
              <w:t>ad F2018L00311</w:t>
            </w:r>
          </w:p>
        </w:tc>
      </w:tr>
      <w:tr w:rsidR="000447ED" w:rsidRPr="005E3B43" w14:paraId="65FA2CE2" w14:textId="77777777" w:rsidTr="00034EA9">
        <w:trPr>
          <w:cantSplit/>
        </w:trPr>
        <w:tc>
          <w:tcPr>
            <w:tcW w:w="1495" w:type="pct"/>
          </w:tcPr>
          <w:p w14:paraId="5EB68309" w14:textId="77777777" w:rsidR="000447ED" w:rsidRPr="005E3B43" w:rsidRDefault="000447ED" w:rsidP="00763BCF">
            <w:pPr>
              <w:pStyle w:val="ENoteTableText"/>
              <w:tabs>
                <w:tab w:val="center" w:leader="dot" w:pos="2268"/>
              </w:tabs>
            </w:pPr>
          </w:p>
        </w:tc>
        <w:tc>
          <w:tcPr>
            <w:tcW w:w="3505" w:type="pct"/>
          </w:tcPr>
          <w:p w14:paraId="1ACDD893" w14:textId="77777777" w:rsidR="000447ED" w:rsidRPr="005E3B43" w:rsidRDefault="000447ED" w:rsidP="00763BCF">
            <w:pPr>
              <w:pStyle w:val="ENoteTableText"/>
            </w:pPr>
            <w:r w:rsidRPr="005E3B43">
              <w:t>am F2018L01434</w:t>
            </w:r>
            <w:r w:rsidR="00831048" w:rsidRPr="005E3B43">
              <w:t>; F2019L00396</w:t>
            </w:r>
          </w:p>
        </w:tc>
      </w:tr>
      <w:tr w:rsidR="000447ED" w:rsidRPr="005E3B43" w14:paraId="3F69F1C6" w14:textId="77777777" w:rsidTr="00034EA9">
        <w:trPr>
          <w:cantSplit/>
        </w:trPr>
        <w:tc>
          <w:tcPr>
            <w:tcW w:w="1495" w:type="pct"/>
          </w:tcPr>
          <w:p w14:paraId="4998BDC2" w14:textId="77777777" w:rsidR="000447ED" w:rsidRPr="005E3B43" w:rsidRDefault="000447ED" w:rsidP="00763BCF">
            <w:pPr>
              <w:pStyle w:val="ENoteTableText"/>
              <w:tabs>
                <w:tab w:val="center" w:leader="dot" w:pos="2268"/>
              </w:tabs>
            </w:pPr>
            <w:r w:rsidRPr="005E3B43">
              <w:t>r 16GI</w:t>
            </w:r>
            <w:r w:rsidRPr="005E3B43">
              <w:tab/>
            </w:r>
          </w:p>
        </w:tc>
        <w:tc>
          <w:tcPr>
            <w:tcW w:w="3505" w:type="pct"/>
          </w:tcPr>
          <w:p w14:paraId="03B48549" w14:textId="77777777" w:rsidR="000447ED" w:rsidRPr="005E3B43" w:rsidRDefault="000447ED" w:rsidP="00763BCF">
            <w:pPr>
              <w:pStyle w:val="ENoteTableText"/>
            </w:pPr>
            <w:r w:rsidRPr="005E3B43">
              <w:t>ad F2018L00311</w:t>
            </w:r>
          </w:p>
        </w:tc>
      </w:tr>
      <w:tr w:rsidR="004E1992" w:rsidRPr="005E3B43" w14:paraId="2F01C3DD" w14:textId="77777777" w:rsidTr="00034EA9">
        <w:trPr>
          <w:cantSplit/>
        </w:trPr>
        <w:tc>
          <w:tcPr>
            <w:tcW w:w="1495" w:type="pct"/>
          </w:tcPr>
          <w:p w14:paraId="5E6D11DE" w14:textId="77777777" w:rsidR="004E1992" w:rsidRPr="005E3B43" w:rsidRDefault="004E1992" w:rsidP="00763BCF">
            <w:pPr>
              <w:pStyle w:val="ENoteTableText"/>
              <w:tabs>
                <w:tab w:val="center" w:leader="dot" w:pos="2268"/>
              </w:tabs>
            </w:pPr>
          </w:p>
        </w:tc>
        <w:tc>
          <w:tcPr>
            <w:tcW w:w="3505" w:type="pct"/>
          </w:tcPr>
          <w:p w14:paraId="195362CB" w14:textId="77777777" w:rsidR="004E1992" w:rsidRPr="005E3B43" w:rsidRDefault="004E1992" w:rsidP="00763BCF">
            <w:pPr>
              <w:pStyle w:val="ENoteTableText"/>
            </w:pPr>
            <w:r w:rsidRPr="005E3B43">
              <w:t>am F2020L00946</w:t>
            </w:r>
          </w:p>
        </w:tc>
      </w:tr>
      <w:tr w:rsidR="002461D7" w:rsidRPr="005E3B43" w14:paraId="4439DE95" w14:textId="77777777" w:rsidTr="00034EA9">
        <w:trPr>
          <w:cantSplit/>
        </w:trPr>
        <w:tc>
          <w:tcPr>
            <w:tcW w:w="1495" w:type="pct"/>
          </w:tcPr>
          <w:p w14:paraId="71C3BF03" w14:textId="77777777" w:rsidR="002461D7" w:rsidRPr="005E3B43" w:rsidRDefault="002461D7" w:rsidP="00763BCF">
            <w:pPr>
              <w:pStyle w:val="ENoteTableText"/>
              <w:tabs>
                <w:tab w:val="center" w:leader="dot" w:pos="2268"/>
              </w:tabs>
            </w:pPr>
            <w:r w:rsidRPr="005E3B43">
              <w:t>r 16GIA</w:t>
            </w:r>
            <w:r w:rsidRPr="005E3B43">
              <w:tab/>
            </w:r>
          </w:p>
        </w:tc>
        <w:tc>
          <w:tcPr>
            <w:tcW w:w="3505" w:type="pct"/>
          </w:tcPr>
          <w:p w14:paraId="7D83CC19" w14:textId="77777777" w:rsidR="002461D7" w:rsidRPr="005E3B43" w:rsidRDefault="002461D7" w:rsidP="00763BCF">
            <w:pPr>
              <w:pStyle w:val="ENoteTableText"/>
            </w:pPr>
            <w:r w:rsidRPr="005E3B43">
              <w:t>ad F2021L00450</w:t>
            </w:r>
          </w:p>
        </w:tc>
      </w:tr>
      <w:tr w:rsidR="000447ED" w:rsidRPr="005E3B43" w14:paraId="072EBEFE" w14:textId="77777777" w:rsidTr="00034EA9">
        <w:trPr>
          <w:cantSplit/>
        </w:trPr>
        <w:tc>
          <w:tcPr>
            <w:tcW w:w="1495" w:type="pct"/>
          </w:tcPr>
          <w:p w14:paraId="7B1CCB93" w14:textId="77777777" w:rsidR="000447ED" w:rsidRPr="005E3B43" w:rsidRDefault="000447ED" w:rsidP="00763BCF">
            <w:pPr>
              <w:pStyle w:val="ENoteTableText"/>
              <w:tabs>
                <w:tab w:val="center" w:leader="dot" w:pos="2268"/>
              </w:tabs>
            </w:pPr>
            <w:r w:rsidRPr="005E3B43">
              <w:t>r 16GJ</w:t>
            </w:r>
            <w:r w:rsidRPr="005E3B43">
              <w:tab/>
            </w:r>
          </w:p>
        </w:tc>
        <w:tc>
          <w:tcPr>
            <w:tcW w:w="3505" w:type="pct"/>
          </w:tcPr>
          <w:p w14:paraId="1ABAB141" w14:textId="77777777" w:rsidR="000447ED" w:rsidRPr="005E3B43" w:rsidRDefault="000447ED" w:rsidP="00763BCF">
            <w:pPr>
              <w:pStyle w:val="ENoteTableText"/>
            </w:pPr>
            <w:r w:rsidRPr="005E3B43">
              <w:t>ad F2018L00311</w:t>
            </w:r>
          </w:p>
        </w:tc>
      </w:tr>
      <w:tr w:rsidR="000447ED" w:rsidRPr="005E3B43" w14:paraId="6721AC7B" w14:textId="77777777" w:rsidTr="00034EA9">
        <w:trPr>
          <w:cantSplit/>
        </w:trPr>
        <w:tc>
          <w:tcPr>
            <w:tcW w:w="1495" w:type="pct"/>
          </w:tcPr>
          <w:p w14:paraId="2761C87A" w14:textId="77777777" w:rsidR="000447ED" w:rsidRPr="005E3B43" w:rsidRDefault="000447ED" w:rsidP="00763BCF">
            <w:pPr>
              <w:pStyle w:val="ENoteTableText"/>
              <w:tabs>
                <w:tab w:val="center" w:leader="dot" w:pos="2268"/>
              </w:tabs>
            </w:pPr>
          </w:p>
        </w:tc>
        <w:tc>
          <w:tcPr>
            <w:tcW w:w="3505" w:type="pct"/>
          </w:tcPr>
          <w:p w14:paraId="6D54BE9E" w14:textId="77777777" w:rsidR="000447ED" w:rsidRPr="005E3B43" w:rsidRDefault="000447ED" w:rsidP="00763BCF">
            <w:pPr>
              <w:pStyle w:val="ENoteTableText"/>
            </w:pPr>
            <w:r w:rsidRPr="005E3B43">
              <w:t>am F2018L01434</w:t>
            </w:r>
          </w:p>
        </w:tc>
      </w:tr>
      <w:tr w:rsidR="000447ED" w:rsidRPr="005E3B43" w14:paraId="34C24A59" w14:textId="77777777" w:rsidTr="00034EA9">
        <w:trPr>
          <w:cantSplit/>
        </w:trPr>
        <w:tc>
          <w:tcPr>
            <w:tcW w:w="1495" w:type="pct"/>
          </w:tcPr>
          <w:p w14:paraId="11E2D8E8" w14:textId="77777777" w:rsidR="000447ED" w:rsidRPr="005E3B43" w:rsidRDefault="00BB758E" w:rsidP="00763BCF">
            <w:pPr>
              <w:pStyle w:val="ENoteTableText"/>
            </w:pPr>
            <w:r w:rsidRPr="005E3B43">
              <w:rPr>
                <w:b/>
              </w:rPr>
              <w:t>Part 3</w:t>
            </w:r>
            <w:r w:rsidR="000447ED" w:rsidRPr="005E3B43">
              <w:rPr>
                <w:b/>
              </w:rPr>
              <w:t>B</w:t>
            </w:r>
          </w:p>
        </w:tc>
        <w:tc>
          <w:tcPr>
            <w:tcW w:w="3505" w:type="pct"/>
          </w:tcPr>
          <w:p w14:paraId="46A7F72D" w14:textId="77777777" w:rsidR="000447ED" w:rsidRPr="005E3B43" w:rsidRDefault="000447ED" w:rsidP="00763BCF">
            <w:pPr>
              <w:pStyle w:val="ENoteTableText"/>
            </w:pPr>
          </w:p>
        </w:tc>
      </w:tr>
      <w:tr w:rsidR="000447ED" w:rsidRPr="005E3B43" w14:paraId="7A59639C" w14:textId="77777777" w:rsidTr="00034EA9">
        <w:trPr>
          <w:cantSplit/>
        </w:trPr>
        <w:tc>
          <w:tcPr>
            <w:tcW w:w="1495" w:type="pct"/>
          </w:tcPr>
          <w:p w14:paraId="1CAAF95F" w14:textId="77777777" w:rsidR="000447ED" w:rsidRPr="005E3B43" w:rsidRDefault="00BB758E" w:rsidP="00763BCF">
            <w:pPr>
              <w:pStyle w:val="ENoteTableText"/>
              <w:tabs>
                <w:tab w:val="center" w:leader="dot" w:pos="2268"/>
              </w:tabs>
            </w:pPr>
            <w:r w:rsidRPr="005E3B43">
              <w:t>Part 3</w:t>
            </w:r>
            <w:r w:rsidR="000447ED" w:rsidRPr="005E3B43">
              <w:t>B</w:t>
            </w:r>
            <w:r w:rsidR="000447ED" w:rsidRPr="005E3B43">
              <w:tab/>
            </w:r>
          </w:p>
        </w:tc>
        <w:tc>
          <w:tcPr>
            <w:tcW w:w="3505" w:type="pct"/>
          </w:tcPr>
          <w:p w14:paraId="662D7E76" w14:textId="77777777" w:rsidR="000447ED" w:rsidRPr="005E3B43" w:rsidRDefault="000447ED" w:rsidP="00763BCF">
            <w:pPr>
              <w:pStyle w:val="ENoteTableText"/>
            </w:pPr>
            <w:r w:rsidRPr="005E3B43">
              <w:t>ad 1997 No 399</w:t>
            </w:r>
          </w:p>
        </w:tc>
      </w:tr>
      <w:tr w:rsidR="000447ED" w:rsidRPr="005E3B43" w14:paraId="72C67593" w14:textId="77777777" w:rsidTr="00034EA9">
        <w:trPr>
          <w:cantSplit/>
        </w:trPr>
        <w:tc>
          <w:tcPr>
            <w:tcW w:w="1495" w:type="pct"/>
          </w:tcPr>
          <w:p w14:paraId="524F4358" w14:textId="77777777" w:rsidR="000447ED" w:rsidRPr="005E3B43" w:rsidRDefault="000447ED" w:rsidP="00763BCF">
            <w:pPr>
              <w:pStyle w:val="ENoteTableText"/>
              <w:tabs>
                <w:tab w:val="center" w:leader="dot" w:pos="2268"/>
              </w:tabs>
            </w:pPr>
          </w:p>
        </w:tc>
        <w:tc>
          <w:tcPr>
            <w:tcW w:w="3505" w:type="pct"/>
          </w:tcPr>
          <w:p w14:paraId="45D7618F" w14:textId="77777777" w:rsidR="000447ED" w:rsidRPr="005E3B43" w:rsidRDefault="000447ED" w:rsidP="00763BCF">
            <w:pPr>
              <w:pStyle w:val="ENoteTableText"/>
            </w:pPr>
            <w:r w:rsidRPr="005E3B43">
              <w:t>rs F2017L00853</w:t>
            </w:r>
          </w:p>
        </w:tc>
      </w:tr>
      <w:tr w:rsidR="000447ED" w:rsidRPr="005E3B43" w14:paraId="78C8EA40" w14:textId="77777777" w:rsidTr="00034EA9">
        <w:trPr>
          <w:cantSplit/>
        </w:trPr>
        <w:tc>
          <w:tcPr>
            <w:tcW w:w="1495" w:type="pct"/>
          </w:tcPr>
          <w:p w14:paraId="4299854F" w14:textId="77777777" w:rsidR="000447ED" w:rsidRPr="005E3B43" w:rsidRDefault="000447ED" w:rsidP="00763BCF">
            <w:pPr>
              <w:pStyle w:val="ENoteTableText"/>
              <w:tabs>
                <w:tab w:val="center" w:leader="dot" w:pos="2268"/>
              </w:tabs>
            </w:pPr>
            <w:r w:rsidRPr="005E3B43">
              <w:t>r 16H</w:t>
            </w:r>
            <w:r w:rsidRPr="005E3B43">
              <w:tab/>
            </w:r>
          </w:p>
        </w:tc>
        <w:tc>
          <w:tcPr>
            <w:tcW w:w="3505" w:type="pct"/>
          </w:tcPr>
          <w:p w14:paraId="169BF9C0" w14:textId="77777777" w:rsidR="000447ED" w:rsidRPr="005E3B43" w:rsidRDefault="000447ED" w:rsidP="00763BCF">
            <w:pPr>
              <w:pStyle w:val="ENoteTableText"/>
            </w:pPr>
            <w:r w:rsidRPr="005E3B43">
              <w:t>ad 1997 No 399</w:t>
            </w:r>
          </w:p>
        </w:tc>
      </w:tr>
      <w:tr w:rsidR="000447ED" w:rsidRPr="005E3B43" w14:paraId="0F3B77DC" w14:textId="77777777" w:rsidTr="00034EA9">
        <w:trPr>
          <w:cantSplit/>
        </w:trPr>
        <w:tc>
          <w:tcPr>
            <w:tcW w:w="1495" w:type="pct"/>
          </w:tcPr>
          <w:p w14:paraId="4ECF9F99" w14:textId="77777777" w:rsidR="000447ED" w:rsidRPr="005E3B43" w:rsidRDefault="000447ED" w:rsidP="00763BCF">
            <w:pPr>
              <w:pStyle w:val="ENoteTableText"/>
            </w:pPr>
          </w:p>
        </w:tc>
        <w:tc>
          <w:tcPr>
            <w:tcW w:w="3505" w:type="pct"/>
          </w:tcPr>
          <w:p w14:paraId="0E2A7E49" w14:textId="77777777" w:rsidR="000447ED" w:rsidRPr="005E3B43" w:rsidRDefault="000447ED" w:rsidP="00763BCF">
            <w:pPr>
              <w:pStyle w:val="ENoteTableText"/>
            </w:pPr>
            <w:r w:rsidRPr="005E3B43">
              <w:t>am 1999 No 62</w:t>
            </w:r>
          </w:p>
        </w:tc>
      </w:tr>
      <w:tr w:rsidR="000447ED" w:rsidRPr="005E3B43" w14:paraId="40787B3E" w14:textId="77777777" w:rsidTr="00034EA9">
        <w:trPr>
          <w:cantSplit/>
        </w:trPr>
        <w:tc>
          <w:tcPr>
            <w:tcW w:w="1495" w:type="pct"/>
          </w:tcPr>
          <w:p w14:paraId="7771F561" w14:textId="77777777" w:rsidR="000447ED" w:rsidRPr="005E3B43" w:rsidRDefault="000447ED" w:rsidP="00763BCF">
            <w:pPr>
              <w:pStyle w:val="ENoteTableText"/>
            </w:pPr>
          </w:p>
        </w:tc>
        <w:tc>
          <w:tcPr>
            <w:tcW w:w="3505" w:type="pct"/>
          </w:tcPr>
          <w:p w14:paraId="69DF8EDC" w14:textId="77777777" w:rsidR="000447ED" w:rsidRPr="005E3B43" w:rsidRDefault="000447ED" w:rsidP="00763BCF">
            <w:pPr>
              <w:pStyle w:val="ENoteTableText"/>
            </w:pPr>
            <w:r w:rsidRPr="005E3B43">
              <w:t>rs F2017L00853</w:t>
            </w:r>
          </w:p>
        </w:tc>
      </w:tr>
      <w:tr w:rsidR="000447ED" w:rsidRPr="005E3B43" w14:paraId="2CD20F21" w14:textId="77777777" w:rsidTr="00034EA9">
        <w:trPr>
          <w:cantSplit/>
        </w:trPr>
        <w:tc>
          <w:tcPr>
            <w:tcW w:w="1495" w:type="pct"/>
          </w:tcPr>
          <w:p w14:paraId="691CD3E3" w14:textId="77777777" w:rsidR="000447ED" w:rsidRPr="005E3B43" w:rsidRDefault="000447ED" w:rsidP="00763BCF">
            <w:pPr>
              <w:pStyle w:val="ENoteTableText"/>
              <w:tabs>
                <w:tab w:val="center" w:leader="dot" w:pos="2268"/>
              </w:tabs>
            </w:pPr>
            <w:r w:rsidRPr="005E3B43">
              <w:t>r 16I</w:t>
            </w:r>
            <w:r w:rsidRPr="005E3B43">
              <w:tab/>
            </w:r>
          </w:p>
        </w:tc>
        <w:tc>
          <w:tcPr>
            <w:tcW w:w="3505" w:type="pct"/>
          </w:tcPr>
          <w:p w14:paraId="11F9878E" w14:textId="77777777" w:rsidR="000447ED" w:rsidRPr="005E3B43" w:rsidRDefault="000447ED" w:rsidP="00763BCF">
            <w:pPr>
              <w:pStyle w:val="ENoteTableText"/>
            </w:pPr>
            <w:r w:rsidRPr="005E3B43">
              <w:t>ad 1997 No 399</w:t>
            </w:r>
          </w:p>
        </w:tc>
      </w:tr>
      <w:tr w:rsidR="000447ED" w:rsidRPr="005E3B43" w14:paraId="1945C273" w14:textId="77777777" w:rsidTr="00034EA9">
        <w:trPr>
          <w:cantSplit/>
        </w:trPr>
        <w:tc>
          <w:tcPr>
            <w:tcW w:w="1495" w:type="pct"/>
          </w:tcPr>
          <w:p w14:paraId="119B35D7" w14:textId="77777777" w:rsidR="000447ED" w:rsidRPr="005E3B43" w:rsidRDefault="000447ED" w:rsidP="00763BCF">
            <w:pPr>
              <w:pStyle w:val="ENoteTableText"/>
            </w:pPr>
          </w:p>
        </w:tc>
        <w:tc>
          <w:tcPr>
            <w:tcW w:w="3505" w:type="pct"/>
          </w:tcPr>
          <w:p w14:paraId="0A6D2C36" w14:textId="77777777" w:rsidR="000447ED" w:rsidRPr="005E3B43" w:rsidRDefault="000447ED" w:rsidP="00763BCF">
            <w:pPr>
              <w:pStyle w:val="ENoteTableText"/>
            </w:pPr>
            <w:r w:rsidRPr="005E3B43">
              <w:t>am 1999 No 62</w:t>
            </w:r>
          </w:p>
        </w:tc>
      </w:tr>
      <w:tr w:rsidR="000447ED" w:rsidRPr="005E3B43" w14:paraId="4461727F" w14:textId="77777777" w:rsidTr="00034EA9">
        <w:trPr>
          <w:cantSplit/>
        </w:trPr>
        <w:tc>
          <w:tcPr>
            <w:tcW w:w="1495" w:type="pct"/>
          </w:tcPr>
          <w:p w14:paraId="24417D69" w14:textId="77777777" w:rsidR="000447ED" w:rsidRPr="005E3B43" w:rsidRDefault="000447ED" w:rsidP="00763BCF">
            <w:pPr>
              <w:pStyle w:val="ENoteTableText"/>
            </w:pPr>
          </w:p>
        </w:tc>
        <w:tc>
          <w:tcPr>
            <w:tcW w:w="3505" w:type="pct"/>
          </w:tcPr>
          <w:p w14:paraId="7F74F17E" w14:textId="77777777" w:rsidR="000447ED" w:rsidRPr="005E3B43" w:rsidRDefault="000447ED" w:rsidP="00763BCF">
            <w:pPr>
              <w:pStyle w:val="ENoteTableText"/>
            </w:pPr>
            <w:r w:rsidRPr="005E3B43">
              <w:t>rep F2017L00853</w:t>
            </w:r>
          </w:p>
        </w:tc>
      </w:tr>
      <w:tr w:rsidR="000447ED" w:rsidRPr="005E3B43" w14:paraId="726543CB" w14:textId="77777777" w:rsidTr="00034EA9">
        <w:trPr>
          <w:cantSplit/>
        </w:trPr>
        <w:tc>
          <w:tcPr>
            <w:tcW w:w="1495" w:type="pct"/>
          </w:tcPr>
          <w:p w14:paraId="69725890" w14:textId="77777777" w:rsidR="000447ED" w:rsidRPr="005E3B43" w:rsidRDefault="000447ED" w:rsidP="00763BCF">
            <w:pPr>
              <w:pStyle w:val="ENoteTableText"/>
              <w:tabs>
                <w:tab w:val="center" w:leader="dot" w:pos="2268"/>
              </w:tabs>
            </w:pPr>
            <w:r w:rsidRPr="005E3B43">
              <w:t>r 16J</w:t>
            </w:r>
            <w:r w:rsidRPr="005E3B43">
              <w:tab/>
            </w:r>
          </w:p>
        </w:tc>
        <w:tc>
          <w:tcPr>
            <w:tcW w:w="3505" w:type="pct"/>
          </w:tcPr>
          <w:p w14:paraId="62BC71C3" w14:textId="77777777" w:rsidR="000447ED" w:rsidRPr="005E3B43" w:rsidRDefault="000447ED" w:rsidP="00763BCF">
            <w:pPr>
              <w:pStyle w:val="ENoteTableText"/>
            </w:pPr>
            <w:r w:rsidRPr="005E3B43">
              <w:t>ad 1997 No 399</w:t>
            </w:r>
          </w:p>
        </w:tc>
      </w:tr>
      <w:tr w:rsidR="000447ED" w:rsidRPr="005E3B43" w14:paraId="0CFFCBBC" w14:textId="77777777" w:rsidTr="00034EA9">
        <w:trPr>
          <w:cantSplit/>
        </w:trPr>
        <w:tc>
          <w:tcPr>
            <w:tcW w:w="1495" w:type="pct"/>
          </w:tcPr>
          <w:p w14:paraId="31E6A98D" w14:textId="77777777" w:rsidR="000447ED" w:rsidRPr="005E3B43" w:rsidRDefault="000447ED" w:rsidP="00763BCF">
            <w:pPr>
              <w:pStyle w:val="ENoteTableText"/>
            </w:pPr>
          </w:p>
        </w:tc>
        <w:tc>
          <w:tcPr>
            <w:tcW w:w="3505" w:type="pct"/>
          </w:tcPr>
          <w:p w14:paraId="790341CA" w14:textId="77777777" w:rsidR="000447ED" w:rsidRPr="005E3B43" w:rsidRDefault="000447ED" w:rsidP="00763BCF">
            <w:pPr>
              <w:pStyle w:val="ENoteTableText"/>
            </w:pPr>
            <w:r w:rsidRPr="005E3B43">
              <w:t>am 1999 No 62; F2016L00109</w:t>
            </w:r>
          </w:p>
        </w:tc>
      </w:tr>
      <w:tr w:rsidR="000447ED" w:rsidRPr="005E3B43" w14:paraId="38751E78" w14:textId="77777777" w:rsidTr="00034EA9">
        <w:trPr>
          <w:cantSplit/>
        </w:trPr>
        <w:tc>
          <w:tcPr>
            <w:tcW w:w="1495" w:type="pct"/>
          </w:tcPr>
          <w:p w14:paraId="4C37ADC2" w14:textId="77777777" w:rsidR="000447ED" w:rsidRPr="005E3B43" w:rsidRDefault="000447ED" w:rsidP="00763BCF">
            <w:pPr>
              <w:pStyle w:val="ENoteTableText"/>
            </w:pPr>
          </w:p>
        </w:tc>
        <w:tc>
          <w:tcPr>
            <w:tcW w:w="3505" w:type="pct"/>
          </w:tcPr>
          <w:p w14:paraId="0F11C9BD" w14:textId="77777777" w:rsidR="000447ED" w:rsidRPr="005E3B43" w:rsidRDefault="000447ED" w:rsidP="00763BCF">
            <w:pPr>
              <w:pStyle w:val="ENoteTableText"/>
            </w:pPr>
            <w:r w:rsidRPr="005E3B43">
              <w:t>rs F2017L00853</w:t>
            </w:r>
          </w:p>
        </w:tc>
      </w:tr>
      <w:tr w:rsidR="000447ED" w:rsidRPr="005E3B43" w14:paraId="05EB9F9A" w14:textId="77777777" w:rsidTr="00034EA9">
        <w:trPr>
          <w:cantSplit/>
        </w:trPr>
        <w:tc>
          <w:tcPr>
            <w:tcW w:w="1495" w:type="pct"/>
          </w:tcPr>
          <w:p w14:paraId="001EAE06" w14:textId="77777777" w:rsidR="000447ED" w:rsidRPr="005E3B43" w:rsidRDefault="000447ED" w:rsidP="00763BCF">
            <w:pPr>
              <w:pStyle w:val="ENoteTableText"/>
            </w:pPr>
          </w:p>
        </w:tc>
        <w:tc>
          <w:tcPr>
            <w:tcW w:w="3505" w:type="pct"/>
          </w:tcPr>
          <w:p w14:paraId="3406DA25" w14:textId="77777777" w:rsidR="000447ED" w:rsidRPr="005E3B43" w:rsidRDefault="000447ED" w:rsidP="00763BCF">
            <w:pPr>
              <w:pStyle w:val="ENoteTableText"/>
            </w:pPr>
            <w:r w:rsidRPr="005E3B43">
              <w:t>am F2018L00311</w:t>
            </w:r>
          </w:p>
        </w:tc>
      </w:tr>
      <w:tr w:rsidR="000447ED" w:rsidRPr="005E3B43" w14:paraId="3535A186" w14:textId="77777777" w:rsidTr="00034EA9">
        <w:trPr>
          <w:cantSplit/>
        </w:trPr>
        <w:tc>
          <w:tcPr>
            <w:tcW w:w="1495" w:type="pct"/>
          </w:tcPr>
          <w:p w14:paraId="3B5696DC" w14:textId="77777777" w:rsidR="000447ED" w:rsidRPr="005E3B43" w:rsidRDefault="000447ED" w:rsidP="00763BCF">
            <w:pPr>
              <w:pStyle w:val="ENoteTableText"/>
              <w:tabs>
                <w:tab w:val="center" w:leader="dot" w:pos="2268"/>
              </w:tabs>
            </w:pPr>
            <w:r w:rsidRPr="005E3B43">
              <w:t>r 16K</w:t>
            </w:r>
            <w:r w:rsidRPr="005E3B43">
              <w:tab/>
            </w:r>
          </w:p>
        </w:tc>
        <w:tc>
          <w:tcPr>
            <w:tcW w:w="3505" w:type="pct"/>
          </w:tcPr>
          <w:p w14:paraId="03E64D71" w14:textId="77777777" w:rsidR="000447ED" w:rsidRPr="005E3B43" w:rsidRDefault="000447ED" w:rsidP="00763BCF">
            <w:pPr>
              <w:pStyle w:val="ENoteTableText"/>
            </w:pPr>
            <w:r w:rsidRPr="005E3B43">
              <w:t>ad F2017L00853</w:t>
            </w:r>
          </w:p>
        </w:tc>
      </w:tr>
      <w:tr w:rsidR="000447ED" w:rsidRPr="005E3B43" w14:paraId="4DD8CD75" w14:textId="77777777" w:rsidTr="00034EA9">
        <w:trPr>
          <w:cantSplit/>
        </w:trPr>
        <w:tc>
          <w:tcPr>
            <w:tcW w:w="1495" w:type="pct"/>
          </w:tcPr>
          <w:p w14:paraId="6582515E" w14:textId="77777777" w:rsidR="000447ED" w:rsidRPr="005E3B43" w:rsidRDefault="000447ED" w:rsidP="00763BCF">
            <w:pPr>
              <w:pStyle w:val="ENoteTableText"/>
              <w:tabs>
                <w:tab w:val="center" w:leader="dot" w:pos="2268"/>
              </w:tabs>
            </w:pPr>
            <w:r w:rsidRPr="005E3B43">
              <w:t>r 16L</w:t>
            </w:r>
            <w:r w:rsidRPr="005E3B43">
              <w:tab/>
            </w:r>
          </w:p>
        </w:tc>
        <w:tc>
          <w:tcPr>
            <w:tcW w:w="3505" w:type="pct"/>
          </w:tcPr>
          <w:p w14:paraId="53786C1F" w14:textId="77777777" w:rsidR="000447ED" w:rsidRPr="005E3B43" w:rsidRDefault="000447ED" w:rsidP="00763BCF">
            <w:pPr>
              <w:pStyle w:val="ENoteTableText"/>
            </w:pPr>
            <w:r w:rsidRPr="005E3B43">
              <w:t>ad F2017L00853</w:t>
            </w:r>
          </w:p>
        </w:tc>
      </w:tr>
      <w:tr w:rsidR="000447ED" w:rsidRPr="005E3B43" w14:paraId="440BF4C9" w14:textId="77777777" w:rsidTr="00034EA9">
        <w:trPr>
          <w:cantSplit/>
        </w:trPr>
        <w:tc>
          <w:tcPr>
            <w:tcW w:w="1495" w:type="pct"/>
          </w:tcPr>
          <w:p w14:paraId="114EE66F" w14:textId="77777777" w:rsidR="000447ED" w:rsidRPr="005E3B43" w:rsidRDefault="000447ED" w:rsidP="00763BCF">
            <w:pPr>
              <w:pStyle w:val="ENoteTableText"/>
              <w:tabs>
                <w:tab w:val="center" w:leader="dot" w:pos="2268"/>
              </w:tabs>
            </w:pPr>
            <w:r w:rsidRPr="005E3B43">
              <w:t>r 16M</w:t>
            </w:r>
            <w:r w:rsidRPr="005E3B43">
              <w:tab/>
            </w:r>
          </w:p>
        </w:tc>
        <w:tc>
          <w:tcPr>
            <w:tcW w:w="3505" w:type="pct"/>
          </w:tcPr>
          <w:p w14:paraId="1AEAFD81" w14:textId="77777777" w:rsidR="000447ED" w:rsidRPr="005E3B43" w:rsidRDefault="000447ED" w:rsidP="00763BCF">
            <w:pPr>
              <w:pStyle w:val="ENoteTableText"/>
            </w:pPr>
            <w:r w:rsidRPr="005E3B43">
              <w:t>ad F2017L00853</w:t>
            </w:r>
          </w:p>
        </w:tc>
      </w:tr>
      <w:tr w:rsidR="00BE6888" w:rsidRPr="005E3B43" w14:paraId="156053A1" w14:textId="77777777" w:rsidTr="00034EA9">
        <w:trPr>
          <w:cantSplit/>
        </w:trPr>
        <w:tc>
          <w:tcPr>
            <w:tcW w:w="1495" w:type="pct"/>
          </w:tcPr>
          <w:p w14:paraId="19BAA255" w14:textId="77777777" w:rsidR="00BE6888" w:rsidRPr="005E3B43" w:rsidRDefault="00BE6888" w:rsidP="00763BCF">
            <w:pPr>
              <w:pStyle w:val="ENoteTableText"/>
              <w:tabs>
                <w:tab w:val="center" w:leader="dot" w:pos="2268"/>
              </w:tabs>
            </w:pPr>
          </w:p>
        </w:tc>
        <w:tc>
          <w:tcPr>
            <w:tcW w:w="3505" w:type="pct"/>
          </w:tcPr>
          <w:p w14:paraId="27F24C28" w14:textId="77777777" w:rsidR="00BE6888" w:rsidRPr="005E3B43" w:rsidRDefault="00BE6888" w:rsidP="00763BCF">
            <w:pPr>
              <w:pStyle w:val="ENoteTableText"/>
            </w:pPr>
            <w:r w:rsidRPr="005E3B43">
              <w:t>am F2019L01660</w:t>
            </w:r>
          </w:p>
        </w:tc>
      </w:tr>
      <w:tr w:rsidR="000447ED" w:rsidRPr="005E3B43" w14:paraId="5901D0D8" w14:textId="77777777" w:rsidTr="00034EA9">
        <w:trPr>
          <w:cantSplit/>
        </w:trPr>
        <w:tc>
          <w:tcPr>
            <w:tcW w:w="1495" w:type="pct"/>
          </w:tcPr>
          <w:p w14:paraId="2B750AB3" w14:textId="77777777" w:rsidR="000447ED" w:rsidRPr="005E3B43" w:rsidRDefault="00BB758E" w:rsidP="00763BCF">
            <w:pPr>
              <w:pStyle w:val="ENoteTableText"/>
              <w:keepNext/>
              <w:rPr>
                <w:b/>
              </w:rPr>
            </w:pPr>
            <w:r w:rsidRPr="005E3B43">
              <w:rPr>
                <w:b/>
              </w:rPr>
              <w:t>Part 3</w:t>
            </w:r>
            <w:r w:rsidR="000447ED" w:rsidRPr="005E3B43">
              <w:rPr>
                <w:b/>
              </w:rPr>
              <w:t>C</w:t>
            </w:r>
          </w:p>
        </w:tc>
        <w:tc>
          <w:tcPr>
            <w:tcW w:w="3505" w:type="pct"/>
          </w:tcPr>
          <w:p w14:paraId="44284C3E" w14:textId="77777777" w:rsidR="000447ED" w:rsidRPr="005E3B43" w:rsidRDefault="000447ED" w:rsidP="00763BCF">
            <w:pPr>
              <w:pStyle w:val="ENoteTableText"/>
            </w:pPr>
          </w:p>
        </w:tc>
      </w:tr>
      <w:tr w:rsidR="000447ED" w:rsidRPr="005E3B43" w14:paraId="2FBA9207" w14:textId="77777777" w:rsidTr="00034EA9">
        <w:trPr>
          <w:cantSplit/>
        </w:trPr>
        <w:tc>
          <w:tcPr>
            <w:tcW w:w="1495" w:type="pct"/>
          </w:tcPr>
          <w:p w14:paraId="35B5E502" w14:textId="77777777" w:rsidR="000447ED" w:rsidRPr="005E3B43" w:rsidRDefault="00BB758E" w:rsidP="00763BCF">
            <w:pPr>
              <w:pStyle w:val="ENoteTableText"/>
              <w:tabs>
                <w:tab w:val="center" w:leader="dot" w:pos="2268"/>
              </w:tabs>
            </w:pPr>
            <w:r w:rsidRPr="005E3B43">
              <w:t>Part 3</w:t>
            </w:r>
            <w:r w:rsidR="000447ED" w:rsidRPr="005E3B43">
              <w:t>C</w:t>
            </w:r>
            <w:r w:rsidR="000447ED" w:rsidRPr="005E3B43">
              <w:tab/>
            </w:r>
          </w:p>
        </w:tc>
        <w:tc>
          <w:tcPr>
            <w:tcW w:w="3505" w:type="pct"/>
          </w:tcPr>
          <w:p w14:paraId="1E1F3ED7" w14:textId="77777777" w:rsidR="000447ED" w:rsidRPr="005E3B43" w:rsidRDefault="000447ED" w:rsidP="00763BCF">
            <w:pPr>
              <w:pStyle w:val="ENoteTableText"/>
            </w:pPr>
            <w:r w:rsidRPr="005E3B43">
              <w:t>ad F2017L00853</w:t>
            </w:r>
          </w:p>
        </w:tc>
      </w:tr>
      <w:tr w:rsidR="000447ED" w:rsidRPr="005E3B43" w14:paraId="1B708350" w14:textId="77777777" w:rsidTr="00034EA9">
        <w:trPr>
          <w:cantSplit/>
        </w:trPr>
        <w:tc>
          <w:tcPr>
            <w:tcW w:w="1495" w:type="pct"/>
          </w:tcPr>
          <w:p w14:paraId="2380DACE" w14:textId="77777777" w:rsidR="000447ED" w:rsidRPr="005E3B43" w:rsidRDefault="000447ED" w:rsidP="00763BCF">
            <w:pPr>
              <w:pStyle w:val="ENoteTableText"/>
              <w:tabs>
                <w:tab w:val="center" w:leader="dot" w:pos="2268"/>
              </w:tabs>
            </w:pPr>
            <w:r w:rsidRPr="005E3B43">
              <w:t>r 16P</w:t>
            </w:r>
            <w:r w:rsidRPr="005E3B43">
              <w:tab/>
            </w:r>
          </w:p>
        </w:tc>
        <w:tc>
          <w:tcPr>
            <w:tcW w:w="3505" w:type="pct"/>
          </w:tcPr>
          <w:p w14:paraId="2156D685" w14:textId="77777777" w:rsidR="000447ED" w:rsidRPr="005E3B43" w:rsidRDefault="000447ED" w:rsidP="00763BCF">
            <w:pPr>
              <w:pStyle w:val="ENoteTableText"/>
            </w:pPr>
            <w:r w:rsidRPr="005E3B43">
              <w:t>ad F2017L00853</w:t>
            </w:r>
          </w:p>
        </w:tc>
      </w:tr>
      <w:tr w:rsidR="000447ED" w:rsidRPr="005E3B43" w14:paraId="3DD332AD" w14:textId="77777777" w:rsidTr="00034EA9">
        <w:trPr>
          <w:cantSplit/>
        </w:trPr>
        <w:tc>
          <w:tcPr>
            <w:tcW w:w="1495" w:type="pct"/>
          </w:tcPr>
          <w:p w14:paraId="466A431E" w14:textId="77777777" w:rsidR="000447ED" w:rsidRPr="005E3B43" w:rsidRDefault="000447ED" w:rsidP="00763BCF">
            <w:pPr>
              <w:pStyle w:val="ENoteTableText"/>
              <w:tabs>
                <w:tab w:val="center" w:leader="dot" w:pos="2268"/>
              </w:tabs>
            </w:pPr>
            <w:r w:rsidRPr="005E3B43">
              <w:t>r 16Q</w:t>
            </w:r>
            <w:r w:rsidRPr="005E3B43">
              <w:tab/>
            </w:r>
          </w:p>
        </w:tc>
        <w:tc>
          <w:tcPr>
            <w:tcW w:w="3505" w:type="pct"/>
          </w:tcPr>
          <w:p w14:paraId="759DB26F" w14:textId="77777777" w:rsidR="000447ED" w:rsidRPr="005E3B43" w:rsidRDefault="000447ED" w:rsidP="00763BCF">
            <w:pPr>
              <w:pStyle w:val="ENoteTableText"/>
            </w:pPr>
            <w:r w:rsidRPr="005E3B43">
              <w:t>ad F2017L00853</w:t>
            </w:r>
          </w:p>
        </w:tc>
      </w:tr>
      <w:tr w:rsidR="000447ED" w:rsidRPr="005E3B43" w14:paraId="7110F010" w14:textId="77777777" w:rsidTr="00034EA9">
        <w:trPr>
          <w:cantSplit/>
        </w:trPr>
        <w:tc>
          <w:tcPr>
            <w:tcW w:w="1495" w:type="pct"/>
          </w:tcPr>
          <w:p w14:paraId="6A4BF57B" w14:textId="77777777" w:rsidR="000447ED" w:rsidRPr="005E3B43" w:rsidRDefault="000447ED" w:rsidP="00763BCF">
            <w:pPr>
              <w:pStyle w:val="ENoteTableText"/>
              <w:tabs>
                <w:tab w:val="center" w:leader="dot" w:pos="2268"/>
              </w:tabs>
            </w:pPr>
            <w:r w:rsidRPr="005E3B43">
              <w:t>r 16R</w:t>
            </w:r>
            <w:r w:rsidRPr="005E3B43">
              <w:tab/>
            </w:r>
          </w:p>
        </w:tc>
        <w:tc>
          <w:tcPr>
            <w:tcW w:w="3505" w:type="pct"/>
          </w:tcPr>
          <w:p w14:paraId="7F155954" w14:textId="77777777" w:rsidR="000447ED" w:rsidRPr="005E3B43" w:rsidRDefault="000447ED" w:rsidP="00763BCF">
            <w:pPr>
              <w:pStyle w:val="ENoteTableText"/>
            </w:pPr>
            <w:r w:rsidRPr="005E3B43">
              <w:t>ad F2017L00853</w:t>
            </w:r>
          </w:p>
        </w:tc>
      </w:tr>
      <w:tr w:rsidR="000447ED" w:rsidRPr="005E3B43" w14:paraId="59E50BB7" w14:textId="77777777" w:rsidTr="00034EA9">
        <w:trPr>
          <w:cantSplit/>
        </w:trPr>
        <w:tc>
          <w:tcPr>
            <w:tcW w:w="1495" w:type="pct"/>
          </w:tcPr>
          <w:p w14:paraId="31D67C17" w14:textId="77777777" w:rsidR="000447ED" w:rsidRPr="005E3B43" w:rsidRDefault="000447ED" w:rsidP="00763BCF">
            <w:pPr>
              <w:pStyle w:val="ENoteTableText"/>
              <w:tabs>
                <w:tab w:val="center" w:leader="dot" w:pos="2268"/>
              </w:tabs>
            </w:pPr>
          </w:p>
        </w:tc>
        <w:tc>
          <w:tcPr>
            <w:tcW w:w="3505" w:type="pct"/>
          </w:tcPr>
          <w:p w14:paraId="0C6355F3" w14:textId="77777777" w:rsidR="000447ED" w:rsidRPr="005E3B43" w:rsidRDefault="000447ED" w:rsidP="00763BCF">
            <w:pPr>
              <w:pStyle w:val="ENoteTableText"/>
            </w:pPr>
            <w:r w:rsidRPr="005E3B43">
              <w:t>am F2018L00311</w:t>
            </w:r>
          </w:p>
        </w:tc>
      </w:tr>
      <w:tr w:rsidR="000447ED" w:rsidRPr="005E3B43" w14:paraId="3E523073" w14:textId="77777777" w:rsidTr="00034EA9">
        <w:trPr>
          <w:cantSplit/>
        </w:trPr>
        <w:tc>
          <w:tcPr>
            <w:tcW w:w="1495" w:type="pct"/>
          </w:tcPr>
          <w:p w14:paraId="42FF4D69" w14:textId="77777777" w:rsidR="000447ED" w:rsidRPr="005E3B43" w:rsidRDefault="000447ED" w:rsidP="00763BCF">
            <w:pPr>
              <w:pStyle w:val="ENoteTableText"/>
              <w:tabs>
                <w:tab w:val="center" w:leader="dot" w:pos="2268"/>
              </w:tabs>
            </w:pPr>
            <w:r w:rsidRPr="005E3B43">
              <w:t>r 16S</w:t>
            </w:r>
            <w:r w:rsidRPr="005E3B43">
              <w:tab/>
            </w:r>
          </w:p>
        </w:tc>
        <w:tc>
          <w:tcPr>
            <w:tcW w:w="3505" w:type="pct"/>
          </w:tcPr>
          <w:p w14:paraId="57499E7E" w14:textId="77777777" w:rsidR="000447ED" w:rsidRPr="005E3B43" w:rsidRDefault="000447ED" w:rsidP="00763BCF">
            <w:pPr>
              <w:pStyle w:val="ENoteTableText"/>
            </w:pPr>
            <w:r w:rsidRPr="005E3B43">
              <w:t>ad F2017L00853</w:t>
            </w:r>
          </w:p>
        </w:tc>
      </w:tr>
      <w:tr w:rsidR="000447ED" w:rsidRPr="005E3B43" w14:paraId="557793E3" w14:textId="77777777" w:rsidTr="00034EA9">
        <w:trPr>
          <w:cantSplit/>
        </w:trPr>
        <w:tc>
          <w:tcPr>
            <w:tcW w:w="1495" w:type="pct"/>
          </w:tcPr>
          <w:p w14:paraId="72197C19" w14:textId="77777777" w:rsidR="000447ED" w:rsidRPr="005E3B43" w:rsidRDefault="000447ED" w:rsidP="00763BCF">
            <w:pPr>
              <w:pStyle w:val="ENoteTableText"/>
              <w:tabs>
                <w:tab w:val="center" w:leader="dot" w:pos="2268"/>
              </w:tabs>
            </w:pPr>
          </w:p>
        </w:tc>
        <w:tc>
          <w:tcPr>
            <w:tcW w:w="3505" w:type="pct"/>
          </w:tcPr>
          <w:p w14:paraId="56BAC07E" w14:textId="77777777" w:rsidR="000447ED" w:rsidRPr="005E3B43" w:rsidRDefault="000447ED" w:rsidP="00763BCF">
            <w:pPr>
              <w:pStyle w:val="ENoteTableText"/>
            </w:pPr>
            <w:r w:rsidRPr="005E3B43">
              <w:t>am F2018L00311</w:t>
            </w:r>
          </w:p>
        </w:tc>
      </w:tr>
      <w:tr w:rsidR="000447ED" w:rsidRPr="005E3B43" w14:paraId="4511CF5D" w14:textId="77777777" w:rsidTr="00034EA9">
        <w:trPr>
          <w:cantSplit/>
        </w:trPr>
        <w:tc>
          <w:tcPr>
            <w:tcW w:w="1495" w:type="pct"/>
          </w:tcPr>
          <w:p w14:paraId="67715DCE" w14:textId="77777777" w:rsidR="000447ED" w:rsidRPr="005E3B43" w:rsidRDefault="000447ED" w:rsidP="00763BCF">
            <w:pPr>
              <w:pStyle w:val="ENoteTableText"/>
              <w:tabs>
                <w:tab w:val="center" w:leader="dot" w:pos="2268"/>
              </w:tabs>
            </w:pPr>
            <w:r w:rsidRPr="005E3B43">
              <w:t>r 16T</w:t>
            </w:r>
            <w:r w:rsidRPr="005E3B43">
              <w:tab/>
            </w:r>
          </w:p>
        </w:tc>
        <w:tc>
          <w:tcPr>
            <w:tcW w:w="3505" w:type="pct"/>
          </w:tcPr>
          <w:p w14:paraId="032888B9" w14:textId="77777777" w:rsidR="000447ED" w:rsidRPr="005E3B43" w:rsidRDefault="000447ED" w:rsidP="00763BCF">
            <w:pPr>
              <w:pStyle w:val="ENoteTableText"/>
            </w:pPr>
            <w:r w:rsidRPr="005E3B43">
              <w:t>ad F2017L00853</w:t>
            </w:r>
          </w:p>
        </w:tc>
      </w:tr>
      <w:tr w:rsidR="000447ED" w:rsidRPr="005E3B43" w14:paraId="373454EB" w14:textId="77777777" w:rsidTr="00034EA9">
        <w:trPr>
          <w:cantSplit/>
        </w:trPr>
        <w:tc>
          <w:tcPr>
            <w:tcW w:w="1495" w:type="pct"/>
          </w:tcPr>
          <w:p w14:paraId="574CF86E" w14:textId="77777777" w:rsidR="000447ED" w:rsidRPr="005E3B43" w:rsidRDefault="000447ED" w:rsidP="00763BCF">
            <w:pPr>
              <w:pStyle w:val="ENoteTableText"/>
              <w:tabs>
                <w:tab w:val="center" w:leader="dot" w:pos="2268"/>
              </w:tabs>
            </w:pPr>
          </w:p>
        </w:tc>
        <w:tc>
          <w:tcPr>
            <w:tcW w:w="3505" w:type="pct"/>
          </w:tcPr>
          <w:p w14:paraId="3EE3760B" w14:textId="77777777" w:rsidR="000447ED" w:rsidRPr="005E3B43" w:rsidRDefault="000447ED" w:rsidP="00763BCF">
            <w:pPr>
              <w:pStyle w:val="ENoteTableText"/>
            </w:pPr>
            <w:r w:rsidRPr="005E3B43">
              <w:t>am F2018L00311</w:t>
            </w:r>
          </w:p>
        </w:tc>
      </w:tr>
      <w:tr w:rsidR="007F5E99" w:rsidRPr="005E3B43" w14:paraId="2A6AF8CD" w14:textId="77777777" w:rsidTr="00034EA9">
        <w:trPr>
          <w:cantSplit/>
        </w:trPr>
        <w:tc>
          <w:tcPr>
            <w:tcW w:w="1495" w:type="pct"/>
          </w:tcPr>
          <w:p w14:paraId="6DAA9BCD" w14:textId="77777777" w:rsidR="007F5E99" w:rsidRPr="005E3B43" w:rsidRDefault="00BB758E" w:rsidP="00763BCF">
            <w:pPr>
              <w:pStyle w:val="ENoteTableText"/>
              <w:keepNext/>
              <w:tabs>
                <w:tab w:val="center" w:leader="dot" w:pos="2268"/>
              </w:tabs>
              <w:rPr>
                <w:b/>
              </w:rPr>
            </w:pPr>
            <w:r w:rsidRPr="005E3B43">
              <w:rPr>
                <w:b/>
              </w:rPr>
              <w:t>Part 3</w:t>
            </w:r>
            <w:r w:rsidR="007F5E99" w:rsidRPr="005E3B43">
              <w:rPr>
                <w:b/>
              </w:rPr>
              <w:t>D</w:t>
            </w:r>
          </w:p>
        </w:tc>
        <w:tc>
          <w:tcPr>
            <w:tcW w:w="3505" w:type="pct"/>
          </w:tcPr>
          <w:p w14:paraId="4527FEE9" w14:textId="77777777" w:rsidR="007F5E99" w:rsidRPr="005E3B43" w:rsidRDefault="007F5E99" w:rsidP="00763BCF">
            <w:pPr>
              <w:pStyle w:val="ENoteTableText"/>
            </w:pPr>
          </w:p>
        </w:tc>
      </w:tr>
      <w:tr w:rsidR="007F5E99" w:rsidRPr="005E3B43" w14:paraId="344F602C" w14:textId="77777777" w:rsidTr="00034EA9">
        <w:trPr>
          <w:cantSplit/>
        </w:trPr>
        <w:tc>
          <w:tcPr>
            <w:tcW w:w="1495" w:type="pct"/>
          </w:tcPr>
          <w:p w14:paraId="64D7A73D" w14:textId="77777777" w:rsidR="007F5E99" w:rsidRPr="005E3B43" w:rsidRDefault="00BB758E" w:rsidP="00763BCF">
            <w:pPr>
              <w:pStyle w:val="ENoteTableText"/>
              <w:tabs>
                <w:tab w:val="center" w:leader="dot" w:pos="2268"/>
              </w:tabs>
            </w:pPr>
            <w:r w:rsidRPr="005E3B43">
              <w:t>Part 3</w:t>
            </w:r>
            <w:r w:rsidR="007F5E99" w:rsidRPr="005E3B43">
              <w:t>D</w:t>
            </w:r>
            <w:r w:rsidR="007F5E99" w:rsidRPr="005E3B43">
              <w:tab/>
            </w:r>
          </w:p>
        </w:tc>
        <w:tc>
          <w:tcPr>
            <w:tcW w:w="3505" w:type="pct"/>
          </w:tcPr>
          <w:p w14:paraId="4037B609" w14:textId="77777777" w:rsidR="007F5E99" w:rsidRPr="005E3B43" w:rsidRDefault="007F5E99" w:rsidP="00763BCF">
            <w:pPr>
              <w:pStyle w:val="ENoteTableText"/>
            </w:pPr>
            <w:r w:rsidRPr="005E3B43">
              <w:t>ad F2022L01300</w:t>
            </w:r>
          </w:p>
        </w:tc>
      </w:tr>
      <w:tr w:rsidR="007F5E99" w:rsidRPr="005E3B43" w14:paraId="1416A9E8" w14:textId="77777777" w:rsidTr="00034EA9">
        <w:trPr>
          <w:cantSplit/>
        </w:trPr>
        <w:tc>
          <w:tcPr>
            <w:tcW w:w="1495" w:type="pct"/>
          </w:tcPr>
          <w:p w14:paraId="642936D9" w14:textId="77777777" w:rsidR="007F5E99" w:rsidRPr="005E3B43" w:rsidRDefault="007F5E99" w:rsidP="00763BCF">
            <w:pPr>
              <w:pStyle w:val="ENoteTableText"/>
              <w:tabs>
                <w:tab w:val="center" w:leader="dot" w:pos="2268"/>
              </w:tabs>
            </w:pPr>
            <w:r w:rsidRPr="005E3B43">
              <w:t>r 16U</w:t>
            </w:r>
            <w:r w:rsidRPr="005E3B43">
              <w:tab/>
            </w:r>
          </w:p>
        </w:tc>
        <w:tc>
          <w:tcPr>
            <w:tcW w:w="3505" w:type="pct"/>
          </w:tcPr>
          <w:p w14:paraId="1C2A0BE2" w14:textId="77777777" w:rsidR="007F5E99" w:rsidRPr="005E3B43" w:rsidRDefault="007F5E99" w:rsidP="00763BCF">
            <w:pPr>
              <w:pStyle w:val="ENoteTableText"/>
            </w:pPr>
            <w:r w:rsidRPr="005E3B43">
              <w:t>ad F2022L01300</w:t>
            </w:r>
          </w:p>
        </w:tc>
      </w:tr>
      <w:tr w:rsidR="007F5E99" w:rsidRPr="005E3B43" w14:paraId="504F9306" w14:textId="77777777" w:rsidTr="00034EA9">
        <w:trPr>
          <w:cantSplit/>
        </w:trPr>
        <w:tc>
          <w:tcPr>
            <w:tcW w:w="1495" w:type="pct"/>
          </w:tcPr>
          <w:p w14:paraId="4480E3BA" w14:textId="77777777" w:rsidR="007F5E99" w:rsidRPr="005E3B43" w:rsidRDefault="007F5E99" w:rsidP="00763BCF">
            <w:pPr>
              <w:pStyle w:val="ENoteTableText"/>
              <w:tabs>
                <w:tab w:val="center" w:leader="dot" w:pos="2268"/>
              </w:tabs>
            </w:pPr>
            <w:r w:rsidRPr="005E3B43">
              <w:t>r 16V</w:t>
            </w:r>
            <w:r w:rsidRPr="005E3B43">
              <w:tab/>
            </w:r>
          </w:p>
        </w:tc>
        <w:tc>
          <w:tcPr>
            <w:tcW w:w="3505" w:type="pct"/>
          </w:tcPr>
          <w:p w14:paraId="1FAD2420" w14:textId="77777777" w:rsidR="007F5E99" w:rsidRPr="005E3B43" w:rsidRDefault="007F5E99" w:rsidP="00763BCF">
            <w:pPr>
              <w:pStyle w:val="ENoteTableText"/>
            </w:pPr>
            <w:r w:rsidRPr="005E3B43">
              <w:t>ad F2022L01300</w:t>
            </w:r>
          </w:p>
        </w:tc>
      </w:tr>
      <w:tr w:rsidR="000F572E" w:rsidRPr="005E3B43" w14:paraId="05C91AE9" w14:textId="77777777" w:rsidTr="00034EA9">
        <w:trPr>
          <w:cantSplit/>
        </w:trPr>
        <w:tc>
          <w:tcPr>
            <w:tcW w:w="1495" w:type="pct"/>
          </w:tcPr>
          <w:p w14:paraId="17C83E40" w14:textId="77777777" w:rsidR="000F572E" w:rsidRPr="005E3B43" w:rsidRDefault="000F572E" w:rsidP="00763BCF">
            <w:pPr>
              <w:pStyle w:val="ENoteTableText"/>
              <w:tabs>
                <w:tab w:val="center" w:leader="dot" w:pos="2268"/>
              </w:tabs>
            </w:pPr>
          </w:p>
        </w:tc>
        <w:tc>
          <w:tcPr>
            <w:tcW w:w="3505" w:type="pct"/>
          </w:tcPr>
          <w:p w14:paraId="7808D465" w14:textId="77777777" w:rsidR="000F572E" w:rsidRPr="005E3B43" w:rsidRDefault="000F572E" w:rsidP="00763BCF">
            <w:pPr>
              <w:pStyle w:val="ENoteTableText"/>
            </w:pPr>
            <w:r w:rsidRPr="005E3B43">
              <w:t>am F2023L00769</w:t>
            </w:r>
          </w:p>
        </w:tc>
      </w:tr>
      <w:tr w:rsidR="007F5E99" w:rsidRPr="005E3B43" w14:paraId="42D12F85" w14:textId="77777777" w:rsidTr="00034EA9">
        <w:trPr>
          <w:cantSplit/>
        </w:trPr>
        <w:tc>
          <w:tcPr>
            <w:tcW w:w="1495" w:type="pct"/>
          </w:tcPr>
          <w:p w14:paraId="0F1A05A2" w14:textId="77777777" w:rsidR="007F5E99" w:rsidRPr="005E3B43" w:rsidRDefault="007F5E99" w:rsidP="00763BCF">
            <w:pPr>
              <w:pStyle w:val="ENoteTableText"/>
              <w:tabs>
                <w:tab w:val="center" w:leader="dot" w:pos="2268"/>
              </w:tabs>
            </w:pPr>
            <w:r w:rsidRPr="005E3B43">
              <w:t>r 16W</w:t>
            </w:r>
            <w:r w:rsidRPr="005E3B43">
              <w:tab/>
            </w:r>
          </w:p>
        </w:tc>
        <w:tc>
          <w:tcPr>
            <w:tcW w:w="3505" w:type="pct"/>
          </w:tcPr>
          <w:p w14:paraId="7456D909" w14:textId="77777777" w:rsidR="007F5E99" w:rsidRPr="005E3B43" w:rsidRDefault="007F5E99" w:rsidP="00763BCF">
            <w:pPr>
              <w:pStyle w:val="ENoteTableText"/>
            </w:pPr>
            <w:r w:rsidRPr="005E3B43">
              <w:t>ad F2022L01300</w:t>
            </w:r>
          </w:p>
        </w:tc>
      </w:tr>
      <w:tr w:rsidR="007F5E99" w:rsidRPr="005E3B43" w14:paraId="26BF78B2" w14:textId="77777777" w:rsidTr="00034EA9">
        <w:trPr>
          <w:cantSplit/>
        </w:trPr>
        <w:tc>
          <w:tcPr>
            <w:tcW w:w="1495" w:type="pct"/>
          </w:tcPr>
          <w:p w14:paraId="6E18E7E4" w14:textId="77777777" w:rsidR="007F5E99" w:rsidRPr="005E3B43" w:rsidRDefault="007F5E99" w:rsidP="00763BCF">
            <w:pPr>
              <w:pStyle w:val="ENoteTableText"/>
              <w:tabs>
                <w:tab w:val="center" w:leader="dot" w:pos="2268"/>
              </w:tabs>
            </w:pPr>
            <w:r w:rsidRPr="005E3B43">
              <w:t>r 16X</w:t>
            </w:r>
            <w:r w:rsidRPr="005E3B43">
              <w:tab/>
            </w:r>
          </w:p>
        </w:tc>
        <w:tc>
          <w:tcPr>
            <w:tcW w:w="3505" w:type="pct"/>
          </w:tcPr>
          <w:p w14:paraId="4C850938" w14:textId="77777777" w:rsidR="007F5E99" w:rsidRPr="005E3B43" w:rsidRDefault="007F5E99" w:rsidP="00763BCF">
            <w:pPr>
              <w:pStyle w:val="ENoteTableText"/>
            </w:pPr>
            <w:r w:rsidRPr="005E3B43">
              <w:t>ad F2022L01300</w:t>
            </w:r>
          </w:p>
        </w:tc>
      </w:tr>
      <w:tr w:rsidR="007F5E99" w:rsidRPr="005E3B43" w14:paraId="3C68A722" w14:textId="77777777" w:rsidTr="00034EA9">
        <w:trPr>
          <w:cantSplit/>
        </w:trPr>
        <w:tc>
          <w:tcPr>
            <w:tcW w:w="1495" w:type="pct"/>
          </w:tcPr>
          <w:p w14:paraId="1A8605DB" w14:textId="77777777" w:rsidR="007F5E99" w:rsidRPr="005E3B43" w:rsidRDefault="007F5E99" w:rsidP="00763BCF">
            <w:pPr>
              <w:pStyle w:val="ENoteTableText"/>
              <w:tabs>
                <w:tab w:val="center" w:leader="dot" w:pos="2268"/>
              </w:tabs>
            </w:pPr>
            <w:r w:rsidRPr="005E3B43">
              <w:t>r 16Y</w:t>
            </w:r>
            <w:r w:rsidRPr="005E3B43">
              <w:tab/>
            </w:r>
          </w:p>
        </w:tc>
        <w:tc>
          <w:tcPr>
            <w:tcW w:w="3505" w:type="pct"/>
          </w:tcPr>
          <w:p w14:paraId="229B5716" w14:textId="77777777" w:rsidR="007F5E99" w:rsidRPr="005E3B43" w:rsidRDefault="007F5E99" w:rsidP="00763BCF">
            <w:pPr>
              <w:pStyle w:val="ENoteTableText"/>
            </w:pPr>
            <w:r w:rsidRPr="005E3B43">
              <w:t>ad F2022L01300</w:t>
            </w:r>
          </w:p>
        </w:tc>
      </w:tr>
      <w:tr w:rsidR="000447ED" w:rsidRPr="005E3B43" w14:paraId="5B2EF236" w14:textId="77777777" w:rsidTr="00034EA9">
        <w:trPr>
          <w:cantSplit/>
        </w:trPr>
        <w:tc>
          <w:tcPr>
            <w:tcW w:w="1495" w:type="pct"/>
          </w:tcPr>
          <w:p w14:paraId="15E0896A" w14:textId="77777777" w:rsidR="000447ED" w:rsidRPr="005E3B43" w:rsidRDefault="000447ED" w:rsidP="00763BCF">
            <w:pPr>
              <w:pStyle w:val="ENoteTableText"/>
            </w:pPr>
            <w:r w:rsidRPr="005E3B43">
              <w:rPr>
                <w:b/>
              </w:rPr>
              <w:t>Part</w:t>
            </w:r>
            <w:r w:rsidR="004E6D00" w:rsidRPr="005E3B43">
              <w:rPr>
                <w:b/>
              </w:rPr>
              <w:t> </w:t>
            </w:r>
            <w:r w:rsidRPr="005E3B43">
              <w:rPr>
                <w:b/>
              </w:rPr>
              <w:t>4</w:t>
            </w:r>
          </w:p>
        </w:tc>
        <w:tc>
          <w:tcPr>
            <w:tcW w:w="3505" w:type="pct"/>
          </w:tcPr>
          <w:p w14:paraId="6204549D" w14:textId="77777777" w:rsidR="000447ED" w:rsidRPr="005E3B43" w:rsidRDefault="000447ED" w:rsidP="00763BCF">
            <w:pPr>
              <w:pStyle w:val="ENoteTableText"/>
            </w:pPr>
          </w:p>
        </w:tc>
      </w:tr>
      <w:tr w:rsidR="000447ED" w:rsidRPr="005E3B43" w14:paraId="30967812" w14:textId="77777777" w:rsidTr="00034EA9">
        <w:trPr>
          <w:cantSplit/>
        </w:trPr>
        <w:tc>
          <w:tcPr>
            <w:tcW w:w="1495" w:type="pct"/>
          </w:tcPr>
          <w:p w14:paraId="330EE007" w14:textId="77777777" w:rsidR="000447ED" w:rsidRPr="005E3B43" w:rsidRDefault="000447ED" w:rsidP="00763BCF">
            <w:pPr>
              <w:pStyle w:val="ENoteTableText"/>
              <w:tabs>
                <w:tab w:val="center" w:leader="dot" w:pos="2268"/>
              </w:tabs>
            </w:pPr>
            <w:r w:rsidRPr="005E3B43">
              <w:t>r. 17</w:t>
            </w:r>
            <w:r w:rsidRPr="005E3B43">
              <w:tab/>
            </w:r>
          </w:p>
        </w:tc>
        <w:tc>
          <w:tcPr>
            <w:tcW w:w="3505" w:type="pct"/>
          </w:tcPr>
          <w:p w14:paraId="5CB54149" w14:textId="77777777" w:rsidR="000447ED" w:rsidRPr="005E3B43" w:rsidRDefault="000447ED" w:rsidP="00763BCF">
            <w:pPr>
              <w:pStyle w:val="ENoteTableText"/>
            </w:pPr>
            <w:r w:rsidRPr="005E3B43">
              <w:t>am. 1994 No.</w:t>
            </w:r>
            <w:r w:rsidR="004E6D00" w:rsidRPr="005E3B43">
              <w:t> </w:t>
            </w:r>
            <w:r w:rsidRPr="005E3B43">
              <w:t>150; 2002 No.</w:t>
            </w:r>
            <w:r w:rsidR="004E6D00" w:rsidRPr="005E3B43">
              <w:t> </w:t>
            </w:r>
            <w:r w:rsidRPr="005E3B43">
              <w:t>234</w:t>
            </w:r>
          </w:p>
        </w:tc>
      </w:tr>
      <w:tr w:rsidR="000447ED" w:rsidRPr="005E3B43" w14:paraId="2A2AFD9E" w14:textId="77777777" w:rsidTr="00034EA9">
        <w:trPr>
          <w:cantSplit/>
        </w:trPr>
        <w:tc>
          <w:tcPr>
            <w:tcW w:w="1495" w:type="pct"/>
          </w:tcPr>
          <w:p w14:paraId="17890942" w14:textId="77777777" w:rsidR="000447ED" w:rsidRPr="005E3B43" w:rsidRDefault="000447ED" w:rsidP="00763BCF">
            <w:pPr>
              <w:pStyle w:val="ENoteTableText"/>
              <w:tabs>
                <w:tab w:val="center" w:leader="dot" w:pos="2268"/>
              </w:tabs>
            </w:pPr>
            <w:r w:rsidRPr="005E3B43">
              <w:t>r. 18</w:t>
            </w:r>
            <w:r w:rsidRPr="005E3B43">
              <w:tab/>
            </w:r>
          </w:p>
        </w:tc>
        <w:tc>
          <w:tcPr>
            <w:tcW w:w="3505" w:type="pct"/>
          </w:tcPr>
          <w:p w14:paraId="7F34DDB9" w14:textId="77777777" w:rsidR="000447ED" w:rsidRPr="005E3B43" w:rsidRDefault="000447ED" w:rsidP="00763BCF">
            <w:pPr>
              <w:pStyle w:val="ENoteTableText"/>
            </w:pPr>
            <w:r w:rsidRPr="005E3B43">
              <w:t>am. 2002 No.</w:t>
            </w:r>
            <w:r w:rsidR="004E6D00" w:rsidRPr="005E3B43">
              <w:t> </w:t>
            </w:r>
            <w:r w:rsidRPr="005E3B43">
              <w:t>234</w:t>
            </w:r>
          </w:p>
        </w:tc>
      </w:tr>
      <w:tr w:rsidR="000447ED" w:rsidRPr="005E3B43" w14:paraId="46A3AC91" w14:textId="77777777" w:rsidTr="00034EA9">
        <w:trPr>
          <w:cantSplit/>
        </w:trPr>
        <w:tc>
          <w:tcPr>
            <w:tcW w:w="1495" w:type="pct"/>
          </w:tcPr>
          <w:p w14:paraId="4E50502B" w14:textId="77777777" w:rsidR="000447ED" w:rsidRPr="005E3B43" w:rsidRDefault="000447ED" w:rsidP="00763BCF">
            <w:pPr>
              <w:pStyle w:val="ENoteTableText"/>
              <w:tabs>
                <w:tab w:val="center" w:leader="dot" w:pos="2268"/>
              </w:tabs>
            </w:pPr>
            <w:r w:rsidRPr="005E3B43">
              <w:t>r. 22</w:t>
            </w:r>
            <w:r w:rsidRPr="005E3B43">
              <w:tab/>
            </w:r>
          </w:p>
        </w:tc>
        <w:tc>
          <w:tcPr>
            <w:tcW w:w="3505" w:type="pct"/>
          </w:tcPr>
          <w:p w14:paraId="7A205D2E" w14:textId="77777777" w:rsidR="000447ED" w:rsidRPr="005E3B43" w:rsidRDefault="000447ED" w:rsidP="00763BCF">
            <w:pPr>
              <w:pStyle w:val="ENoteTableText"/>
            </w:pPr>
            <w:r w:rsidRPr="005E3B43">
              <w:t>am. 1992 Nos. 19 and 89</w:t>
            </w:r>
          </w:p>
        </w:tc>
      </w:tr>
      <w:tr w:rsidR="000447ED" w:rsidRPr="005E3B43" w14:paraId="1A05376A" w14:textId="77777777" w:rsidTr="00034EA9">
        <w:trPr>
          <w:cantSplit/>
        </w:trPr>
        <w:tc>
          <w:tcPr>
            <w:tcW w:w="1495" w:type="pct"/>
          </w:tcPr>
          <w:p w14:paraId="101FFE16" w14:textId="77777777" w:rsidR="000447ED" w:rsidRPr="005E3B43" w:rsidRDefault="000447ED" w:rsidP="00763BCF">
            <w:pPr>
              <w:pStyle w:val="ENoteTableText"/>
            </w:pPr>
            <w:r w:rsidRPr="005E3B43">
              <w:rPr>
                <w:b/>
              </w:rPr>
              <w:t>Part</w:t>
            </w:r>
            <w:r w:rsidR="004E6D00" w:rsidRPr="005E3B43">
              <w:rPr>
                <w:b/>
              </w:rPr>
              <w:t> </w:t>
            </w:r>
            <w:r w:rsidRPr="005E3B43">
              <w:rPr>
                <w:b/>
              </w:rPr>
              <w:t>5</w:t>
            </w:r>
          </w:p>
        </w:tc>
        <w:tc>
          <w:tcPr>
            <w:tcW w:w="3505" w:type="pct"/>
          </w:tcPr>
          <w:p w14:paraId="36634971" w14:textId="77777777" w:rsidR="000447ED" w:rsidRPr="005E3B43" w:rsidRDefault="000447ED" w:rsidP="00763BCF">
            <w:pPr>
              <w:pStyle w:val="ENoteTableText"/>
            </w:pPr>
          </w:p>
        </w:tc>
      </w:tr>
      <w:tr w:rsidR="000447ED" w:rsidRPr="005E3B43" w14:paraId="029FE43A" w14:textId="77777777" w:rsidTr="00034EA9">
        <w:trPr>
          <w:cantSplit/>
        </w:trPr>
        <w:tc>
          <w:tcPr>
            <w:tcW w:w="1495" w:type="pct"/>
          </w:tcPr>
          <w:p w14:paraId="552B9C4C" w14:textId="77777777" w:rsidR="000447ED" w:rsidRPr="005E3B43" w:rsidRDefault="000447ED" w:rsidP="00763BCF">
            <w:pPr>
              <w:pStyle w:val="ENoteTableText"/>
              <w:tabs>
                <w:tab w:val="center" w:leader="dot" w:pos="2268"/>
              </w:tabs>
            </w:pPr>
            <w:r w:rsidRPr="005E3B43">
              <w:t>r 23</w:t>
            </w:r>
            <w:r w:rsidRPr="005E3B43">
              <w:tab/>
            </w:r>
          </w:p>
        </w:tc>
        <w:tc>
          <w:tcPr>
            <w:tcW w:w="3505" w:type="pct"/>
          </w:tcPr>
          <w:p w14:paraId="0517F1B2" w14:textId="77777777" w:rsidR="000447ED" w:rsidRPr="005E3B43" w:rsidRDefault="000447ED" w:rsidP="00763BCF">
            <w:pPr>
              <w:pStyle w:val="ENoteTableText"/>
            </w:pPr>
            <w:r w:rsidRPr="005E3B43">
              <w:t>am No 150, 1994; No 252, 2001; No 234, 2002; No 361, 2003; F2018L00311</w:t>
            </w:r>
            <w:r w:rsidR="003A0395" w:rsidRPr="005E3B43">
              <w:t>; F2019L01660</w:t>
            </w:r>
            <w:r w:rsidR="000A0C49" w:rsidRPr="005E3B43">
              <w:t>; F2024L00686</w:t>
            </w:r>
          </w:p>
        </w:tc>
      </w:tr>
      <w:tr w:rsidR="000447ED" w:rsidRPr="005E3B43" w14:paraId="70C3CC2D" w14:textId="77777777" w:rsidTr="00034EA9">
        <w:trPr>
          <w:cantSplit/>
        </w:trPr>
        <w:tc>
          <w:tcPr>
            <w:tcW w:w="1495" w:type="pct"/>
          </w:tcPr>
          <w:p w14:paraId="4B033F24" w14:textId="77777777" w:rsidR="000447ED" w:rsidRPr="005E3B43" w:rsidRDefault="000447ED" w:rsidP="00763BCF">
            <w:pPr>
              <w:pStyle w:val="ENoteTableText"/>
              <w:tabs>
                <w:tab w:val="center" w:leader="dot" w:pos="2268"/>
              </w:tabs>
            </w:pPr>
            <w:r w:rsidRPr="005E3B43">
              <w:t>r 24</w:t>
            </w:r>
            <w:r w:rsidRPr="005E3B43">
              <w:tab/>
            </w:r>
          </w:p>
        </w:tc>
        <w:tc>
          <w:tcPr>
            <w:tcW w:w="3505" w:type="pct"/>
          </w:tcPr>
          <w:p w14:paraId="569A1927" w14:textId="77777777" w:rsidR="000447ED" w:rsidRPr="005E3B43" w:rsidRDefault="000447ED" w:rsidP="00763BCF">
            <w:pPr>
              <w:pStyle w:val="ENoteTableText"/>
            </w:pPr>
            <w:r w:rsidRPr="005E3B43">
              <w:t>am. 1991 No.</w:t>
            </w:r>
            <w:r w:rsidR="004E6D00" w:rsidRPr="005E3B43">
              <w:t> </w:t>
            </w:r>
            <w:r w:rsidRPr="005E3B43">
              <w:t>84; 2002 No.</w:t>
            </w:r>
            <w:r w:rsidR="004E6D00" w:rsidRPr="005E3B43">
              <w:t> </w:t>
            </w:r>
            <w:r w:rsidRPr="005E3B43">
              <w:t>234; 2004 No.</w:t>
            </w:r>
            <w:r w:rsidR="004E6D00" w:rsidRPr="005E3B43">
              <w:t> </w:t>
            </w:r>
            <w:r w:rsidRPr="005E3B43">
              <w:t>78</w:t>
            </w:r>
          </w:p>
        </w:tc>
      </w:tr>
      <w:tr w:rsidR="000447ED" w:rsidRPr="005E3B43" w14:paraId="7FB42C7F" w14:textId="77777777" w:rsidTr="00034EA9">
        <w:trPr>
          <w:cantSplit/>
        </w:trPr>
        <w:tc>
          <w:tcPr>
            <w:tcW w:w="1495" w:type="pct"/>
          </w:tcPr>
          <w:p w14:paraId="227CC07A" w14:textId="77777777" w:rsidR="000447ED" w:rsidRPr="005E3B43" w:rsidRDefault="000447ED" w:rsidP="00763BCF">
            <w:pPr>
              <w:pStyle w:val="ENoteTableText"/>
              <w:tabs>
                <w:tab w:val="center" w:leader="dot" w:pos="2268"/>
              </w:tabs>
            </w:pPr>
            <w:r w:rsidRPr="005E3B43">
              <w:t>r 25</w:t>
            </w:r>
            <w:r w:rsidRPr="005E3B43">
              <w:tab/>
            </w:r>
          </w:p>
        </w:tc>
        <w:tc>
          <w:tcPr>
            <w:tcW w:w="3505" w:type="pct"/>
          </w:tcPr>
          <w:p w14:paraId="26F0D1FA" w14:textId="77777777" w:rsidR="000447ED" w:rsidRPr="005E3B43" w:rsidRDefault="000447ED" w:rsidP="00763BCF">
            <w:pPr>
              <w:pStyle w:val="ENoteTableText"/>
            </w:pPr>
            <w:r w:rsidRPr="005E3B43">
              <w:t>am No 150, 1994; No 252, 2001; No 234, 2002; F2016L00109; F2018L00311</w:t>
            </w:r>
            <w:r w:rsidR="003A0395" w:rsidRPr="005E3B43">
              <w:t>; F2019L01660</w:t>
            </w:r>
          </w:p>
        </w:tc>
      </w:tr>
      <w:tr w:rsidR="000447ED" w:rsidRPr="005E3B43" w14:paraId="6FE89956" w14:textId="77777777" w:rsidTr="00034EA9">
        <w:trPr>
          <w:cantSplit/>
        </w:trPr>
        <w:tc>
          <w:tcPr>
            <w:tcW w:w="1495" w:type="pct"/>
          </w:tcPr>
          <w:p w14:paraId="3E1C0BAF" w14:textId="77777777" w:rsidR="000447ED" w:rsidRPr="005E3B43" w:rsidRDefault="000447ED" w:rsidP="00763BCF">
            <w:pPr>
              <w:pStyle w:val="ENoteTableText"/>
              <w:tabs>
                <w:tab w:val="center" w:leader="dot" w:pos="2268"/>
              </w:tabs>
            </w:pPr>
            <w:r w:rsidRPr="005E3B43">
              <w:t>r 26</w:t>
            </w:r>
            <w:r w:rsidRPr="005E3B43">
              <w:tab/>
            </w:r>
          </w:p>
        </w:tc>
        <w:tc>
          <w:tcPr>
            <w:tcW w:w="3505" w:type="pct"/>
          </w:tcPr>
          <w:p w14:paraId="54F902AD" w14:textId="77777777" w:rsidR="000447ED" w:rsidRPr="005E3B43" w:rsidRDefault="000447ED" w:rsidP="00763BCF">
            <w:pPr>
              <w:pStyle w:val="ENoteTableText"/>
            </w:pPr>
            <w:r w:rsidRPr="005E3B43">
              <w:t xml:space="preserve">am </w:t>
            </w:r>
            <w:r w:rsidR="00A46A6C" w:rsidRPr="005E3B43">
              <w:t xml:space="preserve">No 150, </w:t>
            </w:r>
            <w:r w:rsidRPr="005E3B43">
              <w:t xml:space="preserve">1994; </w:t>
            </w:r>
            <w:r w:rsidR="00A46A6C" w:rsidRPr="005E3B43">
              <w:t xml:space="preserve">No 252, </w:t>
            </w:r>
            <w:r w:rsidRPr="005E3B43">
              <w:t>2001</w:t>
            </w:r>
            <w:r w:rsidR="003A0395" w:rsidRPr="005E3B43">
              <w:t>; F2019L01660</w:t>
            </w:r>
          </w:p>
        </w:tc>
      </w:tr>
      <w:tr w:rsidR="000447ED" w:rsidRPr="005E3B43" w14:paraId="3867319F" w14:textId="77777777" w:rsidTr="00034EA9">
        <w:trPr>
          <w:cantSplit/>
        </w:trPr>
        <w:tc>
          <w:tcPr>
            <w:tcW w:w="1495" w:type="pct"/>
          </w:tcPr>
          <w:p w14:paraId="494F6710" w14:textId="77777777" w:rsidR="000447ED" w:rsidRPr="005E3B43" w:rsidRDefault="000447ED" w:rsidP="00763BCF">
            <w:pPr>
              <w:pStyle w:val="ENoteTableText"/>
              <w:tabs>
                <w:tab w:val="center" w:leader="dot" w:pos="2268"/>
              </w:tabs>
            </w:pPr>
            <w:r w:rsidRPr="005E3B43">
              <w:t>r 26A</w:t>
            </w:r>
            <w:r w:rsidRPr="005E3B43">
              <w:tab/>
            </w:r>
          </w:p>
        </w:tc>
        <w:tc>
          <w:tcPr>
            <w:tcW w:w="3505" w:type="pct"/>
          </w:tcPr>
          <w:p w14:paraId="06319D2B" w14:textId="77777777" w:rsidR="000447ED" w:rsidRPr="005E3B43" w:rsidRDefault="000447ED" w:rsidP="00763BCF">
            <w:pPr>
              <w:pStyle w:val="ENoteTableText"/>
            </w:pPr>
            <w:r w:rsidRPr="005E3B43">
              <w:t>ad No 252, 2001</w:t>
            </w:r>
          </w:p>
        </w:tc>
      </w:tr>
      <w:tr w:rsidR="000447ED" w:rsidRPr="005E3B43" w14:paraId="51D2639E" w14:textId="77777777" w:rsidTr="00034EA9">
        <w:trPr>
          <w:cantSplit/>
        </w:trPr>
        <w:tc>
          <w:tcPr>
            <w:tcW w:w="1495" w:type="pct"/>
          </w:tcPr>
          <w:p w14:paraId="69E760AC" w14:textId="77777777" w:rsidR="000447ED" w:rsidRPr="005E3B43" w:rsidRDefault="000447ED" w:rsidP="00763BCF">
            <w:pPr>
              <w:pStyle w:val="ENoteTableText"/>
            </w:pPr>
          </w:p>
        </w:tc>
        <w:tc>
          <w:tcPr>
            <w:tcW w:w="3505" w:type="pct"/>
          </w:tcPr>
          <w:p w14:paraId="6C74A45D" w14:textId="77777777" w:rsidR="000447ED" w:rsidRPr="005E3B43" w:rsidRDefault="000447ED" w:rsidP="00763BCF">
            <w:pPr>
              <w:pStyle w:val="ENoteTableText"/>
            </w:pPr>
            <w:r w:rsidRPr="005E3B43">
              <w:t>am No 234, 2002; F2018L00311</w:t>
            </w:r>
            <w:r w:rsidR="003A0395" w:rsidRPr="005E3B43">
              <w:t>; F2019L01660</w:t>
            </w:r>
          </w:p>
        </w:tc>
      </w:tr>
      <w:tr w:rsidR="000447ED" w:rsidRPr="005E3B43" w14:paraId="696D89D6" w14:textId="77777777" w:rsidTr="00034EA9">
        <w:trPr>
          <w:cantSplit/>
        </w:trPr>
        <w:tc>
          <w:tcPr>
            <w:tcW w:w="1495" w:type="pct"/>
          </w:tcPr>
          <w:p w14:paraId="0F448A87" w14:textId="77777777" w:rsidR="000447ED" w:rsidRPr="005E3B43" w:rsidRDefault="000447ED" w:rsidP="00763BCF">
            <w:pPr>
              <w:pStyle w:val="ENoteTableText"/>
              <w:tabs>
                <w:tab w:val="center" w:leader="dot" w:pos="2268"/>
              </w:tabs>
            </w:pPr>
            <w:r w:rsidRPr="005E3B43">
              <w:lastRenderedPageBreak/>
              <w:t>r 27</w:t>
            </w:r>
            <w:r w:rsidRPr="005E3B43">
              <w:tab/>
            </w:r>
          </w:p>
        </w:tc>
        <w:tc>
          <w:tcPr>
            <w:tcW w:w="3505" w:type="pct"/>
          </w:tcPr>
          <w:p w14:paraId="5383269F" w14:textId="77777777" w:rsidR="000447ED" w:rsidRPr="005E3B43" w:rsidRDefault="000447ED" w:rsidP="00763BCF">
            <w:pPr>
              <w:pStyle w:val="ENoteTableText"/>
            </w:pPr>
            <w:r w:rsidRPr="005E3B43">
              <w:t>rs. 1994 No.</w:t>
            </w:r>
            <w:r w:rsidR="004E6D00" w:rsidRPr="005E3B43">
              <w:t> </w:t>
            </w:r>
            <w:r w:rsidRPr="005E3B43">
              <w:t>150</w:t>
            </w:r>
          </w:p>
        </w:tc>
      </w:tr>
      <w:tr w:rsidR="000447ED" w:rsidRPr="005E3B43" w14:paraId="78727C21" w14:textId="77777777" w:rsidTr="00034EA9">
        <w:trPr>
          <w:cantSplit/>
        </w:trPr>
        <w:tc>
          <w:tcPr>
            <w:tcW w:w="1495" w:type="pct"/>
          </w:tcPr>
          <w:p w14:paraId="2A4DBC0C" w14:textId="77777777" w:rsidR="000447ED" w:rsidRPr="005E3B43" w:rsidRDefault="000447ED" w:rsidP="00763BCF">
            <w:pPr>
              <w:pStyle w:val="ENoteTableText"/>
            </w:pPr>
          </w:p>
        </w:tc>
        <w:tc>
          <w:tcPr>
            <w:tcW w:w="3505" w:type="pct"/>
          </w:tcPr>
          <w:p w14:paraId="0333E205" w14:textId="77777777" w:rsidR="000447ED" w:rsidRPr="005E3B43" w:rsidRDefault="000447ED" w:rsidP="00763BCF">
            <w:pPr>
              <w:pStyle w:val="ENoteTableText"/>
            </w:pPr>
            <w:r w:rsidRPr="005E3B43">
              <w:t>am. 2002 No.</w:t>
            </w:r>
            <w:r w:rsidR="004E6D00" w:rsidRPr="005E3B43">
              <w:t> </w:t>
            </w:r>
            <w:r w:rsidRPr="005E3B43">
              <w:t>234</w:t>
            </w:r>
            <w:r w:rsidR="003A0395" w:rsidRPr="005E3B43">
              <w:t>; F2019L01660</w:t>
            </w:r>
          </w:p>
        </w:tc>
      </w:tr>
      <w:tr w:rsidR="000447ED" w:rsidRPr="005E3B43" w14:paraId="37CC4FEE" w14:textId="77777777" w:rsidTr="00034EA9">
        <w:trPr>
          <w:cantSplit/>
        </w:trPr>
        <w:tc>
          <w:tcPr>
            <w:tcW w:w="1495" w:type="pct"/>
          </w:tcPr>
          <w:p w14:paraId="5B110589" w14:textId="77777777" w:rsidR="000447ED" w:rsidRPr="005E3B43" w:rsidRDefault="000447ED" w:rsidP="00763BCF">
            <w:pPr>
              <w:pStyle w:val="ENoteTableText"/>
              <w:tabs>
                <w:tab w:val="center" w:leader="dot" w:pos="2268"/>
              </w:tabs>
            </w:pPr>
            <w:r w:rsidRPr="005E3B43">
              <w:t>r 28</w:t>
            </w:r>
            <w:r w:rsidRPr="005E3B43">
              <w:tab/>
            </w:r>
          </w:p>
        </w:tc>
        <w:tc>
          <w:tcPr>
            <w:tcW w:w="3505" w:type="pct"/>
          </w:tcPr>
          <w:p w14:paraId="370E39CD" w14:textId="77777777" w:rsidR="000447ED" w:rsidRPr="005E3B43" w:rsidRDefault="000447ED" w:rsidP="00763BCF">
            <w:pPr>
              <w:pStyle w:val="ENoteTableText"/>
            </w:pPr>
            <w:r w:rsidRPr="005E3B43">
              <w:t xml:space="preserve">am </w:t>
            </w:r>
            <w:r w:rsidR="00A46A6C" w:rsidRPr="005E3B43">
              <w:t xml:space="preserve">No 234, </w:t>
            </w:r>
            <w:r w:rsidRPr="005E3B43">
              <w:t>2002</w:t>
            </w:r>
            <w:r w:rsidR="002F33B7" w:rsidRPr="005E3B43">
              <w:t>; F2019L01660</w:t>
            </w:r>
          </w:p>
        </w:tc>
      </w:tr>
      <w:tr w:rsidR="000447ED" w:rsidRPr="005E3B43" w14:paraId="0719277C" w14:textId="77777777" w:rsidTr="00034EA9">
        <w:trPr>
          <w:cantSplit/>
        </w:trPr>
        <w:tc>
          <w:tcPr>
            <w:tcW w:w="1495" w:type="pct"/>
          </w:tcPr>
          <w:p w14:paraId="34232ADD" w14:textId="77777777" w:rsidR="000447ED" w:rsidRPr="005E3B43" w:rsidRDefault="000447ED" w:rsidP="00763BCF">
            <w:pPr>
              <w:pStyle w:val="ENoteTableText"/>
              <w:tabs>
                <w:tab w:val="center" w:leader="dot" w:pos="2268"/>
              </w:tabs>
            </w:pPr>
            <w:r w:rsidRPr="005E3B43">
              <w:t>r 29</w:t>
            </w:r>
            <w:r w:rsidRPr="005E3B43">
              <w:tab/>
            </w:r>
          </w:p>
        </w:tc>
        <w:tc>
          <w:tcPr>
            <w:tcW w:w="3505" w:type="pct"/>
          </w:tcPr>
          <w:p w14:paraId="44302C1D" w14:textId="77777777" w:rsidR="000447ED" w:rsidRPr="005E3B43" w:rsidRDefault="000447ED" w:rsidP="00763BCF">
            <w:pPr>
              <w:pStyle w:val="ENoteTableText"/>
            </w:pPr>
            <w:r w:rsidRPr="005E3B43">
              <w:t xml:space="preserve">am </w:t>
            </w:r>
            <w:r w:rsidR="00D05F66" w:rsidRPr="005E3B43">
              <w:t xml:space="preserve">No 150, </w:t>
            </w:r>
            <w:r w:rsidRPr="005E3B43">
              <w:t>1994</w:t>
            </w:r>
            <w:r w:rsidR="00D05F66" w:rsidRPr="005E3B43">
              <w:t>; No</w:t>
            </w:r>
            <w:r w:rsidRPr="005E3B43">
              <w:t xml:space="preserve"> 364</w:t>
            </w:r>
            <w:r w:rsidR="00D05F66" w:rsidRPr="005E3B43">
              <w:t>, 1994</w:t>
            </w:r>
            <w:r w:rsidRPr="005E3B43">
              <w:t xml:space="preserve">; </w:t>
            </w:r>
            <w:r w:rsidR="00D05F66" w:rsidRPr="005E3B43">
              <w:t xml:space="preserve">No 252, </w:t>
            </w:r>
            <w:r w:rsidRPr="005E3B43">
              <w:t xml:space="preserve">2001; </w:t>
            </w:r>
            <w:r w:rsidR="00D05F66" w:rsidRPr="005E3B43">
              <w:t xml:space="preserve">No 234, </w:t>
            </w:r>
            <w:r w:rsidRPr="005E3B43">
              <w:t>2002</w:t>
            </w:r>
            <w:r w:rsidR="002F33B7" w:rsidRPr="005E3B43">
              <w:t>; F2019L01660</w:t>
            </w:r>
          </w:p>
        </w:tc>
      </w:tr>
      <w:tr w:rsidR="000447ED" w:rsidRPr="005E3B43" w14:paraId="2F9950E6" w14:textId="77777777" w:rsidTr="00034EA9">
        <w:trPr>
          <w:cantSplit/>
        </w:trPr>
        <w:tc>
          <w:tcPr>
            <w:tcW w:w="1495" w:type="pct"/>
          </w:tcPr>
          <w:p w14:paraId="6B0C7671" w14:textId="77777777" w:rsidR="000447ED" w:rsidRPr="005E3B43" w:rsidRDefault="000447ED" w:rsidP="00763BCF">
            <w:pPr>
              <w:pStyle w:val="ENoteTableText"/>
              <w:tabs>
                <w:tab w:val="center" w:leader="dot" w:pos="2268"/>
              </w:tabs>
            </w:pPr>
            <w:r w:rsidRPr="005E3B43">
              <w:t>r 30</w:t>
            </w:r>
            <w:r w:rsidRPr="005E3B43">
              <w:tab/>
            </w:r>
          </w:p>
        </w:tc>
        <w:tc>
          <w:tcPr>
            <w:tcW w:w="3505" w:type="pct"/>
          </w:tcPr>
          <w:p w14:paraId="5828C84F" w14:textId="77777777" w:rsidR="000447ED" w:rsidRPr="005E3B43" w:rsidRDefault="000447ED" w:rsidP="00763BCF">
            <w:pPr>
              <w:pStyle w:val="ENoteTableText"/>
            </w:pPr>
            <w:r w:rsidRPr="005E3B43">
              <w:t xml:space="preserve">am </w:t>
            </w:r>
            <w:r w:rsidR="00D05F66" w:rsidRPr="005E3B43">
              <w:t xml:space="preserve">No 234, </w:t>
            </w:r>
            <w:r w:rsidRPr="005E3B43">
              <w:t xml:space="preserve">2002; </w:t>
            </w:r>
            <w:r w:rsidR="00D05F66" w:rsidRPr="005E3B43">
              <w:t xml:space="preserve">No 361, </w:t>
            </w:r>
            <w:r w:rsidRPr="005E3B43">
              <w:t>2003</w:t>
            </w:r>
            <w:r w:rsidR="002F33B7" w:rsidRPr="005E3B43">
              <w:t>; F2019L01660</w:t>
            </w:r>
          </w:p>
        </w:tc>
      </w:tr>
      <w:tr w:rsidR="000447ED" w:rsidRPr="005E3B43" w14:paraId="32ADD19D" w14:textId="77777777" w:rsidTr="00034EA9">
        <w:trPr>
          <w:cantSplit/>
        </w:trPr>
        <w:tc>
          <w:tcPr>
            <w:tcW w:w="1495" w:type="pct"/>
          </w:tcPr>
          <w:p w14:paraId="27C144FF" w14:textId="77777777" w:rsidR="000447ED" w:rsidRPr="005E3B43" w:rsidRDefault="000447ED" w:rsidP="00763BCF">
            <w:pPr>
              <w:pStyle w:val="ENoteTableText"/>
              <w:tabs>
                <w:tab w:val="center" w:leader="dot" w:pos="2268"/>
              </w:tabs>
            </w:pPr>
            <w:r w:rsidRPr="005E3B43">
              <w:t>r 31</w:t>
            </w:r>
            <w:r w:rsidRPr="005E3B43">
              <w:tab/>
            </w:r>
          </w:p>
        </w:tc>
        <w:tc>
          <w:tcPr>
            <w:tcW w:w="3505" w:type="pct"/>
          </w:tcPr>
          <w:p w14:paraId="3C80C261" w14:textId="77777777" w:rsidR="000447ED" w:rsidRPr="005E3B43" w:rsidRDefault="000447ED" w:rsidP="00763BCF">
            <w:pPr>
              <w:pStyle w:val="ENoteTableText"/>
            </w:pPr>
            <w:r w:rsidRPr="005E3B43">
              <w:t>am No 252, 2001; No 234, 2002; F2018L00311</w:t>
            </w:r>
          </w:p>
        </w:tc>
      </w:tr>
      <w:tr w:rsidR="000447ED" w:rsidRPr="005E3B43" w14:paraId="572A3DF7" w14:textId="77777777" w:rsidTr="00034EA9">
        <w:trPr>
          <w:cantSplit/>
        </w:trPr>
        <w:tc>
          <w:tcPr>
            <w:tcW w:w="1495" w:type="pct"/>
          </w:tcPr>
          <w:p w14:paraId="514F4DB9" w14:textId="77777777" w:rsidR="000447ED" w:rsidRPr="005E3B43" w:rsidRDefault="000447ED" w:rsidP="00763BCF">
            <w:pPr>
              <w:pStyle w:val="ENoteTableText"/>
              <w:tabs>
                <w:tab w:val="center" w:leader="dot" w:pos="2268"/>
              </w:tabs>
            </w:pPr>
            <w:r w:rsidRPr="005E3B43">
              <w:t>r. 32</w:t>
            </w:r>
            <w:r w:rsidRPr="005E3B43">
              <w:tab/>
            </w:r>
          </w:p>
        </w:tc>
        <w:tc>
          <w:tcPr>
            <w:tcW w:w="3505" w:type="pct"/>
          </w:tcPr>
          <w:p w14:paraId="6A659C4E" w14:textId="77777777" w:rsidR="000447ED" w:rsidRPr="005E3B43" w:rsidRDefault="000447ED" w:rsidP="00763BCF">
            <w:pPr>
              <w:pStyle w:val="ENoteTableText"/>
            </w:pPr>
            <w:r w:rsidRPr="005E3B43">
              <w:t>am. 1994 No.</w:t>
            </w:r>
            <w:r w:rsidR="004E6D00" w:rsidRPr="005E3B43">
              <w:t> </w:t>
            </w:r>
            <w:r w:rsidRPr="005E3B43">
              <w:t>150; 2002 No.</w:t>
            </w:r>
            <w:r w:rsidR="004E6D00" w:rsidRPr="005E3B43">
              <w:t> </w:t>
            </w:r>
            <w:r w:rsidRPr="005E3B43">
              <w:t>9</w:t>
            </w:r>
          </w:p>
        </w:tc>
      </w:tr>
      <w:tr w:rsidR="000447ED" w:rsidRPr="005E3B43" w14:paraId="1E6B0792" w14:textId="77777777" w:rsidTr="00034EA9">
        <w:trPr>
          <w:cantSplit/>
        </w:trPr>
        <w:tc>
          <w:tcPr>
            <w:tcW w:w="1495" w:type="pct"/>
          </w:tcPr>
          <w:p w14:paraId="0A982093" w14:textId="77777777" w:rsidR="000447ED" w:rsidRPr="005E3B43" w:rsidRDefault="000447ED" w:rsidP="00763BCF">
            <w:pPr>
              <w:pStyle w:val="ENoteTableText"/>
              <w:tabs>
                <w:tab w:val="center" w:leader="dot" w:pos="2268"/>
              </w:tabs>
            </w:pPr>
            <w:r w:rsidRPr="005E3B43">
              <w:t>r 33</w:t>
            </w:r>
            <w:r w:rsidRPr="005E3B43">
              <w:tab/>
            </w:r>
          </w:p>
        </w:tc>
        <w:tc>
          <w:tcPr>
            <w:tcW w:w="3505" w:type="pct"/>
          </w:tcPr>
          <w:p w14:paraId="092653D7" w14:textId="77777777" w:rsidR="000447ED" w:rsidRPr="005E3B43" w:rsidRDefault="00DE099D" w:rsidP="00763BCF">
            <w:pPr>
              <w:pStyle w:val="ENoteTableText"/>
            </w:pPr>
            <w:r w:rsidRPr="005E3B43">
              <w:t>am No 9, 2002</w:t>
            </w:r>
          </w:p>
        </w:tc>
      </w:tr>
      <w:tr w:rsidR="00151FE0" w:rsidRPr="005E3B43" w14:paraId="7CC5F2B3" w14:textId="77777777" w:rsidTr="00034EA9">
        <w:trPr>
          <w:cantSplit/>
        </w:trPr>
        <w:tc>
          <w:tcPr>
            <w:tcW w:w="1495" w:type="pct"/>
          </w:tcPr>
          <w:p w14:paraId="0B0E22D1" w14:textId="77777777" w:rsidR="00151FE0" w:rsidRPr="005E3B43" w:rsidRDefault="00151FE0" w:rsidP="00763BCF">
            <w:pPr>
              <w:pStyle w:val="ENoteTableText"/>
              <w:tabs>
                <w:tab w:val="center" w:leader="dot" w:pos="2268"/>
              </w:tabs>
            </w:pPr>
          </w:p>
        </w:tc>
        <w:tc>
          <w:tcPr>
            <w:tcW w:w="3505" w:type="pct"/>
          </w:tcPr>
          <w:p w14:paraId="385A56EF" w14:textId="77777777" w:rsidR="00151FE0" w:rsidRPr="005E3B43" w:rsidRDefault="00151FE0" w:rsidP="00763BCF">
            <w:pPr>
              <w:pStyle w:val="ENoteTableText"/>
            </w:pPr>
            <w:r w:rsidRPr="005E3B43">
              <w:t>rs F2024L00686</w:t>
            </w:r>
          </w:p>
        </w:tc>
      </w:tr>
      <w:tr w:rsidR="000447ED" w:rsidRPr="005E3B43" w14:paraId="59DF9217" w14:textId="77777777" w:rsidTr="00034EA9">
        <w:trPr>
          <w:cantSplit/>
        </w:trPr>
        <w:tc>
          <w:tcPr>
            <w:tcW w:w="1495" w:type="pct"/>
          </w:tcPr>
          <w:p w14:paraId="50FCC219" w14:textId="77777777" w:rsidR="000447ED" w:rsidRPr="005E3B43" w:rsidRDefault="000447ED" w:rsidP="00763BCF">
            <w:pPr>
              <w:pStyle w:val="ENoteTableText"/>
              <w:keepNext/>
            </w:pPr>
            <w:r w:rsidRPr="005E3B43">
              <w:rPr>
                <w:b/>
              </w:rPr>
              <w:t>Part</w:t>
            </w:r>
            <w:r w:rsidR="004E6D00" w:rsidRPr="005E3B43">
              <w:rPr>
                <w:b/>
              </w:rPr>
              <w:t> </w:t>
            </w:r>
            <w:r w:rsidRPr="005E3B43">
              <w:rPr>
                <w:b/>
              </w:rPr>
              <w:t>5A</w:t>
            </w:r>
          </w:p>
        </w:tc>
        <w:tc>
          <w:tcPr>
            <w:tcW w:w="3505" w:type="pct"/>
          </w:tcPr>
          <w:p w14:paraId="0BAF29B4" w14:textId="77777777" w:rsidR="000447ED" w:rsidRPr="005E3B43" w:rsidRDefault="000447ED" w:rsidP="00763BCF">
            <w:pPr>
              <w:pStyle w:val="ENoteTableText"/>
              <w:keepNext/>
            </w:pPr>
          </w:p>
        </w:tc>
      </w:tr>
      <w:tr w:rsidR="000447ED" w:rsidRPr="005E3B43" w14:paraId="6D5F758B" w14:textId="77777777" w:rsidTr="00034EA9">
        <w:trPr>
          <w:cantSplit/>
        </w:trPr>
        <w:tc>
          <w:tcPr>
            <w:tcW w:w="1495" w:type="pct"/>
          </w:tcPr>
          <w:p w14:paraId="70F462EE" w14:textId="77777777" w:rsidR="000447ED" w:rsidRPr="005E3B43" w:rsidRDefault="000447ED" w:rsidP="00763BCF">
            <w:pPr>
              <w:pStyle w:val="ENoteTableText"/>
              <w:tabs>
                <w:tab w:val="center" w:leader="dot" w:pos="2268"/>
              </w:tabs>
            </w:pPr>
            <w:r w:rsidRPr="005E3B43">
              <w:t>Part</w:t>
            </w:r>
            <w:r w:rsidR="004E6D00" w:rsidRPr="005E3B43">
              <w:t> </w:t>
            </w:r>
            <w:r w:rsidRPr="005E3B43">
              <w:t>5A</w:t>
            </w:r>
            <w:r w:rsidRPr="005E3B43">
              <w:tab/>
            </w:r>
          </w:p>
        </w:tc>
        <w:tc>
          <w:tcPr>
            <w:tcW w:w="3505" w:type="pct"/>
          </w:tcPr>
          <w:p w14:paraId="6A8437D9" w14:textId="77777777" w:rsidR="000447ED" w:rsidRPr="005E3B43" w:rsidRDefault="000447ED" w:rsidP="00763BCF">
            <w:pPr>
              <w:pStyle w:val="ENoteTableText"/>
            </w:pPr>
            <w:r w:rsidRPr="005E3B43">
              <w:t>ad. 2011 No.</w:t>
            </w:r>
            <w:r w:rsidR="004E6D00" w:rsidRPr="005E3B43">
              <w:t> </w:t>
            </w:r>
            <w:r w:rsidRPr="005E3B43">
              <w:t>30</w:t>
            </w:r>
          </w:p>
        </w:tc>
      </w:tr>
      <w:tr w:rsidR="000447ED" w:rsidRPr="005E3B43" w14:paraId="3AC6A722" w14:textId="77777777" w:rsidTr="00034EA9">
        <w:trPr>
          <w:cantSplit/>
        </w:trPr>
        <w:tc>
          <w:tcPr>
            <w:tcW w:w="1495" w:type="pct"/>
          </w:tcPr>
          <w:p w14:paraId="022D3D0D" w14:textId="77777777" w:rsidR="000447ED" w:rsidRPr="005E3B43" w:rsidRDefault="000447ED" w:rsidP="00763BCF">
            <w:pPr>
              <w:pStyle w:val="ENoteTableText"/>
              <w:tabs>
                <w:tab w:val="center" w:leader="dot" w:pos="2268"/>
              </w:tabs>
            </w:pPr>
            <w:r w:rsidRPr="005E3B43">
              <w:t>r. 33A</w:t>
            </w:r>
            <w:r w:rsidRPr="005E3B43">
              <w:tab/>
            </w:r>
          </w:p>
        </w:tc>
        <w:tc>
          <w:tcPr>
            <w:tcW w:w="3505" w:type="pct"/>
          </w:tcPr>
          <w:p w14:paraId="1C8BD066" w14:textId="77777777" w:rsidR="000447ED" w:rsidRPr="005E3B43" w:rsidRDefault="000447ED" w:rsidP="00763BCF">
            <w:pPr>
              <w:pStyle w:val="ENoteTableText"/>
            </w:pPr>
            <w:r w:rsidRPr="005E3B43">
              <w:t>ad. 2011 No.</w:t>
            </w:r>
            <w:r w:rsidR="004E6D00" w:rsidRPr="005E3B43">
              <w:t> </w:t>
            </w:r>
            <w:r w:rsidRPr="005E3B43">
              <w:t>30</w:t>
            </w:r>
          </w:p>
        </w:tc>
      </w:tr>
      <w:tr w:rsidR="000447ED" w:rsidRPr="005E3B43" w14:paraId="1F346EC0" w14:textId="77777777" w:rsidTr="00034EA9">
        <w:trPr>
          <w:cantSplit/>
        </w:trPr>
        <w:tc>
          <w:tcPr>
            <w:tcW w:w="1495" w:type="pct"/>
          </w:tcPr>
          <w:p w14:paraId="7206982B" w14:textId="77777777" w:rsidR="000447ED" w:rsidRPr="005E3B43" w:rsidRDefault="000447ED" w:rsidP="00763BCF">
            <w:pPr>
              <w:pStyle w:val="ENoteTableText"/>
              <w:tabs>
                <w:tab w:val="center" w:leader="dot" w:pos="2268"/>
              </w:tabs>
            </w:pPr>
            <w:r w:rsidRPr="005E3B43">
              <w:t>r. 33B</w:t>
            </w:r>
            <w:r w:rsidRPr="005E3B43">
              <w:tab/>
            </w:r>
          </w:p>
        </w:tc>
        <w:tc>
          <w:tcPr>
            <w:tcW w:w="3505" w:type="pct"/>
          </w:tcPr>
          <w:p w14:paraId="02089B24" w14:textId="77777777" w:rsidR="000447ED" w:rsidRPr="005E3B43" w:rsidRDefault="000447ED" w:rsidP="00763BCF">
            <w:pPr>
              <w:pStyle w:val="ENoteTableText"/>
            </w:pPr>
            <w:r w:rsidRPr="005E3B43">
              <w:t>ad. 2011 No.</w:t>
            </w:r>
            <w:r w:rsidR="004E6D00" w:rsidRPr="005E3B43">
              <w:t> </w:t>
            </w:r>
            <w:r w:rsidRPr="005E3B43">
              <w:t>30</w:t>
            </w:r>
          </w:p>
        </w:tc>
      </w:tr>
      <w:tr w:rsidR="000447ED" w:rsidRPr="005E3B43" w14:paraId="2534BD23" w14:textId="77777777" w:rsidTr="00034EA9">
        <w:trPr>
          <w:cantSplit/>
        </w:trPr>
        <w:tc>
          <w:tcPr>
            <w:tcW w:w="1495" w:type="pct"/>
          </w:tcPr>
          <w:p w14:paraId="398977D8" w14:textId="77777777" w:rsidR="000447ED" w:rsidRPr="005E3B43" w:rsidRDefault="000447ED" w:rsidP="00763BCF">
            <w:pPr>
              <w:pStyle w:val="ENoteTableText"/>
              <w:tabs>
                <w:tab w:val="center" w:leader="dot" w:pos="2268"/>
              </w:tabs>
            </w:pPr>
            <w:r w:rsidRPr="005E3B43">
              <w:t>r. 33C</w:t>
            </w:r>
            <w:r w:rsidRPr="005E3B43">
              <w:tab/>
            </w:r>
          </w:p>
        </w:tc>
        <w:tc>
          <w:tcPr>
            <w:tcW w:w="3505" w:type="pct"/>
          </w:tcPr>
          <w:p w14:paraId="69C77DDF" w14:textId="77777777" w:rsidR="000447ED" w:rsidRPr="005E3B43" w:rsidRDefault="000447ED" w:rsidP="00763BCF">
            <w:pPr>
              <w:pStyle w:val="ENoteTableText"/>
            </w:pPr>
            <w:r w:rsidRPr="005E3B43">
              <w:t>ad. 2011 No.</w:t>
            </w:r>
            <w:r w:rsidR="004E6D00" w:rsidRPr="005E3B43">
              <w:t> </w:t>
            </w:r>
            <w:r w:rsidRPr="005E3B43">
              <w:t>30</w:t>
            </w:r>
          </w:p>
        </w:tc>
      </w:tr>
      <w:tr w:rsidR="000447ED" w:rsidRPr="005E3B43" w14:paraId="5B84DA4C" w14:textId="77777777" w:rsidTr="00034EA9">
        <w:trPr>
          <w:cantSplit/>
        </w:trPr>
        <w:tc>
          <w:tcPr>
            <w:tcW w:w="1495" w:type="pct"/>
          </w:tcPr>
          <w:p w14:paraId="7348BB7B" w14:textId="77777777" w:rsidR="000447ED" w:rsidRPr="005E3B43" w:rsidRDefault="000447ED" w:rsidP="00763BCF">
            <w:pPr>
              <w:pStyle w:val="ENoteTableText"/>
              <w:keepNext/>
            </w:pPr>
            <w:r w:rsidRPr="005E3B43">
              <w:rPr>
                <w:b/>
              </w:rPr>
              <w:t>Part</w:t>
            </w:r>
            <w:r w:rsidR="004E6D00" w:rsidRPr="005E3B43">
              <w:rPr>
                <w:b/>
              </w:rPr>
              <w:t> </w:t>
            </w:r>
            <w:r w:rsidRPr="005E3B43">
              <w:rPr>
                <w:b/>
              </w:rPr>
              <w:t>6</w:t>
            </w:r>
          </w:p>
        </w:tc>
        <w:tc>
          <w:tcPr>
            <w:tcW w:w="3505" w:type="pct"/>
          </w:tcPr>
          <w:p w14:paraId="484D60BC" w14:textId="77777777" w:rsidR="000447ED" w:rsidRPr="005E3B43" w:rsidRDefault="000447ED" w:rsidP="00763BCF">
            <w:pPr>
              <w:pStyle w:val="ENoteTableText"/>
              <w:keepNext/>
            </w:pPr>
          </w:p>
        </w:tc>
      </w:tr>
      <w:tr w:rsidR="000447ED" w:rsidRPr="005E3B43" w14:paraId="3D50923F" w14:textId="77777777" w:rsidTr="00034EA9">
        <w:trPr>
          <w:cantSplit/>
        </w:trPr>
        <w:tc>
          <w:tcPr>
            <w:tcW w:w="1495" w:type="pct"/>
          </w:tcPr>
          <w:p w14:paraId="12B772D3" w14:textId="77777777" w:rsidR="000447ED" w:rsidRPr="005E3B43" w:rsidRDefault="003C0723" w:rsidP="00763BCF">
            <w:pPr>
              <w:pStyle w:val="ENoteTableText"/>
            </w:pPr>
            <w:r w:rsidRPr="005E3B43">
              <w:rPr>
                <w:b/>
              </w:rPr>
              <w:t>Division 1</w:t>
            </w:r>
          </w:p>
        </w:tc>
        <w:tc>
          <w:tcPr>
            <w:tcW w:w="3505" w:type="pct"/>
          </w:tcPr>
          <w:p w14:paraId="22BCBAA2" w14:textId="77777777" w:rsidR="000447ED" w:rsidRPr="005E3B43" w:rsidRDefault="000447ED" w:rsidP="00763BCF">
            <w:pPr>
              <w:pStyle w:val="ENoteTableText"/>
            </w:pPr>
          </w:p>
        </w:tc>
      </w:tr>
      <w:tr w:rsidR="000447ED" w:rsidRPr="005E3B43" w14:paraId="142A5943" w14:textId="77777777" w:rsidTr="00034EA9">
        <w:trPr>
          <w:cantSplit/>
        </w:trPr>
        <w:tc>
          <w:tcPr>
            <w:tcW w:w="1495" w:type="pct"/>
          </w:tcPr>
          <w:p w14:paraId="570759F8" w14:textId="77777777" w:rsidR="000447ED" w:rsidRPr="005E3B43" w:rsidRDefault="003C0723" w:rsidP="00763BCF">
            <w:pPr>
              <w:pStyle w:val="ENoteTableText"/>
              <w:tabs>
                <w:tab w:val="center" w:leader="dot" w:pos="2268"/>
              </w:tabs>
            </w:pPr>
            <w:r w:rsidRPr="005E3B43">
              <w:t>Division 1</w:t>
            </w:r>
            <w:r w:rsidR="000447ED" w:rsidRPr="005E3B43">
              <w:t xml:space="preserve"> heading</w:t>
            </w:r>
            <w:r w:rsidR="000447ED" w:rsidRPr="005E3B43">
              <w:tab/>
            </w:r>
          </w:p>
        </w:tc>
        <w:tc>
          <w:tcPr>
            <w:tcW w:w="3505" w:type="pct"/>
          </w:tcPr>
          <w:p w14:paraId="50136C30" w14:textId="77777777" w:rsidR="000447ED" w:rsidRPr="005E3B43" w:rsidRDefault="000447ED" w:rsidP="00763BCF">
            <w:pPr>
              <w:pStyle w:val="ENoteTableText"/>
            </w:pPr>
            <w:r w:rsidRPr="005E3B43">
              <w:t>ad. 1997 No.</w:t>
            </w:r>
            <w:r w:rsidR="004E6D00" w:rsidRPr="005E3B43">
              <w:t> </w:t>
            </w:r>
            <w:r w:rsidRPr="005E3B43">
              <w:t>400</w:t>
            </w:r>
          </w:p>
        </w:tc>
      </w:tr>
      <w:tr w:rsidR="000447ED" w:rsidRPr="005E3B43" w14:paraId="6DC048A6" w14:textId="77777777" w:rsidTr="00034EA9">
        <w:trPr>
          <w:cantSplit/>
        </w:trPr>
        <w:tc>
          <w:tcPr>
            <w:tcW w:w="1495" w:type="pct"/>
          </w:tcPr>
          <w:p w14:paraId="37AF216D" w14:textId="77777777" w:rsidR="000447ED" w:rsidRPr="005E3B43" w:rsidRDefault="000447ED" w:rsidP="00763BCF">
            <w:pPr>
              <w:pStyle w:val="ENoteTableText"/>
            </w:pPr>
          </w:p>
        </w:tc>
        <w:tc>
          <w:tcPr>
            <w:tcW w:w="3505" w:type="pct"/>
          </w:tcPr>
          <w:p w14:paraId="54A23461" w14:textId="77777777" w:rsidR="000447ED" w:rsidRPr="005E3B43" w:rsidRDefault="000447ED" w:rsidP="00763BCF">
            <w:pPr>
              <w:pStyle w:val="ENoteTableText"/>
            </w:pPr>
            <w:r w:rsidRPr="005E3B43">
              <w:t>rs. 2002 No.</w:t>
            </w:r>
            <w:r w:rsidR="004E6D00" w:rsidRPr="005E3B43">
              <w:t> </w:t>
            </w:r>
            <w:r w:rsidRPr="005E3B43">
              <w:t>234; 2009 No.</w:t>
            </w:r>
            <w:r w:rsidR="004E6D00" w:rsidRPr="005E3B43">
              <w:t> </w:t>
            </w:r>
            <w:r w:rsidRPr="005E3B43">
              <w:t>374</w:t>
            </w:r>
          </w:p>
        </w:tc>
      </w:tr>
      <w:tr w:rsidR="000447ED" w:rsidRPr="005E3B43" w14:paraId="7D37B31E" w14:textId="77777777" w:rsidTr="00034EA9">
        <w:trPr>
          <w:cantSplit/>
        </w:trPr>
        <w:tc>
          <w:tcPr>
            <w:tcW w:w="1495" w:type="pct"/>
          </w:tcPr>
          <w:p w14:paraId="04AFF93A" w14:textId="77777777" w:rsidR="000447ED" w:rsidRPr="005E3B43" w:rsidRDefault="000447ED" w:rsidP="00763BCF">
            <w:pPr>
              <w:pStyle w:val="ENoteTableText"/>
            </w:pPr>
          </w:p>
        </w:tc>
        <w:tc>
          <w:tcPr>
            <w:tcW w:w="3505" w:type="pct"/>
          </w:tcPr>
          <w:p w14:paraId="6DF8CF5A" w14:textId="77777777" w:rsidR="000447ED" w:rsidRPr="005E3B43" w:rsidRDefault="000447ED" w:rsidP="00763BCF">
            <w:pPr>
              <w:pStyle w:val="ENoteTableText"/>
            </w:pPr>
            <w:r w:rsidRPr="005E3B43">
              <w:t>rep F2016L01614</w:t>
            </w:r>
          </w:p>
        </w:tc>
      </w:tr>
      <w:tr w:rsidR="000447ED" w:rsidRPr="005E3B43" w14:paraId="76A28776" w14:textId="77777777" w:rsidTr="00034EA9">
        <w:trPr>
          <w:cantSplit/>
        </w:trPr>
        <w:tc>
          <w:tcPr>
            <w:tcW w:w="1495" w:type="pct"/>
          </w:tcPr>
          <w:p w14:paraId="5CDF76D0" w14:textId="77777777" w:rsidR="000447ED" w:rsidRPr="005E3B43" w:rsidRDefault="003C0723" w:rsidP="00763BCF">
            <w:pPr>
              <w:pStyle w:val="ENoteTableText"/>
              <w:tabs>
                <w:tab w:val="center" w:leader="dot" w:pos="2268"/>
              </w:tabs>
            </w:pPr>
            <w:r w:rsidRPr="005E3B43">
              <w:t>Division 1</w:t>
            </w:r>
            <w:r w:rsidR="000447ED" w:rsidRPr="005E3B43">
              <w:tab/>
            </w:r>
          </w:p>
        </w:tc>
        <w:tc>
          <w:tcPr>
            <w:tcW w:w="3505" w:type="pct"/>
          </w:tcPr>
          <w:p w14:paraId="03DDFF94" w14:textId="77777777" w:rsidR="000447ED" w:rsidRPr="005E3B43" w:rsidRDefault="000447ED" w:rsidP="00763BCF">
            <w:pPr>
              <w:pStyle w:val="ENoteTableText"/>
            </w:pPr>
            <w:r w:rsidRPr="005E3B43">
              <w:t>rs. 2009 No.</w:t>
            </w:r>
            <w:r w:rsidR="004E6D00" w:rsidRPr="005E3B43">
              <w:t> </w:t>
            </w:r>
            <w:r w:rsidRPr="005E3B43">
              <w:t>374</w:t>
            </w:r>
          </w:p>
        </w:tc>
      </w:tr>
      <w:tr w:rsidR="000447ED" w:rsidRPr="005E3B43" w14:paraId="13989967" w14:textId="77777777" w:rsidTr="00034EA9">
        <w:trPr>
          <w:cantSplit/>
        </w:trPr>
        <w:tc>
          <w:tcPr>
            <w:tcW w:w="1495" w:type="pct"/>
          </w:tcPr>
          <w:p w14:paraId="5433AAA2" w14:textId="77777777" w:rsidR="000447ED" w:rsidRPr="005E3B43" w:rsidRDefault="000447ED" w:rsidP="00763BCF">
            <w:pPr>
              <w:pStyle w:val="ENoteTableText"/>
              <w:tabs>
                <w:tab w:val="center" w:leader="dot" w:pos="2268"/>
              </w:tabs>
            </w:pPr>
          </w:p>
        </w:tc>
        <w:tc>
          <w:tcPr>
            <w:tcW w:w="3505" w:type="pct"/>
          </w:tcPr>
          <w:p w14:paraId="5D25F0ED" w14:textId="77777777" w:rsidR="000447ED" w:rsidRPr="005E3B43" w:rsidRDefault="000447ED" w:rsidP="00763BCF">
            <w:pPr>
              <w:pStyle w:val="ENoteTableText"/>
            </w:pPr>
            <w:r w:rsidRPr="005E3B43">
              <w:t>rep F2016L01614</w:t>
            </w:r>
          </w:p>
        </w:tc>
      </w:tr>
      <w:tr w:rsidR="000447ED" w:rsidRPr="005E3B43" w14:paraId="1C777050" w14:textId="77777777" w:rsidTr="00034EA9">
        <w:trPr>
          <w:cantSplit/>
        </w:trPr>
        <w:tc>
          <w:tcPr>
            <w:tcW w:w="1495" w:type="pct"/>
          </w:tcPr>
          <w:p w14:paraId="6041CE12" w14:textId="77777777" w:rsidR="000447ED" w:rsidRPr="005E3B43" w:rsidRDefault="000447ED" w:rsidP="00763BCF">
            <w:pPr>
              <w:pStyle w:val="ENoteTableText"/>
              <w:tabs>
                <w:tab w:val="center" w:leader="dot" w:pos="2268"/>
              </w:tabs>
            </w:pPr>
            <w:r w:rsidRPr="005E3B43">
              <w:t>r. 34</w:t>
            </w:r>
            <w:r w:rsidRPr="005E3B43">
              <w:tab/>
            </w:r>
          </w:p>
        </w:tc>
        <w:tc>
          <w:tcPr>
            <w:tcW w:w="3505" w:type="pct"/>
          </w:tcPr>
          <w:p w14:paraId="578B7795" w14:textId="77777777" w:rsidR="000447ED" w:rsidRPr="005E3B43" w:rsidRDefault="000447ED" w:rsidP="00763BCF">
            <w:pPr>
              <w:pStyle w:val="ENoteTableText"/>
            </w:pPr>
            <w:r w:rsidRPr="005E3B43">
              <w:t>am. 1995 No.</w:t>
            </w:r>
            <w:r w:rsidR="004E6D00" w:rsidRPr="005E3B43">
              <w:t> </w:t>
            </w:r>
            <w:r w:rsidRPr="005E3B43">
              <w:t>208; 1999 No.</w:t>
            </w:r>
            <w:r w:rsidR="004E6D00" w:rsidRPr="005E3B43">
              <w:t> </w:t>
            </w:r>
            <w:r w:rsidRPr="005E3B43">
              <w:t>62; 2002 No.</w:t>
            </w:r>
            <w:r w:rsidR="004E6D00" w:rsidRPr="005E3B43">
              <w:t> </w:t>
            </w:r>
            <w:r w:rsidRPr="005E3B43">
              <w:t>234</w:t>
            </w:r>
          </w:p>
        </w:tc>
      </w:tr>
      <w:tr w:rsidR="000447ED" w:rsidRPr="005E3B43" w14:paraId="1622BC51" w14:textId="77777777" w:rsidTr="00034EA9">
        <w:trPr>
          <w:cantSplit/>
        </w:trPr>
        <w:tc>
          <w:tcPr>
            <w:tcW w:w="1495" w:type="pct"/>
          </w:tcPr>
          <w:p w14:paraId="2D1C7718" w14:textId="77777777" w:rsidR="000447ED" w:rsidRPr="005E3B43" w:rsidRDefault="000447ED" w:rsidP="00763BCF">
            <w:pPr>
              <w:pStyle w:val="ENoteTableText"/>
            </w:pPr>
          </w:p>
        </w:tc>
        <w:tc>
          <w:tcPr>
            <w:tcW w:w="3505" w:type="pct"/>
          </w:tcPr>
          <w:p w14:paraId="381198E1" w14:textId="77777777" w:rsidR="000447ED" w:rsidRPr="005E3B43" w:rsidRDefault="000447ED" w:rsidP="00763BCF">
            <w:pPr>
              <w:pStyle w:val="ENoteTableText"/>
            </w:pPr>
            <w:r w:rsidRPr="005E3B43">
              <w:t>rs. 2009 No.</w:t>
            </w:r>
            <w:r w:rsidR="004E6D00" w:rsidRPr="005E3B43">
              <w:t> </w:t>
            </w:r>
            <w:r w:rsidRPr="005E3B43">
              <w:t>374</w:t>
            </w:r>
          </w:p>
        </w:tc>
      </w:tr>
      <w:tr w:rsidR="000447ED" w:rsidRPr="005E3B43" w14:paraId="3F8F579A" w14:textId="77777777" w:rsidTr="00034EA9">
        <w:trPr>
          <w:cantSplit/>
        </w:trPr>
        <w:tc>
          <w:tcPr>
            <w:tcW w:w="1495" w:type="pct"/>
          </w:tcPr>
          <w:p w14:paraId="4D9F3B54" w14:textId="77777777" w:rsidR="000447ED" w:rsidRPr="005E3B43" w:rsidRDefault="000447ED" w:rsidP="00763BCF">
            <w:pPr>
              <w:pStyle w:val="ENoteTableText"/>
            </w:pPr>
          </w:p>
        </w:tc>
        <w:tc>
          <w:tcPr>
            <w:tcW w:w="3505" w:type="pct"/>
          </w:tcPr>
          <w:p w14:paraId="70B3DF6D" w14:textId="77777777" w:rsidR="000447ED" w:rsidRPr="005E3B43" w:rsidRDefault="000447ED" w:rsidP="00763BCF">
            <w:pPr>
              <w:pStyle w:val="ENoteTableText"/>
            </w:pPr>
            <w:r w:rsidRPr="005E3B43">
              <w:t>rep F2016L01614</w:t>
            </w:r>
          </w:p>
        </w:tc>
      </w:tr>
      <w:tr w:rsidR="000447ED" w:rsidRPr="005E3B43" w14:paraId="17D28667" w14:textId="77777777" w:rsidTr="00034EA9">
        <w:trPr>
          <w:cantSplit/>
        </w:trPr>
        <w:tc>
          <w:tcPr>
            <w:tcW w:w="1495" w:type="pct"/>
          </w:tcPr>
          <w:p w14:paraId="79208449" w14:textId="77777777" w:rsidR="000447ED" w:rsidRPr="005E3B43" w:rsidRDefault="000447ED" w:rsidP="00763BCF">
            <w:pPr>
              <w:pStyle w:val="ENoteTableText"/>
              <w:tabs>
                <w:tab w:val="center" w:leader="dot" w:pos="2268"/>
              </w:tabs>
            </w:pPr>
            <w:r w:rsidRPr="005E3B43">
              <w:t>r. 34A</w:t>
            </w:r>
            <w:r w:rsidRPr="005E3B43">
              <w:tab/>
            </w:r>
          </w:p>
        </w:tc>
        <w:tc>
          <w:tcPr>
            <w:tcW w:w="3505" w:type="pct"/>
          </w:tcPr>
          <w:p w14:paraId="6F7FE073" w14:textId="77777777" w:rsidR="000447ED" w:rsidRPr="005E3B43" w:rsidRDefault="000447ED" w:rsidP="00763BCF">
            <w:pPr>
              <w:pStyle w:val="ENoteTableText"/>
            </w:pPr>
            <w:r w:rsidRPr="005E3B43">
              <w:t>ad. 2009 No.</w:t>
            </w:r>
            <w:r w:rsidR="004E6D00" w:rsidRPr="005E3B43">
              <w:t> </w:t>
            </w:r>
            <w:r w:rsidRPr="005E3B43">
              <w:t>374</w:t>
            </w:r>
          </w:p>
        </w:tc>
      </w:tr>
      <w:tr w:rsidR="000447ED" w:rsidRPr="005E3B43" w14:paraId="63738EFF" w14:textId="77777777" w:rsidTr="00034EA9">
        <w:trPr>
          <w:cantSplit/>
        </w:trPr>
        <w:tc>
          <w:tcPr>
            <w:tcW w:w="1495" w:type="pct"/>
          </w:tcPr>
          <w:p w14:paraId="027AE32E" w14:textId="77777777" w:rsidR="000447ED" w:rsidRPr="005E3B43" w:rsidRDefault="000447ED" w:rsidP="00763BCF">
            <w:pPr>
              <w:pStyle w:val="ENoteTableText"/>
            </w:pPr>
          </w:p>
        </w:tc>
        <w:tc>
          <w:tcPr>
            <w:tcW w:w="3505" w:type="pct"/>
          </w:tcPr>
          <w:p w14:paraId="3F6A134F" w14:textId="77777777" w:rsidR="000447ED" w:rsidRPr="005E3B43" w:rsidRDefault="000447ED" w:rsidP="00763BCF">
            <w:pPr>
              <w:pStyle w:val="ENoteTableText"/>
            </w:pPr>
            <w:r w:rsidRPr="005E3B43">
              <w:t>am. 2011 No.</w:t>
            </w:r>
            <w:r w:rsidR="004E6D00" w:rsidRPr="005E3B43">
              <w:t> </w:t>
            </w:r>
            <w:r w:rsidRPr="005E3B43">
              <w:t>30; 2012 No.</w:t>
            </w:r>
            <w:r w:rsidR="004E6D00" w:rsidRPr="005E3B43">
              <w:t> </w:t>
            </w:r>
            <w:r w:rsidRPr="005E3B43">
              <w:t>251; No.</w:t>
            </w:r>
            <w:r w:rsidR="004E6D00" w:rsidRPr="005E3B43">
              <w:t> </w:t>
            </w:r>
            <w:r w:rsidRPr="005E3B43">
              <w:t>220, 2013</w:t>
            </w:r>
          </w:p>
        </w:tc>
      </w:tr>
      <w:tr w:rsidR="000447ED" w:rsidRPr="005E3B43" w14:paraId="3B06469D" w14:textId="77777777" w:rsidTr="00034EA9">
        <w:trPr>
          <w:cantSplit/>
        </w:trPr>
        <w:tc>
          <w:tcPr>
            <w:tcW w:w="1495" w:type="pct"/>
          </w:tcPr>
          <w:p w14:paraId="6341C08D" w14:textId="77777777" w:rsidR="000447ED" w:rsidRPr="005E3B43" w:rsidRDefault="000447ED" w:rsidP="00763BCF">
            <w:pPr>
              <w:pStyle w:val="ENoteTableText"/>
            </w:pPr>
          </w:p>
        </w:tc>
        <w:tc>
          <w:tcPr>
            <w:tcW w:w="3505" w:type="pct"/>
          </w:tcPr>
          <w:p w14:paraId="6C84BAFC" w14:textId="77777777" w:rsidR="000447ED" w:rsidRPr="005E3B43" w:rsidRDefault="000447ED" w:rsidP="00763BCF">
            <w:pPr>
              <w:pStyle w:val="ENoteTableText"/>
            </w:pPr>
            <w:r w:rsidRPr="005E3B43">
              <w:t>rep F2016L01614</w:t>
            </w:r>
          </w:p>
        </w:tc>
      </w:tr>
      <w:tr w:rsidR="000447ED" w:rsidRPr="005E3B43" w14:paraId="719A0947" w14:textId="77777777" w:rsidTr="00034EA9">
        <w:trPr>
          <w:cantSplit/>
        </w:trPr>
        <w:tc>
          <w:tcPr>
            <w:tcW w:w="1495" w:type="pct"/>
          </w:tcPr>
          <w:p w14:paraId="7ACFD29E" w14:textId="77777777" w:rsidR="000447ED" w:rsidRPr="005E3B43" w:rsidRDefault="000447ED" w:rsidP="00763BCF">
            <w:pPr>
              <w:pStyle w:val="ENoteTableText"/>
              <w:tabs>
                <w:tab w:val="center" w:leader="dot" w:pos="2268"/>
              </w:tabs>
            </w:pPr>
            <w:r w:rsidRPr="005E3B43">
              <w:t>r. 34B</w:t>
            </w:r>
            <w:r w:rsidRPr="005E3B43">
              <w:tab/>
            </w:r>
          </w:p>
        </w:tc>
        <w:tc>
          <w:tcPr>
            <w:tcW w:w="3505" w:type="pct"/>
          </w:tcPr>
          <w:p w14:paraId="11CFF295" w14:textId="77777777" w:rsidR="000447ED" w:rsidRPr="005E3B43" w:rsidRDefault="000447ED" w:rsidP="00763BCF">
            <w:pPr>
              <w:pStyle w:val="ENoteTableText"/>
            </w:pPr>
            <w:r w:rsidRPr="005E3B43">
              <w:t>ad. 2009 No.</w:t>
            </w:r>
            <w:r w:rsidR="004E6D00" w:rsidRPr="005E3B43">
              <w:t> </w:t>
            </w:r>
            <w:r w:rsidRPr="005E3B43">
              <w:t>374</w:t>
            </w:r>
          </w:p>
        </w:tc>
      </w:tr>
      <w:tr w:rsidR="000447ED" w:rsidRPr="005E3B43" w14:paraId="4BE9CB71" w14:textId="77777777" w:rsidTr="00034EA9">
        <w:trPr>
          <w:cantSplit/>
        </w:trPr>
        <w:tc>
          <w:tcPr>
            <w:tcW w:w="1495" w:type="pct"/>
          </w:tcPr>
          <w:p w14:paraId="3D62F01D" w14:textId="77777777" w:rsidR="000447ED" w:rsidRPr="005E3B43" w:rsidRDefault="000447ED" w:rsidP="00763BCF">
            <w:pPr>
              <w:pStyle w:val="ENoteTableText"/>
              <w:tabs>
                <w:tab w:val="center" w:leader="dot" w:pos="2268"/>
              </w:tabs>
            </w:pPr>
          </w:p>
        </w:tc>
        <w:tc>
          <w:tcPr>
            <w:tcW w:w="3505" w:type="pct"/>
          </w:tcPr>
          <w:p w14:paraId="17A2642D" w14:textId="77777777" w:rsidR="000447ED" w:rsidRPr="005E3B43" w:rsidRDefault="000447ED" w:rsidP="00763BCF">
            <w:pPr>
              <w:pStyle w:val="ENoteTableText"/>
            </w:pPr>
            <w:r w:rsidRPr="005E3B43">
              <w:t>rep F2016L01614</w:t>
            </w:r>
          </w:p>
        </w:tc>
      </w:tr>
      <w:tr w:rsidR="000447ED" w:rsidRPr="005E3B43" w14:paraId="5C8F6FED" w14:textId="77777777" w:rsidTr="00034EA9">
        <w:trPr>
          <w:cantSplit/>
        </w:trPr>
        <w:tc>
          <w:tcPr>
            <w:tcW w:w="1495" w:type="pct"/>
          </w:tcPr>
          <w:p w14:paraId="632E979F" w14:textId="77777777" w:rsidR="000447ED" w:rsidRPr="005E3B43" w:rsidRDefault="003C0723" w:rsidP="00763BCF">
            <w:pPr>
              <w:pStyle w:val="ENoteTableText"/>
              <w:keepNext/>
            </w:pPr>
            <w:r w:rsidRPr="005E3B43">
              <w:rPr>
                <w:b/>
              </w:rPr>
              <w:t>Division 1</w:t>
            </w:r>
            <w:r w:rsidR="000447ED" w:rsidRPr="005E3B43">
              <w:rPr>
                <w:b/>
              </w:rPr>
              <w:t>A</w:t>
            </w:r>
          </w:p>
        </w:tc>
        <w:tc>
          <w:tcPr>
            <w:tcW w:w="3505" w:type="pct"/>
          </w:tcPr>
          <w:p w14:paraId="0D7BAC58" w14:textId="77777777" w:rsidR="000447ED" w:rsidRPr="005E3B43" w:rsidRDefault="000447ED" w:rsidP="00763BCF">
            <w:pPr>
              <w:pStyle w:val="ENoteTableText"/>
            </w:pPr>
          </w:p>
        </w:tc>
      </w:tr>
      <w:tr w:rsidR="000447ED" w:rsidRPr="005E3B43" w14:paraId="00161571" w14:textId="77777777" w:rsidTr="00034EA9">
        <w:trPr>
          <w:cantSplit/>
        </w:trPr>
        <w:tc>
          <w:tcPr>
            <w:tcW w:w="1495" w:type="pct"/>
          </w:tcPr>
          <w:p w14:paraId="05C5CDA3" w14:textId="77777777" w:rsidR="000447ED" w:rsidRPr="005E3B43" w:rsidRDefault="003C0723" w:rsidP="00763BCF">
            <w:pPr>
              <w:pStyle w:val="ENoteTableText"/>
              <w:tabs>
                <w:tab w:val="center" w:leader="dot" w:pos="2268"/>
              </w:tabs>
            </w:pPr>
            <w:r w:rsidRPr="005E3B43">
              <w:t>Division 1</w:t>
            </w:r>
            <w:r w:rsidR="000447ED" w:rsidRPr="005E3B43">
              <w:t>A heading</w:t>
            </w:r>
            <w:r w:rsidR="000447ED" w:rsidRPr="005E3B43">
              <w:tab/>
            </w:r>
          </w:p>
        </w:tc>
        <w:tc>
          <w:tcPr>
            <w:tcW w:w="3505" w:type="pct"/>
          </w:tcPr>
          <w:p w14:paraId="106EA755" w14:textId="77777777" w:rsidR="000447ED" w:rsidRPr="005E3B43" w:rsidRDefault="000447ED" w:rsidP="00763BCF">
            <w:pPr>
              <w:pStyle w:val="ENoteTableText"/>
            </w:pPr>
            <w:r w:rsidRPr="005E3B43">
              <w:t>rs F2016L01614</w:t>
            </w:r>
          </w:p>
        </w:tc>
      </w:tr>
      <w:tr w:rsidR="000447ED" w:rsidRPr="005E3B43" w14:paraId="676F29FE" w14:textId="77777777" w:rsidTr="00034EA9">
        <w:trPr>
          <w:cantSplit/>
        </w:trPr>
        <w:tc>
          <w:tcPr>
            <w:tcW w:w="1495" w:type="pct"/>
          </w:tcPr>
          <w:p w14:paraId="6A412DF2" w14:textId="77777777" w:rsidR="000447ED" w:rsidRPr="005E3B43" w:rsidRDefault="003C0723" w:rsidP="00763BCF">
            <w:pPr>
              <w:pStyle w:val="ENoteTableText"/>
              <w:tabs>
                <w:tab w:val="center" w:leader="dot" w:pos="2268"/>
              </w:tabs>
            </w:pPr>
            <w:r w:rsidRPr="005E3B43">
              <w:t>Division 1</w:t>
            </w:r>
            <w:r w:rsidR="000447ED" w:rsidRPr="005E3B43">
              <w:t>A</w:t>
            </w:r>
            <w:r w:rsidR="000447ED" w:rsidRPr="005E3B43">
              <w:tab/>
            </w:r>
          </w:p>
        </w:tc>
        <w:tc>
          <w:tcPr>
            <w:tcW w:w="3505" w:type="pct"/>
          </w:tcPr>
          <w:p w14:paraId="618C88F6" w14:textId="77777777" w:rsidR="000447ED" w:rsidRPr="005E3B43" w:rsidRDefault="000447ED" w:rsidP="00763BCF">
            <w:pPr>
              <w:pStyle w:val="ENoteTableText"/>
            </w:pPr>
            <w:r w:rsidRPr="005E3B43">
              <w:t>ad. 2009 No.</w:t>
            </w:r>
            <w:r w:rsidR="004E6D00" w:rsidRPr="005E3B43">
              <w:t> </w:t>
            </w:r>
            <w:r w:rsidRPr="005E3B43">
              <w:t>374</w:t>
            </w:r>
          </w:p>
        </w:tc>
      </w:tr>
      <w:tr w:rsidR="000447ED" w:rsidRPr="005E3B43" w14:paraId="3B565CD6" w14:textId="77777777" w:rsidTr="00034EA9">
        <w:trPr>
          <w:cantSplit/>
        </w:trPr>
        <w:tc>
          <w:tcPr>
            <w:tcW w:w="1495" w:type="pct"/>
          </w:tcPr>
          <w:p w14:paraId="2EAAF34E" w14:textId="77777777" w:rsidR="000447ED" w:rsidRPr="005E3B43" w:rsidRDefault="000447ED" w:rsidP="00763BCF">
            <w:pPr>
              <w:pStyle w:val="ENoteTableText"/>
              <w:tabs>
                <w:tab w:val="center" w:leader="dot" w:pos="2268"/>
              </w:tabs>
            </w:pPr>
            <w:r w:rsidRPr="005E3B43">
              <w:t>r 35</w:t>
            </w:r>
            <w:r w:rsidRPr="005E3B43">
              <w:tab/>
            </w:r>
          </w:p>
        </w:tc>
        <w:tc>
          <w:tcPr>
            <w:tcW w:w="3505" w:type="pct"/>
          </w:tcPr>
          <w:p w14:paraId="6F44BEBD" w14:textId="77777777" w:rsidR="000447ED" w:rsidRPr="005E3B43" w:rsidRDefault="000447ED" w:rsidP="00763BCF">
            <w:pPr>
              <w:pStyle w:val="ENoteTableText"/>
            </w:pPr>
            <w:r w:rsidRPr="005E3B43">
              <w:t>am. 1991 No.</w:t>
            </w:r>
            <w:r w:rsidR="004E6D00" w:rsidRPr="005E3B43">
              <w:t> </w:t>
            </w:r>
            <w:r w:rsidRPr="005E3B43">
              <w:t>485; 1999 No.</w:t>
            </w:r>
            <w:r w:rsidR="004E6D00" w:rsidRPr="005E3B43">
              <w:t> </w:t>
            </w:r>
            <w:r w:rsidRPr="005E3B43">
              <w:t>62</w:t>
            </w:r>
          </w:p>
        </w:tc>
      </w:tr>
      <w:tr w:rsidR="000447ED" w:rsidRPr="005E3B43" w14:paraId="3D3D3AD0" w14:textId="77777777" w:rsidTr="00034EA9">
        <w:trPr>
          <w:cantSplit/>
        </w:trPr>
        <w:tc>
          <w:tcPr>
            <w:tcW w:w="1495" w:type="pct"/>
          </w:tcPr>
          <w:p w14:paraId="7B344119" w14:textId="77777777" w:rsidR="000447ED" w:rsidRPr="005E3B43" w:rsidRDefault="000447ED" w:rsidP="00763BCF">
            <w:pPr>
              <w:pStyle w:val="ENoteTableText"/>
            </w:pPr>
          </w:p>
        </w:tc>
        <w:tc>
          <w:tcPr>
            <w:tcW w:w="3505" w:type="pct"/>
          </w:tcPr>
          <w:p w14:paraId="1EB2679A" w14:textId="77777777" w:rsidR="000447ED" w:rsidRPr="005E3B43" w:rsidRDefault="000447ED" w:rsidP="00763BCF">
            <w:pPr>
              <w:pStyle w:val="ENoteTableText"/>
            </w:pPr>
            <w:r w:rsidRPr="005E3B43">
              <w:t>rs 2002 No 234; 2009 No 374; F2016L01614</w:t>
            </w:r>
          </w:p>
        </w:tc>
      </w:tr>
      <w:tr w:rsidR="000447ED" w:rsidRPr="005E3B43" w14:paraId="682AAE7E" w14:textId="77777777" w:rsidTr="00034EA9">
        <w:trPr>
          <w:cantSplit/>
        </w:trPr>
        <w:tc>
          <w:tcPr>
            <w:tcW w:w="1495" w:type="pct"/>
          </w:tcPr>
          <w:p w14:paraId="71061C6B" w14:textId="77777777" w:rsidR="000447ED" w:rsidRPr="005E3B43" w:rsidRDefault="000447ED" w:rsidP="00763BCF">
            <w:pPr>
              <w:pStyle w:val="ENoteTableText"/>
              <w:tabs>
                <w:tab w:val="center" w:leader="dot" w:pos="2268"/>
              </w:tabs>
            </w:pPr>
            <w:r w:rsidRPr="005E3B43">
              <w:t>r 35A</w:t>
            </w:r>
            <w:r w:rsidRPr="005E3B43">
              <w:tab/>
            </w:r>
          </w:p>
        </w:tc>
        <w:tc>
          <w:tcPr>
            <w:tcW w:w="3505" w:type="pct"/>
          </w:tcPr>
          <w:p w14:paraId="127D336E" w14:textId="77777777" w:rsidR="000447ED" w:rsidRPr="005E3B43" w:rsidRDefault="000447ED" w:rsidP="00763BCF">
            <w:pPr>
              <w:pStyle w:val="ENoteTableText"/>
            </w:pPr>
            <w:r w:rsidRPr="005E3B43">
              <w:t>ad 2009 No 374</w:t>
            </w:r>
          </w:p>
        </w:tc>
      </w:tr>
      <w:tr w:rsidR="000447ED" w:rsidRPr="005E3B43" w14:paraId="7E41164A" w14:textId="77777777" w:rsidTr="00034EA9">
        <w:trPr>
          <w:cantSplit/>
        </w:trPr>
        <w:tc>
          <w:tcPr>
            <w:tcW w:w="1495" w:type="pct"/>
          </w:tcPr>
          <w:p w14:paraId="48750611" w14:textId="77777777" w:rsidR="000447ED" w:rsidRPr="005E3B43" w:rsidRDefault="000447ED" w:rsidP="00763BCF">
            <w:pPr>
              <w:pStyle w:val="ENoteTableText"/>
            </w:pPr>
          </w:p>
        </w:tc>
        <w:tc>
          <w:tcPr>
            <w:tcW w:w="3505" w:type="pct"/>
          </w:tcPr>
          <w:p w14:paraId="4C76A267" w14:textId="77777777" w:rsidR="000447ED" w:rsidRPr="005E3B43" w:rsidRDefault="000447ED" w:rsidP="00763BCF">
            <w:pPr>
              <w:pStyle w:val="ENoteTableText"/>
            </w:pPr>
            <w:r w:rsidRPr="005E3B43">
              <w:t>am 2012 No 251; No 220, 2013; F2016L01614</w:t>
            </w:r>
            <w:r w:rsidR="001C344B" w:rsidRPr="005E3B43">
              <w:t>; F</w:t>
            </w:r>
            <w:r w:rsidR="004713EC" w:rsidRPr="005E3B43">
              <w:t>2024L00686</w:t>
            </w:r>
          </w:p>
        </w:tc>
      </w:tr>
      <w:tr w:rsidR="000447ED" w:rsidRPr="005E3B43" w14:paraId="1DD528AF" w14:textId="77777777" w:rsidTr="00034EA9">
        <w:trPr>
          <w:cantSplit/>
        </w:trPr>
        <w:tc>
          <w:tcPr>
            <w:tcW w:w="1495" w:type="pct"/>
          </w:tcPr>
          <w:p w14:paraId="22012306" w14:textId="77777777" w:rsidR="000447ED" w:rsidRPr="005E3B43" w:rsidRDefault="000447ED" w:rsidP="00763BCF">
            <w:pPr>
              <w:pStyle w:val="ENoteTableText"/>
              <w:tabs>
                <w:tab w:val="center" w:leader="dot" w:pos="2268"/>
              </w:tabs>
            </w:pPr>
            <w:r w:rsidRPr="005E3B43">
              <w:t>r 35B</w:t>
            </w:r>
            <w:r w:rsidRPr="005E3B43">
              <w:tab/>
            </w:r>
          </w:p>
        </w:tc>
        <w:tc>
          <w:tcPr>
            <w:tcW w:w="3505" w:type="pct"/>
          </w:tcPr>
          <w:p w14:paraId="20A966B0" w14:textId="77777777" w:rsidR="000447ED" w:rsidRPr="005E3B43" w:rsidRDefault="000447ED" w:rsidP="00763BCF">
            <w:pPr>
              <w:pStyle w:val="ENoteTableText"/>
            </w:pPr>
            <w:r w:rsidRPr="005E3B43">
              <w:t>ad 2009 No 374</w:t>
            </w:r>
          </w:p>
        </w:tc>
      </w:tr>
      <w:tr w:rsidR="000447ED" w:rsidRPr="005E3B43" w14:paraId="2FBA1657" w14:textId="77777777" w:rsidTr="00034EA9">
        <w:trPr>
          <w:cantSplit/>
        </w:trPr>
        <w:tc>
          <w:tcPr>
            <w:tcW w:w="1495" w:type="pct"/>
          </w:tcPr>
          <w:p w14:paraId="158684A3" w14:textId="77777777" w:rsidR="000447ED" w:rsidRPr="005E3B43" w:rsidRDefault="000447ED" w:rsidP="00763BCF">
            <w:pPr>
              <w:pStyle w:val="ENoteTableText"/>
            </w:pPr>
          </w:p>
        </w:tc>
        <w:tc>
          <w:tcPr>
            <w:tcW w:w="3505" w:type="pct"/>
          </w:tcPr>
          <w:p w14:paraId="649B2A7E" w14:textId="77777777" w:rsidR="000447ED" w:rsidRPr="005E3B43" w:rsidRDefault="000447ED" w:rsidP="00763BCF">
            <w:pPr>
              <w:pStyle w:val="ENoteTableText"/>
            </w:pPr>
            <w:r w:rsidRPr="005E3B43">
              <w:t>am 2011 No 102; F2016L01614</w:t>
            </w:r>
          </w:p>
        </w:tc>
      </w:tr>
      <w:tr w:rsidR="000447ED" w:rsidRPr="005E3B43" w14:paraId="37B83A95" w14:textId="77777777" w:rsidTr="00034EA9">
        <w:trPr>
          <w:cantSplit/>
        </w:trPr>
        <w:tc>
          <w:tcPr>
            <w:tcW w:w="1495" w:type="pct"/>
          </w:tcPr>
          <w:p w14:paraId="10F7D708" w14:textId="77777777" w:rsidR="000447ED" w:rsidRPr="005E3B43" w:rsidRDefault="003C0723" w:rsidP="00763BCF">
            <w:pPr>
              <w:pStyle w:val="ENoteTableText"/>
              <w:keepNext/>
            </w:pPr>
            <w:r w:rsidRPr="005E3B43">
              <w:rPr>
                <w:b/>
              </w:rPr>
              <w:t>Division 1</w:t>
            </w:r>
            <w:r w:rsidR="000447ED" w:rsidRPr="005E3B43">
              <w:rPr>
                <w:b/>
              </w:rPr>
              <w:t>B</w:t>
            </w:r>
          </w:p>
        </w:tc>
        <w:tc>
          <w:tcPr>
            <w:tcW w:w="3505" w:type="pct"/>
          </w:tcPr>
          <w:p w14:paraId="0F011611" w14:textId="77777777" w:rsidR="000447ED" w:rsidRPr="005E3B43" w:rsidRDefault="000447ED" w:rsidP="00763BCF">
            <w:pPr>
              <w:pStyle w:val="ENoteTableText"/>
              <w:keepNext/>
            </w:pPr>
          </w:p>
        </w:tc>
      </w:tr>
      <w:tr w:rsidR="000447ED" w:rsidRPr="005E3B43" w14:paraId="7A5D0F8C" w14:textId="77777777" w:rsidTr="00034EA9">
        <w:trPr>
          <w:cantSplit/>
        </w:trPr>
        <w:tc>
          <w:tcPr>
            <w:tcW w:w="1495" w:type="pct"/>
          </w:tcPr>
          <w:p w14:paraId="31AC26A5" w14:textId="77777777" w:rsidR="000447ED" w:rsidRPr="005E3B43" w:rsidRDefault="003C0723" w:rsidP="00763BCF">
            <w:pPr>
              <w:pStyle w:val="ENoteTableText"/>
              <w:tabs>
                <w:tab w:val="center" w:leader="dot" w:pos="2268"/>
              </w:tabs>
            </w:pPr>
            <w:r w:rsidRPr="005E3B43">
              <w:t>Division 1</w:t>
            </w:r>
            <w:r w:rsidR="000447ED" w:rsidRPr="005E3B43">
              <w:t>B</w:t>
            </w:r>
            <w:r w:rsidR="000447ED" w:rsidRPr="005E3B43">
              <w:tab/>
            </w:r>
          </w:p>
        </w:tc>
        <w:tc>
          <w:tcPr>
            <w:tcW w:w="3505" w:type="pct"/>
          </w:tcPr>
          <w:p w14:paraId="34534A7B" w14:textId="77777777" w:rsidR="000447ED" w:rsidRPr="005E3B43" w:rsidRDefault="000447ED" w:rsidP="00763BCF">
            <w:pPr>
              <w:pStyle w:val="ENoteTableText"/>
            </w:pPr>
            <w:r w:rsidRPr="005E3B43">
              <w:t>ad 2009 No 374</w:t>
            </w:r>
          </w:p>
        </w:tc>
      </w:tr>
      <w:tr w:rsidR="000447ED" w:rsidRPr="005E3B43" w14:paraId="345EB6F7" w14:textId="77777777" w:rsidTr="00034EA9">
        <w:trPr>
          <w:cantSplit/>
        </w:trPr>
        <w:tc>
          <w:tcPr>
            <w:tcW w:w="1495" w:type="pct"/>
          </w:tcPr>
          <w:p w14:paraId="5F2A56E8" w14:textId="77777777" w:rsidR="000447ED" w:rsidRPr="005E3B43" w:rsidRDefault="000447ED" w:rsidP="00763BCF">
            <w:pPr>
              <w:pStyle w:val="ENoteTableText"/>
              <w:tabs>
                <w:tab w:val="center" w:leader="dot" w:pos="2268"/>
              </w:tabs>
            </w:pPr>
          </w:p>
        </w:tc>
        <w:tc>
          <w:tcPr>
            <w:tcW w:w="3505" w:type="pct"/>
          </w:tcPr>
          <w:p w14:paraId="7654F598" w14:textId="77777777" w:rsidR="000447ED" w:rsidRPr="005E3B43" w:rsidRDefault="000447ED" w:rsidP="00763BCF">
            <w:pPr>
              <w:pStyle w:val="ENoteTableText"/>
            </w:pPr>
            <w:r w:rsidRPr="005E3B43">
              <w:t>rep F2016L01614</w:t>
            </w:r>
          </w:p>
        </w:tc>
      </w:tr>
      <w:tr w:rsidR="000447ED" w:rsidRPr="005E3B43" w14:paraId="05B75A40" w14:textId="77777777" w:rsidTr="00034EA9">
        <w:trPr>
          <w:cantSplit/>
        </w:trPr>
        <w:tc>
          <w:tcPr>
            <w:tcW w:w="1495" w:type="pct"/>
          </w:tcPr>
          <w:p w14:paraId="309DE731" w14:textId="77777777" w:rsidR="000447ED" w:rsidRPr="005E3B43" w:rsidRDefault="000447ED" w:rsidP="00763BCF">
            <w:pPr>
              <w:pStyle w:val="ENoteTableText"/>
              <w:tabs>
                <w:tab w:val="center" w:leader="dot" w:pos="2268"/>
              </w:tabs>
            </w:pPr>
            <w:r w:rsidRPr="005E3B43">
              <w:t>r. 36</w:t>
            </w:r>
            <w:r w:rsidRPr="005E3B43">
              <w:tab/>
            </w:r>
          </w:p>
        </w:tc>
        <w:tc>
          <w:tcPr>
            <w:tcW w:w="3505" w:type="pct"/>
          </w:tcPr>
          <w:p w14:paraId="34BB04E3" w14:textId="77777777" w:rsidR="000447ED" w:rsidRPr="005E3B43" w:rsidRDefault="000447ED" w:rsidP="00763BCF">
            <w:pPr>
              <w:pStyle w:val="ENoteTableText"/>
            </w:pPr>
            <w:r w:rsidRPr="005E3B43">
              <w:t>am. 1991 No.</w:t>
            </w:r>
            <w:r w:rsidR="004E6D00" w:rsidRPr="005E3B43">
              <w:t> </w:t>
            </w:r>
            <w:r w:rsidRPr="005E3B43">
              <w:t>485; 1999 No.</w:t>
            </w:r>
            <w:r w:rsidR="004E6D00" w:rsidRPr="005E3B43">
              <w:t> </w:t>
            </w:r>
            <w:r w:rsidRPr="005E3B43">
              <w:t>62; 2002 No.</w:t>
            </w:r>
            <w:r w:rsidR="004E6D00" w:rsidRPr="005E3B43">
              <w:t> </w:t>
            </w:r>
            <w:r w:rsidRPr="005E3B43">
              <w:t>234</w:t>
            </w:r>
          </w:p>
        </w:tc>
      </w:tr>
      <w:tr w:rsidR="000447ED" w:rsidRPr="005E3B43" w14:paraId="06F1FC9F" w14:textId="77777777" w:rsidTr="00034EA9">
        <w:trPr>
          <w:cantSplit/>
        </w:trPr>
        <w:tc>
          <w:tcPr>
            <w:tcW w:w="1495" w:type="pct"/>
          </w:tcPr>
          <w:p w14:paraId="660DFE4C" w14:textId="77777777" w:rsidR="000447ED" w:rsidRPr="005E3B43" w:rsidRDefault="000447ED" w:rsidP="00763BCF">
            <w:pPr>
              <w:pStyle w:val="ENoteTableText"/>
            </w:pPr>
          </w:p>
        </w:tc>
        <w:tc>
          <w:tcPr>
            <w:tcW w:w="3505" w:type="pct"/>
          </w:tcPr>
          <w:p w14:paraId="41E19A87" w14:textId="77777777" w:rsidR="000447ED" w:rsidRPr="005E3B43" w:rsidRDefault="000447ED" w:rsidP="00763BCF">
            <w:pPr>
              <w:pStyle w:val="ENoteTableText"/>
            </w:pPr>
            <w:r w:rsidRPr="005E3B43">
              <w:t>rs. 2009 No.</w:t>
            </w:r>
            <w:r w:rsidR="004E6D00" w:rsidRPr="005E3B43">
              <w:t> </w:t>
            </w:r>
            <w:r w:rsidRPr="005E3B43">
              <w:t>374</w:t>
            </w:r>
          </w:p>
        </w:tc>
      </w:tr>
      <w:tr w:rsidR="000447ED" w:rsidRPr="005E3B43" w14:paraId="0EB7023D" w14:textId="77777777" w:rsidTr="00034EA9">
        <w:trPr>
          <w:cantSplit/>
        </w:trPr>
        <w:tc>
          <w:tcPr>
            <w:tcW w:w="1495" w:type="pct"/>
          </w:tcPr>
          <w:p w14:paraId="0C750F7F" w14:textId="77777777" w:rsidR="000447ED" w:rsidRPr="005E3B43" w:rsidRDefault="000447ED" w:rsidP="00763BCF">
            <w:pPr>
              <w:pStyle w:val="ENoteTableText"/>
            </w:pPr>
          </w:p>
        </w:tc>
        <w:tc>
          <w:tcPr>
            <w:tcW w:w="3505" w:type="pct"/>
          </w:tcPr>
          <w:p w14:paraId="01E0234D" w14:textId="77777777" w:rsidR="000447ED" w:rsidRPr="005E3B43" w:rsidRDefault="000447ED" w:rsidP="00763BCF">
            <w:pPr>
              <w:pStyle w:val="ENoteTableText"/>
            </w:pPr>
            <w:r w:rsidRPr="005E3B43">
              <w:t>rep F2016L01614</w:t>
            </w:r>
          </w:p>
        </w:tc>
      </w:tr>
      <w:tr w:rsidR="000447ED" w:rsidRPr="005E3B43" w14:paraId="4FCEF774" w14:textId="77777777" w:rsidTr="00034EA9">
        <w:trPr>
          <w:cantSplit/>
        </w:trPr>
        <w:tc>
          <w:tcPr>
            <w:tcW w:w="1495" w:type="pct"/>
          </w:tcPr>
          <w:p w14:paraId="1DDD99A8" w14:textId="77777777" w:rsidR="000447ED" w:rsidRPr="005E3B43" w:rsidRDefault="000447ED" w:rsidP="00763BCF">
            <w:pPr>
              <w:pStyle w:val="ENoteTableText"/>
              <w:tabs>
                <w:tab w:val="center" w:leader="dot" w:pos="2268"/>
              </w:tabs>
            </w:pPr>
            <w:r w:rsidRPr="005E3B43">
              <w:t>r. 36A</w:t>
            </w:r>
            <w:r w:rsidRPr="005E3B43">
              <w:tab/>
            </w:r>
          </w:p>
        </w:tc>
        <w:tc>
          <w:tcPr>
            <w:tcW w:w="3505" w:type="pct"/>
          </w:tcPr>
          <w:p w14:paraId="595C950D" w14:textId="77777777" w:rsidR="000447ED" w:rsidRPr="005E3B43" w:rsidRDefault="000447ED" w:rsidP="00763BCF">
            <w:pPr>
              <w:pStyle w:val="ENoteTableText"/>
            </w:pPr>
            <w:r w:rsidRPr="005E3B43">
              <w:t>ad. 2009 No.</w:t>
            </w:r>
            <w:r w:rsidR="004E6D00" w:rsidRPr="005E3B43">
              <w:t> </w:t>
            </w:r>
            <w:r w:rsidRPr="005E3B43">
              <w:t>374</w:t>
            </w:r>
          </w:p>
        </w:tc>
      </w:tr>
      <w:tr w:rsidR="000447ED" w:rsidRPr="005E3B43" w14:paraId="4FD9BA2D" w14:textId="77777777" w:rsidTr="00034EA9">
        <w:trPr>
          <w:cantSplit/>
        </w:trPr>
        <w:tc>
          <w:tcPr>
            <w:tcW w:w="1495" w:type="pct"/>
          </w:tcPr>
          <w:p w14:paraId="51F7EDEA" w14:textId="77777777" w:rsidR="000447ED" w:rsidRPr="005E3B43" w:rsidRDefault="000447ED" w:rsidP="00763BCF">
            <w:pPr>
              <w:pStyle w:val="ENoteTableText"/>
            </w:pPr>
          </w:p>
        </w:tc>
        <w:tc>
          <w:tcPr>
            <w:tcW w:w="3505" w:type="pct"/>
          </w:tcPr>
          <w:p w14:paraId="2F6EFC81" w14:textId="77777777" w:rsidR="000447ED" w:rsidRPr="005E3B43" w:rsidRDefault="000447ED" w:rsidP="00763BCF">
            <w:pPr>
              <w:pStyle w:val="ENoteTableText"/>
            </w:pPr>
            <w:r w:rsidRPr="005E3B43">
              <w:t>am. 2012 No.</w:t>
            </w:r>
            <w:r w:rsidR="004E6D00" w:rsidRPr="005E3B43">
              <w:t> </w:t>
            </w:r>
            <w:r w:rsidRPr="005E3B43">
              <w:t>251; No.</w:t>
            </w:r>
            <w:r w:rsidR="004E6D00" w:rsidRPr="005E3B43">
              <w:t> </w:t>
            </w:r>
            <w:r w:rsidRPr="005E3B43">
              <w:t>220, 2013</w:t>
            </w:r>
          </w:p>
        </w:tc>
      </w:tr>
      <w:tr w:rsidR="000447ED" w:rsidRPr="005E3B43" w14:paraId="3A904FD9" w14:textId="77777777" w:rsidTr="00034EA9">
        <w:trPr>
          <w:cantSplit/>
        </w:trPr>
        <w:tc>
          <w:tcPr>
            <w:tcW w:w="1495" w:type="pct"/>
          </w:tcPr>
          <w:p w14:paraId="6EC83DF7" w14:textId="77777777" w:rsidR="000447ED" w:rsidRPr="005E3B43" w:rsidRDefault="000447ED" w:rsidP="00763BCF">
            <w:pPr>
              <w:pStyle w:val="ENoteTableText"/>
            </w:pPr>
          </w:p>
        </w:tc>
        <w:tc>
          <w:tcPr>
            <w:tcW w:w="3505" w:type="pct"/>
          </w:tcPr>
          <w:p w14:paraId="12FE22F8" w14:textId="77777777" w:rsidR="000447ED" w:rsidRPr="005E3B43" w:rsidRDefault="000447ED" w:rsidP="00763BCF">
            <w:pPr>
              <w:pStyle w:val="ENoteTableText"/>
            </w:pPr>
            <w:r w:rsidRPr="005E3B43">
              <w:t>rep F2016L01614</w:t>
            </w:r>
          </w:p>
        </w:tc>
      </w:tr>
      <w:tr w:rsidR="000447ED" w:rsidRPr="005E3B43" w14:paraId="7853E325" w14:textId="77777777" w:rsidTr="00034EA9">
        <w:trPr>
          <w:cantSplit/>
        </w:trPr>
        <w:tc>
          <w:tcPr>
            <w:tcW w:w="1495" w:type="pct"/>
          </w:tcPr>
          <w:p w14:paraId="4D5403CF" w14:textId="77777777" w:rsidR="000447ED" w:rsidRPr="005E3B43" w:rsidRDefault="000447ED" w:rsidP="00763BCF">
            <w:pPr>
              <w:pStyle w:val="ENoteTableText"/>
              <w:tabs>
                <w:tab w:val="center" w:leader="dot" w:pos="2268"/>
              </w:tabs>
            </w:pPr>
            <w:r w:rsidRPr="005E3B43">
              <w:t>r. 36B</w:t>
            </w:r>
            <w:r w:rsidRPr="005E3B43">
              <w:tab/>
            </w:r>
          </w:p>
        </w:tc>
        <w:tc>
          <w:tcPr>
            <w:tcW w:w="3505" w:type="pct"/>
          </w:tcPr>
          <w:p w14:paraId="2B22FD15" w14:textId="77777777" w:rsidR="000447ED" w:rsidRPr="005E3B43" w:rsidRDefault="000447ED" w:rsidP="00763BCF">
            <w:pPr>
              <w:pStyle w:val="ENoteTableText"/>
            </w:pPr>
            <w:r w:rsidRPr="005E3B43">
              <w:t>ad. 2009 No.</w:t>
            </w:r>
            <w:r w:rsidR="004E6D00" w:rsidRPr="005E3B43">
              <w:t> </w:t>
            </w:r>
            <w:r w:rsidRPr="005E3B43">
              <w:t>374</w:t>
            </w:r>
          </w:p>
        </w:tc>
      </w:tr>
      <w:tr w:rsidR="000447ED" w:rsidRPr="005E3B43" w14:paraId="0E2F276C" w14:textId="77777777" w:rsidTr="00034EA9">
        <w:trPr>
          <w:cantSplit/>
        </w:trPr>
        <w:tc>
          <w:tcPr>
            <w:tcW w:w="1495" w:type="pct"/>
          </w:tcPr>
          <w:p w14:paraId="453DFE73" w14:textId="77777777" w:rsidR="000447ED" w:rsidRPr="005E3B43" w:rsidRDefault="000447ED" w:rsidP="00763BCF">
            <w:pPr>
              <w:pStyle w:val="ENoteTableText"/>
            </w:pPr>
          </w:p>
        </w:tc>
        <w:tc>
          <w:tcPr>
            <w:tcW w:w="3505" w:type="pct"/>
          </w:tcPr>
          <w:p w14:paraId="76574CED" w14:textId="77777777" w:rsidR="000447ED" w:rsidRPr="005E3B43" w:rsidRDefault="000447ED" w:rsidP="00763BCF">
            <w:pPr>
              <w:pStyle w:val="ENoteTableText"/>
            </w:pPr>
            <w:r w:rsidRPr="005E3B43">
              <w:t>am. 2011 No.</w:t>
            </w:r>
            <w:r w:rsidR="004E6D00" w:rsidRPr="005E3B43">
              <w:t> </w:t>
            </w:r>
            <w:r w:rsidRPr="005E3B43">
              <w:t>102</w:t>
            </w:r>
          </w:p>
        </w:tc>
      </w:tr>
      <w:tr w:rsidR="000447ED" w:rsidRPr="005E3B43" w14:paraId="3FAA9C26" w14:textId="77777777" w:rsidTr="00034EA9">
        <w:trPr>
          <w:cantSplit/>
        </w:trPr>
        <w:tc>
          <w:tcPr>
            <w:tcW w:w="1495" w:type="pct"/>
          </w:tcPr>
          <w:p w14:paraId="42080F82" w14:textId="77777777" w:rsidR="000447ED" w:rsidRPr="005E3B43" w:rsidRDefault="000447ED" w:rsidP="00763BCF">
            <w:pPr>
              <w:pStyle w:val="ENoteTableText"/>
            </w:pPr>
          </w:p>
        </w:tc>
        <w:tc>
          <w:tcPr>
            <w:tcW w:w="3505" w:type="pct"/>
          </w:tcPr>
          <w:p w14:paraId="4A47CDAF" w14:textId="77777777" w:rsidR="000447ED" w:rsidRPr="005E3B43" w:rsidRDefault="000447ED" w:rsidP="00763BCF">
            <w:pPr>
              <w:pStyle w:val="ENoteTableText"/>
            </w:pPr>
            <w:r w:rsidRPr="005E3B43">
              <w:t>rep F2016L01614</w:t>
            </w:r>
          </w:p>
        </w:tc>
      </w:tr>
      <w:tr w:rsidR="000447ED" w:rsidRPr="005E3B43" w14:paraId="3A2C9441" w14:textId="77777777" w:rsidTr="00034EA9">
        <w:trPr>
          <w:cantSplit/>
        </w:trPr>
        <w:tc>
          <w:tcPr>
            <w:tcW w:w="1495" w:type="pct"/>
          </w:tcPr>
          <w:p w14:paraId="0F353506" w14:textId="77777777" w:rsidR="000447ED" w:rsidRPr="005E3B43" w:rsidRDefault="003C0723" w:rsidP="00763BCF">
            <w:pPr>
              <w:pStyle w:val="ENoteTableText"/>
              <w:keepNext/>
            </w:pPr>
            <w:r w:rsidRPr="005E3B43">
              <w:rPr>
                <w:b/>
              </w:rPr>
              <w:t>Division 1</w:t>
            </w:r>
            <w:r w:rsidR="000447ED" w:rsidRPr="005E3B43">
              <w:rPr>
                <w:b/>
              </w:rPr>
              <w:t>C</w:t>
            </w:r>
          </w:p>
        </w:tc>
        <w:tc>
          <w:tcPr>
            <w:tcW w:w="3505" w:type="pct"/>
          </w:tcPr>
          <w:p w14:paraId="073FEB25" w14:textId="77777777" w:rsidR="000447ED" w:rsidRPr="005E3B43" w:rsidRDefault="000447ED" w:rsidP="00763BCF">
            <w:pPr>
              <w:pStyle w:val="ENoteTableText"/>
            </w:pPr>
          </w:p>
        </w:tc>
      </w:tr>
      <w:tr w:rsidR="000447ED" w:rsidRPr="005E3B43" w14:paraId="57A87F08" w14:textId="77777777" w:rsidTr="00034EA9">
        <w:trPr>
          <w:cantSplit/>
        </w:trPr>
        <w:tc>
          <w:tcPr>
            <w:tcW w:w="1495" w:type="pct"/>
          </w:tcPr>
          <w:p w14:paraId="5B4042BA" w14:textId="77777777" w:rsidR="000447ED" w:rsidRPr="005E3B43" w:rsidRDefault="003C0723" w:rsidP="00763BCF">
            <w:pPr>
              <w:pStyle w:val="ENoteTableText"/>
              <w:tabs>
                <w:tab w:val="center" w:leader="dot" w:pos="2268"/>
              </w:tabs>
            </w:pPr>
            <w:r w:rsidRPr="005E3B43">
              <w:t>Division 1</w:t>
            </w:r>
            <w:r w:rsidR="000447ED" w:rsidRPr="005E3B43">
              <w:t>C</w:t>
            </w:r>
            <w:r w:rsidR="000447ED" w:rsidRPr="005E3B43">
              <w:tab/>
            </w:r>
          </w:p>
        </w:tc>
        <w:tc>
          <w:tcPr>
            <w:tcW w:w="3505" w:type="pct"/>
          </w:tcPr>
          <w:p w14:paraId="4B4CAD7D" w14:textId="77777777" w:rsidR="000447ED" w:rsidRPr="005E3B43" w:rsidRDefault="000447ED" w:rsidP="00763BCF">
            <w:pPr>
              <w:pStyle w:val="ENoteTableText"/>
            </w:pPr>
            <w:r w:rsidRPr="005E3B43">
              <w:t>ad 2009 No 374</w:t>
            </w:r>
          </w:p>
        </w:tc>
      </w:tr>
      <w:tr w:rsidR="000447ED" w:rsidRPr="005E3B43" w14:paraId="641F9058" w14:textId="77777777" w:rsidTr="00034EA9">
        <w:trPr>
          <w:cantSplit/>
        </w:trPr>
        <w:tc>
          <w:tcPr>
            <w:tcW w:w="1495" w:type="pct"/>
          </w:tcPr>
          <w:p w14:paraId="761E41F3" w14:textId="77777777" w:rsidR="000447ED" w:rsidRPr="005E3B43" w:rsidRDefault="000447ED" w:rsidP="00763BCF">
            <w:pPr>
              <w:pStyle w:val="ENoteTableText"/>
              <w:tabs>
                <w:tab w:val="center" w:leader="dot" w:pos="2268"/>
              </w:tabs>
            </w:pPr>
          </w:p>
        </w:tc>
        <w:tc>
          <w:tcPr>
            <w:tcW w:w="3505" w:type="pct"/>
          </w:tcPr>
          <w:p w14:paraId="01D504A3" w14:textId="77777777" w:rsidR="000447ED" w:rsidRPr="005E3B43" w:rsidRDefault="000447ED" w:rsidP="00763BCF">
            <w:pPr>
              <w:pStyle w:val="ENoteTableText"/>
            </w:pPr>
            <w:r w:rsidRPr="005E3B43">
              <w:t>rep F2016L01614</w:t>
            </w:r>
          </w:p>
        </w:tc>
      </w:tr>
      <w:tr w:rsidR="000447ED" w:rsidRPr="005E3B43" w14:paraId="1500B799" w14:textId="77777777" w:rsidTr="00034EA9">
        <w:trPr>
          <w:cantSplit/>
        </w:trPr>
        <w:tc>
          <w:tcPr>
            <w:tcW w:w="1495" w:type="pct"/>
          </w:tcPr>
          <w:p w14:paraId="29F1637A" w14:textId="77777777" w:rsidR="000447ED" w:rsidRPr="005E3B43" w:rsidRDefault="000447ED" w:rsidP="00763BCF">
            <w:pPr>
              <w:pStyle w:val="ENoteTableText"/>
              <w:tabs>
                <w:tab w:val="center" w:leader="dot" w:pos="2268"/>
              </w:tabs>
            </w:pPr>
            <w:r w:rsidRPr="005E3B43">
              <w:t>r. 37</w:t>
            </w:r>
            <w:r w:rsidRPr="005E3B43">
              <w:tab/>
            </w:r>
          </w:p>
        </w:tc>
        <w:tc>
          <w:tcPr>
            <w:tcW w:w="3505" w:type="pct"/>
          </w:tcPr>
          <w:p w14:paraId="2C821231" w14:textId="77777777" w:rsidR="000447ED" w:rsidRPr="005E3B43" w:rsidRDefault="000447ED" w:rsidP="00763BCF">
            <w:pPr>
              <w:pStyle w:val="ENoteTableText"/>
            </w:pPr>
            <w:r w:rsidRPr="005E3B43">
              <w:t>am. 1997 No.</w:t>
            </w:r>
            <w:r w:rsidR="004E6D00" w:rsidRPr="005E3B43">
              <w:t> </w:t>
            </w:r>
            <w:r w:rsidRPr="005E3B43">
              <w:t>400</w:t>
            </w:r>
          </w:p>
        </w:tc>
      </w:tr>
      <w:tr w:rsidR="000447ED" w:rsidRPr="005E3B43" w14:paraId="77DC1ADA" w14:textId="77777777" w:rsidTr="00034EA9">
        <w:trPr>
          <w:cantSplit/>
        </w:trPr>
        <w:tc>
          <w:tcPr>
            <w:tcW w:w="1495" w:type="pct"/>
          </w:tcPr>
          <w:p w14:paraId="57901B3C" w14:textId="77777777" w:rsidR="000447ED" w:rsidRPr="005E3B43" w:rsidRDefault="000447ED" w:rsidP="00763BCF">
            <w:pPr>
              <w:pStyle w:val="ENoteTableText"/>
            </w:pPr>
          </w:p>
        </w:tc>
        <w:tc>
          <w:tcPr>
            <w:tcW w:w="3505" w:type="pct"/>
          </w:tcPr>
          <w:p w14:paraId="4E719E8B" w14:textId="77777777" w:rsidR="000447ED" w:rsidRPr="005E3B43" w:rsidRDefault="000447ED" w:rsidP="00763BCF">
            <w:pPr>
              <w:pStyle w:val="ENoteTableText"/>
            </w:pPr>
            <w:r w:rsidRPr="005E3B43">
              <w:t>rs. 2009 No.</w:t>
            </w:r>
            <w:r w:rsidR="004E6D00" w:rsidRPr="005E3B43">
              <w:t> </w:t>
            </w:r>
            <w:r w:rsidRPr="005E3B43">
              <w:t>374</w:t>
            </w:r>
          </w:p>
        </w:tc>
      </w:tr>
      <w:tr w:rsidR="000447ED" w:rsidRPr="005E3B43" w14:paraId="0730F2CC" w14:textId="77777777" w:rsidTr="00034EA9">
        <w:trPr>
          <w:cantSplit/>
        </w:trPr>
        <w:tc>
          <w:tcPr>
            <w:tcW w:w="1495" w:type="pct"/>
          </w:tcPr>
          <w:p w14:paraId="51FF0DA9" w14:textId="77777777" w:rsidR="000447ED" w:rsidRPr="005E3B43" w:rsidRDefault="000447ED" w:rsidP="00763BCF">
            <w:pPr>
              <w:pStyle w:val="ENoteTableText"/>
            </w:pPr>
          </w:p>
        </w:tc>
        <w:tc>
          <w:tcPr>
            <w:tcW w:w="3505" w:type="pct"/>
          </w:tcPr>
          <w:p w14:paraId="40BBFEF6" w14:textId="77777777" w:rsidR="000447ED" w:rsidRPr="005E3B43" w:rsidRDefault="000447ED" w:rsidP="00763BCF">
            <w:pPr>
              <w:pStyle w:val="ENoteTableText"/>
            </w:pPr>
            <w:r w:rsidRPr="005E3B43">
              <w:t>rep F2016L01614</w:t>
            </w:r>
          </w:p>
        </w:tc>
      </w:tr>
      <w:tr w:rsidR="000447ED" w:rsidRPr="005E3B43" w14:paraId="2433099A" w14:textId="77777777" w:rsidTr="00034EA9">
        <w:trPr>
          <w:cantSplit/>
        </w:trPr>
        <w:tc>
          <w:tcPr>
            <w:tcW w:w="1495" w:type="pct"/>
          </w:tcPr>
          <w:p w14:paraId="7BDF1DE6" w14:textId="77777777" w:rsidR="000447ED" w:rsidRPr="005E3B43" w:rsidRDefault="000447ED" w:rsidP="00763BCF">
            <w:pPr>
              <w:pStyle w:val="ENoteTableText"/>
              <w:tabs>
                <w:tab w:val="center" w:leader="dot" w:pos="2268"/>
              </w:tabs>
            </w:pPr>
            <w:r w:rsidRPr="005E3B43">
              <w:t>r. 37A</w:t>
            </w:r>
            <w:r w:rsidRPr="005E3B43">
              <w:tab/>
            </w:r>
          </w:p>
        </w:tc>
        <w:tc>
          <w:tcPr>
            <w:tcW w:w="3505" w:type="pct"/>
          </w:tcPr>
          <w:p w14:paraId="398AFDB0" w14:textId="77777777" w:rsidR="000447ED" w:rsidRPr="005E3B43" w:rsidRDefault="000447ED" w:rsidP="00763BCF">
            <w:pPr>
              <w:pStyle w:val="ENoteTableText"/>
            </w:pPr>
            <w:r w:rsidRPr="005E3B43">
              <w:t>ad. 2009 No.</w:t>
            </w:r>
            <w:r w:rsidR="004E6D00" w:rsidRPr="005E3B43">
              <w:t> </w:t>
            </w:r>
            <w:r w:rsidRPr="005E3B43">
              <w:t>374</w:t>
            </w:r>
          </w:p>
        </w:tc>
      </w:tr>
      <w:tr w:rsidR="000447ED" w:rsidRPr="005E3B43" w14:paraId="28341D5C" w14:textId="77777777" w:rsidTr="00034EA9">
        <w:trPr>
          <w:cantSplit/>
        </w:trPr>
        <w:tc>
          <w:tcPr>
            <w:tcW w:w="1495" w:type="pct"/>
          </w:tcPr>
          <w:p w14:paraId="5504296B" w14:textId="77777777" w:rsidR="000447ED" w:rsidRPr="005E3B43" w:rsidRDefault="000447ED" w:rsidP="00763BCF">
            <w:pPr>
              <w:pStyle w:val="ENoteTableText"/>
            </w:pPr>
          </w:p>
        </w:tc>
        <w:tc>
          <w:tcPr>
            <w:tcW w:w="3505" w:type="pct"/>
          </w:tcPr>
          <w:p w14:paraId="1BB5CADC" w14:textId="77777777" w:rsidR="000447ED" w:rsidRPr="005E3B43" w:rsidRDefault="000447ED" w:rsidP="00763BCF">
            <w:pPr>
              <w:pStyle w:val="ENoteTableText"/>
            </w:pPr>
            <w:r w:rsidRPr="005E3B43">
              <w:t>am. 2012 No.</w:t>
            </w:r>
            <w:r w:rsidR="004E6D00" w:rsidRPr="005E3B43">
              <w:t> </w:t>
            </w:r>
            <w:r w:rsidRPr="005E3B43">
              <w:t>251; No.</w:t>
            </w:r>
            <w:r w:rsidR="004E6D00" w:rsidRPr="005E3B43">
              <w:t> </w:t>
            </w:r>
            <w:r w:rsidRPr="005E3B43">
              <w:t>220, 2013</w:t>
            </w:r>
          </w:p>
        </w:tc>
      </w:tr>
      <w:tr w:rsidR="000447ED" w:rsidRPr="005E3B43" w14:paraId="5B39E9EE" w14:textId="77777777" w:rsidTr="00034EA9">
        <w:trPr>
          <w:cantSplit/>
        </w:trPr>
        <w:tc>
          <w:tcPr>
            <w:tcW w:w="1495" w:type="pct"/>
          </w:tcPr>
          <w:p w14:paraId="7257182D" w14:textId="77777777" w:rsidR="000447ED" w:rsidRPr="005E3B43" w:rsidRDefault="000447ED" w:rsidP="00763BCF">
            <w:pPr>
              <w:pStyle w:val="ENoteTableText"/>
            </w:pPr>
          </w:p>
        </w:tc>
        <w:tc>
          <w:tcPr>
            <w:tcW w:w="3505" w:type="pct"/>
          </w:tcPr>
          <w:p w14:paraId="12477AAD" w14:textId="77777777" w:rsidR="000447ED" w:rsidRPr="005E3B43" w:rsidRDefault="000447ED" w:rsidP="00763BCF">
            <w:pPr>
              <w:pStyle w:val="ENoteTableText"/>
            </w:pPr>
            <w:r w:rsidRPr="005E3B43">
              <w:t>rep F2016L01614</w:t>
            </w:r>
          </w:p>
        </w:tc>
      </w:tr>
      <w:tr w:rsidR="000447ED" w:rsidRPr="005E3B43" w14:paraId="10A5B884" w14:textId="77777777" w:rsidTr="00034EA9">
        <w:trPr>
          <w:cantSplit/>
        </w:trPr>
        <w:tc>
          <w:tcPr>
            <w:tcW w:w="1495" w:type="pct"/>
          </w:tcPr>
          <w:p w14:paraId="57D03A4F" w14:textId="77777777" w:rsidR="000447ED" w:rsidRPr="005E3B43" w:rsidRDefault="000447ED" w:rsidP="00763BCF">
            <w:pPr>
              <w:pStyle w:val="ENoteTableText"/>
              <w:tabs>
                <w:tab w:val="center" w:leader="dot" w:pos="2268"/>
              </w:tabs>
            </w:pPr>
            <w:r w:rsidRPr="005E3B43">
              <w:t>r. 37B</w:t>
            </w:r>
            <w:r w:rsidRPr="005E3B43">
              <w:tab/>
            </w:r>
          </w:p>
        </w:tc>
        <w:tc>
          <w:tcPr>
            <w:tcW w:w="3505" w:type="pct"/>
          </w:tcPr>
          <w:p w14:paraId="6A59C349" w14:textId="77777777" w:rsidR="000447ED" w:rsidRPr="005E3B43" w:rsidRDefault="000447ED" w:rsidP="00763BCF">
            <w:pPr>
              <w:pStyle w:val="ENoteTableText"/>
            </w:pPr>
            <w:r w:rsidRPr="005E3B43">
              <w:t>ad. 2009 No.</w:t>
            </w:r>
            <w:r w:rsidR="004E6D00" w:rsidRPr="005E3B43">
              <w:t> </w:t>
            </w:r>
            <w:r w:rsidRPr="005E3B43">
              <w:t>374</w:t>
            </w:r>
          </w:p>
        </w:tc>
      </w:tr>
      <w:tr w:rsidR="000447ED" w:rsidRPr="005E3B43" w14:paraId="596A110D" w14:textId="77777777" w:rsidTr="00034EA9">
        <w:trPr>
          <w:cantSplit/>
        </w:trPr>
        <w:tc>
          <w:tcPr>
            <w:tcW w:w="1495" w:type="pct"/>
          </w:tcPr>
          <w:p w14:paraId="40A45022" w14:textId="77777777" w:rsidR="000447ED" w:rsidRPr="005E3B43" w:rsidRDefault="000447ED" w:rsidP="00763BCF">
            <w:pPr>
              <w:pStyle w:val="ENoteTableText"/>
            </w:pPr>
          </w:p>
        </w:tc>
        <w:tc>
          <w:tcPr>
            <w:tcW w:w="3505" w:type="pct"/>
          </w:tcPr>
          <w:p w14:paraId="7AA2FA52" w14:textId="77777777" w:rsidR="000447ED" w:rsidRPr="005E3B43" w:rsidRDefault="000447ED" w:rsidP="00763BCF">
            <w:pPr>
              <w:pStyle w:val="ENoteTableText"/>
            </w:pPr>
            <w:r w:rsidRPr="005E3B43">
              <w:t>am. 2011 No.</w:t>
            </w:r>
            <w:r w:rsidR="004E6D00" w:rsidRPr="005E3B43">
              <w:t> </w:t>
            </w:r>
            <w:r w:rsidRPr="005E3B43">
              <w:t>102; No.</w:t>
            </w:r>
            <w:r w:rsidR="004E6D00" w:rsidRPr="005E3B43">
              <w:t> </w:t>
            </w:r>
            <w:r w:rsidRPr="005E3B43">
              <w:t>220, 2013</w:t>
            </w:r>
          </w:p>
        </w:tc>
      </w:tr>
      <w:tr w:rsidR="000447ED" w:rsidRPr="005E3B43" w14:paraId="0238E3DA" w14:textId="77777777" w:rsidTr="00034EA9">
        <w:trPr>
          <w:cantSplit/>
        </w:trPr>
        <w:tc>
          <w:tcPr>
            <w:tcW w:w="1495" w:type="pct"/>
          </w:tcPr>
          <w:p w14:paraId="551D03E7" w14:textId="77777777" w:rsidR="000447ED" w:rsidRPr="005E3B43" w:rsidRDefault="000447ED" w:rsidP="00763BCF">
            <w:pPr>
              <w:pStyle w:val="ENoteTableText"/>
            </w:pPr>
          </w:p>
        </w:tc>
        <w:tc>
          <w:tcPr>
            <w:tcW w:w="3505" w:type="pct"/>
          </w:tcPr>
          <w:p w14:paraId="552B8923" w14:textId="77777777" w:rsidR="000447ED" w:rsidRPr="005E3B43" w:rsidRDefault="000447ED" w:rsidP="00763BCF">
            <w:pPr>
              <w:pStyle w:val="ENoteTableText"/>
            </w:pPr>
            <w:r w:rsidRPr="005E3B43">
              <w:t>rep F2016L01614</w:t>
            </w:r>
          </w:p>
        </w:tc>
      </w:tr>
      <w:tr w:rsidR="000447ED" w:rsidRPr="005E3B43" w14:paraId="2774E769" w14:textId="77777777" w:rsidTr="00034EA9">
        <w:trPr>
          <w:cantSplit/>
        </w:trPr>
        <w:tc>
          <w:tcPr>
            <w:tcW w:w="1495" w:type="pct"/>
          </w:tcPr>
          <w:p w14:paraId="5B89D765" w14:textId="77777777" w:rsidR="000447ED" w:rsidRPr="005E3B43" w:rsidRDefault="003C0723" w:rsidP="00763BCF">
            <w:pPr>
              <w:pStyle w:val="ENoteTableText"/>
            </w:pPr>
            <w:r w:rsidRPr="005E3B43">
              <w:rPr>
                <w:b/>
              </w:rPr>
              <w:t>Division 1</w:t>
            </w:r>
            <w:r w:rsidR="000447ED" w:rsidRPr="005E3B43">
              <w:rPr>
                <w:b/>
              </w:rPr>
              <w:t>D</w:t>
            </w:r>
          </w:p>
        </w:tc>
        <w:tc>
          <w:tcPr>
            <w:tcW w:w="3505" w:type="pct"/>
          </w:tcPr>
          <w:p w14:paraId="5219162F" w14:textId="77777777" w:rsidR="000447ED" w:rsidRPr="005E3B43" w:rsidRDefault="000447ED" w:rsidP="00763BCF">
            <w:pPr>
              <w:pStyle w:val="ENoteTableText"/>
            </w:pPr>
          </w:p>
        </w:tc>
      </w:tr>
      <w:tr w:rsidR="000447ED" w:rsidRPr="005E3B43" w14:paraId="317D4656" w14:textId="77777777" w:rsidTr="00034EA9">
        <w:trPr>
          <w:cantSplit/>
        </w:trPr>
        <w:tc>
          <w:tcPr>
            <w:tcW w:w="1495" w:type="pct"/>
          </w:tcPr>
          <w:p w14:paraId="4ADE74EB" w14:textId="77777777" w:rsidR="000447ED" w:rsidRPr="005E3B43" w:rsidRDefault="003C0723" w:rsidP="00763BCF">
            <w:pPr>
              <w:pStyle w:val="ENoteTableText"/>
              <w:tabs>
                <w:tab w:val="center" w:leader="dot" w:pos="2268"/>
              </w:tabs>
            </w:pPr>
            <w:r w:rsidRPr="005E3B43">
              <w:t>Division 1</w:t>
            </w:r>
            <w:r w:rsidR="000447ED" w:rsidRPr="005E3B43">
              <w:t>D</w:t>
            </w:r>
            <w:r w:rsidR="000447ED" w:rsidRPr="005E3B43">
              <w:tab/>
            </w:r>
          </w:p>
        </w:tc>
        <w:tc>
          <w:tcPr>
            <w:tcW w:w="3505" w:type="pct"/>
          </w:tcPr>
          <w:p w14:paraId="53384A0A" w14:textId="77777777" w:rsidR="000447ED" w:rsidRPr="005E3B43" w:rsidRDefault="000447ED" w:rsidP="00763BCF">
            <w:pPr>
              <w:pStyle w:val="ENoteTableText"/>
            </w:pPr>
            <w:r w:rsidRPr="005E3B43">
              <w:t>ad. 2009 No.</w:t>
            </w:r>
            <w:r w:rsidR="004E6D00" w:rsidRPr="005E3B43">
              <w:t> </w:t>
            </w:r>
            <w:r w:rsidRPr="005E3B43">
              <w:t>374</w:t>
            </w:r>
          </w:p>
        </w:tc>
      </w:tr>
      <w:tr w:rsidR="000447ED" w:rsidRPr="005E3B43" w14:paraId="330A5A5E" w14:textId="77777777" w:rsidTr="00034EA9">
        <w:trPr>
          <w:cantSplit/>
        </w:trPr>
        <w:tc>
          <w:tcPr>
            <w:tcW w:w="1495" w:type="pct"/>
          </w:tcPr>
          <w:p w14:paraId="2E002FE1" w14:textId="77777777" w:rsidR="000447ED" w:rsidRPr="005E3B43" w:rsidRDefault="000447ED" w:rsidP="00763BCF">
            <w:pPr>
              <w:pStyle w:val="ENoteTableText"/>
              <w:tabs>
                <w:tab w:val="center" w:leader="dot" w:pos="2268"/>
              </w:tabs>
            </w:pPr>
            <w:r w:rsidRPr="005E3B43">
              <w:t>r. 38</w:t>
            </w:r>
            <w:r w:rsidRPr="005E3B43">
              <w:tab/>
            </w:r>
          </w:p>
        </w:tc>
        <w:tc>
          <w:tcPr>
            <w:tcW w:w="3505" w:type="pct"/>
          </w:tcPr>
          <w:p w14:paraId="58398E06" w14:textId="77777777" w:rsidR="000447ED" w:rsidRPr="005E3B43" w:rsidRDefault="000447ED" w:rsidP="00763BCF">
            <w:pPr>
              <w:pStyle w:val="ENoteTableText"/>
            </w:pPr>
            <w:r w:rsidRPr="005E3B43">
              <w:t>am. 1991 No.</w:t>
            </w:r>
            <w:r w:rsidR="004E6D00" w:rsidRPr="005E3B43">
              <w:t> </w:t>
            </w:r>
            <w:r w:rsidRPr="005E3B43">
              <w:t>485; 1997 No.</w:t>
            </w:r>
            <w:r w:rsidR="004E6D00" w:rsidRPr="005E3B43">
              <w:t> </w:t>
            </w:r>
            <w:r w:rsidRPr="005E3B43">
              <w:t>400; 2002 No.</w:t>
            </w:r>
            <w:r w:rsidR="004E6D00" w:rsidRPr="005E3B43">
              <w:t> </w:t>
            </w:r>
            <w:r w:rsidRPr="005E3B43">
              <w:t>234; 2009 No.</w:t>
            </w:r>
            <w:r w:rsidR="004E6D00" w:rsidRPr="005E3B43">
              <w:t> </w:t>
            </w:r>
            <w:r w:rsidRPr="005E3B43">
              <w:t>63</w:t>
            </w:r>
          </w:p>
        </w:tc>
      </w:tr>
      <w:tr w:rsidR="000447ED" w:rsidRPr="005E3B43" w14:paraId="49FDFD75" w14:textId="77777777" w:rsidTr="00034EA9">
        <w:trPr>
          <w:cantSplit/>
        </w:trPr>
        <w:tc>
          <w:tcPr>
            <w:tcW w:w="1495" w:type="pct"/>
          </w:tcPr>
          <w:p w14:paraId="2F3987FD" w14:textId="77777777" w:rsidR="000447ED" w:rsidRPr="005E3B43" w:rsidRDefault="000447ED" w:rsidP="00763BCF">
            <w:pPr>
              <w:pStyle w:val="ENoteTableText"/>
            </w:pPr>
          </w:p>
        </w:tc>
        <w:tc>
          <w:tcPr>
            <w:tcW w:w="3505" w:type="pct"/>
          </w:tcPr>
          <w:p w14:paraId="4D22C575" w14:textId="77777777" w:rsidR="000447ED" w:rsidRPr="005E3B43" w:rsidRDefault="000447ED" w:rsidP="00763BCF">
            <w:pPr>
              <w:pStyle w:val="ENoteTableText"/>
            </w:pPr>
            <w:r w:rsidRPr="005E3B43">
              <w:t>rs. 2009 No.</w:t>
            </w:r>
            <w:r w:rsidR="004E6D00" w:rsidRPr="005E3B43">
              <w:t> </w:t>
            </w:r>
            <w:r w:rsidRPr="005E3B43">
              <w:t>374</w:t>
            </w:r>
          </w:p>
        </w:tc>
      </w:tr>
      <w:tr w:rsidR="000447ED" w:rsidRPr="005E3B43" w14:paraId="1D0607B2" w14:textId="77777777" w:rsidTr="00034EA9">
        <w:trPr>
          <w:cantSplit/>
        </w:trPr>
        <w:tc>
          <w:tcPr>
            <w:tcW w:w="1495" w:type="pct"/>
          </w:tcPr>
          <w:p w14:paraId="2FF1572F" w14:textId="77777777" w:rsidR="000447ED" w:rsidRPr="005E3B43" w:rsidRDefault="000447ED" w:rsidP="00763BCF">
            <w:pPr>
              <w:pStyle w:val="ENoteTableText"/>
              <w:tabs>
                <w:tab w:val="center" w:leader="dot" w:pos="2268"/>
              </w:tabs>
            </w:pPr>
            <w:r w:rsidRPr="005E3B43">
              <w:t>r 38A</w:t>
            </w:r>
            <w:r w:rsidRPr="005E3B43">
              <w:tab/>
            </w:r>
          </w:p>
        </w:tc>
        <w:tc>
          <w:tcPr>
            <w:tcW w:w="3505" w:type="pct"/>
          </w:tcPr>
          <w:p w14:paraId="58AA6C35" w14:textId="77777777" w:rsidR="000447ED" w:rsidRPr="005E3B43" w:rsidRDefault="000447ED" w:rsidP="00763BCF">
            <w:pPr>
              <w:pStyle w:val="ENoteTableText"/>
            </w:pPr>
            <w:r w:rsidRPr="005E3B43">
              <w:t>ad 2009 No 374</w:t>
            </w:r>
          </w:p>
        </w:tc>
      </w:tr>
      <w:tr w:rsidR="000447ED" w:rsidRPr="005E3B43" w14:paraId="3000A0B1" w14:textId="77777777" w:rsidTr="00034EA9">
        <w:trPr>
          <w:cantSplit/>
        </w:trPr>
        <w:tc>
          <w:tcPr>
            <w:tcW w:w="1495" w:type="pct"/>
          </w:tcPr>
          <w:p w14:paraId="0B61F45C" w14:textId="77777777" w:rsidR="000447ED" w:rsidRPr="005E3B43" w:rsidRDefault="000447ED" w:rsidP="00763BCF">
            <w:pPr>
              <w:pStyle w:val="ENoteTableText"/>
            </w:pPr>
          </w:p>
        </w:tc>
        <w:tc>
          <w:tcPr>
            <w:tcW w:w="3505" w:type="pct"/>
          </w:tcPr>
          <w:p w14:paraId="47E825D8" w14:textId="77777777" w:rsidR="000447ED" w:rsidRPr="005E3B43" w:rsidRDefault="000447ED" w:rsidP="00763BCF">
            <w:pPr>
              <w:pStyle w:val="ENoteTableText"/>
            </w:pPr>
            <w:r w:rsidRPr="005E3B43">
              <w:t>am 2012 No 251; F2016L01614</w:t>
            </w:r>
          </w:p>
        </w:tc>
      </w:tr>
      <w:tr w:rsidR="000447ED" w:rsidRPr="005E3B43" w14:paraId="0F4B3AD4" w14:textId="77777777" w:rsidTr="00034EA9">
        <w:trPr>
          <w:cantSplit/>
        </w:trPr>
        <w:tc>
          <w:tcPr>
            <w:tcW w:w="1495" w:type="pct"/>
          </w:tcPr>
          <w:p w14:paraId="23217C3F" w14:textId="77777777" w:rsidR="000447ED" w:rsidRPr="005E3B43" w:rsidRDefault="000447ED" w:rsidP="00763BCF">
            <w:pPr>
              <w:pStyle w:val="ENoteTableText"/>
              <w:tabs>
                <w:tab w:val="center" w:leader="dot" w:pos="2268"/>
              </w:tabs>
            </w:pPr>
            <w:r w:rsidRPr="005E3B43">
              <w:t>r 38B</w:t>
            </w:r>
            <w:r w:rsidRPr="005E3B43">
              <w:tab/>
            </w:r>
          </w:p>
        </w:tc>
        <w:tc>
          <w:tcPr>
            <w:tcW w:w="3505" w:type="pct"/>
          </w:tcPr>
          <w:p w14:paraId="56A83D79" w14:textId="77777777" w:rsidR="000447ED" w:rsidRPr="005E3B43" w:rsidRDefault="000447ED" w:rsidP="00763BCF">
            <w:pPr>
              <w:pStyle w:val="ENoteTableText"/>
            </w:pPr>
            <w:r w:rsidRPr="005E3B43">
              <w:t>ad 2009 No 374</w:t>
            </w:r>
          </w:p>
        </w:tc>
      </w:tr>
      <w:tr w:rsidR="000447ED" w:rsidRPr="005E3B43" w14:paraId="052C6F34" w14:textId="77777777" w:rsidTr="00034EA9">
        <w:trPr>
          <w:cantSplit/>
        </w:trPr>
        <w:tc>
          <w:tcPr>
            <w:tcW w:w="1495" w:type="pct"/>
          </w:tcPr>
          <w:p w14:paraId="541C91C2" w14:textId="77777777" w:rsidR="000447ED" w:rsidRPr="005E3B43" w:rsidRDefault="000447ED" w:rsidP="00763BCF">
            <w:pPr>
              <w:pStyle w:val="ENoteTableText"/>
            </w:pPr>
          </w:p>
        </w:tc>
        <w:tc>
          <w:tcPr>
            <w:tcW w:w="3505" w:type="pct"/>
          </w:tcPr>
          <w:p w14:paraId="6710A8E6" w14:textId="77777777" w:rsidR="000447ED" w:rsidRPr="005E3B43" w:rsidRDefault="000447ED" w:rsidP="00763BCF">
            <w:pPr>
              <w:pStyle w:val="ENoteTableText"/>
            </w:pPr>
            <w:r w:rsidRPr="005E3B43">
              <w:t>am 2011 Nos 102 and 281; No 220, 2013; F2016L01614</w:t>
            </w:r>
          </w:p>
        </w:tc>
      </w:tr>
      <w:tr w:rsidR="000447ED" w:rsidRPr="005E3B43" w14:paraId="3FE00D94" w14:textId="77777777" w:rsidTr="00034EA9">
        <w:trPr>
          <w:cantSplit/>
        </w:trPr>
        <w:tc>
          <w:tcPr>
            <w:tcW w:w="1495" w:type="pct"/>
          </w:tcPr>
          <w:p w14:paraId="14B2C3BB" w14:textId="77777777" w:rsidR="000447ED" w:rsidRPr="005E3B43" w:rsidRDefault="003C0723" w:rsidP="00763BCF">
            <w:pPr>
              <w:pStyle w:val="ENoteTableText"/>
            </w:pPr>
            <w:r w:rsidRPr="005E3B43">
              <w:rPr>
                <w:b/>
              </w:rPr>
              <w:t>Division 1</w:t>
            </w:r>
            <w:r w:rsidR="000447ED" w:rsidRPr="005E3B43">
              <w:rPr>
                <w:b/>
              </w:rPr>
              <w:t>DA</w:t>
            </w:r>
          </w:p>
        </w:tc>
        <w:tc>
          <w:tcPr>
            <w:tcW w:w="3505" w:type="pct"/>
          </w:tcPr>
          <w:p w14:paraId="290BAC5C" w14:textId="77777777" w:rsidR="000447ED" w:rsidRPr="005E3B43" w:rsidRDefault="000447ED" w:rsidP="00763BCF">
            <w:pPr>
              <w:pStyle w:val="ENoteTableText"/>
            </w:pPr>
          </w:p>
        </w:tc>
      </w:tr>
      <w:tr w:rsidR="000447ED" w:rsidRPr="005E3B43" w14:paraId="0BD9400F" w14:textId="77777777" w:rsidTr="00034EA9">
        <w:trPr>
          <w:cantSplit/>
        </w:trPr>
        <w:tc>
          <w:tcPr>
            <w:tcW w:w="1495" w:type="pct"/>
          </w:tcPr>
          <w:p w14:paraId="1175BD89" w14:textId="77777777" w:rsidR="000447ED" w:rsidRPr="005E3B43" w:rsidRDefault="003C0723" w:rsidP="00763BCF">
            <w:pPr>
              <w:pStyle w:val="ENoteTableText"/>
              <w:tabs>
                <w:tab w:val="center" w:leader="dot" w:pos="2268"/>
              </w:tabs>
            </w:pPr>
            <w:r w:rsidRPr="005E3B43">
              <w:t>Division 1</w:t>
            </w:r>
            <w:r w:rsidR="000447ED" w:rsidRPr="005E3B43">
              <w:t>DA</w:t>
            </w:r>
            <w:r w:rsidR="000447ED" w:rsidRPr="005E3B43">
              <w:tab/>
            </w:r>
          </w:p>
        </w:tc>
        <w:tc>
          <w:tcPr>
            <w:tcW w:w="3505" w:type="pct"/>
          </w:tcPr>
          <w:p w14:paraId="6CF4F148" w14:textId="77777777" w:rsidR="000447ED" w:rsidRPr="005E3B43" w:rsidRDefault="000447ED" w:rsidP="00763BCF">
            <w:pPr>
              <w:pStyle w:val="ENoteTableText"/>
            </w:pPr>
            <w:r w:rsidRPr="005E3B43">
              <w:t>ad 2011 No 281</w:t>
            </w:r>
          </w:p>
        </w:tc>
      </w:tr>
      <w:tr w:rsidR="000447ED" w:rsidRPr="005E3B43" w14:paraId="2CCA6157" w14:textId="77777777" w:rsidTr="00034EA9">
        <w:trPr>
          <w:cantSplit/>
        </w:trPr>
        <w:tc>
          <w:tcPr>
            <w:tcW w:w="1495" w:type="pct"/>
          </w:tcPr>
          <w:p w14:paraId="287B3E51" w14:textId="77777777" w:rsidR="000447ED" w:rsidRPr="005E3B43" w:rsidRDefault="000447ED" w:rsidP="00763BCF">
            <w:pPr>
              <w:pStyle w:val="ENoteTableText"/>
              <w:tabs>
                <w:tab w:val="center" w:leader="dot" w:pos="2268"/>
              </w:tabs>
            </w:pPr>
          </w:p>
        </w:tc>
        <w:tc>
          <w:tcPr>
            <w:tcW w:w="3505" w:type="pct"/>
          </w:tcPr>
          <w:p w14:paraId="1B126C1D" w14:textId="77777777" w:rsidR="000447ED" w:rsidRPr="005E3B43" w:rsidRDefault="000447ED" w:rsidP="00763BCF">
            <w:pPr>
              <w:pStyle w:val="ENoteTableText"/>
            </w:pPr>
            <w:r w:rsidRPr="005E3B43">
              <w:t>rep F2016L01614</w:t>
            </w:r>
          </w:p>
        </w:tc>
      </w:tr>
      <w:tr w:rsidR="000447ED" w:rsidRPr="005E3B43" w14:paraId="179DE046" w14:textId="77777777" w:rsidTr="00034EA9">
        <w:trPr>
          <w:cantSplit/>
        </w:trPr>
        <w:tc>
          <w:tcPr>
            <w:tcW w:w="1495" w:type="pct"/>
          </w:tcPr>
          <w:p w14:paraId="6B05010C" w14:textId="77777777" w:rsidR="000447ED" w:rsidRPr="005E3B43" w:rsidRDefault="000447ED" w:rsidP="00763BCF">
            <w:pPr>
              <w:pStyle w:val="ENoteTableText"/>
              <w:tabs>
                <w:tab w:val="center" w:leader="dot" w:pos="2268"/>
              </w:tabs>
            </w:pPr>
            <w:r w:rsidRPr="005E3B43">
              <w:t>r. 38C</w:t>
            </w:r>
            <w:r w:rsidRPr="005E3B43">
              <w:tab/>
            </w:r>
          </w:p>
        </w:tc>
        <w:tc>
          <w:tcPr>
            <w:tcW w:w="3505" w:type="pct"/>
          </w:tcPr>
          <w:p w14:paraId="3A061D46" w14:textId="77777777" w:rsidR="000447ED" w:rsidRPr="005E3B43" w:rsidRDefault="000447ED" w:rsidP="00763BCF">
            <w:pPr>
              <w:pStyle w:val="ENoteTableText"/>
            </w:pPr>
            <w:r w:rsidRPr="005E3B43">
              <w:t>ad. 2011 No.</w:t>
            </w:r>
            <w:r w:rsidR="004E6D00" w:rsidRPr="005E3B43">
              <w:t> </w:t>
            </w:r>
            <w:r w:rsidRPr="005E3B43">
              <w:t>281</w:t>
            </w:r>
          </w:p>
        </w:tc>
      </w:tr>
      <w:tr w:rsidR="000447ED" w:rsidRPr="005E3B43" w14:paraId="385784F3" w14:textId="77777777" w:rsidTr="00034EA9">
        <w:trPr>
          <w:cantSplit/>
        </w:trPr>
        <w:tc>
          <w:tcPr>
            <w:tcW w:w="1495" w:type="pct"/>
          </w:tcPr>
          <w:p w14:paraId="1EB188BE" w14:textId="77777777" w:rsidR="000447ED" w:rsidRPr="005E3B43" w:rsidRDefault="000447ED" w:rsidP="00763BCF">
            <w:pPr>
              <w:pStyle w:val="ENoteTableText"/>
              <w:tabs>
                <w:tab w:val="center" w:leader="dot" w:pos="2268"/>
              </w:tabs>
            </w:pPr>
          </w:p>
        </w:tc>
        <w:tc>
          <w:tcPr>
            <w:tcW w:w="3505" w:type="pct"/>
          </w:tcPr>
          <w:p w14:paraId="1BD7940D" w14:textId="77777777" w:rsidR="000447ED" w:rsidRPr="005E3B43" w:rsidRDefault="000447ED" w:rsidP="00763BCF">
            <w:pPr>
              <w:pStyle w:val="ENoteTableText"/>
            </w:pPr>
            <w:r w:rsidRPr="005E3B43">
              <w:t>rep F2016L01614</w:t>
            </w:r>
          </w:p>
        </w:tc>
      </w:tr>
      <w:tr w:rsidR="000447ED" w:rsidRPr="005E3B43" w14:paraId="404EFEFC" w14:textId="77777777" w:rsidTr="00034EA9">
        <w:trPr>
          <w:cantSplit/>
        </w:trPr>
        <w:tc>
          <w:tcPr>
            <w:tcW w:w="1495" w:type="pct"/>
          </w:tcPr>
          <w:p w14:paraId="10942A08" w14:textId="77777777" w:rsidR="000447ED" w:rsidRPr="005E3B43" w:rsidRDefault="000447ED" w:rsidP="00763BCF">
            <w:pPr>
              <w:pStyle w:val="ENoteTableText"/>
              <w:tabs>
                <w:tab w:val="center" w:leader="dot" w:pos="2268"/>
              </w:tabs>
            </w:pPr>
            <w:r w:rsidRPr="005E3B43">
              <w:t>r. 38D</w:t>
            </w:r>
            <w:r w:rsidRPr="005E3B43">
              <w:tab/>
            </w:r>
          </w:p>
        </w:tc>
        <w:tc>
          <w:tcPr>
            <w:tcW w:w="3505" w:type="pct"/>
          </w:tcPr>
          <w:p w14:paraId="1F1D40E3" w14:textId="77777777" w:rsidR="000447ED" w:rsidRPr="005E3B43" w:rsidRDefault="000447ED" w:rsidP="00763BCF">
            <w:pPr>
              <w:pStyle w:val="ENoteTableText"/>
            </w:pPr>
            <w:r w:rsidRPr="005E3B43">
              <w:t>ad. 2011 No.</w:t>
            </w:r>
            <w:r w:rsidR="004E6D00" w:rsidRPr="005E3B43">
              <w:t> </w:t>
            </w:r>
            <w:r w:rsidRPr="005E3B43">
              <w:t>281</w:t>
            </w:r>
          </w:p>
        </w:tc>
      </w:tr>
      <w:tr w:rsidR="000447ED" w:rsidRPr="005E3B43" w14:paraId="2714CE5E" w14:textId="77777777" w:rsidTr="00034EA9">
        <w:trPr>
          <w:cantSplit/>
        </w:trPr>
        <w:tc>
          <w:tcPr>
            <w:tcW w:w="1495" w:type="pct"/>
          </w:tcPr>
          <w:p w14:paraId="3198DE11" w14:textId="77777777" w:rsidR="000447ED" w:rsidRPr="005E3B43" w:rsidRDefault="000447ED" w:rsidP="00763BCF">
            <w:pPr>
              <w:pStyle w:val="ENoteTableText"/>
            </w:pPr>
          </w:p>
        </w:tc>
        <w:tc>
          <w:tcPr>
            <w:tcW w:w="3505" w:type="pct"/>
          </w:tcPr>
          <w:p w14:paraId="508C07D1" w14:textId="77777777" w:rsidR="000447ED" w:rsidRPr="005E3B43" w:rsidRDefault="000447ED" w:rsidP="00763BCF">
            <w:pPr>
              <w:pStyle w:val="ENoteTableText"/>
            </w:pPr>
            <w:r w:rsidRPr="005E3B43">
              <w:t>am. 2012 No.</w:t>
            </w:r>
            <w:r w:rsidR="004E6D00" w:rsidRPr="005E3B43">
              <w:t> </w:t>
            </w:r>
            <w:r w:rsidRPr="005E3B43">
              <w:t>251; No.</w:t>
            </w:r>
            <w:r w:rsidR="004E6D00" w:rsidRPr="005E3B43">
              <w:t> </w:t>
            </w:r>
            <w:r w:rsidRPr="005E3B43">
              <w:t>220, 2013</w:t>
            </w:r>
          </w:p>
        </w:tc>
      </w:tr>
      <w:tr w:rsidR="000447ED" w:rsidRPr="005E3B43" w14:paraId="2AD09D4D" w14:textId="77777777" w:rsidTr="00034EA9">
        <w:trPr>
          <w:cantSplit/>
        </w:trPr>
        <w:tc>
          <w:tcPr>
            <w:tcW w:w="1495" w:type="pct"/>
          </w:tcPr>
          <w:p w14:paraId="643DC623" w14:textId="77777777" w:rsidR="000447ED" w:rsidRPr="005E3B43" w:rsidRDefault="000447ED" w:rsidP="00763BCF">
            <w:pPr>
              <w:pStyle w:val="ENoteTableText"/>
            </w:pPr>
          </w:p>
        </w:tc>
        <w:tc>
          <w:tcPr>
            <w:tcW w:w="3505" w:type="pct"/>
          </w:tcPr>
          <w:p w14:paraId="30E70C53" w14:textId="77777777" w:rsidR="000447ED" w:rsidRPr="005E3B43" w:rsidRDefault="000447ED" w:rsidP="00763BCF">
            <w:pPr>
              <w:pStyle w:val="ENoteTableText"/>
            </w:pPr>
            <w:r w:rsidRPr="005E3B43">
              <w:t>rep F2016L01614</w:t>
            </w:r>
          </w:p>
        </w:tc>
      </w:tr>
      <w:tr w:rsidR="000447ED" w:rsidRPr="005E3B43" w14:paraId="67B4920A" w14:textId="77777777" w:rsidTr="00034EA9">
        <w:trPr>
          <w:cantSplit/>
        </w:trPr>
        <w:tc>
          <w:tcPr>
            <w:tcW w:w="1495" w:type="pct"/>
          </w:tcPr>
          <w:p w14:paraId="202F61F3" w14:textId="77777777" w:rsidR="000447ED" w:rsidRPr="005E3B43" w:rsidRDefault="000447ED" w:rsidP="00763BCF">
            <w:pPr>
              <w:pStyle w:val="ENoteTableText"/>
              <w:tabs>
                <w:tab w:val="center" w:leader="dot" w:pos="2268"/>
              </w:tabs>
            </w:pPr>
            <w:r w:rsidRPr="005E3B43">
              <w:t>r. 38E</w:t>
            </w:r>
            <w:r w:rsidRPr="005E3B43">
              <w:tab/>
            </w:r>
          </w:p>
        </w:tc>
        <w:tc>
          <w:tcPr>
            <w:tcW w:w="3505" w:type="pct"/>
          </w:tcPr>
          <w:p w14:paraId="54CD6BFC" w14:textId="77777777" w:rsidR="000447ED" w:rsidRPr="005E3B43" w:rsidRDefault="000447ED" w:rsidP="00763BCF">
            <w:pPr>
              <w:pStyle w:val="ENoteTableText"/>
            </w:pPr>
            <w:r w:rsidRPr="005E3B43">
              <w:t>ad. 2011 No.</w:t>
            </w:r>
            <w:r w:rsidR="004E6D00" w:rsidRPr="005E3B43">
              <w:t> </w:t>
            </w:r>
            <w:r w:rsidRPr="005E3B43">
              <w:t>281</w:t>
            </w:r>
          </w:p>
        </w:tc>
      </w:tr>
      <w:tr w:rsidR="000447ED" w:rsidRPr="005E3B43" w14:paraId="40A08C22" w14:textId="77777777" w:rsidTr="00034EA9">
        <w:trPr>
          <w:cantSplit/>
        </w:trPr>
        <w:tc>
          <w:tcPr>
            <w:tcW w:w="1495" w:type="pct"/>
          </w:tcPr>
          <w:p w14:paraId="15536E44" w14:textId="77777777" w:rsidR="000447ED" w:rsidRPr="005E3B43" w:rsidRDefault="000447ED" w:rsidP="00763BCF">
            <w:pPr>
              <w:pStyle w:val="ENoteTableText"/>
              <w:tabs>
                <w:tab w:val="center" w:leader="dot" w:pos="2268"/>
              </w:tabs>
            </w:pPr>
          </w:p>
        </w:tc>
        <w:tc>
          <w:tcPr>
            <w:tcW w:w="3505" w:type="pct"/>
          </w:tcPr>
          <w:p w14:paraId="3CB9D802" w14:textId="77777777" w:rsidR="000447ED" w:rsidRPr="005E3B43" w:rsidRDefault="000447ED" w:rsidP="00763BCF">
            <w:pPr>
              <w:pStyle w:val="ENoteTableText"/>
            </w:pPr>
            <w:r w:rsidRPr="005E3B43">
              <w:t>am No.</w:t>
            </w:r>
            <w:r w:rsidR="004E6D00" w:rsidRPr="005E3B43">
              <w:t> </w:t>
            </w:r>
            <w:r w:rsidRPr="005E3B43">
              <w:t>220, 2013</w:t>
            </w:r>
          </w:p>
        </w:tc>
      </w:tr>
      <w:tr w:rsidR="000447ED" w:rsidRPr="005E3B43" w14:paraId="675F8A8D" w14:textId="77777777" w:rsidTr="00034EA9">
        <w:trPr>
          <w:cantSplit/>
        </w:trPr>
        <w:tc>
          <w:tcPr>
            <w:tcW w:w="1495" w:type="pct"/>
          </w:tcPr>
          <w:p w14:paraId="6A2CD229" w14:textId="77777777" w:rsidR="000447ED" w:rsidRPr="005E3B43" w:rsidRDefault="000447ED" w:rsidP="00763BCF">
            <w:pPr>
              <w:pStyle w:val="ENoteTableText"/>
              <w:tabs>
                <w:tab w:val="center" w:leader="dot" w:pos="2268"/>
              </w:tabs>
            </w:pPr>
          </w:p>
        </w:tc>
        <w:tc>
          <w:tcPr>
            <w:tcW w:w="3505" w:type="pct"/>
          </w:tcPr>
          <w:p w14:paraId="5487589E" w14:textId="77777777" w:rsidR="000447ED" w:rsidRPr="005E3B43" w:rsidRDefault="000447ED" w:rsidP="00763BCF">
            <w:pPr>
              <w:pStyle w:val="ENoteTableText"/>
            </w:pPr>
            <w:r w:rsidRPr="005E3B43">
              <w:t>rep F2016L01614</w:t>
            </w:r>
          </w:p>
        </w:tc>
      </w:tr>
      <w:tr w:rsidR="000447ED" w:rsidRPr="005E3B43" w14:paraId="23BCAE69" w14:textId="77777777" w:rsidTr="00034EA9">
        <w:trPr>
          <w:cantSplit/>
        </w:trPr>
        <w:tc>
          <w:tcPr>
            <w:tcW w:w="1495" w:type="pct"/>
          </w:tcPr>
          <w:p w14:paraId="5753254D" w14:textId="77777777" w:rsidR="000447ED" w:rsidRPr="005E3B43" w:rsidRDefault="000447ED" w:rsidP="00763BCF">
            <w:pPr>
              <w:pStyle w:val="ENoteTableText"/>
              <w:tabs>
                <w:tab w:val="center" w:leader="dot" w:pos="2268"/>
              </w:tabs>
            </w:pPr>
            <w:r w:rsidRPr="005E3B43">
              <w:t>r. 39</w:t>
            </w:r>
            <w:r w:rsidRPr="005E3B43">
              <w:tab/>
            </w:r>
          </w:p>
        </w:tc>
        <w:tc>
          <w:tcPr>
            <w:tcW w:w="3505" w:type="pct"/>
          </w:tcPr>
          <w:p w14:paraId="2BCAF243" w14:textId="77777777" w:rsidR="000447ED" w:rsidRPr="005E3B43" w:rsidRDefault="000447ED" w:rsidP="00763BCF">
            <w:pPr>
              <w:pStyle w:val="ENoteTableText"/>
            </w:pPr>
            <w:r w:rsidRPr="005E3B43">
              <w:t>am. 1997 No.</w:t>
            </w:r>
            <w:r w:rsidR="004E6D00" w:rsidRPr="005E3B43">
              <w:t> </w:t>
            </w:r>
            <w:r w:rsidRPr="005E3B43">
              <w:t>400</w:t>
            </w:r>
          </w:p>
        </w:tc>
      </w:tr>
      <w:tr w:rsidR="000447ED" w:rsidRPr="005E3B43" w14:paraId="2B765C87" w14:textId="77777777" w:rsidTr="00034EA9">
        <w:trPr>
          <w:cantSplit/>
        </w:trPr>
        <w:tc>
          <w:tcPr>
            <w:tcW w:w="1495" w:type="pct"/>
          </w:tcPr>
          <w:p w14:paraId="187BC338" w14:textId="77777777" w:rsidR="000447ED" w:rsidRPr="005E3B43" w:rsidRDefault="000447ED" w:rsidP="00763BCF">
            <w:pPr>
              <w:pStyle w:val="ENoteTableText"/>
            </w:pPr>
          </w:p>
        </w:tc>
        <w:tc>
          <w:tcPr>
            <w:tcW w:w="3505" w:type="pct"/>
          </w:tcPr>
          <w:p w14:paraId="5EFD0359"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7C504965" w14:textId="77777777" w:rsidTr="00034EA9">
        <w:trPr>
          <w:cantSplit/>
        </w:trPr>
        <w:tc>
          <w:tcPr>
            <w:tcW w:w="1495" w:type="pct"/>
          </w:tcPr>
          <w:p w14:paraId="76C86FCC" w14:textId="77777777" w:rsidR="000447ED" w:rsidRPr="005E3B43" w:rsidRDefault="003C0723" w:rsidP="00763BCF">
            <w:pPr>
              <w:pStyle w:val="ENoteTableText"/>
            </w:pPr>
            <w:r w:rsidRPr="005E3B43">
              <w:rPr>
                <w:b/>
              </w:rPr>
              <w:t>Division 1</w:t>
            </w:r>
            <w:r w:rsidR="000447ED" w:rsidRPr="005E3B43">
              <w:rPr>
                <w:b/>
              </w:rPr>
              <w:t>E</w:t>
            </w:r>
          </w:p>
        </w:tc>
        <w:tc>
          <w:tcPr>
            <w:tcW w:w="3505" w:type="pct"/>
          </w:tcPr>
          <w:p w14:paraId="0275CD44" w14:textId="77777777" w:rsidR="000447ED" w:rsidRPr="005E3B43" w:rsidRDefault="000447ED" w:rsidP="00763BCF">
            <w:pPr>
              <w:pStyle w:val="ENoteTableText"/>
            </w:pPr>
          </w:p>
        </w:tc>
      </w:tr>
      <w:tr w:rsidR="000447ED" w:rsidRPr="005E3B43" w14:paraId="1E37A023" w14:textId="77777777" w:rsidTr="00034EA9">
        <w:trPr>
          <w:cantSplit/>
        </w:trPr>
        <w:tc>
          <w:tcPr>
            <w:tcW w:w="1495" w:type="pct"/>
          </w:tcPr>
          <w:p w14:paraId="2F1CA187" w14:textId="77777777" w:rsidR="000447ED" w:rsidRPr="005E3B43" w:rsidRDefault="003C0723" w:rsidP="00763BCF">
            <w:pPr>
              <w:pStyle w:val="ENoteTableText"/>
              <w:tabs>
                <w:tab w:val="center" w:leader="dot" w:pos="2268"/>
              </w:tabs>
            </w:pPr>
            <w:r w:rsidRPr="005E3B43">
              <w:t>Division 1</w:t>
            </w:r>
            <w:r w:rsidR="000447ED" w:rsidRPr="005E3B43">
              <w:t>E</w:t>
            </w:r>
            <w:r w:rsidR="000447ED" w:rsidRPr="005E3B43">
              <w:tab/>
            </w:r>
          </w:p>
        </w:tc>
        <w:tc>
          <w:tcPr>
            <w:tcW w:w="3505" w:type="pct"/>
          </w:tcPr>
          <w:p w14:paraId="786D8FEE" w14:textId="77777777" w:rsidR="000447ED" w:rsidRPr="005E3B43" w:rsidRDefault="000447ED" w:rsidP="00763BCF">
            <w:pPr>
              <w:pStyle w:val="ENoteTableText"/>
            </w:pPr>
            <w:r w:rsidRPr="005E3B43">
              <w:t>ad. 2009 No.</w:t>
            </w:r>
            <w:r w:rsidR="004E6D00" w:rsidRPr="005E3B43">
              <w:t> </w:t>
            </w:r>
            <w:r w:rsidRPr="005E3B43">
              <w:t>374</w:t>
            </w:r>
          </w:p>
        </w:tc>
      </w:tr>
      <w:tr w:rsidR="000447ED" w:rsidRPr="005E3B43" w14:paraId="3864769D" w14:textId="77777777" w:rsidTr="00034EA9">
        <w:trPr>
          <w:cantSplit/>
        </w:trPr>
        <w:tc>
          <w:tcPr>
            <w:tcW w:w="1495" w:type="pct"/>
          </w:tcPr>
          <w:p w14:paraId="57073029" w14:textId="77777777" w:rsidR="000447ED" w:rsidRPr="005E3B43" w:rsidRDefault="000447ED" w:rsidP="00763BCF">
            <w:pPr>
              <w:pStyle w:val="ENoteTableText"/>
              <w:tabs>
                <w:tab w:val="center" w:leader="dot" w:pos="2268"/>
              </w:tabs>
            </w:pPr>
            <w:r w:rsidRPr="005E3B43">
              <w:t>r. 39</w:t>
            </w:r>
            <w:r w:rsidRPr="005E3B43">
              <w:tab/>
            </w:r>
          </w:p>
        </w:tc>
        <w:tc>
          <w:tcPr>
            <w:tcW w:w="3505" w:type="pct"/>
          </w:tcPr>
          <w:p w14:paraId="49CF7FBE" w14:textId="77777777" w:rsidR="000447ED" w:rsidRPr="005E3B43" w:rsidRDefault="000447ED" w:rsidP="00763BCF">
            <w:pPr>
              <w:pStyle w:val="ENoteTableText"/>
            </w:pPr>
            <w:r w:rsidRPr="005E3B43">
              <w:t>ad. 2009 No.</w:t>
            </w:r>
            <w:r w:rsidR="004E6D00" w:rsidRPr="005E3B43">
              <w:t> </w:t>
            </w:r>
            <w:r w:rsidRPr="005E3B43">
              <w:t>374</w:t>
            </w:r>
          </w:p>
        </w:tc>
      </w:tr>
      <w:tr w:rsidR="000447ED" w:rsidRPr="005E3B43" w14:paraId="0E5A52F3" w14:textId="77777777" w:rsidTr="00034EA9">
        <w:trPr>
          <w:cantSplit/>
        </w:trPr>
        <w:tc>
          <w:tcPr>
            <w:tcW w:w="1495" w:type="pct"/>
          </w:tcPr>
          <w:p w14:paraId="01272FAB" w14:textId="77777777" w:rsidR="000447ED" w:rsidRPr="005E3B43" w:rsidRDefault="000447ED" w:rsidP="00763BCF">
            <w:pPr>
              <w:pStyle w:val="ENoteTableText"/>
              <w:tabs>
                <w:tab w:val="center" w:leader="dot" w:pos="2268"/>
              </w:tabs>
            </w:pPr>
            <w:r w:rsidRPr="005E3B43">
              <w:t>r 39A</w:t>
            </w:r>
            <w:r w:rsidRPr="005E3B43">
              <w:tab/>
            </w:r>
          </w:p>
        </w:tc>
        <w:tc>
          <w:tcPr>
            <w:tcW w:w="3505" w:type="pct"/>
          </w:tcPr>
          <w:p w14:paraId="575C634D" w14:textId="77777777" w:rsidR="000447ED" w:rsidRPr="005E3B43" w:rsidRDefault="000447ED" w:rsidP="00763BCF">
            <w:pPr>
              <w:pStyle w:val="ENoteTableText"/>
            </w:pPr>
            <w:r w:rsidRPr="005E3B43">
              <w:t>ad 2009 No 374</w:t>
            </w:r>
          </w:p>
        </w:tc>
      </w:tr>
      <w:tr w:rsidR="000447ED" w:rsidRPr="005E3B43" w14:paraId="5C1BE5A4" w14:textId="77777777" w:rsidTr="00034EA9">
        <w:trPr>
          <w:cantSplit/>
        </w:trPr>
        <w:tc>
          <w:tcPr>
            <w:tcW w:w="1495" w:type="pct"/>
          </w:tcPr>
          <w:p w14:paraId="3A2CE847" w14:textId="77777777" w:rsidR="000447ED" w:rsidRPr="005E3B43" w:rsidRDefault="000447ED" w:rsidP="00763BCF">
            <w:pPr>
              <w:pStyle w:val="ENoteTableText"/>
            </w:pPr>
          </w:p>
        </w:tc>
        <w:tc>
          <w:tcPr>
            <w:tcW w:w="3505" w:type="pct"/>
          </w:tcPr>
          <w:p w14:paraId="67D7C7E1" w14:textId="77777777" w:rsidR="000447ED" w:rsidRPr="005E3B43" w:rsidRDefault="000447ED" w:rsidP="00763BCF">
            <w:pPr>
              <w:pStyle w:val="ENoteTableText"/>
            </w:pPr>
            <w:r w:rsidRPr="005E3B43">
              <w:t>am 2012 No 251; No 220, 2013; F2016L01614</w:t>
            </w:r>
          </w:p>
        </w:tc>
      </w:tr>
      <w:tr w:rsidR="000447ED" w:rsidRPr="005E3B43" w14:paraId="341A1307" w14:textId="77777777" w:rsidTr="00034EA9">
        <w:trPr>
          <w:cantSplit/>
        </w:trPr>
        <w:tc>
          <w:tcPr>
            <w:tcW w:w="1495" w:type="pct"/>
          </w:tcPr>
          <w:p w14:paraId="3545BBCA" w14:textId="77777777" w:rsidR="000447ED" w:rsidRPr="005E3B43" w:rsidRDefault="000447ED" w:rsidP="00763BCF">
            <w:pPr>
              <w:pStyle w:val="ENoteTableText"/>
              <w:tabs>
                <w:tab w:val="center" w:leader="dot" w:pos="2268"/>
              </w:tabs>
            </w:pPr>
            <w:r w:rsidRPr="005E3B43">
              <w:t>r 39B</w:t>
            </w:r>
            <w:r w:rsidRPr="005E3B43">
              <w:tab/>
            </w:r>
          </w:p>
        </w:tc>
        <w:tc>
          <w:tcPr>
            <w:tcW w:w="3505" w:type="pct"/>
          </w:tcPr>
          <w:p w14:paraId="4F420DD9" w14:textId="77777777" w:rsidR="000447ED" w:rsidRPr="005E3B43" w:rsidRDefault="000447ED" w:rsidP="00763BCF">
            <w:pPr>
              <w:pStyle w:val="ENoteTableText"/>
            </w:pPr>
            <w:r w:rsidRPr="005E3B43">
              <w:t>ad 2009 No 374</w:t>
            </w:r>
          </w:p>
        </w:tc>
      </w:tr>
      <w:tr w:rsidR="000447ED" w:rsidRPr="005E3B43" w14:paraId="0376A564" w14:textId="77777777" w:rsidTr="00034EA9">
        <w:trPr>
          <w:cantSplit/>
        </w:trPr>
        <w:tc>
          <w:tcPr>
            <w:tcW w:w="1495" w:type="pct"/>
          </w:tcPr>
          <w:p w14:paraId="6758BB2C" w14:textId="77777777" w:rsidR="000447ED" w:rsidRPr="005E3B43" w:rsidRDefault="000447ED" w:rsidP="00763BCF">
            <w:pPr>
              <w:pStyle w:val="ENoteTableText"/>
            </w:pPr>
          </w:p>
        </w:tc>
        <w:tc>
          <w:tcPr>
            <w:tcW w:w="3505" w:type="pct"/>
          </w:tcPr>
          <w:p w14:paraId="521179B3" w14:textId="77777777" w:rsidR="000447ED" w:rsidRPr="005E3B43" w:rsidRDefault="000447ED" w:rsidP="00763BCF">
            <w:pPr>
              <w:pStyle w:val="ENoteTableText"/>
            </w:pPr>
            <w:r w:rsidRPr="005E3B43">
              <w:t>am 2011 No 102; F2016L01614</w:t>
            </w:r>
          </w:p>
        </w:tc>
      </w:tr>
      <w:tr w:rsidR="000447ED" w:rsidRPr="005E3B43" w14:paraId="02F08E78" w14:textId="77777777" w:rsidTr="00034EA9">
        <w:trPr>
          <w:cantSplit/>
        </w:trPr>
        <w:tc>
          <w:tcPr>
            <w:tcW w:w="1495" w:type="pct"/>
          </w:tcPr>
          <w:p w14:paraId="79B3AD3D" w14:textId="77777777" w:rsidR="000447ED" w:rsidRPr="005E3B43" w:rsidRDefault="003C0723" w:rsidP="00763BCF">
            <w:pPr>
              <w:pStyle w:val="ENoteTableText"/>
            </w:pPr>
            <w:r w:rsidRPr="005E3B43">
              <w:rPr>
                <w:b/>
              </w:rPr>
              <w:t>Division 1</w:t>
            </w:r>
            <w:r w:rsidR="000447ED" w:rsidRPr="005E3B43">
              <w:rPr>
                <w:b/>
              </w:rPr>
              <w:t>EA</w:t>
            </w:r>
          </w:p>
        </w:tc>
        <w:tc>
          <w:tcPr>
            <w:tcW w:w="3505" w:type="pct"/>
          </w:tcPr>
          <w:p w14:paraId="7D09FB09" w14:textId="77777777" w:rsidR="000447ED" w:rsidRPr="005E3B43" w:rsidRDefault="000447ED" w:rsidP="00763BCF">
            <w:pPr>
              <w:pStyle w:val="ENoteTableText"/>
            </w:pPr>
          </w:p>
        </w:tc>
      </w:tr>
      <w:tr w:rsidR="000447ED" w:rsidRPr="005E3B43" w14:paraId="6D58FF13" w14:textId="77777777" w:rsidTr="00034EA9">
        <w:trPr>
          <w:cantSplit/>
        </w:trPr>
        <w:tc>
          <w:tcPr>
            <w:tcW w:w="1495" w:type="pct"/>
          </w:tcPr>
          <w:p w14:paraId="6196515B" w14:textId="77777777" w:rsidR="000447ED" w:rsidRPr="005E3B43" w:rsidRDefault="003C0723" w:rsidP="00763BCF">
            <w:pPr>
              <w:pStyle w:val="ENoteTableText"/>
              <w:tabs>
                <w:tab w:val="center" w:leader="dot" w:pos="2268"/>
              </w:tabs>
            </w:pPr>
            <w:r w:rsidRPr="005E3B43">
              <w:t>Division 1</w:t>
            </w:r>
            <w:r w:rsidR="000447ED" w:rsidRPr="005E3B43">
              <w:t>EA</w:t>
            </w:r>
            <w:r w:rsidR="000447ED" w:rsidRPr="005E3B43">
              <w:tab/>
            </w:r>
          </w:p>
        </w:tc>
        <w:tc>
          <w:tcPr>
            <w:tcW w:w="3505" w:type="pct"/>
          </w:tcPr>
          <w:p w14:paraId="5EBC0001" w14:textId="77777777" w:rsidR="000447ED" w:rsidRPr="005E3B43" w:rsidRDefault="000447ED" w:rsidP="00763BCF">
            <w:pPr>
              <w:pStyle w:val="ENoteTableText"/>
            </w:pPr>
            <w:r w:rsidRPr="005E3B43">
              <w:t>ad. 2011 No.</w:t>
            </w:r>
            <w:r w:rsidR="004E6D00" w:rsidRPr="005E3B43">
              <w:t> </w:t>
            </w:r>
            <w:r w:rsidRPr="005E3B43">
              <w:t>30</w:t>
            </w:r>
          </w:p>
        </w:tc>
      </w:tr>
      <w:tr w:rsidR="000447ED" w:rsidRPr="005E3B43" w14:paraId="6A790971" w14:textId="77777777" w:rsidTr="00034EA9">
        <w:trPr>
          <w:cantSplit/>
        </w:trPr>
        <w:tc>
          <w:tcPr>
            <w:tcW w:w="1495" w:type="pct"/>
          </w:tcPr>
          <w:p w14:paraId="0A3E7E82" w14:textId="77777777" w:rsidR="000447ED" w:rsidRPr="005E3B43" w:rsidRDefault="000447ED" w:rsidP="00763BCF">
            <w:pPr>
              <w:pStyle w:val="ENoteTableText"/>
              <w:tabs>
                <w:tab w:val="center" w:leader="dot" w:pos="2268"/>
              </w:tabs>
            </w:pPr>
            <w:r w:rsidRPr="005E3B43">
              <w:t>r. 39C</w:t>
            </w:r>
            <w:r w:rsidRPr="005E3B43">
              <w:tab/>
            </w:r>
          </w:p>
        </w:tc>
        <w:tc>
          <w:tcPr>
            <w:tcW w:w="3505" w:type="pct"/>
          </w:tcPr>
          <w:p w14:paraId="1A87E56B" w14:textId="77777777" w:rsidR="000447ED" w:rsidRPr="005E3B43" w:rsidRDefault="000447ED" w:rsidP="00763BCF">
            <w:pPr>
              <w:pStyle w:val="ENoteTableText"/>
            </w:pPr>
            <w:r w:rsidRPr="005E3B43">
              <w:t>ad. 2011 No.</w:t>
            </w:r>
            <w:r w:rsidR="004E6D00" w:rsidRPr="005E3B43">
              <w:t> </w:t>
            </w:r>
            <w:r w:rsidRPr="005E3B43">
              <w:t>30</w:t>
            </w:r>
          </w:p>
        </w:tc>
      </w:tr>
      <w:tr w:rsidR="000447ED" w:rsidRPr="005E3B43" w14:paraId="051BE261" w14:textId="77777777" w:rsidTr="00034EA9">
        <w:trPr>
          <w:cantSplit/>
        </w:trPr>
        <w:tc>
          <w:tcPr>
            <w:tcW w:w="1495" w:type="pct"/>
          </w:tcPr>
          <w:p w14:paraId="406C3082" w14:textId="77777777" w:rsidR="000447ED" w:rsidRPr="005E3B43" w:rsidRDefault="000447ED" w:rsidP="00763BCF">
            <w:pPr>
              <w:pStyle w:val="ENoteTableText"/>
              <w:tabs>
                <w:tab w:val="center" w:leader="dot" w:pos="2268"/>
              </w:tabs>
            </w:pPr>
            <w:r w:rsidRPr="005E3B43">
              <w:t>r 39D</w:t>
            </w:r>
            <w:r w:rsidRPr="005E3B43">
              <w:tab/>
            </w:r>
          </w:p>
        </w:tc>
        <w:tc>
          <w:tcPr>
            <w:tcW w:w="3505" w:type="pct"/>
          </w:tcPr>
          <w:p w14:paraId="118DB9C1" w14:textId="77777777" w:rsidR="000447ED" w:rsidRPr="005E3B43" w:rsidRDefault="000447ED" w:rsidP="00763BCF">
            <w:pPr>
              <w:pStyle w:val="ENoteTableText"/>
            </w:pPr>
            <w:r w:rsidRPr="005E3B43">
              <w:t>ad 2011 No 30</w:t>
            </w:r>
          </w:p>
        </w:tc>
      </w:tr>
      <w:tr w:rsidR="000447ED" w:rsidRPr="005E3B43" w14:paraId="591CFFDB" w14:textId="77777777" w:rsidTr="00034EA9">
        <w:trPr>
          <w:cantSplit/>
        </w:trPr>
        <w:tc>
          <w:tcPr>
            <w:tcW w:w="1495" w:type="pct"/>
          </w:tcPr>
          <w:p w14:paraId="19C85EBC" w14:textId="77777777" w:rsidR="000447ED" w:rsidRPr="005E3B43" w:rsidRDefault="000447ED" w:rsidP="00763BCF">
            <w:pPr>
              <w:pStyle w:val="ENoteTableText"/>
            </w:pPr>
          </w:p>
        </w:tc>
        <w:tc>
          <w:tcPr>
            <w:tcW w:w="3505" w:type="pct"/>
          </w:tcPr>
          <w:p w14:paraId="36E70E51" w14:textId="77777777" w:rsidR="000447ED" w:rsidRPr="005E3B43" w:rsidRDefault="000447ED" w:rsidP="00763BCF">
            <w:pPr>
              <w:pStyle w:val="ENoteTableText"/>
            </w:pPr>
            <w:r w:rsidRPr="005E3B43">
              <w:t>am 2012 No 251; No 220, 2013; F2016L01614</w:t>
            </w:r>
          </w:p>
        </w:tc>
      </w:tr>
      <w:tr w:rsidR="000447ED" w:rsidRPr="005E3B43" w14:paraId="05A2976A" w14:textId="77777777" w:rsidTr="00034EA9">
        <w:trPr>
          <w:cantSplit/>
        </w:trPr>
        <w:tc>
          <w:tcPr>
            <w:tcW w:w="1495" w:type="pct"/>
          </w:tcPr>
          <w:p w14:paraId="48906ADF" w14:textId="77777777" w:rsidR="000447ED" w:rsidRPr="005E3B43" w:rsidRDefault="000447ED" w:rsidP="00763BCF">
            <w:pPr>
              <w:pStyle w:val="ENoteTableText"/>
              <w:tabs>
                <w:tab w:val="center" w:leader="dot" w:pos="2268"/>
              </w:tabs>
            </w:pPr>
            <w:r w:rsidRPr="005E3B43">
              <w:t>r 39E</w:t>
            </w:r>
            <w:r w:rsidRPr="005E3B43">
              <w:tab/>
            </w:r>
          </w:p>
        </w:tc>
        <w:tc>
          <w:tcPr>
            <w:tcW w:w="3505" w:type="pct"/>
          </w:tcPr>
          <w:p w14:paraId="6760BF95" w14:textId="77777777" w:rsidR="000447ED" w:rsidRPr="005E3B43" w:rsidRDefault="000447ED" w:rsidP="00763BCF">
            <w:pPr>
              <w:pStyle w:val="ENoteTableText"/>
            </w:pPr>
            <w:r w:rsidRPr="005E3B43">
              <w:t>ad 2011 No 30</w:t>
            </w:r>
          </w:p>
        </w:tc>
      </w:tr>
      <w:tr w:rsidR="000447ED" w:rsidRPr="005E3B43" w14:paraId="2BA6C1E2" w14:textId="77777777" w:rsidTr="00034EA9">
        <w:trPr>
          <w:cantSplit/>
        </w:trPr>
        <w:tc>
          <w:tcPr>
            <w:tcW w:w="1495" w:type="pct"/>
          </w:tcPr>
          <w:p w14:paraId="499780A5" w14:textId="77777777" w:rsidR="000447ED" w:rsidRPr="005E3B43" w:rsidRDefault="000447ED" w:rsidP="00763BCF">
            <w:pPr>
              <w:pStyle w:val="ENoteTableText"/>
              <w:tabs>
                <w:tab w:val="center" w:leader="dot" w:pos="2268"/>
              </w:tabs>
            </w:pPr>
          </w:p>
        </w:tc>
        <w:tc>
          <w:tcPr>
            <w:tcW w:w="3505" w:type="pct"/>
          </w:tcPr>
          <w:p w14:paraId="542F0A30" w14:textId="77777777" w:rsidR="000447ED" w:rsidRPr="005E3B43" w:rsidRDefault="000447ED" w:rsidP="00763BCF">
            <w:pPr>
              <w:pStyle w:val="ENoteTableText"/>
            </w:pPr>
            <w:r w:rsidRPr="005E3B43">
              <w:t>am F2016L01614</w:t>
            </w:r>
          </w:p>
        </w:tc>
      </w:tr>
      <w:tr w:rsidR="000447ED" w:rsidRPr="005E3B43" w14:paraId="184D3DC0" w14:textId="77777777" w:rsidTr="00034EA9">
        <w:trPr>
          <w:cantSplit/>
        </w:trPr>
        <w:tc>
          <w:tcPr>
            <w:tcW w:w="1495" w:type="pct"/>
          </w:tcPr>
          <w:p w14:paraId="3768CAE7" w14:textId="77777777" w:rsidR="000447ED" w:rsidRPr="005E3B43" w:rsidRDefault="003C0723" w:rsidP="00763BCF">
            <w:pPr>
              <w:pStyle w:val="ENoteTableText"/>
              <w:keepNext/>
            </w:pPr>
            <w:r w:rsidRPr="005E3B43">
              <w:rPr>
                <w:b/>
              </w:rPr>
              <w:t>Division 1</w:t>
            </w:r>
            <w:r w:rsidR="000447ED" w:rsidRPr="005E3B43">
              <w:rPr>
                <w:b/>
              </w:rPr>
              <w:t>EB</w:t>
            </w:r>
          </w:p>
        </w:tc>
        <w:tc>
          <w:tcPr>
            <w:tcW w:w="3505" w:type="pct"/>
          </w:tcPr>
          <w:p w14:paraId="4A3CC48D" w14:textId="77777777" w:rsidR="000447ED" w:rsidRPr="005E3B43" w:rsidRDefault="000447ED" w:rsidP="00763BCF">
            <w:pPr>
              <w:pStyle w:val="ENoteTableText"/>
            </w:pPr>
          </w:p>
        </w:tc>
      </w:tr>
      <w:tr w:rsidR="000447ED" w:rsidRPr="005E3B43" w14:paraId="2D110EA8" w14:textId="77777777" w:rsidTr="00034EA9">
        <w:trPr>
          <w:cantSplit/>
        </w:trPr>
        <w:tc>
          <w:tcPr>
            <w:tcW w:w="1495" w:type="pct"/>
          </w:tcPr>
          <w:p w14:paraId="6646B122" w14:textId="77777777" w:rsidR="000447ED" w:rsidRPr="005E3B43" w:rsidRDefault="003C0723" w:rsidP="00763BCF">
            <w:pPr>
              <w:pStyle w:val="ENoteTableText"/>
              <w:tabs>
                <w:tab w:val="center" w:leader="dot" w:pos="2268"/>
              </w:tabs>
            </w:pPr>
            <w:r w:rsidRPr="005E3B43">
              <w:t>Division 1</w:t>
            </w:r>
            <w:r w:rsidR="000447ED" w:rsidRPr="005E3B43">
              <w:t>EB heading</w:t>
            </w:r>
            <w:r w:rsidR="000447ED" w:rsidRPr="005E3B43">
              <w:tab/>
            </w:r>
          </w:p>
        </w:tc>
        <w:tc>
          <w:tcPr>
            <w:tcW w:w="3505" w:type="pct"/>
          </w:tcPr>
          <w:p w14:paraId="41066302" w14:textId="77777777" w:rsidR="000447ED" w:rsidRPr="005E3B43" w:rsidRDefault="000447ED" w:rsidP="00763BCF">
            <w:pPr>
              <w:pStyle w:val="ENoteTableText"/>
            </w:pPr>
            <w:r w:rsidRPr="005E3B43">
              <w:t>rs F2016L01614</w:t>
            </w:r>
          </w:p>
        </w:tc>
      </w:tr>
      <w:tr w:rsidR="000447ED" w:rsidRPr="005E3B43" w14:paraId="30CCBF16" w14:textId="77777777" w:rsidTr="00034EA9">
        <w:trPr>
          <w:cantSplit/>
        </w:trPr>
        <w:tc>
          <w:tcPr>
            <w:tcW w:w="1495" w:type="pct"/>
          </w:tcPr>
          <w:p w14:paraId="026C0F16" w14:textId="77777777" w:rsidR="000447ED" w:rsidRPr="005E3B43" w:rsidRDefault="003C0723" w:rsidP="00763BCF">
            <w:pPr>
              <w:pStyle w:val="ENoteTableText"/>
              <w:tabs>
                <w:tab w:val="center" w:leader="dot" w:pos="2268"/>
              </w:tabs>
            </w:pPr>
            <w:r w:rsidRPr="005E3B43">
              <w:t>Division 1</w:t>
            </w:r>
            <w:r w:rsidR="000447ED" w:rsidRPr="005E3B43">
              <w:t>EB</w:t>
            </w:r>
            <w:r w:rsidR="000447ED" w:rsidRPr="005E3B43">
              <w:tab/>
            </w:r>
          </w:p>
        </w:tc>
        <w:tc>
          <w:tcPr>
            <w:tcW w:w="3505" w:type="pct"/>
          </w:tcPr>
          <w:p w14:paraId="068B807C" w14:textId="77777777" w:rsidR="000447ED" w:rsidRPr="005E3B43" w:rsidRDefault="000447ED" w:rsidP="00763BCF">
            <w:pPr>
              <w:pStyle w:val="ENoteTableText"/>
            </w:pPr>
            <w:r w:rsidRPr="005E3B43">
              <w:t>ad 2012 No 251</w:t>
            </w:r>
          </w:p>
        </w:tc>
      </w:tr>
      <w:tr w:rsidR="000447ED" w:rsidRPr="005E3B43" w14:paraId="6660E7E3" w14:textId="77777777" w:rsidTr="00034EA9">
        <w:trPr>
          <w:cantSplit/>
        </w:trPr>
        <w:tc>
          <w:tcPr>
            <w:tcW w:w="1495" w:type="pct"/>
          </w:tcPr>
          <w:p w14:paraId="39CB75A4" w14:textId="77777777" w:rsidR="000447ED" w:rsidRPr="005E3B43" w:rsidRDefault="000447ED" w:rsidP="00763BCF">
            <w:pPr>
              <w:pStyle w:val="ENoteTableText"/>
              <w:tabs>
                <w:tab w:val="center" w:leader="dot" w:pos="2268"/>
              </w:tabs>
            </w:pPr>
            <w:r w:rsidRPr="005E3B43">
              <w:t>r 39F</w:t>
            </w:r>
            <w:r w:rsidRPr="005E3B43">
              <w:tab/>
            </w:r>
          </w:p>
        </w:tc>
        <w:tc>
          <w:tcPr>
            <w:tcW w:w="3505" w:type="pct"/>
          </w:tcPr>
          <w:p w14:paraId="4D6CEA2F" w14:textId="77777777" w:rsidR="000447ED" w:rsidRPr="005E3B43" w:rsidRDefault="000447ED" w:rsidP="00763BCF">
            <w:pPr>
              <w:pStyle w:val="ENoteTableText"/>
            </w:pPr>
            <w:r w:rsidRPr="005E3B43">
              <w:t>ad 2012 No 251</w:t>
            </w:r>
          </w:p>
        </w:tc>
      </w:tr>
      <w:tr w:rsidR="000447ED" w:rsidRPr="005E3B43" w14:paraId="0036A0D0" w14:textId="77777777" w:rsidTr="00034EA9">
        <w:trPr>
          <w:cantSplit/>
        </w:trPr>
        <w:tc>
          <w:tcPr>
            <w:tcW w:w="1495" w:type="pct"/>
          </w:tcPr>
          <w:p w14:paraId="2EACCF00" w14:textId="77777777" w:rsidR="000447ED" w:rsidRPr="005E3B43" w:rsidRDefault="000447ED" w:rsidP="00763BCF">
            <w:pPr>
              <w:pStyle w:val="ENoteTableText"/>
              <w:tabs>
                <w:tab w:val="center" w:leader="dot" w:pos="2268"/>
              </w:tabs>
            </w:pPr>
          </w:p>
        </w:tc>
        <w:tc>
          <w:tcPr>
            <w:tcW w:w="3505" w:type="pct"/>
          </w:tcPr>
          <w:p w14:paraId="368DFD2E" w14:textId="77777777" w:rsidR="000447ED" w:rsidRPr="005E3B43" w:rsidRDefault="000447ED" w:rsidP="00763BCF">
            <w:pPr>
              <w:pStyle w:val="ENoteTableText"/>
            </w:pPr>
            <w:r w:rsidRPr="005E3B43">
              <w:t>rs F2016L01614</w:t>
            </w:r>
          </w:p>
        </w:tc>
      </w:tr>
      <w:tr w:rsidR="000447ED" w:rsidRPr="005E3B43" w14:paraId="1687857F" w14:textId="77777777" w:rsidTr="00034EA9">
        <w:trPr>
          <w:cantSplit/>
        </w:trPr>
        <w:tc>
          <w:tcPr>
            <w:tcW w:w="1495" w:type="pct"/>
          </w:tcPr>
          <w:p w14:paraId="4AC3E989" w14:textId="77777777" w:rsidR="000447ED" w:rsidRPr="005E3B43" w:rsidRDefault="000447ED" w:rsidP="00763BCF">
            <w:pPr>
              <w:pStyle w:val="ENoteTableText"/>
              <w:tabs>
                <w:tab w:val="center" w:leader="dot" w:pos="2268"/>
              </w:tabs>
            </w:pPr>
            <w:r w:rsidRPr="005E3B43">
              <w:t>r 39G</w:t>
            </w:r>
            <w:r w:rsidRPr="005E3B43">
              <w:tab/>
            </w:r>
          </w:p>
        </w:tc>
        <w:tc>
          <w:tcPr>
            <w:tcW w:w="3505" w:type="pct"/>
          </w:tcPr>
          <w:p w14:paraId="58E2F96C" w14:textId="77777777" w:rsidR="000447ED" w:rsidRPr="005E3B43" w:rsidRDefault="000447ED" w:rsidP="00763BCF">
            <w:pPr>
              <w:pStyle w:val="ENoteTableText"/>
            </w:pPr>
            <w:r w:rsidRPr="005E3B43">
              <w:t>ad 2012 No 251</w:t>
            </w:r>
          </w:p>
        </w:tc>
      </w:tr>
      <w:tr w:rsidR="000447ED" w:rsidRPr="005E3B43" w14:paraId="357D8E0C" w14:textId="77777777" w:rsidTr="00034EA9">
        <w:trPr>
          <w:cantSplit/>
        </w:trPr>
        <w:tc>
          <w:tcPr>
            <w:tcW w:w="1495" w:type="pct"/>
          </w:tcPr>
          <w:p w14:paraId="681903C5" w14:textId="77777777" w:rsidR="000447ED" w:rsidRPr="005E3B43" w:rsidRDefault="000447ED" w:rsidP="00763BCF">
            <w:pPr>
              <w:pStyle w:val="ENoteTableText"/>
              <w:tabs>
                <w:tab w:val="center" w:leader="dot" w:pos="2268"/>
              </w:tabs>
            </w:pPr>
          </w:p>
        </w:tc>
        <w:tc>
          <w:tcPr>
            <w:tcW w:w="3505" w:type="pct"/>
          </w:tcPr>
          <w:p w14:paraId="22B283F8" w14:textId="77777777" w:rsidR="000447ED" w:rsidRPr="005E3B43" w:rsidRDefault="000447ED" w:rsidP="00763BCF">
            <w:pPr>
              <w:pStyle w:val="ENoteTableText"/>
            </w:pPr>
            <w:r w:rsidRPr="005E3B43">
              <w:t>am No 220, 2013; F2016L01614</w:t>
            </w:r>
          </w:p>
        </w:tc>
      </w:tr>
      <w:tr w:rsidR="000447ED" w:rsidRPr="005E3B43" w14:paraId="32631765" w14:textId="77777777" w:rsidTr="00034EA9">
        <w:trPr>
          <w:cantSplit/>
        </w:trPr>
        <w:tc>
          <w:tcPr>
            <w:tcW w:w="1495" w:type="pct"/>
          </w:tcPr>
          <w:p w14:paraId="2CBF2ABE" w14:textId="77777777" w:rsidR="000447ED" w:rsidRPr="005E3B43" w:rsidRDefault="000447ED" w:rsidP="00763BCF">
            <w:pPr>
              <w:pStyle w:val="ENoteTableText"/>
              <w:tabs>
                <w:tab w:val="center" w:leader="dot" w:pos="2268"/>
              </w:tabs>
            </w:pPr>
            <w:r w:rsidRPr="005E3B43">
              <w:t>r 39H</w:t>
            </w:r>
            <w:r w:rsidRPr="005E3B43">
              <w:tab/>
            </w:r>
          </w:p>
        </w:tc>
        <w:tc>
          <w:tcPr>
            <w:tcW w:w="3505" w:type="pct"/>
          </w:tcPr>
          <w:p w14:paraId="3CD78055" w14:textId="77777777" w:rsidR="000447ED" w:rsidRPr="005E3B43" w:rsidRDefault="000447ED" w:rsidP="00763BCF">
            <w:pPr>
              <w:pStyle w:val="ENoteTableText"/>
            </w:pPr>
            <w:r w:rsidRPr="005E3B43">
              <w:t>ad 2012 No 251</w:t>
            </w:r>
          </w:p>
        </w:tc>
      </w:tr>
      <w:tr w:rsidR="000447ED" w:rsidRPr="005E3B43" w14:paraId="33333F05" w14:textId="77777777" w:rsidTr="00034EA9">
        <w:trPr>
          <w:cantSplit/>
        </w:trPr>
        <w:tc>
          <w:tcPr>
            <w:tcW w:w="1495" w:type="pct"/>
          </w:tcPr>
          <w:p w14:paraId="1E85415B" w14:textId="77777777" w:rsidR="000447ED" w:rsidRPr="005E3B43" w:rsidRDefault="000447ED" w:rsidP="00763BCF">
            <w:pPr>
              <w:pStyle w:val="ENoteTableText"/>
              <w:tabs>
                <w:tab w:val="center" w:leader="dot" w:pos="2268"/>
              </w:tabs>
            </w:pPr>
          </w:p>
        </w:tc>
        <w:tc>
          <w:tcPr>
            <w:tcW w:w="3505" w:type="pct"/>
          </w:tcPr>
          <w:p w14:paraId="7928F45B" w14:textId="77777777" w:rsidR="000447ED" w:rsidRPr="005E3B43" w:rsidRDefault="000447ED" w:rsidP="00763BCF">
            <w:pPr>
              <w:pStyle w:val="ENoteTableText"/>
            </w:pPr>
            <w:r w:rsidRPr="005E3B43">
              <w:t>am No 220, 2013; F2016L01614</w:t>
            </w:r>
          </w:p>
        </w:tc>
      </w:tr>
      <w:tr w:rsidR="000447ED" w:rsidRPr="005E3B43" w14:paraId="498EEB7F" w14:textId="77777777" w:rsidTr="00034EA9">
        <w:trPr>
          <w:cantSplit/>
        </w:trPr>
        <w:tc>
          <w:tcPr>
            <w:tcW w:w="1495" w:type="pct"/>
          </w:tcPr>
          <w:p w14:paraId="50057550" w14:textId="77777777" w:rsidR="000447ED" w:rsidRPr="005E3B43" w:rsidRDefault="003C0723" w:rsidP="00763BCF">
            <w:pPr>
              <w:pStyle w:val="ENoteTableText"/>
            </w:pPr>
            <w:r w:rsidRPr="005E3B43">
              <w:rPr>
                <w:b/>
              </w:rPr>
              <w:t>Division 1</w:t>
            </w:r>
            <w:r w:rsidR="000447ED" w:rsidRPr="005E3B43">
              <w:rPr>
                <w:b/>
              </w:rPr>
              <w:t>F</w:t>
            </w:r>
          </w:p>
        </w:tc>
        <w:tc>
          <w:tcPr>
            <w:tcW w:w="3505" w:type="pct"/>
          </w:tcPr>
          <w:p w14:paraId="7C725760" w14:textId="77777777" w:rsidR="000447ED" w:rsidRPr="005E3B43" w:rsidRDefault="000447ED" w:rsidP="00763BCF">
            <w:pPr>
              <w:pStyle w:val="ENoteTableText"/>
            </w:pPr>
          </w:p>
        </w:tc>
      </w:tr>
      <w:tr w:rsidR="000447ED" w:rsidRPr="005E3B43" w14:paraId="134C8999" w14:textId="77777777" w:rsidTr="00034EA9">
        <w:trPr>
          <w:cantSplit/>
        </w:trPr>
        <w:tc>
          <w:tcPr>
            <w:tcW w:w="1495" w:type="pct"/>
          </w:tcPr>
          <w:p w14:paraId="0AED3717" w14:textId="77777777" w:rsidR="000447ED" w:rsidRPr="005E3B43" w:rsidRDefault="003C0723" w:rsidP="00763BCF">
            <w:pPr>
              <w:pStyle w:val="ENoteTableText"/>
              <w:tabs>
                <w:tab w:val="center" w:leader="dot" w:pos="2268"/>
              </w:tabs>
            </w:pPr>
            <w:r w:rsidRPr="005E3B43">
              <w:t>Division 1</w:t>
            </w:r>
            <w:r w:rsidR="000447ED" w:rsidRPr="005E3B43">
              <w:t>F</w:t>
            </w:r>
            <w:r w:rsidR="000447ED" w:rsidRPr="005E3B43">
              <w:tab/>
            </w:r>
          </w:p>
        </w:tc>
        <w:tc>
          <w:tcPr>
            <w:tcW w:w="3505" w:type="pct"/>
          </w:tcPr>
          <w:p w14:paraId="49671990" w14:textId="77777777" w:rsidR="000447ED" w:rsidRPr="005E3B43" w:rsidRDefault="000447ED" w:rsidP="00763BCF">
            <w:pPr>
              <w:pStyle w:val="ENoteTableText"/>
            </w:pPr>
            <w:r w:rsidRPr="005E3B43">
              <w:t>ad. 2009 No.</w:t>
            </w:r>
            <w:r w:rsidR="004E6D00" w:rsidRPr="005E3B43">
              <w:t> </w:t>
            </w:r>
            <w:r w:rsidRPr="005E3B43">
              <w:t>374</w:t>
            </w:r>
          </w:p>
        </w:tc>
      </w:tr>
      <w:tr w:rsidR="000447ED" w:rsidRPr="005E3B43" w14:paraId="05EA34E1" w14:textId="77777777" w:rsidTr="00034EA9">
        <w:trPr>
          <w:cantSplit/>
        </w:trPr>
        <w:tc>
          <w:tcPr>
            <w:tcW w:w="1495" w:type="pct"/>
          </w:tcPr>
          <w:p w14:paraId="7A4775B7" w14:textId="77777777" w:rsidR="000447ED" w:rsidRPr="005E3B43" w:rsidRDefault="000447ED" w:rsidP="00763BCF">
            <w:pPr>
              <w:pStyle w:val="ENoteTableText"/>
              <w:tabs>
                <w:tab w:val="center" w:leader="dot" w:pos="2268"/>
              </w:tabs>
            </w:pPr>
            <w:r w:rsidRPr="005E3B43">
              <w:t>r 40</w:t>
            </w:r>
            <w:r w:rsidRPr="005E3B43">
              <w:tab/>
            </w:r>
          </w:p>
        </w:tc>
        <w:tc>
          <w:tcPr>
            <w:tcW w:w="3505" w:type="pct"/>
          </w:tcPr>
          <w:p w14:paraId="227BE418" w14:textId="77777777" w:rsidR="000447ED" w:rsidRPr="005E3B43" w:rsidRDefault="000447ED" w:rsidP="00763BCF">
            <w:pPr>
              <w:pStyle w:val="ENoteTableText"/>
            </w:pPr>
            <w:r w:rsidRPr="005E3B43">
              <w:t>am 1997 No 400</w:t>
            </w:r>
          </w:p>
        </w:tc>
      </w:tr>
      <w:tr w:rsidR="000447ED" w:rsidRPr="005E3B43" w14:paraId="4C63648A" w14:textId="77777777" w:rsidTr="00034EA9">
        <w:trPr>
          <w:cantSplit/>
        </w:trPr>
        <w:tc>
          <w:tcPr>
            <w:tcW w:w="1495" w:type="pct"/>
          </w:tcPr>
          <w:p w14:paraId="04FB4C25" w14:textId="77777777" w:rsidR="000447ED" w:rsidRPr="005E3B43" w:rsidRDefault="000447ED" w:rsidP="00763BCF">
            <w:pPr>
              <w:pStyle w:val="ENoteTableText"/>
            </w:pPr>
          </w:p>
        </w:tc>
        <w:tc>
          <w:tcPr>
            <w:tcW w:w="3505" w:type="pct"/>
          </w:tcPr>
          <w:p w14:paraId="37A4E7F5" w14:textId="77777777" w:rsidR="000447ED" w:rsidRPr="005E3B43" w:rsidRDefault="000447ED" w:rsidP="00763BCF">
            <w:pPr>
              <w:pStyle w:val="ENoteTableText"/>
            </w:pPr>
            <w:r w:rsidRPr="005E3B43">
              <w:t>rs 2009 No 374</w:t>
            </w:r>
          </w:p>
        </w:tc>
      </w:tr>
      <w:tr w:rsidR="000447ED" w:rsidRPr="005E3B43" w14:paraId="3E31F7C2" w14:textId="77777777" w:rsidTr="00034EA9">
        <w:trPr>
          <w:cantSplit/>
        </w:trPr>
        <w:tc>
          <w:tcPr>
            <w:tcW w:w="1495" w:type="pct"/>
          </w:tcPr>
          <w:p w14:paraId="1C14E75D" w14:textId="77777777" w:rsidR="000447ED" w:rsidRPr="005E3B43" w:rsidRDefault="000447ED" w:rsidP="00763BCF">
            <w:pPr>
              <w:pStyle w:val="ENoteTableText"/>
            </w:pPr>
          </w:p>
        </w:tc>
        <w:tc>
          <w:tcPr>
            <w:tcW w:w="3505" w:type="pct"/>
          </w:tcPr>
          <w:p w14:paraId="68FC9D78" w14:textId="77777777" w:rsidR="000447ED" w:rsidRPr="005E3B43" w:rsidRDefault="000447ED" w:rsidP="00763BCF">
            <w:pPr>
              <w:pStyle w:val="ENoteTableText"/>
            </w:pPr>
            <w:r w:rsidRPr="005E3B43">
              <w:t>am 2009 No 374; 2011 Nos 30 and 281; 2012 No 251; F2016L01614</w:t>
            </w:r>
          </w:p>
        </w:tc>
      </w:tr>
      <w:tr w:rsidR="000447ED" w:rsidRPr="005E3B43" w14:paraId="672C304D" w14:textId="77777777" w:rsidTr="00034EA9">
        <w:trPr>
          <w:cantSplit/>
        </w:trPr>
        <w:tc>
          <w:tcPr>
            <w:tcW w:w="1495" w:type="pct"/>
          </w:tcPr>
          <w:p w14:paraId="1DFAAE49" w14:textId="77777777" w:rsidR="000447ED" w:rsidRPr="005E3B43" w:rsidRDefault="000447ED" w:rsidP="00763BCF">
            <w:pPr>
              <w:pStyle w:val="ENoteTableText"/>
              <w:tabs>
                <w:tab w:val="center" w:leader="dot" w:pos="2268"/>
              </w:tabs>
            </w:pPr>
            <w:r w:rsidRPr="005E3B43">
              <w:t>r. 41</w:t>
            </w:r>
            <w:r w:rsidRPr="005E3B43">
              <w:tab/>
            </w:r>
          </w:p>
        </w:tc>
        <w:tc>
          <w:tcPr>
            <w:tcW w:w="3505" w:type="pct"/>
          </w:tcPr>
          <w:p w14:paraId="34FCF412" w14:textId="77777777" w:rsidR="000447ED" w:rsidRPr="005E3B43" w:rsidRDefault="000447ED" w:rsidP="00763BCF">
            <w:pPr>
              <w:pStyle w:val="ENoteTableText"/>
            </w:pPr>
            <w:r w:rsidRPr="005E3B43">
              <w:t>am. 1991 No.</w:t>
            </w:r>
            <w:r w:rsidR="004E6D00" w:rsidRPr="005E3B43">
              <w:t> </w:t>
            </w:r>
            <w:r w:rsidRPr="005E3B43">
              <w:t>485; 1997 No.</w:t>
            </w:r>
            <w:r w:rsidR="004E6D00" w:rsidRPr="005E3B43">
              <w:t> </w:t>
            </w:r>
            <w:r w:rsidRPr="005E3B43">
              <w:t>400; 2002 No.</w:t>
            </w:r>
            <w:r w:rsidR="004E6D00" w:rsidRPr="005E3B43">
              <w:t> </w:t>
            </w:r>
            <w:r w:rsidRPr="005E3B43">
              <w:t>234</w:t>
            </w:r>
          </w:p>
        </w:tc>
      </w:tr>
      <w:tr w:rsidR="000447ED" w:rsidRPr="005E3B43" w14:paraId="487CA54B" w14:textId="77777777" w:rsidTr="00034EA9">
        <w:trPr>
          <w:cantSplit/>
        </w:trPr>
        <w:tc>
          <w:tcPr>
            <w:tcW w:w="1495" w:type="pct"/>
          </w:tcPr>
          <w:p w14:paraId="2545EB0B" w14:textId="77777777" w:rsidR="000447ED" w:rsidRPr="005E3B43" w:rsidRDefault="000447ED" w:rsidP="00763BCF">
            <w:pPr>
              <w:pStyle w:val="ENoteTableText"/>
            </w:pPr>
          </w:p>
        </w:tc>
        <w:tc>
          <w:tcPr>
            <w:tcW w:w="3505" w:type="pct"/>
          </w:tcPr>
          <w:p w14:paraId="0656BC26" w14:textId="77777777" w:rsidR="000447ED" w:rsidRPr="005E3B43" w:rsidRDefault="000447ED" w:rsidP="00763BCF">
            <w:pPr>
              <w:pStyle w:val="ENoteTableText"/>
            </w:pPr>
            <w:r w:rsidRPr="005E3B43">
              <w:t>rs. 2009 No.</w:t>
            </w:r>
            <w:r w:rsidR="004E6D00" w:rsidRPr="005E3B43">
              <w:t> </w:t>
            </w:r>
            <w:r w:rsidRPr="005E3B43">
              <w:t>374</w:t>
            </w:r>
          </w:p>
        </w:tc>
      </w:tr>
      <w:tr w:rsidR="000447ED" w:rsidRPr="005E3B43" w14:paraId="19C2D1A4" w14:textId="77777777" w:rsidTr="00034EA9">
        <w:trPr>
          <w:cantSplit/>
        </w:trPr>
        <w:tc>
          <w:tcPr>
            <w:tcW w:w="1495" w:type="pct"/>
          </w:tcPr>
          <w:p w14:paraId="70DDFD84" w14:textId="77777777" w:rsidR="000447ED" w:rsidRPr="005E3B43" w:rsidRDefault="000447ED" w:rsidP="00763BCF">
            <w:pPr>
              <w:pStyle w:val="ENoteTableText"/>
              <w:tabs>
                <w:tab w:val="center" w:leader="dot" w:pos="2268"/>
              </w:tabs>
            </w:pPr>
            <w:r w:rsidRPr="005E3B43">
              <w:t>r. 41A</w:t>
            </w:r>
            <w:r w:rsidRPr="005E3B43">
              <w:tab/>
            </w:r>
          </w:p>
        </w:tc>
        <w:tc>
          <w:tcPr>
            <w:tcW w:w="3505" w:type="pct"/>
          </w:tcPr>
          <w:p w14:paraId="0F53B7E7" w14:textId="77777777" w:rsidR="000447ED" w:rsidRPr="005E3B43" w:rsidRDefault="000447ED" w:rsidP="00763BCF">
            <w:pPr>
              <w:pStyle w:val="ENoteTableText"/>
            </w:pPr>
            <w:r w:rsidRPr="005E3B43">
              <w:t>ad. 2009 No.</w:t>
            </w:r>
            <w:r w:rsidR="004E6D00" w:rsidRPr="005E3B43">
              <w:t> </w:t>
            </w:r>
            <w:r w:rsidRPr="005E3B43">
              <w:t>374</w:t>
            </w:r>
          </w:p>
        </w:tc>
      </w:tr>
      <w:tr w:rsidR="000447ED" w:rsidRPr="005E3B43" w14:paraId="20C70FC5" w14:textId="77777777" w:rsidTr="00034EA9">
        <w:trPr>
          <w:cantSplit/>
        </w:trPr>
        <w:tc>
          <w:tcPr>
            <w:tcW w:w="1495" w:type="pct"/>
          </w:tcPr>
          <w:p w14:paraId="61F1474F" w14:textId="77777777" w:rsidR="000447ED" w:rsidRPr="005E3B43" w:rsidRDefault="000447ED" w:rsidP="00763BCF">
            <w:pPr>
              <w:pStyle w:val="ENoteTableText"/>
              <w:tabs>
                <w:tab w:val="center" w:leader="dot" w:pos="2268"/>
              </w:tabs>
            </w:pPr>
            <w:r w:rsidRPr="005E3B43">
              <w:t>r. 41B</w:t>
            </w:r>
            <w:r w:rsidRPr="005E3B43">
              <w:tab/>
            </w:r>
          </w:p>
        </w:tc>
        <w:tc>
          <w:tcPr>
            <w:tcW w:w="3505" w:type="pct"/>
          </w:tcPr>
          <w:p w14:paraId="00498D86" w14:textId="77777777" w:rsidR="000447ED" w:rsidRPr="005E3B43" w:rsidRDefault="000447ED" w:rsidP="00763BCF">
            <w:pPr>
              <w:pStyle w:val="ENoteTableText"/>
            </w:pPr>
            <w:r w:rsidRPr="005E3B43">
              <w:t>ad. 2009 No.</w:t>
            </w:r>
            <w:r w:rsidR="004E6D00" w:rsidRPr="005E3B43">
              <w:t> </w:t>
            </w:r>
            <w:r w:rsidRPr="005E3B43">
              <w:t>374</w:t>
            </w:r>
          </w:p>
        </w:tc>
      </w:tr>
      <w:tr w:rsidR="000447ED" w:rsidRPr="005E3B43" w14:paraId="4C388017" w14:textId="77777777" w:rsidTr="00034EA9">
        <w:trPr>
          <w:cantSplit/>
        </w:trPr>
        <w:tc>
          <w:tcPr>
            <w:tcW w:w="1495" w:type="pct"/>
          </w:tcPr>
          <w:p w14:paraId="0FB4B3FD" w14:textId="77777777" w:rsidR="000447ED" w:rsidRPr="005E3B43" w:rsidRDefault="000447ED" w:rsidP="00763BCF">
            <w:pPr>
              <w:pStyle w:val="ENoteTableText"/>
              <w:tabs>
                <w:tab w:val="center" w:leader="dot" w:pos="2268"/>
              </w:tabs>
            </w:pPr>
            <w:r w:rsidRPr="005E3B43">
              <w:t>r. 41C</w:t>
            </w:r>
            <w:r w:rsidRPr="005E3B43">
              <w:tab/>
            </w:r>
          </w:p>
        </w:tc>
        <w:tc>
          <w:tcPr>
            <w:tcW w:w="3505" w:type="pct"/>
          </w:tcPr>
          <w:p w14:paraId="2269B459" w14:textId="77777777" w:rsidR="000447ED" w:rsidRPr="005E3B43" w:rsidRDefault="000447ED" w:rsidP="00763BCF">
            <w:pPr>
              <w:pStyle w:val="ENoteTableText"/>
            </w:pPr>
            <w:r w:rsidRPr="005E3B43">
              <w:t>ad. 2009 No.</w:t>
            </w:r>
            <w:r w:rsidR="004E6D00" w:rsidRPr="005E3B43">
              <w:t> </w:t>
            </w:r>
            <w:r w:rsidRPr="005E3B43">
              <w:t>374</w:t>
            </w:r>
          </w:p>
        </w:tc>
      </w:tr>
      <w:tr w:rsidR="000447ED" w:rsidRPr="005E3B43" w14:paraId="436A8A1E" w14:textId="77777777" w:rsidTr="00034EA9">
        <w:trPr>
          <w:cantSplit/>
        </w:trPr>
        <w:tc>
          <w:tcPr>
            <w:tcW w:w="1495" w:type="pct"/>
          </w:tcPr>
          <w:p w14:paraId="2E96D051" w14:textId="77777777" w:rsidR="000447ED" w:rsidRPr="005E3B43" w:rsidRDefault="000447ED" w:rsidP="00763BCF">
            <w:pPr>
              <w:pStyle w:val="ENoteTableText"/>
            </w:pPr>
          </w:p>
        </w:tc>
        <w:tc>
          <w:tcPr>
            <w:tcW w:w="3505" w:type="pct"/>
          </w:tcPr>
          <w:p w14:paraId="6AC284B8" w14:textId="77777777" w:rsidR="000447ED" w:rsidRPr="005E3B43" w:rsidRDefault="000447ED" w:rsidP="00763BCF">
            <w:pPr>
              <w:pStyle w:val="ENoteTableText"/>
            </w:pPr>
            <w:r w:rsidRPr="005E3B43">
              <w:t>am. 2011 No.</w:t>
            </w:r>
            <w:r w:rsidR="004E6D00" w:rsidRPr="005E3B43">
              <w:t> </w:t>
            </w:r>
            <w:r w:rsidRPr="005E3B43">
              <w:t>102</w:t>
            </w:r>
          </w:p>
        </w:tc>
      </w:tr>
      <w:tr w:rsidR="000447ED" w:rsidRPr="005E3B43" w14:paraId="46E01726" w14:textId="77777777" w:rsidTr="00034EA9">
        <w:trPr>
          <w:cantSplit/>
        </w:trPr>
        <w:tc>
          <w:tcPr>
            <w:tcW w:w="1495" w:type="pct"/>
          </w:tcPr>
          <w:p w14:paraId="694183BA" w14:textId="77777777" w:rsidR="000447ED" w:rsidRPr="005E3B43" w:rsidRDefault="000447ED" w:rsidP="00763BCF">
            <w:pPr>
              <w:pStyle w:val="ENoteTableText"/>
              <w:tabs>
                <w:tab w:val="center" w:leader="dot" w:pos="2268"/>
              </w:tabs>
            </w:pPr>
            <w:r w:rsidRPr="005E3B43">
              <w:t>r. 41D</w:t>
            </w:r>
            <w:r w:rsidRPr="005E3B43">
              <w:tab/>
            </w:r>
          </w:p>
        </w:tc>
        <w:tc>
          <w:tcPr>
            <w:tcW w:w="3505" w:type="pct"/>
          </w:tcPr>
          <w:p w14:paraId="116766D1" w14:textId="77777777" w:rsidR="000447ED" w:rsidRPr="005E3B43" w:rsidRDefault="000447ED" w:rsidP="00763BCF">
            <w:pPr>
              <w:pStyle w:val="ENoteTableText"/>
            </w:pPr>
            <w:r w:rsidRPr="005E3B43">
              <w:t>ad. 2009 No.</w:t>
            </w:r>
            <w:r w:rsidR="004E6D00" w:rsidRPr="005E3B43">
              <w:t> </w:t>
            </w:r>
            <w:r w:rsidRPr="005E3B43">
              <w:t>374</w:t>
            </w:r>
          </w:p>
        </w:tc>
      </w:tr>
      <w:tr w:rsidR="000447ED" w:rsidRPr="005E3B43" w14:paraId="3E82BEC0" w14:textId="77777777" w:rsidTr="00034EA9">
        <w:trPr>
          <w:cantSplit/>
        </w:trPr>
        <w:tc>
          <w:tcPr>
            <w:tcW w:w="1495" w:type="pct"/>
          </w:tcPr>
          <w:p w14:paraId="1DE4E1A0" w14:textId="77777777" w:rsidR="000447ED" w:rsidRPr="005E3B43" w:rsidRDefault="000447ED" w:rsidP="00763BCF">
            <w:pPr>
              <w:pStyle w:val="ENoteTableText"/>
              <w:tabs>
                <w:tab w:val="center" w:leader="dot" w:pos="2268"/>
              </w:tabs>
            </w:pPr>
            <w:r w:rsidRPr="005E3B43">
              <w:t>r. 41E</w:t>
            </w:r>
            <w:r w:rsidRPr="005E3B43">
              <w:tab/>
            </w:r>
          </w:p>
        </w:tc>
        <w:tc>
          <w:tcPr>
            <w:tcW w:w="3505" w:type="pct"/>
          </w:tcPr>
          <w:p w14:paraId="70B08247" w14:textId="77777777" w:rsidR="000447ED" w:rsidRPr="005E3B43" w:rsidRDefault="000447ED" w:rsidP="00763BCF">
            <w:pPr>
              <w:pStyle w:val="ENoteTableText"/>
            </w:pPr>
            <w:r w:rsidRPr="005E3B43">
              <w:t>ad. 2009 No.</w:t>
            </w:r>
            <w:r w:rsidR="004E6D00" w:rsidRPr="005E3B43">
              <w:t> </w:t>
            </w:r>
            <w:r w:rsidRPr="005E3B43">
              <w:t>374</w:t>
            </w:r>
          </w:p>
        </w:tc>
      </w:tr>
      <w:tr w:rsidR="000447ED" w:rsidRPr="005E3B43" w14:paraId="3695F8CF" w14:textId="77777777" w:rsidTr="00034EA9">
        <w:trPr>
          <w:cantSplit/>
        </w:trPr>
        <w:tc>
          <w:tcPr>
            <w:tcW w:w="1495" w:type="pct"/>
          </w:tcPr>
          <w:p w14:paraId="38DCA763" w14:textId="77777777" w:rsidR="000447ED" w:rsidRPr="005E3B43" w:rsidRDefault="000447ED" w:rsidP="00763BCF">
            <w:pPr>
              <w:pStyle w:val="ENoteTableText"/>
              <w:tabs>
                <w:tab w:val="center" w:leader="dot" w:pos="2268"/>
              </w:tabs>
            </w:pPr>
            <w:r w:rsidRPr="005E3B43">
              <w:t>r. 41F</w:t>
            </w:r>
            <w:r w:rsidRPr="005E3B43">
              <w:tab/>
            </w:r>
          </w:p>
        </w:tc>
        <w:tc>
          <w:tcPr>
            <w:tcW w:w="3505" w:type="pct"/>
          </w:tcPr>
          <w:p w14:paraId="040E606D" w14:textId="77777777" w:rsidR="000447ED" w:rsidRPr="005E3B43" w:rsidRDefault="000447ED" w:rsidP="00763BCF">
            <w:pPr>
              <w:pStyle w:val="ENoteTableText"/>
            </w:pPr>
            <w:r w:rsidRPr="005E3B43">
              <w:t>ad. 2009 No.</w:t>
            </w:r>
            <w:r w:rsidR="004E6D00" w:rsidRPr="005E3B43">
              <w:t> </w:t>
            </w:r>
            <w:r w:rsidRPr="005E3B43">
              <w:t>374</w:t>
            </w:r>
          </w:p>
        </w:tc>
      </w:tr>
      <w:tr w:rsidR="000447ED" w:rsidRPr="005E3B43" w14:paraId="38746B8E" w14:textId="77777777" w:rsidTr="00034EA9">
        <w:trPr>
          <w:cantSplit/>
        </w:trPr>
        <w:tc>
          <w:tcPr>
            <w:tcW w:w="1495" w:type="pct"/>
          </w:tcPr>
          <w:p w14:paraId="3276F46B" w14:textId="77777777" w:rsidR="000447ED" w:rsidRPr="005E3B43" w:rsidRDefault="000447ED" w:rsidP="00763BCF">
            <w:pPr>
              <w:pStyle w:val="ENoteTableText"/>
              <w:tabs>
                <w:tab w:val="center" w:leader="dot" w:pos="2268"/>
              </w:tabs>
            </w:pPr>
            <w:r w:rsidRPr="005E3B43">
              <w:lastRenderedPageBreak/>
              <w:t>r. 41G</w:t>
            </w:r>
            <w:r w:rsidRPr="005E3B43">
              <w:tab/>
            </w:r>
          </w:p>
        </w:tc>
        <w:tc>
          <w:tcPr>
            <w:tcW w:w="3505" w:type="pct"/>
          </w:tcPr>
          <w:p w14:paraId="188B70D5" w14:textId="77777777" w:rsidR="000447ED" w:rsidRPr="005E3B43" w:rsidRDefault="000447ED" w:rsidP="00763BCF">
            <w:pPr>
              <w:pStyle w:val="ENoteTableText"/>
            </w:pPr>
            <w:r w:rsidRPr="005E3B43">
              <w:t>ad. 2009 No.</w:t>
            </w:r>
            <w:r w:rsidR="004E6D00" w:rsidRPr="005E3B43">
              <w:t> </w:t>
            </w:r>
            <w:r w:rsidRPr="005E3B43">
              <w:t>374</w:t>
            </w:r>
          </w:p>
        </w:tc>
      </w:tr>
      <w:tr w:rsidR="000447ED" w:rsidRPr="005E3B43" w14:paraId="7FBADB89" w14:textId="77777777" w:rsidTr="00034EA9">
        <w:trPr>
          <w:cantSplit/>
        </w:trPr>
        <w:tc>
          <w:tcPr>
            <w:tcW w:w="1495" w:type="pct"/>
          </w:tcPr>
          <w:p w14:paraId="654EE7B2" w14:textId="77777777" w:rsidR="000447ED" w:rsidRPr="005E3B43" w:rsidRDefault="000447ED" w:rsidP="00763BCF">
            <w:pPr>
              <w:pStyle w:val="ENoteTableText"/>
              <w:tabs>
                <w:tab w:val="center" w:leader="dot" w:pos="2268"/>
              </w:tabs>
            </w:pPr>
            <w:r w:rsidRPr="005E3B43">
              <w:t>r. 41H</w:t>
            </w:r>
            <w:r w:rsidRPr="005E3B43">
              <w:tab/>
            </w:r>
          </w:p>
        </w:tc>
        <w:tc>
          <w:tcPr>
            <w:tcW w:w="3505" w:type="pct"/>
          </w:tcPr>
          <w:p w14:paraId="1F1B91F3" w14:textId="77777777" w:rsidR="000447ED" w:rsidRPr="005E3B43" w:rsidRDefault="000447ED" w:rsidP="00763BCF">
            <w:pPr>
              <w:pStyle w:val="ENoteTableText"/>
            </w:pPr>
            <w:r w:rsidRPr="005E3B43">
              <w:t>ad. 2009 No.</w:t>
            </w:r>
            <w:r w:rsidR="004E6D00" w:rsidRPr="005E3B43">
              <w:t> </w:t>
            </w:r>
            <w:r w:rsidRPr="005E3B43">
              <w:t>374</w:t>
            </w:r>
          </w:p>
        </w:tc>
      </w:tr>
      <w:tr w:rsidR="000447ED" w:rsidRPr="005E3B43" w14:paraId="4F18E688" w14:textId="77777777" w:rsidTr="00034EA9">
        <w:trPr>
          <w:cantSplit/>
        </w:trPr>
        <w:tc>
          <w:tcPr>
            <w:tcW w:w="1495" w:type="pct"/>
          </w:tcPr>
          <w:p w14:paraId="3E8502D1" w14:textId="77777777" w:rsidR="000447ED" w:rsidRPr="005E3B43" w:rsidRDefault="000447ED" w:rsidP="00763BCF">
            <w:pPr>
              <w:pStyle w:val="ENoteTableText"/>
              <w:tabs>
                <w:tab w:val="center" w:leader="dot" w:pos="2268"/>
              </w:tabs>
            </w:pPr>
            <w:r w:rsidRPr="005E3B43">
              <w:t>r. 41I</w:t>
            </w:r>
            <w:r w:rsidRPr="005E3B43">
              <w:tab/>
            </w:r>
          </w:p>
        </w:tc>
        <w:tc>
          <w:tcPr>
            <w:tcW w:w="3505" w:type="pct"/>
          </w:tcPr>
          <w:p w14:paraId="0FC9E312" w14:textId="77777777" w:rsidR="000447ED" w:rsidRPr="005E3B43" w:rsidRDefault="000447ED" w:rsidP="00763BCF">
            <w:pPr>
              <w:pStyle w:val="ENoteTableText"/>
            </w:pPr>
            <w:r w:rsidRPr="005E3B43">
              <w:t>ad. 2009 No.</w:t>
            </w:r>
            <w:r w:rsidR="004E6D00" w:rsidRPr="005E3B43">
              <w:t> </w:t>
            </w:r>
            <w:r w:rsidRPr="005E3B43">
              <w:t>374</w:t>
            </w:r>
          </w:p>
        </w:tc>
      </w:tr>
      <w:tr w:rsidR="000447ED" w:rsidRPr="005E3B43" w14:paraId="4B7C766E" w14:textId="77777777" w:rsidTr="00034EA9">
        <w:trPr>
          <w:cantSplit/>
        </w:trPr>
        <w:tc>
          <w:tcPr>
            <w:tcW w:w="1495" w:type="pct"/>
          </w:tcPr>
          <w:p w14:paraId="0950C3B4" w14:textId="77777777" w:rsidR="000447ED" w:rsidRPr="005E3B43" w:rsidRDefault="000447ED" w:rsidP="00763BCF">
            <w:pPr>
              <w:pStyle w:val="ENoteTableText"/>
              <w:tabs>
                <w:tab w:val="center" w:leader="dot" w:pos="2268"/>
              </w:tabs>
            </w:pPr>
            <w:r w:rsidRPr="005E3B43">
              <w:t>r. 41J</w:t>
            </w:r>
            <w:r w:rsidRPr="005E3B43">
              <w:tab/>
            </w:r>
          </w:p>
        </w:tc>
        <w:tc>
          <w:tcPr>
            <w:tcW w:w="3505" w:type="pct"/>
          </w:tcPr>
          <w:p w14:paraId="7A709120" w14:textId="77777777" w:rsidR="000447ED" w:rsidRPr="005E3B43" w:rsidRDefault="000447ED" w:rsidP="00763BCF">
            <w:pPr>
              <w:pStyle w:val="ENoteTableText"/>
            </w:pPr>
            <w:r w:rsidRPr="005E3B43">
              <w:t>ad. 2009 No.</w:t>
            </w:r>
            <w:r w:rsidR="004E6D00" w:rsidRPr="005E3B43">
              <w:t> </w:t>
            </w:r>
            <w:r w:rsidRPr="005E3B43">
              <w:t>374</w:t>
            </w:r>
          </w:p>
        </w:tc>
      </w:tr>
      <w:tr w:rsidR="000447ED" w:rsidRPr="005E3B43" w14:paraId="19799B26" w14:textId="77777777" w:rsidTr="00034EA9">
        <w:trPr>
          <w:cantSplit/>
        </w:trPr>
        <w:tc>
          <w:tcPr>
            <w:tcW w:w="1495" w:type="pct"/>
          </w:tcPr>
          <w:p w14:paraId="00D832E8" w14:textId="77777777" w:rsidR="000447ED" w:rsidRPr="005E3B43" w:rsidRDefault="000447ED" w:rsidP="00763BCF">
            <w:pPr>
              <w:pStyle w:val="ENoteTableText"/>
              <w:tabs>
                <w:tab w:val="center" w:leader="dot" w:pos="2268"/>
              </w:tabs>
            </w:pPr>
            <w:r w:rsidRPr="005E3B43">
              <w:t>r. 42</w:t>
            </w:r>
            <w:r w:rsidRPr="005E3B43">
              <w:tab/>
            </w:r>
          </w:p>
        </w:tc>
        <w:tc>
          <w:tcPr>
            <w:tcW w:w="3505" w:type="pct"/>
          </w:tcPr>
          <w:p w14:paraId="012592B3" w14:textId="77777777" w:rsidR="000447ED" w:rsidRPr="005E3B43" w:rsidRDefault="000447ED" w:rsidP="00763BCF">
            <w:pPr>
              <w:pStyle w:val="ENoteTableText"/>
            </w:pPr>
            <w:r w:rsidRPr="005E3B43">
              <w:t>am. 1997 No.</w:t>
            </w:r>
            <w:r w:rsidR="004E6D00" w:rsidRPr="005E3B43">
              <w:t> </w:t>
            </w:r>
            <w:r w:rsidRPr="005E3B43">
              <w:t>400</w:t>
            </w:r>
          </w:p>
        </w:tc>
      </w:tr>
      <w:tr w:rsidR="000447ED" w:rsidRPr="005E3B43" w14:paraId="64DF58CB" w14:textId="77777777" w:rsidTr="00034EA9">
        <w:trPr>
          <w:cantSplit/>
        </w:trPr>
        <w:tc>
          <w:tcPr>
            <w:tcW w:w="1495" w:type="pct"/>
          </w:tcPr>
          <w:p w14:paraId="6941AFAB" w14:textId="77777777" w:rsidR="000447ED" w:rsidRPr="005E3B43" w:rsidRDefault="000447ED" w:rsidP="00763BCF">
            <w:pPr>
              <w:pStyle w:val="ENoteTableText"/>
            </w:pPr>
          </w:p>
        </w:tc>
        <w:tc>
          <w:tcPr>
            <w:tcW w:w="3505" w:type="pct"/>
          </w:tcPr>
          <w:p w14:paraId="17FD20C8" w14:textId="77777777" w:rsidR="000447ED" w:rsidRPr="005E3B43" w:rsidRDefault="000447ED" w:rsidP="00763BCF">
            <w:pPr>
              <w:pStyle w:val="ENoteTableText"/>
            </w:pPr>
            <w:r w:rsidRPr="005E3B43">
              <w:t>rs. 2009 No.</w:t>
            </w:r>
            <w:r w:rsidR="004E6D00" w:rsidRPr="005E3B43">
              <w:t> </w:t>
            </w:r>
            <w:r w:rsidRPr="005E3B43">
              <w:t>374</w:t>
            </w:r>
          </w:p>
        </w:tc>
      </w:tr>
      <w:tr w:rsidR="000447ED" w:rsidRPr="005E3B43" w14:paraId="476B3A88" w14:textId="77777777" w:rsidTr="00034EA9">
        <w:trPr>
          <w:cantSplit/>
        </w:trPr>
        <w:tc>
          <w:tcPr>
            <w:tcW w:w="1495" w:type="pct"/>
          </w:tcPr>
          <w:p w14:paraId="675E502A" w14:textId="77777777" w:rsidR="000447ED" w:rsidRPr="005E3B43" w:rsidRDefault="000447ED" w:rsidP="00763BCF">
            <w:pPr>
              <w:pStyle w:val="ENoteTableText"/>
            </w:pPr>
          </w:p>
        </w:tc>
        <w:tc>
          <w:tcPr>
            <w:tcW w:w="3505" w:type="pct"/>
          </w:tcPr>
          <w:p w14:paraId="28365518" w14:textId="77777777" w:rsidR="000447ED" w:rsidRPr="005E3B43" w:rsidRDefault="000447ED" w:rsidP="00763BCF">
            <w:pPr>
              <w:pStyle w:val="ENoteTableText"/>
            </w:pPr>
            <w:r w:rsidRPr="005E3B43">
              <w:t>am. 2011 No.</w:t>
            </w:r>
            <w:r w:rsidR="004E6D00" w:rsidRPr="005E3B43">
              <w:t> </w:t>
            </w:r>
            <w:r w:rsidRPr="005E3B43">
              <w:t>102; 2012 No.</w:t>
            </w:r>
            <w:r w:rsidR="004E6D00" w:rsidRPr="005E3B43">
              <w:t> </w:t>
            </w:r>
            <w:r w:rsidRPr="005E3B43">
              <w:t>251; F2016L00109</w:t>
            </w:r>
          </w:p>
        </w:tc>
      </w:tr>
      <w:tr w:rsidR="000447ED" w:rsidRPr="005E3B43" w14:paraId="59D9F1BE" w14:textId="77777777" w:rsidTr="00034EA9">
        <w:trPr>
          <w:cantSplit/>
        </w:trPr>
        <w:tc>
          <w:tcPr>
            <w:tcW w:w="1495" w:type="pct"/>
          </w:tcPr>
          <w:p w14:paraId="77B151D0" w14:textId="47647A5D" w:rsidR="000447ED" w:rsidRPr="005E3B43" w:rsidRDefault="007C3215" w:rsidP="00763BCF">
            <w:pPr>
              <w:pStyle w:val="ENoteTableText"/>
              <w:tabs>
                <w:tab w:val="center" w:leader="dot" w:pos="2268"/>
              </w:tabs>
            </w:pPr>
            <w:r>
              <w:t>Division 2</w:t>
            </w:r>
            <w:r w:rsidR="000447ED" w:rsidRPr="005E3B43">
              <w:tab/>
            </w:r>
          </w:p>
        </w:tc>
        <w:tc>
          <w:tcPr>
            <w:tcW w:w="3505" w:type="pct"/>
          </w:tcPr>
          <w:p w14:paraId="689C93AB" w14:textId="77777777" w:rsidR="000447ED" w:rsidRPr="005E3B43" w:rsidRDefault="000447ED" w:rsidP="00763BCF">
            <w:pPr>
              <w:pStyle w:val="ENoteTableText"/>
            </w:pPr>
            <w:r w:rsidRPr="005E3B43">
              <w:t>ad No 400, 1997</w:t>
            </w:r>
          </w:p>
        </w:tc>
      </w:tr>
      <w:tr w:rsidR="000447ED" w:rsidRPr="005E3B43" w14:paraId="24B6FDD4" w14:textId="77777777" w:rsidTr="00034EA9">
        <w:trPr>
          <w:cantSplit/>
        </w:trPr>
        <w:tc>
          <w:tcPr>
            <w:tcW w:w="1495" w:type="pct"/>
          </w:tcPr>
          <w:p w14:paraId="191BF213" w14:textId="77777777" w:rsidR="000447ED" w:rsidRPr="005E3B43" w:rsidRDefault="000447ED" w:rsidP="00763BCF">
            <w:pPr>
              <w:pStyle w:val="ENoteTableText"/>
              <w:tabs>
                <w:tab w:val="center" w:leader="dot" w:pos="2268"/>
              </w:tabs>
            </w:pPr>
          </w:p>
        </w:tc>
        <w:tc>
          <w:tcPr>
            <w:tcW w:w="3505" w:type="pct"/>
          </w:tcPr>
          <w:p w14:paraId="60227387" w14:textId="77777777" w:rsidR="000447ED" w:rsidRPr="005E3B43" w:rsidRDefault="000447ED" w:rsidP="00763BCF">
            <w:pPr>
              <w:pStyle w:val="ENoteTableText"/>
            </w:pPr>
            <w:r w:rsidRPr="005E3B43">
              <w:t>rep F2018L00311</w:t>
            </w:r>
          </w:p>
        </w:tc>
      </w:tr>
      <w:tr w:rsidR="000447ED" w:rsidRPr="005E3B43" w14:paraId="12D802DF" w14:textId="77777777" w:rsidTr="00034EA9">
        <w:trPr>
          <w:cantSplit/>
        </w:trPr>
        <w:tc>
          <w:tcPr>
            <w:tcW w:w="1495" w:type="pct"/>
          </w:tcPr>
          <w:p w14:paraId="1B346431" w14:textId="77777777" w:rsidR="000447ED" w:rsidRPr="005E3B43" w:rsidRDefault="000447ED" w:rsidP="00763BCF">
            <w:pPr>
              <w:pStyle w:val="ENoteTableText"/>
              <w:tabs>
                <w:tab w:val="center" w:leader="dot" w:pos="2268"/>
              </w:tabs>
            </w:pPr>
            <w:r w:rsidRPr="005E3B43">
              <w:t>r 42A</w:t>
            </w:r>
            <w:r w:rsidRPr="005E3B43">
              <w:tab/>
            </w:r>
          </w:p>
        </w:tc>
        <w:tc>
          <w:tcPr>
            <w:tcW w:w="3505" w:type="pct"/>
          </w:tcPr>
          <w:p w14:paraId="43F46BCA" w14:textId="77777777" w:rsidR="000447ED" w:rsidRPr="005E3B43" w:rsidRDefault="000447ED" w:rsidP="00763BCF">
            <w:pPr>
              <w:pStyle w:val="ENoteTableText"/>
            </w:pPr>
            <w:r w:rsidRPr="005E3B43">
              <w:t>ad No 400, 1997</w:t>
            </w:r>
          </w:p>
        </w:tc>
      </w:tr>
      <w:tr w:rsidR="000447ED" w:rsidRPr="005E3B43" w14:paraId="74782748" w14:textId="77777777" w:rsidTr="00034EA9">
        <w:trPr>
          <w:cantSplit/>
        </w:trPr>
        <w:tc>
          <w:tcPr>
            <w:tcW w:w="1495" w:type="pct"/>
          </w:tcPr>
          <w:p w14:paraId="03F2DA5D" w14:textId="77777777" w:rsidR="000447ED" w:rsidRPr="005E3B43" w:rsidRDefault="000447ED" w:rsidP="00763BCF">
            <w:pPr>
              <w:pStyle w:val="ENoteTableText"/>
              <w:tabs>
                <w:tab w:val="center" w:leader="dot" w:pos="2268"/>
              </w:tabs>
            </w:pPr>
          </w:p>
        </w:tc>
        <w:tc>
          <w:tcPr>
            <w:tcW w:w="3505" w:type="pct"/>
          </w:tcPr>
          <w:p w14:paraId="16AFE1DA" w14:textId="77777777" w:rsidR="000447ED" w:rsidRPr="005E3B43" w:rsidRDefault="000447ED" w:rsidP="00763BCF">
            <w:pPr>
              <w:pStyle w:val="ENoteTableText"/>
            </w:pPr>
            <w:r w:rsidRPr="005E3B43">
              <w:t>rep F2018L00311</w:t>
            </w:r>
          </w:p>
        </w:tc>
      </w:tr>
      <w:tr w:rsidR="000447ED" w:rsidRPr="005E3B43" w14:paraId="501F9542" w14:textId="77777777" w:rsidTr="00034EA9">
        <w:trPr>
          <w:cantSplit/>
        </w:trPr>
        <w:tc>
          <w:tcPr>
            <w:tcW w:w="1495" w:type="pct"/>
          </w:tcPr>
          <w:p w14:paraId="4087F31C" w14:textId="77777777" w:rsidR="000447ED" w:rsidRPr="005E3B43" w:rsidRDefault="000447ED" w:rsidP="00763BCF">
            <w:pPr>
              <w:pStyle w:val="ENoteTableText"/>
              <w:tabs>
                <w:tab w:val="center" w:leader="dot" w:pos="2268"/>
              </w:tabs>
            </w:pPr>
            <w:r w:rsidRPr="005E3B43">
              <w:t>r 42B</w:t>
            </w:r>
            <w:r w:rsidRPr="005E3B43">
              <w:tab/>
            </w:r>
          </w:p>
        </w:tc>
        <w:tc>
          <w:tcPr>
            <w:tcW w:w="3505" w:type="pct"/>
          </w:tcPr>
          <w:p w14:paraId="3A86600D" w14:textId="77777777" w:rsidR="000447ED" w:rsidRPr="005E3B43" w:rsidRDefault="000447ED" w:rsidP="00763BCF">
            <w:pPr>
              <w:pStyle w:val="ENoteTableText"/>
            </w:pPr>
            <w:r w:rsidRPr="005E3B43">
              <w:t>ad No 400, 1997</w:t>
            </w:r>
          </w:p>
        </w:tc>
      </w:tr>
      <w:tr w:rsidR="000447ED" w:rsidRPr="005E3B43" w14:paraId="1E96AB5B" w14:textId="77777777" w:rsidTr="00034EA9">
        <w:trPr>
          <w:cantSplit/>
        </w:trPr>
        <w:tc>
          <w:tcPr>
            <w:tcW w:w="1495" w:type="pct"/>
          </w:tcPr>
          <w:p w14:paraId="66ADEA34" w14:textId="77777777" w:rsidR="000447ED" w:rsidRPr="005E3B43" w:rsidRDefault="000447ED" w:rsidP="00763BCF">
            <w:pPr>
              <w:pStyle w:val="ENoteTableText"/>
            </w:pPr>
          </w:p>
        </w:tc>
        <w:tc>
          <w:tcPr>
            <w:tcW w:w="3505" w:type="pct"/>
          </w:tcPr>
          <w:p w14:paraId="38FEB5F1" w14:textId="77777777" w:rsidR="000447ED" w:rsidRPr="005E3B43" w:rsidRDefault="000447ED" w:rsidP="00763BCF">
            <w:pPr>
              <w:pStyle w:val="ENoteTableText"/>
            </w:pPr>
            <w:r w:rsidRPr="005E3B43">
              <w:t>am No 159, 2001; No 301, 2003</w:t>
            </w:r>
          </w:p>
        </w:tc>
      </w:tr>
      <w:tr w:rsidR="000447ED" w:rsidRPr="005E3B43" w14:paraId="1BBA7246" w14:textId="77777777" w:rsidTr="00034EA9">
        <w:trPr>
          <w:cantSplit/>
        </w:trPr>
        <w:tc>
          <w:tcPr>
            <w:tcW w:w="1495" w:type="pct"/>
          </w:tcPr>
          <w:p w14:paraId="15387C81" w14:textId="77777777" w:rsidR="000447ED" w:rsidRPr="005E3B43" w:rsidRDefault="000447ED" w:rsidP="00763BCF">
            <w:pPr>
              <w:pStyle w:val="ENoteTableText"/>
            </w:pPr>
          </w:p>
        </w:tc>
        <w:tc>
          <w:tcPr>
            <w:tcW w:w="3505" w:type="pct"/>
          </w:tcPr>
          <w:p w14:paraId="330D2E6A" w14:textId="77777777" w:rsidR="000447ED" w:rsidRPr="005E3B43" w:rsidRDefault="000447ED" w:rsidP="00763BCF">
            <w:pPr>
              <w:pStyle w:val="ENoteTableText"/>
            </w:pPr>
            <w:r w:rsidRPr="005E3B43">
              <w:t>rep F2018L00311</w:t>
            </w:r>
          </w:p>
        </w:tc>
      </w:tr>
      <w:tr w:rsidR="000447ED" w:rsidRPr="005E3B43" w14:paraId="7235AF22" w14:textId="77777777" w:rsidTr="00034EA9">
        <w:trPr>
          <w:cantSplit/>
        </w:trPr>
        <w:tc>
          <w:tcPr>
            <w:tcW w:w="1495" w:type="pct"/>
          </w:tcPr>
          <w:p w14:paraId="5ABEB222" w14:textId="77777777" w:rsidR="000447ED" w:rsidRPr="005E3B43" w:rsidRDefault="000447ED" w:rsidP="00763BCF">
            <w:pPr>
              <w:pStyle w:val="ENoteTableText"/>
              <w:tabs>
                <w:tab w:val="center" w:leader="dot" w:pos="2268"/>
              </w:tabs>
            </w:pPr>
            <w:r w:rsidRPr="005E3B43">
              <w:t>r 42C</w:t>
            </w:r>
            <w:r w:rsidRPr="005E3B43">
              <w:tab/>
            </w:r>
          </w:p>
        </w:tc>
        <w:tc>
          <w:tcPr>
            <w:tcW w:w="3505" w:type="pct"/>
          </w:tcPr>
          <w:p w14:paraId="60C49FDC" w14:textId="77777777" w:rsidR="000447ED" w:rsidRPr="005E3B43" w:rsidRDefault="000447ED" w:rsidP="00763BCF">
            <w:pPr>
              <w:pStyle w:val="ENoteTableText"/>
            </w:pPr>
            <w:r w:rsidRPr="005E3B43">
              <w:t>ad No 400, 1997</w:t>
            </w:r>
          </w:p>
        </w:tc>
      </w:tr>
      <w:tr w:rsidR="000447ED" w:rsidRPr="005E3B43" w14:paraId="371E8286" w14:textId="77777777" w:rsidTr="00034EA9">
        <w:trPr>
          <w:cantSplit/>
        </w:trPr>
        <w:tc>
          <w:tcPr>
            <w:tcW w:w="1495" w:type="pct"/>
          </w:tcPr>
          <w:p w14:paraId="108CA0FE" w14:textId="77777777" w:rsidR="000447ED" w:rsidRPr="005E3B43" w:rsidRDefault="000447ED" w:rsidP="00763BCF">
            <w:pPr>
              <w:pStyle w:val="ENoteTableText"/>
            </w:pPr>
          </w:p>
        </w:tc>
        <w:tc>
          <w:tcPr>
            <w:tcW w:w="3505" w:type="pct"/>
          </w:tcPr>
          <w:p w14:paraId="7E08EAA4" w14:textId="77777777" w:rsidR="000447ED" w:rsidRPr="005E3B43" w:rsidRDefault="000447ED" w:rsidP="00763BCF">
            <w:pPr>
              <w:pStyle w:val="ENoteTableText"/>
            </w:pPr>
            <w:r w:rsidRPr="005E3B43">
              <w:t>am No 369, 1998; No 234, 2002; No 111, 2003; No 258, 2003; No 122, 2006; No 102, 2011</w:t>
            </w:r>
          </w:p>
        </w:tc>
      </w:tr>
      <w:tr w:rsidR="000447ED" w:rsidRPr="005E3B43" w14:paraId="2F92B82E" w14:textId="77777777" w:rsidTr="00034EA9">
        <w:trPr>
          <w:cantSplit/>
        </w:trPr>
        <w:tc>
          <w:tcPr>
            <w:tcW w:w="1495" w:type="pct"/>
          </w:tcPr>
          <w:p w14:paraId="28822CB7" w14:textId="77777777" w:rsidR="000447ED" w:rsidRPr="005E3B43" w:rsidRDefault="000447ED" w:rsidP="00763BCF">
            <w:pPr>
              <w:pStyle w:val="ENoteTableText"/>
            </w:pPr>
          </w:p>
        </w:tc>
        <w:tc>
          <w:tcPr>
            <w:tcW w:w="3505" w:type="pct"/>
          </w:tcPr>
          <w:p w14:paraId="24FA40BF" w14:textId="77777777" w:rsidR="000447ED" w:rsidRPr="005E3B43" w:rsidRDefault="000447ED" w:rsidP="00763BCF">
            <w:pPr>
              <w:pStyle w:val="ENoteTableText"/>
            </w:pPr>
            <w:r w:rsidRPr="005E3B43">
              <w:t>rep F2018L00311</w:t>
            </w:r>
          </w:p>
        </w:tc>
      </w:tr>
      <w:tr w:rsidR="000447ED" w:rsidRPr="005E3B43" w14:paraId="1961C6E6" w14:textId="77777777" w:rsidTr="00034EA9">
        <w:trPr>
          <w:cantSplit/>
        </w:trPr>
        <w:tc>
          <w:tcPr>
            <w:tcW w:w="1495" w:type="pct"/>
          </w:tcPr>
          <w:p w14:paraId="2AB0798E" w14:textId="77777777" w:rsidR="000447ED" w:rsidRPr="005E3B43" w:rsidRDefault="000447ED" w:rsidP="00763BCF">
            <w:pPr>
              <w:pStyle w:val="ENoteTableText"/>
              <w:tabs>
                <w:tab w:val="center" w:leader="dot" w:pos="2268"/>
              </w:tabs>
            </w:pPr>
            <w:r w:rsidRPr="005E3B43">
              <w:t>r 42D</w:t>
            </w:r>
            <w:r w:rsidRPr="005E3B43">
              <w:tab/>
            </w:r>
          </w:p>
        </w:tc>
        <w:tc>
          <w:tcPr>
            <w:tcW w:w="3505" w:type="pct"/>
          </w:tcPr>
          <w:p w14:paraId="4F3402F1" w14:textId="77777777" w:rsidR="000447ED" w:rsidRPr="005E3B43" w:rsidRDefault="000447ED" w:rsidP="00763BCF">
            <w:pPr>
              <w:pStyle w:val="ENoteTableText"/>
            </w:pPr>
            <w:r w:rsidRPr="005E3B43">
              <w:t>ad No 400, 1997</w:t>
            </w:r>
          </w:p>
        </w:tc>
      </w:tr>
      <w:tr w:rsidR="000447ED" w:rsidRPr="005E3B43" w14:paraId="3FA5BCBF" w14:textId="77777777" w:rsidTr="00034EA9">
        <w:trPr>
          <w:cantSplit/>
        </w:trPr>
        <w:tc>
          <w:tcPr>
            <w:tcW w:w="1495" w:type="pct"/>
          </w:tcPr>
          <w:p w14:paraId="571815E2" w14:textId="77777777" w:rsidR="000447ED" w:rsidRPr="005E3B43" w:rsidRDefault="000447ED" w:rsidP="00763BCF">
            <w:pPr>
              <w:pStyle w:val="ENoteTableText"/>
            </w:pPr>
          </w:p>
        </w:tc>
        <w:tc>
          <w:tcPr>
            <w:tcW w:w="3505" w:type="pct"/>
          </w:tcPr>
          <w:p w14:paraId="520C5F02" w14:textId="77777777" w:rsidR="000447ED" w:rsidRPr="005E3B43" w:rsidRDefault="000447ED" w:rsidP="00763BCF">
            <w:pPr>
              <w:pStyle w:val="ENoteTableText"/>
            </w:pPr>
            <w:r w:rsidRPr="005E3B43">
              <w:t>am No 361, 2003</w:t>
            </w:r>
          </w:p>
        </w:tc>
      </w:tr>
      <w:tr w:rsidR="000447ED" w:rsidRPr="005E3B43" w14:paraId="5BB60757" w14:textId="77777777" w:rsidTr="00034EA9">
        <w:trPr>
          <w:cantSplit/>
        </w:trPr>
        <w:tc>
          <w:tcPr>
            <w:tcW w:w="1495" w:type="pct"/>
          </w:tcPr>
          <w:p w14:paraId="5446D03D" w14:textId="77777777" w:rsidR="000447ED" w:rsidRPr="005E3B43" w:rsidRDefault="000447ED" w:rsidP="00763BCF">
            <w:pPr>
              <w:pStyle w:val="ENoteTableText"/>
            </w:pPr>
          </w:p>
        </w:tc>
        <w:tc>
          <w:tcPr>
            <w:tcW w:w="3505" w:type="pct"/>
          </w:tcPr>
          <w:p w14:paraId="3BAFA0BB" w14:textId="77777777" w:rsidR="000447ED" w:rsidRPr="005E3B43" w:rsidRDefault="000447ED" w:rsidP="00763BCF">
            <w:pPr>
              <w:pStyle w:val="ENoteTableText"/>
            </w:pPr>
            <w:r w:rsidRPr="005E3B43">
              <w:t>rep F2018L00311</w:t>
            </w:r>
          </w:p>
        </w:tc>
      </w:tr>
      <w:tr w:rsidR="000447ED" w:rsidRPr="005E3B43" w14:paraId="35DB8F19" w14:textId="77777777" w:rsidTr="00034EA9">
        <w:trPr>
          <w:cantSplit/>
        </w:trPr>
        <w:tc>
          <w:tcPr>
            <w:tcW w:w="1495" w:type="pct"/>
          </w:tcPr>
          <w:p w14:paraId="71447389" w14:textId="77777777" w:rsidR="000447ED" w:rsidRPr="005E3B43" w:rsidRDefault="000447ED" w:rsidP="00763BCF">
            <w:pPr>
              <w:pStyle w:val="ENoteTableText"/>
              <w:tabs>
                <w:tab w:val="center" w:leader="dot" w:pos="2268"/>
              </w:tabs>
            </w:pPr>
            <w:r w:rsidRPr="005E3B43">
              <w:t>r 42E</w:t>
            </w:r>
            <w:r w:rsidRPr="005E3B43">
              <w:tab/>
            </w:r>
          </w:p>
        </w:tc>
        <w:tc>
          <w:tcPr>
            <w:tcW w:w="3505" w:type="pct"/>
          </w:tcPr>
          <w:p w14:paraId="6A11544A" w14:textId="77777777" w:rsidR="000447ED" w:rsidRPr="005E3B43" w:rsidRDefault="000447ED" w:rsidP="00763BCF">
            <w:pPr>
              <w:pStyle w:val="ENoteTableText"/>
            </w:pPr>
            <w:r w:rsidRPr="005E3B43">
              <w:t>ad No 400, 1997</w:t>
            </w:r>
          </w:p>
        </w:tc>
      </w:tr>
      <w:tr w:rsidR="000447ED" w:rsidRPr="005E3B43" w14:paraId="40105296" w14:textId="77777777" w:rsidTr="00034EA9">
        <w:trPr>
          <w:cantSplit/>
        </w:trPr>
        <w:tc>
          <w:tcPr>
            <w:tcW w:w="1495" w:type="pct"/>
          </w:tcPr>
          <w:p w14:paraId="430D815B" w14:textId="77777777" w:rsidR="000447ED" w:rsidRPr="005E3B43" w:rsidRDefault="000447ED" w:rsidP="00763BCF">
            <w:pPr>
              <w:pStyle w:val="ENoteTableText"/>
            </w:pPr>
          </w:p>
        </w:tc>
        <w:tc>
          <w:tcPr>
            <w:tcW w:w="3505" w:type="pct"/>
          </w:tcPr>
          <w:p w14:paraId="782860A3" w14:textId="77777777" w:rsidR="000447ED" w:rsidRPr="005E3B43" w:rsidRDefault="000447ED" w:rsidP="00763BCF">
            <w:pPr>
              <w:pStyle w:val="ENoteTableText"/>
            </w:pPr>
            <w:r w:rsidRPr="005E3B43">
              <w:t>am No 369, 1998; No 234, 2002; No 111, 2003</w:t>
            </w:r>
          </w:p>
        </w:tc>
      </w:tr>
      <w:tr w:rsidR="000447ED" w:rsidRPr="005E3B43" w14:paraId="09BCF4AF" w14:textId="77777777" w:rsidTr="00034EA9">
        <w:trPr>
          <w:cantSplit/>
        </w:trPr>
        <w:tc>
          <w:tcPr>
            <w:tcW w:w="1495" w:type="pct"/>
          </w:tcPr>
          <w:p w14:paraId="4D3D2A9E" w14:textId="77777777" w:rsidR="000447ED" w:rsidRPr="005E3B43" w:rsidRDefault="000447ED" w:rsidP="00763BCF">
            <w:pPr>
              <w:pStyle w:val="ENoteTableText"/>
            </w:pPr>
          </w:p>
        </w:tc>
        <w:tc>
          <w:tcPr>
            <w:tcW w:w="3505" w:type="pct"/>
          </w:tcPr>
          <w:p w14:paraId="3E98DF57" w14:textId="77777777" w:rsidR="000447ED" w:rsidRPr="005E3B43" w:rsidRDefault="000447ED" w:rsidP="00763BCF">
            <w:pPr>
              <w:pStyle w:val="ENoteTableText"/>
            </w:pPr>
            <w:r w:rsidRPr="005E3B43">
              <w:t>rep F2018L00311</w:t>
            </w:r>
          </w:p>
        </w:tc>
      </w:tr>
      <w:tr w:rsidR="000447ED" w:rsidRPr="005E3B43" w14:paraId="5580525A" w14:textId="77777777" w:rsidTr="00034EA9">
        <w:trPr>
          <w:cantSplit/>
        </w:trPr>
        <w:tc>
          <w:tcPr>
            <w:tcW w:w="1495" w:type="pct"/>
          </w:tcPr>
          <w:p w14:paraId="31039C84" w14:textId="77777777" w:rsidR="000447ED" w:rsidRPr="005E3B43" w:rsidRDefault="000447ED" w:rsidP="00763BCF">
            <w:pPr>
              <w:pStyle w:val="ENoteTableText"/>
              <w:tabs>
                <w:tab w:val="center" w:leader="dot" w:pos="2268"/>
              </w:tabs>
            </w:pPr>
            <w:r w:rsidRPr="005E3B43">
              <w:t>r 42F</w:t>
            </w:r>
            <w:r w:rsidRPr="005E3B43">
              <w:tab/>
            </w:r>
          </w:p>
        </w:tc>
        <w:tc>
          <w:tcPr>
            <w:tcW w:w="3505" w:type="pct"/>
          </w:tcPr>
          <w:p w14:paraId="72983D9B" w14:textId="77777777" w:rsidR="000447ED" w:rsidRPr="005E3B43" w:rsidRDefault="000447ED" w:rsidP="00763BCF">
            <w:pPr>
              <w:pStyle w:val="ENoteTableText"/>
            </w:pPr>
            <w:r w:rsidRPr="005E3B43">
              <w:t>ad No 400, 1997</w:t>
            </w:r>
          </w:p>
        </w:tc>
      </w:tr>
      <w:tr w:rsidR="000447ED" w:rsidRPr="005E3B43" w14:paraId="61AF9A81" w14:textId="77777777" w:rsidTr="00034EA9">
        <w:trPr>
          <w:cantSplit/>
        </w:trPr>
        <w:tc>
          <w:tcPr>
            <w:tcW w:w="1495" w:type="pct"/>
          </w:tcPr>
          <w:p w14:paraId="36E42807" w14:textId="77777777" w:rsidR="000447ED" w:rsidRPr="005E3B43" w:rsidRDefault="000447ED" w:rsidP="00763BCF">
            <w:pPr>
              <w:pStyle w:val="ENoteTableText"/>
              <w:tabs>
                <w:tab w:val="center" w:leader="dot" w:pos="2268"/>
              </w:tabs>
            </w:pPr>
          </w:p>
        </w:tc>
        <w:tc>
          <w:tcPr>
            <w:tcW w:w="3505" w:type="pct"/>
          </w:tcPr>
          <w:p w14:paraId="69E06C82" w14:textId="77777777" w:rsidR="000447ED" w:rsidRPr="005E3B43" w:rsidRDefault="000447ED" w:rsidP="00763BCF">
            <w:pPr>
              <w:pStyle w:val="ENoteTableText"/>
            </w:pPr>
            <w:r w:rsidRPr="005E3B43">
              <w:t>rep F2018L00311</w:t>
            </w:r>
          </w:p>
        </w:tc>
      </w:tr>
      <w:tr w:rsidR="000447ED" w:rsidRPr="005E3B43" w14:paraId="6482D27B" w14:textId="77777777" w:rsidTr="00034EA9">
        <w:trPr>
          <w:cantSplit/>
        </w:trPr>
        <w:tc>
          <w:tcPr>
            <w:tcW w:w="1495" w:type="pct"/>
          </w:tcPr>
          <w:p w14:paraId="28C73A8E" w14:textId="77777777" w:rsidR="000447ED" w:rsidRPr="005E3B43" w:rsidRDefault="000447ED" w:rsidP="00763BCF">
            <w:pPr>
              <w:pStyle w:val="ENoteTableText"/>
              <w:tabs>
                <w:tab w:val="center" w:leader="dot" w:pos="2268"/>
              </w:tabs>
            </w:pPr>
            <w:r w:rsidRPr="005E3B43">
              <w:t>r 42G</w:t>
            </w:r>
            <w:r w:rsidRPr="005E3B43">
              <w:tab/>
            </w:r>
          </w:p>
        </w:tc>
        <w:tc>
          <w:tcPr>
            <w:tcW w:w="3505" w:type="pct"/>
          </w:tcPr>
          <w:p w14:paraId="7E1E1E71" w14:textId="77777777" w:rsidR="000447ED" w:rsidRPr="005E3B43" w:rsidRDefault="000447ED" w:rsidP="00763BCF">
            <w:pPr>
              <w:pStyle w:val="ENoteTableText"/>
            </w:pPr>
            <w:r w:rsidRPr="005E3B43">
              <w:t>ad No 400, 1997</w:t>
            </w:r>
          </w:p>
        </w:tc>
      </w:tr>
      <w:tr w:rsidR="000447ED" w:rsidRPr="005E3B43" w14:paraId="366E6A26" w14:textId="77777777" w:rsidTr="00034EA9">
        <w:trPr>
          <w:cantSplit/>
        </w:trPr>
        <w:tc>
          <w:tcPr>
            <w:tcW w:w="1495" w:type="pct"/>
          </w:tcPr>
          <w:p w14:paraId="09D19539" w14:textId="77777777" w:rsidR="000447ED" w:rsidRPr="005E3B43" w:rsidRDefault="000447ED" w:rsidP="00763BCF">
            <w:pPr>
              <w:pStyle w:val="ENoteTableText"/>
              <w:tabs>
                <w:tab w:val="center" w:leader="dot" w:pos="2268"/>
              </w:tabs>
            </w:pPr>
          </w:p>
        </w:tc>
        <w:tc>
          <w:tcPr>
            <w:tcW w:w="3505" w:type="pct"/>
          </w:tcPr>
          <w:p w14:paraId="48566BB2" w14:textId="77777777" w:rsidR="000447ED" w:rsidRPr="005E3B43" w:rsidRDefault="000447ED" w:rsidP="00763BCF">
            <w:pPr>
              <w:pStyle w:val="ENoteTableText"/>
            </w:pPr>
            <w:r w:rsidRPr="005E3B43">
              <w:t>rep F2018L00311</w:t>
            </w:r>
          </w:p>
        </w:tc>
      </w:tr>
      <w:tr w:rsidR="000447ED" w:rsidRPr="005E3B43" w14:paraId="27706BB1" w14:textId="77777777" w:rsidTr="00034EA9">
        <w:trPr>
          <w:cantSplit/>
        </w:trPr>
        <w:tc>
          <w:tcPr>
            <w:tcW w:w="1495" w:type="pct"/>
          </w:tcPr>
          <w:p w14:paraId="44EB0F84" w14:textId="77777777" w:rsidR="000447ED" w:rsidRPr="005E3B43" w:rsidRDefault="000447ED" w:rsidP="00763BCF">
            <w:pPr>
              <w:pStyle w:val="ENoteTableText"/>
              <w:tabs>
                <w:tab w:val="center" w:leader="dot" w:pos="2268"/>
              </w:tabs>
            </w:pPr>
            <w:r w:rsidRPr="005E3B43">
              <w:t>r 42H</w:t>
            </w:r>
            <w:r w:rsidRPr="005E3B43">
              <w:tab/>
            </w:r>
          </w:p>
        </w:tc>
        <w:tc>
          <w:tcPr>
            <w:tcW w:w="3505" w:type="pct"/>
          </w:tcPr>
          <w:p w14:paraId="08BF2162" w14:textId="77777777" w:rsidR="000447ED" w:rsidRPr="005E3B43" w:rsidRDefault="000447ED" w:rsidP="00763BCF">
            <w:pPr>
              <w:pStyle w:val="ENoteTableText"/>
            </w:pPr>
            <w:r w:rsidRPr="005E3B43">
              <w:t>ad No 400, 1997</w:t>
            </w:r>
          </w:p>
        </w:tc>
      </w:tr>
      <w:tr w:rsidR="000447ED" w:rsidRPr="005E3B43" w14:paraId="061F4B6C" w14:textId="77777777" w:rsidTr="00034EA9">
        <w:trPr>
          <w:cantSplit/>
        </w:trPr>
        <w:tc>
          <w:tcPr>
            <w:tcW w:w="1495" w:type="pct"/>
          </w:tcPr>
          <w:p w14:paraId="1EE03CE5" w14:textId="77777777" w:rsidR="000447ED" w:rsidRPr="005E3B43" w:rsidRDefault="000447ED" w:rsidP="00763BCF">
            <w:pPr>
              <w:pStyle w:val="ENoteTableText"/>
            </w:pPr>
          </w:p>
        </w:tc>
        <w:tc>
          <w:tcPr>
            <w:tcW w:w="3505" w:type="pct"/>
          </w:tcPr>
          <w:p w14:paraId="1B8CDDA2" w14:textId="77777777" w:rsidR="000447ED" w:rsidRPr="005E3B43" w:rsidRDefault="000447ED" w:rsidP="00763BCF">
            <w:pPr>
              <w:pStyle w:val="ENoteTableText"/>
            </w:pPr>
            <w:r w:rsidRPr="005E3B43">
              <w:t>am No 48, 2000</w:t>
            </w:r>
          </w:p>
        </w:tc>
      </w:tr>
      <w:tr w:rsidR="000447ED" w:rsidRPr="005E3B43" w14:paraId="33D10237" w14:textId="77777777" w:rsidTr="00034EA9">
        <w:trPr>
          <w:cantSplit/>
        </w:trPr>
        <w:tc>
          <w:tcPr>
            <w:tcW w:w="1495" w:type="pct"/>
          </w:tcPr>
          <w:p w14:paraId="799D3138" w14:textId="77777777" w:rsidR="000447ED" w:rsidRPr="005E3B43" w:rsidRDefault="000447ED" w:rsidP="00763BCF">
            <w:pPr>
              <w:pStyle w:val="ENoteTableText"/>
            </w:pPr>
          </w:p>
        </w:tc>
        <w:tc>
          <w:tcPr>
            <w:tcW w:w="3505" w:type="pct"/>
          </w:tcPr>
          <w:p w14:paraId="1E761A05" w14:textId="77777777" w:rsidR="000447ED" w:rsidRPr="005E3B43" w:rsidRDefault="000447ED" w:rsidP="00763BCF">
            <w:pPr>
              <w:pStyle w:val="ENoteTableText"/>
            </w:pPr>
            <w:r w:rsidRPr="005E3B43">
              <w:t>rep F2018L00311</w:t>
            </w:r>
          </w:p>
        </w:tc>
      </w:tr>
      <w:tr w:rsidR="000447ED" w:rsidRPr="005E3B43" w14:paraId="06463C69" w14:textId="77777777" w:rsidTr="00034EA9">
        <w:trPr>
          <w:cantSplit/>
        </w:trPr>
        <w:tc>
          <w:tcPr>
            <w:tcW w:w="1495" w:type="pct"/>
          </w:tcPr>
          <w:p w14:paraId="744ECDFF" w14:textId="77777777" w:rsidR="000447ED" w:rsidRPr="005E3B43" w:rsidRDefault="000447ED" w:rsidP="00763BCF">
            <w:pPr>
              <w:pStyle w:val="ENoteTableText"/>
              <w:tabs>
                <w:tab w:val="center" w:leader="dot" w:pos="2268"/>
              </w:tabs>
            </w:pPr>
            <w:r w:rsidRPr="005E3B43">
              <w:t>r 42J</w:t>
            </w:r>
            <w:r w:rsidRPr="005E3B43">
              <w:tab/>
            </w:r>
          </w:p>
        </w:tc>
        <w:tc>
          <w:tcPr>
            <w:tcW w:w="3505" w:type="pct"/>
          </w:tcPr>
          <w:p w14:paraId="0E419D8F" w14:textId="77777777" w:rsidR="000447ED" w:rsidRPr="005E3B43" w:rsidRDefault="000447ED" w:rsidP="00763BCF">
            <w:pPr>
              <w:pStyle w:val="ENoteTableText"/>
            </w:pPr>
            <w:r w:rsidRPr="005E3B43">
              <w:t>ad No 400, 1997</w:t>
            </w:r>
          </w:p>
        </w:tc>
      </w:tr>
      <w:tr w:rsidR="000447ED" w:rsidRPr="005E3B43" w14:paraId="72136864" w14:textId="77777777" w:rsidTr="00034EA9">
        <w:trPr>
          <w:cantSplit/>
        </w:trPr>
        <w:tc>
          <w:tcPr>
            <w:tcW w:w="1495" w:type="pct"/>
          </w:tcPr>
          <w:p w14:paraId="4F884A3B" w14:textId="77777777" w:rsidR="000447ED" w:rsidRPr="005E3B43" w:rsidRDefault="000447ED" w:rsidP="00763BCF">
            <w:pPr>
              <w:pStyle w:val="ENoteTableText"/>
            </w:pPr>
          </w:p>
        </w:tc>
        <w:tc>
          <w:tcPr>
            <w:tcW w:w="3505" w:type="pct"/>
          </w:tcPr>
          <w:p w14:paraId="3A949B37" w14:textId="77777777" w:rsidR="000447ED" w:rsidRPr="005E3B43" w:rsidRDefault="000447ED" w:rsidP="00763BCF">
            <w:pPr>
              <w:pStyle w:val="ENoteTableText"/>
            </w:pPr>
            <w:r w:rsidRPr="005E3B43">
              <w:t>am No 48, 2000; No 159, 2001; No 315, 2002; No 258, 2003; No 361, 2003; No 122, 2006; No 63, 2009</w:t>
            </w:r>
          </w:p>
        </w:tc>
      </w:tr>
      <w:tr w:rsidR="000447ED" w:rsidRPr="005E3B43" w14:paraId="153DC1E9" w14:textId="77777777" w:rsidTr="00034EA9">
        <w:trPr>
          <w:cantSplit/>
        </w:trPr>
        <w:tc>
          <w:tcPr>
            <w:tcW w:w="1495" w:type="pct"/>
          </w:tcPr>
          <w:p w14:paraId="6D98B53E" w14:textId="77777777" w:rsidR="000447ED" w:rsidRPr="005E3B43" w:rsidRDefault="000447ED" w:rsidP="00763BCF">
            <w:pPr>
              <w:pStyle w:val="ENoteTableText"/>
            </w:pPr>
          </w:p>
        </w:tc>
        <w:tc>
          <w:tcPr>
            <w:tcW w:w="3505" w:type="pct"/>
          </w:tcPr>
          <w:p w14:paraId="166E018A" w14:textId="77777777" w:rsidR="000447ED" w:rsidRPr="005E3B43" w:rsidRDefault="000447ED" w:rsidP="00763BCF">
            <w:pPr>
              <w:pStyle w:val="ENoteTableText"/>
            </w:pPr>
            <w:r w:rsidRPr="005E3B43">
              <w:t>rep F2018L00311</w:t>
            </w:r>
          </w:p>
        </w:tc>
      </w:tr>
      <w:tr w:rsidR="000447ED" w:rsidRPr="005E3B43" w14:paraId="78FD9DA4" w14:textId="77777777" w:rsidTr="00034EA9">
        <w:trPr>
          <w:cantSplit/>
        </w:trPr>
        <w:tc>
          <w:tcPr>
            <w:tcW w:w="1495" w:type="pct"/>
          </w:tcPr>
          <w:p w14:paraId="7D44B2A6" w14:textId="77777777" w:rsidR="000447ED" w:rsidRPr="005E3B43" w:rsidRDefault="000447ED" w:rsidP="00763BCF">
            <w:pPr>
              <w:pStyle w:val="ENoteTableText"/>
              <w:tabs>
                <w:tab w:val="center" w:leader="dot" w:pos="2268"/>
              </w:tabs>
            </w:pPr>
            <w:r w:rsidRPr="005E3B43">
              <w:t>r 42K</w:t>
            </w:r>
            <w:r w:rsidRPr="005E3B43">
              <w:tab/>
            </w:r>
          </w:p>
        </w:tc>
        <w:tc>
          <w:tcPr>
            <w:tcW w:w="3505" w:type="pct"/>
          </w:tcPr>
          <w:p w14:paraId="4F86948C" w14:textId="77777777" w:rsidR="000447ED" w:rsidRPr="005E3B43" w:rsidRDefault="000447ED" w:rsidP="00763BCF">
            <w:pPr>
              <w:pStyle w:val="ENoteTableText"/>
            </w:pPr>
            <w:r w:rsidRPr="005E3B43">
              <w:t>ad No 400, 1997</w:t>
            </w:r>
          </w:p>
        </w:tc>
      </w:tr>
      <w:tr w:rsidR="000447ED" w:rsidRPr="005E3B43" w14:paraId="6BA2BC7A" w14:textId="77777777" w:rsidTr="00034EA9">
        <w:trPr>
          <w:cantSplit/>
        </w:trPr>
        <w:tc>
          <w:tcPr>
            <w:tcW w:w="1495" w:type="pct"/>
          </w:tcPr>
          <w:p w14:paraId="3495942A" w14:textId="77777777" w:rsidR="000447ED" w:rsidRPr="005E3B43" w:rsidRDefault="000447ED" w:rsidP="00763BCF">
            <w:pPr>
              <w:pStyle w:val="ENoteTableText"/>
            </w:pPr>
          </w:p>
        </w:tc>
        <w:tc>
          <w:tcPr>
            <w:tcW w:w="3505" w:type="pct"/>
          </w:tcPr>
          <w:p w14:paraId="6961E533" w14:textId="77777777" w:rsidR="000447ED" w:rsidRPr="005E3B43" w:rsidRDefault="000447ED" w:rsidP="00763BCF">
            <w:pPr>
              <w:pStyle w:val="ENoteTableText"/>
            </w:pPr>
            <w:r w:rsidRPr="005E3B43">
              <w:t>am No 369, 1998; No 234, 2002; No 111, 2003</w:t>
            </w:r>
          </w:p>
        </w:tc>
      </w:tr>
      <w:tr w:rsidR="000447ED" w:rsidRPr="005E3B43" w14:paraId="3D03CBCB" w14:textId="77777777" w:rsidTr="00034EA9">
        <w:trPr>
          <w:cantSplit/>
        </w:trPr>
        <w:tc>
          <w:tcPr>
            <w:tcW w:w="1495" w:type="pct"/>
          </w:tcPr>
          <w:p w14:paraId="5D258430" w14:textId="77777777" w:rsidR="000447ED" w:rsidRPr="005E3B43" w:rsidRDefault="000447ED" w:rsidP="00763BCF">
            <w:pPr>
              <w:pStyle w:val="ENoteTableText"/>
            </w:pPr>
          </w:p>
        </w:tc>
        <w:tc>
          <w:tcPr>
            <w:tcW w:w="3505" w:type="pct"/>
          </w:tcPr>
          <w:p w14:paraId="034D06A0" w14:textId="77777777" w:rsidR="000447ED" w:rsidRPr="005E3B43" w:rsidRDefault="000447ED" w:rsidP="00763BCF">
            <w:pPr>
              <w:pStyle w:val="ENoteTableText"/>
            </w:pPr>
            <w:r w:rsidRPr="005E3B43">
              <w:t>rep F2018L00311</w:t>
            </w:r>
          </w:p>
        </w:tc>
      </w:tr>
      <w:tr w:rsidR="000447ED" w:rsidRPr="005E3B43" w14:paraId="0E4B3320" w14:textId="77777777" w:rsidTr="00034EA9">
        <w:trPr>
          <w:cantSplit/>
        </w:trPr>
        <w:tc>
          <w:tcPr>
            <w:tcW w:w="1495" w:type="pct"/>
          </w:tcPr>
          <w:p w14:paraId="55ADEFE8" w14:textId="77777777" w:rsidR="000447ED" w:rsidRPr="005E3B43" w:rsidRDefault="000447ED" w:rsidP="00763BCF">
            <w:pPr>
              <w:pStyle w:val="ENoteTableText"/>
              <w:tabs>
                <w:tab w:val="center" w:leader="dot" w:pos="2268"/>
              </w:tabs>
            </w:pPr>
            <w:r w:rsidRPr="005E3B43">
              <w:t>r 42L</w:t>
            </w:r>
            <w:r w:rsidRPr="005E3B43">
              <w:tab/>
            </w:r>
          </w:p>
        </w:tc>
        <w:tc>
          <w:tcPr>
            <w:tcW w:w="3505" w:type="pct"/>
          </w:tcPr>
          <w:p w14:paraId="0CD97ADD" w14:textId="77777777" w:rsidR="000447ED" w:rsidRPr="005E3B43" w:rsidRDefault="000447ED" w:rsidP="00763BCF">
            <w:pPr>
              <w:pStyle w:val="ENoteTableText"/>
            </w:pPr>
            <w:r w:rsidRPr="005E3B43">
              <w:t>ad No 400, 1997</w:t>
            </w:r>
          </w:p>
        </w:tc>
      </w:tr>
      <w:tr w:rsidR="000447ED" w:rsidRPr="005E3B43" w14:paraId="136A8021" w14:textId="77777777" w:rsidTr="00034EA9">
        <w:trPr>
          <w:cantSplit/>
        </w:trPr>
        <w:tc>
          <w:tcPr>
            <w:tcW w:w="1495" w:type="pct"/>
          </w:tcPr>
          <w:p w14:paraId="75F506FF" w14:textId="77777777" w:rsidR="000447ED" w:rsidRPr="005E3B43" w:rsidRDefault="000447ED" w:rsidP="00763BCF">
            <w:pPr>
              <w:pStyle w:val="ENoteTableText"/>
              <w:tabs>
                <w:tab w:val="center" w:leader="dot" w:pos="2268"/>
              </w:tabs>
            </w:pPr>
          </w:p>
        </w:tc>
        <w:tc>
          <w:tcPr>
            <w:tcW w:w="3505" w:type="pct"/>
          </w:tcPr>
          <w:p w14:paraId="541A6390" w14:textId="77777777" w:rsidR="000447ED" w:rsidRPr="005E3B43" w:rsidRDefault="000447ED" w:rsidP="00763BCF">
            <w:pPr>
              <w:pStyle w:val="ENoteTableText"/>
            </w:pPr>
            <w:r w:rsidRPr="005E3B43">
              <w:t>rep F2018L00311</w:t>
            </w:r>
          </w:p>
        </w:tc>
      </w:tr>
      <w:tr w:rsidR="000447ED" w:rsidRPr="005E3B43" w14:paraId="2CBD766F" w14:textId="77777777" w:rsidTr="00034EA9">
        <w:trPr>
          <w:cantSplit/>
        </w:trPr>
        <w:tc>
          <w:tcPr>
            <w:tcW w:w="1495" w:type="pct"/>
          </w:tcPr>
          <w:p w14:paraId="77C22C48" w14:textId="77777777" w:rsidR="000447ED" w:rsidRPr="005E3B43" w:rsidRDefault="000447ED" w:rsidP="00763BCF">
            <w:pPr>
              <w:pStyle w:val="ENoteTableText"/>
              <w:tabs>
                <w:tab w:val="center" w:leader="dot" w:pos="2268"/>
              </w:tabs>
            </w:pPr>
            <w:r w:rsidRPr="005E3B43">
              <w:lastRenderedPageBreak/>
              <w:t>r 42M</w:t>
            </w:r>
            <w:r w:rsidRPr="005E3B43">
              <w:tab/>
            </w:r>
          </w:p>
        </w:tc>
        <w:tc>
          <w:tcPr>
            <w:tcW w:w="3505" w:type="pct"/>
          </w:tcPr>
          <w:p w14:paraId="6F29AC22" w14:textId="77777777" w:rsidR="000447ED" w:rsidRPr="005E3B43" w:rsidRDefault="000447ED" w:rsidP="00763BCF">
            <w:pPr>
              <w:pStyle w:val="ENoteTableText"/>
            </w:pPr>
            <w:r w:rsidRPr="005E3B43">
              <w:t>ad No 400, 1997</w:t>
            </w:r>
          </w:p>
        </w:tc>
      </w:tr>
      <w:tr w:rsidR="000447ED" w:rsidRPr="005E3B43" w14:paraId="2B6A8AC1" w14:textId="77777777" w:rsidTr="00034EA9">
        <w:trPr>
          <w:cantSplit/>
        </w:trPr>
        <w:tc>
          <w:tcPr>
            <w:tcW w:w="1495" w:type="pct"/>
          </w:tcPr>
          <w:p w14:paraId="7B755152" w14:textId="77777777" w:rsidR="000447ED" w:rsidRPr="005E3B43" w:rsidRDefault="000447ED" w:rsidP="00763BCF">
            <w:pPr>
              <w:pStyle w:val="ENoteTableText"/>
              <w:tabs>
                <w:tab w:val="center" w:leader="dot" w:pos="2268"/>
              </w:tabs>
            </w:pPr>
          </w:p>
        </w:tc>
        <w:tc>
          <w:tcPr>
            <w:tcW w:w="3505" w:type="pct"/>
          </w:tcPr>
          <w:p w14:paraId="5EBD9E30" w14:textId="77777777" w:rsidR="000447ED" w:rsidRPr="005E3B43" w:rsidRDefault="000447ED" w:rsidP="00763BCF">
            <w:pPr>
              <w:pStyle w:val="ENoteTableText"/>
            </w:pPr>
            <w:r w:rsidRPr="005E3B43">
              <w:t>rep F2018L00311</w:t>
            </w:r>
          </w:p>
        </w:tc>
      </w:tr>
      <w:tr w:rsidR="000447ED" w:rsidRPr="005E3B43" w14:paraId="6AA06EED" w14:textId="77777777" w:rsidTr="00034EA9">
        <w:trPr>
          <w:cantSplit/>
        </w:trPr>
        <w:tc>
          <w:tcPr>
            <w:tcW w:w="1495" w:type="pct"/>
          </w:tcPr>
          <w:p w14:paraId="3159D67F" w14:textId="77777777" w:rsidR="000447ED" w:rsidRPr="005E3B43" w:rsidRDefault="000447ED" w:rsidP="00763BCF">
            <w:pPr>
              <w:pStyle w:val="ENoteTableText"/>
              <w:tabs>
                <w:tab w:val="center" w:leader="dot" w:pos="2268"/>
              </w:tabs>
            </w:pPr>
            <w:r w:rsidRPr="005E3B43">
              <w:t>r 42N</w:t>
            </w:r>
            <w:r w:rsidRPr="005E3B43">
              <w:tab/>
            </w:r>
          </w:p>
        </w:tc>
        <w:tc>
          <w:tcPr>
            <w:tcW w:w="3505" w:type="pct"/>
          </w:tcPr>
          <w:p w14:paraId="5E868B72" w14:textId="77777777" w:rsidR="000447ED" w:rsidRPr="005E3B43" w:rsidRDefault="000447ED" w:rsidP="00763BCF">
            <w:pPr>
              <w:pStyle w:val="ENoteTableText"/>
            </w:pPr>
            <w:r w:rsidRPr="005E3B43">
              <w:t>ad No 400, 1997</w:t>
            </w:r>
          </w:p>
        </w:tc>
      </w:tr>
      <w:tr w:rsidR="000447ED" w:rsidRPr="005E3B43" w14:paraId="4AB3FCB2" w14:textId="77777777" w:rsidTr="00034EA9">
        <w:trPr>
          <w:cantSplit/>
        </w:trPr>
        <w:tc>
          <w:tcPr>
            <w:tcW w:w="1495" w:type="pct"/>
          </w:tcPr>
          <w:p w14:paraId="27CC641F" w14:textId="77777777" w:rsidR="000447ED" w:rsidRPr="005E3B43" w:rsidRDefault="000447ED" w:rsidP="00763BCF">
            <w:pPr>
              <w:pStyle w:val="ENoteTableText"/>
            </w:pPr>
          </w:p>
        </w:tc>
        <w:tc>
          <w:tcPr>
            <w:tcW w:w="3505" w:type="pct"/>
          </w:tcPr>
          <w:p w14:paraId="6729D3EC" w14:textId="77777777" w:rsidR="000447ED" w:rsidRPr="005E3B43" w:rsidRDefault="000447ED" w:rsidP="00763BCF">
            <w:pPr>
              <w:pStyle w:val="ENoteTableText"/>
            </w:pPr>
            <w:r w:rsidRPr="005E3B43">
              <w:t>am No 102, 2011</w:t>
            </w:r>
          </w:p>
        </w:tc>
      </w:tr>
      <w:tr w:rsidR="000447ED" w:rsidRPr="005E3B43" w14:paraId="56925E0F" w14:textId="77777777" w:rsidTr="00034EA9">
        <w:trPr>
          <w:cantSplit/>
        </w:trPr>
        <w:tc>
          <w:tcPr>
            <w:tcW w:w="1495" w:type="pct"/>
          </w:tcPr>
          <w:p w14:paraId="75F20B15" w14:textId="77777777" w:rsidR="000447ED" w:rsidRPr="005E3B43" w:rsidRDefault="000447ED" w:rsidP="00763BCF">
            <w:pPr>
              <w:pStyle w:val="ENoteTableText"/>
            </w:pPr>
          </w:p>
        </w:tc>
        <w:tc>
          <w:tcPr>
            <w:tcW w:w="3505" w:type="pct"/>
          </w:tcPr>
          <w:p w14:paraId="61A01D56" w14:textId="77777777" w:rsidR="000447ED" w:rsidRPr="005E3B43" w:rsidRDefault="000447ED" w:rsidP="00763BCF">
            <w:pPr>
              <w:pStyle w:val="ENoteTableText"/>
            </w:pPr>
            <w:r w:rsidRPr="005E3B43">
              <w:t>rep F2018L00311</w:t>
            </w:r>
          </w:p>
        </w:tc>
      </w:tr>
      <w:tr w:rsidR="000447ED" w:rsidRPr="005E3B43" w14:paraId="2C7C42E6" w14:textId="77777777" w:rsidTr="00034EA9">
        <w:trPr>
          <w:cantSplit/>
        </w:trPr>
        <w:tc>
          <w:tcPr>
            <w:tcW w:w="1495" w:type="pct"/>
          </w:tcPr>
          <w:p w14:paraId="482F3BEB" w14:textId="77777777" w:rsidR="000447ED" w:rsidRPr="005E3B43" w:rsidRDefault="000447ED" w:rsidP="00763BCF">
            <w:pPr>
              <w:pStyle w:val="ENoteTableText"/>
              <w:tabs>
                <w:tab w:val="center" w:leader="dot" w:pos="2268"/>
              </w:tabs>
            </w:pPr>
            <w:r w:rsidRPr="005E3B43">
              <w:t>r 42P</w:t>
            </w:r>
            <w:r w:rsidRPr="005E3B43">
              <w:tab/>
            </w:r>
          </w:p>
        </w:tc>
        <w:tc>
          <w:tcPr>
            <w:tcW w:w="3505" w:type="pct"/>
          </w:tcPr>
          <w:p w14:paraId="571A7160" w14:textId="77777777" w:rsidR="000447ED" w:rsidRPr="005E3B43" w:rsidRDefault="000447ED" w:rsidP="00763BCF">
            <w:pPr>
              <w:pStyle w:val="ENoteTableText"/>
            </w:pPr>
            <w:r w:rsidRPr="005E3B43">
              <w:t>ad No 400, 1997</w:t>
            </w:r>
          </w:p>
        </w:tc>
      </w:tr>
      <w:tr w:rsidR="000447ED" w:rsidRPr="005E3B43" w14:paraId="77E621B8" w14:textId="77777777" w:rsidTr="00034EA9">
        <w:trPr>
          <w:cantSplit/>
        </w:trPr>
        <w:tc>
          <w:tcPr>
            <w:tcW w:w="1495" w:type="pct"/>
          </w:tcPr>
          <w:p w14:paraId="361F2EEC" w14:textId="77777777" w:rsidR="000447ED" w:rsidRPr="005E3B43" w:rsidRDefault="000447ED" w:rsidP="00763BCF">
            <w:pPr>
              <w:pStyle w:val="ENoteTableText"/>
              <w:tabs>
                <w:tab w:val="center" w:leader="dot" w:pos="2268"/>
              </w:tabs>
            </w:pPr>
          </w:p>
        </w:tc>
        <w:tc>
          <w:tcPr>
            <w:tcW w:w="3505" w:type="pct"/>
          </w:tcPr>
          <w:p w14:paraId="6557E481" w14:textId="77777777" w:rsidR="000447ED" w:rsidRPr="005E3B43" w:rsidRDefault="000447ED" w:rsidP="00763BCF">
            <w:pPr>
              <w:pStyle w:val="ENoteTableText"/>
            </w:pPr>
            <w:r w:rsidRPr="005E3B43">
              <w:t>rep F2018L00311</w:t>
            </w:r>
          </w:p>
        </w:tc>
      </w:tr>
      <w:tr w:rsidR="000447ED" w:rsidRPr="005E3B43" w14:paraId="5F8D9D0F" w14:textId="77777777" w:rsidTr="00034EA9">
        <w:trPr>
          <w:cantSplit/>
        </w:trPr>
        <w:tc>
          <w:tcPr>
            <w:tcW w:w="1495" w:type="pct"/>
          </w:tcPr>
          <w:p w14:paraId="52A88F85" w14:textId="77777777" w:rsidR="000447ED" w:rsidRPr="005E3B43" w:rsidRDefault="000447ED" w:rsidP="00763BCF">
            <w:pPr>
              <w:pStyle w:val="ENoteTableText"/>
              <w:tabs>
                <w:tab w:val="center" w:leader="dot" w:pos="2268"/>
              </w:tabs>
            </w:pPr>
            <w:r w:rsidRPr="005E3B43">
              <w:t>r 42Q</w:t>
            </w:r>
            <w:r w:rsidRPr="005E3B43">
              <w:tab/>
            </w:r>
          </w:p>
        </w:tc>
        <w:tc>
          <w:tcPr>
            <w:tcW w:w="3505" w:type="pct"/>
          </w:tcPr>
          <w:p w14:paraId="2796CEF0" w14:textId="77777777" w:rsidR="000447ED" w:rsidRPr="005E3B43" w:rsidRDefault="000447ED" w:rsidP="00763BCF">
            <w:pPr>
              <w:pStyle w:val="ENoteTableText"/>
            </w:pPr>
            <w:r w:rsidRPr="005E3B43">
              <w:t>ad No 400, 1997</w:t>
            </w:r>
          </w:p>
        </w:tc>
      </w:tr>
      <w:tr w:rsidR="000447ED" w:rsidRPr="005E3B43" w14:paraId="268E4BC5" w14:textId="77777777" w:rsidTr="00034EA9">
        <w:trPr>
          <w:cantSplit/>
        </w:trPr>
        <w:tc>
          <w:tcPr>
            <w:tcW w:w="1495" w:type="pct"/>
          </w:tcPr>
          <w:p w14:paraId="56CF3A6A" w14:textId="77777777" w:rsidR="000447ED" w:rsidRPr="005E3B43" w:rsidRDefault="000447ED" w:rsidP="00763BCF">
            <w:pPr>
              <w:pStyle w:val="ENoteTableText"/>
              <w:tabs>
                <w:tab w:val="center" w:leader="dot" w:pos="2268"/>
              </w:tabs>
            </w:pPr>
          </w:p>
        </w:tc>
        <w:tc>
          <w:tcPr>
            <w:tcW w:w="3505" w:type="pct"/>
          </w:tcPr>
          <w:p w14:paraId="6700D8E9" w14:textId="77777777" w:rsidR="000447ED" w:rsidRPr="005E3B43" w:rsidRDefault="000447ED" w:rsidP="00763BCF">
            <w:pPr>
              <w:pStyle w:val="ENoteTableText"/>
            </w:pPr>
            <w:r w:rsidRPr="005E3B43">
              <w:t>rep F2018L00311</w:t>
            </w:r>
          </w:p>
        </w:tc>
      </w:tr>
      <w:tr w:rsidR="000447ED" w:rsidRPr="005E3B43" w14:paraId="01393364" w14:textId="77777777" w:rsidTr="00034EA9">
        <w:trPr>
          <w:cantSplit/>
        </w:trPr>
        <w:tc>
          <w:tcPr>
            <w:tcW w:w="1495" w:type="pct"/>
          </w:tcPr>
          <w:p w14:paraId="3BFD9856" w14:textId="77777777" w:rsidR="000447ED" w:rsidRPr="005E3B43" w:rsidRDefault="00BE7FAC" w:rsidP="00763BCF">
            <w:pPr>
              <w:pStyle w:val="ENoteTableText"/>
              <w:tabs>
                <w:tab w:val="center" w:leader="dot" w:pos="2268"/>
              </w:tabs>
            </w:pPr>
            <w:r w:rsidRPr="005E3B43">
              <w:t>Division 3</w:t>
            </w:r>
            <w:r w:rsidR="000447ED" w:rsidRPr="005E3B43">
              <w:t xml:space="preserve"> heading</w:t>
            </w:r>
            <w:r w:rsidR="000447ED" w:rsidRPr="005E3B43">
              <w:tab/>
            </w:r>
          </w:p>
        </w:tc>
        <w:tc>
          <w:tcPr>
            <w:tcW w:w="3505" w:type="pct"/>
          </w:tcPr>
          <w:p w14:paraId="0AC9F7EF" w14:textId="77777777" w:rsidR="000447ED" w:rsidRPr="005E3B43" w:rsidRDefault="000447ED" w:rsidP="00763BCF">
            <w:pPr>
              <w:pStyle w:val="ENoteTableText"/>
            </w:pPr>
            <w:r w:rsidRPr="005E3B43">
              <w:t>rs No 48, 2000</w:t>
            </w:r>
          </w:p>
        </w:tc>
      </w:tr>
      <w:tr w:rsidR="000447ED" w:rsidRPr="005E3B43" w14:paraId="51D0DB5D" w14:textId="77777777" w:rsidTr="00034EA9">
        <w:trPr>
          <w:cantSplit/>
        </w:trPr>
        <w:tc>
          <w:tcPr>
            <w:tcW w:w="1495" w:type="pct"/>
          </w:tcPr>
          <w:p w14:paraId="0A753336" w14:textId="77777777" w:rsidR="000447ED" w:rsidRPr="005E3B43" w:rsidRDefault="000447ED" w:rsidP="00763BCF">
            <w:pPr>
              <w:pStyle w:val="ENoteTableText"/>
              <w:tabs>
                <w:tab w:val="center" w:leader="dot" w:pos="2268"/>
              </w:tabs>
            </w:pPr>
          </w:p>
        </w:tc>
        <w:tc>
          <w:tcPr>
            <w:tcW w:w="3505" w:type="pct"/>
          </w:tcPr>
          <w:p w14:paraId="4D3A54B7" w14:textId="77777777" w:rsidR="000447ED" w:rsidRPr="005E3B43" w:rsidRDefault="000447ED" w:rsidP="00763BCF">
            <w:pPr>
              <w:pStyle w:val="ENoteTableText"/>
            </w:pPr>
            <w:r w:rsidRPr="005E3B43">
              <w:t>rep F2018L00311</w:t>
            </w:r>
          </w:p>
        </w:tc>
      </w:tr>
      <w:tr w:rsidR="000447ED" w:rsidRPr="005E3B43" w14:paraId="0C5BBA48" w14:textId="77777777" w:rsidTr="00034EA9">
        <w:trPr>
          <w:cantSplit/>
        </w:trPr>
        <w:tc>
          <w:tcPr>
            <w:tcW w:w="1495" w:type="pct"/>
          </w:tcPr>
          <w:p w14:paraId="547C7013" w14:textId="77777777" w:rsidR="000447ED" w:rsidRPr="005E3B43" w:rsidRDefault="00BE7FAC" w:rsidP="00763BCF">
            <w:pPr>
              <w:pStyle w:val="ENoteTableText"/>
              <w:tabs>
                <w:tab w:val="center" w:leader="dot" w:pos="2268"/>
              </w:tabs>
            </w:pPr>
            <w:r w:rsidRPr="005E3B43">
              <w:t>Division 3</w:t>
            </w:r>
            <w:r w:rsidR="000447ED" w:rsidRPr="005E3B43">
              <w:tab/>
            </w:r>
          </w:p>
        </w:tc>
        <w:tc>
          <w:tcPr>
            <w:tcW w:w="3505" w:type="pct"/>
          </w:tcPr>
          <w:p w14:paraId="44E47B51" w14:textId="77777777" w:rsidR="000447ED" w:rsidRPr="005E3B43" w:rsidRDefault="000447ED" w:rsidP="00763BCF">
            <w:pPr>
              <w:pStyle w:val="ENoteTableText"/>
            </w:pPr>
            <w:r w:rsidRPr="005E3B43">
              <w:t>ad No 400, 1997</w:t>
            </w:r>
          </w:p>
        </w:tc>
      </w:tr>
      <w:tr w:rsidR="000447ED" w:rsidRPr="005E3B43" w14:paraId="47574ED8" w14:textId="77777777" w:rsidTr="00034EA9">
        <w:trPr>
          <w:cantSplit/>
        </w:trPr>
        <w:tc>
          <w:tcPr>
            <w:tcW w:w="1495" w:type="pct"/>
          </w:tcPr>
          <w:p w14:paraId="36060631" w14:textId="77777777" w:rsidR="000447ED" w:rsidRPr="005E3B43" w:rsidRDefault="000447ED" w:rsidP="00763BCF">
            <w:pPr>
              <w:pStyle w:val="ENoteTableText"/>
              <w:tabs>
                <w:tab w:val="center" w:leader="dot" w:pos="2268"/>
              </w:tabs>
            </w:pPr>
          </w:p>
        </w:tc>
        <w:tc>
          <w:tcPr>
            <w:tcW w:w="3505" w:type="pct"/>
          </w:tcPr>
          <w:p w14:paraId="20285BD2" w14:textId="77777777" w:rsidR="000447ED" w:rsidRPr="005E3B43" w:rsidRDefault="000447ED" w:rsidP="00763BCF">
            <w:pPr>
              <w:pStyle w:val="ENoteTableText"/>
            </w:pPr>
            <w:r w:rsidRPr="005E3B43">
              <w:t>rep F2018L00311</w:t>
            </w:r>
          </w:p>
        </w:tc>
      </w:tr>
      <w:tr w:rsidR="000447ED" w:rsidRPr="005E3B43" w14:paraId="743A77D7" w14:textId="77777777" w:rsidTr="00034EA9">
        <w:trPr>
          <w:cantSplit/>
        </w:trPr>
        <w:tc>
          <w:tcPr>
            <w:tcW w:w="1495" w:type="pct"/>
          </w:tcPr>
          <w:p w14:paraId="7B78A036" w14:textId="77777777" w:rsidR="000447ED" w:rsidRPr="005E3B43" w:rsidRDefault="000447ED" w:rsidP="00763BCF">
            <w:pPr>
              <w:pStyle w:val="ENoteTableText"/>
              <w:tabs>
                <w:tab w:val="center" w:leader="dot" w:pos="2268"/>
              </w:tabs>
            </w:pPr>
            <w:r w:rsidRPr="005E3B43">
              <w:t>Subdivision</w:t>
            </w:r>
            <w:r w:rsidR="004E6D00" w:rsidRPr="005E3B43">
              <w:t> </w:t>
            </w:r>
            <w:r w:rsidRPr="005E3B43">
              <w:t>1 heading</w:t>
            </w:r>
            <w:r w:rsidRPr="005E3B43">
              <w:tab/>
            </w:r>
          </w:p>
        </w:tc>
        <w:tc>
          <w:tcPr>
            <w:tcW w:w="3505" w:type="pct"/>
          </w:tcPr>
          <w:p w14:paraId="5DA73F76" w14:textId="77777777" w:rsidR="000447ED" w:rsidRPr="005E3B43" w:rsidRDefault="000447ED" w:rsidP="00763BCF">
            <w:pPr>
              <w:pStyle w:val="ENoteTableText"/>
            </w:pPr>
            <w:r w:rsidRPr="005E3B43">
              <w:t>ad No 48, 2000</w:t>
            </w:r>
          </w:p>
        </w:tc>
      </w:tr>
      <w:tr w:rsidR="000447ED" w:rsidRPr="005E3B43" w14:paraId="17F07EFD" w14:textId="77777777" w:rsidTr="00034EA9">
        <w:trPr>
          <w:cantSplit/>
        </w:trPr>
        <w:tc>
          <w:tcPr>
            <w:tcW w:w="1495" w:type="pct"/>
          </w:tcPr>
          <w:p w14:paraId="02147B7B" w14:textId="77777777" w:rsidR="000447ED" w:rsidRPr="005E3B43" w:rsidRDefault="000447ED" w:rsidP="00763BCF">
            <w:pPr>
              <w:pStyle w:val="ENoteTableText"/>
              <w:tabs>
                <w:tab w:val="center" w:leader="dot" w:pos="2268"/>
              </w:tabs>
            </w:pPr>
          </w:p>
        </w:tc>
        <w:tc>
          <w:tcPr>
            <w:tcW w:w="3505" w:type="pct"/>
          </w:tcPr>
          <w:p w14:paraId="66D1C146" w14:textId="77777777" w:rsidR="000447ED" w:rsidRPr="005E3B43" w:rsidRDefault="000447ED" w:rsidP="00763BCF">
            <w:pPr>
              <w:pStyle w:val="ENoteTableText"/>
              <w:tabs>
                <w:tab w:val="center" w:leader="dot" w:pos="2268"/>
              </w:tabs>
            </w:pPr>
            <w:r w:rsidRPr="005E3B43">
              <w:t>rep F2018L00311</w:t>
            </w:r>
          </w:p>
        </w:tc>
      </w:tr>
      <w:tr w:rsidR="000447ED" w:rsidRPr="005E3B43" w14:paraId="4FA63261" w14:textId="77777777" w:rsidTr="00034EA9">
        <w:trPr>
          <w:cantSplit/>
        </w:trPr>
        <w:tc>
          <w:tcPr>
            <w:tcW w:w="1495" w:type="pct"/>
          </w:tcPr>
          <w:p w14:paraId="00447140" w14:textId="77777777" w:rsidR="000447ED" w:rsidRPr="005E3B43" w:rsidRDefault="000447ED" w:rsidP="00763BCF">
            <w:pPr>
              <w:pStyle w:val="ENoteTableText"/>
              <w:tabs>
                <w:tab w:val="center" w:leader="dot" w:pos="2268"/>
              </w:tabs>
            </w:pPr>
            <w:r w:rsidRPr="005E3B43">
              <w:t>r 42R</w:t>
            </w:r>
            <w:r w:rsidRPr="005E3B43">
              <w:tab/>
            </w:r>
          </w:p>
        </w:tc>
        <w:tc>
          <w:tcPr>
            <w:tcW w:w="3505" w:type="pct"/>
          </w:tcPr>
          <w:p w14:paraId="5CB966B6" w14:textId="77777777" w:rsidR="000447ED" w:rsidRPr="005E3B43" w:rsidRDefault="000447ED" w:rsidP="00763BCF">
            <w:pPr>
              <w:pStyle w:val="ENoteTableText"/>
            </w:pPr>
            <w:r w:rsidRPr="005E3B43">
              <w:t>ad No 400, 1997</w:t>
            </w:r>
          </w:p>
        </w:tc>
      </w:tr>
      <w:tr w:rsidR="000447ED" w:rsidRPr="005E3B43" w14:paraId="0CA8705C" w14:textId="77777777" w:rsidTr="00034EA9">
        <w:trPr>
          <w:cantSplit/>
        </w:trPr>
        <w:tc>
          <w:tcPr>
            <w:tcW w:w="1495" w:type="pct"/>
          </w:tcPr>
          <w:p w14:paraId="35E7886F" w14:textId="77777777" w:rsidR="000447ED" w:rsidRPr="005E3B43" w:rsidRDefault="000447ED" w:rsidP="00763BCF">
            <w:pPr>
              <w:pStyle w:val="ENoteTableText"/>
              <w:tabs>
                <w:tab w:val="center" w:leader="dot" w:pos="2268"/>
              </w:tabs>
            </w:pPr>
          </w:p>
        </w:tc>
        <w:tc>
          <w:tcPr>
            <w:tcW w:w="3505" w:type="pct"/>
          </w:tcPr>
          <w:p w14:paraId="0E69D1F6" w14:textId="77777777" w:rsidR="000447ED" w:rsidRPr="005E3B43" w:rsidRDefault="000447ED" w:rsidP="00763BCF">
            <w:pPr>
              <w:pStyle w:val="ENoteTableText"/>
            </w:pPr>
            <w:r w:rsidRPr="005E3B43">
              <w:t>rep F2018L00311</w:t>
            </w:r>
          </w:p>
        </w:tc>
      </w:tr>
      <w:tr w:rsidR="000447ED" w:rsidRPr="005E3B43" w14:paraId="3F280C52" w14:textId="77777777" w:rsidTr="00034EA9">
        <w:trPr>
          <w:cantSplit/>
        </w:trPr>
        <w:tc>
          <w:tcPr>
            <w:tcW w:w="1495" w:type="pct"/>
          </w:tcPr>
          <w:p w14:paraId="34EB306C" w14:textId="77777777" w:rsidR="000447ED" w:rsidRPr="005E3B43" w:rsidRDefault="000447ED" w:rsidP="00763BCF">
            <w:pPr>
              <w:pStyle w:val="ENoteTableText"/>
              <w:tabs>
                <w:tab w:val="center" w:leader="dot" w:pos="2268"/>
              </w:tabs>
            </w:pPr>
            <w:r w:rsidRPr="005E3B43">
              <w:t>r 42S</w:t>
            </w:r>
            <w:r w:rsidRPr="005E3B43">
              <w:tab/>
            </w:r>
          </w:p>
        </w:tc>
        <w:tc>
          <w:tcPr>
            <w:tcW w:w="3505" w:type="pct"/>
          </w:tcPr>
          <w:p w14:paraId="3DAD5F26" w14:textId="77777777" w:rsidR="000447ED" w:rsidRPr="005E3B43" w:rsidRDefault="000447ED" w:rsidP="00763BCF">
            <w:pPr>
              <w:pStyle w:val="ENoteTableText"/>
            </w:pPr>
            <w:r w:rsidRPr="005E3B43">
              <w:t>ad No 400, 1997</w:t>
            </w:r>
          </w:p>
        </w:tc>
      </w:tr>
      <w:tr w:rsidR="000447ED" w:rsidRPr="005E3B43" w14:paraId="4527B6B0" w14:textId="77777777" w:rsidTr="00034EA9">
        <w:trPr>
          <w:cantSplit/>
        </w:trPr>
        <w:tc>
          <w:tcPr>
            <w:tcW w:w="1495" w:type="pct"/>
          </w:tcPr>
          <w:p w14:paraId="7E6D859E" w14:textId="77777777" w:rsidR="000447ED" w:rsidRPr="005E3B43" w:rsidRDefault="000447ED" w:rsidP="00763BCF">
            <w:pPr>
              <w:pStyle w:val="ENoteTableText"/>
            </w:pPr>
          </w:p>
        </w:tc>
        <w:tc>
          <w:tcPr>
            <w:tcW w:w="3505" w:type="pct"/>
          </w:tcPr>
          <w:p w14:paraId="4AAC0AD0" w14:textId="77777777" w:rsidR="000447ED" w:rsidRPr="005E3B43" w:rsidRDefault="000447ED" w:rsidP="00763BCF">
            <w:pPr>
              <w:pStyle w:val="ENoteTableText"/>
            </w:pPr>
            <w:r w:rsidRPr="005E3B43">
              <w:t>am No 48, 2000</w:t>
            </w:r>
          </w:p>
        </w:tc>
      </w:tr>
      <w:tr w:rsidR="000447ED" w:rsidRPr="005E3B43" w14:paraId="1970E1FB" w14:textId="77777777" w:rsidTr="00034EA9">
        <w:trPr>
          <w:cantSplit/>
        </w:trPr>
        <w:tc>
          <w:tcPr>
            <w:tcW w:w="1495" w:type="pct"/>
          </w:tcPr>
          <w:p w14:paraId="1F9851B6" w14:textId="77777777" w:rsidR="000447ED" w:rsidRPr="005E3B43" w:rsidRDefault="000447ED" w:rsidP="00763BCF">
            <w:pPr>
              <w:pStyle w:val="ENoteTableText"/>
            </w:pPr>
          </w:p>
        </w:tc>
        <w:tc>
          <w:tcPr>
            <w:tcW w:w="3505" w:type="pct"/>
          </w:tcPr>
          <w:p w14:paraId="31836971" w14:textId="77777777" w:rsidR="000447ED" w:rsidRPr="005E3B43" w:rsidRDefault="000447ED" w:rsidP="00763BCF">
            <w:pPr>
              <w:pStyle w:val="ENoteTableText"/>
            </w:pPr>
            <w:r w:rsidRPr="005E3B43">
              <w:t>rep F2018L00311</w:t>
            </w:r>
          </w:p>
        </w:tc>
      </w:tr>
      <w:tr w:rsidR="000447ED" w:rsidRPr="005E3B43" w14:paraId="45C230D0" w14:textId="77777777" w:rsidTr="00034EA9">
        <w:trPr>
          <w:cantSplit/>
        </w:trPr>
        <w:tc>
          <w:tcPr>
            <w:tcW w:w="1495" w:type="pct"/>
          </w:tcPr>
          <w:p w14:paraId="1A9A0A11" w14:textId="77777777" w:rsidR="000447ED" w:rsidRPr="005E3B43" w:rsidRDefault="000447ED" w:rsidP="00763BCF">
            <w:pPr>
              <w:pStyle w:val="ENoteTableText"/>
              <w:tabs>
                <w:tab w:val="center" w:leader="dot" w:pos="2268"/>
              </w:tabs>
            </w:pPr>
            <w:r w:rsidRPr="005E3B43">
              <w:t>r 42T</w:t>
            </w:r>
            <w:r w:rsidRPr="005E3B43">
              <w:tab/>
            </w:r>
          </w:p>
        </w:tc>
        <w:tc>
          <w:tcPr>
            <w:tcW w:w="3505" w:type="pct"/>
          </w:tcPr>
          <w:p w14:paraId="2280E447" w14:textId="77777777" w:rsidR="000447ED" w:rsidRPr="005E3B43" w:rsidRDefault="000447ED" w:rsidP="00763BCF">
            <w:pPr>
              <w:pStyle w:val="ENoteTableText"/>
            </w:pPr>
            <w:r w:rsidRPr="005E3B43">
              <w:t>ad No 400, 1997</w:t>
            </w:r>
          </w:p>
        </w:tc>
      </w:tr>
      <w:tr w:rsidR="000447ED" w:rsidRPr="005E3B43" w14:paraId="3EB42AF4" w14:textId="77777777" w:rsidTr="00034EA9">
        <w:trPr>
          <w:cantSplit/>
        </w:trPr>
        <w:tc>
          <w:tcPr>
            <w:tcW w:w="1495" w:type="pct"/>
          </w:tcPr>
          <w:p w14:paraId="45D77E2B" w14:textId="77777777" w:rsidR="000447ED" w:rsidRPr="005E3B43" w:rsidRDefault="000447ED" w:rsidP="00763BCF">
            <w:pPr>
              <w:pStyle w:val="ENoteTableText"/>
            </w:pPr>
          </w:p>
        </w:tc>
        <w:tc>
          <w:tcPr>
            <w:tcW w:w="3505" w:type="pct"/>
          </w:tcPr>
          <w:p w14:paraId="771012F5" w14:textId="77777777" w:rsidR="000447ED" w:rsidRPr="005E3B43" w:rsidRDefault="000447ED" w:rsidP="00763BCF">
            <w:pPr>
              <w:pStyle w:val="ENoteTableText"/>
            </w:pPr>
            <w:r w:rsidRPr="005E3B43">
              <w:t>am No 369, 1998; No 48, 2000; No 234, 2002; No 102, 2011</w:t>
            </w:r>
          </w:p>
        </w:tc>
      </w:tr>
      <w:tr w:rsidR="000447ED" w:rsidRPr="005E3B43" w14:paraId="2656B132" w14:textId="77777777" w:rsidTr="00034EA9">
        <w:trPr>
          <w:cantSplit/>
        </w:trPr>
        <w:tc>
          <w:tcPr>
            <w:tcW w:w="1495" w:type="pct"/>
          </w:tcPr>
          <w:p w14:paraId="20E0A67D" w14:textId="77777777" w:rsidR="000447ED" w:rsidRPr="005E3B43" w:rsidRDefault="000447ED" w:rsidP="00763BCF">
            <w:pPr>
              <w:pStyle w:val="ENoteTableText"/>
            </w:pPr>
          </w:p>
        </w:tc>
        <w:tc>
          <w:tcPr>
            <w:tcW w:w="3505" w:type="pct"/>
          </w:tcPr>
          <w:p w14:paraId="655FC6B3" w14:textId="77777777" w:rsidR="000447ED" w:rsidRPr="005E3B43" w:rsidRDefault="000447ED" w:rsidP="00763BCF">
            <w:pPr>
              <w:pStyle w:val="ENoteTableText"/>
            </w:pPr>
            <w:r w:rsidRPr="005E3B43">
              <w:t>rep F2018L00311</w:t>
            </w:r>
          </w:p>
        </w:tc>
      </w:tr>
      <w:tr w:rsidR="000447ED" w:rsidRPr="005E3B43" w14:paraId="22AB0E5D" w14:textId="77777777" w:rsidTr="00034EA9">
        <w:trPr>
          <w:cantSplit/>
        </w:trPr>
        <w:tc>
          <w:tcPr>
            <w:tcW w:w="1495" w:type="pct"/>
          </w:tcPr>
          <w:p w14:paraId="66D8A1C7" w14:textId="77777777" w:rsidR="000447ED" w:rsidRPr="005E3B43" w:rsidRDefault="000447ED" w:rsidP="00763BCF">
            <w:pPr>
              <w:pStyle w:val="ENoteTableText"/>
              <w:tabs>
                <w:tab w:val="center" w:leader="dot" w:pos="2268"/>
              </w:tabs>
            </w:pPr>
            <w:r w:rsidRPr="005E3B43">
              <w:t>r 42U</w:t>
            </w:r>
            <w:r w:rsidRPr="005E3B43">
              <w:tab/>
            </w:r>
          </w:p>
        </w:tc>
        <w:tc>
          <w:tcPr>
            <w:tcW w:w="3505" w:type="pct"/>
          </w:tcPr>
          <w:p w14:paraId="1FC34E99" w14:textId="77777777" w:rsidR="000447ED" w:rsidRPr="005E3B43" w:rsidRDefault="000447ED" w:rsidP="00763BCF">
            <w:pPr>
              <w:pStyle w:val="ENoteTableText"/>
            </w:pPr>
            <w:r w:rsidRPr="005E3B43">
              <w:t>ad No 400, 1997</w:t>
            </w:r>
          </w:p>
        </w:tc>
      </w:tr>
      <w:tr w:rsidR="000447ED" w:rsidRPr="005E3B43" w14:paraId="6B9A35F3" w14:textId="77777777" w:rsidTr="00034EA9">
        <w:trPr>
          <w:cantSplit/>
        </w:trPr>
        <w:tc>
          <w:tcPr>
            <w:tcW w:w="1495" w:type="pct"/>
          </w:tcPr>
          <w:p w14:paraId="1752C3E7" w14:textId="77777777" w:rsidR="000447ED" w:rsidRPr="005E3B43" w:rsidRDefault="000447ED" w:rsidP="00763BCF">
            <w:pPr>
              <w:pStyle w:val="ENoteTableText"/>
            </w:pPr>
          </w:p>
        </w:tc>
        <w:tc>
          <w:tcPr>
            <w:tcW w:w="3505" w:type="pct"/>
          </w:tcPr>
          <w:p w14:paraId="5D323EA5" w14:textId="77777777" w:rsidR="000447ED" w:rsidRPr="005E3B43" w:rsidRDefault="000447ED" w:rsidP="00763BCF">
            <w:pPr>
              <w:pStyle w:val="ENoteTableText"/>
            </w:pPr>
            <w:r w:rsidRPr="005E3B43">
              <w:t>am No 361, 2003</w:t>
            </w:r>
          </w:p>
        </w:tc>
      </w:tr>
      <w:tr w:rsidR="000447ED" w:rsidRPr="005E3B43" w14:paraId="4C47887D" w14:textId="77777777" w:rsidTr="00034EA9">
        <w:trPr>
          <w:cantSplit/>
        </w:trPr>
        <w:tc>
          <w:tcPr>
            <w:tcW w:w="1495" w:type="pct"/>
          </w:tcPr>
          <w:p w14:paraId="1614AEB4" w14:textId="77777777" w:rsidR="000447ED" w:rsidRPr="005E3B43" w:rsidRDefault="000447ED" w:rsidP="00763BCF">
            <w:pPr>
              <w:pStyle w:val="ENoteTableText"/>
            </w:pPr>
          </w:p>
        </w:tc>
        <w:tc>
          <w:tcPr>
            <w:tcW w:w="3505" w:type="pct"/>
          </w:tcPr>
          <w:p w14:paraId="327EF9F2" w14:textId="77777777" w:rsidR="000447ED" w:rsidRPr="005E3B43" w:rsidRDefault="000447ED" w:rsidP="00763BCF">
            <w:pPr>
              <w:pStyle w:val="ENoteTableText"/>
            </w:pPr>
            <w:r w:rsidRPr="005E3B43">
              <w:t>rep F2018L00311</w:t>
            </w:r>
          </w:p>
        </w:tc>
      </w:tr>
      <w:tr w:rsidR="000447ED" w:rsidRPr="005E3B43" w14:paraId="7B75F596" w14:textId="77777777" w:rsidTr="00034EA9">
        <w:trPr>
          <w:cantSplit/>
        </w:trPr>
        <w:tc>
          <w:tcPr>
            <w:tcW w:w="1495" w:type="pct"/>
          </w:tcPr>
          <w:p w14:paraId="6F4BF980" w14:textId="77777777" w:rsidR="000447ED" w:rsidRPr="005E3B43" w:rsidRDefault="000447ED" w:rsidP="00763BCF">
            <w:pPr>
              <w:pStyle w:val="ENoteTableText"/>
              <w:tabs>
                <w:tab w:val="center" w:leader="dot" w:pos="2268"/>
              </w:tabs>
            </w:pPr>
            <w:r w:rsidRPr="005E3B43">
              <w:t>r 42V</w:t>
            </w:r>
            <w:r w:rsidRPr="005E3B43">
              <w:tab/>
            </w:r>
          </w:p>
        </w:tc>
        <w:tc>
          <w:tcPr>
            <w:tcW w:w="3505" w:type="pct"/>
          </w:tcPr>
          <w:p w14:paraId="50AF9863" w14:textId="77777777" w:rsidR="000447ED" w:rsidRPr="005E3B43" w:rsidRDefault="000447ED" w:rsidP="00763BCF">
            <w:pPr>
              <w:pStyle w:val="ENoteTableText"/>
            </w:pPr>
            <w:r w:rsidRPr="005E3B43">
              <w:t>ad No 400, 1997</w:t>
            </w:r>
          </w:p>
        </w:tc>
      </w:tr>
      <w:tr w:rsidR="000447ED" w:rsidRPr="005E3B43" w14:paraId="723D17BF" w14:textId="77777777" w:rsidTr="00034EA9">
        <w:trPr>
          <w:cantSplit/>
        </w:trPr>
        <w:tc>
          <w:tcPr>
            <w:tcW w:w="1495" w:type="pct"/>
          </w:tcPr>
          <w:p w14:paraId="775B83B5" w14:textId="77777777" w:rsidR="000447ED" w:rsidRPr="005E3B43" w:rsidRDefault="000447ED" w:rsidP="00763BCF">
            <w:pPr>
              <w:pStyle w:val="ENoteTableText"/>
              <w:tabs>
                <w:tab w:val="center" w:leader="dot" w:pos="2268"/>
              </w:tabs>
            </w:pPr>
          </w:p>
        </w:tc>
        <w:tc>
          <w:tcPr>
            <w:tcW w:w="3505" w:type="pct"/>
          </w:tcPr>
          <w:p w14:paraId="0CD8BFA7" w14:textId="77777777" w:rsidR="000447ED" w:rsidRPr="005E3B43" w:rsidRDefault="000447ED" w:rsidP="00763BCF">
            <w:pPr>
              <w:pStyle w:val="ENoteTableText"/>
            </w:pPr>
            <w:r w:rsidRPr="005E3B43">
              <w:t>rep F2018L00311</w:t>
            </w:r>
          </w:p>
        </w:tc>
      </w:tr>
      <w:tr w:rsidR="000447ED" w:rsidRPr="005E3B43" w14:paraId="2431E678" w14:textId="77777777" w:rsidTr="00034EA9">
        <w:trPr>
          <w:cantSplit/>
        </w:trPr>
        <w:tc>
          <w:tcPr>
            <w:tcW w:w="1495" w:type="pct"/>
          </w:tcPr>
          <w:p w14:paraId="2CC4EF6D" w14:textId="77777777" w:rsidR="000447ED" w:rsidRPr="005E3B43" w:rsidRDefault="000447ED" w:rsidP="00763BCF">
            <w:pPr>
              <w:pStyle w:val="ENoteTableText"/>
              <w:tabs>
                <w:tab w:val="center" w:leader="dot" w:pos="2268"/>
              </w:tabs>
            </w:pPr>
            <w:r w:rsidRPr="005E3B43">
              <w:t>r 42W</w:t>
            </w:r>
            <w:r w:rsidRPr="005E3B43">
              <w:tab/>
            </w:r>
          </w:p>
        </w:tc>
        <w:tc>
          <w:tcPr>
            <w:tcW w:w="3505" w:type="pct"/>
          </w:tcPr>
          <w:p w14:paraId="1A21F7F3" w14:textId="77777777" w:rsidR="000447ED" w:rsidRPr="005E3B43" w:rsidRDefault="000447ED" w:rsidP="00763BCF">
            <w:pPr>
              <w:pStyle w:val="ENoteTableText"/>
            </w:pPr>
            <w:r w:rsidRPr="005E3B43">
              <w:t>ad No 400, 1997</w:t>
            </w:r>
          </w:p>
        </w:tc>
      </w:tr>
      <w:tr w:rsidR="000447ED" w:rsidRPr="005E3B43" w14:paraId="0B1D947B" w14:textId="77777777" w:rsidTr="00034EA9">
        <w:trPr>
          <w:cantSplit/>
        </w:trPr>
        <w:tc>
          <w:tcPr>
            <w:tcW w:w="1495" w:type="pct"/>
          </w:tcPr>
          <w:p w14:paraId="29633E1F" w14:textId="77777777" w:rsidR="000447ED" w:rsidRPr="005E3B43" w:rsidRDefault="000447ED" w:rsidP="00763BCF">
            <w:pPr>
              <w:pStyle w:val="ENoteTableText"/>
            </w:pPr>
          </w:p>
        </w:tc>
        <w:tc>
          <w:tcPr>
            <w:tcW w:w="3505" w:type="pct"/>
          </w:tcPr>
          <w:p w14:paraId="5F52EB66" w14:textId="77777777" w:rsidR="000447ED" w:rsidRPr="005E3B43" w:rsidRDefault="000447ED" w:rsidP="00763BCF">
            <w:pPr>
              <w:pStyle w:val="ENoteTableText"/>
            </w:pPr>
            <w:r w:rsidRPr="005E3B43">
              <w:t>am No 48, 2000</w:t>
            </w:r>
          </w:p>
        </w:tc>
      </w:tr>
      <w:tr w:rsidR="000447ED" w:rsidRPr="005E3B43" w14:paraId="18E85F5D" w14:textId="77777777" w:rsidTr="00034EA9">
        <w:trPr>
          <w:cantSplit/>
        </w:trPr>
        <w:tc>
          <w:tcPr>
            <w:tcW w:w="1495" w:type="pct"/>
          </w:tcPr>
          <w:p w14:paraId="08D5DFCB" w14:textId="77777777" w:rsidR="000447ED" w:rsidRPr="005E3B43" w:rsidRDefault="000447ED" w:rsidP="00763BCF">
            <w:pPr>
              <w:pStyle w:val="ENoteTableText"/>
            </w:pPr>
          </w:p>
        </w:tc>
        <w:tc>
          <w:tcPr>
            <w:tcW w:w="3505" w:type="pct"/>
          </w:tcPr>
          <w:p w14:paraId="0FF72F90" w14:textId="77777777" w:rsidR="000447ED" w:rsidRPr="005E3B43" w:rsidRDefault="000447ED" w:rsidP="00763BCF">
            <w:pPr>
              <w:pStyle w:val="ENoteTableText"/>
            </w:pPr>
            <w:r w:rsidRPr="005E3B43">
              <w:t>rep F2018L00311</w:t>
            </w:r>
          </w:p>
        </w:tc>
      </w:tr>
      <w:tr w:rsidR="000447ED" w:rsidRPr="005E3B43" w14:paraId="6F51EDE9" w14:textId="77777777" w:rsidTr="00034EA9">
        <w:trPr>
          <w:cantSplit/>
        </w:trPr>
        <w:tc>
          <w:tcPr>
            <w:tcW w:w="1495" w:type="pct"/>
          </w:tcPr>
          <w:p w14:paraId="259F212B" w14:textId="77777777" w:rsidR="000447ED" w:rsidRPr="005E3B43" w:rsidRDefault="000447ED" w:rsidP="00763BCF">
            <w:pPr>
              <w:pStyle w:val="ENoteTableText"/>
              <w:tabs>
                <w:tab w:val="center" w:leader="dot" w:pos="2268"/>
              </w:tabs>
            </w:pPr>
            <w:r w:rsidRPr="005E3B43">
              <w:t>r 42X</w:t>
            </w:r>
            <w:r w:rsidRPr="005E3B43">
              <w:tab/>
            </w:r>
          </w:p>
        </w:tc>
        <w:tc>
          <w:tcPr>
            <w:tcW w:w="3505" w:type="pct"/>
          </w:tcPr>
          <w:p w14:paraId="64C832CE" w14:textId="77777777" w:rsidR="000447ED" w:rsidRPr="005E3B43" w:rsidRDefault="000447ED" w:rsidP="00763BCF">
            <w:pPr>
              <w:pStyle w:val="ENoteTableText"/>
            </w:pPr>
            <w:r w:rsidRPr="005E3B43">
              <w:t>ad No 400, 1997</w:t>
            </w:r>
          </w:p>
        </w:tc>
      </w:tr>
      <w:tr w:rsidR="000447ED" w:rsidRPr="005E3B43" w14:paraId="5B2BCF65" w14:textId="77777777" w:rsidTr="00034EA9">
        <w:trPr>
          <w:cantSplit/>
        </w:trPr>
        <w:tc>
          <w:tcPr>
            <w:tcW w:w="1495" w:type="pct"/>
          </w:tcPr>
          <w:p w14:paraId="3521051F" w14:textId="77777777" w:rsidR="000447ED" w:rsidRPr="005E3B43" w:rsidRDefault="000447ED" w:rsidP="00763BCF">
            <w:pPr>
              <w:pStyle w:val="ENoteTableText"/>
            </w:pPr>
          </w:p>
        </w:tc>
        <w:tc>
          <w:tcPr>
            <w:tcW w:w="3505" w:type="pct"/>
          </w:tcPr>
          <w:p w14:paraId="4ECE4B4E" w14:textId="77777777" w:rsidR="000447ED" w:rsidRPr="005E3B43" w:rsidRDefault="000447ED" w:rsidP="00763BCF">
            <w:pPr>
              <w:pStyle w:val="ENoteTableText"/>
            </w:pPr>
            <w:r w:rsidRPr="005E3B43">
              <w:t>am No 258, 2003</w:t>
            </w:r>
          </w:p>
        </w:tc>
      </w:tr>
      <w:tr w:rsidR="000447ED" w:rsidRPr="005E3B43" w14:paraId="5108524F" w14:textId="77777777" w:rsidTr="00034EA9">
        <w:trPr>
          <w:cantSplit/>
        </w:trPr>
        <w:tc>
          <w:tcPr>
            <w:tcW w:w="1495" w:type="pct"/>
          </w:tcPr>
          <w:p w14:paraId="3AC02A49" w14:textId="77777777" w:rsidR="000447ED" w:rsidRPr="005E3B43" w:rsidRDefault="000447ED" w:rsidP="00763BCF">
            <w:pPr>
              <w:pStyle w:val="ENoteTableText"/>
            </w:pPr>
          </w:p>
        </w:tc>
        <w:tc>
          <w:tcPr>
            <w:tcW w:w="3505" w:type="pct"/>
          </w:tcPr>
          <w:p w14:paraId="79230F21" w14:textId="77777777" w:rsidR="000447ED" w:rsidRPr="005E3B43" w:rsidRDefault="000447ED" w:rsidP="00763BCF">
            <w:pPr>
              <w:pStyle w:val="ENoteTableText"/>
            </w:pPr>
            <w:r w:rsidRPr="005E3B43">
              <w:t>rep F2018L00311</w:t>
            </w:r>
          </w:p>
        </w:tc>
      </w:tr>
      <w:tr w:rsidR="000447ED" w:rsidRPr="005E3B43" w14:paraId="5CEFF459" w14:textId="77777777" w:rsidTr="00034EA9">
        <w:trPr>
          <w:cantSplit/>
        </w:trPr>
        <w:tc>
          <w:tcPr>
            <w:tcW w:w="1495" w:type="pct"/>
          </w:tcPr>
          <w:p w14:paraId="474A7B23" w14:textId="77777777" w:rsidR="000447ED" w:rsidRPr="005E3B43" w:rsidRDefault="000447ED" w:rsidP="00763BCF">
            <w:pPr>
              <w:pStyle w:val="ENoteTableText"/>
              <w:tabs>
                <w:tab w:val="center" w:leader="dot" w:pos="2268"/>
              </w:tabs>
            </w:pPr>
            <w:r w:rsidRPr="005E3B43">
              <w:t>r 42Y</w:t>
            </w:r>
            <w:r w:rsidRPr="005E3B43">
              <w:tab/>
            </w:r>
          </w:p>
        </w:tc>
        <w:tc>
          <w:tcPr>
            <w:tcW w:w="3505" w:type="pct"/>
          </w:tcPr>
          <w:p w14:paraId="0F62D0C6" w14:textId="77777777" w:rsidR="000447ED" w:rsidRPr="005E3B43" w:rsidRDefault="000447ED" w:rsidP="00763BCF">
            <w:pPr>
              <w:pStyle w:val="ENoteTableText"/>
            </w:pPr>
            <w:r w:rsidRPr="005E3B43">
              <w:t>ad No 400, 1997</w:t>
            </w:r>
          </w:p>
        </w:tc>
      </w:tr>
      <w:tr w:rsidR="000447ED" w:rsidRPr="005E3B43" w14:paraId="264AD617" w14:textId="77777777" w:rsidTr="00034EA9">
        <w:trPr>
          <w:cantSplit/>
        </w:trPr>
        <w:tc>
          <w:tcPr>
            <w:tcW w:w="1495" w:type="pct"/>
          </w:tcPr>
          <w:p w14:paraId="7C7DF1EA" w14:textId="77777777" w:rsidR="000447ED" w:rsidRPr="005E3B43" w:rsidRDefault="000447ED" w:rsidP="00763BCF">
            <w:pPr>
              <w:pStyle w:val="ENoteTableText"/>
            </w:pPr>
          </w:p>
        </w:tc>
        <w:tc>
          <w:tcPr>
            <w:tcW w:w="3505" w:type="pct"/>
          </w:tcPr>
          <w:p w14:paraId="06B69A51" w14:textId="77777777" w:rsidR="000447ED" w:rsidRPr="005E3B43" w:rsidRDefault="000447ED" w:rsidP="00763BCF">
            <w:pPr>
              <w:pStyle w:val="ENoteTableText"/>
            </w:pPr>
            <w:r w:rsidRPr="005E3B43">
              <w:t>am No 369, 1998; No 48, 2000; No 234, 2002; No 315, 2002; No 111, 2003; No 102, 2011</w:t>
            </w:r>
          </w:p>
        </w:tc>
      </w:tr>
      <w:tr w:rsidR="000447ED" w:rsidRPr="005E3B43" w14:paraId="3173C3CD" w14:textId="77777777" w:rsidTr="00034EA9">
        <w:trPr>
          <w:cantSplit/>
        </w:trPr>
        <w:tc>
          <w:tcPr>
            <w:tcW w:w="1495" w:type="pct"/>
          </w:tcPr>
          <w:p w14:paraId="200400D5" w14:textId="77777777" w:rsidR="000447ED" w:rsidRPr="005E3B43" w:rsidRDefault="000447ED" w:rsidP="00763BCF">
            <w:pPr>
              <w:pStyle w:val="ENoteTableText"/>
            </w:pPr>
          </w:p>
        </w:tc>
        <w:tc>
          <w:tcPr>
            <w:tcW w:w="3505" w:type="pct"/>
          </w:tcPr>
          <w:p w14:paraId="54A0A200" w14:textId="77777777" w:rsidR="000447ED" w:rsidRPr="005E3B43" w:rsidRDefault="000447ED" w:rsidP="00763BCF">
            <w:pPr>
              <w:pStyle w:val="ENoteTableText"/>
            </w:pPr>
            <w:r w:rsidRPr="005E3B43">
              <w:t>rs No 301, 2003</w:t>
            </w:r>
          </w:p>
        </w:tc>
      </w:tr>
      <w:tr w:rsidR="000447ED" w:rsidRPr="005E3B43" w14:paraId="3EA371FD" w14:textId="77777777" w:rsidTr="00034EA9">
        <w:trPr>
          <w:cantSplit/>
        </w:trPr>
        <w:tc>
          <w:tcPr>
            <w:tcW w:w="1495" w:type="pct"/>
          </w:tcPr>
          <w:p w14:paraId="412B553B" w14:textId="77777777" w:rsidR="000447ED" w:rsidRPr="005E3B43" w:rsidRDefault="000447ED" w:rsidP="00763BCF">
            <w:pPr>
              <w:pStyle w:val="ENoteTableText"/>
            </w:pPr>
          </w:p>
        </w:tc>
        <w:tc>
          <w:tcPr>
            <w:tcW w:w="3505" w:type="pct"/>
          </w:tcPr>
          <w:p w14:paraId="36719665" w14:textId="77777777" w:rsidR="000447ED" w:rsidRPr="005E3B43" w:rsidRDefault="000447ED" w:rsidP="00763BCF">
            <w:pPr>
              <w:pStyle w:val="ENoteTableText"/>
            </w:pPr>
            <w:r w:rsidRPr="005E3B43">
              <w:t>rep F2018L00311</w:t>
            </w:r>
          </w:p>
        </w:tc>
      </w:tr>
      <w:tr w:rsidR="000447ED" w:rsidRPr="005E3B43" w14:paraId="2D352924" w14:textId="77777777" w:rsidTr="00034EA9">
        <w:trPr>
          <w:cantSplit/>
        </w:trPr>
        <w:tc>
          <w:tcPr>
            <w:tcW w:w="1495" w:type="pct"/>
          </w:tcPr>
          <w:p w14:paraId="1F58D3D3" w14:textId="77777777" w:rsidR="000447ED" w:rsidRPr="005E3B43" w:rsidRDefault="000447ED" w:rsidP="00763BCF">
            <w:pPr>
              <w:pStyle w:val="ENoteTableText"/>
              <w:tabs>
                <w:tab w:val="center" w:leader="dot" w:pos="2268"/>
              </w:tabs>
            </w:pPr>
            <w:r w:rsidRPr="005E3B43">
              <w:t>r 42Z</w:t>
            </w:r>
            <w:r w:rsidRPr="005E3B43">
              <w:tab/>
            </w:r>
          </w:p>
        </w:tc>
        <w:tc>
          <w:tcPr>
            <w:tcW w:w="3505" w:type="pct"/>
          </w:tcPr>
          <w:p w14:paraId="2DC3021F" w14:textId="77777777" w:rsidR="000447ED" w:rsidRPr="005E3B43" w:rsidRDefault="000447ED" w:rsidP="00763BCF">
            <w:pPr>
              <w:pStyle w:val="ENoteTableText"/>
            </w:pPr>
            <w:r w:rsidRPr="005E3B43">
              <w:t>ad No 400, 1997</w:t>
            </w:r>
          </w:p>
        </w:tc>
      </w:tr>
      <w:tr w:rsidR="000447ED" w:rsidRPr="005E3B43" w14:paraId="56C2EDEB" w14:textId="77777777" w:rsidTr="00034EA9">
        <w:trPr>
          <w:cantSplit/>
        </w:trPr>
        <w:tc>
          <w:tcPr>
            <w:tcW w:w="1495" w:type="pct"/>
          </w:tcPr>
          <w:p w14:paraId="6B7827A9" w14:textId="77777777" w:rsidR="000447ED" w:rsidRPr="005E3B43" w:rsidRDefault="000447ED" w:rsidP="00763BCF">
            <w:pPr>
              <w:pStyle w:val="ENoteTableText"/>
              <w:tabs>
                <w:tab w:val="center" w:leader="dot" w:pos="2268"/>
              </w:tabs>
            </w:pPr>
          </w:p>
        </w:tc>
        <w:tc>
          <w:tcPr>
            <w:tcW w:w="3505" w:type="pct"/>
          </w:tcPr>
          <w:p w14:paraId="7B967993" w14:textId="77777777" w:rsidR="000447ED" w:rsidRPr="005E3B43" w:rsidRDefault="000447ED" w:rsidP="00763BCF">
            <w:pPr>
              <w:pStyle w:val="ENoteTableText"/>
            </w:pPr>
            <w:r w:rsidRPr="005E3B43">
              <w:t>rep F2018L00311</w:t>
            </w:r>
          </w:p>
        </w:tc>
      </w:tr>
      <w:tr w:rsidR="000447ED" w:rsidRPr="005E3B43" w14:paraId="3CEF44C7" w14:textId="77777777" w:rsidTr="00034EA9">
        <w:trPr>
          <w:cantSplit/>
        </w:trPr>
        <w:tc>
          <w:tcPr>
            <w:tcW w:w="1495" w:type="pct"/>
          </w:tcPr>
          <w:p w14:paraId="0F2E3168" w14:textId="77777777" w:rsidR="000447ED" w:rsidRPr="005E3B43" w:rsidRDefault="000447ED" w:rsidP="00763BCF">
            <w:pPr>
              <w:pStyle w:val="ENoteTableText"/>
              <w:tabs>
                <w:tab w:val="center" w:leader="dot" w:pos="2268"/>
              </w:tabs>
            </w:pPr>
            <w:r w:rsidRPr="005E3B43">
              <w:t>r 42ZA</w:t>
            </w:r>
            <w:r w:rsidRPr="005E3B43">
              <w:tab/>
            </w:r>
          </w:p>
        </w:tc>
        <w:tc>
          <w:tcPr>
            <w:tcW w:w="3505" w:type="pct"/>
          </w:tcPr>
          <w:p w14:paraId="7A2A1EDF" w14:textId="77777777" w:rsidR="000447ED" w:rsidRPr="005E3B43" w:rsidRDefault="000447ED" w:rsidP="00763BCF">
            <w:pPr>
              <w:pStyle w:val="ENoteTableText"/>
            </w:pPr>
            <w:r w:rsidRPr="005E3B43">
              <w:t>ad No 400, 1997</w:t>
            </w:r>
          </w:p>
        </w:tc>
      </w:tr>
      <w:tr w:rsidR="000447ED" w:rsidRPr="005E3B43" w14:paraId="4D6C31E8" w14:textId="77777777" w:rsidTr="00034EA9">
        <w:trPr>
          <w:cantSplit/>
        </w:trPr>
        <w:tc>
          <w:tcPr>
            <w:tcW w:w="1495" w:type="pct"/>
          </w:tcPr>
          <w:p w14:paraId="422E5232" w14:textId="77777777" w:rsidR="000447ED" w:rsidRPr="005E3B43" w:rsidRDefault="000447ED" w:rsidP="00763BCF">
            <w:pPr>
              <w:pStyle w:val="ENoteTableText"/>
              <w:tabs>
                <w:tab w:val="center" w:leader="dot" w:pos="2268"/>
              </w:tabs>
            </w:pPr>
          </w:p>
        </w:tc>
        <w:tc>
          <w:tcPr>
            <w:tcW w:w="3505" w:type="pct"/>
          </w:tcPr>
          <w:p w14:paraId="06142215" w14:textId="77777777" w:rsidR="000447ED" w:rsidRPr="005E3B43" w:rsidRDefault="000447ED" w:rsidP="00763BCF">
            <w:pPr>
              <w:pStyle w:val="ENoteTableText"/>
            </w:pPr>
            <w:r w:rsidRPr="005E3B43">
              <w:t>rep F2018L00311</w:t>
            </w:r>
          </w:p>
        </w:tc>
      </w:tr>
      <w:tr w:rsidR="000447ED" w:rsidRPr="005E3B43" w14:paraId="0FB34FE3" w14:textId="77777777" w:rsidTr="00034EA9">
        <w:trPr>
          <w:cantSplit/>
        </w:trPr>
        <w:tc>
          <w:tcPr>
            <w:tcW w:w="1495" w:type="pct"/>
          </w:tcPr>
          <w:p w14:paraId="4AC3668D" w14:textId="77777777" w:rsidR="000447ED" w:rsidRPr="005E3B43" w:rsidRDefault="000447ED" w:rsidP="00763BCF">
            <w:pPr>
              <w:pStyle w:val="ENoteTableText"/>
              <w:tabs>
                <w:tab w:val="center" w:leader="dot" w:pos="2268"/>
              </w:tabs>
            </w:pPr>
            <w:r w:rsidRPr="005E3B43">
              <w:t>r 42ZB</w:t>
            </w:r>
            <w:r w:rsidRPr="005E3B43">
              <w:tab/>
            </w:r>
          </w:p>
        </w:tc>
        <w:tc>
          <w:tcPr>
            <w:tcW w:w="3505" w:type="pct"/>
          </w:tcPr>
          <w:p w14:paraId="4541FDD3" w14:textId="77777777" w:rsidR="000447ED" w:rsidRPr="005E3B43" w:rsidRDefault="000447ED" w:rsidP="00763BCF">
            <w:pPr>
              <w:pStyle w:val="ENoteTableText"/>
            </w:pPr>
            <w:r w:rsidRPr="005E3B43">
              <w:t>ad No 400, 1997</w:t>
            </w:r>
          </w:p>
        </w:tc>
      </w:tr>
      <w:tr w:rsidR="000447ED" w:rsidRPr="005E3B43" w14:paraId="04A4F391" w14:textId="77777777" w:rsidTr="00034EA9">
        <w:trPr>
          <w:cantSplit/>
        </w:trPr>
        <w:tc>
          <w:tcPr>
            <w:tcW w:w="1495" w:type="pct"/>
          </w:tcPr>
          <w:p w14:paraId="6D0C6ED6" w14:textId="77777777" w:rsidR="000447ED" w:rsidRPr="005E3B43" w:rsidRDefault="000447ED" w:rsidP="00763BCF">
            <w:pPr>
              <w:pStyle w:val="ENoteTableText"/>
            </w:pPr>
          </w:p>
        </w:tc>
        <w:tc>
          <w:tcPr>
            <w:tcW w:w="3505" w:type="pct"/>
          </w:tcPr>
          <w:p w14:paraId="1104EA80" w14:textId="77777777" w:rsidR="000447ED" w:rsidRPr="005E3B43" w:rsidRDefault="000447ED" w:rsidP="00763BCF">
            <w:pPr>
              <w:pStyle w:val="ENoteTableText"/>
            </w:pPr>
            <w:r w:rsidRPr="005E3B43">
              <w:t>am No 102, 2011</w:t>
            </w:r>
          </w:p>
        </w:tc>
      </w:tr>
      <w:tr w:rsidR="000447ED" w:rsidRPr="005E3B43" w14:paraId="0C9029A9" w14:textId="77777777" w:rsidTr="00034EA9">
        <w:trPr>
          <w:cantSplit/>
        </w:trPr>
        <w:tc>
          <w:tcPr>
            <w:tcW w:w="1495" w:type="pct"/>
          </w:tcPr>
          <w:p w14:paraId="4720A498" w14:textId="77777777" w:rsidR="000447ED" w:rsidRPr="005E3B43" w:rsidRDefault="000447ED" w:rsidP="00763BCF">
            <w:pPr>
              <w:pStyle w:val="ENoteTableText"/>
            </w:pPr>
          </w:p>
        </w:tc>
        <w:tc>
          <w:tcPr>
            <w:tcW w:w="3505" w:type="pct"/>
          </w:tcPr>
          <w:p w14:paraId="4A57276C" w14:textId="77777777" w:rsidR="000447ED" w:rsidRPr="005E3B43" w:rsidRDefault="000447ED" w:rsidP="00763BCF">
            <w:pPr>
              <w:pStyle w:val="ENoteTableText"/>
            </w:pPr>
            <w:r w:rsidRPr="005E3B43">
              <w:t>rep F2018L00311</w:t>
            </w:r>
          </w:p>
        </w:tc>
      </w:tr>
      <w:tr w:rsidR="000447ED" w:rsidRPr="005E3B43" w14:paraId="42E68BC9" w14:textId="77777777" w:rsidTr="00034EA9">
        <w:trPr>
          <w:cantSplit/>
        </w:trPr>
        <w:tc>
          <w:tcPr>
            <w:tcW w:w="1495" w:type="pct"/>
          </w:tcPr>
          <w:p w14:paraId="119B008E" w14:textId="77777777" w:rsidR="000447ED" w:rsidRPr="005E3B43" w:rsidRDefault="000447ED" w:rsidP="00763BCF">
            <w:pPr>
              <w:pStyle w:val="ENoteTableText"/>
              <w:tabs>
                <w:tab w:val="center" w:leader="dot" w:pos="2268"/>
              </w:tabs>
            </w:pPr>
            <w:r w:rsidRPr="005E3B43">
              <w:t>r 42ZC</w:t>
            </w:r>
            <w:r w:rsidRPr="005E3B43">
              <w:tab/>
            </w:r>
          </w:p>
        </w:tc>
        <w:tc>
          <w:tcPr>
            <w:tcW w:w="3505" w:type="pct"/>
          </w:tcPr>
          <w:p w14:paraId="0270F7FE" w14:textId="77777777" w:rsidR="000447ED" w:rsidRPr="005E3B43" w:rsidRDefault="000447ED" w:rsidP="00763BCF">
            <w:pPr>
              <w:pStyle w:val="ENoteTableText"/>
            </w:pPr>
            <w:r w:rsidRPr="005E3B43">
              <w:t>ad No 400, 1997</w:t>
            </w:r>
          </w:p>
        </w:tc>
      </w:tr>
      <w:tr w:rsidR="000447ED" w:rsidRPr="005E3B43" w14:paraId="7144B0ED" w14:textId="77777777" w:rsidTr="00034EA9">
        <w:trPr>
          <w:cantSplit/>
        </w:trPr>
        <w:tc>
          <w:tcPr>
            <w:tcW w:w="1495" w:type="pct"/>
          </w:tcPr>
          <w:p w14:paraId="218D86EC" w14:textId="77777777" w:rsidR="000447ED" w:rsidRPr="005E3B43" w:rsidRDefault="000447ED" w:rsidP="00763BCF">
            <w:pPr>
              <w:pStyle w:val="ENoteTableText"/>
            </w:pPr>
          </w:p>
        </w:tc>
        <w:tc>
          <w:tcPr>
            <w:tcW w:w="3505" w:type="pct"/>
          </w:tcPr>
          <w:p w14:paraId="4D7DE19A" w14:textId="77777777" w:rsidR="000447ED" w:rsidRPr="005E3B43" w:rsidRDefault="000447ED" w:rsidP="00763BCF">
            <w:pPr>
              <w:pStyle w:val="ENoteTableText"/>
            </w:pPr>
            <w:r w:rsidRPr="005E3B43">
              <w:t>rs No 48, 2000</w:t>
            </w:r>
          </w:p>
        </w:tc>
      </w:tr>
      <w:tr w:rsidR="000447ED" w:rsidRPr="005E3B43" w14:paraId="700E4A3A" w14:textId="77777777" w:rsidTr="00034EA9">
        <w:trPr>
          <w:cantSplit/>
        </w:trPr>
        <w:tc>
          <w:tcPr>
            <w:tcW w:w="1495" w:type="pct"/>
          </w:tcPr>
          <w:p w14:paraId="73446815" w14:textId="77777777" w:rsidR="000447ED" w:rsidRPr="005E3B43" w:rsidRDefault="000447ED" w:rsidP="00763BCF">
            <w:pPr>
              <w:pStyle w:val="ENoteTableText"/>
            </w:pPr>
          </w:p>
        </w:tc>
        <w:tc>
          <w:tcPr>
            <w:tcW w:w="3505" w:type="pct"/>
          </w:tcPr>
          <w:p w14:paraId="2259F4BA" w14:textId="77777777" w:rsidR="000447ED" w:rsidRPr="005E3B43" w:rsidRDefault="000447ED" w:rsidP="00763BCF">
            <w:pPr>
              <w:pStyle w:val="ENoteTableText"/>
            </w:pPr>
            <w:r w:rsidRPr="005E3B43">
              <w:t>rep F2018L00311</w:t>
            </w:r>
          </w:p>
        </w:tc>
      </w:tr>
      <w:tr w:rsidR="000447ED" w:rsidRPr="005E3B43" w14:paraId="5CAFA28F" w14:textId="77777777" w:rsidTr="00034EA9">
        <w:trPr>
          <w:cantSplit/>
        </w:trPr>
        <w:tc>
          <w:tcPr>
            <w:tcW w:w="1495" w:type="pct"/>
          </w:tcPr>
          <w:p w14:paraId="6F4277EC" w14:textId="77777777" w:rsidR="000447ED" w:rsidRPr="005E3B43" w:rsidRDefault="000447ED" w:rsidP="00763BCF">
            <w:pPr>
              <w:pStyle w:val="ENoteTableText"/>
              <w:tabs>
                <w:tab w:val="center" w:leader="dot" w:pos="2268"/>
              </w:tabs>
            </w:pPr>
            <w:r w:rsidRPr="005E3B43">
              <w:t>Subdivision</w:t>
            </w:r>
            <w:r w:rsidR="004E6D00" w:rsidRPr="005E3B43">
              <w:t> </w:t>
            </w:r>
            <w:r w:rsidRPr="005E3B43">
              <w:t>2</w:t>
            </w:r>
            <w:r w:rsidRPr="005E3B43">
              <w:tab/>
            </w:r>
          </w:p>
        </w:tc>
        <w:tc>
          <w:tcPr>
            <w:tcW w:w="3505" w:type="pct"/>
          </w:tcPr>
          <w:p w14:paraId="63FF8574" w14:textId="77777777" w:rsidR="000447ED" w:rsidRPr="005E3B43" w:rsidRDefault="000447ED" w:rsidP="00763BCF">
            <w:pPr>
              <w:pStyle w:val="ENoteTableText"/>
            </w:pPr>
            <w:r w:rsidRPr="005E3B43">
              <w:t>ad No 48, 2000</w:t>
            </w:r>
          </w:p>
        </w:tc>
      </w:tr>
      <w:tr w:rsidR="000447ED" w:rsidRPr="005E3B43" w14:paraId="787A4EE5" w14:textId="77777777" w:rsidTr="00034EA9">
        <w:trPr>
          <w:cantSplit/>
        </w:trPr>
        <w:tc>
          <w:tcPr>
            <w:tcW w:w="1495" w:type="pct"/>
          </w:tcPr>
          <w:p w14:paraId="58FC259C" w14:textId="77777777" w:rsidR="000447ED" w:rsidRPr="005E3B43" w:rsidRDefault="000447ED" w:rsidP="00763BCF">
            <w:pPr>
              <w:pStyle w:val="ENoteTableText"/>
              <w:tabs>
                <w:tab w:val="center" w:leader="dot" w:pos="2268"/>
              </w:tabs>
            </w:pPr>
          </w:p>
        </w:tc>
        <w:tc>
          <w:tcPr>
            <w:tcW w:w="3505" w:type="pct"/>
          </w:tcPr>
          <w:p w14:paraId="5C3BAD75" w14:textId="77777777" w:rsidR="000447ED" w:rsidRPr="005E3B43" w:rsidRDefault="000447ED" w:rsidP="00763BCF">
            <w:pPr>
              <w:pStyle w:val="ENoteTableText"/>
            </w:pPr>
            <w:r w:rsidRPr="005E3B43">
              <w:t>rep F2018L00311</w:t>
            </w:r>
          </w:p>
        </w:tc>
      </w:tr>
      <w:tr w:rsidR="000447ED" w:rsidRPr="005E3B43" w14:paraId="1545C91D" w14:textId="77777777" w:rsidTr="00034EA9">
        <w:trPr>
          <w:cantSplit/>
        </w:trPr>
        <w:tc>
          <w:tcPr>
            <w:tcW w:w="1495" w:type="pct"/>
          </w:tcPr>
          <w:p w14:paraId="0731AEE4" w14:textId="77777777" w:rsidR="000447ED" w:rsidRPr="005E3B43" w:rsidRDefault="000447ED" w:rsidP="00763BCF">
            <w:pPr>
              <w:pStyle w:val="ENoteTableText"/>
              <w:tabs>
                <w:tab w:val="center" w:leader="dot" w:pos="2268"/>
              </w:tabs>
            </w:pPr>
            <w:r w:rsidRPr="005E3B43">
              <w:t>r 42ZCAA</w:t>
            </w:r>
            <w:r w:rsidRPr="005E3B43">
              <w:tab/>
            </w:r>
          </w:p>
        </w:tc>
        <w:tc>
          <w:tcPr>
            <w:tcW w:w="3505" w:type="pct"/>
          </w:tcPr>
          <w:p w14:paraId="180F1282" w14:textId="77777777" w:rsidR="000447ED" w:rsidRPr="005E3B43" w:rsidRDefault="000447ED" w:rsidP="00763BCF">
            <w:pPr>
              <w:pStyle w:val="ENoteTableText"/>
            </w:pPr>
            <w:r w:rsidRPr="005E3B43">
              <w:t>ad No 48, 2000</w:t>
            </w:r>
          </w:p>
        </w:tc>
      </w:tr>
      <w:tr w:rsidR="000447ED" w:rsidRPr="005E3B43" w14:paraId="377B1386" w14:textId="77777777" w:rsidTr="00034EA9">
        <w:trPr>
          <w:cantSplit/>
        </w:trPr>
        <w:tc>
          <w:tcPr>
            <w:tcW w:w="1495" w:type="pct"/>
          </w:tcPr>
          <w:p w14:paraId="314126BE" w14:textId="77777777" w:rsidR="000447ED" w:rsidRPr="005E3B43" w:rsidRDefault="000447ED" w:rsidP="00763BCF">
            <w:pPr>
              <w:pStyle w:val="ENoteTableText"/>
            </w:pPr>
          </w:p>
        </w:tc>
        <w:tc>
          <w:tcPr>
            <w:tcW w:w="3505" w:type="pct"/>
          </w:tcPr>
          <w:p w14:paraId="2B780C42" w14:textId="77777777" w:rsidR="000447ED" w:rsidRPr="005E3B43" w:rsidRDefault="000447ED" w:rsidP="00763BCF">
            <w:pPr>
              <w:pStyle w:val="ENoteTableText"/>
            </w:pPr>
            <w:r w:rsidRPr="005E3B43">
              <w:t>am No 159, 2001; No 142, 2012</w:t>
            </w:r>
          </w:p>
        </w:tc>
      </w:tr>
      <w:tr w:rsidR="000447ED" w:rsidRPr="005E3B43" w14:paraId="15F8B3A7" w14:textId="77777777" w:rsidTr="00034EA9">
        <w:trPr>
          <w:cantSplit/>
        </w:trPr>
        <w:tc>
          <w:tcPr>
            <w:tcW w:w="1495" w:type="pct"/>
          </w:tcPr>
          <w:p w14:paraId="07A8C377" w14:textId="77777777" w:rsidR="000447ED" w:rsidRPr="005E3B43" w:rsidRDefault="000447ED" w:rsidP="00763BCF">
            <w:pPr>
              <w:pStyle w:val="ENoteTableText"/>
            </w:pPr>
          </w:p>
        </w:tc>
        <w:tc>
          <w:tcPr>
            <w:tcW w:w="3505" w:type="pct"/>
          </w:tcPr>
          <w:p w14:paraId="705F6027" w14:textId="77777777" w:rsidR="000447ED" w:rsidRPr="005E3B43" w:rsidRDefault="000447ED" w:rsidP="00763BCF">
            <w:pPr>
              <w:pStyle w:val="ENoteTableText"/>
            </w:pPr>
            <w:r w:rsidRPr="005E3B43">
              <w:t>rep F2018L00311</w:t>
            </w:r>
          </w:p>
        </w:tc>
      </w:tr>
      <w:tr w:rsidR="000447ED" w:rsidRPr="005E3B43" w14:paraId="2E9850AF" w14:textId="77777777" w:rsidTr="00034EA9">
        <w:trPr>
          <w:cantSplit/>
        </w:trPr>
        <w:tc>
          <w:tcPr>
            <w:tcW w:w="1495" w:type="pct"/>
          </w:tcPr>
          <w:p w14:paraId="0110CE56" w14:textId="77777777" w:rsidR="000447ED" w:rsidRPr="005E3B43" w:rsidRDefault="000447ED" w:rsidP="00763BCF">
            <w:pPr>
              <w:pStyle w:val="ENoteTableText"/>
              <w:tabs>
                <w:tab w:val="center" w:leader="dot" w:pos="2268"/>
              </w:tabs>
            </w:pPr>
            <w:r w:rsidRPr="005E3B43">
              <w:t>r 42ZCAB</w:t>
            </w:r>
            <w:r w:rsidRPr="005E3B43">
              <w:tab/>
            </w:r>
          </w:p>
        </w:tc>
        <w:tc>
          <w:tcPr>
            <w:tcW w:w="3505" w:type="pct"/>
          </w:tcPr>
          <w:p w14:paraId="7CC86359" w14:textId="77777777" w:rsidR="000447ED" w:rsidRPr="005E3B43" w:rsidRDefault="000447ED" w:rsidP="00763BCF">
            <w:pPr>
              <w:pStyle w:val="ENoteTableText"/>
            </w:pPr>
            <w:r w:rsidRPr="005E3B43">
              <w:t>ad No 48, 2000</w:t>
            </w:r>
          </w:p>
        </w:tc>
      </w:tr>
      <w:tr w:rsidR="000447ED" w:rsidRPr="005E3B43" w14:paraId="5ECC0CD8" w14:textId="77777777" w:rsidTr="00034EA9">
        <w:trPr>
          <w:cantSplit/>
        </w:trPr>
        <w:tc>
          <w:tcPr>
            <w:tcW w:w="1495" w:type="pct"/>
          </w:tcPr>
          <w:p w14:paraId="245C18A0" w14:textId="77777777" w:rsidR="000447ED" w:rsidRPr="005E3B43" w:rsidRDefault="000447ED" w:rsidP="00763BCF">
            <w:pPr>
              <w:pStyle w:val="ENoteTableText"/>
            </w:pPr>
          </w:p>
        </w:tc>
        <w:tc>
          <w:tcPr>
            <w:tcW w:w="3505" w:type="pct"/>
          </w:tcPr>
          <w:p w14:paraId="7C297DCD" w14:textId="77777777" w:rsidR="000447ED" w:rsidRPr="005E3B43" w:rsidRDefault="000447ED" w:rsidP="00763BCF">
            <w:pPr>
              <w:pStyle w:val="ENoteTableText"/>
            </w:pPr>
            <w:r w:rsidRPr="005E3B43">
              <w:t>am No 159, 2001; No 234, 2002; No 301, 2003; No 159, 2004</w:t>
            </w:r>
          </w:p>
        </w:tc>
      </w:tr>
      <w:tr w:rsidR="000447ED" w:rsidRPr="005E3B43" w14:paraId="61775D80" w14:textId="77777777" w:rsidTr="00034EA9">
        <w:trPr>
          <w:cantSplit/>
        </w:trPr>
        <w:tc>
          <w:tcPr>
            <w:tcW w:w="1495" w:type="pct"/>
          </w:tcPr>
          <w:p w14:paraId="55159F8C" w14:textId="77777777" w:rsidR="000447ED" w:rsidRPr="005E3B43" w:rsidRDefault="000447ED" w:rsidP="00763BCF">
            <w:pPr>
              <w:pStyle w:val="ENoteTableText"/>
            </w:pPr>
          </w:p>
        </w:tc>
        <w:tc>
          <w:tcPr>
            <w:tcW w:w="3505" w:type="pct"/>
          </w:tcPr>
          <w:p w14:paraId="399698F9" w14:textId="77777777" w:rsidR="000447ED" w:rsidRPr="005E3B43" w:rsidRDefault="000447ED" w:rsidP="00763BCF">
            <w:pPr>
              <w:pStyle w:val="ENoteTableText"/>
            </w:pPr>
            <w:r w:rsidRPr="005E3B43">
              <w:t>rep F2018L00311</w:t>
            </w:r>
          </w:p>
        </w:tc>
      </w:tr>
      <w:tr w:rsidR="000447ED" w:rsidRPr="005E3B43" w14:paraId="43DD7A1C" w14:textId="77777777" w:rsidTr="00034EA9">
        <w:trPr>
          <w:cantSplit/>
        </w:trPr>
        <w:tc>
          <w:tcPr>
            <w:tcW w:w="1495" w:type="pct"/>
          </w:tcPr>
          <w:p w14:paraId="3B4AD78F" w14:textId="77777777" w:rsidR="000447ED" w:rsidRPr="005E3B43" w:rsidRDefault="000447ED" w:rsidP="00763BCF">
            <w:pPr>
              <w:pStyle w:val="ENoteTableText"/>
              <w:tabs>
                <w:tab w:val="center" w:leader="dot" w:pos="2268"/>
              </w:tabs>
            </w:pPr>
            <w:r w:rsidRPr="005E3B43">
              <w:t>r 42ZCAC</w:t>
            </w:r>
            <w:r w:rsidRPr="005E3B43">
              <w:tab/>
            </w:r>
          </w:p>
        </w:tc>
        <w:tc>
          <w:tcPr>
            <w:tcW w:w="3505" w:type="pct"/>
          </w:tcPr>
          <w:p w14:paraId="413C5D8B" w14:textId="77777777" w:rsidR="000447ED" w:rsidRPr="005E3B43" w:rsidRDefault="000447ED" w:rsidP="00763BCF">
            <w:pPr>
              <w:pStyle w:val="ENoteTableText"/>
            </w:pPr>
            <w:r w:rsidRPr="005E3B43">
              <w:t>ad No 48, 2000</w:t>
            </w:r>
          </w:p>
        </w:tc>
      </w:tr>
      <w:tr w:rsidR="000447ED" w:rsidRPr="005E3B43" w14:paraId="0CA557C9" w14:textId="77777777" w:rsidTr="00034EA9">
        <w:trPr>
          <w:cantSplit/>
        </w:trPr>
        <w:tc>
          <w:tcPr>
            <w:tcW w:w="1495" w:type="pct"/>
          </w:tcPr>
          <w:p w14:paraId="22A24B22" w14:textId="77777777" w:rsidR="000447ED" w:rsidRPr="005E3B43" w:rsidRDefault="000447ED" w:rsidP="00763BCF">
            <w:pPr>
              <w:pStyle w:val="ENoteTableText"/>
              <w:tabs>
                <w:tab w:val="center" w:leader="dot" w:pos="2268"/>
              </w:tabs>
            </w:pPr>
          </w:p>
        </w:tc>
        <w:tc>
          <w:tcPr>
            <w:tcW w:w="3505" w:type="pct"/>
          </w:tcPr>
          <w:p w14:paraId="47290B5A" w14:textId="77777777" w:rsidR="000447ED" w:rsidRPr="005E3B43" w:rsidRDefault="000447ED" w:rsidP="00763BCF">
            <w:pPr>
              <w:pStyle w:val="ENoteTableText"/>
            </w:pPr>
            <w:r w:rsidRPr="005E3B43">
              <w:t>rep F2018L00311</w:t>
            </w:r>
          </w:p>
        </w:tc>
      </w:tr>
      <w:tr w:rsidR="000447ED" w:rsidRPr="005E3B43" w14:paraId="0F17555D" w14:textId="77777777" w:rsidTr="00034EA9">
        <w:trPr>
          <w:cantSplit/>
        </w:trPr>
        <w:tc>
          <w:tcPr>
            <w:tcW w:w="1495" w:type="pct"/>
          </w:tcPr>
          <w:p w14:paraId="3E257690" w14:textId="77777777" w:rsidR="000447ED" w:rsidRPr="005E3B43" w:rsidRDefault="000447ED" w:rsidP="00763BCF">
            <w:pPr>
              <w:pStyle w:val="ENoteTableText"/>
              <w:tabs>
                <w:tab w:val="center" w:leader="dot" w:pos="2268"/>
              </w:tabs>
            </w:pPr>
            <w:r w:rsidRPr="005E3B43">
              <w:t>r 42ZCAD</w:t>
            </w:r>
            <w:r w:rsidRPr="005E3B43">
              <w:tab/>
            </w:r>
          </w:p>
        </w:tc>
        <w:tc>
          <w:tcPr>
            <w:tcW w:w="3505" w:type="pct"/>
          </w:tcPr>
          <w:p w14:paraId="3E424329" w14:textId="77777777" w:rsidR="000447ED" w:rsidRPr="005E3B43" w:rsidRDefault="000447ED" w:rsidP="00763BCF">
            <w:pPr>
              <w:pStyle w:val="ENoteTableText"/>
            </w:pPr>
            <w:r w:rsidRPr="005E3B43">
              <w:t>ad No 48, 2000</w:t>
            </w:r>
          </w:p>
        </w:tc>
      </w:tr>
      <w:tr w:rsidR="000447ED" w:rsidRPr="005E3B43" w14:paraId="46133742" w14:textId="77777777" w:rsidTr="00034EA9">
        <w:trPr>
          <w:cantSplit/>
        </w:trPr>
        <w:tc>
          <w:tcPr>
            <w:tcW w:w="1495" w:type="pct"/>
          </w:tcPr>
          <w:p w14:paraId="0D327F9E" w14:textId="77777777" w:rsidR="000447ED" w:rsidRPr="005E3B43" w:rsidRDefault="000447ED" w:rsidP="00763BCF">
            <w:pPr>
              <w:pStyle w:val="ENoteTableText"/>
            </w:pPr>
          </w:p>
        </w:tc>
        <w:tc>
          <w:tcPr>
            <w:tcW w:w="3505" w:type="pct"/>
          </w:tcPr>
          <w:p w14:paraId="65569807" w14:textId="77777777" w:rsidR="000447ED" w:rsidRPr="005E3B43" w:rsidRDefault="000447ED" w:rsidP="00763BCF">
            <w:pPr>
              <w:pStyle w:val="ENoteTableText"/>
            </w:pPr>
            <w:r w:rsidRPr="005E3B43">
              <w:t>am No 315, 2002; No 111, 2003</w:t>
            </w:r>
          </w:p>
        </w:tc>
      </w:tr>
      <w:tr w:rsidR="000447ED" w:rsidRPr="005E3B43" w14:paraId="0E0766D6" w14:textId="77777777" w:rsidTr="00034EA9">
        <w:trPr>
          <w:cantSplit/>
        </w:trPr>
        <w:tc>
          <w:tcPr>
            <w:tcW w:w="1495" w:type="pct"/>
          </w:tcPr>
          <w:p w14:paraId="6A3BBC56" w14:textId="77777777" w:rsidR="000447ED" w:rsidRPr="005E3B43" w:rsidRDefault="000447ED" w:rsidP="00763BCF">
            <w:pPr>
              <w:pStyle w:val="ENoteTableText"/>
            </w:pPr>
          </w:p>
        </w:tc>
        <w:tc>
          <w:tcPr>
            <w:tcW w:w="3505" w:type="pct"/>
          </w:tcPr>
          <w:p w14:paraId="10B51586" w14:textId="77777777" w:rsidR="000447ED" w:rsidRPr="005E3B43" w:rsidRDefault="000447ED" w:rsidP="00763BCF">
            <w:pPr>
              <w:pStyle w:val="ENoteTableText"/>
            </w:pPr>
            <w:r w:rsidRPr="005E3B43">
              <w:t>rep F2018L00311</w:t>
            </w:r>
          </w:p>
        </w:tc>
      </w:tr>
      <w:tr w:rsidR="000447ED" w:rsidRPr="005E3B43" w14:paraId="0C33D319" w14:textId="77777777" w:rsidTr="00034EA9">
        <w:trPr>
          <w:cantSplit/>
        </w:trPr>
        <w:tc>
          <w:tcPr>
            <w:tcW w:w="1495" w:type="pct"/>
          </w:tcPr>
          <w:p w14:paraId="4D00D936" w14:textId="77777777" w:rsidR="000447ED" w:rsidRPr="005E3B43" w:rsidRDefault="000447ED" w:rsidP="00763BCF">
            <w:pPr>
              <w:pStyle w:val="ENoteTableText"/>
              <w:tabs>
                <w:tab w:val="center" w:leader="dot" w:pos="2268"/>
              </w:tabs>
            </w:pPr>
            <w:r w:rsidRPr="005E3B43">
              <w:t>r 42ZCAE</w:t>
            </w:r>
            <w:r w:rsidRPr="005E3B43">
              <w:tab/>
            </w:r>
          </w:p>
        </w:tc>
        <w:tc>
          <w:tcPr>
            <w:tcW w:w="3505" w:type="pct"/>
          </w:tcPr>
          <w:p w14:paraId="3499D2AC" w14:textId="77777777" w:rsidR="000447ED" w:rsidRPr="005E3B43" w:rsidRDefault="000447ED" w:rsidP="00763BCF">
            <w:pPr>
              <w:pStyle w:val="ENoteTableText"/>
            </w:pPr>
            <w:r w:rsidRPr="005E3B43">
              <w:t>ad No 48, 2000</w:t>
            </w:r>
          </w:p>
        </w:tc>
      </w:tr>
      <w:tr w:rsidR="000447ED" w:rsidRPr="005E3B43" w14:paraId="2A41885E" w14:textId="77777777" w:rsidTr="00034EA9">
        <w:trPr>
          <w:cantSplit/>
        </w:trPr>
        <w:tc>
          <w:tcPr>
            <w:tcW w:w="1495" w:type="pct"/>
          </w:tcPr>
          <w:p w14:paraId="3B362BEA" w14:textId="77777777" w:rsidR="000447ED" w:rsidRPr="005E3B43" w:rsidRDefault="000447ED" w:rsidP="00763BCF">
            <w:pPr>
              <w:pStyle w:val="ENoteTableText"/>
              <w:tabs>
                <w:tab w:val="center" w:leader="dot" w:pos="2268"/>
              </w:tabs>
            </w:pPr>
          </w:p>
        </w:tc>
        <w:tc>
          <w:tcPr>
            <w:tcW w:w="3505" w:type="pct"/>
          </w:tcPr>
          <w:p w14:paraId="283F94F0" w14:textId="77777777" w:rsidR="000447ED" w:rsidRPr="005E3B43" w:rsidRDefault="000447ED" w:rsidP="00763BCF">
            <w:pPr>
              <w:pStyle w:val="ENoteTableText"/>
            </w:pPr>
            <w:r w:rsidRPr="005E3B43">
              <w:t>rep F2018L00311</w:t>
            </w:r>
          </w:p>
        </w:tc>
      </w:tr>
      <w:tr w:rsidR="000447ED" w:rsidRPr="005E3B43" w14:paraId="6146AA78" w14:textId="77777777" w:rsidTr="00034EA9">
        <w:trPr>
          <w:cantSplit/>
        </w:trPr>
        <w:tc>
          <w:tcPr>
            <w:tcW w:w="1495" w:type="pct"/>
          </w:tcPr>
          <w:p w14:paraId="2F193512" w14:textId="77777777" w:rsidR="000447ED" w:rsidRPr="005E3B43" w:rsidRDefault="000447ED" w:rsidP="00763BCF">
            <w:pPr>
              <w:pStyle w:val="ENoteTableText"/>
              <w:tabs>
                <w:tab w:val="center" w:leader="dot" w:pos="2268"/>
              </w:tabs>
            </w:pPr>
            <w:r w:rsidRPr="005E3B43">
              <w:t>r 42ZCAF</w:t>
            </w:r>
            <w:r w:rsidRPr="005E3B43">
              <w:tab/>
            </w:r>
          </w:p>
        </w:tc>
        <w:tc>
          <w:tcPr>
            <w:tcW w:w="3505" w:type="pct"/>
          </w:tcPr>
          <w:p w14:paraId="7515D2D8" w14:textId="77777777" w:rsidR="000447ED" w:rsidRPr="005E3B43" w:rsidRDefault="000447ED" w:rsidP="00763BCF">
            <w:pPr>
              <w:pStyle w:val="ENoteTableText"/>
            </w:pPr>
            <w:r w:rsidRPr="005E3B43">
              <w:t>ad No 48, 2000</w:t>
            </w:r>
          </w:p>
        </w:tc>
      </w:tr>
      <w:tr w:rsidR="000447ED" w:rsidRPr="005E3B43" w14:paraId="4386D5DE" w14:textId="77777777" w:rsidTr="00034EA9">
        <w:trPr>
          <w:cantSplit/>
        </w:trPr>
        <w:tc>
          <w:tcPr>
            <w:tcW w:w="1495" w:type="pct"/>
          </w:tcPr>
          <w:p w14:paraId="6F069D20" w14:textId="77777777" w:rsidR="000447ED" w:rsidRPr="005E3B43" w:rsidRDefault="000447ED" w:rsidP="00763BCF">
            <w:pPr>
              <w:pStyle w:val="ENoteTableText"/>
              <w:tabs>
                <w:tab w:val="center" w:leader="dot" w:pos="2268"/>
              </w:tabs>
            </w:pPr>
          </w:p>
        </w:tc>
        <w:tc>
          <w:tcPr>
            <w:tcW w:w="3505" w:type="pct"/>
          </w:tcPr>
          <w:p w14:paraId="6BC6C52A" w14:textId="77777777" w:rsidR="000447ED" w:rsidRPr="005E3B43" w:rsidRDefault="000447ED" w:rsidP="00763BCF">
            <w:pPr>
              <w:pStyle w:val="ENoteTableText"/>
            </w:pPr>
            <w:r w:rsidRPr="005E3B43">
              <w:t>rep F2018L00311</w:t>
            </w:r>
          </w:p>
        </w:tc>
      </w:tr>
      <w:tr w:rsidR="000447ED" w:rsidRPr="005E3B43" w14:paraId="0D5891F5" w14:textId="77777777" w:rsidTr="00034EA9">
        <w:trPr>
          <w:cantSplit/>
        </w:trPr>
        <w:tc>
          <w:tcPr>
            <w:tcW w:w="1495" w:type="pct"/>
          </w:tcPr>
          <w:p w14:paraId="26C777FF" w14:textId="77777777" w:rsidR="000447ED" w:rsidRPr="005E3B43" w:rsidRDefault="000447ED" w:rsidP="00763BCF">
            <w:pPr>
              <w:pStyle w:val="ENoteTableText"/>
              <w:tabs>
                <w:tab w:val="center" w:leader="dot" w:pos="2268"/>
              </w:tabs>
            </w:pPr>
            <w:r w:rsidRPr="005E3B43">
              <w:t>r 42ZCAG</w:t>
            </w:r>
            <w:r w:rsidRPr="005E3B43">
              <w:tab/>
            </w:r>
          </w:p>
        </w:tc>
        <w:tc>
          <w:tcPr>
            <w:tcW w:w="3505" w:type="pct"/>
          </w:tcPr>
          <w:p w14:paraId="4D533D04" w14:textId="77777777" w:rsidR="000447ED" w:rsidRPr="005E3B43" w:rsidRDefault="000447ED" w:rsidP="00763BCF">
            <w:pPr>
              <w:pStyle w:val="ENoteTableText"/>
            </w:pPr>
            <w:r w:rsidRPr="005E3B43">
              <w:t>ad No 48, 2000</w:t>
            </w:r>
          </w:p>
        </w:tc>
      </w:tr>
      <w:tr w:rsidR="000447ED" w:rsidRPr="005E3B43" w14:paraId="61B0A515" w14:textId="77777777" w:rsidTr="00034EA9">
        <w:trPr>
          <w:cantSplit/>
        </w:trPr>
        <w:tc>
          <w:tcPr>
            <w:tcW w:w="1495" w:type="pct"/>
          </w:tcPr>
          <w:p w14:paraId="19E40CC4" w14:textId="77777777" w:rsidR="000447ED" w:rsidRPr="005E3B43" w:rsidRDefault="000447ED" w:rsidP="00763BCF">
            <w:pPr>
              <w:pStyle w:val="ENoteTableText"/>
              <w:tabs>
                <w:tab w:val="center" w:leader="dot" w:pos="2268"/>
              </w:tabs>
            </w:pPr>
          </w:p>
        </w:tc>
        <w:tc>
          <w:tcPr>
            <w:tcW w:w="3505" w:type="pct"/>
          </w:tcPr>
          <w:p w14:paraId="5CCA8DD9" w14:textId="77777777" w:rsidR="000447ED" w:rsidRPr="005E3B43" w:rsidRDefault="000447ED" w:rsidP="00763BCF">
            <w:pPr>
              <w:pStyle w:val="ENoteTableText"/>
            </w:pPr>
            <w:r w:rsidRPr="005E3B43">
              <w:t>rep F2018L00311</w:t>
            </w:r>
          </w:p>
        </w:tc>
      </w:tr>
      <w:tr w:rsidR="000447ED" w:rsidRPr="005E3B43" w14:paraId="163EA642" w14:textId="77777777" w:rsidTr="00034EA9">
        <w:trPr>
          <w:cantSplit/>
        </w:trPr>
        <w:tc>
          <w:tcPr>
            <w:tcW w:w="1495" w:type="pct"/>
          </w:tcPr>
          <w:p w14:paraId="50B9FC02" w14:textId="77777777" w:rsidR="000447ED" w:rsidRPr="005E3B43" w:rsidRDefault="000447ED" w:rsidP="00763BCF">
            <w:pPr>
              <w:pStyle w:val="ENoteTableText"/>
              <w:tabs>
                <w:tab w:val="center" w:leader="dot" w:pos="2268"/>
              </w:tabs>
            </w:pPr>
            <w:r w:rsidRPr="005E3B43">
              <w:t>r 42ZCAGA</w:t>
            </w:r>
            <w:r w:rsidRPr="005E3B43">
              <w:tab/>
            </w:r>
          </w:p>
        </w:tc>
        <w:tc>
          <w:tcPr>
            <w:tcW w:w="3505" w:type="pct"/>
          </w:tcPr>
          <w:p w14:paraId="0A05A95A" w14:textId="77777777" w:rsidR="000447ED" w:rsidRPr="005E3B43" w:rsidRDefault="000447ED" w:rsidP="00763BCF">
            <w:pPr>
              <w:pStyle w:val="ENoteTableText"/>
            </w:pPr>
            <w:r w:rsidRPr="005E3B43">
              <w:t>ad No 122, 2006</w:t>
            </w:r>
          </w:p>
        </w:tc>
      </w:tr>
      <w:tr w:rsidR="000447ED" w:rsidRPr="005E3B43" w14:paraId="1D2BF3C5" w14:textId="77777777" w:rsidTr="00034EA9">
        <w:trPr>
          <w:cantSplit/>
        </w:trPr>
        <w:tc>
          <w:tcPr>
            <w:tcW w:w="1495" w:type="pct"/>
          </w:tcPr>
          <w:p w14:paraId="7C7CED2B" w14:textId="77777777" w:rsidR="000447ED" w:rsidRPr="005E3B43" w:rsidRDefault="000447ED" w:rsidP="00763BCF">
            <w:pPr>
              <w:pStyle w:val="ENoteTableText"/>
              <w:tabs>
                <w:tab w:val="center" w:leader="dot" w:pos="2268"/>
              </w:tabs>
            </w:pPr>
          </w:p>
        </w:tc>
        <w:tc>
          <w:tcPr>
            <w:tcW w:w="3505" w:type="pct"/>
          </w:tcPr>
          <w:p w14:paraId="5FA3777E" w14:textId="77777777" w:rsidR="000447ED" w:rsidRPr="005E3B43" w:rsidRDefault="000447ED" w:rsidP="00763BCF">
            <w:pPr>
              <w:pStyle w:val="ENoteTableText"/>
            </w:pPr>
            <w:r w:rsidRPr="005E3B43">
              <w:t>rep F2018L00311</w:t>
            </w:r>
          </w:p>
        </w:tc>
      </w:tr>
      <w:tr w:rsidR="000447ED" w:rsidRPr="005E3B43" w14:paraId="62C6CCF6" w14:textId="77777777" w:rsidTr="00034EA9">
        <w:trPr>
          <w:cantSplit/>
        </w:trPr>
        <w:tc>
          <w:tcPr>
            <w:tcW w:w="1495" w:type="pct"/>
          </w:tcPr>
          <w:p w14:paraId="3A337B9F" w14:textId="77777777" w:rsidR="000447ED" w:rsidRPr="005E3B43" w:rsidRDefault="000447ED" w:rsidP="00763BCF">
            <w:pPr>
              <w:pStyle w:val="ENoteTableText"/>
              <w:tabs>
                <w:tab w:val="center" w:leader="dot" w:pos="2268"/>
              </w:tabs>
            </w:pPr>
            <w:r w:rsidRPr="005E3B43">
              <w:t>r 42ZCAH</w:t>
            </w:r>
            <w:r w:rsidRPr="005E3B43">
              <w:tab/>
            </w:r>
          </w:p>
        </w:tc>
        <w:tc>
          <w:tcPr>
            <w:tcW w:w="3505" w:type="pct"/>
          </w:tcPr>
          <w:p w14:paraId="641A5F4C" w14:textId="77777777" w:rsidR="000447ED" w:rsidRPr="005E3B43" w:rsidRDefault="000447ED" w:rsidP="00763BCF">
            <w:pPr>
              <w:pStyle w:val="ENoteTableText"/>
            </w:pPr>
            <w:r w:rsidRPr="005E3B43">
              <w:t>ad No 48, 2000</w:t>
            </w:r>
          </w:p>
        </w:tc>
      </w:tr>
      <w:tr w:rsidR="000447ED" w:rsidRPr="005E3B43" w14:paraId="33FA27B6" w14:textId="77777777" w:rsidTr="00034EA9">
        <w:trPr>
          <w:cantSplit/>
        </w:trPr>
        <w:tc>
          <w:tcPr>
            <w:tcW w:w="1495" w:type="pct"/>
          </w:tcPr>
          <w:p w14:paraId="7FB1D7D9" w14:textId="77777777" w:rsidR="000447ED" w:rsidRPr="005E3B43" w:rsidRDefault="000447ED" w:rsidP="00763BCF">
            <w:pPr>
              <w:pStyle w:val="ENoteTableText"/>
              <w:tabs>
                <w:tab w:val="center" w:leader="dot" w:pos="2268"/>
              </w:tabs>
            </w:pPr>
          </w:p>
        </w:tc>
        <w:tc>
          <w:tcPr>
            <w:tcW w:w="3505" w:type="pct"/>
          </w:tcPr>
          <w:p w14:paraId="64B2A1E8" w14:textId="77777777" w:rsidR="000447ED" w:rsidRPr="005E3B43" w:rsidRDefault="000447ED" w:rsidP="00763BCF">
            <w:pPr>
              <w:pStyle w:val="ENoteTableText"/>
            </w:pPr>
            <w:r w:rsidRPr="005E3B43">
              <w:t>rep F2018L00311</w:t>
            </w:r>
          </w:p>
        </w:tc>
      </w:tr>
      <w:tr w:rsidR="000447ED" w:rsidRPr="005E3B43" w14:paraId="37E19D45" w14:textId="77777777" w:rsidTr="00034EA9">
        <w:trPr>
          <w:cantSplit/>
        </w:trPr>
        <w:tc>
          <w:tcPr>
            <w:tcW w:w="1495" w:type="pct"/>
          </w:tcPr>
          <w:p w14:paraId="1ED23036" w14:textId="77777777" w:rsidR="000447ED" w:rsidRPr="005E3B43" w:rsidRDefault="000447ED" w:rsidP="00763BCF">
            <w:pPr>
              <w:pStyle w:val="ENoteTableText"/>
              <w:tabs>
                <w:tab w:val="center" w:leader="dot" w:pos="2268"/>
              </w:tabs>
            </w:pPr>
            <w:r w:rsidRPr="005E3B43">
              <w:t>r 42ZCAI</w:t>
            </w:r>
            <w:r w:rsidRPr="005E3B43">
              <w:tab/>
            </w:r>
          </w:p>
        </w:tc>
        <w:tc>
          <w:tcPr>
            <w:tcW w:w="3505" w:type="pct"/>
          </w:tcPr>
          <w:p w14:paraId="009038D9" w14:textId="77777777" w:rsidR="000447ED" w:rsidRPr="005E3B43" w:rsidRDefault="000447ED" w:rsidP="00763BCF">
            <w:pPr>
              <w:pStyle w:val="ENoteTableText"/>
            </w:pPr>
            <w:r w:rsidRPr="005E3B43">
              <w:t>ad No 48, 2000</w:t>
            </w:r>
          </w:p>
        </w:tc>
      </w:tr>
      <w:tr w:rsidR="000447ED" w:rsidRPr="005E3B43" w14:paraId="07B9C470" w14:textId="77777777" w:rsidTr="00034EA9">
        <w:trPr>
          <w:cantSplit/>
        </w:trPr>
        <w:tc>
          <w:tcPr>
            <w:tcW w:w="1495" w:type="pct"/>
          </w:tcPr>
          <w:p w14:paraId="655B41FF" w14:textId="77777777" w:rsidR="000447ED" w:rsidRPr="005E3B43" w:rsidRDefault="000447ED" w:rsidP="00763BCF">
            <w:pPr>
              <w:pStyle w:val="ENoteTableText"/>
            </w:pPr>
          </w:p>
        </w:tc>
        <w:tc>
          <w:tcPr>
            <w:tcW w:w="3505" w:type="pct"/>
          </w:tcPr>
          <w:p w14:paraId="78FFC872" w14:textId="77777777" w:rsidR="000447ED" w:rsidRPr="005E3B43" w:rsidRDefault="000447ED" w:rsidP="00763BCF">
            <w:pPr>
              <w:pStyle w:val="ENoteTableText"/>
            </w:pPr>
            <w:r w:rsidRPr="005E3B43">
              <w:t>am No 234, 2002; No 315, 2002; No 301, 2003; No 122, 2006; No 102, 2011</w:t>
            </w:r>
          </w:p>
        </w:tc>
      </w:tr>
      <w:tr w:rsidR="000447ED" w:rsidRPr="005E3B43" w14:paraId="52D8B611" w14:textId="77777777" w:rsidTr="00034EA9">
        <w:trPr>
          <w:cantSplit/>
        </w:trPr>
        <w:tc>
          <w:tcPr>
            <w:tcW w:w="1495" w:type="pct"/>
          </w:tcPr>
          <w:p w14:paraId="7CB1BC73" w14:textId="77777777" w:rsidR="000447ED" w:rsidRPr="005E3B43" w:rsidRDefault="000447ED" w:rsidP="00763BCF">
            <w:pPr>
              <w:pStyle w:val="ENoteTableText"/>
            </w:pPr>
          </w:p>
        </w:tc>
        <w:tc>
          <w:tcPr>
            <w:tcW w:w="3505" w:type="pct"/>
          </w:tcPr>
          <w:p w14:paraId="499777B8" w14:textId="77777777" w:rsidR="000447ED" w:rsidRPr="005E3B43" w:rsidRDefault="000447ED" w:rsidP="00763BCF">
            <w:pPr>
              <w:pStyle w:val="ENoteTableText"/>
            </w:pPr>
            <w:r w:rsidRPr="005E3B43">
              <w:t>rep F2018L00311</w:t>
            </w:r>
          </w:p>
        </w:tc>
      </w:tr>
      <w:tr w:rsidR="000447ED" w:rsidRPr="005E3B43" w14:paraId="19E260F4" w14:textId="77777777" w:rsidTr="00034EA9">
        <w:trPr>
          <w:cantSplit/>
        </w:trPr>
        <w:tc>
          <w:tcPr>
            <w:tcW w:w="1495" w:type="pct"/>
          </w:tcPr>
          <w:p w14:paraId="5ECD9D6A" w14:textId="77777777" w:rsidR="000447ED" w:rsidRPr="005E3B43" w:rsidRDefault="000447ED" w:rsidP="00763BCF">
            <w:pPr>
              <w:pStyle w:val="ENoteTableText"/>
              <w:tabs>
                <w:tab w:val="center" w:leader="dot" w:pos="2268"/>
              </w:tabs>
            </w:pPr>
            <w:r w:rsidRPr="005E3B43">
              <w:t>r 42ZCAJ</w:t>
            </w:r>
            <w:r w:rsidRPr="005E3B43">
              <w:tab/>
            </w:r>
          </w:p>
        </w:tc>
        <w:tc>
          <w:tcPr>
            <w:tcW w:w="3505" w:type="pct"/>
          </w:tcPr>
          <w:p w14:paraId="111CD349" w14:textId="77777777" w:rsidR="000447ED" w:rsidRPr="005E3B43" w:rsidRDefault="000447ED" w:rsidP="00763BCF">
            <w:pPr>
              <w:pStyle w:val="ENoteTableText"/>
            </w:pPr>
            <w:r w:rsidRPr="005E3B43">
              <w:t>ad No 48, 2000</w:t>
            </w:r>
          </w:p>
        </w:tc>
      </w:tr>
      <w:tr w:rsidR="000447ED" w:rsidRPr="005E3B43" w14:paraId="2CB4B5FE" w14:textId="77777777" w:rsidTr="00034EA9">
        <w:trPr>
          <w:cantSplit/>
        </w:trPr>
        <w:tc>
          <w:tcPr>
            <w:tcW w:w="1495" w:type="pct"/>
          </w:tcPr>
          <w:p w14:paraId="1CAE246B" w14:textId="77777777" w:rsidR="000447ED" w:rsidRPr="005E3B43" w:rsidRDefault="000447ED" w:rsidP="00763BCF">
            <w:pPr>
              <w:pStyle w:val="ENoteTableText"/>
            </w:pPr>
          </w:p>
        </w:tc>
        <w:tc>
          <w:tcPr>
            <w:tcW w:w="3505" w:type="pct"/>
          </w:tcPr>
          <w:p w14:paraId="5FB7E40D" w14:textId="77777777" w:rsidR="000447ED" w:rsidRPr="005E3B43" w:rsidRDefault="000447ED" w:rsidP="00763BCF">
            <w:pPr>
              <w:pStyle w:val="ENoteTableText"/>
            </w:pPr>
            <w:r w:rsidRPr="005E3B43">
              <w:t>am No 142, 2012</w:t>
            </w:r>
          </w:p>
        </w:tc>
      </w:tr>
      <w:tr w:rsidR="000447ED" w:rsidRPr="005E3B43" w14:paraId="19167868" w14:textId="77777777" w:rsidTr="00034EA9">
        <w:trPr>
          <w:cantSplit/>
        </w:trPr>
        <w:tc>
          <w:tcPr>
            <w:tcW w:w="1495" w:type="pct"/>
          </w:tcPr>
          <w:p w14:paraId="2BB6A100" w14:textId="77777777" w:rsidR="000447ED" w:rsidRPr="005E3B43" w:rsidRDefault="000447ED" w:rsidP="00763BCF">
            <w:pPr>
              <w:pStyle w:val="ENoteTableText"/>
            </w:pPr>
          </w:p>
        </w:tc>
        <w:tc>
          <w:tcPr>
            <w:tcW w:w="3505" w:type="pct"/>
          </w:tcPr>
          <w:p w14:paraId="184B3AAB" w14:textId="77777777" w:rsidR="000447ED" w:rsidRPr="005E3B43" w:rsidRDefault="000447ED" w:rsidP="00763BCF">
            <w:pPr>
              <w:pStyle w:val="ENoteTableText"/>
            </w:pPr>
            <w:r w:rsidRPr="005E3B43">
              <w:t>rep F2018L00311</w:t>
            </w:r>
          </w:p>
        </w:tc>
      </w:tr>
      <w:tr w:rsidR="000447ED" w:rsidRPr="005E3B43" w14:paraId="77EA627B" w14:textId="77777777" w:rsidTr="00034EA9">
        <w:trPr>
          <w:cantSplit/>
        </w:trPr>
        <w:tc>
          <w:tcPr>
            <w:tcW w:w="1495" w:type="pct"/>
          </w:tcPr>
          <w:p w14:paraId="0E15EFCC" w14:textId="77777777" w:rsidR="000447ED" w:rsidRPr="005E3B43" w:rsidRDefault="000447ED" w:rsidP="00763BCF">
            <w:pPr>
              <w:pStyle w:val="ENoteTableText"/>
              <w:tabs>
                <w:tab w:val="center" w:leader="dot" w:pos="2268"/>
              </w:tabs>
            </w:pPr>
            <w:r w:rsidRPr="005E3B43">
              <w:t>r 42ZCAK</w:t>
            </w:r>
            <w:r w:rsidRPr="005E3B43">
              <w:tab/>
            </w:r>
          </w:p>
        </w:tc>
        <w:tc>
          <w:tcPr>
            <w:tcW w:w="3505" w:type="pct"/>
          </w:tcPr>
          <w:p w14:paraId="7A9D198E" w14:textId="77777777" w:rsidR="000447ED" w:rsidRPr="005E3B43" w:rsidRDefault="000447ED" w:rsidP="00763BCF">
            <w:pPr>
              <w:pStyle w:val="ENoteTableText"/>
            </w:pPr>
            <w:r w:rsidRPr="005E3B43">
              <w:t>ad No 48, 2000</w:t>
            </w:r>
          </w:p>
        </w:tc>
      </w:tr>
      <w:tr w:rsidR="000447ED" w:rsidRPr="005E3B43" w14:paraId="21ADF4CB" w14:textId="77777777" w:rsidTr="00034EA9">
        <w:trPr>
          <w:cantSplit/>
        </w:trPr>
        <w:tc>
          <w:tcPr>
            <w:tcW w:w="1495" w:type="pct"/>
          </w:tcPr>
          <w:p w14:paraId="75D0F94C" w14:textId="77777777" w:rsidR="000447ED" w:rsidRPr="005E3B43" w:rsidRDefault="000447ED" w:rsidP="00763BCF">
            <w:pPr>
              <w:pStyle w:val="ENoteTableText"/>
              <w:tabs>
                <w:tab w:val="center" w:leader="dot" w:pos="2268"/>
              </w:tabs>
            </w:pPr>
          </w:p>
        </w:tc>
        <w:tc>
          <w:tcPr>
            <w:tcW w:w="3505" w:type="pct"/>
          </w:tcPr>
          <w:p w14:paraId="6CF8D91C" w14:textId="77777777" w:rsidR="000447ED" w:rsidRPr="005E3B43" w:rsidRDefault="000447ED" w:rsidP="00763BCF">
            <w:pPr>
              <w:pStyle w:val="ENoteTableText"/>
            </w:pPr>
            <w:r w:rsidRPr="005E3B43">
              <w:t>rep F2018L00311</w:t>
            </w:r>
          </w:p>
        </w:tc>
      </w:tr>
      <w:tr w:rsidR="000447ED" w:rsidRPr="005E3B43" w14:paraId="44CF1814" w14:textId="77777777" w:rsidTr="00034EA9">
        <w:trPr>
          <w:cantSplit/>
        </w:trPr>
        <w:tc>
          <w:tcPr>
            <w:tcW w:w="1495" w:type="pct"/>
          </w:tcPr>
          <w:p w14:paraId="2994DFB2" w14:textId="77777777" w:rsidR="000447ED" w:rsidRPr="005E3B43" w:rsidRDefault="000447ED" w:rsidP="00763BCF">
            <w:pPr>
              <w:pStyle w:val="ENoteTableText"/>
              <w:tabs>
                <w:tab w:val="center" w:leader="dot" w:pos="2268"/>
              </w:tabs>
            </w:pPr>
            <w:r w:rsidRPr="005E3B43">
              <w:lastRenderedPageBreak/>
              <w:t>r 42ZCAL</w:t>
            </w:r>
            <w:r w:rsidRPr="005E3B43">
              <w:tab/>
            </w:r>
          </w:p>
        </w:tc>
        <w:tc>
          <w:tcPr>
            <w:tcW w:w="3505" w:type="pct"/>
          </w:tcPr>
          <w:p w14:paraId="4F56823C" w14:textId="77777777" w:rsidR="000447ED" w:rsidRPr="005E3B43" w:rsidRDefault="000447ED" w:rsidP="00763BCF">
            <w:pPr>
              <w:pStyle w:val="ENoteTableText"/>
            </w:pPr>
            <w:r w:rsidRPr="005E3B43">
              <w:t>ad No 315, 2002</w:t>
            </w:r>
          </w:p>
        </w:tc>
      </w:tr>
      <w:tr w:rsidR="000447ED" w:rsidRPr="005E3B43" w14:paraId="3CFBDD39" w14:textId="77777777" w:rsidTr="00034EA9">
        <w:trPr>
          <w:cantSplit/>
        </w:trPr>
        <w:tc>
          <w:tcPr>
            <w:tcW w:w="1495" w:type="pct"/>
          </w:tcPr>
          <w:p w14:paraId="57DBA0C3" w14:textId="77777777" w:rsidR="000447ED" w:rsidRPr="005E3B43" w:rsidRDefault="000447ED" w:rsidP="00763BCF">
            <w:pPr>
              <w:pStyle w:val="ENoteTableText"/>
              <w:tabs>
                <w:tab w:val="center" w:leader="dot" w:pos="2268"/>
              </w:tabs>
            </w:pPr>
          </w:p>
        </w:tc>
        <w:tc>
          <w:tcPr>
            <w:tcW w:w="3505" w:type="pct"/>
          </w:tcPr>
          <w:p w14:paraId="1FB34F74" w14:textId="77777777" w:rsidR="000447ED" w:rsidRPr="005E3B43" w:rsidRDefault="000447ED" w:rsidP="00763BCF">
            <w:pPr>
              <w:pStyle w:val="ENoteTableText"/>
            </w:pPr>
            <w:r w:rsidRPr="005E3B43">
              <w:t>rep F2018L00311</w:t>
            </w:r>
          </w:p>
        </w:tc>
      </w:tr>
      <w:tr w:rsidR="000447ED" w:rsidRPr="005E3B43" w14:paraId="0907BE73" w14:textId="77777777" w:rsidTr="00034EA9">
        <w:trPr>
          <w:cantSplit/>
        </w:trPr>
        <w:tc>
          <w:tcPr>
            <w:tcW w:w="1495" w:type="pct"/>
          </w:tcPr>
          <w:p w14:paraId="2562A382" w14:textId="77777777" w:rsidR="000447ED" w:rsidRPr="005E3B43" w:rsidRDefault="00BE7FAC" w:rsidP="00763BCF">
            <w:pPr>
              <w:pStyle w:val="ENoteTableText"/>
              <w:keepNext/>
            </w:pPr>
            <w:r w:rsidRPr="005E3B43">
              <w:rPr>
                <w:b/>
              </w:rPr>
              <w:t>Division 3</w:t>
            </w:r>
            <w:r w:rsidR="000447ED" w:rsidRPr="005E3B43">
              <w:rPr>
                <w:b/>
              </w:rPr>
              <w:t>A</w:t>
            </w:r>
          </w:p>
        </w:tc>
        <w:tc>
          <w:tcPr>
            <w:tcW w:w="3505" w:type="pct"/>
          </w:tcPr>
          <w:p w14:paraId="542776DC" w14:textId="77777777" w:rsidR="000447ED" w:rsidRPr="005E3B43" w:rsidRDefault="000447ED" w:rsidP="00763BCF">
            <w:pPr>
              <w:pStyle w:val="ENoteTableText"/>
            </w:pPr>
          </w:p>
        </w:tc>
      </w:tr>
      <w:tr w:rsidR="000447ED" w:rsidRPr="005E3B43" w14:paraId="0CCA6A28" w14:textId="77777777" w:rsidTr="00034EA9">
        <w:trPr>
          <w:cantSplit/>
        </w:trPr>
        <w:tc>
          <w:tcPr>
            <w:tcW w:w="1495" w:type="pct"/>
          </w:tcPr>
          <w:p w14:paraId="0922042B" w14:textId="77777777" w:rsidR="000447ED" w:rsidRPr="005E3B43" w:rsidRDefault="00BE7FAC" w:rsidP="00763BCF">
            <w:pPr>
              <w:pStyle w:val="ENoteTableText"/>
              <w:tabs>
                <w:tab w:val="center" w:leader="dot" w:pos="2268"/>
              </w:tabs>
            </w:pPr>
            <w:r w:rsidRPr="005E3B43">
              <w:t>Division 3</w:t>
            </w:r>
            <w:r w:rsidR="000447ED" w:rsidRPr="005E3B43">
              <w:t>A</w:t>
            </w:r>
            <w:r w:rsidR="000447ED" w:rsidRPr="005E3B43">
              <w:tab/>
            </w:r>
          </w:p>
        </w:tc>
        <w:tc>
          <w:tcPr>
            <w:tcW w:w="3505" w:type="pct"/>
          </w:tcPr>
          <w:p w14:paraId="7906968C"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3C93C090" w14:textId="77777777" w:rsidTr="00034EA9">
        <w:trPr>
          <w:cantSplit/>
        </w:trPr>
        <w:tc>
          <w:tcPr>
            <w:tcW w:w="1495" w:type="pct"/>
          </w:tcPr>
          <w:p w14:paraId="4C572638" w14:textId="77777777" w:rsidR="000447ED" w:rsidRPr="005E3B43" w:rsidRDefault="000447ED" w:rsidP="00763BCF">
            <w:pPr>
              <w:pStyle w:val="ENoteTableText"/>
            </w:pPr>
          </w:p>
        </w:tc>
        <w:tc>
          <w:tcPr>
            <w:tcW w:w="3505" w:type="pct"/>
          </w:tcPr>
          <w:p w14:paraId="46621A32"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66247C12" w14:textId="77777777" w:rsidTr="00034EA9">
        <w:trPr>
          <w:cantSplit/>
        </w:trPr>
        <w:tc>
          <w:tcPr>
            <w:tcW w:w="1495" w:type="pct"/>
          </w:tcPr>
          <w:p w14:paraId="0B4F2A55" w14:textId="77777777" w:rsidR="000447ED" w:rsidRPr="005E3B43" w:rsidRDefault="000447ED" w:rsidP="00763BCF">
            <w:pPr>
              <w:pStyle w:val="ENoteTableText"/>
              <w:keepNext/>
            </w:pPr>
            <w:r w:rsidRPr="005E3B43">
              <w:rPr>
                <w:b/>
              </w:rPr>
              <w:t>Subdivision</w:t>
            </w:r>
            <w:r w:rsidR="004E6D00" w:rsidRPr="005E3B43">
              <w:rPr>
                <w:b/>
              </w:rPr>
              <w:t> </w:t>
            </w:r>
            <w:r w:rsidRPr="005E3B43">
              <w:rPr>
                <w:b/>
              </w:rPr>
              <w:t>3A.1</w:t>
            </w:r>
          </w:p>
        </w:tc>
        <w:tc>
          <w:tcPr>
            <w:tcW w:w="3505" w:type="pct"/>
          </w:tcPr>
          <w:p w14:paraId="7717C66F" w14:textId="77777777" w:rsidR="000447ED" w:rsidRPr="005E3B43" w:rsidRDefault="000447ED" w:rsidP="00763BCF">
            <w:pPr>
              <w:pStyle w:val="ENoteTableText"/>
            </w:pPr>
          </w:p>
        </w:tc>
      </w:tr>
      <w:tr w:rsidR="000447ED" w:rsidRPr="005E3B43" w14:paraId="313DD2AA" w14:textId="77777777" w:rsidTr="00034EA9">
        <w:trPr>
          <w:cantSplit/>
        </w:trPr>
        <w:tc>
          <w:tcPr>
            <w:tcW w:w="1495" w:type="pct"/>
          </w:tcPr>
          <w:p w14:paraId="20B8A02C" w14:textId="77777777" w:rsidR="000447ED" w:rsidRPr="005E3B43" w:rsidRDefault="000447ED" w:rsidP="00763BCF">
            <w:pPr>
              <w:pStyle w:val="ENoteTableText"/>
              <w:tabs>
                <w:tab w:val="center" w:leader="dot" w:pos="2268"/>
              </w:tabs>
            </w:pPr>
            <w:r w:rsidRPr="005E3B43">
              <w:t>Subdivision</w:t>
            </w:r>
            <w:r w:rsidR="004E6D00" w:rsidRPr="005E3B43">
              <w:t> </w:t>
            </w:r>
            <w:r w:rsidRPr="005E3B43">
              <w:t>1</w:t>
            </w:r>
            <w:r w:rsidRPr="005E3B43">
              <w:tab/>
            </w:r>
            <w:r w:rsidRPr="005E3B43">
              <w:br/>
              <w:t>renumbered Subdivision</w:t>
            </w:r>
            <w:r w:rsidR="004E6D00" w:rsidRPr="005E3B43">
              <w:t> </w:t>
            </w:r>
            <w:r w:rsidRPr="005E3B43">
              <w:t>3A.1</w:t>
            </w:r>
          </w:p>
        </w:tc>
        <w:tc>
          <w:tcPr>
            <w:tcW w:w="3505" w:type="pct"/>
          </w:tcPr>
          <w:p w14:paraId="65E58575" w14:textId="77777777" w:rsidR="000447ED" w:rsidRPr="005E3B43" w:rsidRDefault="000447ED" w:rsidP="00763BCF">
            <w:pPr>
              <w:pStyle w:val="ENoteTableText"/>
            </w:pPr>
            <w:r w:rsidRPr="005E3B43">
              <w:t>2010 No.</w:t>
            </w:r>
            <w:r w:rsidR="004E6D00" w:rsidRPr="005E3B43">
              <w:t> </w:t>
            </w:r>
            <w:r w:rsidRPr="005E3B43">
              <w:t>129</w:t>
            </w:r>
          </w:p>
        </w:tc>
      </w:tr>
      <w:tr w:rsidR="000447ED" w:rsidRPr="005E3B43" w14:paraId="54A17113" w14:textId="77777777" w:rsidTr="00034EA9">
        <w:trPr>
          <w:cantSplit/>
        </w:trPr>
        <w:tc>
          <w:tcPr>
            <w:tcW w:w="1495" w:type="pct"/>
          </w:tcPr>
          <w:p w14:paraId="2BC79295" w14:textId="77777777" w:rsidR="000447ED" w:rsidRPr="005E3B43" w:rsidRDefault="000447ED" w:rsidP="00763BCF">
            <w:pPr>
              <w:pStyle w:val="ENoteTableText"/>
              <w:tabs>
                <w:tab w:val="center" w:leader="dot" w:pos="2268"/>
              </w:tabs>
            </w:pPr>
            <w:r w:rsidRPr="005E3B43">
              <w:t>r. 42ZCA</w:t>
            </w:r>
            <w:r w:rsidRPr="005E3B43">
              <w:tab/>
            </w:r>
          </w:p>
        </w:tc>
        <w:tc>
          <w:tcPr>
            <w:tcW w:w="3505" w:type="pct"/>
          </w:tcPr>
          <w:p w14:paraId="224F3B44"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612ACC67" w14:textId="77777777" w:rsidTr="00034EA9">
        <w:trPr>
          <w:cantSplit/>
        </w:trPr>
        <w:tc>
          <w:tcPr>
            <w:tcW w:w="1495" w:type="pct"/>
          </w:tcPr>
          <w:p w14:paraId="507BC9C8" w14:textId="77777777" w:rsidR="000447ED" w:rsidRPr="005E3B43" w:rsidRDefault="000447ED" w:rsidP="00763BCF">
            <w:pPr>
              <w:pStyle w:val="ENoteTableText"/>
            </w:pPr>
          </w:p>
        </w:tc>
        <w:tc>
          <w:tcPr>
            <w:tcW w:w="3505" w:type="pct"/>
          </w:tcPr>
          <w:p w14:paraId="37F8DC5E"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3767055E" w14:textId="77777777" w:rsidTr="00034EA9">
        <w:trPr>
          <w:cantSplit/>
        </w:trPr>
        <w:tc>
          <w:tcPr>
            <w:tcW w:w="1495" w:type="pct"/>
          </w:tcPr>
          <w:p w14:paraId="41F0657B" w14:textId="77777777" w:rsidR="000447ED" w:rsidRPr="005E3B43" w:rsidRDefault="000447ED" w:rsidP="00763BCF">
            <w:pPr>
              <w:pStyle w:val="ENoteTableText"/>
              <w:keepNext/>
            </w:pPr>
            <w:r w:rsidRPr="005E3B43">
              <w:rPr>
                <w:b/>
              </w:rPr>
              <w:t>Subdivision</w:t>
            </w:r>
            <w:r w:rsidR="004E6D00" w:rsidRPr="005E3B43">
              <w:rPr>
                <w:b/>
              </w:rPr>
              <w:t> </w:t>
            </w:r>
            <w:r w:rsidRPr="005E3B43">
              <w:rPr>
                <w:b/>
              </w:rPr>
              <w:t>3A.2</w:t>
            </w:r>
          </w:p>
        </w:tc>
        <w:tc>
          <w:tcPr>
            <w:tcW w:w="3505" w:type="pct"/>
          </w:tcPr>
          <w:p w14:paraId="3E720643" w14:textId="77777777" w:rsidR="000447ED" w:rsidRPr="005E3B43" w:rsidRDefault="000447ED" w:rsidP="00763BCF">
            <w:pPr>
              <w:pStyle w:val="ENoteTableText"/>
            </w:pPr>
          </w:p>
        </w:tc>
      </w:tr>
      <w:tr w:rsidR="000447ED" w:rsidRPr="005E3B43" w14:paraId="6154F3D3" w14:textId="77777777" w:rsidTr="00034EA9">
        <w:trPr>
          <w:cantSplit/>
        </w:trPr>
        <w:tc>
          <w:tcPr>
            <w:tcW w:w="1495" w:type="pct"/>
          </w:tcPr>
          <w:p w14:paraId="0645B680" w14:textId="77777777" w:rsidR="000447ED" w:rsidRPr="005E3B43" w:rsidRDefault="000447ED" w:rsidP="00763BCF">
            <w:pPr>
              <w:pStyle w:val="ENoteTableText"/>
              <w:tabs>
                <w:tab w:val="center" w:leader="dot" w:pos="2268"/>
              </w:tabs>
            </w:pPr>
            <w:r w:rsidRPr="005E3B43">
              <w:t>Subdivision</w:t>
            </w:r>
            <w:r w:rsidR="004E6D00" w:rsidRPr="005E3B43">
              <w:t> </w:t>
            </w:r>
            <w:r w:rsidRPr="005E3B43">
              <w:t>2</w:t>
            </w:r>
            <w:r w:rsidRPr="005E3B43">
              <w:tab/>
            </w:r>
            <w:r w:rsidRPr="005E3B43">
              <w:br/>
              <w:t>renumbered Subdivision</w:t>
            </w:r>
            <w:r w:rsidR="004E6D00" w:rsidRPr="005E3B43">
              <w:t> </w:t>
            </w:r>
            <w:r w:rsidRPr="005E3B43">
              <w:t>3A.2</w:t>
            </w:r>
          </w:p>
        </w:tc>
        <w:tc>
          <w:tcPr>
            <w:tcW w:w="3505" w:type="pct"/>
          </w:tcPr>
          <w:p w14:paraId="3B770DB0" w14:textId="77777777" w:rsidR="000447ED" w:rsidRPr="005E3B43" w:rsidRDefault="000447ED" w:rsidP="00763BCF">
            <w:pPr>
              <w:pStyle w:val="ENoteTableText"/>
            </w:pPr>
            <w:r w:rsidRPr="005E3B43">
              <w:t>2010 No.</w:t>
            </w:r>
            <w:r w:rsidR="004E6D00" w:rsidRPr="005E3B43">
              <w:t> </w:t>
            </w:r>
            <w:r w:rsidRPr="005E3B43">
              <w:t>129</w:t>
            </w:r>
          </w:p>
        </w:tc>
      </w:tr>
      <w:tr w:rsidR="000447ED" w:rsidRPr="005E3B43" w14:paraId="36B2D454" w14:textId="77777777" w:rsidTr="00034EA9">
        <w:trPr>
          <w:cantSplit/>
        </w:trPr>
        <w:tc>
          <w:tcPr>
            <w:tcW w:w="1495" w:type="pct"/>
          </w:tcPr>
          <w:p w14:paraId="131ACC28" w14:textId="77777777" w:rsidR="000447ED" w:rsidRPr="005E3B43" w:rsidRDefault="000447ED" w:rsidP="00763BCF">
            <w:pPr>
              <w:pStyle w:val="ENoteTableText"/>
              <w:tabs>
                <w:tab w:val="center" w:leader="dot" w:pos="2268"/>
              </w:tabs>
            </w:pPr>
            <w:r w:rsidRPr="005E3B43">
              <w:t>r. 42ZCB</w:t>
            </w:r>
            <w:r w:rsidRPr="005E3B43">
              <w:tab/>
            </w:r>
          </w:p>
        </w:tc>
        <w:tc>
          <w:tcPr>
            <w:tcW w:w="3505" w:type="pct"/>
          </w:tcPr>
          <w:p w14:paraId="0616E098"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22E5EFD8" w14:textId="77777777" w:rsidTr="00034EA9">
        <w:trPr>
          <w:cantSplit/>
        </w:trPr>
        <w:tc>
          <w:tcPr>
            <w:tcW w:w="1495" w:type="pct"/>
          </w:tcPr>
          <w:p w14:paraId="05885B55" w14:textId="77777777" w:rsidR="000447ED" w:rsidRPr="005E3B43" w:rsidRDefault="000447ED" w:rsidP="00763BCF">
            <w:pPr>
              <w:pStyle w:val="ENoteTableText"/>
            </w:pPr>
          </w:p>
        </w:tc>
        <w:tc>
          <w:tcPr>
            <w:tcW w:w="3505" w:type="pct"/>
          </w:tcPr>
          <w:p w14:paraId="5B2483ED"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6D91367F" w14:textId="77777777" w:rsidTr="00034EA9">
        <w:trPr>
          <w:cantSplit/>
        </w:trPr>
        <w:tc>
          <w:tcPr>
            <w:tcW w:w="1495" w:type="pct"/>
          </w:tcPr>
          <w:p w14:paraId="6A2EF5A7" w14:textId="77777777" w:rsidR="000447ED" w:rsidRPr="005E3B43" w:rsidRDefault="001D597E" w:rsidP="00763BCF">
            <w:pPr>
              <w:pStyle w:val="ENoteTableText"/>
              <w:tabs>
                <w:tab w:val="center" w:leader="dot" w:pos="2268"/>
              </w:tabs>
            </w:pPr>
            <w:r w:rsidRPr="005E3B43">
              <w:t>r</w:t>
            </w:r>
            <w:r w:rsidR="000447ED" w:rsidRPr="005E3B43">
              <w:t xml:space="preserve"> 42ZCC</w:t>
            </w:r>
            <w:r w:rsidR="000447ED" w:rsidRPr="005E3B43">
              <w:tab/>
            </w:r>
          </w:p>
        </w:tc>
        <w:tc>
          <w:tcPr>
            <w:tcW w:w="3505" w:type="pct"/>
          </w:tcPr>
          <w:p w14:paraId="2692ECC0" w14:textId="77777777" w:rsidR="000447ED" w:rsidRPr="005E3B43" w:rsidRDefault="000447ED" w:rsidP="00763BCF">
            <w:pPr>
              <w:pStyle w:val="ENoteTableText"/>
            </w:pPr>
            <w:r w:rsidRPr="005E3B43">
              <w:t>ad No</w:t>
            </w:r>
            <w:r w:rsidR="00254739" w:rsidRPr="005E3B43">
              <w:t> </w:t>
            </w:r>
            <w:r w:rsidRPr="005E3B43">
              <w:t>209</w:t>
            </w:r>
            <w:r w:rsidR="001D597E" w:rsidRPr="005E3B43">
              <w:t>, 1999</w:t>
            </w:r>
          </w:p>
        </w:tc>
      </w:tr>
      <w:tr w:rsidR="000447ED" w:rsidRPr="005E3B43" w14:paraId="3A7AC920" w14:textId="77777777" w:rsidTr="00034EA9">
        <w:trPr>
          <w:cantSplit/>
        </w:trPr>
        <w:tc>
          <w:tcPr>
            <w:tcW w:w="1495" w:type="pct"/>
          </w:tcPr>
          <w:p w14:paraId="76E4A18A" w14:textId="77777777" w:rsidR="000447ED" w:rsidRPr="005E3B43" w:rsidRDefault="000447ED" w:rsidP="00763BCF">
            <w:pPr>
              <w:pStyle w:val="ENoteTableText"/>
            </w:pPr>
          </w:p>
        </w:tc>
        <w:tc>
          <w:tcPr>
            <w:tcW w:w="3505" w:type="pct"/>
          </w:tcPr>
          <w:p w14:paraId="3C1631A1" w14:textId="77777777" w:rsidR="000447ED" w:rsidRPr="005E3B43" w:rsidRDefault="000447ED" w:rsidP="00763BCF">
            <w:pPr>
              <w:pStyle w:val="ENoteTableText"/>
            </w:pPr>
            <w:r w:rsidRPr="005E3B43">
              <w:t>rs No</w:t>
            </w:r>
            <w:r w:rsidR="00254739" w:rsidRPr="005E3B43">
              <w:t> </w:t>
            </w:r>
            <w:r w:rsidRPr="005E3B43">
              <w:t>129</w:t>
            </w:r>
            <w:r w:rsidR="001D597E" w:rsidRPr="005E3B43">
              <w:t>, 2010</w:t>
            </w:r>
          </w:p>
        </w:tc>
      </w:tr>
      <w:tr w:rsidR="00B0488D" w:rsidRPr="005E3B43" w14:paraId="6FB0451B" w14:textId="77777777" w:rsidTr="00034EA9">
        <w:trPr>
          <w:cantSplit/>
        </w:trPr>
        <w:tc>
          <w:tcPr>
            <w:tcW w:w="1495" w:type="pct"/>
          </w:tcPr>
          <w:p w14:paraId="1382B016" w14:textId="77777777" w:rsidR="00B0488D" w:rsidRPr="005E3B43" w:rsidRDefault="00B0488D" w:rsidP="00763BCF">
            <w:pPr>
              <w:pStyle w:val="ENoteTableText"/>
              <w:tabs>
                <w:tab w:val="center" w:leader="dot" w:pos="2268"/>
              </w:tabs>
            </w:pPr>
          </w:p>
        </w:tc>
        <w:tc>
          <w:tcPr>
            <w:tcW w:w="3505" w:type="pct"/>
          </w:tcPr>
          <w:p w14:paraId="17A9FF35" w14:textId="77777777" w:rsidR="00B0488D" w:rsidRPr="005E3B43" w:rsidRDefault="00B0488D" w:rsidP="00763BCF">
            <w:pPr>
              <w:pStyle w:val="ENoteTableText"/>
            </w:pPr>
            <w:r w:rsidRPr="005E3B43">
              <w:t>am F2019L00109</w:t>
            </w:r>
          </w:p>
        </w:tc>
      </w:tr>
      <w:tr w:rsidR="000447ED" w:rsidRPr="005E3B43" w14:paraId="2C5DA307" w14:textId="77777777" w:rsidTr="00034EA9">
        <w:trPr>
          <w:cantSplit/>
        </w:trPr>
        <w:tc>
          <w:tcPr>
            <w:tcW w:w="1495" w:type="pct"/>
          </w:tcPr>
          <w:p w14:paraId="58580721" w14:textId="77777777" w:rsidR="000447ED" w:rsidRPr="005E3B43" w:rsidRDefault="000447ED" w:rsidP="00763BCF">
            <w:pPr>
              <w:pStyle w:val="ENoteTableText"/>
              <w:tabs>
                <w:tab w:val="center" w:leader="dot" w:pos="2268"/>
              </w:tabs>
            </w:pPr>
            <w:r w:rsidRPr="005E3B43">
              <w:t>r. 42ZCD</w:t>
            </w:r>
            <w:r w:rsidRPr="005E3B43">
              <w:tab/>
            </w:r>
          </w:p>
        </w:tc>
        <w:tc>
          <w:tcPr>
            <w:tcW w:w="3505" w:type="pct"/>
          </w:tcPr>
          <w:p w14:paraId="4416739A"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49438B78" w14:textId="77777777" w:rsidTr="00034EA9">
        <w:trPr>
          <w:cantSplit/>
        </w:trPr>
        <w:tc>
          <w:tcPr>
            <w:tcW w:w="1495" w:type="pct"/>
          </w:tcPr>
          <w:p w14:paraId="1F441358" w14:textId="77777777" w:rsidR="000447ED" w:rsidRPr="005E3B43" w:rsidRDefault="000447ED" w:rsidP="00763BCF">
            <w:pPr>
              <w:pStyle w:val="ENoteTableText"/>
            </w:pPr>
          </w:p>
        </w:tc>
        <w:tc>
          <w:tcPr>
            <w:tcW w:w="3505" w:type="pct"/>
          </w:tcPr>
          <w:p w14:paraId="11A6DB9B"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4A141B45" w14:textId="77777777" w:rsidTr="00034EA9">
        <w:trPr>
          <w:cantSplit/>
        </w:trPr>
        <w:tc>
          <w:tcPr>
            <w:tcW w:w="1495" w:type="pct"/>
          </w:tcPr>
          <w:p w14:paraId="3F4A6358" w14:textId="77777777" w:rsidR="000447ED" w:rsidRPr="005E3B43" w:rsidRDefault="000447ED" w:rsidP="00763BCF">
            <w:pPr>
              <w:pStyle w:val="ENoteTableText"/>
              <w:tabs>
                <w:tab w:val="center" w:leader="dot" w:pos="2268"/>
              </w:tabs>
            </w:pPr>
            <w:r w:rsidRPr="005E3B43">
              <w:t>r. 42ZCE</w:t>
            </w:r>
            <w:r w:rsidRPr="005E3B43">
              <w:tab/>
            </w:r>
          </w:p>
        </w:tc>
        <w:tc>
          <w:tcPr>
            <w:tcW w:w="3505" w:type="pct"/>
          </w:tcPr>
          <w:p w14:paraId="23D1FE43"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651DA626" w14:textId="77777777" w:rsidTr="00034EA9">
        <w:trPr>
          <w:cantSplit/>
        </w:trPr>
        <w:tc>
          <w:tcPr>
            <w:tcW w:w="1495" w:type="pct"/>
          </w:tcPr>
          <w:p w14:paraId="0066F21F" w14:textId="77777777" w:rsidR="000447ED" w:rsidRPr="005E3B43" w:rsidRDefault="000447ED" w:rsidP="00763BCF">
            <w:pPr>
              <w:pStyle w:val="ENoteTableText"/>
            </w:pPr>
          </w:p>
        </w:tc>
        <w:tc>
          <w:tcPr>
            <w:tcW w:w="3505" w:type="pct"/>
          </w:tcPr>
          <w:p w14:paraId="086350C1"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55DAB1D2" w14:textId="77777777" w:rsidTr="00034EA9">
        <w:trPr>
          <w:cantSplit/>
        </w:trPr>
        <w:tc>
          <w:tcPr>
            <w:tcW w:w="1495" w:type="pct"/>
          </w:tcPr>
          <w:p w14:paraId="3D7BE433" w14:textId="77777777" w:rsidR="000447ED" w:rsidRPr="005E3B43" w:rsidRDefault="000447ED" w:rsidP="00763BCF">
            <w:pPr>
              <w:pStyle w:val="ENoteTableText"/>
              <w:tabs>
                <w:tab w:val="center" w:leader="dot" w:pos="2268"/>
              </w:tabs>
            </w:pPr>
            <w:r w:rsidRPr="005E3B43">
              <w:t>r. 42ZCF</w:t>
            </w:r>
            <w:r w:rsidRPr="005E3B43">
              <w:tab/>
            </w:r>
          </w:p>
        </w:tc>
        <w:tc>
          <w:tcPr>
            <w:tcW w:w="3505" w:type="pct"/>
          </w:tcPr>
          <w:p w14:paraId="54EE525E"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24C95F71" w14:textId="77777777" w:rsidTr="00034EA9">
        <w:trPr>
          <w:cantSplit/>
        </w:trPr>
        <w:tc>
          <w:tcPr>
            <w:tcW w:w="1495" w:type="pct"/>
          </w:tcPr>
          <w:p w14:paraId="41E49EAE" w14:textId="77777777" w:rsidR="000447ED" w:rsidRPr="005E3B43" w:rsidRDefault="000447ED" w:rsidP="00763BCF">
            <w:pPr>
              <w:pStyle w:val="ENoteTableText"/>
            </w:pPr>
          </w:p>
        </w:tc>
        <w:tc>
          <w:tcPr>
            <w:tcW w:w="3505" w:type="pct"/>
          </w:tcPr>
          <w:p w14:paraId="7AA8476F"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082E5B03" w14:textId="77777777" w:rsidTr="00034EA9">
        <w:trPr>
          <w:cantSplit/>
        </w:trPr>
        <w:tc>
          <w:tcPr>
            <w:tcW w:w="1495" w:type="pct"/>
          </w:tcPr>
          <w:p w14:paraId="5C5F3E1A" w14:textId="77777777" w:rsidR="000447ED" w:rsidRPr="005E3B43" w:rsidRDefault="000447ED" w:rsidP="00763BCF">
            <w:pPr>
              <w:pStyle w:val="ENoteTableText"/>
              <w:tabs>
                <w:tab w:val="center" w:leader="dot" w:pos="2268"/>
              </w:tabs>
            </w:pPr>
            <w:r w:rsidRPr="005E3B43">
              <w:t>r. 42ZCG</w:t>
            </w:r>
            <w:r w:rsidRPr="005E3B43">
              <w:tab/>
            </w:r>
          </w:p>
        </w:tc>
        <w:tc>
          <w:tcPr>
            <w:tcW w:w="3505" w:type="pct"/>
          </w:tcPr>
          <w:p w14:paraId="4CDE534C"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4CC8905F" w14:textId="77777777" w:rsidTr="00034EA9">
        <w:trPr>
          <w:cantSplit/>
        </w:trPr>
        <w:tc>
          <w:tcPr>
            <w:tcW w:w="1495" w:type="pct"/>
          </w:tcPr>
          <w:p w14:paraId="756631BE" w14:textId="77777777" w:rsidR="000447ED" w:rsidRPr="005E3B43" w:rsidRDefault="000447ED" w:rsidP="00763BCF">
            <w:pPr>
              <w:pStyle w:val="ENoteTableText"/>
            </w:pPr>
          </w:p>
        </w:tc>
        <w:tc>
          <w:tcPr>
            <w:tcW w:w="3505" w:type="pct"/>
          </w:tcPr>
          <w:p w14:paraId="6C8F33F1"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5B136E1B" w14:textId="77777777" w:rsidTr="00034EA9">
        <w:trPr>
          <w:cantSplit/>
        </w:trPr>
        <w:tc>
          <w:tcPr>
            <w:tcW w:w="1495" w:type="pct"/>
          </w:tcPr>
          <w:p w14:paraId="45577509" w14:textId="77777777" w:rsidR="000447ED" w:rsidRPr="005E3B43" w:rsidRDefault="000447ED" w:rsidP="00763BCF">
            <w:pPr>
              <w:pStyle w:val="ENoteTableText"/>
              <w:tabs>
                <w:tab w:val="center" w:leader="dot" w:pos="2268"/>
              </w:tabs>
            </w:pPr>
            <w:r w:rsidRPr="005E3B43">
              <w:t>r. 42ZCH</w:t>
            </w:r>
            <w:r w:rsidRPr="005E3B43">
              <w:tab/>
            </w:r>
          </w:p>
        </w:tc>
        <w:tc>
          <w:tcPr>
            <w:tcW w:w="3505" w:type="pct"/>
          </w:tcPr>
          <w:p w14:paraId="4731C305"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17E707FD" w14:textId="77777777" w:rsidTr="00034EA9">
        <w:trPr>
          <w:cantSplit/>
        </w:trPr>
        <w:tc>
          <w:tcPr>
            <w:tcW w:w="1495" w:type="pct"/>
          </w:tcPr>
          <w:p w14:paraId="1373F31A" w14:textId="77777777" w:rsidR="000447ED" w:rsidRPr="005E3B43" w:rsidRDefault="000447ED" w:rsidP="00763BCF">
            <w:pPr>
              <w:pStyle w:val="ENoteTableText"/>
            </w:pPr>
          </w:p>
        </w:tc>
        <w:tc>
          <w:tcPr>
            <w:tcW w:w="3505" w:type="pct"/>
          </w:tcPr>
          <w:p w14:paraId="6241F87F"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6AC80366" w14:textId="77777777" w:rsidTr="00034EA9">
        <w:trPr>
          <w:cantSplit/>
        </w:trPr>
        <w:tc>
          <w:tcPr>
            <w:tcW w:w="1495" w:type="pct"/>
          </w:tcPr>
          <w:p w14:paraId="152A4550" w14:textId="77777777" w:rsidR="000447ED" w:rsidRPr="005E3B43" w:rsidRDefault="000447ED" w:rsidP="00763BCF">
            <w:pPr>
              <w:pStyle w:val="ENoteTableText"/>
              <w:tabs>
                <w:tab w:val="center" w:leader="dot" w:pos="2268"/>
              </w:tabs>
            </w:pPr>
            <w:r w:rsidRPr="005E3B43">
              <w:t>r. 42ZCI</w:t>
            </w:r>
            <w:r w:rsidRPr="005E3B43">
              <w:tab/>
            </w:r>
          </w:p>
        </w:tc>
        <w:tc>
          <w:tcPr>
            <w:tcW w:w="3505" w:type="pct"/>
          </w:tcPr>
          <w:p w14:paraId="11B1BDB8"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2B8CAE49" w14:textId="77777777" w:rsidTr="00034EA9">
        <w:trPr>
          <w:cantSplit/>
        </w:trPr>
        <w:tc>
          <w:tcPr>
            <w:tcW w:w="1495" w:type="pct"/>
          </w:tcPr>
          <w:p w14:paraId="16374BCE" w14:textId="77777777" w:rsidR="000447ED" w:rsidRPr="005E3B43" w:rsidRDefault="000447ED" w:rsidP="00763BCF">
            <w:pPr>
              <w:pStyle w:val="ENoteTableText"/>
            </w:pPr>
          </w:p>
        </w:tc>
        <w:tc>
          <w:tcPr>
            <w:tcW w:w="3505" w:type="pct"/>
          </w:tcPr>
          <w:p w14:paraId="6263D91A"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2060DF63" w14:textId="77777777" w:rsidTr="00034EA9">
        <w:trPr>
          <w:cantSplit/>
        </w:trPr>
        <w:tc>
          <w:tcPr>
            <w:tcW w:w="1495" w:type="pct"/>
          </w:tcPr>
          <w:p w14:paraId="4F06F951" w14:textId="77777777" w:rsidR="000447ED" w:rsidRPr="005E3B43" w:rsidRDefault="000447ED" w:rsidP="00763BCF">
            <w:pPr>
              <w:pStyle w:val="ENoteTableText"/>
              <w:tabs>
                <w:tab w:val="center" w:leader="dot" w:pos="2268"/>
              </w:tabs>
            </w:pPr>
            <w:r w:rsidRPr="005E3B43">
              <w:t>r. 42ZCJ</w:t>
            </w:r>
            <w:r w:rsidRPr="005E3B43">
              <w:tab/>
            </w:r>
          </w:p>
        </w:tc>
        <w:tc>
          <w:tcPr>
            <w:tcW w:w="3505" w:type="pct"/>
          </w:tcPr>
          <w:p w14:paraId="59976740"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301648F9" w14:textId="77777777" w:rsidTr="00034EA9">
        <w:trPr>
          <w:cantSplit/>
        </w:trPr>
        <w:tc>
          <w:tcPr>
            <w:tcW w:w="1495" w:type="pct"/>
          </w:tcPr>
          <w:p w14:paraId="3F66AA56" w14:textId="77777777" w:rsidR="000447ED" w:rsidRPr="005E3B43" w:rsidRDefault="000447ED" w:rsidP="00763BCF">
            <w:pPr>
              <w:pStyle w:val="ENoteTableText"/>
            </w:pPr>
          </w:p>
        </w:tc>
        <w:tc>
          <w:tcPr>
            <w:tcW w:w="3505" w:type="pct"/>
          </w:tcPr>
          <w:p w14:paraId="60A1891F"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5B9F3D49" w14:textId="77777777" w:rsidTr="00034EA9">
        <w:trPr>
          <w:cantSplit/>
        </w:trPr>
        <w:tc>
          <w:tcPr>
            <w:tcW w:w="1495" w:type="pct"/>
          </w:tcPr>
          <w:p w14:paraId="61FA42B6" w14:textId="77777777" w:rsidR="000447ED" w:rsidRPr="005E3B43" w:rsidRDefault="000447ED" w:rsidP="00763BCF">
            <w:pPr>
              <w:pStyle w:val="ENoteTableText"/>
              <w:keepNext/>
            </w:pPr>
            <w:r w:rsidRPr="005E3B43">
              <w:rPr>
                <w:b/>
              </w:rPr>
              <w:t>Subdivision</w:t>
            </w:r>
            <w:r w:rsidR="004E6D00" w:rsidRPr="005E3B43">
              <w:rPr>
                <w:b/>
              </w:rPr>
              <w:t> </w:t>
            </w:r>
            <w:r w:rsidRPr="005E3B43">
              <w:rPr>
                <w:b/>
              </w:rPr>
              <w:t>3A.3</w:t>
            </w:r>
          </w:p>
        </w:tc>
        <w:tc>
          <w:tcPr>
            <w:tcW w:w="3505" w:type="pct"/>
          </w:tcPr>
          <w:p w14:paraId="58DE1A2E" w14:textId="77777777" w:rsidR="000447ED" w:rsidRPr="005E3B43" w:rsidRDefault="000447ED" w:rsidP="00763BCF">
            <w:pPr>
              <w:pStyle w:val="ENoteTableText"/>
            </w:pPr>
          </w:p>
        </w:tc>
      </w:tr>
      <w:tr w:rsidR="000447ED" w:rsidRPr="005E3B43" w14:paraId="4F1B98D3" w14:textId="77777777" w:rsidTr="00034EA9">
        <w:trPr>
          <w:cantSplit/>
        </w:trPr>
        <w:tc>
          <w:tcPr>
            <w:tcW w:w="1495" w:type="pct"/>
          </w:tcPr>
          <w:p w14:paraId="06FF0CEA" w14:textId="77777777" w:rsidR="000447ED" w:rsidRPr="005E3B43" w:rsidRDefault="000447ED" w:rsidP="00763BCF">
            <w:pPr>
              <w:pStyle w:val="ENoteTableText"/>
              <w:tabs>
                <w:tab w:val="center" w:leader="dot" w:pos="2268"/>
              </w:tabs>
            </w:pPr>
            <w:r w:rsidRPr="005E3B43">
              <w:t>Subdivision</w:t>
            </w:r>
            <w:r w:rsidR="004E6D00" w:rsidRPr="005E3B43">
              <w:t> </w:t>
            </w:r>
            <w:r w:rsidRPr="005E3B43">
              <w:t>3</w:t>
            </w:r>
            <w:r w:rsidRPr="005E3B43">
              <w:tab/>
            </w:r>
            <w:r w:rsidRPr="005E3B43">
              <w:br/>
              <w:t>renumbered Subdivision</w:t>
            </w:r>
            <w:r w:rsidR="004E6D00" w:rsidRPr="005E3B43">
              <w:t> </w:t>
            </w:r>
            <w:r w:rsidRPr="005E3B43">
              <w:t>3A.3</w:t>
            </w:r>
          </w:p>
        </w:tc>
        <w:tc>
          <w:tcPr>
            <w:tcW w:w="3505" w:type="pct"/>
          </w:tcPr>
          <w:p w14:paraId="019F15FF" w14:textId="77777777" w:rsidR="000447ED" w:rsidRPr="005E3B43" w:rsidRDefault="000447ED" w:rsidP="00763BCF">
            <w:pPr>
              <w:pStyle w:val="ENoteTableText"/>
            </w:pPr>
            <w:r w:rsidRPr="005E3B43">
              <w:t>2010 No.</w:t>
            </w:r>
            <w:r w:rsidR="004E6D00" w:rsidRPr="005E3B43">
              <w:t> </w:t>
            </w:r>
            <w:r w:rsidRPr="005E3B43">
              <w:t>129</w:t>
            </w:r>
          </w:p>
        </w:tc>
      </w:tr>
      <w:tr w:rsidR="000447ED" w:rsidRPr="005E3B43" w14:paraId="4891BC90" w14:textId="77777777" w:rsidTr="00034EA9">
        <w:trPr>
          <w:cantSplit/>
        </w:trPr>
        <w:tc>
          <w:tcPr>
            <w:tcW w:w="1495" w:type="pct"/>
          </w:tcPr>
          <w:p w14:paraId="70C2B18A" w14:textId="77777777" w:rsidR="000447ED" w:rsidRPr="005E3B43" w:rsidRDefault="000447ED" w:rsidP="00763BCF">
            <w:pPr>
              <w:pStyle w:val="ENoteTableText"/>
              <w:tabs>
                <w:tab w:val="center" w:leader="dot" w:pos="2268"/>
              </w:tabs>
            </w:pPr>
            <w:r w:rsidRPr="005E3B43">
              <w:t>r. 42ZCK</w:t>
            </w:r>
            <w:r w:rsidRPr="005E3B43">
              <w:tab/>
            </w:r>
          </w:p>
        </w:tc>
        <w:tc>
          <w:tcPr>
            <w:tcW w:w="3505" w:type="pct"/>
          </w:tcPr>
          <w:p w14:paraId="7821ED18"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0C24FBE6" w14:textId="77777777" w:rsidTr="00034EA9">
        <w:trPr>
          <w:cantSplit/>
        </w:trPr>
        <w:tc>
          <w:tcPr>
            <w:tcW w:w="1495" w:type="pct"/>
          </w:tcPr>
          <w:p w14:paraId="19FBAA1F" w14:textId="77777777" w:rsidR="000447ED" w:rsidRPr="005E3B43" w:rsidRDefault="000447ED" w:rsidP="00763BCF">
            <w:pPr>
              <w:pStyle w:val="ENoteTableText"/>
            </w:pPr>
          </w:p>
        </w:tc>
        <w:tc>
          <w:tcPr>
            <w:tcW w:w="3505" w:type="pct"/>
          </w:tcPr>
          <w:p w14:paraId="66BA1783"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30220123" w14:textId="77777777" w:rsidTr="00034EA9">
        <w:trPr>
          <w:cantSplit/>
        </w:trPr>
        <w:tc>
          <w:tcPr>
            <w:tcW w:w="1495" w:type="pct"/>
          </w:tcPr>
          <w:p w14:paraId="01E04AF9" w14:textId="77777777" w:rsidR="000447ED" w:rsidRPr="005E3B43" w:rsidRDefault="000447ED" w:rsidP="00763BCF">
            <w:pPr>
              <w:pStyle w:val="ENoteTableText"/>
              <w:tabs>
                <w:tab w:val="center" w:leader="dot" w:pos="2268"/>
              </w:tabs>
            </w:pPr>
            <w:r w:rsidRPr="005E3B43">
              <w:t>r. 42ZCL</w:t>
            </w:r>
            <w:r w:rsidRPr="005E3B43">
              <w:tab/>
            </w:r>
          </w:p>
        </w:tc>
        <w:tc>
          <w:tcPr>
            <w:tcW w:w="3505" w:type="pct"/>
          </w:tcPr>
          <w:p w14:paraId="14A8F093"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7BC3A2A6" w14:textId="77777777" w:rsidTr="00034EA9">
        <w:trPr>
          <w:cantSplit/>
        </w:trPr>
        <w:tc>
          <w:tcPr>
            <w:tcW w:w="1495" w:type="pct"/>
          </w:tcPr>
          <w:p w14:paraId="23925C01" w14:textId="77777777" w:rsidR="000447ED" w:rsidRPr="005E3B43" w:rsidRDefault="000447ED" w:rsidP="00763BCF">
            <w:pPr>
              <w:pStyle w:val="ENoteTableText"/>
            </w:pPr>
          </w:p>
        </w:tc>
        <w:tc>
          <w:tcPr>
            <w:tcW w:w="3505" w:type="pct"/>
          </w:tcPr>
          <w:p w14:paraId="40E0665C"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5E96D23D" w14:textId="77777777" w:rsidTr="00034EA9">
        <w:trPr>
          <w:cantSplit/>
        </w:trPr>
        <w:tc>
          <w:tcPr>
            <w:tcW w:w="1495" w:type="pct"/>
          </w:tcPr>
          <w:p w14:paraId="1B43A23C" w14:textId="77777777" w:rsidR="000447ED" w:rsidRPr="005E3B43" w:rsidRDefault="000447ED" w:rsidP="00763BCF">
            <w:pPr>
              <w:pStyle w:val="ENoteTableText"/>
              <w:tabs>
                <w:tab w:val="center" w:leader="dot" w:pos="2268"/>
              </w:tabs>
            </w:pPr>
            <w:r w:rsidRPr="005E3B43">
              <w:t>r. 42ZCM</w:t>
            </w:r>
            <w:r w:rsidRPr="005E3B43">
              <w:tab/>
            </w:r>
          </w:p>
        </w:tc>
        <w:tc>
          <w:tcPr>
            <w:tcW w:w="3505" w:type="pct"/>
          </w:tcPr>
          <w:p w14:paraId="0CB388E1"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0397410B" w14:textId="77777777" w:rsidTr="00034EA9">
        <w:trPr>
          <w:cantSplit/>
        </w:trPr>
        <w:tc>
          <w:tcPr>
            <w:tcW w:w="1495" w:type="pct"/>
          </w:tcPr>
          <w:p w14:paraId="5B0C5855" w14:textId="77777777" w:rsidR="000447ED" w:rsidRPr="005E3B43" w:rsidRDefault="000447ED" w:rsidP="00763BCF">
            <w:pPr>
              <w:pStyle w:val="ENoteTableText"/>
            </w:pPr>
          </w:p>
        </w:tc>
        <w:tc>
          <w:tcPr>
            <w:tcW w:w="3505" w:type="pct"/>
          </w:tcPr>
          <w:p w14:paraId="03A59D7C"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43AF969C" w14:textId="77777777" w:rsidTr="00034EA9">
        <w:trPr>
          <w:cantSplit/>
        </w:trPr>
        <w:tc>
          <w:tcPr>
            <w:tcW w:w="1495" w:type="pct"/>
          </w:tcPr>
          <w:p w14:paraId="5CA6EFCD" w14:textId="77777777" w:rsidR="000447ED" w:rsidRPr="005E3B43" w:rsidRDefault="001D597E" w:rsidP="00763BCF">
            <w:pPr>
              <w:pStyle w:val="ENoteTableText"/>
              <w:tabs>
                <w:tab w:val="center" w:leader="dot" w:pos="2268"/>
              </w:tabs>
            </w:pPr>
            <w:r w:rsidRPr="005E3B43">
              <w:lastRenderedPageBreak/>
              <w:t>r</w:t>
            </w:r>
            <w:r w:rsidR="000447ED" w:rsidRPr="005E3B43">
              <w:t xml:space="preserve"> 42ZCN</w:t>
            </w:r>
            <w:r w:rsidR="000447ED" w:rsidRPr="005E3B43">
              <w:tab/>
            </w:r>
          </w:p>
        </w:tc>
        <w:tc>
          <w:tcPr>
            <w:tcW w:w="3505" w:type="pct"/>
          </w:tcPr>
          <w:p w14:paraId="0B4A7D24" w14:textId="77777777" w:rsidR="000447ED" w:rsidRPr="005E3B43" w:rsidRDefault="000447ED" w:rsidP="00763BCF">
            <w:pPr>
              <w:pStyle w:val="ENoteTableText"/>
            </w:pPr>
            <w:r w:rsidRPr="005E3B43">
              <w:t>ad No</w:t>
            </w:r>
            <w:r w:rsidR="00254739" w:rsidRPr="005E3B43">
              <w:t> </w:t>
            </w:r>
            <w:r w:rsidRPr="005E3B43">
              <w:t>209</w:t>
            </w:r>
            <w:r w:rsidR="001D597E" w:rsidRPr="005E3B43">
              <w:t>, 1999</w:t>
            </w:r>
          </w:p>
        </w:tc>
      </w:tr>
      <w:tr w:rsidR="000447ED" w:rsidRPr="005E3B43" w14:paraId="549FBC5A" w14:textId="77777777" w:rsidTr="00034EA9">
        <w:trPr>
          <w:cantSplit/>
        </w:trPr>
        <w:tc>
          <w:tcPr>
            <w:tcW w:w="1495" w:type="pct"/>
          </w:tcPr>
          <w:p w14:paraId="4231B1EB" w14:textId="77777777" w:rsidR="000447ED" w:rsidRPr="005E3B43" w:rsidRDefault="000447ED" w:rsidP="00763BCF">
            <w:pPr>
              <w:pStyle w:val="ENoteTableText"/>
            </w:pPr>
          </w:p>
        </w:tc>
        <w:tc>
          <w:tcPr>
            <w:tcW w:w="3505" w:type="pct"/>
          </w:tcPr>
          <w:p w14:paraId="078356A5" w14:textId="77777777" w:rsidR="000447ED" w:rsidRPr="005E3B43" w:rsidRDefault="000447ED" w:rsidP="00763BCF">
            <w:pPr>
              <w:pStyle w:val="ENoteTableText"/>
            </w:pPr>
            <w:r w:rsidRPr="005E3B43">
              <w:t>rs No</w:t>
            </w:r>
            <w:r w:rsidR="00254739" w:rsidRPr="005E3B43">
              <w:t> </w:t>
            </w:r>
            <w:r w:rsidRPr="005E3B43">
              <w:t>129</w:t>
            </w:r>
            <w:r w:rsidR="001D597E" w:rsidRPr="005E3B43">
              <w:t>, 2010</w:t>
            </w:r>
          </w:p>
        </w:tc>
      </w:tr>
      <w:tr w:rsidR="00B0488D" w:rsidRPr="005E3B43" w14:paraId="71C6FA83" w14:textId="77777777" w:rsidTr="00034EA9">
        <w:trPr>
          <w:cantSplit/>
        </w:trPr>
        <w:tc>
          <w:tcPr>
            <w:tcW w:w="1495" w:type="pct"/>
          </w:tcPr>
          <w:p w14:paraId="0F099C52" w14:textId="77777777" w:rsidR="00B0488D" w:rsidRPr="005E3B43" w:rsidRDefault="00B0488D" w:rsidP="00763BCF">
            <w:pPr>
              <w:pStyle w:val="ENoteTableText"/>
            </w:pPr>
          </w:p>
        </w:tc>
        <w:tc>
          <w:tcPr>
            <w:tcW w:w="3505" w:type="pct"/>
          </w:tcPr>
          <w:p w14:paraId="7EBE9E2C" w14:textId="77777777" w:rsidR="00B0488D" w:rsidRPr="005E3B43" w:rsidRDefault="00B0488D" w:rsidP="00763BCF">
            <w:pPr>
              <w:pStyle w:val="ENoteTableText"/>
            </w:pPr>
            <w:r w:rsidRPr="005E3B43">
              <w:t>am F2019L00109</w:t>
            </w:r>
          </w:p>
        </w:tc>
      </w:tr>
      <w:tr w:rsidR="000447ED" w:rsidRPr="005E3B43" w14:paraId="022A0C55" w14:textId="77777777" w:rsidTr="00034EA9">
        <w:trPr>
          <w:cantSplit/>
        </w:trPr>
        <w:tc>
          <w:tcPr>
            <w:tcW w:w="1495" w:type="pct"/>
          </w:tcPr>
          <w:p w14:paraId="79856F98" w14:textId="77777777" w:rsidR="000447ED" w:rsidRPr="005E3B43" w:rsidRDefault="000447ED" w:rsidP="00763BCF">
            <w:pPr>
              <w:pStyle w:val="ENoteTableText"/>
              <w:tabs>
                <w:tab w:val="center" w:leader="dot" w:pos="2268"/>
              </w:tabs>
            </w:pPr>
            <w:r w:rsidRPr="005E3B43">
              <w:t>r. 42ZCO</w:t>
            </w:r>
            <w:r w:rsidRPr="005E3B43">
              <w:tab/>
            </w:r>
          </w:p>
        </w:tc>
        <w:tc>
          <w:tcPr>
            <w:tcW w:w="3505" w:type="pct"/>
          </w:tcPr>
          <w:p w14:paraId="0F170BBD"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5179D7C0" w14:textId="77777777" w:rsidTr="00034EA9">
        <w:trPr>
          <w:cantSplit/>
        </w:trPr>
        <w:tc>
          <w:tcPr>
            <w:tcW w:w="1495" w:type="pct"/>
          </w:tcPr>
          <w:p w14:paraId="2227D4F9" w14:textId="77777777" w:rsidR="000447ED" w:rsidRPr="005E3B43" w:rsidRDefault="000447ED" w:rsidP="00763BCF">
            <w:pPr>
              <w:pStyle w:val="ENoteTableText"/>
            </w:pPr>
          </w:p>
        </w:tc>
        <w:tc>
          <w:tcPr>
            <w:tcW w:w="3505" w:type="pct"/>
          </w:tcPr>
          <w:p w14:paraId="6D2221DC"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1FDB9FA2" w14:textId="77777777" w:rsidTr="00034EA9">
        <w:trPr>
          <w:cantSplit/>
        </w:trPr>
        <w:tc>
          <w:tcPr>
            <w:tcW w:w="1495" w:type="pct"/>
          </w:tcPr>
          <w:p w14:paraId="4A56D111" w14:textId="77777777" w:rsidR="000447ED" w:rsidRPr="005E3B43" w:rsidRDefault="000447ED" w:rsidP="00763BCF">
            <w:pPr>
              <w:pStyle w:val="ENoteTableText"/>
              <w:tabs>
                <w:tab w:val="center" w:leader="dot" w:pos="2268"/>
              </w:tabs>
            </w:pPr>
            <w:r w:rsidRPr="005E3B43">
              <w:t>r. 42ZCP</w:t>
            </w:r>
            <w:r w:rsidRPr="005E3B43">
              <w:tab/>
            </w:r>
          </w:p>
        </w:tc>
        <w:tc>
          <w:tcPr>
            <w:tcW w:w="3505" w:type="pct"/>
          </w:tcPr>
          <w:p w14:paraId="7F9F5DBA"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506C689F" w14:textId="77777777" w:rsidTr="00034EA9">
        <w:trPr>
          <w:cantSplit/>
        </w:trPr>
        <w:tc>
          <w:tcPr>
            <w:tcW w:w="1495" w:type="pct"/>
          </w:tcPr>
          <w:p w14:paraId="4787D574" w14:textId="77777777" w:rsidR="000447ED" w:rsidRPr="005E3B43" w:rsidRDefault="000447ED" w:rsidP="00763BCF">
            <w:pPr>
              <w:pStyle w:val="ENoteTableText"/>
            </w:pPr>
          </w:p>
        </w:tc>
        <w:tc>
          <w:tcPr>
            <w:tcW w:w="3505" w:type="pct"/>
          </w:tcPr>
          <w:p w14:paraId="4114A78B"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58C813A5" w14:textId="77777777" w:rsidTr="00034EA9">
        <w:trPr>
          <w:cantSplit/>
        </w:trPr>
        <w:tc>
          <w:tcPr>
            <w:tcW w:w="1495" w:type="pct"/>
          </w:tcPr>
          <w:p w14:paraId="69F66F88" w14:textId="77777777" w:rsidR="000447ED" w:rsidRPr="005E3B43" w:rsidRDefault="00BE7FAC" w:rsidP="00763BCF">
            <w:pPr>
              <w:pStyle w:val="ENoteTableText"/>
              <w:keepNext/>
            </w:pPr>
            <w:r w:rsidRPr="005E3B43">
              <w:rPr>
                <w:b/>
              </w:rPr>
              <w:t>Division 3</w:t>
            </w:r>
            <w:r w:rsidR="000447ED" w:rsidRPr="005E3B43">
              <w:rPr>
                <w:b/>
              </w:rPr>
              <w:t>B</w:t>
            </w:r>
          </w:p>
        </w:tc>
        <w:tc>
          <w:tcPr>
            <w:tcW w:w="3505" w:type="pct"/>
          </w:tcPr>
          <w:p w14:paraId="2E219118" w14:textId="77777777" w:rsidR="000447ED" w:rsidRPr="005E3B43" w:rsidRDefault="000447ED" w:rsidP="00763BCF">
            <w:pPr>
              <w:pStyle w:val="ENoteTableText"/>
              <w:keepNext/>
            </w:pPr>
          </w:p>
        </w:tc>
      </w:tr>
      <w:tr w:rsidR="000447ED" w:rsidRPr="005E3B43" w14:paraId="1534C128" w14:textId="77777777" w:rsidTr="00034EA9">
        <w:trPr>
          <w:cantSplit/>
        </w:trPr>
        <w:tc>
          <w:tcPr>
            <w:tcW w:w="1495" w:type="pct"/>
          </w:tcPr>
          <w:p w14:paraId="0EA67730" w14:textId="77777777" w:rsidR="000447ED" w:rsidRPr="005E3B43" w:rsidRDefault="00BE7FAC" w:rsidP="00763BCF">
            <w:pPr>
              <w:pStyle w:val="ENoteTableText"/>
              <w:tabs>
                <w:tab w:val="center" w:leader="dot" w:pos="2268"/>
              </w:tabs>
            </w:pPr>
            <w:r w:rsidRPr="005E3B43">
              <w:t>Division 3</w:t>
            </w:r>
            <w:r w:rsidR="000447ED" w:rsidRPr="005E3B43">
              <w:t>B</w:t>
            </w:r>
            <w:r w:rsidR="000447ED" w:rsidRPr="005E3B43">
              <w:tab/>
            </w:r>
          </w:p>
        </w:tc>
        <w:tc>
          <w:tcPr>
            <w:tcW w:w="3505" w:type="pct"/>
          </w:tcPr>
          <w:p w14:paraId="2337228A"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5869F4A7" w14:textId="77777777" w:rsidTr="00034EA9">
        <w:trPr>
          <w:cantSplit/>
        </w:trPr>
        <w:tc>
          <w:tcPr>
            <w:tcW w:w="1495" w:type="pct"/>
          </w:tcPr>
          <w:p w14:paraId="23E2D7C7" w14:textId="77777777" w:rsidR="000447ED" w:rsidRPr="005E3B43" w:rsidRDefault="000447ED" w:rsidP="00763BCF">
            <w:pPr>
              <w:pStyle w:val="ENoteTableText"/>
            </w:pPr>
            <w:r w:rsidRPr="005E3B43">
              <w:rPr>
                <w:b/>
              </w:rPr>
              <w:t>Subdivision</w:t>
            </w:r>
            <w:r w:rsidR="004E6D00" w:rsidRPr="005E3B43">
              <w:rPr>
                <w:b/>
              </w:rPr>
              <w:t> </w:t>
            </w:r>
            <w:r w:rsidRPr="005E3B43">
              <w:rPr>
                <w:b/>
              </w:rPr>
              <w:t>3B.1</w:t>
            </w:r>
          </w:p>
        </w:tc>
        <w:tc>
          <w:tcPr>
            <w:tcW w:w="3505" w:type="pct"/>
          </w:tcPr>
          <w:p w14:paraId="507CA244" w14:textId="77777777" w:rsidR="000447ED" w:rsidRPr="005E3B43" w:rsidRDefault="000447ED" w:rsidP="00763BCF">
            <w:pPr>
              <w:pStyle w:val="ENoteTableText"/>
            </w:pPr>
          </w:p>
        </w:tc>
      </w:tr>
      <w:tr w:rsidR="000447ED" w:rsidRPr="005E3B43" w14:paraId="7273A5E8" w14:textId="77777777" w:rsidTr="00034EA9">
        <w:trPr>
          <w:cantSplit/>
        </w:trPr>
        <w:tc>
          <w:tcPr>
            <w:tcW w:w="1495" w:type="pct"/>
          </w:tcPr>
          <w:p w14:paraId="73DB7E5C" w14:textId="77777777" w:rsidR="000447ED" w:rsidRPr="005E3B43" w:rsidRDefault="000447ED" w:rsidP="00763BCF">
            <w:pPr>
              <w:pStyle w:val="ENoteTableText"/>
              <w:tabs>
                <w:tab w:val="center" w:leader="dot" w:pos="2268"/>
              </w:tabs>
            </w:pPr>
            <w:r w:rsidRPr="005E3B43">
              <w:t>r. 42ZCQ</w:t>
            </w:r>
            <w:r w:rsidRPr="005E3B43">
              <w:tab/>
            </w:r>
          </w:p>
        </w:tc>
        <w:tc>
          <w:tcPr>
            <w:tcW w:w="3505" w:type="pct"/>
          </w:tcPr>
          <w:p w14:paraId="468B8B81"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36856AC5" w14:textId="77777777" w:rsidTr="00034EA9">
        <w:trPr>
          <w:cantSplit/>
        </w:trPr>
        <w:tc>
          <w:tcPr>
            <w:tcW w:w="1495" w:type="pct"/>
          </w:tcPr>
          <w:p w14:paraId="59B0B183" w14:textId="77777777" w:rsidR="000447ED" w:rsidRPr="005E3B43" w:rsidRDefault="000447ED" w:rsidP="00763BCF">
            <w:pPr>
              <w:pStyle w:val="ENoteTableText"/>
            </w:pPr>
          </w:p>
        </w:tc>
        <w:tc>
          <w:tcPr>
            <w:tcW w:w="3505" w:type="pct"/>
          </w:tcPr>
          <w:p w14:paraId="6A96CEB8"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1198DD80" w14:textId="77777777" w:rsidTr="00034EA9">
        <w:trPr>
          <w:cantSplit/>
        </w:trPr>
        <w:tc>
          <w:tcPr>
            <w:tcW w:w="1495" w:type="pct"/>
          </w:tcPr>
          <w:p w14:paraId="375DE00F" w14:textId="77777777" w:rsidR="000447ED" w:rsidRPr="005E3B43" w:rsidRDefault="000447ED" w:rsidP="00763BCF">
            <w:pPr>
              <w:pStyle w:val="ENoteTableText"/>
              <w:keepNext/>
            </w:pPr>
            <w:r w:rsidRPr="005E3B43">
              <w:rPr>
                <w:b/>
              </w:rPr>
              <w:t>Subdivision</w:t>
            </w:r>
            <w:r w:rsidR="004E6D00" w:rsidRPr="005E3B43">
              <w:rPr>
                <w:b/>
              </w:rPr>
              <w:t> </w:t>
            </w:r>
            <w:r w:rsidRPr="005E3B43">
              <w:rPr>
                <w:b/>
              </w:rPr>
              <w:t>3B.2</w:t>
            </w:r>
          </w:p>
        </w:tc>
        <w:tc>
          <w:tcPr>
            <w:tcW w:w="3505" w:type="pct"/>
          </w:tcPr>
          <w:p w14:paraId="276966C8" w14:textId="77777777" w:rsidR="000447ED" w:rsidRPr="005E3B43" w:rsidRDefault="000447ED" w:rsidP="00763BCF">
            <w:pPr>
              <w:pStyle w:val="ENoteTableText"/>
            </w:pPr>
          </w:p>
        </w:tc>
      </w:tr>
      <w:tr w:rsidR="000447ED" w:rsidRPr="005E3B43" w14:paraId="164D4DF9" w14:textId="77777777" w:rsidTr="00034EA9">
        <w:trPr>
          <w:cantSplit/>
        </w:trPr>
        <w:tc>
          <w:tcPr>
            <w:tcW w:w="1495" w:type="pct"/>
          </w:tcPr>
          <w:p w14:paraId="30763EFC" w14:textId="77777777" w:rsidR="000447ED" w:rsidRPr="005E3B43" w:rsidRDefault="000447ED" w:rsidP="00763BCF">
            <w:pPr>
              <w:pStyle w:val="ENoteTableText"/>
              <w:tabs>
                <w:tab w:val="center" w:leader="dot" w:pos="2268"/>
              </w:tabs>
            </w:pPr>
            <w:r w:rsidRPr="005E3B43">
              <w:t>r. 42ZCR</w:t>
            </w:r>
            <w:r w:rsidRPr="005E3B43">
              <w:tab/>
            </w:r>
          </w:p>
        </w:tc>
        <w:tc>
          <w:tcPr>
            <w:tcW w:w="3505" w:type="pct"/>
          </w:tcPr>
          <w:p w14:paraId="435B07F6"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34E51E78" w14:textId="77777777" w:rsidTr="00034EA9">
        <w:trPr>
          <w:cantSplit/>
        </w:trPr>
        <w:tc>
          <w:tcPr>
            <w:tcW w:w="1495" w:type="pct"/>
          </w:tcPr>
          <w:p w14:paraId="2EB5089F" w14:textId="77777777" w:rsidR="000447ED" w:rsidRPr="005E3B43" w:rsidRDefault="000447ED" w:rsidP="00763BCF">
            <w:pPr>
              <w:pStyle w:val="ENoteTableText"/>
            </w:pPr>
          </w:p>
        </w:tc>
        <w:tc>
          <w:tcPr>
            <w:tcW w:w="3505" w:type="pct"/>
          </w:tcPr>
          <w:p w14:paraId="72189A52"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2AB2D190" w14:textId="77777777" w:rsidTr="00034EA9">
        <w:trPr>
          <w:cantSplit/>
        </w:trPr>
        <w:tc>
          <w:tcPr>
            <w:tcW w:w="1495" w:type="pct"/>
          </w:tcPr>
          <w:p w14:paraId="54CEC3F9" w14:textId="77777777" w:rsidR="000447ED" w:rsidRPr="005E3B43" w:rsidRDefault="001D597E" w:rsidP="00763BCF">
            <w:pPr>
              <w:pStyle w:val="ENoteTableText"/>
              <w:tabs>
                <w:tab w:val="center" w:leader="dot" w:pos="2268"/>
              </w:tabs>
            </w:pPr>
            <w:r w:rsidRPr="005E3B43">
              <w:t>r</w:t>
            </w:r>
            <w:r w:rsidR="000447ED" w:rsidRPr="005E3B43">
              <w:t xml:space="preserve"> 42ZCS</w:t>
            </w:r>
            <w:r w:rsidR="000447ED" w:rsidRPr="005E3B43">
              <w:tab/>
            </w:r>
          </w:p>
        </w:tc>
        <w:tc>
          <w:tcPr>
            <w:tcW w:w="3505" w:type="pct"/>
          </w:tcPr>
          <w:p w14:paraId="1B411441" w14:textId="77777777" w:rsidR="000447ED" w:rsidRPr="005E3B43" w:rsidRDefault="000447ED" w:rsidP="00763BCF">
            <w:pPr>
              <w:pStyle w:val="ENoteTableText"/>
            </w:pPr>
            <w:r w:rsidRPr="005E3B43">
              <w:t>ad No</w:t>
            </w:r>
            <w:r w:rsidR="00254739" w:rsidRPr="005E3B43">
              <w:t> </w:t>
            </w:r>
            <w:r w:rsidRPr="005E3B43">
              <w:t>209</w:t>
            </w:r>
            <w:r w:rsidR="001D597E" w:rsidRPr="005E3B43">
              <w:t>, 1999</w:t>
            </w:r>
          </w:p>
        </w:tc>
      </w:tr>
      <w:tr w:rsidR="000447ED" w:rsidRPr="005E3B43" w14:paraId="0460CA1B" w14:textId="77777777" w:rsidTr="00034EA9">
        <w:trPr>
          <w:cantSplit/>
        </w:trPr>
        <w:tc>
          <w:tcPr>
            <w:tcW w:w="1495" w:type="pct"/>
          </w:tcPr>
          <w:p w14:paraId="291E53E3" w14:textId="77777777" w:rsidR="000447ED" w:rsidRPr="005E3B43" w:rsidRDefault="000447ED" w:rsidP="00763BCF">
            <w:pPr>
              <w:pStyle w:val="ENoteTableText"/>
            </w:pPr>
          </w:p>
        </w:tc>
        <w:tc>
          <w:tcPr>
            <w:tcW w:w="3505" w:type="pct"/>
          </w:tcPr>
          <w:p w14:paraId="0B84E563" w14:textId="77777777" w:rsidR="000447ED" w:rsidRPr="005E3B43" w:rsidRDefault="000447ED" w:rsidP="00763BCF">
            <w:pPr>
              <w:pStyle w:val="ENoteTableText"/>
            </w:pPr>
            <w:r w:rsidRPr="005E3B43">
              <w:t>rs No</w:t>
            </w:r>
            <w:r w:rsidR="00254739" w:rsidRPr="005E3B43">
              <w:t> </w:t>
            </w:r>
            <w:r w:rsidRPr="005E3B43">
              <w:t>129</w:t>
            </w:r>
            <w:r w:rsidR="001D597E" w:rsidRPr="005E3B43">
              <w:t>, 2010</w:t>
            </w:r>
          </w:p>
        </w:tc>
      </w:tr>
      <w:tr w:rsidR="00B0488D" w:rsidRPr="005E3B43" w14:paraId="2629A230" w14:textId="77777777" w:rsidTr="00034EA9">
        <w:trPr>
          <w:cantSplit/>
        </w:trPr>
        <w:tc>
          <w:tcPr>
            <w:tcW w:w="1495" w:type="pct"/>
          </w:tcPr>
          <w:p w14:paraId="103617B2" w14:textId="77777777" w:rsidR="00B0488D" w:rsidRPr="005E3B43" w:rsidRDefault="00B0488D" w:rsidP="00763BCF">
            <w:pPr>
              <w:pStyle w:val="ENoteTableText"/>
            </w:pPr>
          </w:p>
        </w:tc>
        <w:tc>
          <w:tcPr>
            <w:tcW w:w="3505" w:type="pct"/>
          </w:tcPr>
          <w:p w14:paraId="0637CFC0" w14:textId="77777777" w:rsidR="00B0488D" w:rsidRPr="005E3B43" w:rsidRDefault="00B0488D" w:rsidP="00763BCF">
            <w:pPr>
              <w:pStyle w:val="ENoteTableText"/>
            </w:pPr>
            <w:r w:rsidRPr="005E3B43">
              <w:t>am F2019L00109</w:t>
            </w:r>
          </w:p>
        </w:tc>
      </w:tr>
      <w:tr w:rsidR="000447ED" w:rsidRPr="005E3B43" w14:paraId="1566ED91" w14:textId="77777777" w:rsidTr="00034EA9">
        <w:trPr>
          <w:cantSplit/>
        </w:trPr>
        <w:tc>
          <w:tcPr>
            <w:tcW w:w="1495" w:type="pct"/>
          </w:tcPr>
          <w:p w14:paraId="263FD013" w14:textId="77777777" w:rsidR="000447ED" w:rsidRPr="005E3B43" w:rsidRDefault="000447ED" w:rsidP="00763BCF">
            <w:pPr>
              <w:pStyle w:val="ENoteTableText"/>
              <w:tabs>
                <w:tab w:val="center" w:leader="dot" w:pos="2268"/>
              </w:tabs>
            </w:pPr>
            <w:r w:rsidRPr="005E3B43">
              <w:t>r. 42ZCT</w:t>
            </w:r>
            <w:r w:rsidRPr="005E3B43">
              <w:tab/>
            </w:r>
          </w:p>
        </w:tc>
        <w:tc>
          <w:tcPr>
            <w:tcW w:w="3505" w:type="pct"/>
          </w:tcPr>
          <w:p w14:paraId="791E2B10"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63A638FE" w14:textId="77777777" w:rsidTr="00034EA9">
        <w:trPr>
          <w:cantSplit/>
        </w:trPr>
        <w:tc>
          <w:tcPr>
            <w:tcW w:w="1495" w:type="pct"/>
          </w:tcPr>
          <w:p w14:paraId="28B484C1" w14:textId="77777777" w:rsidR="000447ED" w:rsidRPr="005E3B43" w:rsidRDefault="000447ED" w:rsidP="00763BCF">
            <w:pPr>
              <w:pStyle w:val="ENoteTableText"/>
            </w:pPr>
          </w:p>
        </w:tc>
        <w:tc>
          <w:tcPr>
            <w:tcW w:w="3505" w:type="pct"/>
          </w:tcPr>
          <w:p w14:paraId="3055B8FB"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56775B2E" w14:textId="77777777" w:rsidTr="00034EA9">
        <w:trPr>
          <w:cantSplit/>
        </w:trPr>
        <w:tc>
          <w:tcPr>
            <w:tcW w:w="1495" w:type="pct"/>
          </w:tcPr>
          <w:p w14:paraId="7AE550DF" w14:textId="77777777" w:rsidR="000447ED" w:rsidRPr="005E3B43" w:rsidRDefault="000447ED" w:rsidP="00763BCF">
            <w:pPr>
              <w:pStyle w:val="ENoteTableText"/>
              <w:tabs>
                <w:tab w:val="center" w:leader="dot" w:pos="2268"/>
              </w:tabs>
            </w:pPr>
            <w:r w:rsidRPr="005E3B43">
              <w:t>r. 42ZCU</w:t>
            </w:r>
            <w:r w:rsidRPr="005E3B43">
              <w:tab/>
            </w:r>
          </w:p>
        </w:tc>
        <w:tc>
          <w:tcPr>
            <w:tcW w:w="3505" w:type="pct"/>
          </w:tcPr>
          <w:p w14:paraId="4A5C6ABB"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06DB42A1" w14:textId="77777777" w:rsidTr="00034EA9">
        <w:trPr>
          <w:cantSplit/>
        </w:trPr>
        <w:tc>
          <w:tcPr>
            <w:tcW w:w="1495" w:type="pct"/>
          </w:tcPr>
          <w:p w14:paraId="3BF1C5FC" w14:textId="77777777" w:rsidR="000447ED" w:rsidRPr="005E3B43" w:rsidRDefault="000447ED" w:rsidP="00763BCF">
            <w:pPr>
              <w:pStyle w:val="ENoteTableText"/>
            </w:pPr>
          </w:p>
        </w:tc>
        <w:tc>
          <w:tcPr>
            <w:tcW w:w="3505" w:type="pct"/>
          </w:tcPr>
          <w:p w14:paraId="454518F5"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61A866FD" w14:textId="77777777" w:rsidTr="00034EA9">
        <w:trPr>
          <w:cantSplit/>
        </w:trPr>
        <w:tc>
          <w:tcPr>
            <w:tcW w:w="1495" w:type="pct"/>
          </w:tcPr>
          <w:p w14:paraId="2497C2E0" w14:textId="77777777" w:rsidR="000447ED" w:rsidRPr="005E3B43" w:rsidRDefault="000447ED" w:rsidP="00763BCF">
            <w:pPr>
              <w:pStyle w:val="ENoteTableText"/>
              <w:tabs>
                <w:tab w:val="center" w:leader="dot" w:pos="2268"/>
              </w:tabs>
            </w:pPr>
            <w:r w:rsidRPr="005E3B43">
              <w:t>r. 42ZCV</w:t>
            </w:r>
            <w:r w:rsidRPr="005E3B43">
              <w:tab/>
            </w:r>
          </w:p>
        </w:tc>
        <w:tc>
          <w:tcPr>
            <w:tcW w:w="3505" w:type="pct"/>
          </w:tcPr>
          <w:p w14:paraId="6D1BE18A"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0130C26A" w14:textId="77777777" w:rsidTr="00034EA9">
        <w:trPr>
          <w:cantSplit/>
        </w:trPr>
        <w:tc>
          <w:tcPr>
            <w:tcW w:w="1495" w:type="pct"/>
          </w:tcPr>
          <w:p w14:paraId="1483DB7E" w14:textId="77777777" w:rsidR="000447ED" w:rsidRPr="005E3B43" w:rsidRDefault="000447ED" w:rsidP="00763BCF">
            <w:pPr>
              <w:pStyle w:val="ENoteTableText"/>
            </w:pPr>
          </w:p>
        </w:tc>
        <w:tc>
          <w:tcPr>
            <w:tcW w:w="3505" w:type="pct"/>
          </w:tcPr>
          <w:p w14:paraId="2188339D"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3DDC290E" w14:textId="77777777" w:rsidTr="00034EA9">
        <w:trPr>
          <w:cantSplit/>
        </w:trPr>
        <w:tc>
          <w:tcPr>
            <w:tcW w:w="1495" w:type="pct"/>
          </w:tcPr>
          <w:p w14:paraId="469F0EB6" w14:textId="77777777" w:rsidR="000447ED" w:rsidRPr="005E3B43" w:rsidRDefault="000447ED" w:rsidP="00763BCF">
            <w:pPr>
              <w:pStyle w:val="ENoteTableText"/>
              <w:tabs>
                <w:tab w:val="center" w:leader="dot" w:pos="2268"/>
              </w:tabs>
            </w:pPr>
            <w:r w:rsidRPr="005E3B43">
              <w:t>r. 42ZCW</w:t>
            </w:r>
            <w:r w:rsidRPr="005E3B43">
              <w:tab/>
            </w:r>
          </w:p>
        </w:tc>
        <w:tc>
          <w:tcPr>
            <w:tcW w:w="3505" w:type="pct"/>
          </w:tcPr>
          <w:p w14:paraId="5F042A6B"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11744EEB" w14:textId="77777777" w:rsidTr="00034EA9">
        <w:trPr>
          <w:cantSplit/>
        </w:trPr>
        <w:tc>
          <w:tcPr>
            <w:tcW w:w="1495" w:type="pct"/>
          </w:tcPr>
          <w:p w14:paraId="421FE44A" w14:textId="77777777" w:rsidR="000447ED" w:rsidRPr="005E3B43" w:rsidRDefault="000447ED" w:rsidP="00763BCF">
            <w:pPr>
              <w:pStyle w:val="ENoteTableText"/>
            </w:pPr>
          </w:p>
        </w:tc>
        <w:tc>
          <w:tcPr>
            <w:tcW w:w="3505" w:type="pct"/>
          </w:tcPr>
          <w:p w14:paraId="5C85BB6E"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116806FB" w14:textId="77777777" w:rsidTr="00034EA9">
        <w:trPr>
          <w:cantSplit/>
        </w:trPr>
        <w:tc>
          <w:tcPr>
            <w:tcW w:w="1495" w:type="pct"/>
          </w:tcPr>
          <w:p w14:paraId="36044CB0" w14:textId="77777777" w:rsidR="000447ED" w:rsidRPr="005E3B43" w:rsidRDefault="000447ED" w:rsidP="00763BCF">
            <w:pPr>
              <w:pStyle w:val="ENoteTableText"/>
              <w:tabs>
                <w:tab w:val="center" w:leader="dot" w:pos="2268"/>
              </w:tabs>
            </w:pPr>
            <w:r w:rsidRPr="005E3B43">
              <w:t>r. 42ZCX</w:t>
            </w:r>
            <w:r w:rsidRPr="005E3B43">
              <w:tab/>
            </w:r>
          </w:p>
        </w:tc>
        <w:tc>
          <w:tcPr>
            <w:tcW w:w="3505" w:type="pct"/>
          </w:tcPr>
          <w:p w14:paraId="5DFEC212"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5A86A51E" w14:textId="77777777" w:rsidTr="00034EA9">
        <w:trPr>
          <w:cantSplit/>
        </w:trPr>
        <w:tc>
          <w:tcPr>
            <w:tcW w:w="1495" w:type="pct"/>
          </w:tcPr>
          <w:p w14:paraId="5EE087E0" w14:textId="77777777" w:rsidR="000447ED" w:rsidRPr="005E3B43" w:rsidRDefault="000447ED" w:rsidP="00763BCF">
            <w:pPr>
              <w:pStyle w:val="ENoteTableText"/>
            </w:pPr>
          </w:p>
        </w:tc>
        <w:tc>
          <w:tcPr>
            <w:tcW w:w="3505" w:type="pct"/>
          </w:tcPr>
          <w:p w14:paraId="66C97B28"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5935791A" w14:textId="77777777" w:rsidTr="00034EA9">
        <w:trPr>
          <w:cantSplit/>
        </w:trPr>
        <w:tc>
          <w:tcPr>
            <w:tcW w:w="1495" w:type="pct"/>
          </w:tcPr>
          <w:p w14:paraId="7A7945D7" w14:textId="77777777" w:rsidR="000447ED" w:rsidRPr="005E3B43" w:rsidRDefault="000447ED" w:rsidP="00763BCF">
            <w:pPr>
              <w:pStyle w:val="ENoteTableText"/>
              <w:tabs>
                <w:tab w:val="center" w:leader="dot" w:pos="2268"/>
              </w:tabs>
            </w:pPr>
            <w:r w:rsidRPr="005E3B43">
              <w:t>r. 42ZCY</w:t>
            </w:r>
            <w:r w:rsidRPr="005E3B43">
              <w:tab/>
            </w:r>
          </w:p>
        </w:tc>
        <w:tc>
          <w:tcPr>
            <w:tcW w:w="3505" w:type="pct"/>
          </w:tcPr>
          <w:p w14:paraId="1979300F"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3F150E53" w14:textId="77777777" w:rsidTr="00034EA9">
        <w:trPr>
          <w:cantSplit/>
        </w:trPr>
        <w:tc>
          <w:tcPr>
            <w:tcW w:w="1495" w:type="pct"/>
          </w:tcPr>
          <w:p w14:paraId="7373C97C" w14:textId="77777777" w:rsidR="000447ED" w:rsidRPr="005E3B43" w:rsidRDefault="000447ED" w:rsidP="00763BCF">
            <w:pPr>
              <w:pStyle w:val="ENoteTableText"/>
            </w:pPr>
          </w:p>
        </w:tc>
        <w:tc>
          <w:tcPr>
            <w:tcW w:w="3505" w:type="pct"/>
          </w:tcPr>
          <w:p w14:paraId="3C05A198"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56D5BF50" w14:textId="77777777" w:rsidTr="00034EA9">
        <w:trPr>
          <w:cantSplit/>
        </w:trPr>
        <w:tc>
          <w:tcPr>
            <w:tcW w:w="1495" w:type="pct"/>
          </w:tcPr>
          <w:p w14:paraId="25D35248" w14:textId="77777777" w:rsidR="000447ED" w:rsidRPr="005E3B43" w:rsidRDefault="000447ED" w:rsidP="00763BCF">
            <w:pPr>
              <w:pStyle w:val="ENoteTableText"/>
              <w:tabs>
                <w:tab w:val="center" w:leader="dot" w:pos="2268"/>
              </w:tabs>
            </w:pPr>
            <w:r w:rsidRPr="005E3B43">
              <w:t>r. 42ZCZ</w:t>
            </w:r>
            <w:r w:rsidRPr="005E3B43">
              <w:tab/>
            </w:r>
          </w:p>
        </w:tc>
        <w:tc>
          <w:tcPr>
            <w:tcW w:w="3505" w:type="pct"/>
          </w:tcPr>
          <w:p w14:paraId="37085C9D"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18148747" w14:textId="77777777" w:rsidTr="00034EA9">
        <w:trPr>
          <w:cantSplit/>
        </w:trPr>
        <w:tc>
          <w:tcPr>
            <w:tcW w:w="1495" w:type="pct"/>
          </w:tcPr>
          <w:p w14:paraId="61193674" w14:textId="77777777" w:rsidR="000447ED" w:rsidRPr="005E3B43" w:rsidRDefault="000447ED" w:rsidP="00763BCF">
            <w:pPr>
              <w:pStyle w:val="ENoteTableText"/>
            </w:pPr>
          </w:p>
        </w:tc>
        <w:tc>
          <w:tcPr>
            <w:tcW w:w="3505" w:type="pct"/>
          </w:tcPr>
          <w:p w14:paraId="1F4AEA8B"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47DE2E2A" w14:textId="77777777" w:rsidTr="00034EA9">
        <w:trPr>
          <w:cantSplit/>
        </w:trPr>
        <w:tc>
          <w:tcPr>
            <w:tcW w:w="1495" w:type="pct"/>
          </w:tcPr>
          <w:p w14:paraId="66966BC8" w14:textId="77777777" w:rsidR="000447ED" w:rsidRPr="005E3B43" w:rsidRDefault="000447ED" w:rsidP="00763BCF">
            <w:pPr>
              <w:pStyle w:val="ENoteTableText"/>
              <w:keepNext/>
            </w:pPr>
            <w:r w:rsidRPr="005E3B43">
              <w:rPr>
                <w:b/>
              </w:rPr>
              <w:t>Subdivision</w:t>
            </w:r>
            <w:r w:rsidR="004E6D00" w:rsidRPr="005E3B43">
              <w:rPr>
                <w:b/>
              </w:rPr>
              <w:t> </w:t>
            </w:r>
            <w:r w:rsidRPr="005E3B43">
              <w:rPr>
                <w:b/>
              </w:rPr>
              <w:t>3B.3</w:t>
            </w:r>
          </w:p>
        </w:tc>
        <w:tc>
          <w:tcPr>
            <w:tcW w:w="3505" w:type="pct"/>
          </w:tcPr>
          <w:p w14:paraId="33B1D251" w14:textId="77777777" w:rsidR="000447ED" w:rsidRPr="005E3B43" w:rsidRDefault="000447ED" w:rsidP="00763BCF">
            <w:pPr>
              <w:pStyle w:val="ENoteTableText"/>
            </w:pPr>
          </w:p>
        </w:tc>
      </w:tr>
      <w:tr w:rsidR="000447ED" w:rsidRPr="005E3B43" w14:paraId="0160CC01" w14:textId="77777777" w:rsidTr="00034EA9">
        <w:trPr>
          <w:cantSplit/>
        </w:trPr>
        <w:tc>
          <w:tcPr>
            <w:tcW w:w="1495" w:type="pct"/>
          </w:tcPr>
          <w:p w14:paraId="319DD8B3" w14:textId="77777777" w:rsidR="000447ED" w:rsidRPr="005E3B43" w:rsidRDefault="000447ED" w:rsidP="00763BCF">
            <w:pPr>
              <w:pStyle w:val="ENoteTableText"/>
              <w:tabs>
                <w:tab w:val="center" w:leader="dot" w:pos="2268"/>
              </w:tabs>
            </w:pPr>
            <w:r w:rsidRPr="005E3B43">
              <w:t>r. 42ZCZA</w:t>
            </w:r>
            <w:r w:rsidRPr="005E3B43">
              <w:tab/>
            </w:r>
          </w:p>
        </w:tc>
        <w:tc>
          <w:tcPr>
            <w:tcW w:w="3505" w:type="pct"/>
          </w:tcPr>
          <w:p w14:paraId="0F8F23E5"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709BD5C1" w14:textId="77777777" w:rsidTr="00034EA9">
        <w:trPr>
          <w:cantSplit/>
        </w:trPr>
        <w:tc>
          <w:tcPr>
            <w:tcW w:w="1495" w:type="pct"/>
          </w:tcPr>
          <w:p w14:paraId="797F0499" w14:textId="77777777" w:rsidR="000447ED" w:rsidRPr="005E3B43" w:rsidRDefault="000447ED" w:rsidP="00763BCF">
            <w:pPr>
              <w:pStyle w:val="ENoteTableText"/>
            </w:pPr>
          </w:p>
        </w:tc>
        <w:tc>
          <w:tcPr>
            <w:tcW w:w="3505" w:type="pct"/>
          </w:tcPr>
          <w:p w14:paraId="18E0514E"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79777D0B" w14:textId="77777777" w:rsidTr="00034EA9">
        <w:trPr>
          <w:cantSplit/>
        </w:trPr>
        <w:tc>
          <w:tcPr>
            <w:tcW w:w="1495" w:type="pct"/>
          </w:tcPr>
          <w:p w14:paraId="256444B3" w14:textId="77777777" w:rsidR="000447ED" w:rsidRPr="005E3B43" w:rsidRDefault="000447ED" w:rsidP="00763BCF">
            <w:pPr>
              <w:pStyle w:val="ENoteTableText"/>
              <w:tabs>
                <w:tab w:val="center" w:leader="dot" w:pos="2268"/>
              </w:tabs>
            </w:pPr>
            <w:r w:rsidRPr="005E3B43">
              <w:t>r. 42ZCZB</w:t>
            </w:r>
            <w:r w:rsidRPr="005E3B43">
              <w:tab/>
            </w:r>
          </w:p>
        </w:tc>
        <w:tc>
          <w:tcPr>
            <w:tcW w:w="3505" w:type="pct"/>
          </w:tcPr>
          <w:p w14:paraId="12AC5CF9" w14:textId="77777777" w:rsidR="000447ED" w:rsidRPr="005E3B43" w:rsidRDefault="000447ED" w:rsidP="00763BCF">
            <w:pPr>
              <w:pStyle w:val="ENoteTableText"/>
            </w:pPr>
            <w:r w:rsidRPr="005E3B43">
              <w:t>ad. 1999 No.</w:t>
            </w:r>
            <w:r w:rsidR="004E6D00" w:rsidRPr="005E3B43">
              <w:t> </w:t>
            </w:r>
            <w:r w:rsidRPr="005E3B43">
              <w:t>209</w:t>
            </w:r>
          </w:p>
        </w:tc>
      </w:tr>
      <w:tr w:rsidR="000447ED" w:rsidRPr="005E3B43" w14:paraId="3C1FD6B3" w14:textId="77777777" w:rsidTr="00034EA9">
        <w:trPr>
          <w:cantSplit/>
        </w:trPr>
        <w:tc>
          <w:tcPr>
            <w:tcW w:w="1495" w:type="pct"/>
          </w:tcPr>
          <w:p w14:paraId="7804FEDC" w14:textId="77777777" w:rsidR="000447ED" w:rsidRPr="005E3B43" w:rsidRDefault="000447ED" w:rsidP="00763BCF">
            <w:pPr>
              <w:pStyle w:val="ENoteTableText"/>
            </w:pPr>
          </w:p>
        </w:tc>
        <w:tc>
          <w:tcPr>
            <w:tcW w:w="3505" w:type="pct"/>
          </w:tcPr>
          <w:p w14:paraId="72B24577" w14:textId="77777777" w:rsidR="000447ED" w:rsidRPr="005E3B43" w:rsidRDefault="000447ED" w:rsidP="00763BCF">
            <w:pPr>
              <w:pStyle w:val="ENoteTableText"/>
            </w:pPr>
            <w:r w:rsidRPr="005E3B43">
              <w:t>rs. 2010 No.</w:t>
            </w:r>
            <w:r w:rsidR="004E6D00" w:rsidRPr="005E3B43">
              <w:t> </w:t>
            </w:r>
            <w:r w:rsidRPr="005E3B43">
              <w:t>129</w:t>
            </w:r>
          </w:p>
        </w:tc>
      </w:tr>
      <w:tr w:rsidR="000447ED" w:rsidRPr="005E3B43" w14:paraId="49FD1314" w14:textId="77777777" w:rsidTr="00034EA9">
        <w:trPr>
          <w:cantSplit/>
        </w:trPr>
        <w:tc>
          <w:tcPr>
            <w:tcW w:w="1495" w:type="pct"/>
          </w:tcPr>
          <w:p w14:paraId="2C7C5D3B" w14:textId="77777777" w:rsidR="000447ED" w:rsidRPr="005E3B43" w:rsidRDefault="000447ED" w:rsidP="00763BCF">
            <w:pPr>
              <w:pStyle w:val="ENoteTableText"/>
              <w:tabs>
                <w:tab w:val="center" w:leader="dot" w:pos="2268"/>
              </w:tabs>
            </w:pPr>
            <w:r w:rsidRPr="005E3B43">
              <w:t>r. 42ZCZC</w:t>
            </w:r>
            <w:r w:rsidRPr="005E3B43">
              <w:tab/>
            </w:r>
          </w:p>
        </w:tc>
        <w:tc>
          <w:tcPr>
            <w:tcW w:w="3505" w:type="pct"/>
          </w:tcPr>
          <w:p w14:paraId="3A116FDC"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73365B8E" w14:textId="77777777" w:rsidTr="00034EA9">
        <w:trPr>
          <w:cantSplit/>
        </w:trPr>
        <w:tc>
          <w:tcPr>
            <w:tcW w:w="1495" w:type="pct"/>
          </w:tcPr>
          <w:p w14:paraId="0CD1BD09" w14:textId="77777777" w:rsidR="000447ED" w:rsidRPr="005E3B43" w:rsidRDefault="001D597E" w:rsidP="00763BCF">
            <w:pPr>
              <w:pStyle w:val="ENoteTableText"/>
              <w:tabs>
                <w:tab w:val="center" w:leader="dot" w:pos="2268"/>
              </w:tabs>
            </w:pPr>
            <w:r w:rsidRPr="005E3B43">
              <w:t>r</w:t>
            </w:r>
            <w:r w:rsidR="000447ED" w:rsidRPr="005E3B43">
              <w:t xml:space="preserve"> 42ZCZD</w:t>
            </w:r>
            <w:r w:rsidR="000447ED" w:rsidRPr="005E3B43">
              <w:tab/>
            </w:r>
          </w:p>
        </w:tc>
        <w:tc>
          <w:tcPr>
            <w:tcW w:w="3505" w:type="pct"/>
          </w:tcPr>
          <w:p w14:paraId="654DC2C8" w14:textId="77777777" w:rsidR="000447ED" w:rsidRPr="005E3B43" w:rsidRDefault="000447ED" w:rsidP="00763BCF">
            <w:pPr>
              <w:pStyle w:val="ENoteTableText"/>
            </w:pPr>
            <w:r w:rsidRPr="005E3B43">
              <w:t>ad No</w:t>
            </w:r>
            <w:r w:rsidR="00254739" w:rsidRPr="005E3B43">
              <w:t> </w:t>
            </w:r>
            <w:r w:rsidRPr="005E3B43">
              <w:t>129</w:t>
            </w:r>
            <w:r w:rsidR="001D597E" w:rsidRPr="005E3B43">
              <w:t>, 2010</w:t>
            </w:r>
          </w:p>
        </w:tc>
      </w:tr>
      <w:tr w:rsidR="00B0488D" w:rsidRPr="005E3B43" w14:paraId="199ACAB6" w14:textId="77777777" w:rsidTr="00034EA9">
        <w:trPr>
          <w:cantSplit/>
        </w:trPr>
        <w:tc>
          <w:tcPr>
            <w:tcW w:w="1495" w:type="pct"/>
          </w:tcPr>
          <w:p w14:paraId="07633BD1" w14:textId="77777777" w:rsidR="00B0488D" w:rsidRPr="005E3B43" w:rsidRDefault="00B0488D" w:rsidP="00763BCF">
            <w:pPr>
              <w:pStyle w:val="ENoteTableText"/>
              <w:tabs>
                <w:tab w:val="center" w:leader="dot" w:pos="2268"/>
              </w:tabs>
            </w:pPr>
          </w:p>
        </w:tc>
        <w:tc>
          <w:tcPr>
            <w:tcW w:w="3505" w:type="pct"/>
          </w:tcPr>
          <w:p w14:paraId="04FA83B1" w14:textId="77777777" w:rsidR="00B0488D" w:rsidRPr="005E3B43" w:rsidRDefault="00B0488D" w:rsidP="00763BCF">
            <w:pPr>
              <w:pStyle w:val="ENoteTableText"/>
            </w:pPr>
            <w:r w:rsidRPr="005E3B43">
              <w:t>am F2019L00109</w:t>
            </w:r>
          </w:p>
        </w:tc>
      </w:tr>
      <w:tr w:rsidR="000447ED" w:rsidRPr="005E3B43" w14:paraId="262E6711" w14:textId="77777777" w:rsidTr="00034EA9">
        <w:trPr>
          <w:cantSplit/>
        </w:trPr>
        <w:tc>
          <w:tcPr>
            <w:tcW w:w="1495" w:type="pct"/>
          </w:tcPr>
          <w:p w14:paraId="625F5E70" w14:textId="77777777" w:rsidR="000447ED" w:rsidRPr="005E3B43" w:rsidRDefault="000447ED" w:rsidP="00763BCF">
            <w:pPr>
              <w:pStyle w:val="ENoteTableText"/>
              <w:tabs>
                <w:tab w:val="center" w:leader="dot" w:pos="2268"/>
              </w:tabs>
            </w:pPr>
            <w:r w:rsidRPr="005E3B43">
              <w:lastRenderedPageBreak/>
              <w:t>r. 42ZCZE</w:t>
            </w:r>
            <w:r w:rsidRPr="005E3B43">
              <w:tab/>
            </w:r>
          </w:p>
        </w:tc>
        <w:tc>
          <w:tcPr>
            <w:tcW w:w="3505" w:type="pct"/>
          </w:tcPr>
          <w:p w14:paraId="7FB6E2F9"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7DABB90E" w14:textId="77777777" w:rsidTr="00034EA9">
        <w:trPr>
          <w:cantSplit/>
        </w:trPr>
        <w:tc>
          <w:tcPr>
            <w:tcW w:w="1495" w:type="pct"/>
          </w:tcPr>
          <w:p w14:paraId="5D34AD59" w14:textId="77777777" w:rsidR="000447ED" w:rsidRPr="005E3B43" w:rsidRDefault="000447ED" w:rsidP="00763BCF">
            <w:pPr>
              <w:pStyle w:val="ENoteTableText"/>
              <w:tabs>
                <w:tab w:val="center" w:leader="dot" w:pos="2268"/>
              </w:tabs>
            </w:pPr>
            <w:r w:rsidRPr="005E3B43">
              <w:t>r. 42ZCZF</w:t>
            </w:r>
            <w:r w:rsidRPr="005E3B43">
              <w:tab/>
            </w:r>
          </w:p>
        </w:tc>
        <w:tc>
          <w:tcPr>
            <w:tcW w:w="3505" w:type="pct"/>
          </w:tcPr>
          <w:p w14:paraId="48EB15AF"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6753FE3D" w14:textId="77777777" w:rsidTr="00034EA9">
        <w:trPr>
          <w:cantSplit/>
        </w:trPr>
        <w:tc>
          <w:tcPr>
            <w:tcW w:w="1495" w:type="pct"/>
          </w:tcPr>
          <w:p w14:paraId="3FE75029" w14:textId="77777777" w:rsidR="000447ED" w:rsidRPr="005E3B43" w:rsidRDefault="00BE7FAC" w:rsidP="00763BCF">
            <w:pPr>
              <w:pStyle w:val="ENoteTableText"/>
            </w:pPr>
            <w:r w:rsidRPr="005E3B43">
              <w:rPr>
                <w:b/>
              </w:rPr>
              <w:t>Division 3</w:t>
            </w:r>
            <w:r w:rsidR="000447ED" w:rsidRPr="005E3B43">
              <w:rPr>
                <w:b/>
              </w:rPr>
              <w:t>C</w:t>
            </w:r>
          </w:p>
        </w:tc>
        <w:tc>
          <w:tcPr>
            <w:tcW w:w="3505" w:type="pct"/>
          </w:tcPr>
          <w:p w14:paraId="27FB1B53" w14:textId="77777777" w:rsidR="000447ED" w:rsidRPr="005E3B43" w:rsidRDefault="000447ED" w:rsidP="00763BCF">
            <w:pPr>
              <w:pStyle w:val="ENoteTableText"/>
            </w:pPr>
          </w:p>
        </w:tc>
      </w:tr>
      <w:tr w:rsidR="000447ED" w:rsidRPr="005E3B43" w14:paraId="7646502C" w14:textId="77777777" w:rsidTr="00034EA9">
        <w:trPr>
          <w:cantSplit/>
        </w:trPr>
        <w:tc>
          <w:tcPr>
            <w:tcW w:w="1495" w:type="pct"/>
          </w:tcPr>
          <w:p w14:paraId="1C4D681E" w14:textId="77777777" w:rsidR="000447ED" w:rsidRPr="005E3B43" w:rsidRDefault="00BE7FAC" w:rsidP="00763BCF">
            <w:pPr>
              <w:pStyle w:val="ENoteTableText"/>
              <w:tabs>
                <w:tab w:val="center" w:leader="dot" w:pos="2268"/>
              </w:tabs>
            </w:pPr>
            <w:r w:rsidRPr="005E3B43">
              <w:t>Division 3</w:t>
            </w:r>
            <w:r w:rsidR="000447ED" w:rsidRPr="005E3B43">
              <w:t>C</w:t>
            </w:r>
            <w:r w:rsidR="000447ED" w:rsidRPr="005E3B43">
              <w:tab/>
            </w:r>
          </w:p>
        </w:tc>
        <w:tc>
          <w:tcPr>
            <w:tcW w:w="3505" w:type="pct"/>
          </w:tcPr>
          <w:p w14:paraId="60A00756"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5763A1A7" w14:textId="77777777" w:rsidTr="00034EA9">
        <w:trPr>
          <w:cantSplit/>
        </w:trPr>
        <w:tc>
          <w:tcPr>
            <w:tcW w:w="1495" w:type="pct"/>
          </w:tcPr>
          <w:p w14:paraId="027E9156" w14:textId="77777777" w:rsidR="000447ED" w:rsidRPr="005E3B43" w:rsidRDefault="000447ED" w:rsidP="00763BCF">
            <w:pPr>
              <w:pStyle w:val="ENoteTableText"/>
              <w:tabs>
                <w:tab w:val="center" w:leader="dot" w:pos="2268"/>
              </w:tabs>
            </w:pPr>
            <w:r w:rsidRPr="005E3B43">
              <w:t>r. 42ZCZG</w:t>
            </w:r>
            <w:r w:rsidRPr="005E3B43">
              <w:tab/>
            </w:r>
          </w:p>
        </w:tc>
        <w:tc>
          <w:tcPr>
            <w:tcW w:w="3505" w:type="pct"/>
          </w:tcPr>
          <w:p w14:paraId="4C9A52B4"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3A9DDE26" w14:textId="77777777" w:rsidTr="00034EA9">
        <w:trPr>
          <w:cantSplit/>
        </w:trPr>
        <w:tc>
          <w:tcPr>
            <w:tcW w:w="1495" w:type="pct"/>
          </w:tcPr>
          <w:p w14:paraId="243D617B" w14:textId="77777777" w:rsidR="000447ED" w:rsidRPr="005E3B43" w:rsidRDefault="000447ED" w:rsidP="00763BCF">
            <w:pPr>
              <w:pStyle w:val="ENoteTableText"/>
              <w:tabs>
                <w:tab w:val="center" w:leader="dot" w:pos="2268"/>
              </w:tabs>
            </w:pPr>
            <w:r w:rsidRPr="005E3B43">
              <w:t>r. 42ZCZH</w:t>
            </w:r>
            <w:r w:rsidRPr="005E3B43">
              <w:tab/>
            </w:r>
          </w:p>
        </w:tc>
        <w:tc>
          <w:tcPr>
            <w:tcW w:w="3505" w:type="pct"/>
          </w:tcPr>
          <w:p w14:paraId="61D16F0B"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085ED867" w14:textId="77777777" w:rsidTr="00034EA9">
        <w:trPr>
          <w:cantSplit/>
        </w:trPr>
        <w:tc>
          <w:tcPr>
            <w:tcW w:w="1495" w:type="pct"/>
          </w:tcPr>
          <w:p w14:paraId="556039E3" w14:textId="77777777" w:rsidR="000447ED" w:rsidRPr="005E3B43" w:rsidRDefault="00BE7FAC" w:rsidP="00763BCF">
            <w:pPr>
              <w:pStyle w:val="ENoteTableText"/>
              <w:keepNext/>
            </w:pPr>
            <w:r w:rsidRPr="005E3B43">
              <w:rPr>
                <w:b/>
              </w:rPr>
              <w:t>Division 3</w:t>
            </w:r>
            <w:r w:rsidR="000447ED" w:rsidRPr="005E3B43">
              <w:rPr>
                <w:b/>
              </w:rPr>
              <w:t>D</w:t>
            </w:r>
          </w:p>
        </w:tc>
        <w:tc>
          <w:tcPr>
            <w:tcW w:w="3505" w:type="pct"/>
          </w:tcPr>
          <w:p w14:paraId="67998A63" w14:textId="77777777" w:rsidR="000447ED" w:rsidRPr="005E3B43" w:rsidRDefault="000447ED" w:rsidP="00763BCF">
            <w:pPr>
              <w:pStyle w:val="ENoteTableText"/>
              <w:keepNext/>
            </w:pPr>
          </w:p>
        </w:tc>
      </w:tr>
      <w:tr w:rsidR="000447ED" w:rsidRPr="005E3B43" w14:paraId="4AF5D677" w14:textId="77777777" w:rsidTr="00034EA9">
        <w:trPr>
          <w:cantSplit/>
        </w:trPr>
        <w:tc>
          <w:tcPr>
            <w:tcW w:w="1495" w:type="pct"/>
          </w:tcPr>
          <w:p w14:paraId="39A09221" w14:textId="77777777" w:rsidR="000447ED" w:rsidRPr="005E3B43" w:rsidRDefault="00BE7FAC" w:rsidP="00763BCF">
            <w:pPr>
              <w:pStyle w:val="ENoteTableText"/>
              <w:tabs>
                <w:tab w:val="center" w:leader="dot" w:pos="2268"/>
              </w:tabs>
            </w:pPr>
            <w:r w:rsidRPr="005E3B43">
              <w:t>Division 3</w:t>
            </w:r>
            <w:r w:rsidR="000447ED" w:rsidRPr="005E3B43">
              <w:t>D</w:t>
            </w:r>
            <w:r w:rsidR="000447ED" w:rsidRPr="005E3B43">
              <w:tab/>
            </w:r>
          </w:p>
        </w:tc>
        <w:tc>
          <w:tcPr>
            <w:tcW w:w="3505" w:type="pct"/>
          </w:tcPr>
          <w:p w14:paraId="6012C3FE"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7EB4F2F4" w14:textId="77777777" w:rsidTr="00034EA9">
        <w:trPr>
          <w:cantSplit/>
        </w:trPr>
        <w:tc>
          <w:tcPr>
            <w:tcW w:w="1495" w:type="pct"/>
          </w:tcPr>
          <w:p w14:paraId="54318259" w14:textId="77777777" w:rsidR="000447ED" w:rsidRPr="005E3B43" w:rsidRDefault="000447ED" w:rsidP="00763BCF">
            <w:pPr>
              <w:pStyle w:val="ENoteTableText"/>
              <w:keepNext/>
            </w:pPr>
            <w:r w:rsidRPr="005E3B43">
              <w:rPr>
                <w:b/>
              </w:rPr>
              <w:t>Subdivision</w:t>
            </w:r>
            <w:r w:rsidR="004E6D00" w:rsidRPr="005E3B43">
              <w:rPr>
                <w:b/>
              </w:rPr>
              <w:t> </w:t>
            </w:r>
            <w:r w:rsidRPr="005E3B43">
              <w:rPr>
                <w:b/>
              </w:rPr>
              <w:t>3D.1</w:t>
            </w:r>
          </w:p>
        </w:tc>
        <w:tc>
          <w:tcPr>
            <w:tcW w:w="3505" w:type="pct"/>
          </w:tcPr>
          <w:p w14:paraId="0A62787C" w14:textId="77777777" w:rsidR="000447ED" w:rsidRPr="005E3B43" w:rsidRDefault="000447ED" w:rsidP="00763BCF">
            <w:pPr>
              <w:pStyle w:val="ENoteTableText"/>
              <w:keepNext/>
            </w:pPr>
          </w:p>
        </w:tc>
      </w:tr>
      <w:tr w:rsidR="000447ED" w:rsidRPr="005E3B43" w14:paraId="20E5602D" w14:textId="77777777" w:rsidTr="00034EA9">
        <w:trPr>
          <w:cantSplit/>
        </w:trPr>
        <w:tc>
          <w:tcPr>
            <w:tcW w:w="1495" w:type="pct"/>
          </w:tcPr>
          <w:p w14:paraId="7ED96689" w14:textId="77777777" w:rsidR="000447ED" w:rsidRPr="005E3B43" w:rsidRDefault="000447ED" w:rsidP="00763BCF">
            <w:pPr>
              <w:pStyle w:val="ENoteTableText"/>
              <w:tabs>
                <w:tab w:val="center" w:leader="dot" w:pos="2268"/>
              </w:tabs>
            </w:pPr>
            <w:r w:rsidRPr="005E3B43">
              <w:t>r. 42ZCZI</w:t>
            </w:r>
            <w:r w:rsidRPr="005E3B43">
              <w:tab/>
            </w:r>
          </w:p>
        </w:tc>
        <w:tc>
          <w:tcPr>
            <w:tcW w:w="3505" w:type="pct"/>
          </w:tcPr>
          <w:p w14:paraId="753F852F"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270B356C" w14:textId="77777777" w:rsidTr="00034EA9">
        <w:trPr>
          <w:cantSplit/>
        </w:trPr>
        <w:tc>
          <w:tcPr>
            <w:tcW w:w="1495" w:type="pct"/>
          </w:tcPr>
          <w:p w14:paraId="1AA75AD1" w14:textId="77777777" w:rsidR="000447ED" w:rsidRPr="005E3B43" w:rsidRDefault="000447ED" w:rsidP="00763BCF">
            <w:pPr>
              <w:pStyle w:val="ENoteTableText"/>
              <w:tabs>
                <w:tab w:val="center" w:leader="dot" w:pos="2268"/>
              </w:tabs>
            </w:pPr>
          </w:p>
        </w:tc>
        <w:tc>
          <w:tcPr>
            <w:tcW w:w="3505" w:type="pct"/>
          </w:tcPr>
          <w:p w14:paraId="2153CDCF" w14:textId="77777777" w:rsidR="000447ED" w:rsidRPr="005E3B43" w:rsidRDefault="000447ED" w:rsidP="00763BCF">
            <w:pPr>
              <w:pStyle w:val="ENoteTableText"/>
            </w:pPr>
            <w:r w:rsidRPr="005E3B43">
              <w:t>am F2017L01561</w:t>
            </w:r>
          </w:p>
        </w:tc>
      </w:tr>
      <w:tr w:rsidR="000447ED" w:rsidRPr="005E3B43" w14:paraId="0AB30632" w14:textId="77777777" w:rsidTr="00034EA9">
        <w:trPr>
          <w:cantSplit/>
        </w:trPr>
        <w:tc>
          <w:tcPr>
            <w:tcW w:w="1495" w:type="pct"/>
          </w:tcPr>
          <w:p w14:paraId="740D450D" w14:textId="77777777" w:rsidR="000447ED" w:rsidRPr="005E3B43" w:rsidRDefault="000447ED" w:rsidP="00763BCF">
            <w:pPr>
              <w:pStyle w:val="ENoteTableText"/>
              <w:keepNext/>
            </w:pPr>
            <w:r w:rsidRPr="005E3B43">
              <w:rPr>
                <w:b/>
              </w:rPr>
              <w:t>Subdivision</w:t>
            </w:r>
            <w:r w:rsidR="004E6D00" w:rsidRPr="005E3B43">
              <w:rPr>
                <w:b/>
              </w:rPr>
              <w:t> </w:t>
            </w:r>
            <w:r w:rsidRPr="005E3B43">
              <w:rPr>
                <w:b/>
              </w:rPr>
              <w:t>3D.2</w:t>
            </w:r>
          </w:p>
        </w:tc>
        <w:tc>
          <w:tcPr>
            <w:tcW w:w="3505" w:type="pct"/>
          </w:tcPr>
          <w:p w14:paraId="3C1EF53D" w14:textId="77777777" w:rsidR="000447ED" w:rsidRPr="005E3B43" w:rsidRDefault="000447ED" w:rsidP="00763BCF">
            <w:pPr>
              <w:pStyle w:val="ENoteTableText"/>
            </w:pPr>
          </w:p>
        </w:tc>
      </w:tr>
      <w:tr w:rsidR="000447ED" w:rsidRPr="005E3B43" w14:paraId="4C824A11" w14:textId="77777777" w:rsidTr="00034EA9">
        <w:trPr>
          <w:cantSplit/>
        </w:trPr>
        <w:tc>
          <w:tcPr>
            <w:tcW w:w="1495" w:type="pct"/>
          </w:tcPr>
          <w:p w14:paraId="11016842" w14:textId="77777777" w:rsidR="000447ED" w:rsidRPr="005E3B43" w:rsidRDefault="000447ED" w:rsidP="00763BCF">
            <w:pPr>
              <w:pStyle w:val="ENoteTableText"/>
              <w:tabs>
                <w:tab w:val="center" w:leader="dot" w:pos="2268"/>
              </w:tabs>
            </w:pPr>
            <w:r w:rsidRPr="005E3B43">
              <w:t>r. 42ZCZJ</w:t>
            </w:r>
            <w:r w:rsidRPr="005E3B43">
              <w:tab/>
            </w:r>
          </w:p>
        </w:tc>
        <w:tc>
          <w:tcPr>
            <w:tcW w:w="3505" w:type="pct"/>
          </w:tcPr>
          <w:p w14:paraId="7E097960"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4945FE13" w14:textId="77777777" w:rsidTr="00034EA9">
        <w:trPr>
          <w:cantSplit/>
        </w:trPr>
        <w:tc>
          <w:tcPr>
            <w:tcW w:w="1495" w:type="pct"/>
          </w:tcPr>
          <w:p w14:paraId="3D60411F" w14:textId="77777777" w:rsidR="000447ED" w:rsidRPr="005E3B43" w:rsidRDefault="000447ED" w:rsidP="00763BCF">
            <w:pPr>
              <w:pStyle w:val="ENoteTableText"/>
              <w:tabs>
                <w:tab w:val="center" w:leader="dot" w:pos="2268"/>
              </w:tabs>
            </w:pPr>
            <w:r w:rsidRPr="005E3B43">
              <w:t>r. 42ZCZK</w:t>
            </w:r>
            <w:r w:rsidRPr="005E3B43">
              <w:tab/>
            </w:r>
          </w:p>
        </w:tc>
        <w:tc>
          <w:tcPr>
            <w:tcW w:w="3505" w:type="pct"/>
          </w:tcPr>
          <w:p w14:paraId="30AF1F06"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56598550" w14:textId="77777777" w:rsidTr="00034EA9">
        <w:trPr>
          <w:cantSplit/>
        </w:trPr>
        <w:tc>
          <w:tcPr>
            <w:tcW w:w="1495" w:type="pct"/>
          </w:tcPr>
          <w:p w14:paraId="1D30F107" w14:textId="77777777" w:rsidR="000447ED" w:rsidRPr="005E3B43" w:rsidRDefault="000447ED" w:rsidP="00763BCF">
            <w:pPr>
              <w:pStyle w:val="ENoteTableText"/>
              <w:tabs>
                <w:tab w:val="center" w:leader="dot" w:pos="2268"/>
              </w:tabs>
            </w:pPr>
            <w:r w:rsidRPr="005E3B43">
              <w:t>r. 42ZCZL</w:t>
            </w:r>
            <w:r w:rsidRPr="005E3B43">
              <w:tab/>
            </w:r>
          </w:p>
        </w:tc>
        <w:tc>
          <w:tcPr>
            <w:tcW w:w="3505" w:type="pct"/>
          </w:tcPr>
          <w:p w14:paraId="799B5003"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64E9AD52" w14:textId="77777777" w:rsidTr="00034EA9">
        <w:trPr>
          <w:cantSplit/>
        </w:trPr>
        <w:tc>
          <w:tcPr>
            <w:tcW w:w="1495" w:type="pct"/>
          </w:tcPr>
          <w:p w14:paraId="435C4293" w14:textId="77777777" w:rsidR="000447ED" w:rsidRPr="005E3B43" w:rsidRDefault="000447ED" w:rsidP="00763BCF">
            <w:pPr>
              <w:pStyle w:val="ENoteTableText"/>
              <w:tabs>
                <w:tab w:val="center" w:leader="dot" w:pos="2268"/>
              </w:tabs>
            </w:pPr>
            <w:r w:rsidRPr="005E3B43">
              <w:t>r. 42ZCZM</w:t>
            </w:r>
            <w:r w:rsidRPr="005E3B43">
              <w:tab/>
            </w:r>
          </w:p>
        </w:tc>
        <w:tc>
          <w:tcPr>
            <w:tcW w:w="3505" w:type="pct"/>
          </w:tcPr>
          <w:p w14:paraId="4572EC8D"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5B3194A0" w14:textId="77777777" w:rsidTr="00034EA9">
        <w:trPr>
          <w:cantSplit/>
        </w:trPr>
        <w:tc>
          <w:tcPr>
            <w:tcW w:w="1495" w:type="pct"/>
          </w:tcPr>
          <w:p w14:paraId="73AB034B" w14:textId="77777777" w:rsidR="000447ED" w:rsidRPr="005E3B43" w:rsidRDefault="000447ED" w:rsidP="00763BCF">
            <w:pPr>
              <w:pStyle w:val="ENoteTableText"/>
              <w:tabs>
                <w:tab w:val="center" w:leader="dot" w:pos="2268"/>
              </w:tabs>
            </w:pPr>
            <w:r w:rsidRPr="005E3B43">
              <w:t>r. 42ZCZN</w:t>
            </w:r>
            <w:r w:rsidRPr="005E3B43">
              <w:tab/>
            </w:r>
          </w:p>
        </w:tc>
        <w:tc>
          <w:tcPr>
            <w:tcW w:w="3505" w:type="pct"/>
          </w:tcPr>
          <w:p w14:paraId="02AA52A7"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4CE81D3A" w14:textId="77777777" w:rsidTr="00034EA9">
        <w:trPr>
          <w:cantSplit/>
        </w:trPr>
        <w:tc>
          <w:tcPr>
            <w:tcW w:w="1495" w:type="pct"/>
          </w:tcPr>
          <w:p w14:paraId="181FB4AB" w14:textId="77777777" w:rsidR="000447ED" w:rsidRPr="005E3B43" w:rsidRDefault="000447ED" w:rsidP="00763BCF">
            <w:pPr>
              <w:pStyle w:val="ENoteTableText"/>
              <w:tabs>
                <w:tab w:val="center" w:leader="dot" w:pos="2268"/>
              </w:tabs>
            </w:pPr>
            <w:r w:rsidRPr="005E3B43">
              <w:t>r. 42ZCZO</w:t>
            </w:r>
            <w:r w:rsidRPr="005E3B43">
              <w:tab/>
            </w:r>
          </w:p>
        </w:tc>
        <w:tc>
          <w:tcPr>
            <w:tcW w:w="3505" w:type="pct"/>
          </w:tcPr>
          <w:p w14:paraId="1362B5E0"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2AF76833" w14:textId="77777777" w:rsidTr="00034EA9">
        <w:trPr>
          <w:cantSplit/>
        </w:trPr>
        <w:tc>
          <w:tcPr>
            <w:tcW w:w="1495" w:type="pct"/>
          </w:tcPr>
          <w:p w14:paraId="7FB62584" w14:textId="77777777" w:rsidR="000447ED" w:rsidRPr="005E3B43" w:rsidRDefault="000447ED" w:rsidP="00763BCF">
            <w:pPr>
              <w:pStyle w:val="ENoteTableText"/>
              <w:tabs>
                <w:tab w:val="center" w:leader="dot" w:pos="2268"/>
              </w:tabs>
            </w:pPr>
            <w:r w:rsidRPr="005E3B43">
              <w:t>r. 42ZCZP</w:t>
            </w:r>
            <w:r w:rsidRPr="005E3B43">
              <w:tab/>
            </w:r>
          </w:p>
        </w:tc>
        <w:tc>
          <w:tcPr>
            <w:tcW w:w="3505" w:type="pct"/>
          </w:tcPr>
          <w:p w14:paraId="09CA24EE"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7A153B00" w14:textId="77777777" w:rsidTr="00034EA9">
        <w:trPr>
          <w:cantSplit/>
        </w:trPr>
        <w:tc>
          <w:tcPr>
            <w:tcW w:w="1495" w:type="pct"/>
          </w:tcPr>
          <w:p w14:paraId="706526AB" w14:textId="77777777" w:rsidR="000447ED" w:rsidRPr="005E3B43" w:rsidRDefault="000447ED" w:rsidP="00763BCF">
            <w:pPr>
              <w:pStyle w:val="ENoteTableText"/>
              <w:tabs>
                <w:tab w:val="center" w:leader="dot" w:pos="2268"/>
              </w:tabs>
            </w:pPr>
          </w:p>
        </w:tc>
        <w:tc>
          <w:tcPr>
            <w:tcW w:w="3505" w:type="pct"/>
          </w:tcPr>
          <w:p w14:paraId="73896C86" w14:textId="77777777" w:rsidR="000447ED" w:rsidRPr="005E3B43" w:rsidRDefault="000447ED" w:rsidP="00763BCF">
            <w:pPr>
              <w:pStyle w:val="ENoteTableText"/>
            </w:pPr>
            <w:r w:rsidRPr="005E3B43">
              <w:t>am F2017L01561</w:t>
            </w:r>
          </w:p>
        </w:tc>
      </w:tr>
      <w:tr w:rsidR="000447ED" w:rsidRPr="005E3B43" w14:paraId="4D4C2E91" w14:textId="77777777" w:rsidTr="00034EA9">
        <w:trPr>
          <w:cantSplit/>
        </w:trPr>
        <w:tc>
          <w:tcPr>
            <w:tcW w:w="1495" w:type="pct"/>
          </w:tcPr>
          <w:p w14:paraId="1B85659D" w14:textId="77777777" w:rsidR="000447ED" w:rsidRPr="005E3B43" w:rsidRDefault="000447ED" w:rsidP="00763BCF">
            <w:pPr>
              <w:pStyle w:val="ENoteTableText"/>
              <w:tabs>
                <w:tab w:val="center" w:leader="dot" w:pos="2268"/>
              </w:tabs>
            </w:pPr>
            <w:r w:rsidRPr="005E3B43">
              <w:t>r. 42ZCZQ</w:t>
            </w:r>
            <w:r w:rsidRPr="005E3B43">
              <w:tab/>
            </w:r>
          </w:p>
        </w:tc>
        <w:tc>
          <w:tcPr>
            <w:tcW w:w="3505" w:type="pct"/>
          </w:tcPr>
          <w:p w14:paraId="67980030"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72657B7D" w14:textId="77777777" w:rsidTr="00034EA9">
        <w:trPr>
          <w:cantSplit/>
        </w:trPr>
        <w:tc>
          <w:tcPr>
            <w:tcW w:w="1495" w:type="pct"/>
          </w:tcPr>
          <w:p w14:paraId="7EA3578C" w14:textId="77777777" w:rsidR="000447ED" w:rsidRPr="005E3B43" w:rsidRDefault="000447ED" w:rsidP="00763BCF">
            <w:pPr>
              <w:pStyle w:val="ENoteTableText"/>
              <w:tabs>
                <w:tab w:val="center" w:leader="dot" w:pos="2268"/>
              </w:tabs>
            </w:pPr>
            <w:r w:rsidRPr="005E3B43">
              <w:t>r. 42ZCZR</w:t>
            </w:r>
            <w:r w:rsidRPr="005E3B43">
              <w:tab/>
            </w:r>
          </w:p>
        </w:tc>
        <w:tc>
          <w:tcPr>
            <w:tcW w:w="3505" w:type="pct"/>
          </w:tcPr>
          <w:p w14:paraId="5B62A51F"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64801AAB" w14:textId="77777777" w:rsidTr="00034EA9">
        <w:trPr>
          <w:cantSplit/>
        </w:trPr>
        <w:tc>
          <w:tcPr>
            <w:tcW w:w="1495" w:type="pct"/>
          </w:tcPr>
          <w:p w14:paraId="3A3F5376" w14:textId="77777777" w:rsidR="000447ED" w:rsidRPr="005E3B43" w:rsidRDefault="000447ED" w:rsidP="00763BCF">
            <w:pPr>
              <w:pStyle w:val="ENoteTableText"/>
              <w:tabs>
                <w:tab w:val="center" w:leader="dot" w:pos="2268"/>
              </w:tabs>
            </w:pPr>
            <w:r w:rsidRPr="005E3B43">
              <w:t>r. 42ZCZS</w:t>
            </w:r>
            <w:r w:rsidRPr="005E3B43">
              <w:tab/>
            </w:r>
          </w:p>
        </w:tc>
        <w:tc>
          <w:tcPr>
            <w:tcW w:w="3505" w:type="pct"/>
          </w:tcPr>
          <w:p w14:paraId="2A71A2D2"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59E5E100" w14:textId="77777777" w:rsidTr="00034EA9">
        <w:trPr>
          <w:cantSplit/>
        </w:trPr>
        <w:tc>
          <w:tcPr>
            <w:tcW w:w="1495" w:type="pct"/>
          </w:tcPr>
          <w:p w14:paraId="218BFDCC" w14:textId="77777777" w:rsidR="000447ED" w:rsidRPr="005E3B43" w:rsidRDefault="000447ED" w:rsidP="00763BCF">
            <w:pPr>
              <w:pStyle w:val="ENoteTableText"/>
            </w:pPr>
            <w:r w:rsidRPr="005E3B43">
              <w:rPr>
                <w:b/>
              </w:rPr>
              <w:t>Subdivision</w:t>
            </w:r>
            <w:r w:rsidR="004E6D00" w:rsidRPr="005E3B43">
              <w:rPr>
                <w:b/>
              </w:rPr>
              <w:t> </w:t>
            </w:r>
            <w:r w:rsidRPr="005E3B43">
              <w:rPr>
                <w:b/>
              </w:rPr>
              <w:t>3D.3</w:t>
            </w:r>
          </w:p>
        </w:tc>
        <w:tc>
          <w:tcPr>
            <w:tcW w:w="3505" w:type="pct"/>
          </w:tcPr>
          <w:p w14:paraId="12942F43" w14:textId="77777777" w:rsidR="000447ED" w:rsidRPr="005E3B43" w:rsidRDefault="000447ED" w:rsidP="00763BCF">
            <w:pPr>
              <w:pStyle w:val="ENoteTableText"/>
            </w:pPr>
          </w:p>
        </w:tc>
      </w:tr>
      <w:tr w:rsidR="000447ED" w:rsidRPr="005E3B43" w14:paraId="5374437B" w14:textId="77777777" w:rsidTr="00034EA9">
        <w:trPr>
          <w:cantSplit/>
        </w:trPr>
        <w:tc>
          <w:tcPr>
            <w:tcW w:w="1495" w:type="pct"/>
          </w:tcPr>
          <w:p w14:paraId="62F597A9" w14:textId="77777777" w:rsidR="000447ED" w:rsidRPr="005E3B43" w:rsidRDefault="000447ED" w:rsidP="00763BCF">
            <w:pPr>
              <w:pStyle w:val="ENoteTableText"/>
              <w:tabs>
                <w:tab w:val="center" w:leader="dot" w:pos="2268"/>
              </w:tabs>
            </w:pPr>
            <w:r w:rsidRPr="005E3B43">
              <w:t>r. 42ZCZT</w:t>
            </w:r>
            <w:r w:rsidRPr="005E3B43">
              <w:tab/>
            </w:r>
          </w:p>
        </w:tc>
        <w:tc>
          <w:tcPr>
            <w:tcW w:w="3505" w:type="pct"/>
          </w:tcPr>
          <w:p w14:paraId="02C8265C"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1277D652" w14:textId="77777777" w:rsidTr="00034EA9">
        <w:trPr>
          <w:cantSplit/>
        </w:trPr>
        <w:tc>
          <w:tcPr>
            <w:tcW w:w="1495" w:type="pct"/>
          </w:tcPr>
          <w:p w14:paraId="2E4D9809" w14:textId="77777777" w:rsidR="000447ED" w:rsidRPr="005E3B43" w:rsidRDefault="000447ED" w:rsidP="00763BCF">
            <w:pPr>
              <w:pStyle w:val="ENoteTableText"/>
              <w:tabs>
                <w:tab w:val="center" w:leader="dot" w:pos="2268"/>
              </w:tabs>
            </w:pPr>
            <w:r w:rsidRPr="005E3B43">
              <w:t>r. 42ZCZU</w:t>
            </w:r>
            <w:r w:rsidRPr="005E3B43">
              <w:tab/>
            </w:r>
          </w:p>
        </w:tc>
        <w:tc>
          <w:tcPr>
            <w:tcW w:w="3505" w:type="pct"/>
          </w:tcPr>
          <w:p w14:paraId="71CE4D49"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5A632FB2" w14:textId="77777777" w:rsidTr="00034EA9">
        <w:trPr>
          <w:cantSplit/>
        </w:trPr>
        <w:tc>
          <w:tcPr>
            <w:tcW w:w="1495" w:type="pct"/>
          </w:tcPr>
          <w:p w14:paraId="1A65B160" w14:textId="77777777" w:rsidR="000447ED" w:rsidRPr="005E3B43" w:rsidRDefault="000447ED" w:rsidP="00763BCF">
            <w:pPr>
              <w:pStyle w:val="ENoteTableText"/>
              <w:tabs>
                <w:tab w:val="center" w:leader="dot" w:pos="2268"/>
              </w:tabs>
            </w:pPr>
            <w:r w:rsidRPr="005E3B43">
              <w:t>r. 42ZCZV</w:t>
            </w:r>
            <w:r w:rsidRPr="005E3B43">
              <w:tab/>
            </w:r>
          </w:p>
        </w:tc>
        <w:tc>
          <w:tcPr>
            <w:tcW w:w="3505" w:type="pct"/>
          </w:tcPr>
          <w:p w14:paraId="4A528272"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3A8DC34F" w14:textId="77777777" w:rsidTr="00034EA9">
        <w:trPr>
          <w:cantSplit/>
        </w:trPr>
        <w:tc>
          <w:tcPr>
            <w:tcW w:w="1495" w:type="pct"/>
          </w:tcPr>
          <w:p w14:paraId="2A29A92A" w14:textId="77777777" w:rsidR="000447ED" w:rsidRPr="005E3B43" w:rsidRDefault="000447ED" w:rsidP="00763BCF">
            <w:pPr>
              <w:pStyle w:val="ENoteTableText"/>
              <w:tabs>
                <w:tab w:val="center" w:leader="dot" w:pos="2268"/>
              </w:tabs>
            </w:pPr>
            <w:r w:rsidRPr="005E3B43">
              <w:t>r. 42ZCZW</w:t>
            </w:r>
            <w:r w:rsidRPr="005E3B43">
              <w:tab/>
            </w:r>
          </w:p>
        </w:tc>
        <w:tc>
          <w:tcPr>
            <w:tcW w:w="3505" w:type="pct"/>
          </w:tcPr>
          <w:p w14:paraId="1B4B8082"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24C46CE1" w14:textId="77777777" w:rsidTr="00034EA9">
        <w:trPr>
          <w:cantSplit/>
        </w:trPr>
        <w:tc>
          <w:tcPr>
            <w:tcW w:w="1495" w:type="pct"/>
          </w:tcPr>
          <w:p w14:paraId="6B8A7D7F" w14:textId="77777777" w:rsidR="000447ED" w:rsidRPr="005E3B43" w:rsidRDefault="000447ED" w:rsidP="00763BCF">
            <w:pPr>
              <w:pStyle w:val="ENoteTableText"/>
              <w:tabs>
                <w:tab w:val="center" w:leader="dot" w:pos="2268"/>
              </w:tabs>
            </w:pPr>
            <w:r w:rsidRPr="005E3B43">
              <w:t>r. 42ZCZX</w:t>
            </w:r>
            <w:r w:rsidRPr="005E3B43">
              <w:tab/>
            </w:r>
          </w:p>
        </w:tc>
        <w:tc>
          <w:tcPr>
            <w:tcW w:w="3505" w:type="pct"/>
          </w:tcPr>
          <w:p w14:paraId="3AFD5C23" w14:textId="77777777" w:rsidR="000447ED" w:rsidRPr="005E3B43" w:rsidRDefault="000447ED" w:rsidP="00763BCF">
            <w:pPr>
              <w:pStyle w:val="ENoteTableText"/>
            </w:pPr>
            <w:r w:rsidRPr="005E3B43">
              <w:t>ad. 2010 No.</w:t>
            </w:r>
            <w:r w:rsidR="004E6D00" w:rsidRPr="005E3B43">
              <w:t> </w:t>
            </w:r>
            <w:r w:rsidRPr="005E3B43">
              <w:t>129</w:t>
            </w:r>
          </w:p>
        </w:tc>
      </w:tr>
      <w:tr w:rsidR="000447ED" w:rsidRPr="005E3B43" w14:paraId="6C69C24C" w14:textId="77777777" w:rsidTr="00034EA9">
        <w:trPr>
          <w:cantSplit/>
        </w:trPr>
        <w:tc>
          <w:tcPr>
            <w:tcW w:w="1495" w:type="pct"/>
          </w:tcPr>
          <w:p w14:paraId="1E91B621" w14:textId="77777777" w:rsidR="000447ED" w:rsidRPr="005E3B43" w:rsidRDefault="00BE7FAC" w:rsidP="00763BCF">
            <w:pPr>
              <w:pStyle w:val="ENoteTableText"/>
              <w:tabs>
                <w:tab w:val="center" w:leader="dot" w:pos="2268"/>
              </w:tabs>
            </w:pPr>
            <w:r w:rsidRPr="005E3B43">
              <w:t>Division 4</w:t>
            </w:r>
            <w:r w:rsidR="000447ED" w:rsidRPr="005E3B43">
              <w:tab/>
            </w:r>
          </w:p>
        </w:tc>
        <w:tc>
          <w:tcPr>
            <w:tcW w:w="3505" w:type="pct"/>
          </w:tcPr>
          <w:p w14:paraId="5704C0EA"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06E3092E" w14:textId="77777777" w:rsidTr="00034EA9">
        <w:trPr>
          <w:cantSplit/>
        </w:trPr>
        <w:tc>
          <w:tcPr>
            <w:tcW w:w="1495" w:type="pct"/>
          </w:tcPr>
          <w:p w14:paraId="304FD007" w14:textId="77777777" w:rsidR="000447ED" w:rsidRPr="005E3B43" w:rsidRDefault="000447ED" w:rsidP="00763BCF">
            <w:pPr>
              <w:pStyle w:val="ENoteTableText"/>
            </w:pPr>
          </w:p>
        </w:tc>
        <w:tc>
          <w:tcPr>
            <w:tcW w:w="3505" w:type="pct"/>
          </w:tcPr>
          <w:p w14:paraId="00EC5E1C"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506B0B43" w14:textId="77777777" w:rsidTr="00034EA9">
        <w:trPr>
          <w:cantSplit/>
        </w:trPr>
        <w:tc>
          <w:tcPr>
            <w:tcW w:w="1495" w:type="pct"/>
          </w:tcPr>
          <w:p w14:paraId="4EE3D53F" w14:textId="77777777" w:rsidR="000447ED" w:rsidRPr="005E3B43" w:rsidRDefault="000447ED" w:rsidP="00763BCF">
            <w:pPr>
              <w:pStyle w:val="ENoteTableText"/>
              <w:tabs>
                <w:tab w:val="center" w:leader="dot" w:pos="2268"/>
              </w:tabs>
            </w:pPr>
            <w:r w:rsidRPr="005E3B43">
              <w:t>r. 42ZD</w:t>
            </w:r>
            <w:r w:rsidRPr="005E3B43">
              <w:tab/>
            </w:r>
          </w:p>
        </w:tc>
        <w:tc>
          <w:tcPr>
            <w:tcW w:w="3505" w:type="pct"/>
          </w:tcPr>
          <w:p w14:paraId="1578A553"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00D24167" w14:textId="77777777" w:rsidTr="00034EA9">
        <w:trPr>
          <w:cantSplit/>
        </w:trPr>
        <w:tc>
          <w:tcPr>
            <w:tcW w:w="1495" w:type="pct"/>
          </w:tcPr>
          <w:p w14:paraId="359BE654" w14:textId="77777777" w:rsidR="000447ED" w:rsidRPr="005E3B43" w:rsidRDefault="000447ED" w:rsidP="00763BCF">
            <w:pPr>
              <w:pStyle w:val="ENoteTableText"/>
            </w:pPr>
          </w:p>
        </w:tc>
        <w:tc>
          <w:tcPr>
            <w:tcW w:w="3505" w:type="pct"/>
          </w:tcPr>
          <w:p w14:paraId="38DFE7F4"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718E1429" w14:textId="77777777" w:rsidTr="00034EA9">
        <w:trPr>
          <w:cantSplit/>
        </w:trPr>
        <w:tc>
          <w:tcPr>
            <w:tcW w:w="1495" w:type="pct"/>
          </w:tcPr>
          <w:p w14:paraId="1D23C404" w14:textId="77777777" w:rsidR="000447ED" w:rsidRPr="005E3B43" w:rsidRDefault="000447ED" w:rsidP="00763BCF">
            <w:pPr>
              <w:pStyle w:val="ENoteTableText"/>
              <w:tabs>
                <w:tab w:val="center" w:leader="dot" w:pos="2268"/>
              </w:tabs>
            </w:pPr>
            <w:r w:rsidRPr="005E3B43">
              <w:t>r. 42ZE</w:t>
            </w:r>
            <w:r w:rsidRPr="005E3B43">
              <w:tab/>
            </w:r>
          </w:p>
        </w:tc>
        <w:tc>
          <w:tcPr>
            <w:tcW w:w="3505" w:type="pct"/>
          </w:tcPr>
          <w:p w14:paraId="00239EC1"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756D7609" w14:textId="77777777" w:rsidTr="00034EA9">
        <w:trPr>
          <w:cantSplit/>
        </w:trPr>
        <w:tc>
          <w:tcPr>
            <w:tcW w:w="1495" w:type="pct"/>
          </w:tcPr>
          <w:p w14:paraId="72A85A5F" w14:textId="77777777" w:rsidR="000447ED" w:rsidRPr="005E3B43" w:rsidRDefault="000447ED" w:rsidP="00763BCF">
            <w:pPr>
              <w:pStyle w:val="ENoteTableText"/>
            </w:pPr>
          </w:p>
        </w:tc>
        <w:tc>
          <w:tcPr>
            <w:tcW w:w="3505" w:type="pct"/>
          </w:tcPr>
          <w:p w14:paraId="3F9FEDAA" w14:textId="77777777" w:rsidR="000447ED" w:rsidRPr="005E3B43" w:rsidRDefault="000447ED" w:rsidP="00763BCF">
            <w:pPr>
              <w:pStyle w:val="ENoteTableText"/>
            </w:pPr>
            <w:r w:rsidRPr="005E3B43">
              <w:t>am. 2000 No.</w:t>
            </w:r>
            <w:r w:rsidR="004E6D00" w:rsidRPr="005E3B43">
              <w:t> </w:t>
            </w:r>
            <w:r w:rsidRPr="005E3B43">
              <w:t>29</w:t>
            </w:r>
          </w:p>
        </w:tc>
      </w:tr>
      <w:tr w:rsidR="000447ED" w:rsidRPr="005E3B43" w14:paraId="6BD25C22" w14:textId="77777777" w:rsidTr="00034EA9">
        <w:trPr>
          <w:cantSplit/>
        </w:trPr>
        <w:tc>
          <w:tcPr>
            <w:tcW w:w="1495" w:type="pct"/>
          </w:tcPr>
          <w:p w14:paraId="03562AF6" w14:textId="77777777" w:rsidR="000447ED" w:rsidRPr="005E3B43" w:rsidRDefault="000447ED" w:rsidP="00763BCF">
            <w:pPr>
              <w:pStyle w:val="ENoteTableText"/>
            </w:pPr>
          </w:p>
        </w:tc>
        <w:tc>
          <w:tcPr>
            <w:tcW w:w="3505" w:type="pct"/>
          </w:tcPr>
          <w:p w14:paraId="1BBAE43B"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77756685" w14:textId="77777777" w:rsidTr="00034EA9">
        <w:trPr>
          <w:cantSplit/>
        </w:trPr>
        <w:tc>
          <w:tcPr>
            <w:tcW w:w="1495" w:type="pct"/>
          </w:tcPr>
          <w:p w14:paraId="0025871B" w14:textId="77777777" w:rsidR="000447ED" w:rsidRPr="005E3B43" w:rsidRDefault="000447ED" w:rsidP="00763BCF">
            <w:pPr>
              <w:pStyle w:val="ENoteTableText"/>
              <w:tabs>
                <w:tab w:val="center" w:leader="dot" w:pos="2268"/>
              </w:tabs>
            </w:pPr>
            <w:r w:rsidRPr="005E3B43">
              <w:t>r. 42ZF</w:t>
            </w:r>
            <w:r w:rsidRPr="005E3B43">
              <w:tab/>
            </w:r>
          </w:p>
        </w:tc>
        <w:tc>
          <w:tcPr>
            <w:tcW w:w="3505" w:type="pct"/>
          </w:tcPr>
          <w:p w14:paraId="3ABCC8F0"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0CFBF99C" w14:textId="77777777" w:rsidTr="00034EA9">
        <w:trPr>
          <w:cantSplit/>
        </w:trPr>
        <w:tc>
          <w:tcPr>
            <w:tcW w:w="1495" w:type="pct"/>
          </w:tcPr>
          <w:p w14:paraId="6DEAE18B" w14:textId="77777777" w:rsidR="000447ED" w:rsidRPr="005E3B43" w:rsidRDefault="000447ED" w:rsidP="00763BCF">
            <w:pPr>
              <w:pStyle w:val="ENoteTableText"/>
            </w:pPr>
          </w:p>
        </w:tc>
        <w:tc>
          <w:tcPr>
            <w:tcW w:w="3505" w:type="pct"/>
          </w:tcPr>
          <w:p w14:paraId="66DB7A9E" w14:textId="77777777" w:rsidR="000447ED" w:rsidRPr="005E3B43" w:rsidRDefault="000447ED" w:rsidP="00763BCF">
            <w:pPr>
              <w:pStyle w:val="ENoteTableText"/>
            </w:pPr>
            <w:r w:rsidRPr="005E3B43">
              <w:t>am. 2000 No.</w:t>
            </w:r>
            <w:r w:rsidR="004E6D00" w:rsidRPr="005E3B43">
              <w:t> </w:t>
            </w:r>
            <w:r w:rsidRPr="005E3B43">
              <w:t>29</w:t>
            </w:r>
          </w:p>
        </w:tc>
      </w:tr>
      <w:tr w:rsidR="000447ED" w:rsidRPr="005E3B43" w14:paraId="52DE7963" w14:textId="77777777" w:rsidTr="00034EA9">
        <w:trPr>
          <w:cantSplit/>
        </w:trPr>
        <w:tc>
          <w:tcPr>
            <w:tcW w:w="1495" w:type="pct"/>
          </w:tcPr>
          <w:p w14:paraId="39A392F7" w14:textId="77777777" w:rsidR="000447ED" w:rsidRPr="005E3B43" w:rsidRDefault="000447ED" w:rsidP="00763BCF">
            <w:pPr>
              <w:pStyle w:val="ENoteTableText"/>
            </w:pPr>
          </w:p>
        </w:tc>
        <w:tc>
          <w:tcPr>
            <w:tcW w:w="3505" w:type="pct"/>
          </w:tcPr>
          <w:p w14:paraId="5349D789"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3CA211EE" w14:textId="77777777" w:rsidTr="00034EA9">
        <w:trPr>
          <w:cantSplit/>
        </w:trPr>
        <w:tc>
          <w:tcPr>
            <w:tcW w:w="1495" w:type="pct"/>
          </w:tcPr>
          <w:p w14:paraId="3BE3A3E8" w14:textId="77777777" w:rsidR="000447ED" w:rsidRPr="005E3B43" w:rsidRDefault="000447ED" w:rsidP="00763BCF">
            <w:pPr>
              <w:pStyle w:val="ENoteTableText"/>
              <w:tabs>
                <w:tab w:val="center" w:leader="dot" w:pos="2268"/>
              </w:tabs>
            </w:pPr>
            <w:r w:rsidRPr="005E3B43">
              <w:t>r. 42ZG</w:t>
            </w:r>
            <w:r w:rsidRPr="005E3B43">
              <w:tab/>
            </w:r>
          </w:p>
        </w:tc>
        <w:tc>
          <w:tcPr>
            <w:tcW w:w="3505" w:type="pct"/>
          </w:tcPr>
          <w:p w14:paraId="2713C610"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695BACD6" w14:textId="77777777" w:rsidTr="00034EA9">
        <w:trPr>
          <w:cantSplit/>
        </w:trPr>
        <w:tc>
          <w:tcPr>
            <w:tcW w:w="1495" w:type="pct"/>
          </w:tcPr>
          <w:p w14:paraId="3096A131" w14:textId="77777777" w:rsidR="000447ED" w:rsidRPr="005E3B43" w:rsidRDefault="000447ED" w:rsidP="00763BCF">
            <w:pPr>
              <w:pStyle w:val="ENoteTableText"/>
            </w:pPr>
          </w:p>
        </w:tc>
        <w:tc>
          <w:tcPr>
            <w:tcW w:w="3505" w:type="pct"/>
          </w:tcPr>
          <w:p w14:paraId="1DB2A474"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44867468" w14:textId="77777777" w:rsidTr="00034EA9">
        <w:trPr>
          <w:cantSplit/>
        </w:trPr>
        <w:tc>
          <w:tcPr>
            <w:tcW w:w="1495" w:type="pct"/>
          </w:tcPr>
          <w:p w14:paraId="7D027E82" w14:textId="77777777" w:rsidR="000447ED" w:rsidRPr="005E3B43" w:rsidRDefault="000447ED" w:rsidP="00763BCF">
            <w:pPr>
              <w:pStyle w:val="ENoteTableText"/>
              <w:tabs>
                <w:tab w:val="center" w:leader="dot" w:pos="2268"/>
              </w:tabs>
            </w:pPr>
            <w:r w:rsidRPr="005E3B43">
              <w:t>r. 42ZH</w:t>
            </w:r>
            <w:r w:rsidRPr="005E3B43">
              <w:tab/>
            </w:r>
          </w:p>
        </w:tc>
        <w:tc>
          <w:tcPr>
            <w:tcW w:w="3505" w:type="pct"/>
          </w:tcPr>
          <w:p w14:paraId="63BC293A"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23293F65" w14:textId="77777777" w:rsidTr="00034EA9">
        <w:trPr>
          <w:cantSplit/>
        </w:trPr>
        <w:tc>
          <w:tcPr>
            <w:tcW w:w="1495" w:type="pct"/>
          </w:tcPr>
          <w:p w14:paraId="752C878E" w14:textId="77777777" w:rsidR="000447ED" w:rsidRPr="005E3B43" w:rsidRDefault="000447ED" w:rsidP="00763BCF">
            <w:pPr>
              <w:pStyle w:val="ENoteTableText"/>
            </w:pPr>
          </w:p>
        </w:tc>
        <w:tc>
          <w:tcPr>
            <w:tcW w:w="3505" w:type="pct"/>
          </w:tcPr>
          <w:p w14:paraId="48594141"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44179F79" w14:textId="77777777" w:rsidTr="00034EA9">
        <w:trPr>
          <w:cantSplit/>
        </w:trPr>
        <w:tc>
          <w:tcPr>
            <w:tcW w:w="1495" w:type="pct"/>
          </w:tcPr>
          <w:p w14:paraId="0071C4EF" w14:textId="77777777" w:rsidR="000447ED" w:rsidRPr="005E3B43" w:rsidRDefault="000447ED" w:rsidP="00763BCF">
            <w:pPr>
              <w:pStyle w:val="ENoteTableText"/>
              <w:tabs>
                <w:tab w:val="center" w:leader="dot" w:pos="2268"/>
              </w:tabs>
            </w:pPr>
            <w:r w:rsidRPr="005E3B43">
              <w:t>r. 42ZI</w:t>
            </w:r>
            <w:r w:rsidRPr="005E3B43">
              <w:tab/>
            </w:r>
          </w:p>
        </w:tc>
        <w:tc>
          <w:tcPr>
            <w:tcW w:w="3505" w:type="pct"/>
          </w:tcPr>
          <w:p w14:paraId="279CC3FE"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16CAEC48" w14:textId="77777777" w:rsidTr="00034EA9">
        <w:trPr>
          <w:cantSplit/>
        </w:trPr>
        <w:tc>
          <w:tcPr>
            <w:tcW w:w="1495" w:type="pct"/>
          </w:tcPr>
          <w:p w14:paraId="594DACC6" w14:textId="77777777" w:rsidR="000447ED" w:rsidRPr="005E3B43" w:rsidRDefault="000447ED" w:rsidP="00763BCF">
            <w:pPr>
              <w:pStyle w:val="ENoteTableText"/>
            </w:pPr>
          </w:p>
        </w:tc>
        <w:tc>
          <w:tcPr>
            <w:tcW w:w="3505" w:type="pct"/>
          </w:tcPr>
          <w:p w14:paraId="13EA18ED"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1C59F88E" w14:textId="77777777" w:rsidTr="00034EA9">
        <w:trPr>
          <w:cantSplit/>
        </w:trPr>
        <w:tc>
          <w:tcPr>
            <w:tcW w:w="1495" w:type="pct"/>
          </w:tcPr>
          <w:p w14:paraId="01D731C5" w14:textId="77777777" w:rsidR="000447ED" w:rsidRPr="005E3B43" w:rsidRDefault="000447ED" w:rsidP="00763BCF">
            <w:pPr>
              <w:pStyle w:val="ENoteTableText"/>
              <w:tabs>
                <w:tab w:val="center" w:leader="dot" w:pos="2268"/>
              </w:tabs>
            </w:pPr>
            <w:r w:rsidRPr="005E3B43">
              <w:t>r. 42ZJ</w:t>
            </w:r>
            <w:r w:rsidRPr="005E3B43">
              <w:tab/>
            </w:r>
          </w:p>
        </w:tc>
        <w:tc>
          <w:tcPr>
            <w:tcW w:w="3505" w:type="pct"/>
          </w:tcPr>
          <w:p w14:paraId="379CFB1A"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7A8AD33C" w14:textId="77777777" w:rsidTr="00034EA9">
        <w:trPr>
          <w:cantSplit/>
        </w:trPr>
        <w:tc>
          <w:tcPr>
            <w:tcW w:w="1495" w:type="pct"/>
          </w:tcPr>
          <w:p w14:paraId="42A11D7A" w14:textId="77777777" w:rsidR="000447ED" w:rsidRPr="005E3B43" w:rsidRDefault="000447ED" w:rsidP="00763BCF">
            <w:pPr>
              <w:pStyle w:val="ENoteTableText"/>
            </w:pPr>
          </w:p>
        </w:tc>
        <w:tc>
          <w:tcPr>
            <w:tcW w:w="3505" w:type="pct"/>
          </w:tcPr>
          <w:p w14:paraId="39F4AC82"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2AE38EAF" w14:textId="77777777" w:rsidTr="00034EA9">
        <w:trPr>
          <w:cantSplit/>
        </w:trPr>
        <w:tc>
          <w:tcPr>
            <w:tcW w:w="1495" w:type="pct"/>
          </w:tcPr>
          <w:p w14:paraId="3AD6A719" w14:textId="77777777" w:rsidR="000447ED" w:rsidRPr="005E3B43" w:rsidRDefault="000447ED" w:rsidP="00763BCF">
            <w:pPr>
              <w:pStyle w:val="ENoteTableText"/>
              <w:tabs>
                <w:tab w:val="center" w:leader="dot" w:pos="2268"/>
              </w:tabs>
            </w:pPr>
            <w:r w:rsidRPr="005E3B43">
              <w:t>r. 42ZK</w:t>
            </w:r>
            <w:r w:rsidRPr="005E3B43">
              <w:tab/>
            </w:r>
          </w:p>
        </w:tc>
        <w:tc>
          <w:tcPr>
            <w:tcW w:w="3505" w:type="pct"/>
          </w:tcPr>
          <w:p w14:paraId="57D53F20"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0F0EDEC2" w14:textId="77777777" w:rsidTr="00034EA9">
        <w:trPr>
          <w:cantSplit/>
        </w:trPr>
        <w:tc>
          <w:tcPr>
            <w:tcW w:w="1495" w:type="pct"/>
          </w:tcPr>
          <w:p w14:paraId="76E5A42A" w14:textId="77777777" w:rsidR="000447ED" w:rsidRPr="005E3B43" w:rsidRDefault="000447ED" w:rsidP="00763BCF">
            <w:pPr>
              <w:pStyle w:val="ENoteTableText"/>
            </w:pPr>
          </w:p>
        </w:tc>
        <w:tc>
          <w:tcPr>
            <w:tcW w:w="3505" w:type="pct"/>
          </w:tcPr>
          <w:p w14:paraId="62D7E23B"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5C7958AF" w14:textId="77777777" w:rsidTr="00034EA9">
        <w:trPr>
          <w:cantSplit/>
        </w:trPr>
        <w:tc>
          <w:tcPr>
            <w:tcW w:w="1495" w:type="pct"/>
          </w:tcPr>
          <w:p w14:paraId="48846C7A" w14:textId="77777777" w:rsidR="000447ED" w:rsidRPr="005E3B43" w:rsidRDefault="000447ED" w:rsidP="00763BCF">
            <w:pPr>
              <w:pStyle w:val="ENoteTableText"/>
              <w:tabs>
                <w:tab w:val="center" w:leader="dot" w:pos="2268"/>
              </w:tabs>
            </w:pPr>
            <w:r w:rsidRPr="005E3B43">
              <w:t>r. 42ZL</w:t>
            </w:r>
            <w:r w:rsidRPr="005E3B43">
              <w:tab/>
            </w:r>
          </w:p>
        </w:tc>
        <w:tc>
          <w:tcPr>
            <w:tcW w:w="3505" w:type="pct"/>
          </w:tcPr>
          <w:p w14:paraId="1B426069"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0DDEEA3E" w14:textId="77777777" w:rsidTr="00034EA9">
        <w:trPr>
          <w:cantSplit/>
        </w:trPr>
        <w:tc>
          <w:tcPr>
            <w:tcW w:w="1495" w:type="pct"/>
          </w:tcPr>
          <w:p w14:paraId="364C28C9" w14:textId="77777777" w:rsidR="000447ED" w:rsidRPr="005E3B43" w:rsidRDefault="000447ED" w:rsidP="00763BCF">
            <w:pPr>
              <w:pStyle w:val="ENoteTableText"/>
            </w:pPr>
          </w:p>
        </w:tc>
        <w:tc>
          <w:tcPr>
            <w:tcW w:w="3505" w:type="pct"/>
          </w:tcPr>
          <w:p w14:paraId="22C5807C"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02C6D177" w14:textId="77777777" w:rsidTr="00034EA9">
        <w:trPr>
          <w:cantSplit/>
        </w:trPr>
        <w:tc>
          <w:tcPr>
            <w:tcW w:w="1495" w:type="pct"/>
          </w:tcPr>
          <w:p w14:paraId="3BCD1428" w14:textId="77777777" w:rsidR="000447ED" w:rsidRPr="005E3B43" w:rsidRDefault="000447ED" w:rsidP="00763BCF">
            <w:pPr>
              <w:pStyle w:val="ENoteTableText"/>
              <w:tabs>
                <w:tab w:val="center" w:leader="dot" w:pos="2268"/>
              </w:tabs>
            </w:pPr>
            <w:r w:rsidRPr="005E3B43">
              <w:t>r. 42ZM</w:t>
            </w:r>
            <w:r w:rsidRPr="005E3B43">
              <w:tab/>
            </w:r>
          </w:p>
        </w:tc>
        <w:tc>
          <w:tcPr>
            <w:tcW w:w="3505" w:type="pct"/>
          </w:tcPr>
          <w:p w14:paraId="458B0EE2"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599959D7" w14:textId="77777777" w:rsidTr="00034EA9">
        <w:trPr>
          <w:cantSplit/>
        </w:trPr>
        <w:tc>
          <w:tcPr>
            <w:tcW w:w="1495" w:type="pct"/>
          </w:tcPr>
          <w:p w14:paraId="205E8226" w14:textId="77777777" w:rsidR="000447ED" w:rsidRPr="005E3B43" w:rsidRDefault="000447ED" w:rsidP="00763BCF">
            <w:pPr>
              <w:pStyle w:val="ENoteTableText"/>
            </w:pPr>
          </w:p>
        </w:tc>
        <w:tc>
          <w:tcPr>
            <w:tcW w:w="3505" w:type="pct"/>
          </w:tcPr>
          <w:p w14:paraId="64B39CF5"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10196A4B" w14:textId="77777777" w:rsidTr="00034EA9">
        <w:trPr>
          <w:cantSplit/>
        </w:trPr>
        <w:tc>
          <w:tcPr>
            <w:tcW w:w="1495" w:type="pct"/>
          </w:tcPr>
          <w:p w14:paraId="6B186A17" w14:textId="77777777" w:rsidR="000447ED" w:rsidRPr="005E3B43" w:rsidRDefault="000447ED" w:rsidP="00763BCF">
            <w:pPr>
              <w:pStyle w:val="ENoteTableText"/>
              <w:tabs>
                <w:tab w:val="center" w:leader="dot" w:pos="2268"/>
              </w:tabs>
            </w:pPr>
            <w:r w:rsidRPr="005E3B43">
              <w:t>r. 42ZN</w:t>
            </w:r>
            <w:r w:rsidRPr="005E3B43">
              <w:tab/>
            </w:r>
          </w:p>
        </w:tc>
        <w:tc>
          <w:tcPr>
            <w:tcW w:w="3505" w:type="pct"/>
          </w:tcPr>
          <w:p w14:paraId="22AADE28"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39CFF51D" w14:textId="77777777" w:rsidTr="00034EA9">
        <w:trPr>
          <w:cantSplit/>
        </w:trPr>
        <w:tc>
          <w:tcPr>
            <w:tcW w:w="1495" w:type="pct"/>
          </w:tcPr>
          <w:p w14:paraId="3A0F76D8" w14:textId="77777777" w:rsidR="000447ED" w:rsidRPr="005E3B43" w:rsidRDefault="000447ED" w:rsidP="00763BCF">
            <w:pPr>
              <w:pStyle w:val="ENoteTableText"/>
            </w:pPr>
          </w:p>
        </w:tc>
        <w:tc>
          <w:tcPr>
            <w:tcW w:w="3505" w:type="pct"/>
          </w:tcPr>
          <w:p w14:paraId="7E4F0DC3" w14:textId="77777777" w:rsidR="000447ED" w:rsidRPr="005E3B43" w:rsidRDefault="000447ED" w:rsidP="00763BCF">
            <w:pPr>
              <w:pStyle w:val="ENoteTableText"/>
            </w:pPr>
            <w:r w:rsidRPr="005E3B43">
              <w:t>am. 2000 No.</w:t>
            </w:r>
            <w:r w:rsidR="004E6D00" w:rsidRPr="005E3B43">
              <w:t> </w:t>
            </w:r>
            <w:r w:rsidRPr="005E3B43">
              <w:t>29</w:t>
            </w:r>
          </w:p>
        </w:tc>
      </w:tr>
      <w:tr w:rsidR="000447ED" w:rsidRPr="005E3B43" w14:paraId="769F6646" w14:textId="77777777" w:rsidTr="00034EA9">
        <w:trPr>
          <w:cantSplit/>
        </w:trPr>
        <w:tc>
          <w:tcPr>
            <w:tcW w:w="1495" w:type="pct"/>
          </w:tcPr>
          <w:p w14:paraId="79FB3C5D" w14:textId="77777777" w:rsidR="000447ED" w:rsidRPr="005E3B43" w:rsidRDefault="000447ED" w:rsidP="00763BCF">
            <w:pPr>
              <w:pStyle w:val="ENoteTableText"/>
            </w:pPr>
          </w:p>
        </w:tc>
        <w:tc>
          <w:tcPr>
            <w:tcW w:w="3505" w:type="pct"/>
          </w:tcPr>
          <w:p w14:paraId="3647AC07"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0672C1CE" w14:textId="77777777" w:rsidTr="00034EA9">
        <w:trPr>
          <w:cantSplit/>
        </w:trPr>
        <w:tc>
          <w:tcPr>
            <w:tcW w:w="1495" w:type="pct"/>
          </w:tcPr>
          <w:p w14:paraId="5C23948C" w14:textId="77777777" w:rsidR="000447ED" w:rsidRPr="005E3B43" w:rsidRDefault="000447ED" w:rsidP="00763BCF">
            <w:pPr>
              <w:pStyle w:val="ENoteTableText"/>
              <w:tabs>
                <w:tab w:val="center" w:leader="dot" w:pos="2268"/>
              </w:tabs>
            </w:pPr>
            <w:r w:rsidRPr="005E3B43">
              <w:t>r. 42ZO</w:t>
            </w:r>
            <w:r w:rsidRPr="005E3B43">
              <w:tab/>
            </w:r>
          </w:p>
        </w:tc>
        <w:tc>
          <w:tcPr>
            <w:tcW w:w="3505" w:type="pct"/>
          </w:tcPr>
          <w:p w14:paraId="5C06A848"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03B5FA97" w14:textId="77777777" w:rsidTr="00034EA9">
        <w:trPr>
          <w:cantSplit/>
        </w:trPr>
        <w:tc>
          <w:tcPr>
            <w:tcW w:w="1495" w:type="pct"/>
          </w:tcPr>
          <w:p w14:paraId="7B81A1AC" w14:textId="77777777" w:rsidR="000447ED" w:rsidRPr="005E3B43" w:rsidRDefault="000447ED" w:rsidP="00763BCF">
            <w:pPr>
              <w:pStyle w:val="ENoteTableText"/>
            </w:pPr>
          </w:p>
        </w:tc>
        <w:tc>
          <w:tcPr>
            <w:tcW w:w="3505" w:type="pct"/>
          </w:tcPr>
          <w:p w14:paraId="37243946"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70D6712B" w14:textId="77777777" w:rsidTr="00034EA9">
        <w:trPr>
          <w:cantSplit/>
        </w:trPr>
        <w:tc>
          <w:tcPr>
            <w:tcW w:w="1495" w:type="pct"/>
          </w:tcPr>
          <w:p w14:paraId="775B2342" w14:textId="77777777" w:rsidR="000447ED" w:rsidRPr="005E3B43" w:rsidRDefault="000447ED" w:rsidP="00763BCF">
            <w:pPr>
              <w:pStyle w:val="ENoteTableText"/>
              <w:tabs>
                <w:tab w:val="center" w:leader="dot" w:pos="2268"/>
              </w:tabs>
            </w:pPr>
            <w:r w:rsidRPr="005E3B43">
              <w:t>r. 42ZP</w:t>
            </w:r>
            <w:r w:rsidRPr="005E3B43">
              <w:tab/>
            </w:r>
          </w:p>
        </w:tc>
        <w:tc>
          <w:tcPr>
            <w:tcW w:w="3505" w:type="pct"/>
          </w:tcPr>
          <w:p w14:paraId="7E6481DA"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48DFC092" w14:textId="77777777" w:rsidTr="00034EA9">
        <w:trPr>
          <w:cantSplit/>
        </w:trPr>
        <w:tc>
          <w:tcPr>
            <w:tcW w:w="1495" w:type="pct"/>
          </w:tcPr>
          <w:p w14:paraId="6DC06AE4" w14:textId="77777777" w:rsidR="000447ED" w:rsidRPr="005E3B43" w:rsidRDefault="000447ED" w:rsidP="00763BCF">
            <w:pPr>
              <w:pStyle w:val="ENoteTableText"/>
            </w:pPr>
          </w:p>
        </w:tc>
        <w:tc>
          <w:tcPr>
            <w:tcW w:w="3505" w:type="pct"/>
          </w:tcPr>
          <w:p w14:paraId="09D198CE"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6BC9F4CD" w14:textId="77777777" w:rsidTr="00034EA9">
        <w:trPr>
          <w:cantSplit/>
        </w:trPr>
        <w:tc>
          <w:tcPr>
            <w:tcW w:w="1495" w:type="pct"/>
          </w:tcPr>
          <w:p w14:paraId="4AEB818C" w14:textId="77777777" w:rsidR="000447ED" w:rsidRPr="005E3B43" w:rsidRDefault="000447ED" w:rsidP="00763BCF">
            <w:pPr>
              <w:pStyle w:val="ENoteTableText"/>
              <w:tabs>
                <w:tab w:val="center" w:leader="dot" w:pos="2268"/>
              </w:tabs>
            </w:pPr>
            <w:r w:rsidRPr="005E3B43">
              <w:t>r. 42ZQ</w:t>
            </w:r>
            <w:r w:rsidRPr="005E3B43">
              <w:tab/>
            </w:r>
          </w:p>
        </w:tc>
        <w:tc>
          <w:tcPr>
            <w:tcW w:w="3505" w:type="pct"/>
          </w:tcPr>
          <w:p w14:paraId="47D5AFE6"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791815D9" w14:textId="77777777" w:rsidTr="00034EA9">
        <w:trPr>
          <w:cantSplit/>
        </w:trPr>
        <w:tc>
          <w:tcPr>
            <w:tcW w:w="1495" w:type="pct"/>
          </w:tcPr>
          <w:p w14:paraId="3DC14C0B" w14:textId="77777777" w:rsidR="000447ED" w:rsidRPr="005E3B43" w:rsidRDefault="000447ED" w:rsidP="00763BCF">
            <w:pPr>
              <w:pStyle w:val="ENoteTableText"/>
            </w:pPr>
          </w:p>
        </w:tc>
        <w:tc>
          <w:tcPr>
            <w:tcW w:w="3505" w:type="pct"/>
          </w:tcPr>
          <w:p w14:paraId="3B8F074E" w14:textId="77777777" w:rsidR="000447ED" w:rsidRPr="005E3B43" w:rsidRDefault="000447ED" w:rsidP="00763BCF">
            <w:pPr>
              <w:pStyle w:val="ENoteTableText"/>
            </w:pPr>
            <w:r w:rsidRPr="005E3B43">
              <w:t>am. 2000 No.</w:t>
            </w:r>
            <w:r w:rsidR="004E6D00" w:rsidRPr="005E3B43">
              <w:t> </w:t>
            </w:r>
            <w:r w:rsidRPr="005E3B43">
              <w:t>29</w:t>
            </w:r>
          </w:p>
        </w:tc>
      </w:tr>
      <w:tr w:rsidR="000447ED" w:rsidRPr="005E3B43" w14:paraId="31F97F2D" w14:textId="77777777" w:rsidTr="00034EA9">
        <w:trPr>
          <w:cantSplit/>
        </w:trPr>
        <w:tc>
          <w:tcPr>
            <w:tcW w:w="1495" w:type="pct"/>
          </w:tcPr>
          <w:p w14:paraId="2C0B0FDB" w14:textId="77777777" w:rsidR="000447ED" w:rsidRPr="005E3B43" w:rsidRDefault="000447ED" w:rsidP="00763BCF">
            <w:pPr>
              <w:pStyle w:val="ENoteTableText"/>
            </w:pPr>
          </w:p>
        </w:tc>
        <w:tc>
          <w:tcPr>
            <w:tcW w:w="3505" w:type="pct"/>
          </w:tcPr>
          <w:p w14:paraId="3F6C1F4C"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471E4266" w14:textId="77777777" w:rsidTr="00034EA9">
        <w:trPr>
          <w:cantSplit/>
        </w:trPr>
        <w:tc>
          <w:tcPr>
            <w:tcW w:w="1495" w:type="pct"/>
          </w:tcPr>
          <w:p w14:paraId="4B90AFA6" w14:textId="77777777" w:rsidR="000447ED" w:rsidRPr="005E3B43" w:rsidRDefault="000447ED" w:rsidP="00763BCF">
            <w:pPr>
              <w:pStyle w:val="ENoteTableText"/>
              <w:tabs>
                <w:tab w:val="center" w:leader="dot" w:pos="2268"/>
              </w:tabs>
            </w:pPr>
            <w:r w:rsidRPr="005E3B43">
              <w:t>r. 42ZR</w:t>
            </w:r>
            <w:r w:rsidRPr="005E3B43">
              <w:tab/>
            </w:r>
          </w:p>
        </w:tc>
        <w:tc>
          <w:tcPr>
            <w:tcW w:w="3505" w:type="pct"/>
          </w:tcPr>
          <w:p w14:paraId="08AF4607"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78EC40EC" w14:textId="77777777" w:rsidTr="00034EA9">
        <w:trPr>
          <w:cantSplit/>
        </w:trPr>
        <w:tc>
          <w:tcPr>
            <w:tcW w:w="1495" w:type="pct"/>
          </w:tcPr>
          <w:p w14:paraId="6EE6244F" w14:textId="77777777" w:rsidR="000447ED" w:rsidRPr="005E3B43" w:rsidRDefault="000447ED" w:rsidP="00763BCF">
            <w:pPr>
              <w:pStyle w:val="ENoteTableText"/>
            </w:pPr>
          </w:p>
        </w:tc>
        <w:tc>
          <w:tcPr>
            <w:tcW w:w="3505" w:type="pct"/>
          </w:tcPr>
          <w:p w14:paraId="0E0BE210"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511B10F3" w14:textId="77777777" w:rsidTr="00034EA9">
        <w:trPr>
          <w:cantSplit/>
        </w:trPr>
        <w:tc>
          <w:tcPr>
            <w:tcW w:w="1495" w:type="pct"/>
          </w:tcPr>
          <w:p w14:paraId="1A839805" w14:textId="77777777" w:rsidR="000447ED" w:rsidRPr="005E3B43" w:rsidRDefault="000447ED" w:rsidP="00763BCF">
            <w:pPr>
              <w:pStyle w:val="ENoteTableText"/>
              <w:tabs>
                <w:tab w:val="center" w:leader="dot" w:pos="2268"/>
              </w:tabs>
            </w:pPr>
            <w:r w:rsidRPr="005E3B43">
              <w:t>r. 42ZS</w:t>
            </w:r>
            <w:r w:rsidRPr="005E3B43">
              <w:tab/>
            </w:r>
          </w:p>
        </w:tc>
        <w:tc>
          <w:tcPr>
            <w:tcW w:w="3505" w:type="pct"/>
          </w:tcPr>
          <w:p w14:paraId="456BBC13"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02C2C696" w14:textId="77777777" w:rsidTr="00034EA9">
        <w:trPr>
          <w:cantSplit/>
        </w:trPr>
        <w:tc>
          <w:tcPr>
            <w:tcW w:w="1495" w:type="pct"/>
          </w:tcPr>
          <w:p w14:paraId="16661146" w14:textId="77777777" w:rsidR="000447ED" w:rsidRPr="005E3B43" w:rsidRDefault="000447ED" w:rsidP="00763BCF">
            <w:pPr>
              <w:pStyle w:val="ENoteTableText"/>
            </w:pPr>
          </w:p>
        </w:tc>
        <w:tc>
          <w:tcPr>
            <w:tcW w:w="3505" w:type="pct"/>
          </w:tcPr>
          <w:p w14:paraId="64B1597C"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1BD8C554" w14:textId="77777777" w:rsidTr="00034EA9">
        <w:trPr>
          <w:cantSplit/>
        </w:trPr>
        <w:tc>
          <w:tcPr>
            <w:tcW w:w="1495" w:type="pct"/>
          </w:tcPr>
          <w:p w14:paraId="0549287C" w14:textId="77777777" w:rsidR="000447ED" w:rsidRPr="005E3B43" w:rsidRDefault="000447ED" w:rsidP="00763BCF">
            <w:pPr>
              <w:pStyle w:val="ENoteTableText"/>
              <w:tabs>
                <w:tab w:val="center" w:leader="dot" w:pos="2268"/>
              </w:tabs>
            </w:pPr>
            <w:r w:rsidRPr="005E3B43">
              <w:t>r. 42ZT</w:t>
            </w:r>
            <w:r w:rsidRPr="005E3B43">
              <w:tab/>
            </w:r>
          </w:p>
        </w:tc>
        <w:tc>
          <w:tcPr>
            <w:tcW w:w="3505" w:type="pct"/>
          </w:tcPr>
          <w:p w14:paraId="62A2D52B"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229ADB7E" w14:textId="77777777" w:rsidTr="00034EA9">
        <w:trPr>
          <w:cantSplit/>
        </w:trPr>
        <w:tc>
          <w:tcPr>
            <w:tcW w:w="1495" w:type="pct"/>
          </w:tcPr>
          <w:p w14:paraId="6616F597" w14:textId="77777777" w:rsidR="000447ED" w:rsidRPr="005E3B43" w:rsidRDefault="000447ED" w:rsidP="00763BCF">
            <w:pPr>
              <w:pStyle w:val="ENoteTableText"/>
            </w:pPr>
          </w:p>
        </w:tc>
        <w:tc>
          <w:tcPr>
            <w:tcW w:w="3505" w:type="pct"/>
          </w:tcPr>
          <w:p w14:paraId="19D8860A"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65CA01F0" w14:textId="77777777" w:rsidTr="00034EA9">
        <w:trPr>
          <w:cantSplit/>
        </w:trPr>
        <w:tc>
          <w:tcPr>
            <w:tcW w:w="1495" w:type="pct"/>
          </w:tcPr>
          <w:p w14:paraId="29E32A8B" w14:textId="77777777" w:rsidR="000447ED" w:rsidRPr="005E3B43" w:rsidRDefault="000447ED" w:rsidP="00763BCF">
            <w:pPr>
              <w:pStyle w:val="ENoteTableText"/>
              <w:tabs>
                <w:tab w:val="center" w:leader="dot" w:pos="2268"/>
              </w:tabs>
            </w:pPr>
            <w:r w:rsidRPr="005E3B43">
              <w:t>r. 42ZU</w:t>
            </w:r>
            <w:r w:rsidRPr="005E3B43">
              <w:tab/>
            </w:r>
          </w:p>
        </w:tc>
        <w:tc>
          <w:tcPr>
            <w:tcW w:w="3505" w:type="pct"/>
          </w:tcPr>
          <w:p w14:paraId="0AE3F210"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18517866" w14:textId="77777777" w:rsidTr="00034EA9">
        <w:trPr>
          <w:cantSplit/>
        </w:trPr>
        <w:tc>
          <w:tcPr>
            <w:tcW w:w="1495" w:type="pct"/>
          </w:tcPr>
          <w:p w14:paraId="11B941E3" w14:textId="77777777" w:rsidR="000447ED" w:rsidRPr="005E3B43" w:rsidRDefault="000447ED" w:rsidP="00763BCF">
            <w:pPr>
              <w:pStyle w:val="ENoteTableText"/>
            </w:pPr>
          </w:p>
        </w:tc>
        <w:tc>
          <w:tcPr>
            <w:tcW w:w="3505" w:type="pct"/>
          </w:tcPr>
          <w:p w14:paraId="0B2151F2"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4535F7B1" w14:textId="77777777" w:rsidTr="00034EA9">
        <w:trPr>
          <w:cantSplit/>
        </w:trPr>
        <w:tc>
          <w:tcPr>
            <w:tcW w:w="1495" w:type="pct"/>
          </w:tcPr>
          <w:p w14:paraId="08849F79" w14:textId="77777777" w:rsidR="000447ED" w:rsidRPr="005E3B43" w:rsidRDefault="000447ED" w:rsidP="00763BCF">
            <w:pPr>
              <w:pStyle w:val="ENoteTableText"/>
              <w:tabs>
                <w:tab w:val="center" w:leader="dot" w:pos="2268"/>
              </w:tabs>
            </w:pPr>
            <w:r w:rsidRPr="005E3B43">
              <w:t>r. 42ZV</w:t>
            </w:r>
            <w:r w:rsidRPr="005E3B43">
              <w:tab/>
            </w:r>
          </w:p>
        </w:tc>
        <w:tc>
          <w:tcPr>
            <w:tcW w:w="3505" w:type="pct"/>
          </w:tcPr>
          <w:p w14:paraId="62E6A432"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63EF7F40" w14:textId="77777777" w:rsidTr="00034EA9">
        <w:trPr>
          <w:cantSplit/>
        </w:trPr>
        <w:tc>
          <w:tcPr>
            <w:tcW w:w="1495" w:type="pct"/>
          </w:tcPr>
          <w:p w14:paraId="426C1FDC" w14:textId="77777777" w:rsidR="000447ED" w:rsidRPr="005E3B43" w:rsidRDefault="000447ED" w:rsidP="00763BCF">
            <w:pPr>
              <w:pStyle w:val="ENoteTableText"/>
            </w:pPr>
          </w:p>
        </w:tc>
        <w:tc>
          <w:tcPr>
            <w:tcW w:w="3505" w:type="pct"/>
          </w:tcPr>
          <w:p w14:paraId="490F1D9A"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2701FC97" w14:textId="77777777" w:rsidTr="00034EA9">
        <w:trPr>
          <w:cantSplit/>
        </w:trPr>
        <w:tc>
          <w:tcPr>
            <w:tcW w:w="1495" w:type="pct"/>
          </w:tcPr>
          <w:p w14:paraId="75F1A013" w14:textId="77777777" w:rsidR="000447ED" w:rsidRPr="005E3B43" w:rsidRDefault="000447ED" w:rsidP="00763BCF">
            <w:pPr>
              <w:pStyle w:val="ENoteTableText"/>
              <w:tabs>
                <w:tab w:val="center" w:leader="dot" w:pos="2268"/>
              </w:tabs>
            </w:pPr>
            <w:r w:rsidRPr="005E3B43">
              <w:t>r. 42ZW</w:t>
            </w:r>
            <w:r w:rsidRPr="005E3B43">
              <w:tab/>
            </w:r>
          </w:p>
        </w:tc>
        <w:tc>
          <w:tcPr>
            <w:tcW w:w="3505" w:type="pct"/>
          </w:tcPr>
          <w:p w14:paraId="5196F356"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3BE763BC" w14:textId="77777777" w:rsidTr="00034EA9">
        <w:trPr>
          <w:cantSplit/>
        </w:trPr>
        <w:tc>
          <w:tcPr>
            <w:tcW w:w="1495" w:type="pct"/>
          </w:tcPr>
          <w:p w14:paraId="1243F83D" w14:textId="77777777" w:rsidR="000447ED" w:rsidRPr="005E3B43" w:rsidRDefault="000447ED" w:rsidP="00763BCF">
            <w:pPr>
              <w:pStyle w:val="ENoteTableText"/>
            </w:pPr>
          </w:p>
        </w:tc>
        <w:tc>
          <w:tcPr>
            <w:tcW w:w="3505" w:type="pct"/>
          </w:tcPr>
          <w:p w14:paraId="5496E54B"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65246ED9" w14:textId="77777777" w:rsidTr="00034EA9">
        <w:trPr>
          <w:cantSplit/>
        </w:trPr>
        <w:tc>
          <w:tcPr>
            <w:tcW w:w="1495" w:type="pct"/>
          </w:tcPr>
          <w:p w14:paraId="36E9F5F2" w14:textId="77777777" w:rsidR="000447ED" w:rsidRPr="005E3B43" w:rsidRDefault="000447ED" w:rsidP="00763BCF">
            <w:pPr>
              <w:pStyle w:val="ENoteTableText"/>
              <w:tabs>
                <w:tab w:val="center" w:leader="dot" w:pos="2268"/>
              </w:tabs>
            </w:pPr>
            <w:r w:rsidRPr="005E3B43">
              <w:t>r. 42ZX</w:t>
            </w:r>
            <w:r w:rsidRPr="005E3B43">
              <w:tab/>
            </w:r>
          </w:p>
        </w:tc>
        <w:tc>
          <w:tcPr>
            <w:tcW w:w="3505" w:type="pct"/>
          </w:tcPr>
          <w:p w14:paraId="488D05CD"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5451EB63" w14:textId="77777777" w:rsidTr="00034EA9">
        <w:trPr>
          <w:cantSplit/>
        </w:trPr>
        <w:tc>
          <w:tcPr>
            <w:tcW w:w="1495" w:type="pct"/>
          </w:tcPr>
          <w:p w14:paraId="41BD71D2" w14:textId="77777777" w:rsidR="000447ED" w:rsidRPr="005E3B43" w:rsidRDefault="000447ED" w:rsidP="00763BCF">
            <w:pPr>
              <w:pStyle w:val="ENoteTableText"/>
            </w:pPr>
          </w:p>
        </w:tc>
        <w:tc>
          <w:tcPr>
            <w:tcW w:w="3505" w:type="pct"/>
          </w:tcPr>
          <w:p w14:paraId="1BC449DA" w14:textId="77777777" w:rsidR="000447ED" w:rsidRPr="005E3B43" w:rsidRDefault="000447ED" w:rsidP="00763BCF">
            <w:pPr>
              <w:pStyle w:val="ENoteTableText"/>
            </w:pPr>
            <w:r w:rsidRPr="005E3B43">
              <w:t>am. 2000 No.</w:t>
            </w:r>
            <w:r w:rsidR="004E6D00" w:rsidRPr="005E3B43">
              <w:t> </w:t>
            </w:r>
            <w:r w:rsidRPr="005E3B43">
              <w:t>29</w:t>
            </w:r>
          </w:p>
        </w:tc>
      </w:tr>
      <w:tr w:rsidR="000447ED" w:rsidRPr="005E3B43" w14:paraId="001D52D9" w14:textId="77777777" w:rsidTr="00034EA9">
        <w:trPr>
          <w:cantSplit/>
        </w:trPr>
        <w:tc>
          <w:tcPr>
            <w:tcW w:w="1495" w:type="pct"/>
          </w:tcPr>
          <w:p w14:paraId="65C021D5" w14:textId="77777777" w:rsidR="000447ED" w:rsidRPr="005E3B43" w:rsidRDefault="000447ED" w:rsidP="00763BCF">
            <w:pPr>
              <w:pStyle w:val="ENoteTableText"/>
            </w:pPr>
          </w:p>
        </w:tc>
        <w:tc>
          <w:tcPr>
            <w:tcW w:w="3505" w:type="pct"/>
          </w:tcPr>
          <w:p w14:paraId="16DEE5A9"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4E836253" w14:textId="77777777" w:rsidTr="00034EA9">
        <w:trPr>
          <w:cantSplit/>
        </w:trPr>
        <w:tc>
          <w:tcPr>
            <w:tcW w:w="1495" w:type="pct"/>
          </w:tcPr>
          <w:p w14:paraId="00000921" w14:textId="77777777" w:rsidR="000447ED" w:rsidRPr="005E3B43" w:rsidRDefault="000447ED" w:rsidP="00763BCF">
            <w:pPr>
              <w:pStyle w:val="ENoteTableText"/>
              <w:tabs>
                <w:tab w:val="center" w:leader="dot" w:pos="2268"/>
              </w:tabs>
            </w:pPr>
            <w:r w:rsidRPr="005E3B43">
              <w:t>r. 42ZY</w:t>
            </w:r>
            <w:r w:rsidRPr="005E3B43">
              <w:tab/>
            </w:r>
          </w:p>
        </w:tc>
        <w:tc>
          <w:tcPr>
            <w:tcW w:w="3505" w:type="pct"/>
          </w:tcPr>
          <w:p w14:paraId="1C6AF69B"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4E085E93" w14:textId="77777777" w:rsidTr="00034EA9">
        <w:trPr>
          <w:cantSplit/>
        </w:trPr>
        <w:tc>
          <w:tcPr>
            <w:tcW w:w="1495" w:type="pct"/>
          </w:tcPr>
          <w:p w14:paraId="215FEF75" w14:textId="77777777" w:rsidR="000447ED" w:rsidRPr="005E3B43" w:rsidRDefault="000447ED" w:rsidP="00763BCF">
            <w:pPr>
              <w:pStyle w:val="ENoteTableText"/>
            </w:pPr>
          </w:p>
        </w:tc>
        <w:tc>
          <w:tcPr>
            <w:tcW w:w="3505" w:type="pct"/>
          </w:tcPr>
          <w:p w14:paraId="78722528"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44DF5F9F" w14:textId="77777777" w:rsidTr="00034EA9">
        <w:trPr>
          <w:cantSplit/>
        </w:trPr>
        <w:tc>
          <w:tcPr>
            <w:tcW w:w="1495" w:type="pct"/>
          </w:tcPr>
          <w:p w14:paraId="32210EBC" w14:textId="77777777" w:rsidR="000447ED" w:rsidRPr="005E3B43" w:rsidRDefault="000447ED" w:rsidP="00763BCF">
            <w:pPr>
              <w:pStyle w:val="ENoteTableText"/>
              <w:tabs>
                <w:tab w:val="center" w:leader="dot" w:pos="2268"/>
              </w:tabs>
            </w:pPr>
            <w:r w:rsidRPr="005E3B43">
              <w:lastRenderedPageBreak/>
              <w:t>r. 42ZZ</w:t>
            </w:r>
            <w:r w:rsidRPr="005E3B43">
              <w:tab/>
            </w:r>
          </w:p>
        </w:tc>
        <w:tc>
          <w:tcPr>
            <w:tcW w:w="3505" w:type="pct"/>
          </w:tcPr>
          <w:p w14:paraId="393F1A43" w14:textId="77777777" w:rsidR="000447ED" w:rsidRPr="005E3B43" w:rsidRDefault="000447ED" w:rsidP="00763BCF">
            <w:pPr>
              <w:pStyle w:val="ENoteTableText"/>
            </w:pPr>
            <w:r w:rsidRPr="005E3B43">
              <w:t>ad. 1999 No.</w:t>
            </w:r>
            <w:r w:rsidR="004E6D00" w:rsidRPr="005E3B43">
              <w:t> </w:t>
            </w:r>
            <w:r w:rsidRPr="005E3B43">
              <w:t>62</w:t>
            </w:r>
          </w:p>
        </w:tc>
      </w:tr>
      <w:tr w:rsidR="000447ED" w:rsidRPr="005E3B43" w14:paraId="7957540B" w14:textId="77777777" w:rsidTr="00034EA9">
        <w:trPr>
          <w:cantSplit/>
        </w:trPr>
        <w:tc>
          <w:tcPr>
            <w:tcW w:w="1495" w:type="pct"/>
          </w:tcPr>
          <w:p w14:paraId="48642416" w14:textId="77777777" w:rsidR="000447ED" w:rsidRPr="005E3B43" w:rsidRDefault="000447ED" w:rsidP="00763BCF">
            <w:pPr>
              <w:pStyle w:val="ENoteTableText"/>
            </w:pPr>
          </w:p>
        </w:tc>
        <w:tc>
          <w:tcPr>
            <w:tcW w:w="3505" w:type="pct"/>
          </w:tcPr>
          <w:p w14:paraId="44C94B37"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5DC74612" w14:textId="77777777" w:rsidTr="00034EA9">
        <w:trPr>
          <w:cantSplit/>
        </w:trPr>
        <w:tc>
          <w:tcPr>
            <w:tcW w:w="1495" w:type="pct"/>
          </w:tcPr>
          <w:p w14:paraId="26402CBF" w14:textId="77777777" w:rsidR="000447ED" w:rsidRPr="005E3B43" w:rsidRDefault="00BE7FAC" w:rsidP="00763BCF">
            <w:pPr>
              <w:pStyle w:val="ENoteTableText"/>
              <w:tabs>
                <w:tab w:val="center" w:leader="dot" w:pos="2268"/>
              </w:tabs>
            </w:pPr>
            <w:r w:rsidRPr="005E3B43">
              <w:t>Division 5</w:t>
            </w:r>
            <w:r w:rsidR="000447ED" w:rsidRPr="005E3B43">
              <w:tab/>
            </w:r>
          </w:p>
        </w:tc>
        <w:tc>
          <w:tcPr>
            <w:tcW w:w="3505" w:type="pct"/>
          </w:tcPr>
          <w:p w14:paraId="070173E1"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2BA03469" w14:textId="77777777" w:rsidTr="00034EA9">
        <w:trPr>
          <w:cantSplit/>
        </w:trPr>
        <w:tc>
          <w:tcPr>
            <w:tcW w:w="1495" w:type="pct"/>
          </w:tcPr>
          <w:p w14:paraId="40D7F762" w14:textId="77777777" w:rsidR="000447ED" w:rsidRPr="005E3B43" w:rsidRDefault="000447ED" w:rsidP="00763BCF">
            <w:pPr>
              <w:pStyle w:val="ENoteTableText"/>
            </w:pPr>
          </w:p>
        </w:tc>
        <w:tc>
          <w:tcPr>
            <w:tcW w:w="3505" w:type="pct"/>
          </w:tcPr>
          <w:p w14:paraId="383A3215"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0021888D" w14:textId="77777777" w:rsidTr="00034EA9">
        <w:trPr>
          <w:cantSplit/>
        </w:trPr>
        <w:tc>
          <w:tcPr>
            <w:tcW w:w="1495" w:type="pct"/>
          </w:tcPr>
          <w:p w14:paraId="3C075F62" w14:textId="77777777" w:rsidR="000447ED" w:rsidRPr="005E3B43" w:rsidRDefault="000447ED" w:rsidP="00763BCF">
            <w:pPr>
              <w:pStyle w:val="ENoteTableText"/>
              <w:tabs>
                <w:tab w:val="center" w:leader="dot" w:pos="2268"/>
              </w:tabs>
            </w:pPr>
            <w:r w:rsidRPr="005E3B43">
              <w:t>r. 42ZZA</w:t>
            </w:r>
            <w:r w:rsidRPr="005E3B43">
              <w:tab/>
            </w:r>
          </w:p>
        </w:tc>
        <w:tc>
          <w:tcPr>
            <w:tcW w:w="3505" w:type="pct"/>
          </w:tcPr>
          <w:p w14:paraId="01E31822"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70C86D30" w14:textId="77777777" w:rsidTr="00034EA9">
        <w:trPr>
          <w:cantSplit/>
        </w:trPr>
        <w:tc>
          <w:tcPr>
            <w:tcW w:w="1495" w:type="pct"/>
          </w:tcPr>
          <w:p w14:paraId="2180458B" w14:textId="77777777" w:rsidR="000447ED" w:rsidRPr="005E3B43" w:rsidRDefault="000447ED" w:rsidP="00763BCF">
            <w:pPr>
              <w:pStyle w:val="ENoteTableText"/>
            </w:pPr>
          </w:p>
        </w:tc>
        <w:tc>
          <w:tcPr>
            <w:tcW w:w="3505" w:type="pct"/>
          </w:tcPr>
          <w:p w14:paraId="50F8B86F"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30065425" w14:textId="77777777" w:rsidTr="00034EA9">
        <w:trPr>
          <w:cantSplit/>
        </w:trPr>
        <w:tc>
          <w:tcPr>
            <w:tcW w:w="1495" w:type="pct"/>
          </w:tcPr>
          <w:p w14:paraId="5411B5BC" w14:textId="77777777" w:rsidR="000447ED" w:rsidRPr="005E3B43" w:rsidRDefault="000447ED" w:rsidP="00763BCF">
            <w:pPr>
              <w:pStyle w:val="ENoteTableText"/>
              <w:tabs>
                <w:tab w:val="center" w:leader="dot" w:pos="2268"/>
              </w:tabs>
            </w:pPr>
            <w:r w:rsidRPr="005E3B43">
              <w:t>r. 42ZZB</w:t>
            </w:r>
            <w:r w:rsidRPr="005E3B43">
              <w:tab/>
            </w:r>
          </w:p>
        </w:tc>
        <w:tc>
          <w:tcPr>
            <w:tcW w:w="3505" w:type="pct"/>
          </w:tcPr>
          <w:p w14:paraId="4675CB55"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3AAA13F0" w14:textId="77777777" w:rsidTr="00034EA9">
        <w:trPr>
          <w:cantSplit/>
        </w:trPr>
        <w:tc>
          <w:tcPr>
            <w:tcW w:w="1495" w:type="pct"/>
          </w:tcPr>
          <w:p w14:paraId="7DD6E83A" w14:textId="77777777" w:rsidR="000447ED" w:rsidRPr="005E3B43" w:rsidRDefault="000447ED" w:rsidP="00763BCF">
            <w:pPr>
              <w:pStyle w:val="ENoteTableText"/>
            </w:pPr>
          </w:p>
        </w:tc>
        <w:tc>
          <w:tcPr>
            <w:tcW w:w="3505" w:type="pct"/>
          </w:tcPr>
          <w:p w14:paraId="389802A4"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11FB23F9" w14:textId="77777777" w:rsidTr="00034EA9">
        <w:trPr>
          <w:cantSplit/>
        </w:trPr>
        <w:tc>
          <w:tcPr>
            <w:tcW w:w="1495" w:type="pct"/>
          </w:tcPr>
          <w:p w14:paraId="29CBA72B" w14:textId="77777777" w:rsidR="000447ED" w:rsidRPr="005E3B43" w:rsidRDefault="000447ED" w:rsidP="00763BCF">
            <w:pPr>
              <w:pStyle w:val="ENoteTableText"/>
              <w:tabs>
                <w:tab w:val="center" w:leader="dot" w:pos="2268"/>
              </w:tabs>
            </w:pPr>
            <w:r w:rsidRPr="005E3B43">
              <w:t>r. 42ZZC</w:t>
            </w:r>
            <w:r w:rsidRPr="005E3B43">
              <w:tab/>
            </w:r>
          </w:p>
        </w:tc>
        <w:tc>
          <w:tcPr>
            <w:tcW w:w="3505" w:type="pct"/>
          </w:tcPr>
          <w:p w14:paraId="04D8F351"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63FBA989" w14:textId="77777777" w:rsidTr="00034EA9">
        <w:trPr>
          <w:cantSplit/>
        </w:trPr>
        <w:tc>
          <w:tcPr>
            <w:tcW w:w="1495" w:type="pct"/>
          </w:tcPr>
          <w:p w14:paraId="6A9FCE1D" w14:textId="77777777" w:rsidR="000447ED" w:rsidRPr="005E3B43" w:rsidRDefault="000447ED" w:rsidP="00763BCF">
            <w:pPr>
              <w:pStyle w:val="ENoteTableText"/>
            </w:pPr>
          </w:p>
        </w:tc>
        <w:tc>
          <w:tcPr>
            <w:tcW w:w="3505" w:type="pct"/>
          </w:tcPr>
          <w:p w14:paraId="0FB31364"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04387052" w14:textId="77777777" w:rsidTr="00034EA9">
        <w:trPr>
          <w:cantSplit/>
        </w:trPr>
        <w:tc>
          <w:tcPr>
            <w:tcW w:w="1495" w:type="pct"/>
          </w:tcPr>
          <w:p w14:paraId="48A3CE2D" w14:textId="77777777" w:rsidR="000447ED" w:rsidRPr="005E3B43" w:rsidRDefault="000447ED" w:rsidP="00763BCF">
            <w:pPr>
              <w:pStyle w:val="ENoteTableText"/>
              <w:tabs>
                <w:tab w:val="center" w:leader="dot" w:pos="2268"/>
              </w:tabs>
            </w:pPr>
            <w:r w:rsidRPr="005E3B43">
              <w:t>r. 42ZZD</w:t>
            </w:r>
            <w:r w:rsidRPr="005E3B43">
              <w:tab/>
            </w:r>
          </w:p>
        </w:tc>
        <w:tc>
          <w:tcPr>
            <w:tcW w:w="3505" w:type="pct"/>
          </w:tcPr>
          <w:p w14:paraId="4F297348"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0D35C8FB" w14:textId="77777777" w:rsidTr="00034EA9">
        <w:trPr>
          <w:cantSplit/>
        </w:trPr>
        <w:tc>
          <w:tcPr>
            <w:tcW w:w="1495" w:type="pct"/>
          </w:tcPr>
          <w:p w14:paraId="0439A121" w14:textId="77777777" w:rsidR="000447ED" w:rsidRPr="005E3B43" w:rsidRDefault="000447ED" w:rsidP="00763BCF">
            <w:pPr>
              <w:pStyle w:val="ENoteTableText"/>
            </w:pPr>
          </w:p>
        </w:tc>
        <w:tc>
          <w:tcPr>
            <w:tcW w:w="3505" w:type="pct"/>
          </w:tcPr>
          <w:p w14:paraId="31E73054"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5980F61D" w14:textId="77777777" w:rsidTr="00034EA9">
        <w:trPr>
          <w:cantSplit/>
        </w:trPr>
        <w:tc>
          <w:tcPr>
            <w:tcW w:w="1495" w:type="pct"/>
          </w:tcPr>
          <w:p w14:paraId="636BFD14" w14:textId="77777777" w:rsidR="000447ED" w:rsidRPr="005E3B43" w:rsidRDefault="000447ED" w:rsidP="00763BCF">
            <w:pPr>
              <w:pStyle w:val="ENoteTableText"/>
              <w:tabs>
                <w:tab w:val="center" w:leader="dot" w:pos="2268"/>
              </w:tabs>
            </w:pPr>
            <w:r w:rsidRPr="005E3B43">
              <w:t>r. 42ZZE</w:t>
            </w:r>
            <w:r w:rsidRPr="005E3B43">
              <w:tab/>
            </w:r>
          </w:p>
        </w:tc>
        <w:tc>
          <w:tcPr>
            <w:tcW w:w="3505" w:type="pct"/>
          </w:tcPr>
          <w:p w14:paraId="40D8D570"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4E5CB0F1" w14:textId="77777777" w:rsidTr="00034EA9">
        <w:trPr>
          <w:cantSplit/>
        </w:trPr>
        <w:tc>
          <w:tcPr>
            <w:tcW w:w="1495" w:type="pct"/>
          </w:tcPr>
          <w:p w14:paraId="436E9ADD" w14:textId="77777777" w:rsidR="000447ED" w:rsidRPr="005E3B43" w:rsidRDefault="000447ED" w:rsidP="00763BCF">
            <w:pPr>
              <w:pStyle w:val="ENoteTableText"/>
            </w:pPr>
          </w:p>
        </w:tc>
        <w:tc>
          <w:tcPr>
            <w:tcW w:w="3505" w:type="pct"/>
          </w:tcPr>
          <w:p w14:paraId="0537F272"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15EAB4C9" w14:textId="77777777" w:rsidTr="00034EA9">
        <w:trPr>
          <w:cantSplit/>
        </w:trPr>
        <w:tc>
          <w:tcPr>
            <w:tcW w:w="1495" w:type="pct"/>
          </w:tcPr>
          <w:p w14:paraId="54FCE9DD" w14:textId="77777777" w:rsidR="000447ED" w:rsidRPr="005E3B43" w:rsidRDefault="000447ED" w:rsidP="00763BCF">
            <w:pPr>
              <w:pStyle w:val="ENoteTableText"/>
              <w:tabs>
                <w:tab w:val="center" w:leader="dot" w:pos="2268"/>
              </w:tabs>
            </w:pPr>
            <w:r w:rsidRPr="005E3B43">
              <w:t>r. 42ZZF</w:t>
            </w:r>
            <w:r w:rsidRPr="005E3B43">
              <w:tab/>
            </w:r>
          </w:p>
        </w:tc>
        <w:tc>
          <w:tcPr>
            <w:tcW w:w="3505" w:type="pct"/>
          </w:tcPr>
          <w:p w14:paraId="05A494BC"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44923C7F" w14:textId="77777777" w:rsidTr="00034EA9">
        <w:trPr>
          <w:cantSplit/>
        </w:trPr>
        <w:tc>
          <w:tcPr>
            <w:tcW w:w="1495" w:type="pct"/>
          </w:tcPr>
          <w:p w14:paraId="6826373E" w14:textId="77777777" w:rsidR="000447ED" w:rsidRPr="005E3B43" w:rsidRDefault="000447ED" w:rsidP="00763BCF">
            <w:pPr>
              <w:pStyle w:val="ENoteTableText"/>
            </w:pPr>
          </w:p>
        </w:tc>
        <w:tc>
          <w:tcPr>
            <w:tcW w:w="3505" w:type="pct"/>
          </w:tcPr>
          <w:p w14:paraId="1D223685"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761249A4" w14:textId="77777777" w:rsidTr="00034EA9">
        <w:trPr>
          <w:cantSplit/>
        </w:trPr>
        <w:tc>
          <w:tcPr>
            <w:tcW w:w="1495" w:type="pct"/>
          </w:tcPr>
          <w:p w14:paraId="3927A61C" w14:textId="77777777" w:rsidR="000447ED" w:rsidRPr="005E3B43" w:rsidRDefault="000447ED" w:rsidP="00763BCF">
            <w:pPr>
              <w:pStyle w:val="ENoteTableText"/>
              <w:tabs>
                <w:tab w:val="center" w:leader="dot" w:pos="2268"/>
              </w:tabs>
            </w:pPr>
            <w:r w:rsidRPr="005E3B43">
              <w:t>r. 42ZZG</w:t>
            </w:r>
            <w:r w:rsidRPr="005E3B43">
              <w:tab/>
            </w:r>
          </w:p>
        </w:tc>
        <w:tc>
          <w:tcPr>
            <w:tcW w:w="3505" w:type="pct"/>
          </w:tcPr>
          <w:p w14:paraId="411C4F12"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72D90C24" w14:textId="77777777" w:rsidTr="00034EA9">
        <w:trPr>
          <w:cantSplit/>
        </w:trPr>
        <w:tc>
          <w:tcPr>
            <w:tcW w:w="1495" w:type="pct"/>
          </w:tcPr>
          <w:p w14:paraId="36A00C32" w14:textId="77777777" w:rsidR="000447ED" w:rsidRPr="005E3B43" w:rsidRDefault="000447ED" w:rsidP="00763BCF">
            <w:pPr>
              <w:pStyle w:val="ENoteTableText"/>
            </w:pPr>
          </w:p>
        </w:tc>
        <w:tc>
          <w:tcPr>
            <w:tcW w:w="3505" w:type="pct"/>
          </w:tcPr>
          <w:p w14:paraId="35009821"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253D951F" w14:textId="77777777" w:rsidTr="00034EA9">
        <w:trPr>
          <w:cantSplit/>
        </w:trPr>
        <w:tc>
          <w:tcPr>
            <w:tcW w:w="1495" w:type="pct"/>
          </w:tcPr>
          <w:p w14:paraId="0BB3BF56" w14:textId="77777777" w:rsidR="000447ED" w:rsidRPr="005E3B43" w:rsidRDefault="000447ED" w:rsidP="00763BCF">
            <w:pPr>
              <w:pStyle w:val="ENoteTableText"/>
              <w:tabs>
                <w:tab w:val="center" w:leader="dot" w:pos="2268"/>
              </w:tabs>
            </w:pPr>
            <w:r w:rsidRPr="005E3B43">
              <w:t>r. 42ZZH</w:t>
            </w:r>
            <w:r w:rsidRPr="005E3B43">
              <w:tab/>
            </w:r>
          </w:p>
        </w:tc>
        <w:tc>
          <w:tcPr>
            <w:tcW w:w="3505" w:type="pct"/>
          </w:tcPr>
          <w:p w14:paraId="09BFFC45"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07E4D077" w14:textId="77777777" w:rsidTr="00034EA9">
        <w:trPr>
          <w:cantSplit/>
        </w:trPr>
        <w:tc>
          <w:tcPr>
            <w:tcW w:w="1495" w:type="pct"/>
          </w:tcPr>
          <w:p w14:paraId="468E86A0" w14:textId="77777777" w:rsidR="000447ED" w:rsidRPr="005E3B43" w:rsidRDefault="000447ED" w:rsidP="00763BCF">
            <w:pPr>
              <w:pStyle w:val="ENoteTableText"/>
            </w:pPr>
          </w:p>
        </w:tc>
        <w:tc>
          <w:tcPr>
            <w:tcW w:w="3505" w:type="pct"/>
          </w:tcPr>
          <w:p w14:paraId="64CF8316"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30D468F6" w14:textId="77777777" w:rsidTr="00034EA9">
        <w:trPr>
          <w:cantSplit/>
        </w:trPr>
        <w:tc>
          <w:tcPr>
            <w:tcW w:w="1495" w:type="pct"/>
          </w:tcPr>
          <w:p w14:paraId="701E272A" w14:textId="77777777" w:rsidR="000447ED" w:rsidRPr="005E3B43" w:rsidRDefault="000447ED" w:rsidP="00763BCF">
            <w:pPr>
              <w:pStyle w:val="ENoteTableText"/>
              <w:tabs>
                <w:tab w:val="center" w:leader="dot" w:pos="2268"/>
              </w:tabs>
            </w:pPr>
            <w:r w:rsidRPr="005E3B43">
              <w:t>r. 42ZZI</w:t>
            </w:r>
            <w:r w:rsidRPr="005E3B43">
              <w:tab/>
            </w:r>
          </w:p>
        </w:tc>
        <w:tc>
          <w:tcPr>
            <w:tcW w:w="3505" w:type="pct"/>
          </w:tcPr>
          <w:p w14:paraId="4FD17077"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1BC881B8" w14:textId="77777777" w:rsidTr="00034EA9">
        <w:trPr>
          <w:cantSplit/>
        </w:trPr>
        <w:tc>
          <w:tcPr>
            <w:tcW w:w="1495" w:type="pct"/>
          </w:tcPr>
          <w:p w14:paraId="5FCB7623" w14:textId="77777777" w:rsidR="000447ED" w:rsidRPr="005E3B43" w:rsidRDefault="000447ED" w:rsidP="00763BCF">
            <w:pPr>
              <w:pStyle w:val="ENoteTableText"/>
            </w:pPr>
          </w:p>
        </w:tc>
        <w:tc>
          <w:tcPr>
            <w:tcW w:w="3505" w:type="pct"/>
          </w:tcPr>
          <w:p w14:paraId="1B801594"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30DC058B" w14:textId="77777777" w:rsidTr="00034EA9">
        <w:trPr>
          <w:cantSplit/>
        </w:trPr>
        <w:tc>
          <w:tcPr>
            <w:tcW w:w="1495" w:type="pct"/>
          </w:tcPr>
          <w:p w14:paraId="76253719" w14:textId="77777777" w:rsidR="000447ED" w:rsidRPr="005E3B43" w:rsidRDefault="000447ED" w:rsidP="00763BCF">
            <w:pPr>
              <w:pStyle w:val="ENoteTableText"/>
              <w:tabs>
                <w:tab w:val="center" w:leader="dot" w:pos="2268"/>
              </w:tabs>
            </w:pPr>
            <w:r w:rsidRPr="005E3B43">
              <w:t>r. 42ZZJ</w:t>
            </w:r>
            <w:r w:rsidRPr="005E3B43">
              <w:tab/>
            </w:r>
          </w:p>
        </w:tc>
        <w:tc>
          <w:tcPr>
            <w:tcW w:w="3505" w:type="pct"/>
          </w:tcPr>
          <w:p w14:paraId="0CBFB053"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07777FA1" w14:textId="77777777" w:rsidTr="00034EA9">
        <w:trPr>
          <w:cantSplit/>
        </w:trPr>
        <w:tc>
          <w:tcPr>
            <w:tcW w:w="1495" w:type="pct"/>
          </w:tcPr>
          <w:p w14:paraId="03CD717A" w14:textId="77777777" w:rsidR="000447ED" w:rsidRPr="005E3B43" w:rsidRDefault="000447ED" w:rsidP="00763BCF">
            <w:pPr>
              <w:pStyle w:val="ENoteTableText"/>
            </w:pPr>
          </w:p>
        </w:tc>
        <w:tc>
          <w:tcPr>
            <w:tcW w:w="3505" w:type="pct"/>
          </w:tcPr>
          <w:p w14:paraId="7B870FD6" w14:textId="77777777" w:rsidR="000447ED" w:rsidRPr="005E3B43" w:rsidRDefault="000447ED" w:rsidP="00763BCF">
            <w:pPr>
              <w:pStyle w:val="ENoteTableText"/>
            </w:pPr>
            <w:r w:rsidRPr="005E3B43">
              <w:t>am. 2003 No.</w:t>
            </w:r>
            <w:r w:rsidR="004E6D00" w:rsidRPr="005E3B43">
              <w:t> </w:t>
            </w:r>
            <w:r w:rsidRPr="005E3B43">
              <w:t>258</w:t>
            </w:r>
          </w:p>
        </w:tc>
      </w:tr>
      <w:tr w:rsidR="000447ED" w:rsidRPr="005E3B43" w14:paraId="5CABA5EE" w14:textId="77777777" w:rsidTr="00034EA9">
        <w:trPr>
          <w:cantSplit/>
        </w:trPr>
        <w:tc>
          <w:tcPr>
            <w:tcW w:w="1495" w:type="pct"/>
          </w:tcPr>
          <w:p w14:paraId="0E67F2C5" w14:textId="77777777" w:rsidR="000447ED" w:rsidRPr="005E3B43" w:rsidRDefault="000447ED" w:rsidP="00763BCF">
            <w:pPr>
              <w:pStyle w:val="ENoteTableText"/>
            </w:pPr>
          </w:p>
        </w:tc>
        <w:tc>
          <w:tcPr>
            <w:tcW w:w="3505" w:type="pct"/>
          </w:tcPr>
          <w:p w14:paraId="44D93AA5"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497C58E9" w14:textId="77777777" w:rsidTr="00034EA9">
        <w:trPr>
          <w:cantSplit/>
        </w:trPr>
        <w:tc>
          <w:tcPr>
            <w:tcW w:w="1495" w:type="pct"/>
          </w:tcPr>
          <w:p w14:paraId="40097B12" w14:textId="77777777" w:rsidR="000447ED" w:rsidRPr="005E3B43" w:rsidRDefault="000447ED" w:rsidP="00763BCF">
            <w:pPr>
              <w:pStyle w:val="ENoteTableText"/>
              <w:tabs>
                <w:tab w:val="center" w:leader="dot" w:pos="2268"/>
              </w:tabs>
            </w:pPr>
            <w:r w:rsidRPr="005E3B43">
              <w:t>r. 42ZZK</w:t>
            </w:r>
            <w:r w:rsidRPr="005E3B43">
              <w:tab/>
            </w:r>
          </w:p>
        </w:tc>
        <w:tc>
          <w:tcPr>
            <w:tcW w:w="3505" w:type="pct"/>
          </w:tcPr>
          <w:p w14:paraId="46C332B0"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265A3916" w14:textId="77777777" w:rsidTr="00034EA9">
        <w:trPr>
          <w:cantSplit/>
        </w:trPr>
        <w:tc>
          <w:tcPr>
            <w:tcW w:w="1495" w:type="pct"/>
          </w:tcPr>
          <w:p w14:paraId="426BCDB8" w14:textId="77777777" w:rsidR="000447ED" w:rsidRPr="005E3B43" w:rsidRDefault="000447ED" w:rsidP="00763BCF">
            <w:pPr>
              <w:pStyle w:val="ENoteTableText"/>
            </w:pPr>
          </w:p>
        </w:tc>
        <w:tc>
          <w:tcPr>
            <w:tcW w:w="3505" w:type="pct"/>
          </w:tcPr>
          <w:p w14:paraId="3CBFD4F9"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1DACA05C" w14:textId="77777777" w:rsidTr="00034EA9">
        <w:trPr>
          <w:cantSplit/>
        </w:trPr>
        <w:tc>
          <w:tcPr>
            <w:tcW w:w="1495" w:type="pct"/>
          </w:tcPr>
          <w:p w14:paraId="6E4CD8A8" w14:textId="77777777" w:rsidR="000447ED" w:rsidRPr="005E3B43" w:rsidRDefault="000447ED" w:rsidP="00763BCF">
            <w:pPr>
              <w:pStyle w:val="ENoteTableText"/>
              <w:tabs>
                <w:tab w:val="center" w:leader="dot" w:pos="2268"/>
              </w:tabs>
            </w:pPr>
            <w:r w:rsidRPr="005E3B43">
              <w:t>r. 42ZZL</w:t>
            </w:r>
            <w:r w:rsidRPr="005E3B43">
              <w:tab/>
            </w:r>
          </w:p>
        </w:tc>
        <w:tc>
          <w:tcPr>
            <w:tcW w:w="3505" w:type="pct"/>
          </w:tcPr>
          <w:p w14:paraId="152092CE"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0CB3B41E" w14:textId="77777777" w:rsidTr="00034EA9">
        <w:trPr>
          <w:cantSplit/>
        </w:trPr>
        <w:tc>
          <w:tcPr>
            <w:tcW w:w="1495" w:type="pct"/>
          </w:tcPr>
          <w:p w14:paraId="0290B3C1" w14:textId="77777777" w:rsidR="000447ED" w:rsidRPr="005E3B43" w:rsidRDefault="000447ED" w:rsidP="00763BCF">
            <w:pPr>
              <w:pStyle w:val="ENoteTableText"/>
            </w:pPr>
          </w:p>
        </w:tc>
        <w:tc>
          <w:tcPr>
            <w:tcW w:w="3505" w:type="pct"/>
          </w:tcPr>
          <w:p w14:paraId="044CADC9"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6D48039A" w14:textId="77777777" w:rsidTr="00034EA9">
        <w:trPr>
          <w:cantSplit/>
        </w:trPr>
        <w:tc>
          <w:tcPr>
            <w:tcW w:w="1495" w:type="pct"/>
          </w:tcPr>
          <w:p w14:paraId="6511A0EE" w14:textId="77777777" w:rsidR="000447ED" w:rsidRPr="005E3B43" w:rsidRDefault="000447ED" w:rsidP="00763BCF">
            <w:pPr>
              <w:pStyle w:val="ENoteTableText"/>
              <w:tabs>
                <w:tab w:val="center" w:leader="dot" w:pos="2268"/>
              </w:tabs>
            </w:pPr>
            <w:r w:rsidRPr="005E3B43">
              <w:t>r. 42ZZM</w:t>
            </w:r>
            <w:r w:rsidRPr="005E3B43">
              <w:tab/>
            </w:r>
          </w:p>
        </w:tc>
        <w:tc>
          <w:tcPr>
            <w:tcW w:w="3505" w:type="pct"/>
          </w:tcPr>
          <w:p w14:paraId="7057A453"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644B912F" w14:textId="77777777" w:rsidTr="00034EA9">
        <w:trPr>
          <w:cantSplit/>
        </w:trPr>
        <w:tc>
          <w:tcPr>
            <w:tcW w:w="1495" w:type="pct"/>
          </w:tcPr>
          <w:p w14:paraId="7EBF2A18" w14:textId="77777777" w:rsidR="000447ED" w:rsidRPr="005E3B43" w:rsidRDefault="000447ED" w:rsidP="00763BCF">
            <w:pPr>
              <w:pStyle w:val="ENoteTableText"/>
            </w:pPr>
          </w:p>
        </w:tc>
        <w:tc>
          <w:tcPr>
            <w:tcW w:w="3505" w:type="pct"/>
          </w:tcPr>
          <w:p w14:paraId="06BEE45E"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26304E11" w14:textId="77777777" w:rsidTr="00034EA9">
        <w:trPr>
          <w:cantSplit/>
        </w:trPr>
        <w:tc>
          <w:tcPr>
            <w:tcW w:w="1495" w:type="pct"/>
          </w:tcPr>
          <w:p w14:paraId="420DAA44" w14:textId="77777777" w:rsidR="000447ED" w:rsidRPr="005E3B43" w:rsidRDefault="000447ED" w:rsidP="00763BCF">
            <w:pPr>
              <w:pStyle w:val="ENoteTableText"/>
              <w:tabs>
                <w:tab w:val="center" w:leader="dot" w:pos="2268"/>
              </w:tabs>
            </w:pPr>
            <w:r w:rsidRPr="005E3B43">
              <w:t>r. 42ZZN</w:t>
            </w:r>
            <w:r w:rsidRPr="005E3B43">
              <w:tab/>
            </w:r>
          </w:p>
        </w:tc>
        <w:tc>
          <w:tcPr>
            <w:tcW w:w="3505" w:type="pct"/>
          </w:tcPr>
          <w:p w14:paraId="2149C5A7"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7BF2D33A" w14:textId="77777777" w:rsidTr="00034EA9">
        <w:trPr>
          <w:cantSplit/>
        </w:trPr>
        <w:tc>
          <w:tcPr>
            <w:tcW w:w="1495" w:type="pct"/>
          </w:tcPr>
          <w:p w14:paraId="262FB712" w14:textId="77777777" w:rsidR="000447ED" w:rsidRPr="005E3B43" w:rsidRDefault="000447ED" w:rsidP="00763BCF">
            <w:pPr>
              <w:pStyle w:val="ENoteTableText"/>
            </w:pPr>
          </w:p>
        </w:tc>
        <w:tc>
          <w:tcPr>
            <w:tcW w:w="3505" w:type="pct"/>
          </w:tcPr>
          <w:p w14:paraId="0F8EFFAA"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6A00749F" w14:textId="77777777" w:rsidTr="00034EA9">
        <w:trPr>
          <w:cantSplit/>
        </w:trPr>
        <w:tc>
          <w:tcPr>
            <w:tcW w:w="1495" w:type="pct"/>
          </w:tcPr>
          <w:p w14:paraId="2D9E5A4C" w14:textId="77777777" w:rsidR="000447ED" w:rsidRPr="005E3B43" w:rsidRDefault="000447ED" w:rsidP="00763BCF">
            <w:pPr>
              <w:pStyle w:val="ENoteTableText"/>
              <w:tabs>
                <w:tab w:val="center" w:leader="dot" w:pos="2268"/>
              </w:tabs>
            </w:pPr>
            <w:r w:rsidRPr="005E3B43">
              <w:t>r. 42ZZO</w:t>
            </w:r>
            <w:r w:rsidRPr="005E3B43">
              <w:tab/>
            </w:r>
          </w:p>
        </w:tc>
        <w:tc>
          <w:tcPr>
            <w:tcW w:w="3505" w:type="pct"/>
          </w:tcPr>
          <w:p w14:paraId="2EFAE3C3"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5765D305" w14:textId="77777777" w:rsidTr="00034EA9">
        <w:trPr>
          <w:cantSplit/>
        </w:trPr>
        <w:tc>
          <w:tcPr>
            <w:tcW w:w="1495" w:type="pct"/>
          </w:tcPr>
          <w:p w14:paraId="2E86EE3A" w14:textId="77777777" w:rsidR="000447ED" w:rsidRPr="005E3B43" w:rsidRDefault="000447ED" w:rsidP="00763BCF">
            <w:pPr>
              <w:pStyle w:val="ENoteTableText"/>
            </w:pPr>
          </w:p>
        </w:tc>
        <w:tc>
          <w:tcPr>
            <w:tcW w:w="3505" w:type="pct"/>
          </w:tcPr>
          <w:p w14:paraId="096DE138"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0B5CEEEA" w14:textId="77777777" w:rsidTr="00034EA9">
        <w:trPr>
          <w:cantSplit/>
        </w:trPr>
        <w:tc>
          <w:tcPr>
            <w:tcW w:w="1495" w:type="pct"/>
          </w:tcPr>
          <w:p w14:paraId="785D5110" w14:textId="77777777" w:rsidR="000447ED" w:rsidRPr="005E3B43" w:rsidRDefault="000447ED" w:rsidP="00763BCF">
            <w:pPr>
              <w:pStyle w:val="ENoteTableText"/>
              <w:tabs>
                <w:tab w:val="center" w:leader="dot" w:pos="2268"/>
              </w:tabs>
            </w:pPr>
            <w:r w:rsidRPr="005E3B43">
              <w:t>r. 42ZZP</w:t>
            </w:r>
            <w:r w:rsidRPr="005E3B43">
              <w:tab/>
            </w:r>
          </w:p>
        </w:tc>
        <w:tc>
          <w:tcPr>
            <w:tcW w:w="3505" w:type="pct"/>
          </w:tcPr>
          <w:p w14:paraId="2EFBC262"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5423BD40" w14:textId="77777777" w:rsidTr="00034EA9">
        <w:trPr>
          <w:cantSplit/>
        </w:trPr>
        <w:tc>
          <w:tcPr>
            <w:tcW w:w="1495" w:type="pct"/>
          </w:tcPr>
          <w:p w14:paraId="07463B29" w14:textId="77777777" w:rsidR="000447ED" w:rsidRPr="005E3B43" w:rsidRDefault="000447ED" w:rsidP="00763BCF">
            <w:pPr>
              <w:pStyle w:val="ENoteTableText"/>
            </w:pPr>
          </w:p>
        </w:tc>
        <w:tc>
          <w:tcPr>
            <w:tcW w:w="3505" w:type="pct"/>
          </w:tcPr>
          <w:p w14:paraId="2C58578E"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743383F5" w14:textId="77777777" w:rsidTr="00034EA9">
        <w:trPr>
          <w:cantSplit/>
        </w:trPr>
        <w:tc>
          <w:tcPr>
            <w:tcW w:w="1495" w:type="pct"/>
          </w:tcPr>
          <w:p w14:paraId="7A2011D8" w14:textId="77777777" w:rsidR="000447ED" w:rsidRPr="005E3B43" w:rsidRDefault="000447ED" w:rsidP="00763BCF">
            <w:pPr>
              <w:pStyle w:val="ENoteTableText"/>
              <w:tabs>
                <w:tab w:val="center" w:leader="dot" w:pos="2268"/>
              </w:tabs>
            </w:pPr>
            <w:r w:rsidRPr="005E3B43">
              <w:t>r. 42ZZQ</w:t>
            </w:r>
            <w:r w:rsidRPr="005E3B43">
              <w:tab/>
            </w:r>
          </w:p>
        </w:tc>
        <w:tc>
          <w:tcPr>
            <w:tcW w:w="3505" w:type="pct"/>
          </w:tcPr>
          <w:p w14:paraId="3B598441"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76F40067" w14:textId="77777777" w:rsidTr="00034EA9">
        <w:trPr>
          <w:cantSplit/>
        </w:trPr>
        <w:tc>
          <w:tcPr>
            <w:tcW w:w="1495" w:type="pct"/>
          </w:tcPr>
          <w:p w14:paraId="775A3FBE" w14:textId="77777777" w:rsidR="000447ED" w:rsidRPr="005E3B43" w:rsidRDefault="000447ED" w:rsidP="00763BCF">
            <w:pPr>
              <w:pStyle w:val="ENoteTableText"/>
            </w:pPr>
          </w:p>
        </w:tc>
        <w:tc>
          <w:tcPr>
            <w:tcW w:w="3505" w:type="pct"/>
          </w:tcPr>
          <w:p w14:paraId="5C4C5209"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45E695CF" w14:textId="77777777" w:rsidTr="00034EA9">
        <w:trPr>
          <w:cantSplit/>
        </w:trPr>
        <w:tc>
          <w:tcPr>
            <w:tcW w:w="1495" w:type="pct"/>
          </w:tcPr>
          <w:p w14:paraId="09C06728" w14:textId="77777777" w:rsidR="000447ED" w:rsidRPr="005E3B43" w:rsidRDefault="000447ED" w:rsidP="00763BCF">
            <w:pPr>
              <w:pStyle w:val="ENoteTableText"/>
              <w:tabs>
                <w:tab w:val="center" w:leader="dot" w:pos="2268"/>
              </w:tabs>
            </w:pPr>
            <w:r w:rsidRPr="005E3B43">
              <w:t>r. 42ZZR</w:t>
            </w:r>
            <w:r w:rsidRPr="005E3B43">
              <w:tab/>
            </w:r>
          </w:p>
        </w:tc>
        <w:tc>
          <w:tcPr>
            <w:tcW w:w="3505" w:type="pct"/>
          </w:tcPr>
          <w:p w14:paraId="35422733"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0BAC3584" w14:textId="77777777" w:rsidTr="00034EA9">
        <w:trPr>
          <w:cantSplit/>
        </w:trPr>
        <w:tc>
          <w:tcPr>
            <w:tcW w:w="1495" w:type="pct"/>
          </w:tcPr>
          <w:p w14:paraId="3A0E0E93" w14:textId="77777777" w:rsidR="000447ED" w:rsidRPr="005E3B43" w:rsidRDefault="000447ED" w:rsidP="00763BCF">
            <w:pPr>
              <w:pStyle w:val="ENoteTableText"/>
            </w:pPr>
          </w:p>
        </w:tc>
        <w:tc>
          <w:tcPr>
            <w:tcW w:w="3505" w:type="pct"/>
          </w:tcPr>
          <w:p w14:paraId="4851F837"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52A40A1C" w14:textId="77777777" w:rsidTr="00034EA9">
        <w:trPr>
          <w:cantSplit/>
        </w:trPr>
        <w:tc>
          <w:tcPr>
            <w:tcW w:w="1495" w:type="pct"/>
          </w:tcPr>
          <w:p w14:paraId="688DD321" w14:textId="77777777" w:rsidR="000447ED" w:rsidRPr="005E3B43" w:rsidRDefault="000447ED" w:rsidP="00763BCF">
            <w:pPr>
              <w:pStyle w:val="ENoteTableText"/>
              <w:tabs>
                <w:tab w:val="center" w:leader="dot" w:pos="2268"/>
              </w:tabs>
            </w:pPr>
            <w:r w:rsidRPr="005E3B43">
              <w:t>r. 42ZZS</w:t>
            </w:r>
            <w:r w:rsidRPr="005E3B43">
              <w:tab/>
            </w:r>
          </w:p>
        </w:tc>
        <w:tc>
          <w:tcPr>
            <w:tcW w:w="3505" w:type="pct"/>
          </w:tcPr>
          <w:p w14:paraId="23E99273"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70C15FA4" w14:textId="77777777" w:rsidTr="00034EA9">
        <w:trPr>
          <w:cantSplit/>
        </w:trPr>
        <w:tc>
          <w:tcPr>
            <w:tcW w:w="1495" w:type="pct"/>
          </w:tcPr>
          <w:p w14:paraId="7A24C72F" w14:textId="77777777" w:rsidR="000447ED" w:rsidRPr="005E3B43" w:rsidRDefault="000447ED" w:rsidP="00763BCF">
            <w:pPr>
              <w:pStyle w:val="ENoteTableText"/>
            </w:pPr>
          </w:p>
        </w:tc>
        <w:tc>
          <w:tcPr>
            <w:tcW w:w="3505" w:type="pct"/>
          </w:tcPr>
          <w:p w14:paraId="6FFA4F4E"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653EFC83" w14:textId="77777777" w:rsidTr="00034EA9">
        <w:trPr>
          <w:cantSplit/>
        </w:trPr>
        <w:tc>
          <w:tcPr>
            <w:tcW w:w="1495" w:type="pct"/>
          </w:tcPr>
          <w:p w14:paraId="457EFD9B" w14:textId="77777777" w:rsidR="000447ED" w:rsidRPr="005E3B43" w:rsidRDefault="000447ED" w:rsidP="00763BCF">
            <w:pPr>
              <w:pStyle w:val="ENoteTableText"/>
              <w:tabs>
                <w:tab w:val="center" w:leader="dot" w:pos="2268"/>
              </w:tabs>
            </w:pPr>
            <w:r w:rsidRPr="005E3B43">
              <w:t>r. 42ZZT</w:t>
            </w:r>
            <w:r w:rsidRPr="005E3B43">
              <w:tab/>
            </w:r>
          </w:p>
        </w:tc>
        <w:tc>
          <w:tcPr>
            <w:tcW w:w="3505" w:type="pct"/>
          </w:tcPr>
          <w:p w14:paraId="33D3F3DC"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4D17F2F7" w14:textId="77777777" w:rsidTr="00034EA9">
        <w:trPr>
          <w:cantSplit/>
        </w:trPr>
        <w:tc>
          <w:tcPr>
            <w:tcW w:w="1495" w:type="pct"/>
          </w:tcPr>
          <w:p w14:paraId="3C6A1345" w14:textId="77777777" w:rsidR="000447ED" w:rsidRPr="005E3B43" w:rsidRDefault="000447ED" w:rsidP="00763BCF">
            <w:pPr>
              <w:pStyle w:val="ENoteTableText"/>
            </w:pPr>
          </w:p>
        </w:tc>
        <w:tc>
          <w:tcPr>
            <w:tcW w:w="3505" w:type="pct"/>
          </w:tcPr>
          <w:p w14:paraId="4C720433"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52DAE90F" w14:textId="77777777" w:rsidTr="00034EA9">
        <w:trPr>
          <w:cantSplit/>
        </w:trPr>
        <w:tc>
          <w:tcPr>
            <w:tcW w:w="1495" w:type="pct"/>
          </w:tcPr>
          <w:p w14:paraId="2AD0D0CA" w14:textId="77777777" w:rsidR="000447ED" w:rsidRPr="005E3B43" w:rsidRDefault="000447ED" w:rsidP="00763BCF">
            <w:pPr>
              <w:pStyle w:val="ENoteTableText"/>
              <w:tabs>
                <w:tab w:val="center" w:leader="dot" w:pos="2268"/>
              </w:tabs>
            </w:pPr>
            <w:r w:rsidRPr="005E3B43">
              <w:t>r. 42ZZU</w:t>
            </w:r>
            <w:r w:rsidRPr="005E3B43">
              <w:tab/>
            </w:r>
          </w:p>
        </w:tc>
        <w:tc>
          <w:tcPr>
            <w:tcW w:w="3505" w:type="pct"/>
          </w:tcPr>
          <w:p w14:paraId="27E68DCE"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539214A9" w14:textId="77777777" w:rsidTr="00034EA9">
        <w:trPr>
          <w:cantSplit/>
        </w:trPr>
        <w:tc>
          <w:tcPr>
            <w:tcW w:w="1495" w:type="pct"/>
          </w:tcPr>
          <w:p w14:paraId="332BBA65" w14:textId="77777777" w:rsidR="000447ED" w:rsidRPr="005E3B43" w:rsidRDefault="000447ED" w:rsidP="00763BCF">
            <w:pPr>
              <w:pStyle w:val="ENoteTableText"/>
            </w:pPr>
          </w:p>
        </w:tc>
        <w:tc>
          <w:tcPr>
            <w:tcW w:w="3505" w:type="pct"/>
          </w:tcPr>
          <w:p w14:paraId="2F9A7548"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481FE061" w14:textId="77777777" w:rsidTr="00034EA9">
        <w:trPr>
          <w:cantSplit/>
        </w:trPr>
        <w:tc>
          <w:tcPr>
            <w:tcW w:w="1495" w:type="pct"/>
          </w:tcPr>
          <w:p w14:paraId="262F7881" w14:textId="77777777" w:rsidR="000447ED" w:rsidRPr="005E3B43" w:rsidRDefault="000447ED" w:rsidP="00763BCF">
            <w:pPr>
              <w:pStyle w:val="ENoteTableText"/>
              <w:tabs>
                <w:tab w:val="center" w:leader="dot" w:pos="2268"/>
              </w:tabs>
            </w:pPr>
            <w:r w:rsidRPr="005E3B43">
              <w:t>r. 42ZZV</w:t>
            </w:r>
            <w:r w:rsidRPr="005E3B43">
              <w:tab/>
            </w:r>
          </w:p>
        </w:tc>
        <w:tc>
          <w:tcPr>
            <w:tcW w:w="3505" w:type="pct"/>
          </w:tcPr>
          <w:p w14:paraId="062EAFEE"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2FF7337A" w14:textId="77777777" w:rsidTr="00034EA9">
        <w:trPr>
          <w:cantSplit/>
        </w:trPr>
        <w:tc>
          <w:tcPr>
            <w:tcW w:w="1495" w:type="pct"/>
          </w:tcPr>
          <w:p w14:paraId="09EFB572" w14:textId="77777777" w:rsidR="000447ED" w:rsidRPr="005E3B43" w:rsidRDefault="000447ED" w:rsidP="00763BCF">
            <w:pPr>
              <w:pStyle w:val="ENoteTableText"/>
            </w:pPr>
          </w:p>
        </w:tc>
        <w:tc>
          <w:tcPr>
            <w:tcW w:w="3505" w:type="pct"/>
          </w:tcPr>
          <w:p w14:paraId="4C107F79"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567AAD8C" w14:textId="77777777" w:rsidTr="00034EA9">
        <w:trPr>
          <w:cantSplit/>
        </w:trPr>
        <w:tc>
          <w:tcPr>
            <w:tcW w:w="1495" w:type="pct"/>
          </w:tcPr>
          <w:p w14:paraId="397EA617" w14:textId="77777777" w:rsidR="000447ED" w:rsidRPr="005E3B43" w:rsidRDefault="000447ED" w:rsidP="00763BCF">
            <w:pPr>
              <w:pStyle w:val="ENoteTableText"/>
              <w:tabs>
                <w:tab w:val="center" w:leader="dot" w:pos="2268"/>
              </w:tabs>
            </w:pPr>
            <w:r w:rsidRPr="005E3B43">
              <w:t>r. 42ZZW</w:t>
            </w:r>
            <w:r w:rsidRPr="005E3B43">
              <w:tab/>
            </w:r>
          </w:p>
        </w:tc>
        <w:tc>
          <w:tcPr>
            <w:tcW w:w="3505" w:type="pct"/>
          </w:tcPr>
          <w:p w14:paraId="4AB680DE"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6655F4CC" w14:textId="77777777" w:rsidTr="00034EA9">
        <w:trPr>
          <w:cantSplit/>
        </w:trPr>
        <w:tc>
          <w:tcPr>
            <w:tcW w:w="1495" w:type="pct"/>
          </w:tcPr>
          <w:p w14:paraId="3B60B917" w14:textId="77777777" w:rsidR="000447ED" w:rsidRPr="005E3B43" w:rsidRDefault="000447ED" w:rsidP="00763BCF">
            <w:pPr>
              <w:pStyle w:val="ENoteTableText"/>
            </w:pPr>
          </w:p>
        </w:tc>
        <w:tc>
          <w:tcPr>
            <w:tcW w:w="3505" w:type="pct"/>
          </w:tcPr>
          <w:p w14:paraId="08A96A0C"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54CDF17F" w14:textId="77777777" w:rsidTr="00034EA9">
        <w:trPr>
          <w:cantSplit/>
        </w:trPr>
        <w:tc>
          <w:tcPr>
            <w:tcW w:w="1495" w:type="pct"/>
          </w:tcPr>
          <w:p w14:paraId="0A9D16EC" w14:textId="77777777" w:rsidR="000447ED" w:rsidRPr="005E3B43" w:rsidRDefault="000447ED" w:rsidP="00763BCF">
            <w:pPr>
              <w:pStyle w:val="ENoteTableText"/>
              <w:tabs>
                <w:tab w:val="center" w:leader="dot" w:pos="2268"/>
              </w:tabs>
            </w:pPr>
            <w:r w:rsidRPr="005E3B43">
              <w:t>r. 42ZZX</w:t>
            </w:r>
            <w:r w:rsidRPr="005E3B43">
              <w:tab/>
            </w:r>
          </w:p>
        </w:tc>
        <w:tc>
          <w:tcPr>
            <w:tcW w:w="3505" w:type="pct"/>
          </w:tcPr>
          <w:p w14:paraId="478502EC" w14:textId="77777777" w:rsidR="000447ED" w:rsidRPr="005E3B43" w:rsidRDefault="000447ED" w:rsidP="00763BCF">
            <w:pPr>
              <w:pStyle w:val="ENoteTableText"/>
            </w:pPr>
            <w:r w:rsidRPr="005E3B43">
              <w:t>ad. 2000 No.</w:t>
            </w:r>
            <w:r w:rsidR="004E6D00" w:rsidRPr="005E3B43">
              <w:t> </w:t>
            </w:r>
            <w:r w:rsidRPr="005E3B43">
              <w:t>29</w:t>
            </w:r>
          </w:p>
        </w:tc>
      </w:tr>
      <w:tr w:rsidR="000447ED" w:rsidRPr="005E3B43" w14:paraId="5FCA7B44" w14:textId="77777777" w:rsidTr="00034EA9">
        <w:trPr>
          <w:cantSplit/>
        </w:trPr>
        <w:tc>
          <w:tcPr>
            <w:tcW w:w="1495" w:type="pct"/>
          </w:tcPr>
          <w:p w14:paraId="7BB68633" w14:textId="77777777" w:rsidR="000447ED" w:rsidRPr="005E3B43" w:rsidRDefault="000447ED" w:rsidP="00763BCF">
            <w:pPr>
              <w:pStyle w:val="ENoteTableText"/>
            </w:pPr>
          </w:p>
        </w:tc>
        <w:tc>
          <w:tcPr>
            <w:tcW w:w="3505" w:type="pct"/>
          </w:tcPr>
          <w:p w14:paraId="24475667" w14:textId="77777777" w:rsidR="000447ED" w:rsidRPr="005E3B43" w:rsidRDefault="000447ED" w:rsidP="00763BCF">
            <w:pPr>
              <w:pStyle w:val="ENoteTableText"/>
            </w:pPr>
            <w:r w:rsidRPr="005E3B43">
              <w:t>rep. 2009 No.</w:t>
            </w:r>
            <w:r w:rsidR="004E6D00" w:rsidRPr="005E3B43">
              <w:t> </w:t>
            </w:r>
            <w:r w:rsidRPr="005E3B43">
              <w:t>374</w:t>
            </w:r>
          </w:p>
        </w:tc>
      </w:tr>
      <w:tr w:rsidR="000447ED" w:rsidRPr="005E3B43" w14:paraId="72814F85" w14:textId="77777777" w:rsidTr="00034EA9">
        <w:trPr>
          <w:cantSplit/>
        </w:trPr>
        <w:tc>
          <w:tcPr>
            <w:tcW w:w="1495" w:type="pct"/>
          </w:tcPr>
          <w:p w14:paraId="75E7D556" w14:textId="77777777" w:rsidR="000447ED" w:rsidRPr="005E3B43" w:rsidRDefault="000447ED" w:rsidP="00763BCF">
            <w:pPr>
              <w:pStyle w:val="ENoteTableText"/>
            </w:pPr>
            <w:r w:rsidRPr="005E3B43">
              <w:rPr>
                <w:b/>
              </w:rPr>
              <w:t>Part</w:t>
            </w:r>
            <w:r w:rsidR="004E6D00" w:rsidRPr="005E3B43">
              <w:rPr>
                <w:b/>
              </w:rPr>
              <w:t> </w:t>
            </w:r>
            <w:r w:rsidRPr="005E3B43">
              <w:rPr>
                <w:b/>
              </w:rPr>
              <w:t>7</w:t>
            </w:r>
          </w:p>
        </w:tc>
        <w:tc>
          <w:tcPr>
            <w:tcW w:w="3505" w:type="pct"/>
          </w:tcPr>
          <w:p w14:paraId="59F04B30" w14:textId="77777777" w:rsidR="000447ED" w:rsidRPr="005E3B43" w:rsidRDefault="000447ED" w:rsidP="00763BCF">
            <w:pPr>
              <w:pStyle w:val="ENoteTableText"/>
            </w:pPr>
          </w:p>
        </w:tc>
      </w:tr>
      <w:tr w:rsidR="000447ED" w:rsidRPr="005E3B43" w14:paraId="081E152F" w14:textId="77777777" w:rsidTr="00034EA9">
        <w:trPr>
          <w:cantSplit/>
        </w:trPr>
        <w:tc>
          <w:tcPr>
            <w:tcW w:w="1495" w:type="pct"/>
          </w:tcPr>
          <w:p w14:paraId="65D48E69" w14:textId="77777777" w:rsidR="000447ED" w:rsidRPr="005E3B43" w:rsidRDefault="000447ED" w:rsidP="00763BCF">
            <w:pPr>
              <w:pStyle w:val="ENoteTableText"/>
              <w:tabs>
                <w:tab w:val="center" w:leader="dot" w:pos="2268"/>
              </w:tabs>
            </w:pPr>
            <w:r w:rsidRPr="005E3B43">
              <w:t>Part</w:t>
            </w:r>
            <w:r w:rsidR="004E6D00" w:rsidRPr="005E3B43">
              <w:t> </w:t>
            </w:r>
            <w:r w:rsidRPr="005E3B43">
              <w:t>7 heading</w:t>
            </w:r>
            <w:r w:rsidRPr="005E3B43">
              <w:tab/>
            </w:r>
          </w:p>
        </w:tc>
        <w:tc>
          <w:tcPr>
            <w:tcW w:w="3505" w:type="pct"/>
          </w:tcPr>
          <w:p w14:paraId="26683DF8" w14:textId="77777777" w:rsidR="000447ED" w:rsidRPr="005E3B43" w:rsidRDefault="000447ED" w:rsidP="00763BCF">
            <w:pPr>
              <w:pStyle w:val="ENoteTableText"/>
            </w:pPr>
            <w:r w:rsidRPr="005E3B43">
              <w:t>rs. 1991 No.</w:t>
            </w:r>
            <w:r w:rsidR="004E6D00" w:rsidRPr="005E3B43">
              <w:t> </w:t>
            </w:r>
            <w:r w:rsidRPr="005E3B43">
              <w:t>84; 2009 No.</w:t>
            </w:r>
            <w:r w:rsidR="004E6D00" w:rsidRPr="005E3B43">
              <w:t> </w:t>
            </w:r>
            <w:r w:rsidRPr="005E3B43">
              <w:t>141</w:t>
            </w:r>
          </w:p>
        </w:tc>
      </w:tr>
      <w:tr w:rsidR="000447ED" w:rsidRPr="005E3B43" w14:paraId="395C83FE" w14:textId="77777777" w:rsidTr="00034EA9">
        <w:trPr>
          <w:cantSplit/>
        </w:trPr>
        <w:tc>
          <w:tcPr>
            <w:tcW w:w="1495" w:type="pct"/>
          </w:tcPr>
          <w:p w14:paraId="051F677F" w14:textId="77777777" w:rsidR="000447ED" w:rsidRPr="005E3B43" w:rsidRDefault="003C0723" w:rsidP="00763BCF">
            <w:pPr>
              <w:pStyle w:val="ENoteTableText"/>
            </w:pPr>
            <w:r w:rsidRPr="005E3B43">
              <w:rPr>
                <w:b/>
              </w:rPr>
              <w:t>Division 1</w:t>
            </w:r>
          </w:p>
        </w:tc>
        <w:tc>
          <w:tcPr>
            <w:tcW w:w="3505" w:type="pct"/>
          </w:tcPr>
          <w:p w14:paraId="20D22830" w14:textId="77777777" w:rsidR="000447ED" w:rsidRPr="005E3B43" w:rsidRDefault="000447ED" w:rsidP="00763BCF">
            <w:pPr>
              <w:pStyle w:val="ENoteTableText"/>
            </w:pPr>
          </w:p>
        </w:tc>
      </w:tr>
      <w:tr w:rsidR="000447ED" w:rsidRPr="005E3B43" w14:paraId="5EC0AA9F" w14:textId="77777777" w:rsidTr="00034EA9">
        <w:trPr>
          <w:cantSplit/>
        </w:trPr>
        <w:tc>
          <w:tcPr>
            <w:tcW w:w="1495" w:type="pct"/>
          </w:tcPr>
          <w:p w14:paraId="2D4076D9" w14:textId="77777777" w:rsidR="000447ED" w:rsidRPr="005E3B43" w:rsidRDefault="003C0723" w:rsidP="00763BCF">
            <w:pPr>
              <w:pStyle w:val="ENoteTableText"/>
              <w:tabs>
                <w:tab w:val="center" w:leader="dot" w:pos="2268"/>
              </w:tabs>
            </w:pPr>
            <w:r w:rsidRPr="005E3B43">
              <w:t>Division 1</w:t>
            </w:r>
            <w:r w:rsidR="000447ED" w:rsidRPr="005E3B43">
              <w:tab/>
            </w:r>
          </w:p>
        </w:tc>
        <w:tc>
          <w:tcPr>
            <w:tcW w:w="3505" w:type="pct"/>
          </w:tcPr>
          <w:p w14:paraId="1D1C38ED" w14:textId="77777777" w:rsidR="000447ED" w:rsidRPr="005E3B43" w:rsidRDefault="000447ED" w:rsidP="00763BCF">
            <w:pPr>
              <w:pStyle w:val="ENoteTableText"/>
            </w:pPr>
            <w:r w:rsidRPr="005E3B43">
              <w:t>ad. 2009 No.</w:t>
            </w:r>
            <w:r w:rsidR="004E6D00" w:rsidRPr="005E3B43">
              <w:t> </w:t>
            </w:r>
            <w:r w:rsidRPr="005E3B43">
              <w:t>141</w:t>
            </w:r>
          </w:p>
        </w:tc>
      </w:tr>
      <w:tr w:rsidR="000447ED" w:rsidRPr="005E3B43" w14:paraId="00E0FAAD" w14:textId="77777777" w:rsidTr="00034EA9">
        <w:trPr>
          <w:cantSplit/>
        </w:trPr>
        <w:tc>
          <w:tcPr>
            <w:tcW w:w="1495" w:type="pct"/>
          </w:tcPr>
          <w:p w14:paraId="205E7D64" w14:textId="77777777" w:rsidR="000447ED" w:rsidRPr="005E3B43" w:rsidRDefault="000447ED" w:rsidP="00763BCF">
            <w:pPr>
              <w:pStyle w:val="ENoteTableText"/>
              <w:keepNext/>
            </w:pPr>
            <w:r w:rsidRPr="005E3B43">
              <w:rPr>
                <w:b/>
              </w:rPr>
              <w:t>Subdivision</w:t>
            </w:r>
            <w:r w:rsidR="004E6D00" w:rsidRPr="005E3B43">
              <w:rPr>
                <w:b/>
              </w:rPr>
              <w:t> </w:t>
            </w:r>
            <w:r w:rsidRPr="005E3B43">
              <w:rPr>
                <w:b/>
              </w:rPr>
              <w:t>1</w:t>
            </w:r>
          </w:p>
        </w:tc>
        <w:tc>
          <w:tcPr>
            <w:tcW w:w="3505" w:type="pct"/>
          </w:tcPr>
          <w:p w14:paraId="63FD20D2" w14:textId="77777777" w:rsidR="000447ED" w:rsidRPr="005E3B43" w:rsidRDefault="000447ED" w:rsidP="00763BCF">
            <w:pPr>
              <w:pStyle w:val="ENoteTableText"/>
            </w:pPr>
          </w:p>
        </w:tc>
      </w:tr>
      <w:tr w:rsidR="000447ED" w:rsidRPr="005E3B43" w14:paraId="2CEA80D3" w14:textId="77777777" w:rsidTr="00034EA9">
        <w:trPr>
          <w:cantSplit/>
        </w:trPr>
        <w:tc>
          <w:tcPr>
            <w:tcW w:w="1495" w:type="pct"/>
          </w:tcPr>
          <w:p w14:paraId="51FD5EEB" w14:textId="77777777" w:rsidR="000447ED" w:rsidRPr="005E3B43" w:rsidRDefault="000447ED" w:rsidP="00763BCF">
            <w:pPr>
              <w:pStyle w:val="ENoteTableText"/>
              <w:tabs>
                <w:tab w:val="center" w:leader="dot" w:pos="2268"/>
              </w:tabs>
            </w:pPr>
            <w:r w:rsidRPr="005E3B43">
              <w:t>Subdivision</w:t>
            </w:r>
            <w:r w:rsidR="004E6D00" w:rsidRPr="005E3B43">
              <w:t> </w:t>
            </w:r>
            <w:r w:rsidRPr="005E3B43">
              <w:t>1 heading</w:t>
            </w:r>
            <w:r w:rsidRPr="005E3B43">
              <w:tab/>
            </w:r>
          </w:p>
        </w:tc>
        <w:tc>
          <w:tcPr>
            <w:tcW w:w="3505" w:type="pct"/>
          </w:tcPr>
          <w:p w14:paraId="002F2D53" w14:textId="77777777" w:rsidR="000447ED" w:rsidRPr="005E3B43" w:rsidRDefault="000447ED" w:rsidP="00763BCF">
            <w:pPr>
              <w:pStyle w:val="ENoteTableText"/>
            </w:pPr>
            <w:r w:rsidRPr="005E3B43">
              <w:t>rs. 2011 No.</w:t>
            </w:r>
            <w:r w:rsidR="004E6D00" w:rsidRPr="005E3B43">
              <w:t> </w:t>
            </w:r>
            <w:r w:rsidRPr="005E3B43">
              <w:t>30</w:t>
            </w:r>
          </w:p>
        </w:tc>
      </w:tr>
      <w:tr w:rsidR="000447ED" w:rsidRPr="005E3B43" w14:paraId="67ABE544" w14:textId="77777777" w:rsidTr="00034EA9">
        <w:trPr>
          <w:cantSplit/>
        </w:trPr>
        <w:tc>
          <w:tcPr>
            <w:tcW w:w="1495" w:type="pct"/>
          </w:tcPr>
          <w:p w14:paraId="3B5CF6EC" w14:textId="77777777" w:rsidR="000447ED" w:rsidRPr="005E3B43" w:rsidRDefault="000447ED" w:rsidP="00763BCF">
            <w:pPr>
              <w:pStyle w:val="ENoteTableText"/>
              <w:tabs>
                <w:tab w:val="center" w:leader="dot" w:pos="2268"/>
              </w:tabs>
            </w:pPr>
            <w:r w:rsidRPr="005E3B43">
              <w:t>r. 43AAA</w:t>
            </w:r>
            <w:r w:rsidRPr="005E3B43">
              <w:tab/>
            </w:r>
          </w:p>
        </w:tc>
        <w:tc>
          <w:tcPr>
            <w:tcW w:w="3505" w:type="pct"/>
          </w:tcPr>
          <w:p w14:paraId="78797C8B" w14:textId="77777777" w:rsidR="000447ED" w:rsidRPr="005E3B43" w:rsidRDefault="000447ED" w:rsidP="00763BCF">
            <w:pPr>
              <w:pStyle w:val="ENoteTableText"/>
            </w:pPr>
            <w:r w:rsidRPr="005E3B43">
              <w:t>ad. 2009 No.</w:t>
            </w:r>
            <w:r w:rsidR="004E6D00" w:rsidRPr="005E3B43">
              <w:t> </w:t>
            </w:r>
            <w:r w:rsidRPr="005E3B43">
              <w:t>141</w:t>
            </w:r>
          </w:p>
        </w:tc>
      </w:tr>
      <w:tr w:rsidR="000447ED" w:rsidRPr="005E3B43" w14:paraId="04CC9378" w14:textId="77777777" w:rsidTr="00034EA9">
        <w:trPr>
          <w:cantSplit/>
        </w:trPr>
        <w:tc>
          <w:tcPr>
            <w:tcW w:w="1495" w:type="pct"/>
          </w:tcPr>
          <w:p w14:paraId="48875CCF" w14:textId="77777777" w:rsidR="000447ED" w:rsidRPr="005E3B43" w:rsidRDefault="000447ED" w:rsidP="00763BCF">
            <w:pPr>
              <w:pStyle w:val="ENoteTableText"/>
            </w:pPr>
          </w:p>
        </w:tc>
        <w:tc>
          <w:tcPr>
            <w:tcW w:w="3505" w:type="pct"/>
          </w:tcPr>
          <w:p w14:paraId="0C005BC0" w14:textId="77777777" w:rsidR="000447ED" w:rsidRPr="005E3B43" w:rsidRDefault="000447ED" w:rsidP="00763BCF">
            <w:pPr>
              <w:pStyle w:val="ENoteTableText"/>
            </w:pPr>
            <w:r w:rsidRPr="005E3B43">
              <w:t>am. 2011 No.</w:t>
            </w:r>
            <w:r w:rsidR="004E6D00" w:rsidRPr="005E3B43">
              <w:t> </w:t>
            </w:r>
            <w:r w:rsidRPr="005E3B43">
              <w:t>281</w:t>
            </w:r>
          </w:p>
        </w:tc>
      </w:tr>
      <w:tr w:rsidR="000447ED" w:rsidRPr="005E3B43" w14:paraId="271E3326" w14:textId="77777777" w:rsidTr="00034EA9">
        <w:trPr>
          <w:cantSplit/>
        </w:trPr>
        <w:tc>
          <w:tcPr>
            <w:tcW w:w="1495" w:type="pct"/>
          </w:tcPr>
          <w:p w14:paraId="37421758" w14:textId="77777777" w:rsidR="000447ED" w:rsidRPr="005E3B43" w:rsidRDefault="000447ED" w:rsidP="00763BCF">
            <w:pPr>
              <w:pStyle w:val="ENoteTableText"/>
            </w:pPr>
          </w:p>
        </w:tc>
        <w:tc>
          <w:tcPr>
            <w:tcW w:w="3505" w:type="pct"/>
          </w:tcPr>
          <w:p w14:paraId="7D866002" w14:textId="77777777" w:rsidR="000447ED" w:rsidRPr="005E3B43" w:rsidRDefault="000447ED" w:rsidP="00763BCF">
            <w:pPr>
              <w:pStyle w:val="ENoteTableText"/>
            </w:pPr>
            <w:r w:rsidRPr="005E3B43">
              <w:t>rs No 75, 2015</w:t>
            </w:r>
          </w:p>
        </w:tc>
      </w:tr>
      <w:tr w:rsidR="000447ED" w:rsidRPr="005E3B43" w14:paraId="4B52E0DC" w14:textId="77777777" w:rsidTr="00034EA9">
        <w:trPr>
          <w:cantSplit/>
        </w:trPr>
        <w:tc>
          <w:tcPr>
            <w:tcW w:w="1495" w:type="pct"/>
          </w:tcPr>
          <w:p w14:paraId="4C9D0D8C" w14:textId="77777777" w:rsidR="000447ED" w:rsidRPr="005E3B43" w:rsidRDefault="000447ED" w:rsidP="00763BCF">
            <w:pPr>
              <w:pStyle w:val="ENoteTableText"/>
              <w:keepNext/>
            </w:pPr>
            <w:r w:rsidRPr="005E3B43">
              <w:rPr>
                <w:b/>
              </w:rPr>
              <w:t>Subdivision</w:t>
            </w:r>
            <w:r w:rsidR="004E6D00" w:rsidRPr="005E3B43">
              <w:rPr>
                <w:b/>
              </w:rPr>
              <w:t> </w:t>
            </w:r>
            <w:r w:rsidRPr="005E3B43">
              <w:rPr>
                <w:b/>
              </w:rPr>
              <w:t>2</w:t>
            </w:r>
          </w:p>
        </w:tc>
        <w:tc>
          <w:tcPr>
            <w:tcW w:w="3505" w:type="pct"/>
          </w:tcPr>
          <w:p w14:paraId="401D9E68" w14:textId="77777777" w:rsidR="000447ED" w:rsidRPr="005E3B43" w:rsidRDefault="000447ED" w:rsidP="00763BCF">
            <w:pPr>
              <w:pStyle w:val="ENoteTableText"/>
            </w:pPr>
          </w:p>
        </w:tc>
      </w:tr>
      <w:tr w:rsidR="000447ED" w:rsidRPr="005E3B43" w14:paraId="7A739E1E" w14:textId="77777777" w:rsidTr="00034EA9">
        <w:trPr>
          <w:cantSplit/>
        </w:trPr>
        <w:tc>
          <w:tcPr>
            <w:tcW w:w="1495" w:type="pct"/>
          </w:tcPr>
          <w:p w14:paraId="45893309" w14:textId="77777777" w:rsidR="000447ED" w:rsidRPr="005E3B43" w:rsidRDefault="000447ED" w:rsidP="00763BCF">
            <w:pPr>
              <w:pStyle w:val="ENoteTableText"/>
              <w:tabs>
                <w:tab w:val="center" w:leader="dot" w:pos="2268"/>
              </w:tabs>
            </w:pPr>
            <w:r w:rsidRPr="005E3B43">
              <w:t>Subdivision</w:t>
            </w:r>
            <w:r w:rsidR="004E6D00" w:rsidRPr="005E3B43">
              <w:t> </w:t>
            </w:r>
            <w:r w:rsidRPr="005E3B43">
              <w:t>2 heading</w:t>
            </w:r>
            <w:r w:rsidRPr="005E3B43">
              <w:tab/>
            </w:r>
          </w:p>
        </w:tc>
        <w:tc>
          <w:tcPr>
            <w:tcW w:w="3505" w:type="pct"/>
          </w:tcPr>
          <w:p w14:paraId="3B77B550" w14:textId="77777777" w:rsidR="000447ED" w:rsidRPr="005E3B43" w:rsidRDefault="000447ED" w:rsidP="00763BCF">
            <w:pPr>
              <w:pStyle w:val="ENoteTableText"/>
            </w:pPr>
            <w:r w:rsidRPr="005E3B43">
              <w:t>rs F2016L00109</w:t>
            </w:r>
          </w:p>
        </w:tc>
      </w:tr>
      <w:tr w:rsidR="000447ED" w:rsidRPr="005E3B43" w14:paraId="22418BD0" w14:textId="77777777" w:rsidTr="00034EA9">
        <w:trPr>
          <w:cantSplit/>
        </w:trPr>
        <w:tc>
          <w:tcPr>
            <w:tcW w:w="1495" w:type="pct"/>
          </w:tcPr>
          <w:p w14:paraId="4085DFDB" w14:textId="77777777" w:rsidR="000447ED" w:rsidRPr="005E3B43" w:rsidRDefault="000447ED" w:rsidP="00763BCF">
            <w:pPr>
              <w:pStyle w:val="ENoteTableText"/>
              <w:tabs>
                <w:tab w:val="center" w:leader="dot" w:pos="2268"/>
              </w:tabs>
            </w:pPr>
            <w:r w:rsidRPr="005E3B43">
              <w:t>r 43AAAA</w:t>
            </w:r>
            <w:r w:rsidRPr="005E3B43">
              <w:tab/>
            </w:r>
          </w:p>
        </w:tc>
        <w:tc>
          <w:tcPr>
            <w:tcW w:w="3505" w:type="pct"/>
          </w:tcPr>
          <w:p w14:paraId="6AE9B13E" w14:textId="77777777" w:rsidR="000447ED" w:rsidRPr="005E3B43" w:rsidRDefault="000447ED" w:rsidP="00763BCF">
            <w:pPr>
              <w:pStyle w:val="ENoteTableText"/>
            </w:pPr>
            <w:r w:rsidRPr="005E3B43">
              <w:t>ad F2016L00109</w:t>
            </w:r>
          </w:p>
        </w:tc>
      </w:tr>
      <w:tr w:rsidR="000447ED" w:rsidRPr="005E3B43" w14:paraId="79E6B1FD" w14:textId="77777777" w:rsidTr="00034EA9">
        <w:trPr>
          <w:cantSplit/>
        </w:trPr>
        <w:tc>
          <w:tcPr>
            <w:tcW w:w="1495" w:type="pct"/>
          </w:tcPr>
          <w:p w14:paraId="479D80CE" w14:textId="77777777" w:rsidR="000447ED" w:rsidRPr="005E3B43" w:rsidRDefault="000447ED" w:rsidP="00763BCF">
            <w:pPr>
              <w:pStyle w:val="ENoteTableText"/>
              <w:tabs>
                <w:tab w:val="center" w:leader="dot" w:pos="2268"/>
              </w:tabs>
            </w:pPr>
            <w:r w:rsidRPr="005E3B43">
              <w:t>r. 43AAB</w:t>
            </w:r>
            <w:r w:rsidRPr="005E3B43">
              <w:tab/>
            </w:r>
          </w:p>
        </w:tc>
        <w:tc>
          <w:tcPr>
            <w:tcW w:w="3505" w:type="pct"/>
          </w:tcPr>
          <w:p w14:paraId="00633B4D" w14:textId="77777777" w:rsidR="000447ED" w:rsidRPr="005E3B43" w:rsidRDefault="000447ED" w:rsidP="00763BCF">
            <w:pPr>
              <w:pStyle w:val="ENoteTableText"/>
            </w:pPr>
            <w:r w:rsidRPr="005E3B43">
              <w:t>ad. 2009 No.</w:t>
            </w:r>
            <w:r w:rsidR="004E6D00" w:rsidRPr="005E3B43">
              <w:t> </w:t>
            </w:r>
            <w:r w:rsidRPr="005E3B43">
              <w:t>141</w:t>
            </w:r>
          </w:p>
        </w:tc>
      </w:tr>
      <w:tr w:rsidR="000447ED" w:rsidRPr="005E3B43" w14:paraId="6B688805" w14:textId="77777777" w:rsidTr="00034EA9">
        <w:trPr>
          <w:cantSplit/>
        </w:trPr>
        <w:tc>
          <w:tcPr>
            <w:tcW w:w="1495" w:type="pct"/>
          </w:tcPr>
          <w:p w14:paraId="22473FE2" w14:textId="77777777" w:rsidR="000447ED" w:rsidRPr="005E3B43" w:rsidRDefault="000447ED" w:rsidP="00763BCF">
            <w:pPr>
              <w:pStyle w:val="ENoteTableText"/>
            </w:pPr>
          </w:p>
        </w:tc>
        <w:tc>
          <w:tcPr>
            <w:tcW w:w="3505" w:type="pct"/>
          </w:tcPr>
          <w:p w14:paraId="226A8477" w14:textId="77777777" w:rsidR="000447ED" w:rsidRPr="005E3B43" w:rsidRDefault="000447ED" w:rsidP="00763BCF">
            <w:pPr>
              <w:pStyle w:val="ENoteTableText"/>
            </w:pPr>
            <w:r w:rsidRPr="005E3B43">
              <w:t>rs. 2011 No.</w:t>
            </w:r>
            <w:r w:rsidR="004E6D00" w:rsidRPr="005E3B43">
              <w:t> </w:t>
            </w:r>
            <w:r w:rsidRPr="005E3B43">
              <w:t>30</w:t>
            </w:r>
          </w:p>
        </w:tc>
      </w:tr>
      <w:tr w:rsidR="000447ED" w:rsidRPr="005E3B43" w14:paraId="47DA41A0" w14:textId="77777777" w:rsidTr="00034EA9">
        <w:trPr>
          <w:cantSplit/>
        </w:trPr>
        <w:tc>
          <w:tcPr>
            <w:tcW w:w="1495" w:type="pct"/>
          </w:tcPr>
          <w:p w14:paraId="243709E6" w14:textId="77777777" w:rsidR="000447ED" w:rsidRPr="005E3B43" w:rsidRDefault="000447ED" w:rsidP="00763BCF">
            <w:pPr>
              <w:pStyle w:val="ENoteTableText"/>
            </w:pPr>
          </w:p>
        </w:tc>
        <w:tc>
          <w:tcPr>
            <w:tcW w:w="3505" w:type="pct"/>
          </w:tcPr>
          <w:p w14:paraId="6E838D8D" w14:textId="77777777" w:rsidR="000447ED" w:rsidRPr="005E3B43" w:rsidRDefault="000447ED" w:rsidP="00763BCF">
            <w:pPr>
              <w:pStyle w:val="ENoteTableText"/>
            </w:pPr>
            <w:r w:rsidRPr="005E3B43">
              <w:t>rs No 75, 2015</w:t>
            </w:r>
          </w:p>
        </w:tc>
      </w:tr>
      <w:tr w:rsidR="000447ED" w:rsidRPr="005E3B43" w14:paraId="3441749D" w14:textId="77777777" w:rsidTr="00034EA9">
        <w:trPr>
          <w:cantSplit/>
        </w:trPr>
        <w:tc>
          <w:tcPr>
            <w:tcW w:w="1495" w:type="pct"/>
          </w:tcPr>
          <w:p w14:paraId="1B146414" w14:textId="77777777" w:rsidR="000447ED" w:rsidRPr="005E3B43" w:rsidRDefault="000447ED" w:rsidP="00763BCF">
            <w:pPr>
              <w:pStyle w:val="ENoteTableText"/>
            </w:pPr>
          </w:p>
        </w:tc>
        <w:tc>
          <w:tcPr>
            <w:tcW w:w="3505" w:type="pct"/>
          </w:tcPr>
          <w:p w14:paraId="78501BA5" w14:textId="77777777" w:rsidR="000447ED" w:rsidRPr="005E3B43" w:rsidRDefault="000447ED" w:rsidP="00763BCF">
            <w:pPr>
              <w:pStyle w:val="ENoteTableText"/>
            </w:pPr>
            <w:r w:rsidRPr="005E3B43">
              <w:t>am F2016L00109</w:t>
            </w:r>
          </w:p>
        </w:tc>
      </w:tr>
      <w:tr w:rsidR="000447ED" w:rsidRPr="005E3B43" w14:paraId="3AB163A8" w14:textId="77777777" w:rsidTr="00034EA9">
        <w:trPr>
          <w:cantSplit/>
        </w:trPr>
        <w:tc>
          <w:tcPr>
            <w:tcW w:w="1495" w:type="pct"/>
          </w:tcPr>
          <w:p w14:paraId="4E23859F" w14:textId="77777777" w:rsidR="000447ED" w:rsidRPr="005E3B43" w:rsidRDefault="000447ED" w:rsidP="00763BCF">
            <w:pPr>
              <w:pStyle w:val="ENoteTableText"/>
              <w:tabs>
                <w:tab w:val="center" w:leader="dot" w:pos="2268"/>
              </w:tabs>
            </w:pPr>
            <w:r w:rsidRPr="005E3B43">
              <w:t>r 43AABA</w:t>
            </w:r>
            <w:r w:rsidRPr="005E3B43">
              <w:tab/>
            </w:r>
          </w:p>
        </w:tc>
        <w:tc>
          <w:tcPr>
            <w:tcW w:w="3505" w:type="pct"/>
          </w:tcPr>
          <w:p w14:paraId="43CA15C1" w14:textId="77777777" w:rsidR="000447ED" w:rsidRPr="005E3B43" w:rsidRDefault="000447ED" w:rsidP="00763BCF">
            <w:pPr>
              <w:pStyle w:val="ENoteTableText"/>
              <w:tabs>
                <w:tab w:val="center" w:leader="dot" w:pos="2268"/>
              </w:tabs>
              <w:rPr>
                <w:rFonts w:eastAsiaTheme="minorHAnsi" w:cstheme="minorBidi"/>
                <w:lang w:eastAsia="en-US"/>
              </w:rPr>
            </w:pPr>
            <w:r w:rsidRPr="005E3B43">
              <w:t>ad No 75, 2015</w:t>
            </w:r>
          </w:p>
        </w:tc>
      </w:tr>
      <w:tr w:rsidR="000447ED" w:rsidRPr="005E3B43" w14:paraId="4E111572" w14:textId="77777777" w:rsidTr="00034EA9">
        <w:trPr>
          <w:cantSplit/>
        </w:trPr>
        <w:tc>
          <w:tcPr>
            <w:tcW w:w="1495" w:type="pct"/>
          </w:tcPr>
          <w:p w14:paraId="4248F601" w14:textId="77777777" w:rsidR="000447ED" w:rsidRPr="005E3B43" w:rsidRDefault="000447ED" w:rsidP="00763BCF">
            <w:pPr>
              <w:pStyle w:val="ENoteTableText"/>
              <w:tabs>
                <w:tab w:val="center" w:leader="dot" w:pos="2268"/>
              </w:tabs>
            </w:pPr>
          </w:p>
        </w:tc>
        <w:tc>
          <w:tcPr>
            <w:tcW w:w="3505" w:type="pct"/>
          </w:tcPr>
          <w:p w14:paraId="04125344" w14:textId="77777777" w:rsidR="000447ED" w:rsidRPr="005E3B43" w:rsidRDefault="000447ED" w:rsidP="00763BCF">
            <w:pPr>
              <w:pStyle w:val="ENoteTableText"/>
              <w:tabs>
                <w:tab w:val="center" w:leader="dot" w:pos="2268"/>
              </w:tabs>
            </w:pPr>
            <w:r w:rsidRPr="005E3B43">
              <w:t>rs F2016L00109</w:t>
            </w:r>
          </w:p>
        </w:tc>
      </w:tr>
      <w:tr w:rsidR="000447ED" w:rsidRPr="005E3B43" w14:paraId="4FFF4F47" w14:textId="77777777" w:rsidTr="00034EA9">
        <w:trPr>
          <w:cantSplit/>
        </w:trPr>
        <w:tc>
          <w:tcPr>
            <w:tcW w:w="1495" w:type="pct"/>
          </w:tcPr>
          <w:p w14:paraId="007083AB" w14:textId="77777777" w:rsidR="000447ED" w:rsidRPr="005E3B43" w:rsidRDefault="000447ED" w:rsidP="00763BCF">
            <w:pPr>
              <w:pStyle w:val="ENoteTableText"/>
              <w:tabs>
                <w:tab w:val="center" w:leader="dot" w:pos="2268"/>
              </w:tabs>
            </w:pPr>
            <w:r w:rsidRPr="005E3B43">
              <w:t>r 43AABB</w:t>
            </w:r>
            <w:r w:rsidRPr="005E3B43">
              <w:tab/>
            </w:r>
          </w:p>
        </w:tc>
        <w:tc>
          <w:tcPr>
            <w:tcW w:w="3505" w:type="pct"/>
          </w:tcPr>
          <w:p w14:paraId="7777F502" w14:textId="77777777" w:rsidR="000447ED" w:rsidRPr="005E3B43" w:rsidRDefault="000447ED" w:rsidP="00763BCF">
            <w:pPr>
              <w:pStyle w:val="ENoteTableText"/>
              <w:tabs>
                <w:tab w:val="center" w:leader="dot" w:pos="2268"/>
              </w:tabs>
            </w:pPr>
            <w:r w:rsidRPr="005E3B43">
              <w:t>ad No 75, 2015</w:t>
            </w:r>
          </w:p>
        </w:tc>
      </w:tr>
      <w:tr w:rsidR="000447ED" w:rsidRPr="005E3B43" w14:paraId="3E3571F4" w14:textId="77777777" w:rsidTr="00034EA9">
        <w:trPr>
          <w:cantSplit/>
        </w:trPr>
        <w:tc>
          <w:tcPr>
            <w:tcW w:w="1495" w:type="pct"/>
          </w:tcPr>
          <w:p w14:paraId="10913E6C" w14:textId="77777777" w:rsidR="000447ED" w:rsidRPr="005E3B43" w:rsidRDefault="000447ED" w:rsidP="00763BCF">
            <w:pPr>
              <w:pStyle w:val="ENoteTableText"/>
              <w:tabs>
                <w:tab w:val="center" w:leader="dot" w:pos="2268"/>
              </w:tabs>
            </w:pPr>
            <w:r w:rsidRPr="005E3B43">
              <w:t>r. 43AAC</w:t>
            </w:r>
            <w:r w:rsidRPr="005E3B43">
              <w:tab/>
            </w:r>
          </w:p>
        </w:tc>
        <w:tc>
          <w:tcPr>
            <w:tcW w:w="3505" w:type="pct"/>
          </w:tcPr>
          <w:p w14:paraId="2F1470BB" w14:textId="77777777" w:rsidR="000447ED" w:rsidRPr="005E3B43" w:rsidRDefault="000447ED" w:rsidP="00763BCF">
            <w:pPr>
              <w:pStyle w:val="ENoteTableText"/>
            </w:pPr>
            <w:r w:rsidRPr="005E3B43">
              <w:t>ad. 2009 No.</w:t>
            </w:r>
            <w:r w:rsidR="004E6D00" w:rsidRPr="005E3B43">
              <w:t> </w:t>
            </w:r>
            <w:r w:rsidRPr="005E3B43">
              <w:t>141</w:t>
            </w:r>
          </w:p>
        </w:tc>
      </w:tr>
      <w:tr w:rsidR="000447ED" w:rsidRPr="005E3B43" w14:paraId="0D1909C5" w14:textId="77777777" w:rsidTr="00034EA9">
        <w:trPr>
          <w:cantSplit/>
        </w:trPr>
        <w:tc>
          <w:tcPr>
            <w:tcW w:w="1495" w:type="pct"/>
          </w:tcPr>
          <w:p w14:paraId="23616413" w14:textId="77777777" w:rsidR="000447ED" w:rsidRPr="005E3B43" w:rsidRDefault="000447ED" w:rsidP="00763BCF">
            <w:pPr>
              <w:pStyle w:val="ENoteTableText"/>
            </w:pPr>
          </w:p>
        </w:tc>
        <w:tc>
          <w:tcPr>
            <w:tcW w:w="3505" w:type="pct"/>
          </w:tcPr>
          <w:p w14:paraId="6A48FCD9" w14:textId="77777777" w:rsidR="000447ED" w:rsidRPr="005E3B43" w:rsidRDefault="000447ED" w:rsidP="00763BCF">
            <w:pPr>
              <w:pStyle w:val="ENoteTableText"/>
            </w:pPr>
            <w:r w:rsidRPr="005E3B43">
              <w:t>am. 2011 No.</w:t>
            </w:r>
            <w:r w:rsidR="004E6D00" w:rsidRPr="005E3B43">
              <w:t> </w:t>
            </w:r>
            <w:r w:rsidRPr="005E3B43">
              <w:t>30</w:t>
            </w:r>
          </w:p>
        </w:tc>
      </w:tr>
      <w:tr w:rsidR="000447ED" w:rsidRPr="005E3B43" w14:paraId="637A351B" w14:textId="77777777" w:rsidTr="00034EA9">
        <w:trPr>
          <w:cantSplit/>
        </w:trPr>
        <w:tc>
          <w:tcPr>
            <w:tcW w:w="1495" w:type="pct"/>
          </w:tcPr>
          <w:p w14:paraId="1498847D" w14:textId="77777777" w:rsidR="000447ED" w:rsidRPr="005E3B43" w:rsidRDefault="000447ED" w:rsidP="00763BCF">
            <w:pPr>
              <w:pStyle w:val="ENoteTableText"/>
            </w:pPr>
          </w:p>
        </w:tc>
        <w:tc>
          <w:tcPr>
            <w:tcW w:w="3505" w:type="pct"/>
          </w:tcPr>
          <w:p w14:paraId="3A1F728C" w14:textId="77777777" w:rsidR="000447ED" w:rsidRPr="005E3B43" w:rsidRDefault="000447ED" w:rsidP="00763BCF">
            <w:pPr>
              <w:pStyle w:val="ENoteTableText"/>
            </w:pPr>
            <w:r w:rsidRPr="005E3B43">
              <w:t>rs No 75, 2015</w:t>
            </w:r>
          </w:p>
        </w:tc>
      </w:tr>
      <w:tr w:rsidR="000447ED" w:rsidRPr="005E3B43" w14:paraId="33ED3325" w14:textId="77777777" w:rsidTr="00034EA9">
        <w:trPr>
          <w:cantSplit/>
        </w:trPr>
        <w:tc>
          <w:tcPr>
            <w:tcW w:w="1495" w:type="pct"/>
          </w:tcPr>
          <w:p w14:paraId="62543B40" w14:textId="77777777" w:rsidR="000447ED" w:rsidRPr="005E3B43" w:rsidRDefault="000447ED" w:rsidP="00763BCF">
            <w:pPr>
              <w:pStyle w:val="ENoteTableText"/>
            </w:pPr>
          </w:p>
        </w:tc>
        <w:tc>
          <w:tcPr>
            <w:tcW w:w="3505" w:type="pct"/>
          </w:tcPr>
          <w:p w14:paraId="5471FC69" w14:textId="77777777" w:rsidR="000447ED" w:rsidRPr="005E3B43" w:rsidRDefault="000447ED" w:rsidP="00763BCF">
            <w:pPr>
              <w:pStyle w:val="ENoteTableText"/>
            </w:pPr>
            <w:r w:rsidRPr="005E3B43">
              <w:t>am F2016L00109</w:t>
            </w:r>
          </w:p>
        </w:tc>
      </w:tr>
      <w:tr w:rsidR="000447ED" w:rsidRPr="005E3B43" w14:paraId="625383F4" w14:textId="77777777" w:rsidTr="00034EA9">
        <w:trPr>
          <w:cantSplit/>
        </w:trPr>
        <w:tc>
          <w:tcPr>
            <w:tcW w:w="1495" w:type="pct"/>
          </w:tcPr>
          <w:p w14:paraId="2DCFD49B" w14:textId="77777777" w:rsidR="000447ED" w:rsidRPr="005E3B43" w:rsidRDefault="000447ED" w:rsidP="00763BCF">
            <w:pPr>
              <w:pStyle w:val="ENoteTableText"/>
              <w:tabs>
                <w:tab w:val="center" w:leader="dot" w:pos="2268"/>
              </w:tabs>
            </w:pPr>
            <w:r w:rsidRPr="005E3B43">
              <w:t>r. 43AAD</w:t>
            </w:r>
            <w:r w:rsidRPr="005E3B43">
              <w:tab/>
            </w:r>
          </w:p>
        </w:tc>
        <w:tc>
          <w:tcPr>
            <w:tcW w:w="3505" w:type="pct"/>
          </w:tcPr>
          <w:p w14:paraId="191C00B3" w14:textId="77777777" w:rsidR="000447ED" w:rsidRPr="005E3B43" w:rsidRDefault="000447ED" w:rsidP="00763BCF">
            <w:pPr>
              <w:pStyle w:val="ENoteTableText"/>
            </w:pPr>
            <w:r w:rsidRPr="005E3B43">
              <w:t>ad. 2009 No.</w:t>
            </w:r>
            <w:r w:rsidR="004E6D00" w:rsidRPr="005E3B43">
              <w:t> </w:t>
            </w:r>
            <w:r w:rsidRPr="005E3B43">
              <w:t>141</w:t>
            </w:r>
          </w:p>
        </w:tc>
      </w:tr>
      <w:tr w:rsidR="000447ED" w:rsidRPr="005E3B43" w14:paraId="7B13FD39" w14:textId="77777777" w:rsidTr="00034EA9">
        <w:trPr>
          <w:cantSplit/>
        </w:trPr>
        <w:tc>
          <w:tcPr>
            <w:tcW w:w="1495" w:type="pct"/>
          </w:tcPr>
          <w:p w14:paraId="38FA18EF" w14:textId="77777777" w:rsidR="000447ED" w:rsidRPr="005E3B43" w:rsidRDefault="000447ED" w:rsidP="00763BCF">
            <w:pPr>
              <w:pStyle w:val="ENoteTableText"/>
              <w:tabs>
                <w:tab w:val="center" w:leader="dot" w:pos="2268"/>
              </w:tabs>
            </w:pPr>
          </w:p>
        </w:tc>
        <w:tc>
          <w:tcPr>
            <w:tcW w:w="3505" w:type="pct"/>
          </w:tcPr>
          <w:p w14:paraId="6D9B54E0" w14:textId="77777777" w:rsidR="000447ED" w:rsidRPr="005E3B43" w:rsidRDefault="000447ED" w:rsidP="00763BCF">
            <w:pPr>
              <w:pStyle w:val="ENoteTableText"/>
            </w:pPr>
            <w:r w:rsidRPr="005E3B43">
              <w:t>rs No 75, 2015</w:t>
            </w:r>
          </w:p>
        </w:tc>
      </w:tr>
      <w:tr w:rsidR="000447ED" w:rsidRPr="005E3B43" w14:paraId="5417293E" w14:textId="77777777" w:rsidTr="00034EA9">
        <w:trPr>
          <w:cantSplit/>
        </w:trPr>
        <w:tc>
          <w:tcPr>
            <w:tcW w:w="1495" w:type="pct"/>
          </w:tcPr>
          <w:p w14:paraId="48E66A9E" w14:textId="77777777" w:rsidR="000447ED" w:rsidRPr="005E3B43" w:rsidRDefault="000447ED" w:rsidP="00763BCF">
            <w:pPr>
              <w:pStyle w:val="ENoteTableText"/>
              <w:tabs>
                <w:tab w:val="center" w:leader="dot" w:pos="2268"/>
              </w:tabs>
            </w:pPr>
            <w:r w:rsidRPr="005E3B43">
              <w:t>r. 43AAE</w:t>
            </w:r>
            <w:r w:rsidRPr="005E3B43">
              <w:tab/>
            </w:r>
          </w:p>
        </w:tc>
        <w:tc>
          <w:tcPr>
            <w:tcW w:w="3505" w:type="pct"/>
          </w:tcPr>
          <w:p w14:paraId="4A95136D" w14:textId="77777777" w:rsidR="000447ED" w:rsidRPr="005E3B43" w:rsidRDefault="000447ED" w:rsidP="00763BCF">
            <w:pPr>
              <w:pStyle w:val="ENoteTableText"/>
            </w:pPr>
            <w:r w:rsidRPr="005E3B43">
              <w:t>ad. 2009 No.</w:t>
            </w:r>
            <w:r w:rsidR="004E6D00" w:rsidRPr="005E3B43">
              <w:t> </w:t>
            </w:r>
            <w:r w:rsidRPr="005E3B43">
              <w:t>141</w:t>
            </w:r>
          </w:p>
        </w:tc>
      </w:tr>
      <w:tr w:rsidR="000447ED" w:rsidRPr="005E3B43" w14:paraId="7E4ACEAE" w14:textId="77777777" w:rsidTr="00034EA9">
        <w:trPr>
          <w:cantSplit/>
        </w:trPr>
        <w:tc>
          <w:tcPr>
            <w:tcW w:w="1495" w:type="pct"/>
          </w:tcPr>
          <w:p w14:paraId="179617E7" w14:textId="77777777" w:rsidR="000447ED" w:rsidRPr="005E3B43" w:rsidRDefault="000447ED" w:rsidP="00763BCF">
            <w:pPr>
              <w:pStyle w:val="ENoteTableText"/>
            </w:pPr>
          </w:p>
        </w:tc>
        <w:tc>
          <w:tcPr>
            <w:tcW w:w="3505" w:type="pct"/>
          </w:tcPr>
          <w:p w14:paraId="741FAD5D" w14:textId="77777777" w:rsidR="000447ED" w:rsidRPr="005E3B43" w:rsidRDefault="000447ED" w:rsidP="00763BCF">
            <w:pPr>
              <w:pStyle w:val="ENoteTableText"/>
            </w:pPr>
            <w:r w:rsidRPr="005E3B43">
              <w:t>am. 2011 No.</w:t>
            </w:r>
            <w:r w:rsidR="004E6D00" w:rsidRPr="005E3B43">
              <w:t> </w:t>
            </w:r>
            <w:r w:rsidRPr="005E3B43">
              <w:t>30; 2012 No.</w:t>
            </w:r>
            <w:r w:rsidR="004E6D00" w:rsidRPr="005E3B43">
              <w:t> </w:t>
            </w:r>
            <w:r w:rsidRPr="005E3B43">
              <w:t>142</w:t>
            </w:r>
          </w:p>
        </w:tc>
      </w:tr>
      <w:tr w:rsidR="000447ED" w:rsidRPr="005E3B43" w14:paraId="2820E9B7" w14:textId="77777777" w:rsidTr="00034EA9">
        <w:trPr>
          <w:cantSplit/>
        </w:trPr>
        <w:tc>
          <w:tcPr>
            <w:tcW w:w="1495" w:type="pct"/>
          </w:tcPr>
          <w:p w14:paraId="16E7D9D5" w14:textId="77777777" w:rsidR="000447ED" w:rsidRPr="005E3B43" w:rsidRDefault="000447ED" w:rsidP="00763BCF">
            <w:pPr>
              <w:pStyle w:val="ENoteTableText"/>
            </w:pPr>
          </w:p>
        </w:tc>
        <w:tc>
          <w:tcPr>
            <w:tcW w:w="3505" w:type="pct"/>
          </w:tcPr>
          <w:p w14:paraId="579C7427" w14:textId="77777777" w:rsidR="000447ED" w:rsidRPr="005E3B43" w:rsidRDefault="000447ED" w:rsidP="00763BCF">
            <w:pPr>
              <w:pStyle w:val="ENoteTableText"/>
            </w:pPr>
            <w:r w:rsidRPr="005E3B43">
              <w:t>rs No 75, 2015</w:t>
            </w:r>
          </w:p>
        </w:tc>
      </w:tr>
      <w:tr w:rsidR="000447ED" w:rsidRPr="005E3B43" w14:paraId="250F5EF8" w14:textId="77777777" w:rsidTr="00034EA9">
        <w:trPr>
          <w:cantSplit/>
        </w:trPr>
        <w:tc>
          <w:tcPr>
            <w:tcW w:w="1495" w:type="pct"/>
          </w:tcPr>
          <w:p w14:paraId="11B2DA64" w14:textId="77777777" w:rsidR="000447ED" w:rsidRPr="005E3B43" w:rsidRDefault="000447ED" w:rsidP="00763BCF">
            <w:pPr>
              <w:pStyle w:val="ENoteTableText"/>
            </w:pPr>
          </w:p>
        </w:tc>
        <w:tc>
          <w:tcPr>
            <w:tcW w:w="3505" w:type="pct"/>
          </w:tcPr>
          <w:p w14:paraId="1570D7B1" w14:textId="77777777" w:rsidR="000447ED" w:rsidRPr="005E3B43" w:rsidRDefault="000447ED" w:rsidP="00763BCF">
            <w:pPr>
              <w:pStyle w:val="ENoteTableText"/>
            </w:pPr>
            <w:r w:rsidRPr="005E3B43">
              <w:t>am F2016L00109</w:t>
            </w:r>
          </w:p>
        </w:tc>
      </w:tr>
      <w:tr w:rsidR="000447ED" w:rsidRPr="005E3B43" w14:paraId="7E44F70F" w14:textId="77777777" w:rsidTr="00034EA9">
        <w:trPr>
          <w:cantSplit/>
        </w:trPr>
        <w:tc>
          <w:tcPr>
            <w:tcW w:w="1495" w:type="pct"/>
          </w:tcPr>
          <w:p w14:paraId="59BB1660" w14:textId="77777777" w:rsidR="000447ED" w:rsidRPr="005E3B43" w:rsidRDefault="000447ED" w:rsidP="00763BCF">
            <w:pPr>
              <w:pStyle w:val="ENoteTableText"/>
              <w:tabs>
                <w:tab w:val="center" w:leader="dot" w:pos="2268"/>
              </w:tabs>
            </w:pPr>
            <w:r w:rsidRPr="005E3B43">
              <w:t>r. 43AAF</w:t>
            </w:r>
            <w:r w:rsidRPr="005E3B43">
              <w:tab/>
            </w:r>
          </w:p>
        </w:tc>
        <w:tc>
          <w:tcPr>
            <w:tcW w:w="3505" w:type="pct"/>
          </w:tcPr>
          <w:p w14:paraId="7956493F" w14:textId="77777777" w:rsidR="000447ED" w:rsidRPr="005E3B43" w:rsidRDefault="000447ED" w:rsidP="00763BCF">
            <w:pPr>
              <w:pStyle w:val="ENoteTableText"/>
            </w:pPr>
            <w:r w:rsidRPr="005E3B43">
              <w:t>ad. 2009 No.</w:t>
            </w:r>
            <w:r w:rsidR="004E6D00" w:rsidRPr="005E3B43">
              <w:t> </w:t>
            </w:r>
            <w:r w:rsidRPr="005E3B43">
              <w:t>141</w:t>
            </w:r>
          </w:p>
        </w:tc>
      </w:tr>
      <w:tr w:rsidR="000447ED" w:rsidRPr="005E3B43" w14:paraId="419FF48E" w14:textId="77777777" w:rsidTr="00034EA9">
        <w:trPr>
          <w:cantSplit/>
        </w:trPr>
        <w:tc>
          <w:tcPr>
            <w:tcW w:w="1495" w:type="pct"/>
          </w:tcPr>
          <w:p w14:paraId="36C70059" w14:textId="77777777" w:rsidR="000447ED" w:rsidRPr="005E3B43" w:rsidRDefault="000447ED" w:rsidP="00763BCF">
            <w:pPr>
              <w:pStyle w:val="ENoteTableText"/>
            </w:pPr>
          </w:p>
        </w:tc>
        <w:tc>
          <w:tcPr>
            <w:tcW w:w="3505" w:type="pct"/>
          </w:tcPr>
          <w:p w14:paraId="0B652097" w14:textId="77777777" w:rsidR="000447ED" w:rsidRPr="005E3B43" w:rsidRDefault="000447ED" w:rsidP="00763BCF">
            <w:pPr>
              <w:pStyle w:val="ENoteTableText"/>
            </w:pPr>
            <w:r w:rsidRPr="005E3B43">
              <w:t>am. 2012 No.</w:t>
            </w:r>
            <w:r w:rsidR="004E6D00" w:rsidRPr="005E3B43">
              <w:t> </w:t>
            </w:r>
            <w:r w:rsidRPr="005E3B43">
              <w:t>142</w:t>
            </w:r>
          </w:p>
        </w:tc>
      </w:tr>
      <w:tr w:rsidR="000447ED" w:rsidRPr="005E3B43" w14:paraId="7D2359DD" w14:textId="77777777" w:rsidTr="00034EA9">
        <w:trPr>
          <w:cantSplit/>
        </w:trPr>
        <w:tc>
          <w:tcPr>
            <w:tcW w:w="1495" w:type="pct"/>
          </w:tcPr>
          <w:p w14:paraId="3075D22A" w14:textId="77777777" w:rsidR="000447ED" w:rsidRPr="005E3B43" w:rsidRDefault="000447ED" w:rsidP="00763BCF">
            <w:pPr>
              <w:pStyle w:val="ENoteTableText"/>
            </w:pPr>
          </w:p>
        </w:tc>
        <w:tc>
          <w:tcPr>
            <w:tcW w:w="3505" w:type="pct"/>
          </w:tcPr>
          <w:p w14:paraId="330C6249" w14:textId="77777777" w:rsidR="000447ED" w:rsidRPr="005E3B43" w:rsidRDefault="000447ED" w:rsidP="00763BCF">
            <w:pPr>
              <w:pStyle w:val="ENoteTableText"/>
            </w:pPr>
            <w:r w:rsidRPr="005E3B43">
              <w:t>rs No 75, 2015</w:t>
            </w:r>
          </w:p>
        </w:tc>
      </w:tr>
      <w:tr w:rsidR="000447ED" w:rsidRPr="005E3B43" w14:paraId="2863F4C1" w14:textId="77777777" w:rsidTr="00034EA9">
        <w:trPr>
          <w:cantSplit/>
        </w:trPr>
        <w:tc>
          <w:tcPr>
            <w:tcW w:w="1495" w:type="pct"/>
          </w:tcPr>
          <w:p w14:paraId="503B8133" w14:textId="77777777" w:rsidR="000447ED" w:rsidRPr="005E3B43" w:rsidRDefault="000447ED" w:rsidP="00763BCF">
            <w:pPr>
              <w:pStyle w:val="ENoteTableText"/>
              <w:tabs>
                <w:tab w:val="center" w:leader="dot" w:pos="2268"/>
              </w:tabs>
            </w:pPr>
            <w:r w:rsidRPr="005E3B43">
              <w:t>r. 43AAG</w:t>
            </w:r>
            <w:r w:rsidRPr="005E3B43">
              <w:tab/>
            </w:r>
          </w:p>
        </w:tc>
        <w:tc>
          <w:tcPr>
            <w:tcW w:w="3505" w:type="pct"/>
          </w:tcPr>
          <w:p w14:paraId="15D85C91" w14:textId="77777777" w:rsidR="000447ED" w:rsidRPr="005E3B43" w:rsidRDefault="000447ED" w:rsidP="00763BCF">
            <w:pPr>
              <w:pStyle w:val="ENoteTableText"/>
            </w:pPr>
            <w:r w:rsidRPr="005E3B43">
              <w:t>ad. 2009 No.</w:t>
            </w:r>
            <w:r w:rsidR="004E6D00" w:rsidRPr="005E3B43">
              <w:t> </w:t>
            </w:r>
            <w:r w:rsidRPr="005E3B43">
              <w:t>141</w:t>
            </w:r>
          </w:p>
        </w:tc>
      </w:tr>
      <w:tr w:rsidR="000447ED" w:rsidRPr="005E3B43" w14:paraId="57872E58" w14:textId="77777777" w:rsidTr="00034EA9">
        <w:trPr>
          <w:cantSplit/>
        </w:trPr>
        <w:tc>
          <w:tcPr>
            <w:tcW w:w="1495" w:type="pct"/>
          </w:tcPr>
          <w:p w14:paraId="1DB14DEE" w14:textId="77777777" w:rsidR="000447ED" w:rsidRPr="005E3B43" w:rsidRDefault="000447ED" w:rsidP="00763BCF">
            <w:pPr>
              <w:pStyle w:val="ENoteTableText"/>
            </w:pPr>
          </w:p>
        </w:tc>
        <w:tc>
          <w:tcPr>
            <w:tcW w:w="3505" w:type="pct"/>
          </w:tcPr>
          <w:p w14:paraId="360777AE" w14:textId="77777777" w:rsidR="000447ED" w:rsidRPr="005E3B43" w:rsidRDefault="000447ED" w:rsidP="00763BCF">
            <w:pPr>
              <w:pStyle w:val="ENoteTableText"/>
            </w:pPr>
            <w:r w:rsidRPr="005E3B43">
              <w:t>am. 2011 No.</w:t>
            </w:r>
            <w:r w:rsidR="004E6D00" w:rsidRPr="005E3B43">
              <w:t> </w:t>
            </w:r>
            <w:r w:rsidRPr="005E3B43">
              <w:t>30</w:t>
            </w:r>
          </w:p>
        </w:tc>
      </w:tr>
      <w:tr w:rsidR="000447ED" w:rsidRPr="005E3B43" w14:paraId="56DC7CF6" w14:textId="77777777" w:rsidTr="00034EA9">
        <w:trPr>
          <w:cantSplit/>
        </w:trPr>
        <w:tc>
          <w:tcPr>
            <w:tcW w:w="1495" w:type="pct"/>
          </w:tcPr>
          <w:p w14:paraId="7809C187" w14:textId="77777777" w:rsidR="000447ED" w:rsidRPr="005E3B43" w:rsidRDefault="000447ED" w:rsidP="00763BCF">
            <w:pPr>
              <w:pStyle w:val="ENoteTableText"/>
            </w:pPr>
          </w:p>
        </w:tc>
        <w:tc>
          <w:tcPr>
            <w:tcW w:w="3505" w:type="pct"/>
          </w:tcPr>
          <w:p w14:paraId="295256E6" w14:textId="77777777" w:rsidR="000447ED" w:rsidRPr="005E3B43" w:rsidRDefault="000447ED" w:rsidP="00763BCF">
            <w:pPr>
              <w:pStyle w:val="ENoteTableText"/>
            </w:pPr>
            <w:r w:rsidRPr="005E3B43">
              <w:t>rs No 75, 2015</w:t>
            </w:r>
          </w:p>
        </w:tc>
      </w:tr>
      <w:tr w:rsidR="000447ED" w:rsidRPr="005E3B43" w14:paraId="196CDEB2" w14:textId="77777777" w:rsidTr="00034EA9">
        <w:trPr>
          <w:cantSplit/>
        </w:trPr>
        <w:tc>
          <w:tcPr>
            <w:tcW w:w="1495" w:type="pct"/>
          </w:tcPr>
          <w:p w14:paraId="63B2C72D" w14:textId="77777777" w:rsidR="000447ED" w:rsidRPr="005E3B43" w:rsidRDefault="000447ED" w:rsidP="00763BCF">
            <w:pPr>
              <w:pStyle w:val="ENoteTableText"/>
              <w:rPr>
                <w:b/>
              </w:rPr>
            </w:pPr>
            <w:r w:rsidRPr="005E3B43">
              <w:rPr>
                <w:b/>
              </w:rPr>
              <w:t>Subdivision</w:t>
            </w:r>
            <w:r w:rsidR="004E6D00" w:rsidRPr="005E3B43">
              <w:rPr>
                <w:b/>
              </w:rPr>
              <w:t> </w:t>
            </w:r>
            <w:r w:rsidRPr="005E3B43">
              <w:rPr>
                <w:b/>
              </w:rPr>
              <w:t>2A</w:t>
            </w:r>
          </w:p>
        </w:tc>
        <w:tc>
          <w:tcPr>
            <w:tcW w:w="3505" w:type="pct"/>
          </w:tcPr>
          <w:p w14:paraId="5C8FF312" w14:textId="77777777" w:rsidR="000447ED" w:rsidRPr="005E3B43" w:rsidRDefault="000447ED" w:rsidP="00763BCF">
            <w:pPr>
              <w:pStyle w:val="ENoteTableText"/>
              <w:rPr>
                <w:b/>
              </w:rPr>
            </w:pPr>
          </w:p>
        </w:tc>
      </w:tr>
      <w:tr w:rsidR="000447ED" w:rsidRPr="005E3B43" w14:paraId="1167731E" w14:textId="77777777" w:rsidTr="00034EA9">
        <w:trPr>
          <w:cantSplit/>
        </w:trPr>
        <w:tc>
          <w:tcPr>
            <w:tcW w:w="1495" w:type="pct"/>
          </w:tcPr>
          <w:p w14:paraId="00A80E63" w14:textId="77777777" w:rsidR="000447ED" w:rsidRPr="005E3B43" w:rsidRDefault="000447ED" w:rsidP="00763BCF">
            <w:pPr>
              <w:pStyle w:val="ENoteTableText"/>
              <w:tabs>
                <w:tab w:val="center" w:leader="dot" w:pos="2268"/>
              </w:tabs>
            </w:pPr>
            <w:r w:rsidRPr="005E3B43">
              <w:t>Subdivision</w:t>
            </w:r>
            <w:r w:rsidR="004E6D00" w:rsidRPr="005E3B43">
              <w:t> </w:t>
            </w:r>
            <w:r w:rsidRPr="005E3B43">
              <w:t>2A</w:t>
            </w:r>
            <w:r w:rsidRPr="005E3B43">
              <w:tab/>
            </w:r>
          </w:p>
        </w:tc>
        <w:tc>
          <w:tcPr>
            <w:tcW w:w="3505" w:type="pct"/>
          </w:tcPr>
          <w:p w14:paraId="4A3C9686" w14:textId="77777777" w:rsidR="000447ED" w:rsidRPr="005E3B43" w:rsidRDefault="000447ED" w:rsidP="00763BCF">
            <w:pPr>
              <w:pStyle w:val="ENoteTableText"/>
            </w:pPr>
            <w:r w:rsidRPr="005E3B43">
              <w:t>ad F2016L00109</w:t>
            </w:r>
          </w:p>
        </w:tc>
      </w:tr>
      <w:tr w:rsidR="000447ED" w:rsidRPr="005E3B43" w14:paraId="31EA1D50" w14:textId="77777777" w:rsidTr="00034EA9">
        <w:trPr>
          <w:cantSplit/>
        </w:trPr>
        <w:tc>
          <w:tcPr>
            <w:tcW w:w="1495" w:type="pct"/>
          </w:tcPr>
          <w:p w14:paraId="48B7FC12" w14:textId="77777777" w:rsidR="000447ED" w:rsidRPr="005E3B43" w:rsidRDefault="000447ED" w:rsidP="00763BCF">
            <w:pPr>
              <w:pStyle w:val="ENoteTableText"/>
              <w:tabs>
                <w:tab w:val="center" w:leader="dot" w:pos="2268"/>
              </w:tabs>
            </w:pPr>
            <w:r w:rsidRPr="005E3B43">
              <w:t>r 43AAGA</w:t>
            </w:r>
            <w:r w:rsidRPr="005E3B43">
              <w:tab/>
            </w:r>
          </w:p>
        </w:tc>
        <w:tc>
          <w:tcPr>
            <w:tcW w:w="3505" w:type="pct"/>
          </w:tcPr>
          <w:p w14:paraId="554E24E4" w14:textId="77777777" w:rsidR="000447ED" w:rsidRPr="005E3B43" w:rsidRDefault="000447ED" w:rsidP="00763BCF">
            <w:pPr>
              <w:pStyle w:val="ENoteTableText"/>
            </w:pPr>
            <w:r w:rsidRPr="005E3B43">
              <w:t>ad F2016L00109</w:t>
            </w:r>
          </w:p>
        </w:tc>
      </w:tr>
      <w:tr w:rsidR="000447ED" w:rsidRPr="005E3B43" w14:paraId="5871BB96" w14:textId="77777777" w:rsidTr="00034EA9">
        <w:trPr>
          <w:cantSplit/>
        </w:trPr>
        <w:tc>
          <w:tcPr>
            <w:tcW w:w="1495" w:type="pct"/>
          </w:tcPr>
          <w:p w14:paraId="7D7361C5" w14:textId="77777777" w:rsidR="000447ED" w:rsidRPr="005E3B43" w:rsidRDefault="000447ED" w:rsidP="00763BCF">
            <w:pPr>
              <w:pStyle w:val="ENoteTableText"/>
              <w:tabs>
                <w:tab w:val="center" w:leader="dot" w:pos="2268"/>
              </w:tabs>
            </w:pPr>
            <w:r w:rsidRPr="005E3B43">
              <w:t>r 43AAGB</w:t>
            </w:r>
            <w:r w:rsidRPr="005E3B43">
              <w:tab/>
            </w:r>
          </w:p>
        </w:tc>
        <w:tc>
          <w:tcPr>
            <w:tcW w:w="3505" w:type="pct"/>
          </w:tcPr>
          <w:p w14:paraId="4E7ACF5B" w14:textId="77777777" w:rsidR="000447ED" w:rsidRPr="005E3B43" w:rsidRDefault="000447ED" w:rsidP="00763BCF">
            <w:pPr>
              <w:pStyle w:val="ENoteTableText"/>
            </w:pPr>
            <w:r w:rsidRPr="005E3B43">
              <w:t>ad F2016L00109</w:t>
            </w:r>
          </w:p>
        </w:tc>
      </w:tr>
      <w:tr w:rsidR="000447ED" w:rsidRPr="005E3B43" w14:paraId="26E43ABA" w14:textId="77777777" w:rsidTr="00034EA9">
        <w:trPr>
          <w:cantSplit/>
        </w:trPr>
        <w:tc>
          <w:tcPr>
            <w:tcW w:w="1495" w:type="pct"/>
          </w:tcPr>
          <w:p w14:paraId="1E36480E" w14:textId="77777777" w:rsidR="000447ED" w:rsidRPr="005E3B43" w:rsidRDefault="000447ED" w:rsidP="00763BCF">
            <w:pPr>
              <w:pStyle w:val="ENoteTableText"/>
              <w:tabs>
                <w:tab w:val="center" w:leader="dot" w:pos="2268"/>
              </w:tabs>
            </w:pPr>
            <w:r w:rsidRPr="005E3B43">
              <w:t>r 43AAGC</w:t>
            </w:r>
            <w:r w:rsidRPr="005E3B43">
              <w:tab/>
            </w:r>
          </w:p>
        </w:tc>
        <w:tc>
          <w:tcPr>
            <w:tcW w:w="3505" w:type="pct"/>
          </w:tcPr>
          <w:p w14:paraId="2376FD68" w14:textId="77777777" w:rsidR="000447ED" w:rsidRPr="005E3B43" w:rsidRDefault="000447ED" w:rsidP="00763BCF">
            <w:pPr>
              <w:pStyle w:val="ENoteTableText"/>
            </w:pPr>
            <w:r w:rsidRPr="005E3B43">
              <w:t>ad F2016L00109</w:t>
            </w:r>
          </w:p>
        </w:tc>
      </w:tr>
      <w:tr w:rsidR="000447ED" w:rsidRPr="005E3B43" w14:paraId="58FB2DCD" w14:textId="77777777" w:rsidTr="00034EA9">
        <w:trPr>
          <w:cantSplit/>
        </w:trPr>
        <w:tc>
          <w:tcPr>
            <w:tcW w:w="1495" w:type="pct"/>
          </w:tcPr>
          <w:p w14:paraId="1CADB109" w14:textId="77777777" w:rsidR="000447ED" w:rsidRPr="005E3B43" w:rsidRDefault="000447ED" w:rsidP="00763BCF">
            <w:pPr>
              <w:pStyle w:val="ENoteTableText"/>
              <w:tabs>
                <w:tab w:val="center" w:leader="dot" w:pos="2268"/>
              </w:tabs>
            </w:pPr>
            <w:r w:rsidRPr="005E3B43">
              <w:t>r 43AAGD</w:t>
            </w:r>
            <w:r w:rsidRPr="005E3B43">
              <w:tab/>
            </w:r>
          </w:p>
        </w:tc>
        <w:tc>
          <w:tcPr>
            <w:tcW w:w="3505" w:type="pct"/>
          </w:tcPr>
          <w:p w14:paraId="4E6D7A57" w14:textId="77777777" w:rsidR="000447ED" w:rsidRPr="005E3B43" w:rsidRDefault="000447ED" w:rsidP="00763BCF">
            <w:pPr>
              <w:pStyle w:val="ENoteTableText"/>
            </w:pPr>
            <w:r w:rsidRPr="005E3B43">
              <w:t>ad F2016L00109</w:t>
            </w:r>
          </w:p>
        </w:tc>
      </w:tr>
      <w:tr w:rsidR="000447ED" w:rsidRPr="005E3B43" w14:paraId="69646224" w14:textId="77777777" w:rsidTr="00034EA9">
        <w:trPr>
          <w:cantSplit/>
        </w:trPr>
        <w:tc>
          <w:tcPr>
            <w:tcW w:w="1495" w:type="pct"/>
          </w:tcPr>
          <w:p w14:paraId="3718F547" w14:textId="77777777" w:rsidR="000447ED" w:rsidRPr="005E3B43" w:rsidRDefault="000447ED" w:rsidP="00763BCF">
            <w:pPr>
              <w:pStyle w:val="ENoteTableText"/>
              <w:tabs>
                <w:tab w:val="center" w:leader="dot" w:pos="2268"/>
              </w:tabs>
            </w:pPr>
            <w:r w:rsidRPr="005E3B43">
              <w:t>r 43AAGE</w:t>
            </w:r>
            <w:r w:rsidRPr="005E3B43">
              <w:tab/>
            </w:r>
          </w:p>
        </w:tc>
        <w:tc>
          <w:tcPr>
            <w:tcW w:w="3505" w:type="pct"/>
          </w:tcPr>
          <w:p w14:paraId="53867C88" w14:textId="77777777" w:rsidR="000447ED" w:rsidRPr="005E3B43" w:rsidRDefault="000447ED" w:rsidP="00763BCF">
            <w:pPr>
              <w:pStyle w:val="ENoteTableText"/>
            </w:pPr>
            <w:r w:rsidRPr="005E3B43">
              <w:t>ad F2016L00109</w:t>
            </w:r>
          </w:p>
        </w:tc>
      </w:tr>
      <w:tr w:rsidR="000447ED" w:rsidRPr="005E3B43" w14:paraId="09BD50A1" w14:textId="77777777" w:rsidTr="00034EA9">
        <w:trPr>
          <w:cantSplit/>
        </w:trPr>
        <w:tc>
          <w:tcPr>
            <w:tcW w:w="1495" w:type="pct"/>
          </w:tcPr>
          <w:p w14:paraId="4B15FF21" w14:textId="77777777" w:rsidR="000447ED" w:rsidRPr="005E3B43" w:rsidRDefault="000447ED" w:rsidP="00763BCF">
            <w:pPr>
              <w:pStyle w:val="ENoteTableText"/>
              <w:tabs>
                <w:tab w:val="center" w:leader="dot" w:pos="2268"/>
              </w:tabs>
            </w:pPr>
            <w:r w:rsidRPr="005E3B43">
              <w:t>r 43AAGF</w:t>
            </w:r>
            <w:r w:rsidRPr="005E3B43">
              <w:tab/>
            </w:r>
          </w:p>
        </w:tc>
        <w:tc>
          <w:tcPr>
            <w:tcW w:w="3505" w:type="pct"/>
          </w:tcPr>
          <w:p w14:paraId="25E97F17" w14:textId="77777777" w:rsidR="000447ED" w:rsidRPr="005E3B43" w:rsidRDefault="000447ED" w:rsidP="00763BCF">
            <w:pPr>
              <w:pStyle w:val="ENoteTableText"/>
            </w:pPr>
            <w:r w:rsidRPr="005E3B43">
              <w:t>ad F2016L00109</w:t>
            </w:r>
          </w:p>
        </w:tc>
      </w:tr>
      <w:tr w:rsidR="000447ED" w:rsidRPr="005E3B43" w14:paraId="4255A4D9" w14:textId="77777777" w:rsidTr="00034EA9">
        <w:trPr>
          <w:cantSplit/>
        </w:trPr>
        <w:tc>
          <w:tcPr>
            <w:tcW w:w="1495" w:type="pct"/>
          </w:tcPr>
          <w:p w14:paraId="3ECAD79A" w14:textId="77777777" w:rsidR="000447ED" w:rsidRPr="005E3B43" w:rsidRDefault="000447ED" w:rsidP="00763BCF">
            <w:pPr>
              <w:pStyle w:val="ENoteTableText"/>
              <w:keepNext/>
              <w:tabs>
                <w:tab w:val="center" w:leader="dot" w:pos="2268"/>
              </w:tabs>
              <w:rPr>
                <w:b/>
              </w:rPr>
            </w:pPr>
            <w:r w:rsidRPr="005E3B43">
              <w:rPr>
                <w:b/>
              </w:rPr>
              <w:t>Subdivision</w:t>
            </w:r>
            <w:r w:rsidR="004E6D00" w:rsidRPr="005E3B43">
              <w:rPr>
                <w:b/>
              </w:rPr>
              <w:t> </w:t>
            </w:r>
            <w:r w:rsidRPr="005E3B43">
              <w:rPr>
                <w:b/>
              </w:rPr>
              <w:t>2B</w:t>
            </w:r>
          </w:p>
        </w:tc>
        <w:tc>
          <w:tcPr>
            <w:tcW w:w="3505" w:type="pct"/>
          </w:tcPr>
          <w:p w14:paraId="06BE01BF" w14:textId="77777777" w:rsidR="000447ED" w:rsidRPr="005E3B43" w:rsidRDefault="000447ED" w:rsidP="00763BCF">
            <w:pPr>
              <w:pStyle w:val="ENoteTableText"/>
            </w:pPr>
          </w:p>
        </w:tc>
      </w:tr>
      <w:tr w:rsidR="000447ED" w:rsidRPr="005E3B43" w14:paraId="7D93451B" w14:textId="77777777" w:rsidTr="00034EA9">
        <w:trPr>
          <w:cantSplit/>
        </w:trPr>
        <w:tc>
          <w:tcPr>
            <w:tcW w:w="1495" w:type="pct"/>
          </w:tcPr>
          <w:p w14:paraId="6AA1F5F7" w14:textId="77777777" w:rsidR="000447ED" w:rsidRPr="005E3B43" w:rsidRDefault="000447ED" w:rsidP="00763BCF">
            <w:pPr>
              <w:pStyle w:val="ENoteTableText"/>
              <w:tabs>
                <w:tab w:val="center" w:leader="dot" w:pos="2268"/>
              </w:tabs>
              <w:rPr>
                <w:b/>
              </w:rPr>
            </w:pPr>
            <w:r w:rsidRPr="005E3B43">
              <w:t>Subdivision</w:t>
            </w:r>
            <w:r w:rsidR="004E6D00" w:rsidRPr="005E3B43">
              <w:t> </w:t>
            </w:r>
            <w:r w:rsidRPr="005E3B43">
              <w:t>2B heading</w:t>
            </w:r>
            <w:r w:rsidRPr="005E3B43">
              <w:tab/>
            </w:r>
          </w:p>
        </w:tc>
        <w:tc>
          <w:tcPr>
            <w:tcW w:w="3505" w:type="pct"/>
          </w:tcPr>
          <w:p w14:paraId="6265FC77" w14:textId="77777777" w:rsidR="000447ED" w:rsidRPr="005E3B43" w:rsidRDefault="000447ED" w:rsidP="00763BCF">
            <w:pPr>
              <w:pStyle w:val="ENoteTableText"/>
            </w:pPr>
            <w:r w:rsidRPr="005E3B43">
              <w:t>ad F2016L00109</w:t>
            </w:r>
          </w:p>
        </w:tc>
      </w:tr>
      <w:tr w:rsidR="000447ED" w:rsidRPr="005E3B43" w14:paraId="11FB6E20" w14:textId="77777777" w:rsidTr="00034EA9">
        <w:trPr>
          <w:cantSplit/>
        </w:trPr>
        <w:tc>
          <w:tcPr>
            <w:tcW w:w="1495" w:type="pct"/>
          </w:tcPr>
          <w:p w14:paraId="15CF21E2" w14:textId="77777777" w:rsidR="000447ED" w:rsidRPr="005E3B43" w:rsidRDefault="000447ED" w:rsidP="00763BCF">
            <w:pPr>
              <w:pStyle w:val="ENoteTableText"/>
              <w:tabs>
                <w:tab w:val="center" w:leader="dot" w:pos="2268"/>
              </w:tabs>
            </w:pPr>
            <w:r w:rsidRPr="005E3B43">
              <w:t>r 43AAGG</w:t>
            </w:r>
            <w:r w:rsidRPr="005E3B43">
              <w:tab/>
            </w:r>
          </w:p>
        </w:tc>
        <w:tc>
          <w:tcPr>
            <w:tcW w:w="3505" w:type="pct"/>
          </w:tcPr>
          <w:p w14:paraId="4653A55B" w14:textId="77777777" w:rsidR="000447ED" w:rsidRPr="005E3B43" w:rsidRDefault="000447ED" w:rsidP="00763BCF">
            <w:pPr>
              <w:pStyle w:val="ENoteTableText"/>
            </w:pPr>
            <w:r w:rsidRPr="005E3B43">
              <w:t>ad F2016L00109</w:t>
            </w:r>
          </w:p>
        </w:tc>
      </w:tr>
      <w:tr w:rsidR="002461D7" w:rsidRPr="005E3B43" w14:paraId="046901B4" w14:textId="77777777" w:rsidTr="00034EA9">
        <w:trPr>
          <w:cantSplit/>
        </w:trPr>
        <w:tc>
          <w:tcPr>
            <w:tcW w:w="1495" w:type="pct"/>
          </w:tcPr>
          <w:p w14:paraId="75BC81D6" w14:textId="77777777" w:rsidR="002461D7" w:rsidRPr="005E3B43" w:rsidRDefault="002461D7" w:rsidP="00763BCF">
            <w:pPr>
              <w:pStyle w:val="ENoteTableText"/>
              <w:tabs>
                <w:tab w:val="center" w:leader="dot" w:pos="2268"/>
              </w:tabs>
            </w:pPr>
          </w:p>
        </w:tc>
        <w:tc>
          <w:tcPr>
            <w:tcW w:w="3505" w:type="pct"/>
          </w:tcPr>
          <w:p w14:paraId="5BCDE221" w14:textId="77777777" w:rsidR="002461D7" w:rsidRPr="005E3B43" w:rsidRDefault="002461D7" w:rsidP="00763BCF">
            <w:pPr>
              <w:pStyle w:val="ENoteTableText"/>
            </w:pPr>
            <w:r w:rsidRPr="005E3B43">
              <w:t>am F2021L00450</w:t>
            </w:r>
          </w:p>
        </w:tc>
      </w:tr>
      <w:tr w:rsidR="000447ED" w:rsidRPr="005E3B43" w14:paraId="0867E42C" w14:textId="77777777" w:rsidTr="00034EA9">
        <w:trPr>
          <w:cantSplit/>
        </w:trPr>
        <w:tc>
          <w:tcPr>
            <w:tcW w:w="1495" w:type="pct"/>
          </w:tcPr>
          <w:p w14:paraId="4B731794" w14:textId="77777777" w:rsidR="000447ED" w:rsidRPr="005E3B43" w:rsidRDefault="000447ED" w:rsidP="00763BCF">
            <w:pPr>
              <w:pStyle w:val="ENoteTableText"/>
              <w:tabs>
                <w:tab w:val="center" w:leader="dot" w:pos="2268"/>
              </w:tabs>
            </w:pPr>
            <w:r w:rsidRPr="005E3B43">
              <w:t>r. 43AAH</w:t>
            </w:r>
            <w:r w:rsidRPr="005E3B43">
              <w:tab/>
            </w:r>
          </w:p>
        </w:tc>
        <w:tc>
          <w:tcPr>
            <w:tcW w:w="3505" w:type="pct"/>
          </w:tcPr>
          <w:p w14:paraId="195C63A8" w14:textId="77777777" w:rsidR="000447ED" w:rsidRPr="005E3B43" w:rsidRDefault="000447ED" w:rsidP="00763BCF">
            <w:pPr>
              <w:pStyle w:val="ENoteTableText"/>
            </w:pPr>
            <w:r w:rsidRPr="005E3B43">
              <w:t>ad. 2009 No.</w:t>
            </w:r>
            <w:r w:rsidR="004E6D00" w:rsidRPr="005E3B43">
              <w:t> </w:t>
            </w:r>
            <w:r w:rsidRPr="005E3B43">
              <w:t>141</w:t>
            </w:r>
          </w:p>
        </w:tc>
      </w:tr>
      <w:tr w:rsidR="000447ED" w:rsidRPr="005E3B43" w14:paraId="0618F369" w14:textId="77777777" w:rsidTr="00034EA9">
        <w:trPr>
          <w:cantSplit/>
        </w:trPr>
        <w:tc>
          <w:tcPr>
            <w:tcW w:w="1495" w:type="pct"/>
          </w:tcPr>
          <w:p w14:paraId="14A9320C" w14:textId="77777777" w:rsidR="000447ED" w:rsidRPr="005E3B43" w:rsidRDefault="000447ED" w:rsidP="00763BCF">
            <w:pPr>
              <w:pStyle w:val="ENoteTableText"/>
              <w:tabs>
                <w:tab w:val="center" w:leader="dot" w:pos="2268"/>
              </w:tabs>
            </w:pPr>
          </w:p>
        </w:tc>
        <w:tc>
          <w:tcPr>
            <w:tcW w:w="3505" w:type="pct"/>
          </w:tcPr>
          <w:p w14:paraId="39F1A378" w14:textId="77777777" w:rsidR="000447ED" w:rsidRPr="005E3B43" w:rsidRDefault="000447ED" w:rsidP="00763BCF">
            <w:pPr>
              <w:pStyle w:val="ENoteTableText"/>
            </w:pPr>
            <w:r w:rsidRPr="005E3B43">
              <w:t>rs No 75, 2015</w:t>
            </w:r>
          </w:p>
        </w:tc>
      </w:tr>
      <w:tr w:rsidR="000447ED" w:rsidRPr="005E3B43" w14:paraId="2C4D8E0C" w14:textId="77777777" w:rsidTr="00034EA9">
        <w:trPr>
          <w:cantSplit/>
        </w:trPr>
        <w:tc>
          <w:tcPr>
            <w:tcW w:w="1495" w:type="pct"/>
          </w:tcPr>
          <w:p w14:paraId="063EBB32" w14:textId="77777777" w:rsidR="000447ED" w:rsidRPr="005E3B43" w:rsidRDefault="000447ED" w:rsidP="00763BCF">
            <w:pPr>
              <w:pStyle w:val="ENoteTableText"/>
              <w:tabs>
                <w:tab w:val="center" w:leader="dot" w:pos="2268"/>
              </w:tabs>
            </w:pPr>
            <w:r w:rsidRPr="005E3B43">
              <w:t>r. 43AAI</w:t>
            </w:r>
            <w:r w:rsidRPr="005E3B43">
              <w:tab/>
            </w:r>
          </w:p>
        </w:tc>
        <w:tc>
          <w:tcPr>
            <w:tcW w:w="3505" w:type="pct"/>
          </w:tcPr>
          <w:p w14:paraId="2FA01B8C" w14:textId="77777777" w:rsidR="000447ED" w:rsidRPr="005E3B43" w:rsidRDefault="000447ED" w:rsidP="00763BCF">
            <w:pPr>
              <w:pStyle w:val="ENoteTableText"/>
            </w:pPr>
            <w:r w:rsidRPr="005E3B43">
              <w:t>ad. 2009 No.</w:t>
            </w:r>
            <w:r w:rsidR="004E6D00" w:rsidRPr="005E3B43">
              <w:t> </w:t>
            </w:r>
            <w:r w:rsidRPr="005E3B43">
              <w:t>141</w:t>
            </w:r>
          </w:p>
        </w:tc>
      </w:tr>
      <w:tr w:rsidR="000447ED" w:rsidRPr="005E3B43" w14:paraId="72F7BB7E" w14:textId="77777777" w:rsidTr="00034EA9">
        <w:trPr>
          <w:cantSplit/>
        </w:trPr>
        <w:tc>
          <w:tcPr>
            <w:tcW w:w="1495" w:type="pct"/>
          </w:tcPr>
          <w:p w14:paraId="364F2113" w14:textId="77777777" w:rsidR="000447ED" w:rsidRPr="005E3B43" w:rsidRDefault="000447ED" w:rsidP="00763BCF">
            <w:pPr>
              <w:pStyle w:val="ENoteTableText"/>
              <w:keepNext/>
            </w:pPr>
            <w:r w:rsidRPr="005E3B43">
              <w:rPr>
                <w:b/>
              </w:rPr>
              <w:t>Subdivision</w:t>
            </w:r>
            <w:r w:rsidR="004E6D00" w:rsidRPr="005E3B43">
              <w:rPr>
                <w:b/>
              </w:rPr>
              <w:t> </w:t>
            </w:r>
            <w:r w:rsidRPr="005E3B43">
              <w:rPr>
                <w:b/>
              </w:rPr>
              <w:t>3</w:t>
            </w:r>
          </w:p>
        </w:tc>
        <w:tc>
          <w:tcPr>
            <w:tcW w:w="3505" w:type="pct"/>
          </w:tcPr>
          <w:p w14:paraId="14B4B105" w14:textId="77777777" w:rsidR="000447ED" w:rsidRPr="005E3B43" w:rsidRDefault="000447ED" w:rsidP="00763BCF">
            <w:pPr>
              <w:pStyle w:val="ENoteTableText"/>
            </w:pPr>
          </w:p>
        </w:tc>
      </w:tr>
      <w:tr w:rsidR="000447ED" w:rsidRPr="005E3B43" w14:paraId="520147D4" w14:textId="77777777" w:rsidTr="00034EA9">
        <w:trPr>
          <w:cantSplit/>
        </w:trPr>
        <w:tc>
          <w:tcPr>
            <w:tcW w:w="1495" w:type="pct"/>
          </w:tcPr>
          <w:p w14:paraId="24E0D732" w14:textId="77777777" w:rsidR="000447ED" w:rsidRPr="005E3B43" w:rsidRDefault="000447ED" w:rsidP="00763BCF">
            <w:pPr>
              <w:pStyle w:val="ENoteTableText"/>
              <w:tabs>
                <w:tab w:val="center" w:leader="dot" w:pos="2268"/>
              </w:tabs>
            </w:pPr>
            <w:r w:rsidRPr="005E3B43">
              <w:t>r 43AAJ</w:t>
            </w:r>
            <w:r w:rsidRPr="005E3B43">
              <w:tab/>
            </w:r>
          </w:p>
        </w:tc>
        <w:tc>
          <w:tcPr>
            <w:tcW w:w="3505" w:type="pct"/>
          </w:tcPr>
          <w:p w14:paraId="60AC6DE8" w14:textId="77777777" w:rsidR="000447ED" w:rsidRPr="005E3B43" w:rsidRDefault="000447ED" w:rsidP="00763BCF">
            <w:pPr>
              <w:pStyle w:val="ENoteTableText"/>
            </w:pPr>
            <w:r w:rsidRPr="005E3B43">
              <w:t>ad 2009 No 141</w:t>
            </w:r>
          </w:p>
        </w:tc>
      </w:tr>
      <w:tr w:rsidR="000447ED" w:rsidRPr="005E3B43" w14:paraId="254A646D" w14:textId="77777777" w:rsidTr="00034EA9">
        <w:trPr>
          <w:cantSplit/>
        </w:trPr>
        <w:tc>
          <w:tcPr>
            <w:tcW w:w="1495" w:type="pct"/>
          </w:tcPr>
          <w:p w14:paraId="162D7519" w14:textId="77777777" w:rsidR="000447ED" w:rsidRPr="005E3B43" w:rsidRDefault="000447ED" w:rsidP="00763BCF">
            <w:pPr>
              <w:pStyle w:val="ENoteTableText"/>
            </w:pPr>
          </w:p>
        </w:tc>
        <w:tc>
          <w:tcPr>
            <w:tcW w:w="3505" w:type="pct"/>
          </w:tcPr>
          <w:p w14:paraId="68F1F4D4" w14:textId="77777777" w:rsidR="000447ED" w:rsidRPr="005E3B43" w:rsidRDefault="000447ED" w:rsidP="00763BCF">
            <w:pPr>
              <w:pStyle w:val="ENoteTableText"/>
            </w:pPr>
            <w:r w:rsidRPr="005E3B43">
              <w:t>am 2010 No 130; 2011 No 102; 2012 No 143; No 94, 2013; No 62, 2014; No 87, 2015; F2016L00667; F2017L00552; F2018L00759</w:t>
            </w:r>
            <w:r w:rsidR="00162971" w:rsidRPr="005E3B43">
              <w:t>; F2019L00396</w:t>
            </w:r>
            <w:r w:rsidR="00B14F29" w:rsidRPr="005E3B43">
              <w:t>; F2020L00720</w:t>
            </w:r>
            <w:r w:rsidR="00D442D6" w:rsidRPr="005E3B43">
              <w:t>; F2021L00688</w:t>
            </w:r>
            <w:r w:rsidR="00E75414" w:rsidRPr="005E3B43">
              <w:t>; F2022L00600</w:t>
            </w:r>
            <w:r w:rsidR="005F2C17" w:rsidRPr="005E3B43">
              <w:t>; F2023L00770</w:t>
            </w:r>
            <w:r w:rsidR="008A43FB" w:rsidRPr="005E3B43">
              <w:t>; F2024L00689</w:t>
            </w:r>
          </w:p>
        </w:tc>
      </w:tr>
      <w:tr w:rsidR="000447ED" w:rsidRPr="005E3B43" w14:paraId="38E8FCB8" w14:textId="77777777" w:rsidTr="00034EA9">
        <w:trPr>
          <w:cantSplit/>
        </w:trPr>
        <w:tc>
          <w:tcPr>
            <w:tcW w:w="1495" w:type="pct"/>
          </w:tcPr>
          <w:p w14:paraId="31FB634B" w14:textId="2F3E5FB6" w:rsidR="000447ED" w:rsidRPr="005E3B43" w:rsidRDefault="007C3215" w:rsidP="00763BCF">
            <w:pPr>
              <w:pStyle w:val="ENoteTableText"/>
            </w:pPr>
            <w:r>
              <w:rPr>
                <w:b/>
              </w:rPr>
              <w:t>Division 2</w:t>
            </w:r>
          </w:p>
        </w:tc>
        <w:tc>
          <w:tcPr>
            <w:tcW w:w="3505" w:type="pct"/>
          </w:tcPr>
          <w:p w14:paraId="141D08D8" w14:textId="77777777" w:rsidR="000447ED" w:rsidRPr="005E3B43" w:rsidRDefault="000447ED" w:rsidP="00763BCF">
            <w:pPr>
              <w:pStyle w:val="ENoteTableText"/>
            </w:pPr>
          </w:p>
        </w:tc>
      </w:tr>
      <w:tr w:rsidR="000447ED" w:rsidRPr="005E3B43" w14:paraId="4A7CC4D4" w14:textId="77777777" w:rsidTr="00034EA9">
        <w:trPr>
          <w:cantSplit/>
        </w:trPr>
        <w:tc>
          <w:tcPr>
            <w:tcW w:w="1495" w:type="pct"/>
          </w:tcPr>
          <w:p w14:paraId="5D33E5CD" w14:textId="72E1DE04" w:rsidR="000447ED" w:rsidRPr="005E3B43" w:rsidRDefault="007C3215" w:rsidP="00763BCF">
            <w:pPr>
              <w:pStyle w:val="ENoteTableText"/>
              <w:tabs>
                <w:tab w:val="center" w:leader="dot" w:pos="2268"/>
              </w:tabs>
            </w:pPr>
            <w:r>
              <w:t>Division 2</w:t>
            </w:r>
            <w:r w:rsidR="000447ED" w:rsidRPr="005E3B43">
              <w:t xml:space="preserve"> heading</w:t>
            </w:r>
            <w:r w:rsidR="000447ED" w:rsidRPr="005E3B43">
              <w:tab/>
            </w:r>
          </w:p>
        </w:tc>
        <w:tc>
          <w:tcPr>
            <w:tcW w:w="3505" w:type="pct"/>
          </w:tcPr>
          <w:p w14:paraId="2B03C3D6" w14:textId="77777777" w:rsidR="000447ED" w:rsidRPr="005E3B43" w:rsidRDefault="000447ED" w:rsidP="00763BCF">
            <w:pPr>
              <w:pStyle w:val="ENoteTableText"/>
            </w:pPr>
            <w:r w:rsidRPr="005E3B43">
              <w:t>ad. 2009 No.</w:t>
            </w:r>
            <w:r w:rsidR="004E6D00" w:rsidRPr="005E3B43">
              <w:t> </w:t>
            </w:r>
            <w:r w:rsidRPr="005E3B43">
              <w:t>141</w:t>
            </w:r>
          </w:p>
        </w:tc>
      </w:tr>
      <w:tr w:rsidR="000447ED" w:rsidRPr="005E3B43" w14:paraId="0261D699" w14:textId="77777777" w:rsidTr="00034EA9">
        <w:trPr>
          <w:cantSplit/>
        </w:trPr>
        <w:tc>
          <w:tcPr>
            <w:tcW w:w="1495" w:type="pct"/>
          </w:tcPr>
          <w:p w14:paraId="2F97DBEC" w14:textId="77777777" w:rsidR="000447ED" w:rsidRPr="005E3B43" w:rsidRDefault="000447ED" w:rsidP="00763BCF">
            <w:pPr>
              <w:pStyle w:val="ENoteTableText"/>
              <w:tabs>
                <w:tab w:val="center" w:leader="dot" w:pos="2268"/>
              </w:tabs>
            </w:pPr>
            <w:r w:rsidRPr="005E3B43">
              <w:t>r 43</w:t>
            </w:r>
            <w:r w:rsidRPr="005E3B43">
              <w:tab/>
            </w:r>
          </w:p>
        </w:tc>
        <w:tc>
          <w:tcPr>
            <w:tcW w:w="3505" w:type="pct"/>
          </w:tcPr>
          <w:p w14:paraId="6FDCBD94" w14:textId="77777777" w:rsidR="000447ED" w:rsidRPr="005E3B43" w:rsidRDefault="000447ED" w:rsidP="00763BCF">
            <w:pPr>
              <w:pStyle w:val="ENoteTableText"/>
            </w:pPr>
            <w:r w:rsidRPr="005E3B43">
              <w:t>am No 151, 2003; No 30, 2011; No 214, 2015; F2018L00311</w:t>
            </w:r>
          </w:p>
        </w:tc>
      </w:tr>
      <w:tr w:rsidR="000447ED" w:rsidRPr="005E3B43" w14:paraId="6C7F8849" w14:textId="77777777" w:rsidTr="00034EA9">
        <w:trPr>
          <w:cantSplit/>
        </w:trPr>
        <w:tc>
          <w:tcPr>
            <w:tcW w:w="1495" w:type="pct"/>
          </w:tcPr>
          <w:p w14:paraId="7E725A8F" w14:textId="77777777" w:rsidR="000447ED" w:rsidRPr="005E3B43" w:rsidRDefault="000447ED" w:rsidP="00763BCF">
            <w:pPr>
              <w:pStyle w:val="ENoteTableText"/>
              <w:tabs>
                <w:tab w:val="center" w:leader="dot" w:pos="2268"/>
              </w:tabs>
            </w:pPr>
            <w:r w:rsidRPr="005E3B43">
              <w:t>r 43A</w:t>
            </w:r>
            <w:r w:rsidRPr="005E3B43">
              <w:tab/>
            </w:r>
          </w:p>
        </w:tc>
        <w:tc>
          <w:tcPr>
            <w:tcW w:w="3505" w:type="pct"/>
          </w:tcPr>
          <w:p w14:paraId="04091BE3" w14:textId="77777777" w:rsidR="000447ED" w:rsidRPr="005E3B43" w:rsidRDefault="000447ED" w:rsidP="00763BCF">
            <w:pPr>
              <w:pStyle w:val="ENoteTableText"/>
            </w:pPr>
            <w:r w:rsidRPr="005E3B43">
              <w:t>ad No 222, 1994</w:t>
            </w:r>
          </w:p>
        </w:tc>
      </w:tr>
      <w:tr w:rsidR="000447ED" w:rsidRPr="005E3B43" w14:paraId="5617CA08" w14:textId="77777777" w:rsidTr="00034EA9">
        <w:trPr>
          <w:cantSplit/>
        </w:trPr>
        <w:tc>
          <w:tcPr>
            <w:tcW w:w="1495" w:type="pct"/>
          </w:tcPr>
          <w:p w14:paraId="739C5AE4" w14:textId="77777777" w:rsidR="000447ED" w:rsidRPr="005E3B43" w:rsidRDefault="000447ED" w:rsidP="00763BCF">
            <w:pPr>
              <w:pStyle w:val="ENoteTableText"/>
            </w:pPr>
          </w:p>
        </w:tc>
        <w:tc>
          <w:tcPr>
            <w:tcW w:w="3505" w:type="pct"/>
          </w:tcPr>
          <w:p w14:paraId="5057DF21" w14:textId="77777777" w:rsidR="000447ED" w:rsidRPr="005E3B43" w:rsidRDefault="000447ED" w:rsidP="00763BCF">
            <w:pPr>
              <w:pStyle w:val="ENoteTableText"/>
            </w:pPr>
            <w:r w:rsidRPr="005E3B43">
              <w:t>am No 234, 2002; No 102, 2011; No 214, 2015; F2018L00311</w:t>
            </w:r>
            <w:r w:rsidR="003C7320" w:rsidRPr="005E3B43">
              <w:t>; F2018L01612</w:t>
            </w:r>
            <w:r w:rsidR="005633E4" w:rsidRPr="005E3B43">
              <w:t>; F2019L01260</w:t>
            </w:r>
          </w:p>
        </w:tc>
      </w:tr>
      <w:tr w:rsidR="000447ED" w:rsidRPr="005E3B43" w14:paraId="33E1D8C4" w14:textId="77777777" w:rsidTr="00034EA9">
        <w:trPr>
          <w:cantSplit/>
        </w:trPr>
        <w:tc>
          <w:tcPr>
            <w:tcW w:w="1495" w:type="pct"/>
          </w:tcPr>
          <w:p w14:paraId="69AE74F6" w14:textId="77777777" w:rsidR="000447ED" w:rsidRPr="005E3B43" w:rsidRDefault="000447ED" w:rsidP="00763BCF">
            <w:pPr>
              <w:pStyle w:val="ENoteTableText"/>
              <w:tabs>
                <w:tab w:val="center" w:leader="dot" w:pos="2268"/>
              </w:tabs>
            </w:pPr>
            <w:r w:rsidRPr="005E3B43">
              <w:t>r. 43AA</w:t>
            </w:r>
            <w:r w:rsidRPr="005E3B43">
              <w:tab/>
            </w:r>
          </w:p>
        </w:tc>
        <w:tc>
          <w:tcPr>
            <w:tcW w:w="3505" w:type="pct"/>
          </w:tcPr>
          <w:p w14:paraId="64C9FC53" w14:textId="77777777" w:rsidR="000447ED" w:rsidRPr="005E3B43" w:rsidRDefault="000447ED" w:rsidP="00763BCF">
            <w:pPr>
              <w:pStyle w:val="ENoteTableText"/>
            </w:pPr>
            <w:r w:rsidRPr="005E3B43">
              <w:t>ad. 1992 No.</w:t>
            </w:r>
            <w:r w:rsidR="004E6D00" w:rsidRPr="005E3B43">
              <w:t> </w:t>
            </w:r>
            <w:r w:rsidRPr="005E3B43">
              <w:t>19</w:t>
            </w:r>
          </w:p>
        </w:tc>
      </w:tr>
      <w:tr w:rsidR="000447ED" w:rsidRPr="005E3B43" w14:paraId="0B267138" w14:textId="77777777" w:rsidTr="00034EA9">
        <w:trPr>
          <w:cantSplit/>
        </w:trPr>
        <w:tc>
          <w:tcPr>
            <w:tcW w:w="1495" w:type="pct"/>
          </w:tcPr>
          <w:p w14:paraId="7A459E28" w14:textId="77777777" w:rsidR="000447ED" w:rsidRPr="005E3B43" w:rsidRDefault="000447ED" w:rsidP="00763BCF">
            <w:pPr>
              <w:pStyle w:val="ENoteTableText"/>
            </w:pPr>
          </w:p>
        </w:tc>
        <w:tc>
          <w:tcPr>
            <w:tcW w:w="3505" w:type="pct"/>
          </w:tcPr>
          <w:p w14:paraId="5BD16542" w14:textId="77777777" w:rsidR="000447ED" w:rsidRPr="005E3B43" w:rsidRDefault="000447ED" w:rsidP="00763BCF">
            <w:pPr>
              <w:pStyle w:val="ENoteTableText"/>
            </w:pPr>
            <w:r w:rsidRPr="005E3B43">
              <w:t>rs. 2011 No.</w:t>
            </w:r>
            <w:r w:rsidR="004E6D00" w:rsidRPr="005E3B43">
              <w:t> </w:t>
            </w:r>
            <w:r w:rsidRPr="005E3B43">
              <w:t>102</w:t>
            </w:r>
          </w:p>
        </w:tc>
      </w:tr>
      <w:tr w:rsidR="000447ED" w:rsidRPr="005E3B43" w14:paraId="204DB42C" w14:textId="77777777" w:rsidTr="00034EA9">
        <w:trPr>
          <w:cantSplit/>
        </w:trPr>
        <w:tc>
          <w:tcPr>
            <w:tcW w:w="1495" w:type="pct"/>
          </w:tcPr>
          <w:p w14:paraId="5CD21575" w14:textId="77777777" w:rsidR="000447ED" w:rsidRPr="005E3B43" w:rsidRDefault="000447ED" w:rsidP="00763BCF">
            <w:pPr>
              <w:pStyle w:val="ENoteTableText"/>
              <w:tabs>
                <w:tab w:val="center" w:leader="dot" w:pos="2268"/>
              </w:tabs>
            </w:pPr>
          </w:p>
        </w:tc>
        <w:tc>
          <w:tcPr>
            <w:tcW w:w="3505" w:type="pct"/>
          </w:tcPr>
          <w:p w14:paraId="028E187A" w14:textId="77777777" w:rsidR="000447ED" w:rsidRPr="005E3B43" w:rsidRDefault="000447ED" w:rsidP="00763BCF">
            <w:pPr>
              <w:pStyle w:val="ENoteTableText"/>
              <w:tabs>
                <w:tab w:val="center" w:leader="dot" w:pos="2268"/>
              </w:tabs>
            </w:pPr>
            <w:r w:rsidRPr="005E3B43">
              <w:t>am No 214, 2015</w:t>
            </w:r>
          </w:p>
        </w:tc>
      </w:tr>
      <w:tr w:rsidR="000447ED" w:rsidRPr="005E3B43" w14:paraId="013D27E6" w14:textId="77777777" w:rsidTr="00034EA9">
        <w:trPr>
          <w:cantSplit/>
        </w:trPr>
        <w:tc>
          <w:tcPr>
            <w:tcW w:w="1495" w:type="pct"/>
          </w:tcPr>
          <w:p w14:paraId="6005CA23" w14:textId="77777777" w:rsidR="000447ED" w:rsidRPr="005E3B43" w:rsidRDefault="000447ED" w:rsidP="00763BCF">
            <w:pPr>
              <w:pStyle w:val="ENoteTableText"/>
              <w:tabs>
                <w:tab w:val="center" w:leader="dot" w:pos="2268"/>
              </w:tabs>
            </w:pPr>
            <w:r w:rsidRPr="005E3B43">
              <w:t>r. 43AB</w:t>
            </w:r>
            <w:r w:rsidRPr="005E3B43">
              <w:tab/>
            </w:r>
          </w:p>
        </w:tc>
        <w:tc>
          <w:tcPr>
            <w:tcW w:w="3505" w:type="pct"/>
          </w:tcPr>
          <w:p w14:paraId="59287C80" w14:textId="77777777" w:rsidR="000447ED" w:rsidRPr="005E3B43" w:rsidRDefault="000447ED" w:rsidP="00763BCF">
            <w:pPr>
              <w:pStyle w:val="ENoteTableText"/>
            </w:pPr>
            <w:r w:rsidRPr="005E3B43">
              <w:t>ad. 2000 No.</w:t>
            </w:r>
            <w:r w:rsidR="004E6D00" w:rsidRPr="005E3B43">
              <w:t> </w:t>
            </w:r>
            <w:r w:rsidRPr="005E3B43">
              <w:t>267</w:t>
            </w:r>
          </w:p>
        </w:tc>
      </w:tr>
      <w:tr w:rsidR="000447ED" w:rsidRPr="005E3B43" w14:paraId="48C569B9" w14:textId="77777777" w:rsidTr="00034EA9">
        <w:trPr>
          <w:cantSplit/>
        </w:trPr>
        <w:tc>
          <w:tcPr>
            <w:tcW w:w="1495" w:type="pct"/>
          </w:tcPr>
          <w:p w14:paraId="22305D87" w14:textId="77777777" w:rsidR="000447ED" w:rsidRPr="005E3B43" w:rsidRDefault="000447ED" w:rsidP="00763BCF">
            <w:pPr>
              <w:pStyle w:val="ENoteTableText"/>
              <w:tabs>
                <w:tab w:val="center" w:leader="dot" w:pos="2268"/>
              </w:tabs>
            </w:pPr>
          </w:p>
        </w:tc>
        <w:tc>
          <w:tcPr>
            <w:tcW w:w="3505" w:type="pct"/>
          </w:tcPr>
          <w:p w14:paraId="3480B5A6" w14:textId="77777777" w:rsidR="000447ED" w:rsidRPr="005E3B43" w:rsidRDefault="000447ED" w:rsidP="00763BCF">
            <w:pPr>
              <w:pStyle w:val="ENoteTableText"/>
            </w:pPr>
            <w:r w:rsidRPr="005E3B43">
              <w:t>am No 214, 2015</w:t>
            </w:r>
          </w:p>
        </w:tc>
      </w:tr>
      <w:tr w:rsidR="000447ED" w:rsidRPr="005E3B43" w14:paraId="06EC4440" w14:textId="77777777" w:rsidTr="00034EA9">
        <w:trPr>
          <w:cantSplit/>
        </w:trPr>
        <w:tc>
          <w:tcPr>
            <w:tcW w:w="1495" w:type="pct"/>
          </w:tcPr>
          <w:p w14:paraId="5875BA2E" w14:textId="77777777" w:rsidR="000447ED" w:rsidRPr="005E3B43" w:rsidRDefault="000447ED" w:rsidP="00763BCF">
            <w:pPr>
              <w:pStyle w:val="ENoteTableText"/>
              <w:tabs>
                <w:tab w:val="center" w:leader="dot" w:pos="2268"/>
              </w:tabs>
            </w:pPr>
            <w:r w:rsidRPr="005E3B43">
              <w:t>r 43AC</w:t>
            </w:r>
            <w:r w:rsidRPr="005E3B43">
              <w:tab/>
            </w:r>
          </w:p>
        </w:tc>
        <w:tc>
          <w:tcPr>
            <w:tcW w:w="3505" w:type="pct"/>
          </w:tcPr>
          <w:p w14:paraId="3774624F" w14:textId="77777777" w:rsidR="000447ED" w:rsidRPr="005E3B43" w:rsidRDefault="000447ED" w:rsidP="00763BCF">
            <w:pPr>
              <w:pStyle w:val="ENoteTableText"/>
            </w:pPr>
            <w:r w:rsidRPr="005E3B43">
              <w:t>ad No 214, 2015</w:t>
            </w:r>
          </w:p>
        </w:tc>
      </w:tr>
      <w:tr w:rsidR="000447ED" w:rsidRPr="005E3B43" w14:paraId="65BA2F43" w14:textId="77777777" w:rsidTr="00034EA9">
        <w:trPr>
          <w:cantSplit/>
        </w:trPr>
        <w:tc>
          <w:tcPr>
            <w:tcW w:w="1495" w:type="pct"/>
          </w:tcPr>
          <w:p w14:paraId="3102ECAB" w14:textId="77777777" w:rsidR="000447ED" w:rsidRPr="005E3B43" w:rsidRDefault="000447ED" w:rsidP="00763BCF">
            <w:pPr>
              <w:pStyle w:val="ENoteTableText"/>
              <w:tabs>
                <w:tab w:val="center" w:leader="dot" w:pos="2268"/>
              </w:tabs>
            </w:pPr>
          </w:p>
        </w:tc>
        <w:tc>
          <w:tcPr>
            <w:tcW w:w="3505" w:type="pct"/>
          </w:tcPr>
          <w:p w14:paraId="583E3669" w14:textId="77777777" w:rsidR="000447ED" w:rsidRPr="005E3B43" w:rsidRDefault="000447ED" w:rsidP="00763BCF">
            <w:pPr>
              <w:pStyle w:val="ENoteTableText"/>
            </w:pPr>
            <w:r w:rsidRPr="005E3B43">
              <w:t>am F2017L00552; F2018L00759</w:t>
            </w:r>
            <w:r w:rsidR="00162971" w:rsidRPr="005E3B43">
              <w:t>; F2019L00396</w:t>
            </w:r>
            <w:r w:rsidR="00B14F29" w:rsidRPr="005E3B43">
              <w:t>; F2020L00720</w:t>
            </w:r>
            <w:r w:rsidR="00D442D6" w:rsidRPr="005E3B43">
              <w:t>; F2021L00688</w:t>
            </w:r>
            <w:r w:rsidR="00E75414" w:rsidRPr="005E3B43">
              <w:t>; F2022L00600</w:t>
            </w:r>
            <w:r w:rsidR="005F2C17" w:rsidRPr="005E3B43">
              <w:t>; F2023L00770</w:t>
            </w:r>
            <w:r w:rsidR="00F33CAA" w:rsidRPr="005E3B43">
              <w:t>; F2024L00689</w:t>
            </w:r>
          </w:p>
        </w:tc>
      </w:tr>
      <w:tr w:rsidR="000447ED" w:rsidRPr="005E3B43" w14:paraId="245962C0" w14:textId="77777777" w:rsidTr="00034EA9">
        <w:trPr>
          <w:cantSplit/>
        </w:trPr>
        <w:tc>
          <w:tcPr>
            <w:tcW w:w="1495" w:type="pct"/>
          </w:tcPr>
          <w:p w14:paraId="32B4045E" w14:textId="77777777" w:rsidR="000447ED" w:rsidRPr="005E3B43" w:rsidRDefault="000447ED" w:rsidP="00763BCF">
            <w:pPr>
              <w:pStyle w:val="ENoteTableText"/>
              <w:tabs>
                <w:tab w:val="center" w:leader="dot" w:pos="2268"/>
              </w:tabs>
            </w:pPr>
            <w:r w:rsidRPr="005E3B43">
              <w:t>r 43ACA</w:t>
            </w:r>
            <w:r w:rsidRPr="005E3B43">
              <w:tab/>
            </w:r>
          </w:p>
        </w:tc>
        <w:tc>
          <w:tcPr>
            <w:tcW w:w="3505" w:type="pct"/>
          </w:tcPr>
          <w:p w14:paraId="3F185A9F" w14:textId="77777777" w:rsidR="000447ED" w:rsidRPr="005E3B43" w:rsidRDefault="000447ED" w:rsidP="00763BCF">
            <w:pPr>
              <w:pStyle w:val="ENoteTableText"/>
            </w:pPr>
            <w:r w:rsidRPr="005E3B43">
              <w:t>ad F2018L00311</w:t>
            </w:r>
          </w:p>
        </w:tc>
      </w:tr>
      <w:tr w:rsidR="000447ED" w:rsidRPr="005E3B43" w14:paraId="6D0F921F" w14:textId="77777777" w:rsidTr="00034EA9">
        <w:trPr>
          <w:cantSplit/>
        </w:trPr>
        <w:tc>
          <w:tcPr>
            <w:tcW w:w="1495" w:type="pct"/>
          </w:tcPr>
          <w:p w14:paraId="142E2330" w14:textId="77777777" w:rsidR="000447ED" w:rsidRPr="005E3B43" w:rsidRDefault="000447ED" w:rsidP="00763BCF">
            <w:pPr>
              <w:pStyle w:val="ENoteTableText"/>
              <w:tabs>
                <w:tab w:val="center" w:leader="dot" w:pos="2268"/>
              </w:tabs>
            </w:pPr>
          </w:p>
        </w:tc>
        <w:tc>
          <w:tcPr>
            <w:tcW w:w="3505" w:type="pct"/>
          </w:tcPr>
          <w:p w14:paraId="4908AE32" w14:textId="77777777" w:rsidR="000447ED" w:rsidRPr="005E3B43" w:rsidRDefault="000447ED" w:rsidP="00763BCF">
            <w:pPr>
              <w:pStyle w:val="ENoteTableText"/>
            </w:pPr>
            <w:r w:rsidRPr="005E3B43">
              <w:t>am F2018L00759</w:t>
            </w:r>
            <w:r w:rsidR="00831048" w:rsidRPr="005E3B43">
              <w:t>; F2019L00396</w:t>
            </w:r>
            <w:r w:rsidR="00B14F29" w:rsidRPr="005E3B43">
              <w:t>; F2020L00720</w:t>
            </w:r>
            <w:r w:rsidR="00D442D6" w:rsidRPr="005E3B43">
              <w:t>; F2021L00688</w:t>
            </w:r>
            <w:r w:rsidR="00E75414" w:rsidRPr="005E3B43">
              <w:t>; F2022L00600</w:t>
            </w:r>
            <w:r w:rsidR="005F2C17" w:rsidRPr="005E3B43">
              <w:t>; F2023L00770</w:t>
            </w:r>
            <w:r w:rsidR="005158E9" w:rsidRPr="005E3B43">
              <w:t>; F2024L00689</w:t>
            </w:r>
          </w:p>
        </w:tc>
      </w:tr>
      <w:tr w:rsidR="000447ED" w:rsidRPr="005E3B43" w14:paraId="6AA6E4A4" w14:textId="77777777" w:rsidTr="00034EA9">
        <w:trPr>
          <w:cantSplit/>
        </w:trPr>
        <w:tc>
          <w:tcPr>
            <w:tcW w:w="1495" w:type="pct"/>
          </w:tcPr>
          <w:p w14:paraId="0965A6ED" w14:textId="77777777" w:rsidR="000447ED" w:rsidRPr="005E3B43" w:rsidRDefault="000447ED" w:rsidP="00763BCF">
            <w:pPr>
              <w:pStyle w:val="ENoteTableText"/>
              <w:tabs>
                <w:tab w:val="center" w:leader="dot" w:pos="2268"/>
              </w:tabs>
            </w:pPr>
            <w:r w:rsidRPr="005E3B43">
              <w:t>r 43AD</w:t>
            </w:r>
            <w:r w:rsidRPr="005E3B43">
              <w:tab/>
            </w:r>
          </w:p>
        </w:tc>
        <w:tc>
          <w:tcPr>
            <w:tcW w:w="3505" w:type="pct"/>
          </w:tcPr>
          <w:p w14:paraId="1BC188B9" w14:textId="77777777" w:rsidR="000447ED" w:rsidRPr="005E3B43" w:rsidRDefault="000447ED" w:rsidP="00763BCF">
            <w:pPr>
              <w:pStyle w:val="ENoteTableText"/>
            </w:pPr>
            <w:r w:rsidRPr="005E3B43">
              <w:t>ad F2017L00853</w:t>
            </w:r>
          </w:p>
        </w:tc>
      </w:tr>
      <w:tr w:rsidR="000447ED" w:rsidRPr="005E3B43" w14:paraId="0053D636" w14:textId="77777777" w:rsidTr="00034EA9">
        <w:trPr>
          <w:cantSplit/>
        </w:trPr>
        <w:tc>
          <w:tcPr>
            <w:tcW w:w="1495" w:type="pct"/>
          </w:tcPr>
          <w:p w14:paraId="1F9E53B4" w14:textId="77777777" w:rsidR="000447ED" w:rsidRPr="005E3B43" w:rsidRDefault="000447ED" w:rsidP="00763BCF">
            <w:pPr>
              <w:pStyle w:val="ENoteTableText"/>
              <w:tabs>
                <w:tab w:val="center" w:leader="dot" w:pos="2268"/>
              </w:tabs>
            </w:pPr>
            <w:r w:rsidRPr="005E3B43">
              <w:t>r 43AE</w:t>
            </w:r>
            <w:r w:rsidRPr="005E3B43">
              <w:tab/>
            </w:r>
          </w:p>
        </w:tc>
        <w:tc>
          <w:tcPr>
            <w:tcW w:w="3505" w:type="pct"/>
          </w:tcPr>
          <w:p w14:paraId="17FDD7FD" w14:textId="77777777" w:rsidR="000447ED" w:rsidRPr="005E3B43" w:rsidRDefault="000447ED" w:rsidP="00763BCF">
            <w:pPr>
              <w:pStyle w:val="ENoteTableText"/>
            </w:pPr>
            <w:r w:rsidRPr="005E3B43">
              <w:t>ad F2018L00311</w:t>
            </w:r>
          </w:p>
        </w:tc>
      </w:tr>
      <w:tr w:rsidR="00162971" w:rsidRPr="005E3B43" w14:paraId="7E1AEC9E" w14:textId="77777777" w:rsidTr="00034EA9">
        <w:trPr>
          <w:cantSplit/>
        </w:trPr>
        <w:tc>
          <w:tcPr>
            <w:tcW w:w="1495" w:type="pct"/>
          </w:tcPr>
          <w:p w14:paraId="2B4D8C2B" w14:textId="77777777" w:rsidR="00162971" w:rsidRPr="005E3B43" w:rsidRDefault="00162971" w:rsidP="00763BCF">
            <w:pPr>
              <w:pStyle w:val="ENoteTableText"/>
              <w:tabs>
                <w:tab w:val="center" w:leader="dot" w:pos="2268"/>
              </w:tabs>
            </w:pPr>
            <w:r w:rsidRPr="005E3B43">
              <w:t>r 43AF</w:t>
            </w:r>
            <w:r w:rsidRPr="005E3B43">
              <w:tab/>
            </w:r>
          </w:p>
        </w:tc>
        <w:tc>
          <w:tcPr>
            <w:tcW w:w="3505" w:type="pct"/>
          </w:tcPr>
          <w:p w14:paraId="59070A17" w14:textId="77777777" w:rsidR="00162971" w:rsidRPr="005E3B43" w:rsidRDefault="00162971" w:rsidP="00763BCF">
            <w:pPr>
              <w:pStyle w:val="ENoteTableText"/>
            </w:pPr>
            <w:r w:rsidRPr="005E3B43">
              <w:t>am F2019L00396</w:t>
            </w:r>
          </w:p>
        </w:tc>
      </w:tr>
      <w:tr w:rsidR="000447ED" w:rsidRPr="005E3B43" w14:paraId="3CC13E31" w14:textId="77777777" w:rsidTr="00034EA9">
        <w:trPr>
          <w:cantSplit/>
        </w:trPr>
        <w:tc>
          <w:tcPr>
            <w:tcW w:w="1495" w:type="pct"/>
          </w:tcPr>
          <w:p w14:paraId="69F4688D" w14:textId="77777777" w:rsidR="000447ED" w:rsidRPr="005E3B43" w:rsidRDefault="000447ED" w:rsidP="00763BCF">
            <w:pPr>
              <w:pStyle w:val="ENoteTableText"/>
              <w:tabs>
                <w:tab w:val="center" w:leader="dot" w:pos="2268"/>
              </w:tabs>
            </w:pPr>
            <w:r w:rsidRPr="005E3B43">
              <w:t>r 44AF</w:t>
            </w:r>
            <w:r w:rsidRPr="005E3B43">
              <w:tab/>
            </w:r>
          </w:p>
        </w:tc>
        <w:tc>
          <w:tcPr>
            <w:tcW w:w="3505" w:type="pct"/>
          </w:tcPr>
          <w:p w14:paraId="605BCC80" w14:textId="77777777" w:rsidR="000447ED" w:rsidRPr="005E3B43" w:rsidRDefault="000447ED" w:rsidP="00763BCF">
            <w:pPr>
              <w:pStyle w:val="ENoteTableText"/>
            </w:pPr>
            <w:r w:rsidRPr="005E3B43">
              <w:t>ad F2018L00311</w:t>
            </w:r>
          </w:p>
        </w:tc>
      </w:tr>
      <w:tr w:rsidR="000447ED" w:rsidRPr="005E3B43" w14:paraId="63E3FF40" w14:textId="77777777" w:rsidTr="00034EA9">
        <w:trPr>
          <w:cantSplit/>
        </w:trPr>
        <w:tc>
          <w:tcPr>
            <w:tcW w:w="1495" w:type="pct"/>
          </w:tcPr>
          <w:p w14:paraId="5C7BA2A9" w14:textId="77777777" w:rsidR="000447ED" w:rsidRPr="005E3B43" w:rsidRDefault="000447ED" w:rsidP="00763BCF">
            <w:pPr>
              <w:pStyle w:val="ENoteTableText"/>
              <w:tabs>
                <w:tab w:val="center" w:leader="dot" w:pos="2268"/>
              </w:tabs>
            </w:pPr>
            <w:r w:rsidRPr="005E3B43">
              <w:t>r 45</w:t>
            </w:r>
            <w:r w:rsidRPr="005E3B43">
              <w:tab/>
            </w:r>
          </w:p>
        </w:tc>
        <w:tc>
          <w:tcPr>
            <w:tcW w:w="3505" w:type="pct"/>
          </w:tcPr>
          <w:p w14:paraId="0E1C0477" w14:textId="77777777" w:rsidR="000447ED" w:rsidRPr="005E3B43" w:rsidRDefault="000447ED" w:rsidP="00763BCF">
            <w:pPr>
              <w:pStyle w:val="ENoteTableText"/>
            </w:pPr>
            <w:r w:rsidRPr="005E3B43">
              <w:t>am No 84, 1991; No 485, 1991; No 222, 1994; No 364, 1994; No 192, 1995; No 131, 1996; No 162, 1997; No 398, 1997; No 399, 1997; No 247, 1998; No 62, 1999; No 123, 2000; No 267, 2000; No 143, 2002; No 151, 2003; No 361, 2003; No 159, 2004; No 192, 2005; No 212, 2006; No 161, 2007; No 117, 2008; No 179, 2009; No 130, 2010; No 30, 2011; No 102, 2011; No 143, 2012; No 94, 2013; No 62, 2014; No 87, 2015; No 214, 2015; F2016L00667; F2017L00552; F2017L00853; F2018L00311; F2018L00759</w:t>
            </w:r>
            <w:r w:rsidR="00F31898" w:rsidRPr="005E3B43">
              <w:t>; F2018L01612</w:t>
            </w:r>
            <w:r w:rsidR="00810EE1" w:rsidRPr="005E3B43">
              <w:t>; F2019L00396</w:t>
            </w:r>
            <w:r w:rsidR="00BE6888" w:rsidRPr="005E3B43">
              <w:t>; F2019L01660</w:t>
            </w:r>
            <w:r w:rsidR="00B14F29" w:rsidRPr="005E3B43">
              <w:t>; F2020L00720</w:t>
            </w:r>
            <w:r w:rsidR="00224C7A" w:rsidRPr="005E3B43">
              <w:t>; F2020L01598</w:t>
            </w:r>
            <w:r w:rsidR="00D442D6" w:rsidRPr="005E3B43">
              <w:t>; F2021L00688</w:t>
            </w:r>
            <w:r w:rsidR="00E75414" w:rsidRPr="005E3B43">
              <w:t>; F2022L00600</w:t>
            </w:r>
            <w:r w:rsidR="005F2C17" w:rsidRPr="005E3B43">
              <w:t>; F2023L00770</w:t>
            </w:r>
            <w:r w:rsidR="004713EC" w:rsidRPr="005E3B43">
              <w:t>; F2024L00686</w:t>
            </w:r>
            <w:r w:rsidR="00972B28" w:rsidRPr="005E3B43">
              <w:t>; F2024L00689</w:t>
            </w:r>
          </w:p>
        </w:tc>
      </w:tr>
      <w:tr w:rsidR="000447ED" w:rsidRPr="005E3B43" w14:paraId="1C603A08" w14:textId="77777777" w:rsidTr="00034EA9">
        <w:trPr>
          <w:cantSplit/>
        </w:trPr>
        <w:tc>
          <w:tcPr>
            <w:tcW w:w="1495" w:type="pct"/>
          </w:tcPr>
          <w:p w14:paraId="3CC43907" w14:textId="77777777" w:rsidR="000447ED" w:rsidRPr="005E3B43" w:rsidRDefault="000447ED" w:rsidP="00763BCF">
            <w:pPr>
              <w:pStyle w:val="ENoteTableText"/>
              <w:tabs>
                <w:tab w:val="center" w:leader="dot" w:pos="2268"/>
              </w:tabs>
            </w:pPr>
            <w:r w:rsidRPr="005E3B43">
              <w:t>r 45AA</w:t>
            </w:r>
            <w:r w:rsidRPr="005E3B43">
              <w:tab/>
            </w:r>
          </w:p>
        </w:tc>
        <w:tc>
          <w:tcPr>
            <w:tcW w:w="3505" w:type="pct"/>
          </w:tcPr>
          <w:p w14:paraId="4ECCA845" w14:textId="77777777" w:rsidR="000447ED" w:rsidRPr="005E3B43" w:rsidRDefault="000447ED" w:rsidP="00763BCF">
            <w:pPr>
              <w:pStyle w:val="ENoteTableText"/>
            </w:pPr>
            <w:r w:rsidRPr="005E3B43">
              <w:t>ad 1995 No.</w:t>
            </w:r>
            <w:r w:rsidR="004E6D00" w:rsidRPr="005E3B43">
              <w:t> </w:t>
            </w:r>
            <w:r w:rsidRPr="005E3B43">
              <w:t>192</w:t>
            </w:r>
          </w:p>
        </w:tc>
      </w:tr>
      <w:tr w:rsidR="000447ED" w:rsidRPr="005E3B43" w14:paraId="09344B2D" w14:textId="77777777" w:rsidTr="00034EA9">
        <w:trPr>
          <w:cantSplit/>
        </w:trPr>
        <w:tc>
          <w:tcPr>
            <w:tcW w:w="1495" w:type="pct"/>
          </w:tcPr>
          <w:p w14:paraId="329F0C04" w14:textId="77777777" w:rsidR="000447ED" w:rsidRPr="005E3B43" w:rsidRDefault="000447ED" w:rsidP="00763BCF">
            <w:pPr>
              <w:pStyle w:val="ENoteTableText"/>
            </w:pPr>
          </w:p>
        </w:tc>
        <w:tc>
          <w:tcPr>
            <w:tcW w:w="3505" w:type="pct"/>
          </w:tcPr>
          <w:p w14:paraId="1A9CB765" w14:textId="77777777" w:rsidR="000447ED" w:rsidRPr="005E3B43" w:rsidRDefault="000447ED" w:rsidP="00763BCF">
            <w:pPr>
              <w:pStyle w:val="ENoteTableText"/>
            </w:pPr>
            <w:r w:rsidRPr="005E3B43">
              <w:t>am 2002 No.</w:t>
            </w:r>
            <w:r w:rsidR="004E6D00" w:rsidRPr="005E3B43">
              <w:t> </w:t>
            </w:r>
            <w:r w:rsidRPr="005E3B43">
              <w:t>234; 2011 No.</w:t>
            </w:r>
            <w:r w:rsidR="004E6D00" w:rsidRPr="005E3B43">
              <w:t> </w:t>
            </w:r>
            <w:r w:rsidRPr="005E3B43">
              <w:t>30</w:t>
            </w:r>
            <w:r w:rsidR="00C049C1" w:rsidRPr="005E3B43">
              <w:t>; No 214, 2015; F2018L01434</w:t>
            </w:r>
            <w:r w:rsidR="00B14F29" w:rsidRPr="005E3B43">
              <w:t>; F2020L00720</w:t>
            </w:r>
          </w:p>
        </w:tc>
      </w:tr>
      <w:tr w:rsidR="000447ED" w:rsidRPr="005E3B43" w14:paraId="46345938" w14:textId="77777777" w:rsidTr="00034EA9">
        <w:trPr>
          <w:cantSplit/>
        </w:trPr>
        <w:tc>
          <w:tcPr>
            <w:tcW w:w="1495" w:type="pct"/>
          </w:tcPr>
          <w:p w14:paraId="3634BAA4" w14:textId="77777777" w:rsidR="000447ED" w:rsidRPr="005E3B43" w:rsidRDefault="000447ED" w:rsidP="00763BCF">
            <w:pPr>
              <w:pStyle w:val="ENoteTableText"/>
              <w:tabs>
                <w:tab w:val="center" w:leader="dot" w:pos="2268"/>
              </w:tabs>
            </w:pPr>
            <w:r w:rsidRPr="005E3B43">
              <w:t>r. 45A</w:t>
            </w:r>
            <w:r w:rsidRPr="005E3B43">
              <w:tab/>
            </w:r>
          </w:p>
        </w:tc>
        <w:tc>
          <w:tcPr>
            <w:tcW w:w="3505" w:type="pct"/>
          </w:tcPr>
          <w:p w14:paraId="1FE8EF63" w14:textId="77777777" w:rsidR="000447ED" w:rsidRPr="005E3B43" w:rsidRDefault="000447ED" w:rsidP="00763BCF">
            <w:pPr>
              <w:pStyle w:val="ENoteTableText"/>
            </w:pPr>
            <w:r w:rsidRPr="005E3B43">
              <w:t>ad. 1991 No.</w:t>
            </w:r>
            <w:r w:rsidR="004E6D00" w:rsidRPr="005E3B43">
              <w:t> </w:t>
            </w:r>
            <w:r w:rsidRPr="005E3B43">
              <w:t>84</w:t>
            </w:r>
          </w:p>
        </w:tc>
      </w:tr>
      <w:tr w:rsidR="000447ED" w:rsidRPr="005E3B43" w14:paraId="0CBCD917" w14:textId="77777777" w:rsidTr="00034EA9">
        <w:trPr>
          <w:cantSplit/>
        </w:trPr>
        <w:tc>
          <w:tcPr>
            <w:tcW w:w="1495" w:type="pct"/>
          </w:tcPr>
          <w:p w14:paraId="614F9248" w14:textId="77777777" w:rsidR="000447ED" w:rsidRPr="005E3B43" w:rsidRDefault="000447ED" w:rsidP="00763BCF">
            <w:pPr>
              <w:pStyle w:val="ENoteTableText"/>
            </w:pPr>
          </w:p>
        </w:tc>
        <w:tc>
          <w:tcPr>
            <w:tcW w:w="3505" w:type="pct"/>
          </w:tcPr>
          <w:p w14:paraId="44ABC54C" w14:textId="77777777" w:rsidR="000447ED" w:rsidRPr="005E3B43" w:rsidRDefault="000447ED" w:rsidP="00763BCF">
            <w:pPr>
              <w:pStyle w:val="ENoteTableText"/>
            </w:pPr>
            <w:r w:rsidRPr="005E3B43">
              <w:t>am. 1997 No.</w:t>
            </w:r>
            <w:r w:rsidR="004E6D00" w:rsidRPr="005E3B43">
              <w:t> </w:t>
            </w:r>
            <w:r w:rsidRPr="005E3B43">
              <w:t>162; 2000 No.</w:t>
            </w:r>
            <w:r w:rsidR="004E6D00" w:rsidRPr="005E3B43">
              <w:t> </w:t>
            </w:r>
            <w:r w:rsidRPr="005E3B43">
              <w:t>267; 2001 No.</w:t>
            </w:r>
            <w:r w:rsidR="004E6D00" w:rsidRPr="005E3B43">
              <w:t> </w:t>
            </w:r>
            <w:r w:rsidRPr="005E3B43">
              <w:t>160; 2002 No.</w:t>
            </w:r>
            <w:r w:rsidR="004E6D00" w:rsidRPr="005E3B43">
              <w:t> </w:t>
            </w:r>
            <w:r w:rsidRPr="005E3B43">
              <w:t>234; 2003 No.</w:t>
            </w:r>
            <w:r w:rsidR="004E6D00" w:rsidRPr="005E3B43">
              <w:t> </w:t>
            </w:r>
            <w:r w:rsidRPr="005E3B43">
              <w:t>151; 2004 No.</w:t>
            </w:r>
            <w:r w:rsidR="004E6D00" w:rsidRPr="005E3B43">
              <w:t> </w:t>
            </w:r>
            <w:r w:rsidRPr="005E3B43">
              <w:t>159; 2005 No.</w:t>
            </w:r>
            <w:r w:rsidR="004E6D00" w:rsidRPr="005E3B43">
              <w:t> </w:t>
            </w:r>
            <w:r w:rsidRPr="005E3B43">
              <w:t>192; 2006 No.</w:t>
            </w:r>
            <w:r w:rsidR="004E6D00" w:rsidRPr="005E3B43">
              <w:t> </w:t>
            </w:r>
            <w:r w:rsidRPr="005E3B43">
              <w:t>212; 2007 No.</w:t>
            </w:r>
            <w:r w:rsidR="004E6D00" w:rsidRPr="005E3B43">
              <w:t> </w:t>
            </w:r>
            <w:r w:rsidRPr="005E3B43">
              <w:t>161; 2008 No.</w:t>
            </w:r>
            <w:r w:rsidR="004E6D00" w:rsidRPr="005E3B43">
              <w:t> </w:t>
            </w:r>
            <w:r w:rsidRPr="005E3B43">
              <w:t>117</w:t>
            </w:r>
          </w:p>
        </w:tc>
      </w:tr>
      <w:tr w:rsidR="000447ED" w:rsidRPr="005E3B43" w14:paraId="784498A3" w14:textId="77777777" w:rsidTr="00034EA9">
        <w:trPr>
          <w:cantSplit/>
        </w:trPr>
        <w:tc>
          <w:tcPr>
            <w:tcW w:w="1495" w:type="pct"/>
          </w:tcPr>
          <w:p w14:paraId="43E11116" w14:textId="77777777" w:rsidR="000447ED" w:rsidRPr="005E3B43" w:rsidRDefault="000447ED" w:rsidP="00763BCF">
            <w:pPr>
              <w:pStyle w:val="ENoteTableText"/>
            </w:pPr>
          </w:p>
        </w:tc>
        <w:tc>
          <w:tcPr>
            <w:tcW w:w="3505" w:type="pct"/>
          </w:tcPr>
          <w:p w14:paraId="2C5948A4" w14:textId="77777777" w:rsidR="000447ED" w:rsidRPr="005E3B43" w:rsidRDefault="000447ED" w:rsidP="00763BCF">
            <w:pPr>
              <w:pStyle w:val="ENoteTableText"/>
            </w:pPr>
            <w:r w:rsidRPr="005E3B43">
              <w:t>rs. 2009 No.</w:t>
            </w:r>
            <w:r w:rsidR="004E6D00" w:rsidRPr="005E3B43">
              <w:t> </w:t>
            </w:r>
            <w:r w:rsidRPr="005E3B43">
              <w:t>141</w:t>
            </w:r>
          </w:p>
        </w:tc>
      </w:tr>
      <w:tr w:rsidR="000447ED" w:rsidRPr="005E3B43" w14:paraId="7D45175A" w14:textId="77777777" w:rsidTr="00034EA9">
        <w:trPr>
          <w:cantSplit/>
        </w:trPr>
        <w:tc>
          <w:tcPr>
            <w:tcW w:w="1495" w:type="pct"/>
          </w:tcPr>
          <w:p w14:paraId="7AA095FB" w14:textId="77777777" w:rsidR="000447ED" w:rsidRPr="005E3B43" w:rsidRDefault="000447ED" w:rsidP="00763BCF">
            <w:pPr>
              <w:pStyle w:val="ENoteTableText"/>
            </w:pPr>
          </w:p>
        </w:tc>
        <w:tc>
          <w:tcPr>
            <w:tcW w:w="3505" w:type="pct"/>
          </w:tcPr>
          <w:p w14:paraId="7DA6A641" w14:textId="77777777" w:rsidR="000447ED" w:rsidRPr="005E3B43" w:rsidRDefault="000447ED" w:rsidP="00763BCF">
            <w:pPr>
              <w:pStyle w:val="ENoteTableText"/>
            </w:pPr>
            <w:r w:rsidRPr="005E3B43">
              <w:t>am No 179, 2009; No.</w:t>
            </w:r>
            <w:r w:rsidR="004E6D00" w:rsidRPr="005E3B43">
              <w:t> </w:t>
            </w:r>
            <w:r w:rsidRPr="005E3B43">
              <w:t>130, 2010; 2012 No.</w:t>
            </w:r>
            <w:r w:rsidR="004E6D00" w:rsidRPr="005E3B43">
              <w:t> </w:t>
            </w:r>
            <w:r w:rsidRPr="005E3B43">
              <w:t>143; No.</w:t>
            </w:r>
            <w:r w:rsidR="004E6D00" w:rsidRPr="005E3B43">
              <w:t> </w:t>
            </w:r>
            <w:r w:rsidRPr="005E3B43">
              <w:t>94, 2013; No 62, 2014</w:t>
            </w:r>
          </w:p>
        </w:tc>
      </w:tr>
      <w:tr w:rsidR="000447ED" w:rsidRPr="005E3B43" w14:paraId="2D3647AC" w14:textId="77777777" w:rsidTr="00034EA9">
        <w:trPr>
          <w:cantSplit/>
        </w:trPr>
        <w:tc>
          <w:tcPr>
            <w:tcW w:w="1495" w:type="pct"/>
          </w:tcPr>
          <w:p w14:paraId="5E9DCEC1" w14:textId="77777777" w:rsidR="000447ED" w:rsidRPr="005E3B43" w:rsidRDefault="000447ED" w:rsidP="00763BCF">
            <w:pPr>
              <w:pStyle w:val="ENoteTableText"/>
            </w:pPr>
          </w:p>
        </w:tc>
        <w:tc>
          <w:tcPr>
            <w:tcW w:w="3505" w:type="pct"/>
          </w:tcPr>
          <w:p w14:paraId="6711B414" w14:textId="77777777" w:rsidR="000447ED" w:rsidRPr="005E3B43" w:rsidRDefault="000447ED" w:rsidP="00763BCF">
            <w:pPr>
              <w:pStyle w:val="ENoteTableText"/>
            </w:pPr>
            <w:r w:rsidRPr="005E3B43">
              <w:t>rep No 75, 2015</w:t>
            </w:r>
          </w:p>
        </w:tc>
      </w:tr>
      <w:tr w:rsidR="000447ED" w:rsidRPr="005E3B43" w14:paraId="0A42B1B9" w14:textId="77777777" w:rsidTr="00034EA9">
        <w:trPr>
          <w:cantSplit/>
        </w:trPr>
        <w:tc>
          <w:tcPr>
            <w:tcW w:w="1495" w:type="pct"/>
          </w:tcPr>
          <w:p w14:paraId="16685440" w14:textId="77777777" w:rsidR="000447ED" w:rsidRPr="005E3B43" w:rsidRDefault="000447ED" w:rsidP="00763BCF">
            <w:pPr>
              <w:pStyle w:val="ENoteTableText"/>
              <w:tabs>
                <w:tab w:val="center" w:leader="dot" w:pos="2268"/>
              </w:tabs>
            </w:pPr>
            <w:r w:rsidRPr="005E3B43">
              <w:t>Part</w:t>
            </w:r>
            <w:r w:rsidR="004E6D00" w:rsidRPr="005E3B43">
              <w:t> </w:t>
            </w:r>
            <w:r w:rsidRPr="005E3B43">
              <w:t>7A</w:t>
            </w:r>
            <w:r w:rsidRPr="005E3B43">
              <w:tab/>
            </w:r>
          </w:p>
        </w:tc>
        <w:tc>
          <w:tcPr>
            <w:tcW w:w="3505" w:type="pct"/>
          </w:tcPr>
          <w:p w14:paraId="3B74C8A8" w14:textId="77777777" w:rsidR="000447ED" w:rsidRPr="005E3B43" w:rsidRDefault="000447ED" w:rsidP="00763BCF">
            <w:pPr>
              <w:pStyle w:val="ENoteTableText"/>
            </w:pPr>
            <w:r w:rsidRPr="005E3B43">
              <w:t>ad No 228, 2009</w:t>
            </w:r>
          </w:p>
        </w:tc>
      </w:tr>
      <w:tr w:rsidR="000447ED" w:rsidRPr="005E3B43" w14:paraId="3539C5A9" w14:textId="77777777" w:rsidTr="00034EA9">
        <w:trPr>
          <w:cantSplit/>
        </w:trPr>
        <w:tc>
          <w:tcPr>
            <w:tcW w:w="1495" w:type="pct"/>
          </w:tcPr>
          <w:p w14:paraId="3BA8ADC5" w14:textId="77777777" w:rsidR="000447ED" w:rsidRPr="005E3B43" w:rsidRDefault="000447ED" w:rsidP="00763BCF">
            <w:pPr>
              <w:pStyle w:val="ENoteTableText"/>
              <w:tabs>
                <w:tab w:val="center" w:leader="dot" w:pos="2268"/>
              </w:tabs>
            </w:pPr>
          </w:p>
        </w:tc>
        <w:tc>
          <w:tcPr>
            <w:tcW w:w="3505" w:type="pct"/>
          </w:tcPr>
          <w:p w14:paraId="511F34CF" w14:textId="77777777" w:rsidR="000447ED" w:rsidRPr="005E3B43" w:rsidRDefault="000447ED" w:rsidP="00763BCF">
            <w:pPr>
              <w:pStyle w:val="ENoteTableText"/>
            </w:pPr>
            <w:r w:rsidRPr="005E3B43">
              <w:t>rep F2018L00311</w:t>
            </w:r>
          </w:p>
        </w:tc>
      </w:tr>
      <w:tr w:rsidR="000447ED" w:rsidRPr="005E3B43" w14:paraId="2D5AD1E5" w14:textId="77777777" w:rsidTr="00034EA9">
        <w:trPr>
          <w:cantSplit/>
        </w:trPr>
        <w:tc>
          <w:tcPr>
            <w:tcW w:w="1495" w:type="pct"/>
          </w:tcPr>
          <w:p w14:paraId="0460C3C8" w14:textId="77777777" w:rsidR="000447ED" w:rsidRPr="005E3B43" w:rsidRDefault="000447ED" w:rsidP="00763BCF">
            <w:pPr>
              <w:pStyle w:val="ENoteTableText"/>
              <w:tabs>
                <w:tab w:val="center" w:leader="dot" w:pos="2268"/>
              </w:tabs>
            </w:pPr>
            <w:r w:rsidRPr="005E3B43">
              <w:t>r 45B</w:t>
            </w:r>
            <w:r w:rsidRPr="005E3B43">
              <w:tab/>
            </w:r>
          </w:p>
        </w:tc>
        <w:tc>
          <w:tcPr>
            <w:tcW w:w="3505" w:type="pct"/>
          </w:tcPr>
          <w:p w14:paraId="0F438BE7" w14:textId="77777777" w:rsidR="000447ED" w:rsidRPr="005E3B43" w:rsidRDefault="000447ED" w:rsidP="00763BCF">
            <w:pPr>
              <w:pStyle w:val="ENoteTableText"/>
            </w:pPr>
            <w:r w:rsidRPr="005E3B43">
              <w:t>ad No 228, 2009</w:t>
            </w:r>
          </w:p>
        </w:tc>
      </w:tr>
      <w:tr w:rsidR="000447ED" w:rsidRPr="005E3B43" w14:paraId="6CF779A0" w14:textId="77777777" w:rsidTr="00034EA9">
        <w:trPr>
          <w:cantSplit/>
        </w:trPr>
        <w:tc>
          <w:tcPr>
            <w:tcW w:w="1495" w:type="pct"/>
          </w:tcPr>
          <w:p w14:paraId="103301C8" w14:textId="77777777" w:rsidR="000447ED" w:rsidRPr="005E3B43" w:rsidRDefault="000447ED" w:rsidP="00763BCF">
            <w:pPr>
              <w:pStyle w:val="ENoteTableText"/>
              <w:tabs>
                <w:tab w:val="center" w:leader="dot" w:pos="2268"/>
              </w:tabs>
            </w:pPr>
          </w:p>
        </w:tc>
        <w:tc>
          <w:tcPr>
            <w:tcW w:w="3505" w:type="pct"/>
          </w:tcPr>
          <w:p w14:paraId="0FD802FE" w14:textId="77777777" w:rsidR="000447ED" w:rsidRPr="005E3B43" w:rsidRDefault="000447ED" w:rsidP="00763BCF">
            <w:pPr>
              <w:pStyle w:val="ENoteTableText"/>
            </w:pPr>
            <w:r w:rsidRPr="005E3B43">
              <w:t>rep F2018L00311</w:t>
            </w:r>
          </w:p>
        </w:tc>
      </w:tr>
      <w:tr w:rsidR="000447ED" w:rsidRPr="005E3B43" w14:paraId="411E5525" w14:textId="77777777" w:rsidTr="00034EA9">
        <w:trPr>
          <w:cantSplit/>
        </w:trPr>
        <w:tc>
          <w:tcPr>
            <w:tcW w:w="1495" w:type="pct"/>
          </w:tcPr>
          <w:p w14:paraId="6D01E788" w14:textId="77777777" w:rsidR="000447ED" w:rsidRPr="005E3B43" w:rsidRDefault="000447ED" w:rsidP="00763BCF">
            <w:pPr>
              <w:pStyle w:val="ENoteTableText"/>
              <w:keepNext/>
            </w:pPr>
            <w:r w:rsidRPr="005E3B43">
              <w:rPr>
                <w:b/>
              </w:rPr>
              <w:t>Part</w:t>
            </w:r>
            <w:r w:rsidR="004E6D00" w:rsidRPr="005E3B43">
              <w:rPr>
                <w:b/>
              </w:rPr>
              <w:t> </w:t>
            </w:r>
            <w:r w:rsidRPr="005E3B43">
              <w:rPr>
                <w:b/>
              </w:rPr>
              <w:t>8</w:t>
            </w:r>
          </w:p>
        </w:tc>
        <w:tc>
          <w:tcPr>
            <w:tcW w:w="3505" w:type="pct"/>
          </w:tcPr>
          <w:p w14:paraId="7D1C48B5" w14:textId="77777777" w:rsidR="000447ED" w:rsidRPr="005E3B43" w:rsidRDefault="000447ED" w:rsidP="00763BCF">
            <w:pPr>
              <w:pStyle w:val="ENoteTableText"/>
            </w:pPr>
          </w:p>
        </w:tc>
      </w:tr>
      <w:tr w:rsidR="000447ED" w:rsidRPr="005E3B43" w14:paraId="41A898F7" w14:textId="77777777" w:rsidTr="00034EA9">
        <w:trPr>
          <w:cantSplit/>
        </w:trPr>
        <w:tc>
          <w:tcPr>
            <w:tcW w:w="1495" w:type="pct"/>
          </w:tcPr>
          <w:p w14:paraId="43B53CFD" w14:textId="77777777" w:rsidR="000447ED" w:rsidRPr="005E3B43" w:rsidRDefault="00BF6D96" w:rsidP="00763BCF">
            <w:pPr>
              <w:pStyle w:val="ENoteTableText"/>
              <w:tabs>
                <w:tab w:val="center" w:leader="dot" w:pos="2268"/>
              </w:tabs>
            </w:pPr>
            <w:r w:rsidRPr="005E3B43">
              <w:t>r 46AA</w:t>
            </w:r>
            <w:r w:rsidR="000447ED" w:rsidRPr="005E3B43">
              <w:tab/>
            </w:r>
          </w:p>
        </w:tc>
        <w:tc>
          <w:tcPr>
            <w:tcW w:w="3505" w:type="pct"/>
          </w:tcPr>
          <w:p w14:paraId="1AF199DE" w14:textId="77777777" w:rsidR="000447ED" w:rsidRPr="005E3B43" w:rsidRDefault="00BF6D96" w:rsidP="00763BCF">
            <w:pPr>
              <w:pStyle w:val="ENoteTableText"/>
            </w:pPr>
            <w:r w:rsidRPr="005E3B43">
              <w:t>ad F2024L00686</w:t>
            </w:r>
          </w:p>
        </w:tc>
      </w:tr>
      <w:tr w:rsidR="00B47326" w:rsidRPr="005E3B43" w14:paraId="27327D57" w14:textId="77777777" w:rsidTr="00034EA9">
        <w:trPr>
          <w:cantSplit/>
        </w:trPr>
        <w:tc>
          <w:tcPr>
            <w:tcW w:w="1495" w:type="pct"/>
          </w:tcPr>
          <w:p w14:paraId="7C0101DC" w14:textId="77777777" w:rsidR="00B47326" w:rsidRPr="005E3B43" w:rsidRDefault="00B47326" w:rsidP="00B47326">
            <w:pPr>
              <w:pStyle w:val="ENoteTableText"/>
              <w:tabs>
                <w:tab w:val="center" w:leader="dot" w:pos="2268"/>
              </w:tabs>
            </w:pPr>
            <w:r w:rsidRPr="005E3B43">
              <w:t>r  46A</w:t>
            </w:r>
            <w:r w:rsidRPr="005E3B43">
              <w:tab/>
            </w:r>
          </w:p>
        </w:tc>
        <w:tc>
          <w:tcPr>
            <w:tcW w:w="3505" w:type="pct"/>
          </w:tcPr>
          <w:p w14:paraId="4DB155B9" w14:textId="77777777" w:rsidR="00B47326" w:rsidRPr="005E3B43" w:rsidRDefault="00B47326" w:rsidP="00B47326">
            <w:pPr>
              <w:pStyle w:val="ENoteTableText"/>
            </w:pPr>
            <w:r w:rsidRPr="005E3B43">
              <w:t>ad 1992 No 332</w:t>
            </w:r>
          </w:p>
        </w:tc>
      </w:tr>
      <w:tr w:rsidR="000447ED" w:rsidRPr="005E3B43" w14:paraId="53ADB8FA" w14:textId="77777777" w:rsidTr="00034EA9">
        <w:trPr>
          <w:cantSplit/>
        </w:trPr>
        <w:tc>
          <w:tcPr>
            <w:tcW w:w="1495" w:type="pct"/>
          </w:tcPr>
          <w:p w14:paraId="56FF31FE" w14:textId="77777777" w:rsidR="000447ED" w:rsidRPr="005E3B43" w:rsidRDefault="000447ED" w:rsidP="00763BCF">
            <w:pPr>
              <w:pStyle w:val="ENoteTableText"/>
            </w:pPr>
          </w:p>
        </w:tc>
        <w:tc>
          <w:tcPr>
            <w:tcW w:w="3505" w:type="pct"/>
          </w:tcPr>
          <w:p w14:paraId="172DD0BE" w14:textId="77777777" w:rsidR="000447ED" w:rsidRPr="005E3B43" w:rsidRDefault="000447ED" w:rsidP="00763BCF">
            <w:pPr>
              <w:pStyle w:val="ENoteTableText"/>
            </w:pPr>
            <w:r w:rsidRPr="005E3B43">
              <w:t>rs 2009 No 140</w:t>
            </w:r>
          </w:p>
        </w:tc>
      </w:tr>
      <w:tr w:rsidR="000447ED" w:rsidRPr="005E3B43" w14:paraId="76533091" w14:textId="77777777" w:rsidTr="00034EA9">
        <w:trPr>
          <w:cantSplit/>
        </w:trPr>
        <w:tc>
          <w:tcPr>
            <w:tcW w:w="1495" w:type="pct"/>
          </w:tcPr>
          <w:p w14:paraId="4A9E3240" w14:textId="77777777" w:rsidR="000447ED" w:rsidRPr="005E3B43" w:rsidRDefault="000447ED" w:rsidP="00763BCF">
            <w:pPr>
              <w:pStyle w:val="ENoteTableText"/>
            </w:pPr>
          </w:p>
        </w:tc>
        <w:tc>
          <w:tcPr>
            <w:tcW w:w="3505" w:type="pct"/>
          </w:tcPr>
          <w:p w14:paraId="31FA9C84" w14:textId="77777777" w:rsidR="000447ED" w:rsidRPr="005E3B43" w:rsidRDefault="000447ED" w:rsidP="00763BCF">
            <w:pPr>
              <w:pStyle w:val="ENoteTableText"/>
            </w:pPr>
            <w:r w:rsidRPr="005E3B43">
              <w:t>am No 26</w:t>
            </w:r>
            <w:r w:rsidR="005216D2" w:rsidRPr="005E3B43">
              <w:t>, 2010</w:t>
            </w:r>
            <w:r w:rsidRPr="005E3B43">
              <w:t>; F2016L00109; F2016L01614; F2017L00853; F2017L01561</w:t>
            </w:r>
            <w:r w:rsidR="005216D2" w:rsidRPr="005E3B43">
              <w:t>; F2023L00769</w:t>
            </w:r>
          </w:p>
        </w:tc>
      </w:tr>
      <w:tr w:rsidR="006F5BC9" w:rsidRPr="005E3B43" w14:paraId="56A3298F" w14:textId="77777777" w:rsidTr="00034EA9">
        <w:trPr>
          <w:cantSplit/>
        </w:trPr>
        <w:tc>
          <w:tcPr>
            <w:tcW w:w="1495" w:type="pct"/>
          </w:tcPr>
          <w:p w14:paraId="707B28DA" w14:textId="77777777" w:rsidR="006F5BC9" w:rsidRPr="005E3B43" w:rsidRDefault="006F5BC9" w:rsidP="00220146">
            <w:pPr>
              <w:pStyle w:val="ENoteTableText"/>
              <w:tabs>
                <w:tab w:val="center" w:leader="dot" w:pos="2268"/>
              </w:tabs>
            </w:pPr>
            <w:r w:rsidRPr="005E3B43">
              <w:t xml:space="preserve">r </w:t>
            </w:r>
            <w:r w:rsidR="005B106E" w:rsidRPr="005E3B43">
              <w:t>46B</w:t>
            </w:r>
            <w:r w:rsidR="005B106E" w:rsidRPr="005E3B43">
              <w:tab/>
            </w:r>
          </w:p>
        </w:tc>
        <w:tc>
          <w:tcPr>
            <w:tcW w:w="3505" w:type="pct"/>
          </w:tcPr>
          <w:p w14:paraId="3FDB2EE7" w14:textId="77777777" w:rsidR="006F5BC9" w:rsidRPr="005E3B43" w:rsidRDefault="005B106E" w:rsidP="00763BCF">
            <w:pPr>
              <w:pStyle w:val="ENoteTableText"/>
            </w:pPr>
            <w:r w:rsidRPr="005E3B43">
              <w:t>ad F2024L00839</w:t>
            </w:r>
          </w:p>
        </w:tc>
      </w:tr>
      <w:tr w:rsidR="000447ED" w:rsidRPr="005E3B43" w14:paraId="19512509" w14:textId="77777777" w:rsidTr="00034EA9">
        <w:trPr>
          <w:cantSplit/>
        </w:trPr>
        <w:tc>
          <w:tcPr>
            <w:tcW w:w="1495" w:type="pct"/>
          </w:tcPr>
          <w:p w14:paraId="4C7E4464" w14:textId="77777777" w:rsidR="000447ED" w:rsidRPr="005E3B43" w:rsidRDefault="000447ED" w:rsidP="00763BCF">
            <w:pPr>
              <w:pStyle w:val="ENoteTableText"/>
              <w:tabs>
                <w:tab w:val="center" w:leader="dot" w:pos="2268"/>
              </w:tabs>
            </w:pPr>
            <w:r w:rsidRPr="005E3B43">
              <w:t>r. 46</w:t>
            </w:r>
            <w:r w:rsidRPr="005E3B43">
              <w:tab/>
            </w:r>
          </w:p>
        </w:tc>
        <w:tc>
          <w:tcPr>
            <w:tcW w:w="3505" w:type="pct"/>
          </w:tcPr>
          <w:p w14:paraId="23128A52" w14:textId="77777777" w:rsidR="000447ED" w:rsidRPr="005E3B43" w:rsidRDefault="000447ED" w:rsidP="00763BCF">
            <w:pPr>
              <w:pStyle w:val="ENoteTableText"/>
            </w:pPr>
            <w:r w:rsidRPr="005E3B43">
              <w:t>am. 1991 No.</w:t>
            </w:r>
            <w:r w:rsidR="004E6D00" w:rsidRPr="005E3B43">
              <w:t> </w:t>
            </w:r>
            <w:r w:rsidRPr="005E3B43">
              <w:t>84; 1992 No.</w:t>
            </w:r>
            <w:r w:rsidR="004E6D00" w:rsidRPr="005E3B43">
              <w:t> </w:t>
            </w:r>
            <w:r w:rsidRPr="005E3B43">
              <w:t>332; 1997 No.</w:t>
            </w:r>
            <w:r w:rsidR="004E6D00" w:rsidRPr="005E3B43">
              <w:t> </w:t>
            </w:r>
            <w:r w:rsidRPr="005E3B43">
              <w:t>399; 1999 No.</w:t>
            </w:r>
            <w:r w:rsidR="004E6D00" w:rsidRPr="005E3B43">
              <w:t> </w:t>
            </w:r>
            <w:r w:rsidRPr="005E3B43">
              <w:t>62; 2002 No.</w:t>
            </w:r>
            <w:r w:rsidR="004E6D00" w:rsidRPr="005E3B43">
              <w:t> </w:t>
            </w:r>
            <w:r w:rsidRPr="005E3B43">
              <w:t>234; 2011 Nos. 30 and 102</w:t>
            </w:r>
          </w:p>
        </w:tc>
      </w:tr>
      <w:tr w:rsidR="000447ED" w:rsidRPr="005E3B43" w14:paraId="2830178B" w14:textId="77777777" w:rsidTr="00034EA9">
        <w:trPr>
          <w:cantSplit/>
        </w:trPr>
        <w:tc>
          <w:tcPr>
            <w:tcW w:w="1495" w:type="pct"/>
          </w:tcPr>
          <w:p w14:paraId="59069B6A" w14:textId="77777777" w:rsidR="000447ED" w:rsidRPr="005E3B43" w:rsidRDefault="000447ED" w:rsidP="00763BCF">
            <w:pPr>
              <w:pStyle w:val="ENoteTableText"/>
              <w:tabs>
                <w:tab w:val="center" w:leader="dot" w:pos="2268"/>
              </w:tabs>
            </w:pPr>
            <w:r w:rsidRPr="005E3B43">
              <w:t>r 47</w:t>
            </w:r>
            <w:r w:rsidRPr="005E3B43">
              <w:tab/>
            </w:r>
          </w:p>
        </w:tc>
        <w:tc>
          <w:tcPr>
            <w:tcW w:w="3505" w:type="pct"/>
          </w:tcPr>
          <w:p w14:paraId="6D8526D8" w14:textId="77777777" w:rsidR="000447ED" w:rsidRPr="005E3B43" w:rsidRDefault="000447ED" w:rsidP="00763BCF">
            <w:pPr>
              <w:pStyle w:val="ENoteTableText"/>
            </w:pPr>
            <w:r w:rsidRPr="005E3B43">
              <w:t>rs No 485, 1991</w:t>
            </w:r>
          </w:p>
        </w:tc>
      </w:tr>
      <w:tr w:rsidR="000447ED" w:rsidRPr="005E3B43" w14:paraId="6FFE8BAB" w14:textId="77777777" w:rsidTr="00034EA9">
        <w:trPr>
          <w:cantSplit/>
        </w:trPr>
        <w:tc>
          <w:tcPr>
            <w:tcW w:w="1495" w:type="pct"/>
          </w:tcPr>
          <w:p w14:paraId="5803F8B3" w14:textId="77777777" w:rsidR="000447ED" w:rsidRPr="005E3B43" w:rsidRDefault="000447ED" w:rsidP="00763BCF">
            <w:pPr>
              <w:pStyle w:val="ENoteTableText"/>
            </w:pPr>
          </w:p>
        </w:tc>
        <w:tc>
          <w:tcPr>
            <w:tcW w:w="3505" w:type="pct"/>
          </w:tcPr>
          <w:p w14:paraId="2B68D6A0" w14:textId="77777777" w:rsidR="000447ED" w:rsidRPr="005E3B43" w:rsidRDefault="000447ED" w:rsidP="00763BCF">
            <w:pPr>
              <w:pStyle w:val="ENoteTableText"/>
            </w:pPr>
            <w:r w:rsidRPr="005E3B43">
              <w:t>am No 332, 1992; No 400, 1997; No 48, 2000; No 343, 2001; No 345, 2002; No 78, 2004; No 228, 2009; F2016L00109; F2018L00311</w:t>
            </w:r>
          </w:p>
        </w:tc>
      </w:tr>
      <w:tr w:rsidR="000447ED" w:rsidRPr="005E3B43" w14:paraId="35BF7C22" w14:textId="77777777" w:rsidTr="00034EA9">
        <w:trPr>
          <w:cantSplit/>
        </w:trPr>
        <w:tc>
          <w:tcPr>
            <w:tcW w:w="1495" w:type="pct"/>
          </w:tcPr>
          <w:p w14:paraId="13410D45" w14:textId="77777777" w:rsidR="000447ED" w:rsidRPr="005E3B43" w:rsidRDefault="000447ED" w:rsidP="00763BCF">
            <w:pPr>
              <w:pStyle w:val="ENoteTableText"/>
              <w:tabs>
                <w:tab w:val="center" w:leader="dot" w:pos="2268"/>
              </w:tabs>
            </w:pPr>
            <w:r w:rsidRPr="005E3B43">
              <w:t>r 47A</w:t>
            </w:r>
            <w:r w:rsidRPr="005E3B43">
              <w:tab/>
            </w:r>
          </w:p>
        </w:tc>
        <w:tc>
          <w:tcPr>
            <w:tcW w:w="3505" w:type="pct"/>
          </w:tcPr>
          <w:p w14:paraId="41A6C424" w14:textId="77777777" w:rsidR="000447ED" w:rsidRPr="005E3B43" w:rsidRDefault="000447ED" w:rsidP="00763BCF">
            <w:pPr>
              <w:pStyle w:val="ENoteTableText"/>
            </w:pPr>
            <w:r w:rsidRPr="005E3B43">
              <w:t>ad 1991 No</w:t>
            </w:r>
            <w:r w:rsidR="004E6D00" w:rsidRPr="005E3B43">
              <w:t> </w:t>
            </w:r>
            <w:r w:rsidRPr="005E3B43">
              <w:t>485</w:t>
            </w:r>
          </w:p>
        </w:tc>
      </w:tr>
      <w:tr w:rsidR="000447ED" w:rsidRPr="005E3B43" w14:paraId="460D9B21" w14:textId="77777777" w:rsidTr="00034EA9">
        <w:trPr>
          <w:cantSplit/>
        </w:trPr>
        <w:tc>
          <w:tcPr>
            <w:tcW w:w="1495" w:type="pct"/>
          </w:tcPr>
          <w:p w14:paraId="0E0A0324" w14:textId="77777777" w:rsidR="000447ED" w:rsidRPr="005E3B43" w:rsidRDefault="000447ED" w:rsidP="00763BCF">
            <w:pPr>
              <w:pStyle w:val="ENoteTableText"/>
            </w:pPr>
          </w:p>
        </w:tc>
        <w:tc>
          <w:tcPr>
            <w:tcW w:w="3505" w:type="pct"/>
          </w:tcPr>
          <w:p w14:paraId="312726F0" w14:textId="77777777" w:rsidR="000447ED" w:rsidRPr="005E3B43" w:rsidRDefault="000447ED" w:rsidP="00763BCF">
            <w:pPr>
              <w:pStyle w:val="ENoteTableText"/>
            </w:pPr>
            <w:r w:rsidRPr="005E3B43">
              <w:t>am 2011 No</w:t>
            </w:r>
            <w:r w:rsidR="004E6D00" w:rsidRPr="005E3B43">
              <w:t> </w:t>
            </w:r>
            <w:r w:rsidRPr="005E3B43">
              <w:t>30</w:t>
            </w:r>
            <w:r w:rsidR="00F6406F" w:rsidRPr="005E3B43">
              <w:t>; F2024L00839</w:t>
            </w:r>
          </w:p>
        </w:tc>
      </w:tr>
      <w:tr w:rsidR="000447ED" w:rsidRPr="005E3B43" w14:paraId="13F38432" w14:textId="77777777" w:rsidTr="00034EA9">
        <w:trPr>
          <w:cantSplit/>
        </w:trPr>
        <w:tc>
          <w:tcPr>
            <w:tcW w:w="1495" w:type="pct"/>
          </w:tcPr>
          <w:p w14:paraId="130527F1" w14:textId="77777777" w:rsidR="000447ED" w:rsidRPr="005E3B43" w:rsidRDefault="000447ED" w:rsidP="00763BCF">
            <w:pPr>
              <w:pStyle w:val="ENoteTableText"/>
              <w:tabs>
                <w:tab w:val="center" w:leader="dot" w:pos="2268"/>
              </w:tabs>
            </w:pPr>
            <w:r w:rsidRPr="005E3B43">
              <w:lastRenderedPageBreak/>
              <w:t>r. 47AA</w:t>
            </w:r>
            <w:r w:rsidRPr="005E3B43">
              <w:tab/>
            </w:r>
          </w:p>
        </w:tc>
        <w:tc>
          <w:tcPr>
            <w:tcW w:w="3505" w:type="pct"/>
          </w:tcPr>
          <w:p w14:paraId="47DA120E" w14:textId="77777777" w:rsidR="000447ED" w:rsidRPr="005E3B43" w:rsidRDefault="000447ED" w:rsidP="00763BCF">
            <w:pPr>
              <w:pStyle w:val="ENoteTableText"/>
            </w:pPr>
            <w:r w:rsidRPr="005E3B43">
              <w:t>ad. 2000 No.</w:t>
            </w:r>
            <w:r w:rsidR="004E6D00" w:rsidRPr="005E3B43">
              <w:t> </w:t>
            </w:r>
            <w:r w:rsidRPr="005E3B43">
              <w:t>358</w:t>
            </w:r>
          </w:p>
        </w:tc>
      </w:tr>
      <w:tr w:rsidR="000447ED" w:rsidRPr="005E3B43" w14:paraId="46C937E6" w14:textId="77777777" w:rsidTr="00034EA9">
        <w:trPr>
          <w:cantSplit/>
        </w:trPr>
        <w:tc>
          <w:tcPr>
            <w:tcW w:w="1495" w:type="pct"/>
          </w:tcPr>
          <w:p w14:paraId="0023353B" w14:textId="77777777" w:rsidR="000447ED" w:rsidRPr="005E3B43" w:rsidRDefault="000447ED" w:rsidP="00763BCF">
            <w:pPr>
              <w:pStyle w:val="ENoteTableText"/>
            </w:pPr>
          </w:p>
        </w:tc>
        <w:tc>
          <w:tcPr>
            <w:tcW w:w="3505" w:type="pct"/>
          </w:tcPr>
          <w:p w14:paraId="61BDBB59" w14:textId="77777777" w:rsidR="000447ED" w:rsidRPr="005E3B43" w:rsidRDefault="000447ED" w:rsidP="00763BCF">
            <w:pPr>
              <w:pStyle w:val="ENoteTableText"/>
            </w:pPr>
            <w:r w:rsidRPr="005E3B43">
              <w:t>rep. 2003 No.</w:t>
            </w:r>
            <w:r w:rsidR="004E6D00" w:rsidRPr="005E3B43">
              <w:t> </w:t>
            </w:r>
            <w:r w:rsidRPr="005E3B43">
              <w:t>361</w:t>
            </w:r>
          </w:p>
        </w:tc>
      </w:tr>
      <w:tr w:rsidR="000447ED" w:rsidRPr="005E3B43" w14:paraId="0EE80562" w14:textId="77777777" w:rsidTr="00034EA9">
        <w:trPr>
          <w:cantSplit/>
        </w:trPr>
        <w:tc>
          <w:tcPr>
            <w:tcW w:w="1495" w:type="pct"/>
          </w:tcPr>
          <w:p w14:paraId="3072505E" w14:textId="77777777" w:rsidR="000447ED" w:rsidRPr="005E3B43" w:rsidRDefault="000447ED" w:rsidP="00763BCF">
            <w:pPr>
              <w:pStyle w:val="ENoteTableText"/>
            </w:pPr>
          </w:p>
        </w:tc>
        <w:tc>
          <w:tcPr>
            <w:tcW w:w="3505" w:type="pct"/>
          </w:tcPr>
          <w:p w14:paraId="2C81E983" w14:textId="77777777" w:rsidR="000447ED" w:rsidRPr="005E3B43" w:rsidRDefault="000447ED" w:rsidP="00763BCF">
            <w:pPr>
              <w:pStyle w:val="ENoteTableText"/>
            </w:pPr>
            <w:r w:rsidRPr="005E3B43">
              <w:t>rs. 2002 No.</w:t>
            </w:r>
            <w:r w:rsidR="004E6D00" w:rsidRPr="005E3B43">
              <w:t> </w:t>
            </w:r>
            <w:r w:rsidRPr="005E3B43">
              <w:t>234; 2011 No.</w:t>
            </w:r>
            <w:r w:rsidR="004E6D00" w:rsidRPr="005E3B43">
              <w:t> </w:t>
            </w:r>
            <w:r w:rsidRPr="005E3B43">
              <w:t>30</w:t>
            </w:r>
          </w:p>
        </w:tc>
      </w:tr>
      <w:tr w:rsidR="000447ED" w:rsidRPr="005E3B43" w14:paraId="3618B48D" w14:textId="77777777" w:rsidTr="00034EA9">
        <w:trPr>
          <w:cantSplit/>
        </w:trPr>
        <w:tc>
          <w:tcPr>
            <w:tcW w:w="1495" w:type="pct"/>
          </w:tcPr>
          <w:p w14:paraId="76233C51" w14:textId="77777777" w:rsidR="000447ED" w:rsidRPr="005E3B43" w:rsidRDefault="000447ED" w:rsidP="00763BCF">
            <w:pPr>
              <w:pStyle w:val="ENoteTableText"/>
              <w:tabs>
                <w:tab w:val="center" w:leader="dot" w:pos="2268"/>
              </w:tabs>
            </w:pPr>
            <w:r w:rsidRPr="005E3B43">
              <w:t>r 47B</w:t>
            </w:r>
            <w:r w:rsidRPr="005E3B43">
              <w:tab/>
            </w:r>
          </w:p>
        </w:tc>
        <w:tc>
          <w:tcPr>
            <w:tcW w:w="3505" w:type="pct"/>
          </w:tcPr>
          <w:p w14:paraId="40CDE6B6" w14:textId="77777777" w:rsidR="000447ED" w:rsidRPr="005E3B43" w:rsidRDefault="000447ED" w:rsidP="00763BCF">
            <w:pPr>
              <w:pStyle w:val="ENoteTableText"/>
            </w:pPr>
            <w:r w:rsidRPr="005E3B43">
              <w:t>ad 1991 No 485</w:t>
            </w:r>
          </w:p>
        </w:tc>
      </w:tr>
      <w:tr w:rsidR="000447ED" w:rsidRPr="005E3B43" w14:paraId="2BBA9B4E" w14:textId="77777777" w:rsidTr="00034EA9">
        <w:trPr>
          <w:cantSplit/>
        </w:trPr>
        <w:tc>
          <w:tcPr>
            <w:tcW w:w="1495" w:type="pct"/>
          </w:tcPr>
          <w:p w14:paraId="6CD3564B" w14:textId="77777777" w:rsidR="000447ED" w:rsidRPr="005E3B43" w:rsidRDefault="000447ED" w:rsidP="00763BCF">
            <w:pPr>
              <w:pStyle w:val="ENoteTableText"/>
            </w:pPr>
          </w:p>
        </w:tc>
        <w:tc>
          <w:tcPr>
            <w:tcW w:w="3505" w:type="pct"/>
          </w:tcPr>
          <w:p w14:paraId="02A2699F" w14:textId="77777777" w:rsidR="000447ED" w:rsidRPr="005E3B43" w:rsidRDefault="000447ED" w:rsidP="00763BCF">
            <w:pPr>
              <w:pStyle w:val="ENoteTableText"/>
            </w:pPr>
            <w:r w:rsidRPr="005E3B43">
              <w:t>am 1999 No 62</w:t>
            </w:r>
          </w:p>
        </w:tc>
      </w:tr>
      <w:tr w:rsidR="000447ED" w:rsidRPr="005E3B43" w14:paraId="73BCEB43" w14:textId="77777777" w:rsidTr="00034EA9">
        <w:trPr>
          <w:cantSplit/>
        </w:trPr>
        <w:tc>
          <w:tcPr>
            <w:tcW w:w="1495" w:type="pct"/>
          </w:tcPr>
          <w:p w14:paraId="30E4CF10" w14:textId="77777777" w:rsidR="000447ED" w:rsidRPr="005E3B43" w:rsidRDefault="000447ED" w:rsidP="00763BCF">
            <w:pPr>
              <w:pStyle w:val="ENoteTableText"/>
            </w:pPr>
          </w:p>
        </w:tc>
        <w:tc>
          <w:tcPr>
            <w:tcW w:w="3505" w:type="pct"/>
          </w:tcPr>
          <w:p w14:paraId="54E86D7B" w14:textId="77777777" w:rsidR="000447ED" w:rsidRPr="005E3B43" w:rsidRDefault="000447ED" w:rsidP="00763BCF">
            <w:pPr>
              <w:pStyle w:val="ENoteTableText"/>
            </w:pPr>
            <w:r w:rsidRPr="005E3B43">
              <w:t>rs 2000 No 358</w:t>
            </w:r>
          </w:p>
        </w:tc>
      </w:tr>
      <w:tr w:rsidR="000447ED" w:rsidRPr="005E3B43" w14:paraId="7F410D93" w14:textId="77777777" w:rsidTr="00034EA9">
        <w:trPr>
          <w:cantSplit/>
        </w:trPr>
        <w:tc>
          <w:tcPr>
            <w:tcW w:w="1495" w:type="pct"/>
          </w:tcPr>
          <w:p w14:paraId="319A528A" w14:textId="77777777" w:rsidR="000447ED" w:rsidRPr="005E3B43" w:rsidRDefault="000447ED" w:rsidP="00763BCF">
            <w:pPr>
              <w:pStyle w:val="ENoteTableText"/>
            </w:pPr>
          </w:p>
        </w:tc>
        <w:tc>
          <w:tcPr>
            <w:tcW w:w="3505" w:type="pct"/>
          </w:tcPr>
          <w:p w14:paraId="085D52E0" w14:textId="77777777" w:rsidR="000447ED" w:rsidRPr="005E3B43" w:rsidRDefault="000447ED" w:rsidP="00763BCF">
            <w:pPr>
              <w:pStyle w:val="ENoteTableText"/>
            </w:pPr>
            <w:r w:rsidRPr="005E3B43">
              <w:t>am 2002 No 234; 2011 No 30; F2016L00109; F2017L00853</w:t>
            </w:r>
          </w:p>
        </w:tc>
      </w:tr>
      <w:tr w:rsidR="00F6406F" w:rsidRPr="005E3B43" w14:paraId="63AC625B" w14:textId="77777777" w:rsidTr="00034EA9">
        <w:trPr>
          <w:cantSplit/>
        </w:trPr>
        <w:tc>
          <w:tcPr>
            <w:tcW w:w="1495" w:type="pct"/>
          </w:tcPr>
          <w:p w14:paraId="7DB2B510" w14:textId="77777777" w:rsidR="00F6406F" w:rsidRPr="005E3B43" w:rsidRDefault="00F6406F" w:rsidP="00A17C43">
            <w:pPr>
              <w:pStyle w:val="ENoteTableText"/>
              <w:tabs>
                <w:tab w:val="center" w:leader="dot" w:pos="2268"/>
              </w:tabs>
            </w:pPr>
            <w:r w:rsidRPr="005E3B43">
              <w:t>r 47C</w:t>
            </w:r>
            <w:r w:rsidRPr="005E3B43">
              <w:tab/>
            </w:r>
          </w:p>
        </w:tc>
        <w:tc>
          <w:tcPr>
            <w:tcW w:w="3505" w:type="pct"/>
          </w:tcPr>
          <w:p w14:paraId="4BD91FF9" w14:textId="77777777" w:rsidR="00F6406F" w:rsidRPr="005E3B43" w:rsidRDefault="00F6406F" w:rsidP="00763BCF">
            <w:pPr>
              <w:pStyle w:val="ENoteTableText"/>
            </w:pPr>
            <w:r w:rsidRPr="005E3B43">
              <w:t>ad F2024L00839</w:t>
            </w:r>
          </w:p>
        </w:tc>
      </w:tr>
      <w:tr w:rsidR="000447ED" w:rsidRPr="005E3B43" w14:paraId="420D007B" w14:textId="77777777" w:rsidTr="00034EA9">
        <w:trPr>
          <w:cantSplit/>
        </w:trPr>
        <w:tc>
          <w:tcPr>
            <w:tcW w:w="1495" w:type="pct"/>
          </w:tcPr>
          <w:p w14:paraId="67462129" w14:textId="77777777" w:rsidR="000447ED" w:rsidRPr="005E3B43" w:rsidRDefault="000447ED" w:rsidP="00763BCF">
            <w:pPr>
              <w:pStyle w:val="ENoteTableText"/>
              <w:tabs>
                <w:tab w:val="center" w:leader="dot" w:pos="2268"/>
              </w:tabs>
            </w:pPr>
            <w:r w:rsidRPr="005E3B43">
              <w:t>r 48</w:t>
            </w:r>
            <w:r w:rsidRPr="005E3B43">
              <w:tab/>
            </w:r>
          </w:p>
        </w:tc>
        <w:tc>
          <w:tcPr>
            <w:tcW w:w="3505" w:type="pct"/>
          </w:tcPr>
          <w:p w14:paraId="08731583" w14:textId="4EC06111" w:rsidR="000447ED" w:rsidRPr="005E3B43" w:rsidRDefault="000447ED" w:rsidP="00763BCF">
            <w:pPr>
              <w:pStyle w:val="ENoteTableText"/>
              <w:rPr>
                <w:u w:val="single"/>
              </w:rPr>
            </w:pPr>
            <w:r w:rsidRPr="005E3B43">
              <w:t>am No 84</w:t>
            </w:r>
            <w:r w:rsidR="009C37BA" w:rsidRPr="005E3B43">
              <w:t>, 1991</w:t>
            </w:r>
            <w:r w:rsidRPr="005E3B43">
              <w:t>; No 332</w:t>
            </w:r>
            <w:r w:rsidR="009C37BA" w:rsidRPr="005E3B43">
              <w:t>, 1992; No</w:t>
            </w:r>
            <w:r w:rsidRPr="005E3B43">
              <w:t xml:space="preserve"> 430</w:t>
            </w:r>
            <w:r w:rsidR="009C37BA" w:rsidRPr="005E3B43">
              <w:t>, 199</w:t>
            </w:r>
            <w:r w:rsidR="00CE7A9C" w:rsidRPr="005E3B43">
              <w:t>2</w:t>
            </w:r>
            <w:r w:rsidRPr="005E3B43">
              <w:t>; No 192</w:t>
            </w:r>
            <w:r w:rsidR="009C37BA" w:rsidRPr="005E3B43">
              <w:t>, 1995</w:t>
            </w:r>
            <w:r w:rsidRPr="005E3B43">
              <w:t>; No 399</w:t>
            </w:r>
            <w:r w:rsidR="009C37BA" w:rsidRPr="005E3B43">
              <w:t>, 1997</w:t>
            </w:r>
            <w:r w:rsidRPr="005E3B43">
              <w:t>; No 48</w:t>
            </w:r>
            <w:r w:rsidR="009C37BA" w:rsidRPr="005E3B43">
              <w:t>, 2000</w:t>
            </w:r>
            <w:r w:rsidRPr="005E3B43">
              <w:t>; No 234</w:t>
            </w:r>
            <w:r w:rsidR="009C37BA" w:rsidRPr="005E3B43">
              <w:t>, 2002</w:t>
            </w:r>
            <w:r w:rsidRPr="005E3B43">
              <w:t>; No 301</w:t>
            </w:r>
            <w:r w:rsidR="009C37BA" w:rsidRPr="005E3B43">
              <w:t>, 2003</w:t>
            </w:r>
            <w:r w:rsidRPr="005E3B43">
              <w:t>; No 30</w:t>
            </w:r>
            <w:r w:rsidR="009C37BA" w:rsidRPr="005E3B43">
              <w:t>, 2011</w:t>
            </w:r>
            <w:r w:rsidRPr="005E3B43">
              <w:t>; No 75, 2015; F2016L00109; F2017L00853; F2018L00311</w:t>
            </w:r>
            <w:r w:rsidR="001F41DB" w:rsidRPr="005E3B43">
              <w:t>; F2020L00946</w:t>
            </w:r>
            <w:r w:rsidR="00141B7F" w:rsidRPr="005E3B43">
              <w:t>; F2022L00243</w:t>
            </w:r>
            <w:r w:rsidR="007F5E99" w:rsidRPr="005E3B43">
              <w:t>; F2022L01300</w:t>
            </w:r>
            <w:r w:rsidR="00AF409A" w:rsidRPr="005E3B43">
              <w:t>; F2023L00769</w:t>
            </w:r>
            <w:r w:rsidR="00F21D2B" w:rsidRPr="005E3B43">
              <w:t>; F2023L01667</w:t>
            </w:r>
            <w:r w:rsidR="00DE141D" w:rsidRPr="005E3B43">
              <w:t>; F2024L00686</w:t>
            </w:r>
            <w:r w:rsidR="008C1964">
              <w:t xml:space="preserve">; </w:t>
            </w:r>
            <w:r w:rsidR="008C1964" w:rsidRPr="00AB74D4">
              <w:t>F2024L01299</w:t>
            </w:r>
            <w:r w:rsidR="00CC7E43">
              <w:t xml:space="preserve">; </w:t>
            </w:r>
            <w:r w:rsidR="00CC7E43" w:rsidRPr="00CC7E43">
              <w:t>F2024L01673</w:t>
            </w:r>
          </w:p>
        </w:tc>
      </w:tr>
      <w:tr w:rsidR="000447ED" w:rsidRPr="005E3B43" w14:paraId="271DDE1E" w14:textId="77777777" w:rsidTr="00034EA9">
        <w:trPr>
          <w:cantSplit/>
        </w:trPr>
        <w:tc>
          <w:tcPr>
            <w:tcW w:w="1495" w:type="pct"/>
          </w:tcPr>
          <w:p w14:paraId="07D849E0" w14:textId="77777777" w:rsidR="000447ED" w:rsidRPr="005E3B43" w:rsidRDefault="000447ED" w:rsidP="00ED0193">
            <w:pPr>
              <w:pStyle w:val="ENoteTableText"/>
              <w:keepNext/>
            </w:pPr>
            <w:r w:rsidRPr="005E3B43">
              <w:rPr>
                <w:b/>
              </w:rPr>
              <w:t>Part</w:t>
            </w:r>
            <w:r w:rsidR="004E6D00" w:rsidRPr="005E3B43">
              <w:rPr>
                <w:b/>
              </w:rPr>
              <w:t> </w:t>
            </w:r>
            <w:r w:rsidRPr="005E3B43">
              <w:rPr>
                <w:b/>
              </w:rPr>
              <w:t>9</w:t>
            </w:r>
          </w:p>
        </w:tc>
        <w:tc>
          <w:tcPr>
            <w:tcW w:w="3505" w:type="pct"/>
          </w:tcPr>
          <w:p w14:paraId="0F96CC07" w14:textId="77777777" w:rsidR="000447ED" w:rsidRPr="005E3B43" w:rsidRDefault="000447ED" w:rsidP="00ED0193">
            <w:pPr>
              <w:pStyle w:val="ENoteTableText"/>
              <w:keepNext/>
            </w:pPr>
          </w:p>
        </w:tc>
      </w:tr>
      <w:tr w:rsidR="000447ED" w:rsidRPr="005E3B43" w14:paraId="5E1E3560" w14:textId="77777777" w:rsidTr="00034EA9">
        <w:trPr>
          <w:cantSplit/>
        </w:trPr>
        <w:tc>
          <w:tcPr>
            <w:tcW w:w="1495" w:type="pct"/>
          </w:tcPr>
          <w:p w14:paraId="3FDEF9DE" w14:textId="77777777" w:rsidR="000447ED" w:rsidRPr="005E3B43" w:rsidRDefault="000447ED" w:rsidP="00763BCF">
            <w:pPr>
              <w:pStyle w:val="ENoteTableText"/>
              <w:tabs>
                <w:tab w:val="center" w:leader="dot" w:pos="2268"/>
              </w:tabs>
            </w:pPr>
            <w:r w:rsidRPr="005E3B43">
              <w:t>Part</w:t>
            </w:r>
            <w:r w:rsidR="004E6D00" w:rsidRPr="005E3B43">
              <w:t> </w:t>
            </w:r>
            <w:r w:rsidRPr="005E3B43">
              <w:t>9</w:t>
            </w:r>
            <w:r w:rsidRPr="005E3B43">
              <w:tab/>
            </w:r>
          </w:p>
        </w:tc>
        <w:tc>
          <w:tcPr>
            <w:tcW w:w="3505" w:type="pct"/>
          </w:tcPr>
          <w:p w14:paraId="682492BC" w14:textId="77777777" w:rsidR="000447ED" w:rsidRPr="005E3B43" w:rsidRDefault="000447ED" w:rsidP="00763BCF">
            <w:pPr>
              <w:pStyle w:val="ENoteTableText"/>
            </w:pPr>
            <w:r w:rsidRPr="005E3B43">
              <w:t>ad. 2012 No.</w:t>
            </w:r>
            <w:r w:rsidR="004E6D00" w:rsidRPr="005E3B43">
              <w:t> </w:t>
            </w:r>
            <w:r w:rsidRPr="005E3B43">
              <w:t>251</w:t>
            </w:r>
          </w:p>
        </w:tc>
      </w:tr>
      <w:tr w:rsidR="000447ED" w:rsidRPr="005E3B43" w14:paraId="015F9910" w14:textId="77777777" w:rsidTr="00034EA9">
        <w:trPr>
          <w:cantSplit/>
        </w:trPr>
        <w:tc>
          <w:tcPr>
            <w:tcW w:w="1495" w:type="pct"/>
          </w:tcPr>
          <w:p w14:paraId="47F2801D" w14:textId="77777777" w:rsidR="000447ED" w:rsidRPr="005E3B43" w:rsidRDefault="003C0723" w:rsidP="00763BCF">
            <w:pPr>
              <w:pStyle w:val="ENoteTableText"/>
              <w:tabs>
                <w:tab w:val="center" w:leader="dot" w:pos="2268"/>
              </w:tabs>
              <w:rPr>
                <w:b/>
              </w:rPr>
            </w:pPr>
            <w:r w:rsidRPr="005E3B43">
              <w:rPr>
                <w:b/>
              </w:rPr>
              <w:t>Division 1</w:t>
            </w:r>
          </w:p>
        </w:tc>
        <w:tc>
          <w:tcPr>
            <w:tcW w:w="3505" w:type="pct"/>
          </w:tcPr>
          <w:p w14:paraId="3D29A304" w14:textId="77777777" w:rsidR="000447ED" w:rsidRPr="005E3B43" w:rsidRDefault="000447ED" w:rsidP="00763BCF">
            <w:pPr>
              <w:pStyle w:val="ENoteTableText"/>
            </w:pPr>
          </w:p>
        </w:tc>
      </w:tr>
      <w:tr w:rsidR="000447ED" w:rsidRPr="005E3B43" w14:paraId="035723E6" w14:textId="77777777" w:rsidTr="00034EA9">
        <w:trPr>
          <w:cantSplit/>
        </w:trPr>
        <w:tc>
          <w:tcPr>
            <w:tcW w:w="1495" w:type="pct"/>
          </w:tcPr>
          <w:p w14:paraId="4B7FAEAA" w14:textId="77777777" w:rsidR="000447ED" w:rsidRPr="005E3B43" w:rsidRDefault="003C0723" w:rsidP="00763BCF">
            <w:pPr>
              <w:pStyle w:val="ENoteTableText"/>
              <w:tabs>
                <w:tab w:val="center" w:leader="dot" w:pos="2268"/>
              </w:tabs>
            </w:pPr>
            <w:r w:rsidRPr="005E3B43">
              <w:t>Division 1</w:t>
            </w:r>
            <w:r w:rsidR="000447ED" w:rsidRPr="005E3B43">
              <w:tab/>
            </w:r>
          </w:p>
        </w:tc>
        <w:tc>
          <w:tcPr>
            <w:tcW w:w="3505" w:type="pct"/>
          </w:tcPr>
          <w:p w14:paraId="7C5C7DE8" w14:textId="77777777" w:rsidR="000447ED" w:rsidRPr="005E3B43" w:rsidRDefault="000447ED" w:rsidP="00763BCF">
            <w:pPr>
              <w:pStyle w:val="ENoteTableText"/>
            </w:pPr>
            <w:r w:rsidRPr="005E3B43">
              <w:t>ad No 63, 2014</w:t>
            </w:r>
          </w:p>
        </w:tc>
      </w:tr>
      <w:tr w:rsidR="000447ED" w:rsidRPr="005E3B43" w14:paraId="17BC4EF6" w14:textId="77777777" w:rsidTr="00034EA9">
        <w:trPr>
          <w:cantSplit/>
        </w:trPr>
        <w:tc>
          <w:tcPr>
            <w:tcW w:w="1495" w:type="pct"/>
          </w:tcPr>
          <w:p w14:paraId="4108D059" w14:textId="77777777" w:rsidR="000447ED" w:rsidRPr="005E3B43" w:rsidRDefault="000447ED" w:rsidP="00763BCF">
            <w:pPr>
              <w:pStyle w:val="ENoteTableText"/>
              <w:tabs>
                <w:tab w:val="center" w:leader="dot" w:pos="2268"/>
              </w:tabs>
            </w:pPr>
            <w:r w:rsidRPr="005E3B43">
              <w:t>r 48A</w:t>
            </w:r>
            <w:r w:rsidRPr="005E3B43">
              <w:tab/>
            </w:r>
          </w:p>
        </w:tc>
        <w:tc>
          <w:tcPr>
            <w:tcW w:w="3505" w:type="pct"/>
          </w:tcPr>
          <w:p w14:paraId="0A2DBD1A" w14:textId="77777777" w:rsidR="000447ED" w:rsidRPr="005E3B43" w:rsidRDefault="000447ED" w:rsidP="00763BCF">
            <w:pPr>
              <w:pStyle w:val="ENoteTableText"/>
            </w:pPr>
            <w:r w:rsidRPr="005E3B43">
              <w:t>ad No 63, 2014</w:t>
            </w:r>
          </w:p>
        </w:tc>
      </w:tr>
      <w:tr w:rsidR="000447ED" w:rsidRPr="005E3B43" w14:paraId="03BD687F" w14:textId="77777777" w:rsidTr="00034EA9">
        <w:trPr>
          <w:cantSplit/>
        </w:trPr>
        <w:tc>
          <w:tcPr>
            <w:tcW w:w="1495" w:type="pct"/>
          </w:tcPr>
          <w:p w14:paraId="2E2DF5E8" w14:textId="77777777" w:rsidR="000447ED" w:rsidRPr="005E3B43" w:rsidRDefault="000447ED" w:rsidP="00763BCF">
            <w:pPr>
              <w:pStyle w:val="ENoteTableText"/>
              <w:tabs>
                <w:tab w:val="center" w:leader="dot" w:pos="2268"/>
              </w:tabs>
            </w:pPr>
            <w:r w:rsidRPr="005E3B43">
              <w:t>r 48B</w:t>
            </w:r>
            <w:r w:rsidRPr="005E3B43">
              <w:tab/>
            </w:r>
          </w:p>
        </w:tc>
        <w:tc>
          <w:tcPr>
            <w:tcW w:w="3505" w:type="pct"/>
          </w:tcPr>
          <w:p w14:paraId="343F8426" w14:textId="77777777" w:rsidR="000447ED" w:rsidRPr="005E3B43" w:rsidRDefault="000447ED" w:rsidP="00763BCF">
            <w:pPr>
              <w:pStyle w:val="ENoteTableText"/>
            </w:pPr>
            <w:r w:rsidRPr="005E3B43">
              <w:t>ad No 63, 2014</w:t>
            </w:r>
          </w:p>
        </w:tc>
      </w:tr>
      <w:tr w:rsidR="000447ED" w:rsidRPr="005E3B43" w14:paraId="6A7BD32A" w14:textId="77777777" w:rsidTr="00034EA9">
        <w:trPr>
          <w:cantSplit/>
        </w:trPr>
        <w:tc>
          <w:tcPr>
            <w:tcW w:w="1495" w:type="pct"/>
          </w:tcPr>
          <w:p w14:paraId="145E7694" w14:textId="0ABC19C3" w:rsidR="000447ED" w:rsidRPr="005E3B43" w:rsidRDefault="007C3215" w:rsidP="00763BCF">
            <w:pPr>
              <w:pStyle w:val="ENoteTableText"/>
              <w:tabs>
                <w:tab w:val="center" w:leader="dot" w:pos="2268"/>
              </w:tabs>
              <w:rPr>
                <w:b/>
              </w:rPr>
            </w:pPr>
            <w:r>
              <w:rPr>
                <w:b/>
              </w:rPr>
              <w:t>Division 2</w:t>
            </w:r>
          </w:p>
        </w:tc>
        <w:tc>
          <w:tcPr>
            <w:tcW w:w="3505" w:type="pct"/>
          </w:tcPr>
          <w:p w14:paraId="06F7C637" w14:textId="77777777" w:rsidR="000447ED" w:rsidRPr="005E3B43" w:rsidRDefault="000447ED" w:rsidP="00763BCF">
            <w:pPr>
              <w:pStyle w:val="ENoteTableText"/>
            </w:pPr>
          </w:p>
        </w:tc>
      </w:tr>
      <w:tr w:rsidR="000447ED" w:rsidRPr="005E3B43" w14:paraId="3DB79FA2" w14:textId="77777777" w:rsidTr="00034EA9">
        <w:trPr>
          <w:cantSplit/>
        </w:trPr>
        <w:tc>
          <w:tcPr>
            <w:tcW w:w="1495" w:type="pct"/>
          </w:tcPr>
          <w:p w14:paraId="2B60F263" w14:textId="286E9058" w:rsidR="000447ED" w:rsidRPr="005E3B43" w:rsidRDefault="007C3215" w:rsidP="00763BCF">
            <w:pPr>
              <w:pStyle w:val="ENoteTableText"/>
              <w:tabs>
                <w:tab w:val="center" w:leader="dot" w:pos="2268"/>
              </w:tabs>
            </w:pPr>
            <w:r>
              <w:t>Division 2</w:t>
            </w:r>
            <w:r w:rsidR="000447ED" w:rsidRPr="005E3B43">
              <w:t xml:space="preserve"> heading</w:t>
            </w:r>
            <w:r w:rsidR="000447ED" w:rsidRPr="005E3B43">
              <w:tab/>
            </w:r>
          </w:p>
        </w:tc>
        <w:tc>
          <w:tcPr>
            <w:tcW w:w="3505" w:type="pct"/>
          </w:tcPr>
          <w:p w14:paraId="413F8AAB" w14:textId="77777777" w:rsidR="000447ED" w:rsidRPr="005E3B43" w:rsidRDefault="000447ED" w:rsidP="00763BCF">
            <w:pPr>
              <w:pStyle w:val="ENoteTableText"/>
            </w:pPr>
            <w:r w:rsidRPr="005E3B43">
              <w:t>ad No 63, 2014</w:t>
            </w:r>
          </w:p>
        </w:tc>
      </w:tr>
      <w:tr w:rsidR="000447ED" w:rsidRPr="005E3B43" w14:paraId="31F8D157" w14:textId="77777777" w:rsidTr="00034EA9">
        <w:trPr>
          <w:cantSplit/>
        </w:trPr>
        <w:tc>
          <w:tcPr>
            <w:tcW w:w="1495" w:type="pct"/>
          </w:tcPr>
          <w:p w14:paraId="4873D7B4" w14:textId="77777777" w:rsidR="000447ED" w:rsidRPr="005E3B43" w:rsidRDefault="000447ED" w:rsidP="00763BCF">
            <w:pPr>
              <w:pStyle w:val="ENoteTableText"/>
              <w:tabs>
                <w:tab w:val="center" w:leader="dot" w:pos="2268"/>
              </w:tabs>
            </w:pPr>
            <w:r w:rsidRPr="005E3B43">
              <w:t>r 49</w:t>
            </w:r>
            <w:r w:rsidRPr="005E3B43">
              <w:tab/>
            </w:r>
          </w:p>
        </w:tc>
        <w:tc>
          <w:tcPr>
            <w:tcW w:w="3505" w:type="pct"/>
          </w:tcPr>
          <w:p w14:paraId="1F26E3AB" w14:textId="77777777" w:rsidR="000447ED" w:rsidRPr="005E3B43" w:rsidRDefault="000447ED" w:rsidP="00763BCF">
            <w:pPr>
              <w:pStyle w:val="ENoteTableText"/>
            </w:pPr>
            <w:r w:rsidRPr="005E3B43">
              <w:t>ad 2012 No</w:t>
            </w:r>
            <w:r w:rsidR="004E6D00" w:rsidRPr="005E3B43">
              <w:t> </w:t>
            </w:r>
            <w:r w:rsidRPr="005E3B43">
              <w:t>251</w:t>
            </w:r>
          </w:p>
        </w:tc>
      </w:tr>
      <w:tr w:rsidR="000447ED" w:rsidRPr="005E3B43" w14:paraId="7F3FEAD5" w14:textId="77777777" w:rsidTr="00034EA9">
        <w:trPr>
          <w:cantSplit/>
        </w:trPr>
        <w:tc>
          <w:tcPr>
            <w:tcW w:w="1495" w:type="pct"/>
          </w:tcPr>
          <w:p w14:paraId="3183D59E" w14:textId="77777777" w:rsidR="000447ED" w:rsidRPr="005E3B43" w:rsidRDefault="000447ED" w:rsidP="00763BCF">
            <w:pPr>
              <w:pStyle w:val="ENoteTableText"/>
              <w:tabs>
                <w:tab w:val="center" w:leader="dot" w:pos="2268"/>
              </w:tabs>
            </w:pPr>
          </w:p>
        </w:tc>
        <w:tc>
          <w:tcPr>
            <w:tcW w:w="3505" w:type="pct"/>
          </w:tcPr>
          <w:p w14:paraId="29A6CE2A" w14:textId="77777777" w:rsidR="000447ED" w:rsidRPr="005E3B43" w:rsidRDefault="000447ED" w:rsidP="00763BCF">
            <w:pPr>
              <w:pStyle w:val="ENoteTableText"/>
            </w:pPr>
            <w:r w:rsidRPr="005E3B43">
              <w:t>am No 63, 2014</w:t>
            </w:r>
            <w:r w:rsidR="00B110CA" w:rsidRPr="005E3B43">
              <w:t>; F2023L01558</w:t>
            </w:r>
          </w:p>
        </w:tc>
      </w:tr>
      <w:tr w:rsidR="000447ED" w:rsidRPr="005E3B43" w14:paraId="24868EF6" w14:textId="77777777" w:rsidTr="00034EA9">
        <w:trPr>
          <w:cantSplit/>
        </w:trPr>
        <w:tc>
          <w:tcPr>
            <w:tcW w:w="1495" w:type="pct"/>
          </w:tcPr>
          <w:p w14:paraId="5220FBD1" w14:textId="77777777" w:rsidR="000447ED" w:rsidRPr="005E3B43" w:rsidRDefault="00BE7FAC" w:rsidP="00763BCF">
            <w:pPr>
              <w:pStyle w:val="ENoteTableText"/>
              <w:tabs>
                <w:tab w:val="center" w:leader="dot" w:pos="2268"/>
              </w:tabs>
            </w:pPr>
            <w:r w:rsidRPr="005E3B43">
              <w:rPr>
                <w:b/>
              </w:rPr>
              <w:t>Division 3</w:t>
            </w:r>
          </w:p>
        </w:tc>
        <w:tc>
          <w:tcPr>
            <w:tcW w:w="3505" w:type="pct"/>
          </w:tcPr>
          <w:p w14:paraId="5669664D" w14:textId="77777777" w:rsidR="000447ED" w:rsidRPr="005E3B43" w:rsidRDefault="000447ED" w:rsidP="00763BCF">
            <w:pPr>
              <w:pStyle w:val="ENoteTableText"/>
            </w:pPr>
          </w:p>
        </w:tc>
      </w:tr>
      <w:tr w:rsidR="000447ED" w:rsidRPr="005E3B43" w14:paraId="271DD38A" w14:textId="77777777" w:rsidTr="00034EA9">
        <w:trPr>
          <w:cantSplit/>
        </w:trPr>
        <w:tc>
          <w:tcPr>
            <w:tcW w:w="1495" w:type="pct"/>
          </w:tcPr>
          <w:p w14:paraId="592737ED" w14:textId="77777777" w:rsidR="000447ED" w:rsidRPr="005E3B43" w:rsidRDefault="00BE7FAC" w:rsidP="00763BCF">
            <w:pPr>
              <w:pStyle w:val="ENoteTableText"/>
              <w:tabs>
                <w:tab w:val="center" w:leader="dot" w:pos="2268"/>
              </w:tabs>
            </w:pPr>
            <w:r w:rsidRPr="005E3B43">
              <w:t>Division 3</w:t>
            </w:r>
            <w:r w:rsidR="000447ED" w:rsidRPr="005E3B43">
              <w:tab/>
            </w:r>
          </w:p>
        </w:tc>
        <w:tc>
          <w:tcPr>
            <w:tcW w:w="3505" w:type="pct"/>
          </w:tcPr>
          <w:p w14:paraId="509960A7" w14:textId="77777777" w:rsidR="000447ED" w:rsidRPr="005E3B43" w:rsidRDefault="000447ED" w:rsidP="00763BCF">
            <w:pPr>
              <w:pStyle w:val="ENoteTableText"/>
            </w:pPr>
            <w:r w:rsidRPr="005E3B43">
              <w:t>ad No 214, 2015</w:t>
            </w:r>
          </w:p>
        </w:tc>
      </w:tr>
      <w:tr w:rsidR="000447ED" w:rsidRPr="005E3B43" w14:paraId="610521A4" w14:textId="77777777" w:rsidTr="00034EA9">
        <w:trPr>
          <w:cantSplit/>
        </w:trPr>
        <w:tc>
          <w:tcPr>
            <w:tcW w:w="1495" w:type="pct"/>
          </w:tcPr>
          <w:p w14:paraId="3E492C0D" w14:textId="77777777" w:rsidR="000447ED" w:rsidRPr="005E3B43" w:rsidRDefault="000447ED" w:rsidP="00763BCF">
            <w:pPr>
              <w:pStyle w:val="ENoteTableText"/>
              <w:tabs>
                <w:tab w:val="center" w:leader="dot" w:pos="2268"/>
              </w:tabs>
            </w:pPr>
            <w:r w:rsidRPr="005E3B43">
              <w:t>r 50</w:t>
            </w:r>
            <w:r w:rsidRPr="005E3B43">
              <w:tab/>
            </w:r>
          </w:p>
        </w:tc>
        <w:tc>
          <w:tcPr>
            <w:tcW w:w="3505" w:type="pct"/>
          </w:tcPr>
          <w:p w14:paraId="182BBD2D" w14:textId="77777777" w:rsidR="000447ED" w:rsidRPr="005E3B43" w:rsidRDefault="000447ED" w:rsidP="00763BCF">
            <w:pPr>
              <w:pStyle w:val="ENoteTableText"/>
            </w:pPr>
            <w:r w:rsidRPr="005E3B43">
              <w:t>ad No 214, 2015</w:t>
            </w:r>
          </w:p>
        </w:tc>
      </w:tr>
      <w:tr w:rsidR="000447ED" w:rsidRPr="005E3B43" w14:paraId="64451C2C" w14:textId="77777777" w:rsidTr="00034EA9">
        <w:trPr>
          <w:cantSplit/>
        </w:trPr>
        <w:tc>
          <w:tcPr>
            <w:tcW w:w="1495" w:type="pct"/>
          </w:tcPr>
          <w:p w14:paraId="1CE8768F" w14:textId="77777777" w:rsidR="000447ED" w:rsidRPr="005E3B43" w:rsidRDefault="00BE7FAC" w:rsidP="00763BCF">
            <w:pPr>
              <w:pStyle w:val="ENoteTableText"/>
              <w:tabs>
                <w:tab w:val="center" w:leader="dot" w:pos="2268"/>
              </w:tabs>
              <w:rPr>
                <w:b/>
              </w:rPr>
            </w:pPr>
            <w:r w:rsidRPr="005E3B43">
              <w:rPr>
                <w:b/>
              </w:rPr>
              <w:t>Division 4</w:t>
            </w:r>
          </w:p>
        </w:tc>
        <w:tc>
          <w:tcPr>
            <w:tcW w:w="3505" w:type="pct"/>
          </w:tcPr>
          <w:p w14:paraId="1D190798" w14:textId="77777777" w:rsidR="000447ED" w:rsidRPr="005E3B43" w:rsidRDefault="000447ED" w:rsidP="00763BCF">
            <w:pPr>
              <w:pStyle w:val="ENoteTableText"/>
            </w:pPr>
          </w:p>
        </w:tc>
      </w:tr>
      <w:tr w:rsidR="000447ED" w:rsidRPr="005E3B43" w14:paraId="1F1D64E9" w14:textId="77777777" w:rsidTr="00034EA9">
        <w:trPr>
          <w:cantSplit/>
        </w:trPr>
        <w:tc>
          <w:tcPr>
            <w:tcW w:w="1495" w:type="pct"/>
          </w:tcPr>
          <w:p w14:paraId="4A56A88A" w14:textId="77777777" w:rsidR="000447ED" w:rsidRPr="005E3B43" w:rsidRDefault="00BE7FAC" w:rsidP="00763BCF">
            <w:pPr>
              <w:pStyle w:val="ENoteTableText"/>
              <w:tabs>
                <w:tab w:val="center" w:leader="dot" w:pos="2268"/>
              </w:tabs>
            </w:pPr>
            <w:r w:rsidRPr="005E3B43">
              <w:t>Division 4</w:t>
            </w:r>
            <w:r w:rsidR="000447ED" w:rsidRPr="005E3B43">
              <w:tab/>
            </w:r>
          </w:p>
        </w:tc>
        <w:tc>
          <w:tcPr>
            <w:tcW w:w="3505" w:type="pct"/>
          </w:tcPr>
          <w:p w14:paraId="798C86D4" w14:textId="77777777" w:rsidR="000447ED" w:rsidRPr="005E3B43" w:rsidRDefault="000447ED" w:rsidP="00763BCF">
            <w:pPr>
              <w:pStyle w:val="ENoteTableText"/>
            </w:pPr>
            <w:r w:rsidRPr="005E3B43">
              <w:t>ad F2016L00109</w:t>
            </w:r>
          </w:p>
        </w:tc>
      </w:tr>
      <w:tr w:rsidR="000447ED" w:rsidRPr="005E3B43" w14:paraId="14FC64F8" w14:textId="77777777" w:rsidTr="00034EA9">
        <w:trPr>
          <w:cantSplit/>
        </w:trPr>
        <w:tc>
          <w:tcPr>
            <w:tcW w:w="1495" w:type="pct"/>
          </w:tcPr>
          <w:p w14:paraId="45B4F5B8" w14:textId="77777777" w:rsidR="000447ED" w:rsidRPr="005E3B43" w:rsidRDefault="000447ED" w:rsidP="00763BCF">
            <w:pPr>
              <w:pStyle w:val="ENoteTableText"/>
              <w:tabs>
                <w:tab w:val="center" w:leader="dot" w:pos="2268"/>
              </w:tabs>
            </w:pPr>
            <w:r w:rsidRPr="005E3B43">
              <w:t>r 51</w:t>
            </w:r>
            <w:r w:rsidRPr="005E3B43">
              <w:tab/>
            </w:r>
          </w:p>
        </w:tc>
        <w:tc>
          <w:tcPr>
            <w:tcW w:w="3505" w:type="pct"/>
          </w:tcPr>
          <w:p w14:paraId="4A435ABA" w14:textId="77777777" w:rsidR="000447ED" w:rsidRPr="005E3B43" w:rsidRDefault="000447ED" w:rsidP="00763BCF">
            <w:pPr>
              <w:pStyle w:val="ENoteTableText"/>
            </w:pPr>
            <w:r w:rsidRPr="005E3B43">
              <w:t>ad F2016L00109</w:t>
            </w:r>
          </w:p>
        </w:tc>
      </w:tr>
      <w:tr w:rsidR="000447ED" w:rsidRPr="005E3B43" w14:paraId="4AED6B36" w14:textId="77777777" w:rsidTr="00034EA9">
        <w:trPr>
          <w:cantSplit/>
        </w:trPr>
        <w:tc>
          <w:tcPr>
            <w:tcW w:w="1495" w:type="pct"/>
          </w:tcPr>
          <w:p w14:paraId="31BA37F1" w14:textId="77777777" w:rsidR="000447ED" w:rsidRPr="005E3B43" w:rsidRDefault="00BE7FAC" w:rsidP="00763BCF">
            <w:pPr>
              <w:pStyle w:val="ENoteTableText"/>
              <w:tabs>
                <w:tab w:val="center" w:leader="dot" w:pos="2268"/>
              </w:tabs>
              <w:rPr>
                <w:b/>
              </w:rPr>
            </w:pPr>
            <w:r w:rsidRPr="005E3B43">
              <w:rPr>
                <w:b/>
              </w:rPr>
              <w:t>Division 5</w:t>
            </w:r>
          </w:p>
        </w:tc>
        <w:tc>
          <w:tcPr>
            <w:tcW w:w="3505" w:type="pct"/>
          </w:tcPr>
          <w:p w14:paraId="5000D4B8" w14:textId="77777777" w:rsidR="000447ED" w:rsidRPr="005E3B43" w:rsidRDefault="000447ED" w:rsidP="00763BCF">
            <w:pPr>
              <w:pStyle w:val="ENoteTableText"/>
            </w:pPr>
          </w:p>
        </w:tc>
      </w:tr>
      <w:tr w:rsidR="000447ED" w:rsidRPr="005E3B43" w14:paraId="70534837" w14:textId="77777777" w:rsidTr="00034EA9">
        <w:trPr>
          <w:cantSplit/>
        </w:trPr>
        <w:tc>
          <w:tcPr>
            <w:tcW w:w="1495" w:type="pct"/>
          </w:tcPr>
          <w:p w14:paraId="1136E4B1" w14:textId="77777777" w:rsidR="000447ED" w:rsidRPr="005E3B43" w:rsidRDefault="00BE7FAC" w:rsidP="00763BCF">
            <w:pPr>
              <w:pStyle w:val="ENoteTableText"/>
              <w:tabs>
                <w:tab w:val="center" w:leader="dot" w:pos="2268"/>
              </w:tabs>
            </w:pPr>
            <w:r w:rsidRPr="005E3B43">
              <w:t>Division 5</w:t>
            </w:r>
            <w:r w:rsidR="000447ED" w:rsidRPr="005E3B43">
              <w:tab/>
            </w:r>
          </w:p>
        </w:tc>
        <w:tc>
          <w:tcPr>
            <w:tcW w:w="3505" w:type="pct"/>
          </w:tcPr>
          <w:p w14:paraId="01F00743" w14:textId="77777777" w:rsidR="000447ED" w:rsidRPr="005E3B43" w:rsidRDefault="000447ED" w:rsidP="00763BCF">
            <w:pPr>
              <w:pStyle w:val="ENoteTableText"/>
            </w:pPr>
            <w:r w:rsidRPr="005E3B43">
              <w:t>ad F2017L00853</w:t>
            </w:r>
          </w:p>
        </w:tc>
      </w:tr>
      <w:tr w:rsidR="000447ED" w:rsidRPr="005E3B43" w14:paraId="5206C63A" w14:textId="77777777" w:rsidTr="00034EA9">
        <w:trPr>
          <w:cantSplit/>
        </w:trPr>
        <w:tc>
          <w:tcPr>
            <w:tcW w:w="1495" w:type="pct"/>
          </w:tcPr>
          <w:p w14:paraId="46064CA2" w14:textId="77777777" w:rsidR="000447ED" w:rsidRPr="005E3B43" w:rsidRDefault="000447ED" w:rsidP="00763BCF">
            <w:pPr>
              <w:pStyle w:val="ENoteTableText"/>
              <w:tabs>
                <w:tab w:val="center" w:leader="dot" w:pos="2268"/>
              </w:tabs>
            </w:pPr>
            <w:r w:rsidRPr="005E3B43">
              <w:t>r 52</w:t>
            </w:r>
            <w:r w:rsidRPr="005E3B43">
              <w:tab/>
            </w:r>
          </w:p>
        </w:tc>
        <w:tc>
          <w:tcPr>
            <w:tcW w:w="3505" w:type="pct"/>
          </w:tcPr>
          <w:p w14:paraId="7AB6CDEC" w14:textId="77777777" w:rsidR="000447ED" w:rsidRPr="005E3B43" w:rsidRDefault="000447ED" w:rsidP="00763BCF">
            <w:pPr>
              <w:pStyle w:val="ENoteTableText"/>
            </w:pPr>
            <w:r w:rsidRPr="005E3B43">
              <w:t>ad F2017L00853</w:t>
            </w:r>
          </w:p>
        </w:tc>
      </w:tr>
      <w:tr w:rsidR="000447ED" w:rsidRPr="005E3B43" w14:paraId="50911112" w14:textId="77777777" w:rsidTr="00034EA9">
        <w:trPr>
          <w:cantSplit/>
        </w:trPr>
        <w:tc>
          <w:tcPr>
            <w:tcW w:w="1495" w:type="pct"/>
          </w:tcPr>
          <w:p w14:paraId="68EF83B2" w14:textId="77777777" w:rsidR="000447ED" w:rsidRPr="005E3B43" w:rsidRDefault="000447ED" w:rsidP="00763BCF">
            <w:pPr>
              <w:pStyle w:val="ENoteTableText"/>
              <w:tabs>
                <w:tab w:val="center" w:leader="dot" w:pos="2268"/>
              </w:tabs>
            </w:pPr>
            <w:r w:rsidRPr="005E3B43">
              <w:t>r 53</w:t>
            </w:r>
            <w:r w:rsidRPr="005E3B43">
              <w:tab/>
            </w:r>
          </w:p>
        </w:tc>
        <w:tc>
          <w:tcPr>
            <w:tcW w:w="3505" w:type="pct"/>
          </w:tcPr>
          <w:p w14:paraId="479C41B1" w14:textId="77777777" w:rsidR="000447ED" w:rsidRPr="005E3B43" w:rsidRDefault="000447ED" w:rsidP="00763BCF">
            <w:pPr>
              <w:pStyle w:val="ENoteTableText"/>
            </w:pPr>
            <w:r w:rsidRPr="005E3B43">
              <w:t>ad F2017L00853</w:t>
            </w:r>
          </w:p>
        </w:tc>
      </w:tr>
      <w:tr w:rsidR="000447ED" w:rsidRPr="005E3B43" w14:paraId="70BDA33D" w14:textId="77777777" w:rsidTr="00034EA9">
        <w:trPr>
          <w:cantSplit/>
        </w:trPr>
        <w:tc>
          <w:tcPr>
            <w:tcW w:w="1495" w:type="pct"/>
          </w:tcPr>
          <w:p w14:paraId="6848BD59" w14:textId="77777777" w:rsidR="000447ED" w:rsidRPr="005E3B43" w:rsidRDefault="000447ED" w:rsidP="00763BCF">
            <w:pPr>
              <w:pStyle w:val="ENoteTableText"/>
              <w:tabs>
                <w:tab w:val="center" w:leader="dot" w:pos="2268"/>
              </w:tabs>
            </w:pPr>
            <w:r w:rsidRPr="005E3B43">
              <w:t>r 54</w:t>
            </w:r>
            <w:r w:rsidRPr="005E3B43">
              <w:tab/>
            </w:r>
          </w:p>
        </w:tc>
        <w:tc>
          <w:tcPr>
            <w:tcW w:w="3505" w:type="pct"/>
          </w:tcPr>
          <w:p w14:paraId="4994E90E" w14:textId="77777777" w:rsidR="000447ED" w:rsidRPr="005E3B43" w:rsidRDefault="000447ED" w:rsidP="00763BCF">
            <w:pPr>
              <w:pStyle w:val="ENoteTableText"/>
            </w:pPr>
            <w:r w:rsidRPr="005E3B43">
              <w:t>ad F2017L00853</w:t>
            </w:r>
          </w:p>
        </w:tc>
      </w:tr>
      <w:tr w:rsidR="000447ED" w:rsidRPr="005E3B43" w14:paraId="6EEF89B7" w14:textId="77777777" w:rsidTr="00034EA9">
        <w:trPr>
          <w:cantSplit/>
        </w:trPr>
        <w:tc>
          <w:tcPr>
            <w:tcW w:w="1495" w:type="pct"/>
          </w:tcPr>
          <w:p w14:paraId="362C3D3E" w14:textId="77777777" w:rsidR="000447ED" w:rsidRPr="005E3B43" w:rsidRDefault="000447ED" w:rsidP="00763BCF">
            <w:pPr>
              <w:pStyle w:val="ENoteTableText"/>
              <w:tabs>
                <w:tab w:val="center" w:leader="dot" w:pos="2268"/>
              </w:tabs>
            </w:pPr>
            <w:r w:rsidRPr="005E3B43">
              <w:t>r 55</w:t>
            </w:r>
            <w:r w:rsidRPr="005E3B43">
              <w:tab/>
            </w:r>
          </w:p>
        </w:tc>
        <w:tc>
          <w:tcPr>
            <w:tcW w:w="3505" w:type="pct"/>
          </w:tcPr>
          <w:p w14:paraId="5A364485" w14:textId="77777777" w:rsidR="000447ED" w:rsidRPr="005E3B43" w:rsidRDefault="000447ED" w:rsidP="00763BCF">
            <w:pPr>
              <w:pStyle w:val="ENoteTableText"/>
            </w:pPr>
            <w:r w:rsidRPr="005E3B43">
              <w:t>ad F2017L00853</w:t>
            </w:r>
          </w:p>
        </w:tc>
      </w:tr>
      <w:tr w:rsidR="000447ED" w:rsidRPr="005E3B43" w14:paraId="23C97D08" w14:textId="77777777" w:rsidTr="00034EA9">
        <w:trPr>
          <w:cantSplit/>
        </w:trPr>
        <w:tc>
          <w:tcPr>
            <w:tcW w:w="1495" w:type="pct"/>
          </w:tcPr>
          <w:p w14:paraId="768324CB" w14:textId="77777777" w:rsidR="000447ED" w:rsidRPr="005E3B43" w:rsidRDefault="000447ED" w:rsidP="00763BCF">
            <w:pPr>
              <w:pStyle w:val="ENoteTableText"/>
              <w:tabs>
                <w:tab w:val="center" w:leader="dot" w:pos="2268"/>
              </w:tabs>
            </w:pPr>
            <w:r w:rsidRPr="005E3B43">
              <w:t>r 56</w:t>
            </w:r>
            <w:r w:rsidRPr="005E3B43">
              <w:tab/>
            </w:r>
          </w:p>
        </w:tc>
        <w:tc>
          <w:tcPr>
            <w:tcW w:w="3505" w:type="pct"/>
          </w:tcPr>
          <w:p w14:paraId="20276E91" w14:textId="77777777" w:rsidR="000447ED" w:rsidRPr="005E3B43" w:rsidRDefault="000447ED" w:rsidP="00763BCF">
            <w:pPr>
              <w:pStyle w:val="ENoteTableText"/>
            </w:pPr>
            <w:r w:rsidRPr="005E3B43">
              <w:t>ad F2017L00853</w:t>
            </w:r>
          </w:p>
        </w:tc>
      </w:tr>
      <w:tr w:rsidR="000447ED" w:rsidRPr="005E3B43" w14:paraId="0677ABAF" w14:textId="77777777" w:rsidTr="00034EA9">
        <w:trPr>
          <w:cantSplit/>
        </w:trPr>
        <w:tc>
          <w:tcPr>
            <w:tcW w:w="1495" w:type="pct"/>
          </w:tcPr>
          <w:p w14:paraId="03CE52E8" w14:textId="77777777" w:rsidR="000447ED" w:rsidRPr="005E3B43" w:rsidRDefault="000447ED" w:rsidP="00763BCF">
            <w:pPr>
              <w:pStyle w:val="ENoteTableText"/>
              <w:tabs>
                <w:tab w:val="center" w:leader="dot" w:pos="2268"/>
              </w:tabs>
              <w:rPr>
                <w:b/>
              </w:rPr>
            </w:pPr>
            <w:r w:rsidRPr="005E3B43">
              <w:rPr>
                <w:b/>
              </w:rPr>
              <w:t>Division</w:t>
            </w:r>
            <w:r w:rsidR="004E6D00" w:rsidRPr="005E3B43">
              <w:rPr>
                <w:b/>
              </w:rPr>
              <w:t> </w:t>
            </w:r>
            <w:r w:rsidRPr="005E3B43">
              <w:rPr>
                <w:b/>
              </w:rPr>
              <w:t>6</w:t>
            </w:r>
          </w:p>
        </w:tc>
        <w:tc>
          <w:tcPr>
            <w:tcW w:w="3505" w:type="pct"/>
          </w:tcPr>
          <w:p w14:paraId="1D4F4E33" w14:textId="77777777" w:rsidR="000447ED" w:rsidRPr="005E3B43" w:rsidRDefault="000447ED" w:rsidP="00763BCF">
            <w:pPr>
              <w:pStyle w:val="ENoteTableText"/>
            </w:pPr>
          </w:p>
        </w:tc>
      </w:tr>
      <w:tr w:rsidR="000447ED" w:rsidRPr="005E3B43" w14:paraId="0709B356" w14:textId="77777777" w:rsidTr="00034EA9">
        <w:trPr>
          <w:cantSplit/>
        </w:trPr>
        <w:tc>
          <w:tcPr>
            <w:tcW w:w="1495" w:type="pct"/>
          </w:tcPr>
          <w:p w14:paraId="3802120C" w14:textId="77777777" w:rsidR="000447ED" w:rsidRPr="005E3B43" w:rsidRDefault="000447ED" w:rsidP="00763BCF">
            <w:pPr>
              <w:pStyle w:val="ENoteTableText"/>
              <w:tabs>
                <w:tab w:val="center" w:leader="dot" w:pos="2268"/>
              </w:tabs>
            </w:pPr>
            <w:r w:rsidRPr="005E3B43">
              <w:t>Division</w:t>
            </w:r>
            <w:r w:rsidR="004E6D00" w:rsidRPr="005E3B43">
              <w:t> </w:t>
            </w:r>
            <w:r w:rsidRPr="005E3B43">
              <w:t>6</w:t>
            </w:r>
            <w:r w:rsidRPr="005E3B43">
              <w:tab/>
            </w:r>
          </w:p>
        </w:tc>
        <w:tc>
          <w:tcPr>
            <w:tcW w:w="3505" w:type="pct"/>
          </w:tcPr>
          <w:p w14:paraId="427B160C" w14:textId="77777777" w:rsidR="000447ED" w:rsidRPr="005E3B43" w:rsidRDefault="000447ED" w:rsidP="00763BCF">
            <w:pPr>
              <w:pStyle w:val="ENoteTableText"/>
            </w:pPr>
            <w:r w:rsidRPr="005E3B43">
              <w:t>ad F2017L01561</w:t>
            </w:r>
          </w:p>
        </w:tc>
      </w:tr>
      <w:tr w:rsidR="000447ED" w:rsidRPr="005E3B43" w14:paraId="55E5918E" w14:textId="77777777" w:rsidTr="00034EA9">
        <w:trPr>
          <w:cantSplit/>
        </w:trPr>
        <w:tc>
          <w:tcPr>
            <w:tcW w:w="1495" w:type="pct"/>
          </w:tcPr>
          <w:p w14:paraId="1A31B014" w14:textId="77777777" w:rsidR="000447ED" w:rsidRPr="005E3B43" w:rsidRDefault="000447ED" w:rsidP="00763BCF">
            <w:pPr>
              <w:pStyle w:val="ENoteTableText"/>
              <w:tabs>
                <w:tab w:val="center" w:leader="dot" w:pos="2268"/>
              </w:tabs>
            </w:pPr>
            <w:r w:rsidRPr="005E3B43">
              <w:t>r 57</w:t>
            </w:r>
            <w:r w:rsidRPr="005E3B43">
              <w:tab/>
            </w:r>
          </w:p>
        </w:tc>
        <w:tc>
          <w:tcPr>
            <w:tcW w:w="3505" w:type="pct"/>
          </w:tcPr>
          <w:p w14:paraId="7F3CADD4" w14:textId="77777777" w:rsidR="000447ED" w:rsidRPr="005E3B43" w:rsidRDefault="000447ED" w:rsidP="00763BCF">
            <w:pPr>
              <w:pStyle w:val="ENoteTableText"/>
            </w:pPr>
            <w:r w:rsidRPr="005E3B43">
              <w:t>ad F2017L01561</w:t>
            </w:r>
          </w:p>
        </w:tc>
      </w:tr>
      <w:tr w:rsidR="000447ED" w:rsidRPr="005E3B43" w14:paraId="1E98F436" w14:textId="77777777" w:rsidTr="00034EA9">
        <w:trPr>
          <w:cantSplit/>
        </w:trPr>
        <w:tc>
          <w:tcPr>
            <w:tcW w:w="1495" w:type="pct"/>
          </w:tcPr>
          <w:p w14:paraId="630DD205" w14:textId="77777777" w:rsidR="000447ED" w:rsidRPr="005E3B43" w:rsidRDefault="000447ED" w:rsidP="00763BCF">
            <w:pPr>
              <w:pStyle w:val="ENoteTableText"/>
              <w:tabs>
                <w:tab w:val="center" w:leader="dot" w:pos="2268"/>
              </w:tabs>
            </w:pPr>
            <w:r w:rsidRPr="005E3B43">
              <w:t>r 58</w:t>
            </w:r>
            <w:r w:rsidRPr="005E3B43">
              <w:tab/>
            </w:r>
          </w:p>
        </w:tc>
        <w:tc>
          <w:tcPr>
            <w:tcW w:w="3505" w:type="pct"/>
          </w:tcPr>
          <w:p w14:paraId="243EF710" w14:textId="77777777" w:rsidR="000447ED" w:rsidRPr="005E3B43" w:rsidRDefault="000447ED" w:rsidP="00763BCF">
            <w:pPr>
              <w:pStyle w:val="ENoteTableText"/>
            </w:pPr>
            <w:r w:rsidRPr="005E3B43">
              <w:t>ad F2017L01561</w:t>
            </w:r>
          </w:p>
        </w:tc>
      </w:tr>
      <w:tr w:rsidR="000447ED" w:rsidRPr="005E3B43" w14:paraId="42FEA780" w14:textId="77777777" w:rsidTr="00034EA9">
        <w:trPr>
          <w:cantSplit/>
        </w:trPr>
        <w:tc>
          <w:tcPr>
            <w:tcW w:w="1495" w:type="pct"/>
          </w:tcPr>
          <w:p w14:paraId="6CDD7576" w14:textId="77777777" w:rsidR="000447ED" w:rsidRPr="005E3B43" w:rsidRDefault="000447ED" w:rsidP="00763BCF">
            <w:pPr>
              <w:pStyle w:val="ENoteTableText"/>
              <w:tabs>
                <w:tab w:val="center" w:leader="dot" w:pos="2268"/>
              </w:tabs>
            </w:pPr>
            <w:r w:rsidRPr="005E3B43">
              <w:t>r 59</w:t>
            </w:r>
            <w:r w:rsidRPr="005E3B43">
              <w:tab/>
            </w:r>
          </w:p>
        </w:tc>
        <w:tc>
          <w:tcPr>
            <w:tcW w:w="3505" w:type="pct"/>
          </w:tcPr>
          <w:p w14:paraId="06F01267" w14:textId="77777777" w:rsidR="000447ED" w:rsidRPr="005E3B43" w:rsidRDefault="000447ED" w:rsidP="00763BCF">
            <w:pPr>
              <w:pStyle w:val="ENoteTableText"/>
            </w:pPr>
            <w:r w:rsidRPr="005E3B43">
              <w:t>ad F2017L01561</w:t>
            </w:r>
          </w:p>
        </w:tc>
      </w:tr>
      <w:tr w:rsidR="000447ED" w:rsidRPr="005E3B43" w14:paraId="6B81F579" w14:textId="77777777" w:rsidTr="00034EA9">
        <w:trPr>
          <w:cantSplit/>
        </w:trPr>
        <w:tc>
          <w:tcPr>
            <w:tcW w:w="1495" w:type="pct"/>
          </w:tcPr>
          <w:p w14:paraId="3E6CA82D" w14:textId="77777777" w:rsidR="000447ED" w:rsidRPr="005E3B43" w:rsidRDefault="000447ED" w:rsidP="00D317A0">
            <w:pPr>
              <w:pStyle w:val="ENoteTableText"/>
              <w:keepNext/>
              <w:tabs>
                <w:tab w:val="center" w:leader="dot" w:pos="2268"/>
              </w:tabs>
              <w:rPr>
                <w:b/>
              </w:rPr>
            </w:pPr>
            <w:r w:rsidRPr="005E3B43">
              <w:rPr>
                <w:b/>
              </w:rPr>
              <w:lastRenderedPageBreak/>
              <w:t>Division</w:t>
            </w:r>
            <w:r w:rsidR="004E6D00" w:rsidRPr="005E3B43">
              <w:rPr>
                <w:b/>
              </w:rPr>
              <w:t> </w:t>
            </w:r>
            <w:r w:rsidRPr="005E3B43">
              <w:rPr>
                <w:b/>
              </w:rPr>
              <w:t>7</w:t>
            </w:r>
          </w:p>
        </w:tc>
        <w:tc>
          <w:tcPr>
            <w:tcW w:w="3505" w:type="pct"/>
          </w:tcPr>
          <w:p w14:paraId="697C958B" w14:textId="77777777" w:rsidR="000447ED" w:rsidRPr="005E3B43" w:rsidRDefault="000447ED" w:rsidP="00D317A0">
            <w:pPr>
              <w:pStyle w:val="ENoteTableText"/>
              <w:keepNext/>
            </w:pPr>
          </w:p>
        </w:tc>
      </w:tr>
      <w:tr w:rsidR="000447ED" w:rsidRPr="005E3B43" w14:paraId="5451CF6F" w14:textId="77777777" w:rsidTr="00034EA9">
        <w:trPr>
          <w:cantSplit/>
        </w:trPr>
        <w:tc>
          <w:tcPr>
            <w:tcW w:w="1495" w:type="pct"/>
          </w:tcPr>
          <w:p w14:paraId="73B30616" w14:textId="77777777" w:rsidR="000447ED" w:rsidRPr="005E3B43" w:rsidRDefault="000447ED" w:rsidP="00763BCF">
            <w:pPr>
              <w:pStyle w:val="ENoteTableText"/>
              <w:tabs>
                <w:tab w:val="center" w:leader="dot" w:pos="2268"/>
              </w:tabs>
            </w:pPr>
            <w:r w:rsidRPr="005E3B43">
              <w:t>Division</w:t>
            </w:r>
            <w:r w:rsidR="004E6D00" w:rsidRPr="005E3B43">
              <w:t> </w:t>
            </w:r>
            <w:r w:rsidRPr="005E3B43">
              <w:t>7</w:t>
            </w:r>
            <w:r w:rsidRPr="005E3B43">
              <w:tab/>
            </w:r>
          </w:p>
        </w:tc>
        <w:tc>
          <w:tcPr>
            <w:tcW w:w="3505" w:type="pct"/>
          </w:tcPr>
          <w:p w14:paraId="35FD5FD2" w14:textId="77777777" w:rsidR="000447ED" w:rsidRPr="005E3B43" w:rsidRDefault="000447ED" w:rsidP="00763BCF">
            <w:pPr>
              <w:pStyle w:val="ENoteTableText"/>
            </w:pPr>
            <w:r w:rsidRPr="005E3B43">
              <w:t>ad F2018L00311</w:t>
            </w:r>
          </w:p>
        </w:tc>
      </w:tr>
      <w:tr w:rsidR="000447ED" w:rsidRPr="005E3B43" w14:paraId="25D35DD6" w14:textId="77777777" w:rsidTr="00034EA9">
        <w:trPr>
          <w:cantSplit/>
        </w:trPr>
        <w:tc>
          <w:tcPr>
            <w:tcW w:w="1495" w:type="pct"/>
          </w:tcPr>
          <w:p w14:paraId="618FAE7D" w14:textId="77777777" w:rsidR="000447ED" w:rsidRPr="005E3B43" w:rsidRDefault="000447ED" w:rsidP="00763BCF">
            <w:pPr>
              <w:pStyle w:val="ENoteTableText"/>
              <w:tabs>
                <w:tab w:val="center" w:leader="dot" w:pos="2268"/>
              </w:tabs>
            </w:pPr>
            <w:r w:rsidRPr="005E3B43">
              <w:t>r 60</w:t>
            </w:r>
            <w:r w:rsidRPr="005E3B43">
              <w:tab/>
            </w:r>
          </w:p>
        </w:tc>
        <w:tc>
          <w:tcPr>
            <w:tcW w:w="3505" w:type="pct"/>
          </w:tcPr>
          <w:p w14:paraId="6025D118" w14:textId="77777777" w:rsidR="000447ED" w:rsidRPr="005E3B43" w:rsidRDefault="000447ED" w:rsidP="00763BCF">
            <w:pPr>
              <w:pStyle w:val="ENoteTableText"/>
            </w:pPr>
            <w:r w:rsidRPr="005E3B43">
              <w:t>ad F2018L00311</w:t>
            </w:r>
          </w:p>
        </w:tc>
      </w:tr>
      <w:tr w:rsidR="000447ED" w:rsidRPr="005E3B43" w14:paraId="60F79CBA" w14:textId="77777777" w:rsidTr="00034EA9">
        <w:trPr>
          <w:cantSplit/>
        </w:trPr>
        <w:tc>
          <w:tcPr>
            <w:tcW w:w="1495" w:type="pct"/>
          </w:tcPr>
          <w:p w14:paraId="38C3A599" w14:textId="77777777" w:rsidR="000447ED" w:rsidRPr="005E3B43" w:rsidRDefault="000447ED" w:rsidP="00763BCF">
            <w:pPr>
              <w:pStyle w:val="ENoteTableText"/>
              <w:tabs>
                <w:tab w:val="center" w:leader="dot" w:pos="2268"/>
              </w:tabs>
            </w:pPr>
            <w:r w:rsidRPr="005E3B43">
              <w:t>r 61</w:t>
            </w:r>
            <w:r w:rsidRPr="005E3B43">
              <w:tab/>
            </w:r>
          </w:p>
        </w:tc>
        <w:tc>
          <w:tcPr>
            <w:tcW w:w="3505" w:type="pct"/>
          </w:tcPr>
          <w:p w14:paraId="44B4A3AA" w14:textId="77777777" w:rsidR="000447ED" w:rsidRPr="005E3B43" w:rsidRDefault="000447ED" w:rsidP="00763BCF">
            <w:pPr>
              <w:pStyle w:val="ENoteTableText"/>
            </w:pPr>
            <w:r w:rsidRPr="005E3B43">
              <w:t>ad F2018L00311</w:t>
            </w:r>
          </w:p>
        </w:tc>
      </w:tr>
      <w:tr w:rsidR="000447ED" w:rsidRPr="005E3B43" w14:paraId="258949A9" w14:textId="77777777" w:rsidTr="00034EA9">
        <w:trPr>
          <w:cantSplit/>
        </w:trPr>
        <w:tc>
          <w:tcPr>
            <w:tcW w:w="1495" w:type="pct"/>
          </w:tcPr>
          <w:p w14:paraId="164481F6" w14:textId="77777777" w:rsidR="000447ED" w:rsidRPr="005E3B43" w:rsidRDefault="000447ED" w:rsidP="00763BCF">
            <w:pPr>
              <w:pStyle w:val="ENoteTableText"/>
              <w:tabs>
                <w:tab w:val="center" w:leader="dot" w:pos="2268"/>
              </w:tabs>
            </w:pPr>
            <w:r w:rsidRPr="005E3B43">
              <w:t>r 62</w:t>
            </w:r>
            <w:r w:rsidRPr="005E3B43">
              <w:tab/>
            </w:r>
          </w:p>
        </w:tc>
        <w:tc>
          <w:tcPr>
            <w:tcW w:w="3505" w:type="pct"/>
          </w:tcPr>
          <w:p w14:paraId="5D3A6D8B" w14:textId="77777777" w:rsidR="000447ED" w:rsidRPr="005E3B43" w:rsidRDefault="000447ED" w:rsidP="00763BCF">
            <w:pPr>
              <w:pStyle w:val="ENoteTableText"/>
            </w:pPr>
            <w:r w:rsidRPr="005E3B43">
              <w:t>ad F2018L00311</w:t>
            </w:r>
          </w:p>
        </w:tc>
      </w:tr>
      <w:tr w:rsidR="000447ED" w:rsidRPr="005E3B43" w14:paraId="0BB68692" w14:textId="77777777" w:rsidTr="00034EA9">
        <w:trPr>
          <w:cantSplit/>
        </w:trPr>
        <w:tc>
          <w:tcPr>
            <w:tcW w:w="1495" w:type="pct"/>
          </w:tcPr>
          <w:p w14:paraId="1EDB9BE8" w14:textId="77777777" w:rsidR="000447ED" w:rsidRPr="005E3B43" w:rsidRDefault="000447ED" w:rsidP="00763BCF">
            <w:pPr>
              <w:pStyle w:val="ENoteTableText"/>
              <w:tabs>
                <w:tab w:val="center" w:leader="dot" w:pos="2268"/>
              </w:tabs>
              <w:rPr>
                <w:b/>
              </w:rPr>
            </w:pPr>
            <w:r w:rsidRPr="005E3B43">
              <w:rPr>
                <w:b/>
              </w:rPr>
              <w:t>Division</w:t>
            </w:r>
            <w:r w:rsidR="004E6D00" w:rsidRPr="005E3B43">
              <w:rPr>
                <w:b/>
              </w:rPr>
              <w:t> </w:t>
            </w:r>
            <w:r w:rsidRPr="005E3B43">
              <w:rPr>
                <w:b/>
              </w:rPr>
              <w:t>8</w:t>
            </w:r>
          </w:p>
        </w:tc>
        <w:tc>
          <w:tcPr>
            <w:tcW w:w="3505" w:type="pct"/>
          </w:tcPr>
          <w:p w14:paraId="69F8E001" w14:textId="77777777" w:rsidR="000447ED" w:rsidRPr="005E3B43" w:rsidRDefault="000447ED" w:rsidP="00763BCF">
            <w:pPr>
              <w:pStyle w:val="ENoteTableText"/>
            </w:pPr>
          </w:p>
        </w:tc>
      </w:tr>
      <w:tr w:rsidR="000447ED" w:rsidRPr="005E3B43" w14:paraId="5F622481" w14:textId="77777777" w:rsidTr="00034EA9">
        <w:trPr>
          <w:cantSplit/>
        </w:trPr>
        <w:tc>
          <w:tcPr>
            <w:tcW w:w="1495" w:type="pct"/>
          </w:tcPr>
          <w:p w14:paraId="74553A58" w14:textId="77777777" w:rsidR="000447ED" w:rsidRPr="005E3B43" w:rsidRDefault="000447ED" w:rsidP="00763BCF">
            <w:pPr>
              <w:pStyle w:val="ENoteTableText"/>
              <w:tabs>
                <w:tab w:val="center" w:leader="dot" w:pos="2268"/>
              </w:tabs>
            </w:pPr>
            <w:r w:rsidRPr="005E3B43">
              <w:t>Division</w:t>
            </w:r>
            <w:r w:rsidR="004E6D00" w:rsidRPr="005E3B43">
              <w:t> </w:t>
            </w:r>
            <w:r w:rsidRPr="005E3B43">
              <w:t>8</w:t>
            </w:r>
            <w:r w:rsidRPr="005E3B43">
              <w:tab/>
            </w:r>
          </w:p>
        </w:tc>
        <w:tc>
          <w:tcPr>
            <w:tcW w:w="3505" w:type="pct"/>
          </w:tcPr>
          <w:p w14:paraId="04AC41BA" w14:textId="77777777" w:rsidR="000447ED" w:rsidRPr="005E3B43" w:rsidRDefault="000447ED" w:rsidP="00763BCF">
            <w:pPr>
              <w:pStyle w:val="ENoteTableText"/>
            </w:pPr>
            <w:r w:rsidRPr="005E3B43">
              <w:t>ad F2018L00516</w:t>
            </w:r>
          </w:p>
        </w:tc>
      </w:tr>
      <w:tr w:rsidR="000447ED" w:rsidRPr="005E3B43" w14:paraId="169D4C9D" w14:textId="77777777" w:rsidTr="00034EA9">
        <w:trPr>
          <w:cantSplit/>
        </w:trPr>
        <w:tc>
          <w:tcPr>
            <w:tcW w:w="1495" w:type="pct"/>
          </w:tcPr>
          <w:p w14:paraId="531F61F2" w14:textId="77777777" w:rsidR="000447ED" w:rsidRPr="005E3B43" w:rsidRDefault="000447ED" w:rsidP="00763BCF">
            <w:pPr>
              <w:pStyle w:val="ENoteTableText"/>
              <w:tabs>
                <w:tab w:val="center" w:leader="dot" w:pos="2268"/>
              </w:tabs>
            </w:pPr>
            <w:r w:rsidRPr="005E3B43">
              <w:t>r 63</w:t>
            </w:r>
            <w:r w:rsidRPr="005E3B43">
              <w:tab/>
            </w:r>
          </w:p>
        </w:tc>
        <w:tc>
          <w:tcPr>
            <w:tcW w:w="3505" w:type="pct"/>
          </w:tcPr>
          <w:p w14:paraId="75FD6F21" w14:textId="77777777" w:rsidR="000447ED" w:rsidRPr="005E3B43" w:rsidRDefault="000447ED" w:rsidP="00763BCF">
            <w:pPr>
              <w:pStyle w:val="ENoteTableText"/>
            </w:pPr>
            <w:r w:rsidRPr="005E3B43">
              <w:t>ad F2018L00516</w:t>
            </w:r>
          </w:p>
        </w:tc>
      </w:tr>
      <w:tr w:rsidR="000447ED" w:rsidRPr="005E3B43" w14:paraId="1BC0B56A" w14:textId="77777777" w:rsidTr="00034EA9">
        <w:trPr>
          <w:cantSplit/>
        </w:trPr>
        <w:tc>
          <w:tcPr>
            <w:tcW w:w="1495" w:type="pct"/>
          </w:tcPr>
          <w:p w14:paraId="2B90CDD2" w14:textId="77777777" w:rsidR="000447ED" w:rsidRPr="005E3B43" w:rsidRDefault="000447ED" w:rsidP="00763BCF">
            <w:pPr>
              <w:pStyle w:val="ENoteTableText"/>
              <w:keepNext/>
              <w:tabs>
                <w:tab w:val="center" w:leader="dot" w:pos="2268"/>
              </w:tabs>
              <w:rPr>
                <w:b/>
              </w:rPr>
            </w:pPr>
            <w:r w:rsidRPr="005E3B43">
              <w:rPr>
                <w:b/>
              </w:rPr>
              <w:t>Division</w:t>
            </w:r>
            <w:r w:rsidR="004E6D00" w:rsidRPr="005E3B43">
              <w:rPr>
                <w:b/>
              </w:rPr>
              <w:t> </w:t>
            </w:r>
            <w:r w:rsidRPr="005E3B43">
              <w:rPr>
                <w:b/>
              </w:rPr>
              <w:t>9</w:t>
            </w:r>
          </w:p>
        </w:tc>
        <w:tc>
          <w:tcPr>
            <w:tcW w:w="3505" w:type="pct"/>
          </w:tcPr>
          <w:p w14:paraId="6D34C043" w14:textId="77777777" w:rsidR="000447ED" w:rsidRPr="005E3B43" w:rsidRDefault="000447ED" w:rsidP="00763BCF">
            <w:pPr>
              <w:pStyle w:val="ENoteTableText"/>
            </w:pPr>
          </w:p>
        </w:tc>
      </w:tr>
      <w:tr w:rsidR="000447ED" w:rsidRPr="005E3B43" w14:paraId="3FF4D907" w14:textId="77777777" w:rsidTr="00034EA9">
        <w:trPr>
          <w:cantSplit/>
        </w:trPr>
        <w:tc>
          <w:tcPr>
            <w:tcW w:w="1495" w:type="pct"/>
          </w:tcPr>
          <w:p w14:paraId="4AFC6CB6" w14:textId="77777777" w:rsidR="000447ED" w:rsidRPr="005E3B43" w:rsidRDefault="000447ED" w:rsidP="00763BCF">
            <w:pPr>
              <w:pStyle w:val="ENoteTableText"/>
              <w:tabs>
                <w:tab w:val="center" w:leader="dot" w:pos="2268"/>
              </w:tabs>
            </w:pPr>
            <w:r w:rsidRPr="005E3B43">
              <w:t>Division</w:t>
            </w:r>
            <w:r w:rsidR="004E6D00" w:rsidRPr="005E3B43">
              <w:t> </w:t>
            </w:r>
            <w:r w:rsidRPr="005E3B43">
              <w:t>9</w:t>
            </w:r>
            <w:r w:rsidRPr="005E3B43">
              <w:tab/>
            </w:r>
          </w:p>
        </w:tc>
        <w:tc>
          <w:tcPr>
            <w:tcW w:w="3505" w:type="pct"/>
          </w:tcPr>
          <w:p w14:paraId="50E36DB7" w14:textId="77777777" w:rsidR="000447ED" w:rsidRPr="005E3B43" w:rsidRDefault="000447ED" w:rsidP="00763BCF">
            <w:pPr>
              <w:pStyle w:val="ENoteTableText"/>
            </w:pPr>
            <w:r w:rsidRPr="005E3B43">
              <w:t>ad F2018L00865</w:t>
            </w:r>
          </w:p>
        </w:tc>
      </w:tr>
      <w:tr w:rsidR="000447ED" w:rsidRPr="005E3B43" w14:paraId="37F9572C" w14:textId="77777777" w:rsidTr="00034EA9">
        <w:trPr>
          <w:cantSplit/>
        </w:trPr>
        <w:tc>
          <w:tcPr>
            <w:tcW w:w="1495" w:type="pct"/>
          </w:tcPr>
          <w:p w14:paraId="2F36A953" w14:textId="77777777" w:rsidR="000447ED" w:rsidRPr="005E3B43" w:rsidRDefault="000447ED" w:rsidP="00763BCF">
            <w:pPr>
              <w:pStyle w:val="ENoteTableText"/>
              <w:tabs>
                <w:tab w:val="center" w:leader="dot" w:pos="2268"/>
              </w:tabs>
            </w:pPr>
            <w:r w:rsidRPr="005E3B43">
              <w:t>r 64</w:t>
            </w:r>
            <w:r w:rsidRPr="005E3B43">
              <w:tab/>
            </w:r>
          </w:p>
        </w:tc>
        <w:tc>
          <w:tcPr>
            <w:tcW w:w="3505" w:type="pct"/>
          </w:tcPr>
          <w:p w14:paraId="5F0AAF70" w14:textId="77777777" w:rsidR="000447ED" w:rsidRPr="005E3B43" w:rsidRDefault="000447ED" w:rsidP="00763BCF">
            <w:pPr>
              <w:pStyle w:val="ENoteTableText"/>
            </w:pPr>
            <w:r w:rsidRPr="005E3B43">
              <w:t>ad F2018L00865</w:t>
            </w:r>
          </w:p>
        </w:tc>
      </w:tr>
      <w:tr w:rsidR="000447ED" w:rsidRPr="005E3B43" w14:paraId="5AFA6A6D" w14:textId="77777777" w:rsidTr="00034EA9">
        <w:trPr>
          <w:cantSplit/>
        </w:trPr>
        <w:tc>
          <w:tcPr>
            <w:tcW w:w="1495" w:type="pct"/>
          </w:tcPr>
          <w:p w14:paraId="7391F3A5" w14:textId="77777777" w:rsidR="000447ED" w:rsidRPr="005E3B43" w:rsidRDefault="000447ED" w:rsidP="00763BCF">
            <w:pPr>
              <w:pStyle w:val="ENoteTableText"/>
              <w:tabs>
                <w:tab w:val="center" w:leader="dot" w:pos="2268"/>
              </w:tabs>
            </w:pPr>
          </w:p>
        </w:tc>
        <w:tc>
          <w:tcPr>
            <w:tcW w:w="3505" w:type="pct"/>
          </w:tcPr>
          <w:p w14:paraId="413CF7C7" w14:textId="77777777" w:rsidR="000447ED" w:rsidRPr="005E3B43" w:rsidRDefault="000447ED" w:rsidP="00763BCF">
            <w:pPr>
              <w:pStyle w:val="ENoteTableText"/>
            </w:pPr>
            <w:r w:rsidRPr="005E3B43">
              <w:t>am F2018L01434</w:t>
            </w:r>
          </w:p>
        </w:tc>
      </w:tr>
      <w:tr w:rsidR="000447ED" w:rsidRPr="005E3B43" w14:paraId="67C7982F" w14:textId="77777777" w:rsidTr="00034EA9">
        <w:trPr>
          <w:cantSplit/>
        </w:trPr>
        <w:tc>
          <w:tcPr>
            <w:tcW w:w="1495" w:type="pct"/>
          </w:tcPr>
          <w:p w14:paraId="53D1CF55" w14:textId="77777777" w:rsidR="000447ED" w:rsidRPr="005E3B43" w:rsidRDefault="000447ED" w:rsidP="00763BCF">
            <w:pPr>
              <w:pStyle w:val="ENoteTableText"/>
              <w:tabs>
                <w:tab w:val="center" w:leader="dot" w:pos="2268"/>
              </w:tabs>
            </w:pPr>
            <w:r w:rsidRPr="005E3B43">
              <w:t>r 65</w:t>
            </w:r>
            <w:r w:rsidRPr="005E3B43">
              <w:tab/>
            </w:r>
          </w:p>
        </w:tc>
        <w:tc>
          <w:tcPr>
            <w:tcW w:w="3505" w:type="pct"/>
          </w:tcPr>
          <w:p w14:paraId="330BD3C2" w14:textId="77777777" w:rsidR="000447ED" w:rsidRPr="005E3B43" w:rsidRDefault="000447ED" w:rsidP="00763BCF">
            <w:pPr>
              <w:pStyle w:val="ENoteTableText"/>
            </w:pPr>
            <w:r w:rsidRPr="005E3B43">
              <w:t>ad F2018L00865</w:t>
            </w:r>
          </w:p>
        </w:tc>
      </w:tr>
      <w:tr w:rsidR="000447ED" w:rsidRPr="005E3B43" w14:paraId="564DC183" w14:textId="77777777" w:rsidTr="00034EA9">
        <w:trPr>
          <w:cantSplit/>
        </w:trPr>
        <w:tc>
          <w:tcPr>
            <w:tcW w:w="1495" w:type="pct"/>
          </w:tcPr>
          <w:p w14:paraId="6F2633B0" w14:textId="77777777" w:rsidR="000447ED" w:rsidRPr="005E3B43" w:rsidRDefault="000447ED" w:rsidP="00763BCF">
            <w:pPr>
              <w:pStyle w:val="ENoteTableText"/>
              <w:tabs>
                <w:tab w:val="center" w:leader="dot" w:pos="2268"/>
              </w:tabs>
            </w:pPr>
          </w:p>
        </w:tc>
        <w:tc>
          <w:tcPr>
            <w:tcW w:w="3505" w:type="pct"/>
          </w:tcPr>
          <w:p w14:paraId="2799E75E" w14:textId="77777777" w:rsidR="000447ED" w:rsidRPr="005E3B43" w:rsidRDefault="000447ED" w:rsidP="00763BCF">
            <w:pPr>
              <w:pStyle w:val="ENoteTableText"/>
            </w:pPr>
            <w:r w:rsidRPr="005E3B43">
              <w:t>ed C83</w:t>
            </w:r>
          </w:p>
        </w:tc>
      </w:tr>
      <w:tr w:rsidR="000447ED" w:rsidRPr="005E3B43" w14:paraId="51F4A59A" w14:textId="77777777" w:rsidTr="00034EA9">
        <w:trPr>
          <w:cantSplit/>
        </w:trPr>
        <w:tc>
          <w:tcPr>
            <w:tcW w:w="1495" w:type="pct"/>
          </w:tcPr>
          <w:p w14:paraId="0005998F" w14:textId="77777777" w:rsidR="000447ED" w:rsidRPr="005E3B43" w:rsidRDefault="000447ED" w:rsidP="00763BCF">
            <w:pPr>
              <w:pStyle w:val="ENoteTableText"/>
              <w:tabs>
                <w:tab w:val="center" w:leader="dot" w:pos="2268"/>
              </w:tabs>
            </w:pPr>
            <w:r w:rsidRPr="005E3B43">
              <w:t>r 66</w:t>
            </w:r>
            <w:r w:rsidRPr="005E3B43">
              <w:tab/>
            </w:r>
          </w:p>
        </w:tc>
        <w:tc>
          <w:tcPr>
            <w:tcW w:w="3505" w:type="pct"/>
          </w:tcPr>
          <w:p w14:paraId="71E0A3B1" w14:textId="77777777" w:rsidR="000447ED" w:rsidRPr="005E3B43" w:rsidRDefault="000447ED" w:rsidP="00763BCF">
            <w:pPr>
              <w:pStyle w:val="ENoteTableText"/>
            </w:pPr>
            <w:r w:rsidRPr="005E3B43">
              <w:t>ad F2018L00865</w:t>
            </w:r>
          </w:p>
        </w:tc>
      </w:tr>
      <w:tr w:rsidR="000447ED" w:rsidRPr="005E3B43" w14:paraId="6465B619" w14:textId="77777777" w:rsidTr="00034EA9">
        <w:trPr>
          <w:cantSplit/>
        </w:trPr>
        <w:tc>
          <w:tcPr>
            <w:tcW w:w="1495" w:type="pct"/>
          </w:tcPr>
          <w:p w14:paraId="3181E6BA" w14:textId="77777777" w:rsidR="000447ED" w:rsidRPr="005E3B43" w:rsidRDefault="003C0723" w:rsidP="00763BCF">
            <w:pPr>
              <w:pStyle w:val="ENoteTableText"/>
              <w:tabs>
                <w:tab w:val="center" w:leader="dot" w:pos="2268"/>
              </w:tabs>
              <w:rPr>
                <w:b/>
              </w:rPr>
            </w:pPr>
            <w:r w:rsidRPr="005E3B43">
              <w:rPr>
                <w:b/>
              </w:rPr>
              <w:t>Division 1</w:t>
            </w:r>
            <w:r w:rsidR="000447ED" w:rsidRPr="005E3B43">
              <w:rPr>
                <w:b/>
              </w:rPr>
              <w:t>0</w:t>
            </w:r>
          </w:p>
        </w:tc>
        <w:tc>
          <w:tcPr>
            <w:tcW w:w="3505" w:type="pct"/>
          </w:tcPr>
          <w:p w14:paraId="5F7D48FB" w14:textId="77777777" w:rsidR="000447ED" w:rsidRPr="005E3B43" w:rsidRDefault="000447ED" w:rsidP="00763BCF">
            <w:pPr>
              <w:pStyle w:val="ENoteTableText"/>
            </w:pPr>
          </w:p>
        </w:tc>
      </w:tr>
      <w:tr w:rsidR="000447ED" w:rsidRPr="005E3B43" w14:paraId="0228852C" w14:textId="77777777" w:rsidTr="00034EA9">
        <w:trPr>
          <w:cantSplit/>
        </w:trPr>
        <w:tc>
          <w:tcPr>
            <w:tcW w:w="1495" w:type="pct"/>
          </w:tcPr>
          <w:p w14:paraId="2D07D305" w14:textId="77777777" w:rsidR="000447ED" w:rsidRPr="005E3B43" w:rsidRDefault="003C0723" w:rsidP="00763BCF">
            <w:pPr>
              <w:pStyle w:val="ENoteTableText"/>
              <w:tabs>
                <w:tab w:val="center" w:leader="dot" w:pos="2268"/>
              </w:tabs>
            </w:pPr>
            <w:r w:rsidRPr="005E3B43">
              <w:t>Division 1</w:t>
            </w:r>
            <w:r w:rsidR="000447ED" w:rsidRPr="005E3B43">
              <w:t>0</w:t>
            </w:r>
            <w:r w:rsidR="000447ED" w:rsidRPr="005E3B43">
              <w:tab/>
            </w:r>
          </w:p>
        </w:tc>
        <w:tc>
          <w:tcPr>
            <w:tcW w:w="3505" w:type="pct"/>
          </w:tcPr>
          <w:p w14:paraId="20373CE9" w14:textId="77777777" w:rsidR="000447ED" w:rsidRPr="005E3B43" w:rsidRDefault="000447ED" w:rsidP="00763BCF">
            <w:pPr>
              <w:pStyle w:val="ENoteTableText"/>
            </w:pPr>
            <w:r w:rsidRPr="005E3B43">
              <w:t>ad F2018L01434</w:t>
            </w:r>
          </w:p>
        </w:tc>
      </w:tr>
      <w:tr w:rsidR="000447ED" w:rsidRPr="005E3B43" w14:paraId="0609B669" w14:textId="77777777" w:rsidTr="00034EA9">
        <w:trPr>
          <w:cantSplit/>
        </w:trPr>
        <w:tc>
          <w:tcPr>
            <w:tcW w:w="1495" w:type="pct"/>
          </w:tcPr>
          <w:p w14:paraId="6789AA3F" w14:textId="77777777" w:rsidR="000447ED" w:rsidRPr="005E3B43" w:rsidRDefault="000447ED" w:rsidP="00763BCF">
            <w:pPr>
              <w:pStyle w:val="ENoteTableText"/>
              <w:tabs>
                <w:tab w:val="center" w:leader="dot" w:pos="2268"/>
              </w:tabs>
            </w:pPr>
            <w:r w:rsidRPr="005E3B43">
              <w:t>r 67</w:t>
            </w:r>
            <w:r w:rsidRPr="005E3B43">
              <w:tab/>
            </w:r>
          </w:p>
        </w:tc>
        <w:tc>
          <w:tcPr>
            <w:tcW w:w="3505" w:type="pct"/>
          </w:tcPr>
          <w:p w14:paraId="275514BF" w14:textId="77777777" w:rsidR="000447ED" w:rsidRPr="005E3B43" w:rsidRDefault="000447ED" w:rsidP="00763BCF">
            <w:pPr>
              <w:pStyle w:val="ENoteTableText"/>
            </w:pPr>
            <w:r w:rsidRPr="005E3B43">
              <w:t>ad F2018L01434</w:t>
            </w:r>
          </w:p>
        </w:tc>
      </w:tr>
      <w:tr w:rsidR="005633E4" w:rsidRPr="005E3B43" w14:paraId="12E0BB49" w14:textId="77777777" w:rsidTr="00034EA9">
        <w:trPr>
          <w:cantSplit/>
        </w:trPr>
        <w:tc>
          <w:tcPr>
            <w:tcW w:w="1495" w:type="pct"/>
          </w:tcPr>
          <w:p w14:paraId="3DA79783" w14:textId="77777777" w:rsidR="005633E4" w:rsidRPr="005E3B43" w:rsidRDefault="003C0723" w:rsidP="00763BCF">
            <w:pPr>
              <w:pStyle w:val="ENoteTableText"/>
              <w:tabs>
                <w:tab w:val="center" w:leader="dot" w:pos="2268"/>
              </w:tabs>
              <w:rPr>
                <w:b/>
              </w:rPr>
            </w:pPr>
            <w:r w:rsidRPr="005E3B43">
              <w:rPr>
                <w:b/>
              </w:rPr>
              <w:t>Division 1</w:t>
            </w:r>
            <w:r w:rsidR="005633E4" w:rsidRPr="005E3B43">
              <w:rPr>
                <w:b/>
              </w:rPr>
              <w:t>1</w:t>
            </w:r>
          </w:p>
        </w:tc>
        <w:tc>
          <w:tcPr>
            <w:tcW w:w="3505" w:type="pct"/>
          </w:tcPr>
          <w:p w14:paraId="616C4D5C" w14:textId="77777777" w:rsidR="005633E4" w:rsidRPr="005E3B43" w:rsidRDefault="005633E4" w:rsidP="00763BCF">
            <w:pPr>
              <w:pStyle w:val="ENoteTableText"/>
            </w:pPr>
          </w:p>
        </w:tc>
      </w:tr>
      <w:tr w:rsidR="005633E4" w:rsidRPr="005E3B43" w14:paraId="734754DA" w14:textId="77777777" w:rsidTr="00034EA9">
        <w:trPr>
          <w:cantSplit/>
        </w:trPr>
        <w:tc>
          <w:tcPr>
            <w:tcW w:w="1495" w:type="pct"/>
          </w:tcPr>
          <w:p w14:paraId="527D9278" w14:textId="77777777" w:rsidR="005633E4" w:rsidRPr="005E3B43" w:rsidRDefault="003C0723" w:rsidP="00763BCF">
            <w:pPr>
              <w:pStyle w:val="ENoteTableText"/>
              <w:tabs>
                <w:tab w:val="center" w:leader="dot" w:pos="2268"/>
              </w:tabs>
            </w:pPr>
            <w:r w:rsidRPr="005E3B43">
              <w:t>Division 1</w:t>
            </w:r>
            <w:r w:rsidR="005633E4" w:rsidRPr="005E3B43">
              <w:t>1</w:t>
            </w:r>
            <w:r w:rsidR="005633E4" w:rsidRPr="005E3B43">
              <w:tab/>
            </w:r>
          </w:p>
        </w:tc>
        <w:tc>
          <w:tcPr>
            <w:tcW w:w="3505" w:type="pct"/>
          </w:tcPr>
          <w:p w14:paraId="3668F337" w14:textId="77777777" w:rsidR="005633E4" w:rsidRPr="005E3B43" w:rsidRDefault="005633E4" w:rsidP="00763BCF">
            <w:pPr>
              <w:pStyle w:val="ENoteTableText"/>
            </w:pPr>
            <w:r w:rsidRPr="005E3B43">
              <w:t>ad F2019L01260</w:t>
            </w:r>
          </w:p>
        </w:tc>
      </w:tr>
      <w:tr w:rsidR="005633E4" w:rsidRPr="005E3B43" w14:paraId="21195A9B" w14:textId="77777777" w:rsidTr="00034EA9">
        <w:trPr>
          <w:cantSplit/>
        </w:trPr>
        <w:tc>
          <w:tcPr>
            <w:tcW w:w="1495" w:type="pct"/>
          </w:tcPr>
          <w:p w14:paraId="128F212A" w14:textId="77777777" w:rsidR="005633E4" w:rsidRPr="005E3B43" w:rsidRDefault="005633E4" w:rsidP="00763BCF">
            <w:pPr>
              <w:pStyle w:val="ENoteTableText"/>
              <w:tabs>
                <w:tab w:val="center" w:leader="dot" w:pos="2268"/>
              </w:tabs>
            </w:pPr>
            <w:r w:rsidRPr="005E3B43">
              <w:t>r 68</w:t>
            </w:r>
            <w:r w:rsidRPr="005E3B43">
              <w:tab/>
            </w:r>
          </w:p>
        </w:tc>
        <w:tc>
          <w:tcPr>
            <w:tcW w:w="3505" w:type="pct"/>
          </w:tcPr>
          <w:p w14:paraId="17F80660" w14:textId="77777777" w:rsidR="005633E4" w:rsidRPr="005E3B43" w:rsidRDefault="005633E4" w:rsidP="00763BCF">
            <w:pPr>
              <w:pStyle w:val="ENoteTableText"/>
            </w:pPr>
            <w:r w:rsidRPr="005E3B43">
              <w:t>ad F2019L01260</w:t>
            </w:r>
          </w:p>
        </w:tc>
      </w:tr>
      <w:tr w:rsidR="00BE6888" w:rsidRPr="005E3B43" w14:paraId="1AC8ED95" w14:textId="77777777" w:rsidTr="00034EA9">
        <w:trPr>
          <w:cantSplit/>
        </w:trPr>
        <w:tc>
          <w:tcPr>
            <w:tcW w:w="1495" w:type="pct"/>
          </w:tcPr>
          <w:p w14:paraId="64B5BBF5" w14:textId="77777777" w:rsidR="00BE6888" w:rsidRPr="005E3B43" w:rsidRDefault="003C0723" w:rsidP="00763BCF">
            <w:pPr>
              <w:pStyle w:val="ENoteTableText"/>
              <w:tabs>
                <w:tab w:val="center" w:leader="dot" w:pos="2268"/>
              </w:tabs>
              <w:rPr>
                <w:b/>
              </w:rPr>
            </w:pPr>
            <w:r w:rsidRPr="005E3B43">
              <w:rPr>
                <w:b/>
              </w:rPr>
              <w:t>Division 1</w:t>
            </w:r>
            <w:r w:rsidR="00BE6888" w:rsidRPr="005E3B43">
              <w:rPr>
                <w:b/>
              </w:rPr>
              <w:t>2</w:t>
            </w:r>
          </w:p>
        </w:tc>
        <w:tc>
          <w:tcPr>
            <w:tcW w:w="3505" w:type="pct"/>
          </w:tcPr>
          <w:p w14:paraId="2AF88311" w14:textId="77777777" w:rsidR="00BE6888" w:rsidRPr="005E3B43" w:rsidRDefault="00BE6888" w:rsidP="00763BCF">
            <w:pPr>
              <w:pStyle w:val="ENoteTableText"/>
            </w:pPr>
          </w:p>
        </w:tc>
      </w:tr>
      <w:tr w:rsidR="00BE6888" w:rsidRPr="005E3B43" w14:paraId="74A8C2E8" w14:textId="77777777" w:rsidTr="00034EA9">
        <w:trPr>
          <w:cantSplit/>
        </w:trPr>
        <w:tc>
          <w:tcPr>
            <w:tcW w:w="1495" w:type="pct"/>
          </w:tcPr>
          <w:p w14:paraId="294F2EC5" w14:textId="77777777" w:rsidR="00BE6888" w:rsidRPr="005E3B43" w:rsidRDefault="003C0723" w:rsidP="00763BCF">
            <w:pPr>
              <w:pStyle w:val="ENoteTableText"/>
              <w:tabs>
                <w:tab w:val="center" w:leader="dot" w:pos="2268"/>
              </w:tabs>
            </w:pPr>
            <w:r w:rsidRPr="005E3B43">
              <w:t>Division 1</w:t>
            </w:r>
            <w:r w:rsidR="00BE6888" w:rsidRPr="005E3B43">
              <w:t>2</w:t>
            </w:r>
            <w:r w:rsidR="00BE6888" w:rsidRPr="005E3B43">
              <w:tab/>
            </w:r>
          </w:p>
        </w:tc>
        <w:tc>
          <w:tcPr>
            <w:tcW w:w="3505" w:type="pct"/>
          </w:tcPr>
          <w:p w14:paraId="5DC1F389" w14:textId="77777777" w:rsidR="00BE6888" w:rsidRPr="005E3B43" w:rsidRDefault="00BE6888" w:rsidP="00763BCF">
            <w:pPr>
              <w:pStyle w:val="ENoteTableText"/>
            </w:pPr>
            <w:r w:rsidRPr="005E3B43">
              <w:t>ad F2019L01660</w:t>
            </w:r>
          </w:p>
        </w:tc>
      </w:tr>
      <w:tr w:rsidR="00BE6888" w:rsidRPr="005E3B43" w14:paraId="2F6B3DB1" w14:textId="77777777" w:rsidTr="00034EA9">
        <w:trPr>
          <w:cantSplit/>
        </w:trPr>
        <w:tc>
          <w:tcPr>
            <w:tcW w:w="1495" w:type="pct"/>
          </w:tcPr>
          <w:p w14:paraId="094A2CF4" w14:textId="77777777" w:rsidR="00BE6888" w:rsidRPr="005E3B43" w:rsidRDefault="00BE6888" w:rsidP="00763BCF">
            <w:pPr>
              <w:pStyle w:val="ENoteTableText"/>
              <w:tabs>
                <w:tab w:val="center" w:leader="dot" w:pos="2268"/>
              </w:tabs>
              <w:rPr>
                <w:b/>
              </w:rPr>
            </w:pPr>
            <w:r w:rsidRPr="005E3B43">
              <w:rPr>
                <w:b/>
              </w:rPr>
              <w:t>Subdivision A</w:t>
            </w:r>
          </w:p>
        </w:tc>
        <w:tc>
          <w:tcPr>
            <w:tcW w:w="3505" w:type="pct"/>
          </w:tcPr>
          <w:p w14:paraId="7DAB4B0D" w14:textId="77777777" w:rsidR="00BE6888" w:rsidRPr="005E3B43" w:rsidRDefault="00BE6888" w:rsidP="00763BCF">
            <w:pPr>
              <w:pStyle w:val="ENoteTableText"/>
            </w:pPr>
            <w:bookmarkStart w:id="471" w:name="opcCurrentPosition"/>
            <w:bookmarkEnd w:id="471"/>
          </w:p>
        </w:tc>
      </w:tr>
      <w:tr w:rsidR="00BE6888" w:rsidRPr="005E3B43" w14:paraId="4A6A8D10" w14:textId="77777777" w:rsidTr="00034EA9">
        <w:trPr>
          <w:cantSplit/>
        </w:trPr>
        <w:tc>
          <w:tcPr>
            <w:tcW w:w="1495" w:type="pct"/>
          </w:tcPr>
          <w:p w14:paraId="402A6E77" w14:textId="77777777" w:rsidR="00BE6888" w:rsidRPr="005E3B43" w:rsidRDefault="00F06C5B" w:rsidP="00763BCF">
            <w:pPr>
              <w:pStyle w:val="ENoteTableText"/>
              <w:tabs>
                <w:tab w:val="center" w:leader="dot" w:pos="2268"/>
              </w:tabs>
            </w:pPr>
            <w:r w:rsidRPr="005E3B43">
              <w:t>r</w:t>
            </w:r>
            <w:r w:rsidR="00BE6888" w:rsidRPr="005E3B43">
              <w:t xml:space="preserve"> 69</w:t>
            </w:r>
            <w:r w:rsidR="00BE6888" w:rsidRPr="005E3B43">
              <w:tab/>
            </w:r>
          </w:p>
        </w:tc>
        <w:tc>
          <w:tcPr>
            <w:tcW w:w="3505" w:type="pct"/>
          </w:tcPr>
          <w:p w14:paraId="36DCA9CA" w14:textId="77777777" w:rsidR="00BE6888" w:rsidRPr="005E3B43" w:rsidRDefault="00BE6888" w:rsidP="00763BCF">
            <w:pPr>
              <w:pStyle w:val="ENoteTableText"/>
            </w:pPr>
            <w:r w:rsidRPr="005E3B43">
              <w:t>ad F2019L01660</w:t>
            </w:r>
          </w:p>
        </w:tc>
      </w:tr>
      <w:tr w:rsidR="00BE6888" w:rsidRPr="005E3B43" w14:paraId="2DB650B7" w14:textId="77777777" w:rsidTr="00034EA9">
        <w:trPr>
          <w:cantSplit/>
        </w:trPr>
        <w:tc>
          <w:tcPr>
            <w:tcW w:w="1495" w:type="pct"/>
          </w:tcPr>
          <w:p w14:paraId="74B2811E" w14:textId="77777777" w:rsidR="00BE6888" w:rsidRPr="005E3B43" w:rsidRDefault="00BE6888" w:rsidP="00763BCF">
            <w:pPr>
              <w:pStyle w:val="ENoteTableText"/>
              <w:tabs>
                <w:tab w:val="center" w:leader="dot" w:pos="2268"/>
              </w:tabs>
              <w:rPr>
                <w:b/>
              </w:rPr>
            </w:pPr>
            <w:r w:rsidRPr="005E3B43">
              <w:rPr>
                <w:b/>
              </w:rPr>
              <w:t>Subdivision B</w:t>
            </w:r>
          </w:p>
        </w:tc>
        <w:tc>
          <w:tcPr>
            <w:tcW w:w="3505" w:type="pct"/>
          </w:tcPr>
          <w:p w14:paraId="7F1041B9" w14:textId="77777777" w:rsidR="00BE6888" w:rsidRPr="005E3B43" w:rsidRDefault="00BE6888" w:rsidP="00763BCF">
            <w:pPr>
              <w:pStyle w:val="ENoteTableText"/>
            </w:pPr>
          </w:p>
        </w:tc>
      </w:tr>
      <w:tr w:rsidR="00BE6888" w:rsidRPr="005E3B43" w14:paraId="46688E22" w14:textId="77777777" w:rsidTr="00034EA9">
        <w:trPr>
          <w:cantSplit/>
        </w:trPr>
        <w:tc>
          <w:tcPr>
            <w:tcW w:w="1495" w:type="pct"/>
          </w:tcPr>
          <w:p w14:paraId="464355B8" w14:textId="77777777" w:rsidR="00BE6888" w:rsidRPr="005E3B43" w:rsidRDefault="00F06C5B" w:rsidP="00763BCF">
            <w:pPr>
              <w:pStyle w:val="ENoteTableText"/>
              <w:tabs>
                <w:tab w:val="center" w:leader="dot" w:pos="2268"/>
              </w:tabs>
            </w:pPr>
            <w:r w:rsidRPr="005E3B43">
              <w:t>r</w:t>
            </w:r>
            <w:r w:rsidR="00BE6888" w:rsidRPr="005E3B43">
              <w:t xml:space="preserve"> 70</w:t>
            </w:r>
            <w:r w:rsidR="00BE6888" w:rsidRPr="005E3B43">
              <w:tab/>
            </w:r>
          </w:p>
        </w:tc>
        <w:tc>
          <w:tcPr>
            <w:tcW w:w="3505" w:type="pct"/>
          </w:tcPr>
          <w:p w14:paraId="203C5A7F" w14:textId="77777777" w:rsidR="00BE6888" w:rsidRPr="005E3B43" w:rsidRDefault="00BE6888" w:rsidP="00763BCF">
            <w:pPr>
              <w:pStyle w:val="ENoteTableText"/>
            </w:pPr>
            <w:r w:rsidRPr="005E3B43">
              <w:t>ad F2019L01660</w:t>
            </w:r>
          </w:p>
        </w:tc>
      </w:tr>
      <w:tr w:rsidR="004E1992" w:rsidRPr="005E3B43" w14:paraId="17A0FFAC" w14:textId="77777777" w:rsidTr="00034EA9">
        <w:trPr>
          <w:cantSplit/>
        </w:trPr>
        <w:tc>
          <w:tcPr>
            <w:tcW w:w="1495" w:type="pct"/>
          </w:tcPr>
          <w:p w14:paraId="34217995" w14:textId="77777777" w:rsidR="004E1992" w:rsidRPr="005E3B43" w:rsidRDefault="004E1992" w:rsidP="00763BCF">
            <w:pPr>
              <w:pStyle w:val="ENoteTableText"/>
              <w:tabs>
                <w:tab w:val="center" w:leader="dot" w:pos="2268"/>
              </w:tabs>
            </w:pPr>
          </w:p>
        </w:tc>
        <w:tc>
          <w:tcPr>
            <w:tcW w:w="3505" w:type="pct"/>
          </w:tcPr>
          <w:p w14:paraId="03420AB2" w14:textId="77777777" w:rsidR="004E1992" w:rsidRPr="005E3B43" w:rsidRDefault="004E1992" w:rsidP="00763BCF">
            <w:pPr>
              <w:pStyle w:val="ENoteTableText"/>
            </w:pPr>
            <w:r w:rsidRPr="005E3B43">
              <w:t>am F2020L00946</w:t>
            </w:r>
          </w:p>
        </w:tc>
      </w:tr>
      <w:tr w:rsidR="00BE6888" w:rsidRPr="005E3B43" w14:paraId="204687E9" w14:textId="77777777" w:rsidTr="00034EA9">
        <w:trPr>
          <w:cantSplit/>
        </w:trPr>
        <w:tc>
          <w:tcPr>
            <w:tcW w:w="1495" w:type="pct"/>
          </w:tcPr>
          <w:p w14:paraId="167D1506" w14:textId="77777777" w:rsidR="00BE6888" w:rsidRPr="005E3B43" w:rsidRDefault="00F06C5B" w:rsidP="00763BCF">
            <w:pPr>
              <w:pStyle w:val="ENoteTableText"/>
              <w:tabs>
                <w:tab w:val="center" w:leader="dot" w:pos="2268"/>
              </w:tabs>
            </w:pPr>
            <w:r w:rsidRPr="005E3B43">
              <w:t>r</w:t>
            </w:r>
            <w:r w:rsidR="00BE6888" w:rsidRPr="005E3B43">
              <w:t xml:space="preserve"> 71</w:t>
            </w:r>
            <w:r w:rsidR="00BE6888" w:rsidRPr="005E3B43">
              <w:tab/>
            </w:r>
          </w:p>
        </w:tc>
        <w:tc>
          <w:tcPr>
            <w:tcW w:w="3505" w:type="pct"/>
          </w:tcPr>
          <w:p w14:paraId="579C3FC0" w14:textId="77777777" w:rsidR="00BE6888" w:rsidRPr="005E3B43" w:rsidRDefault="00BE6888" w:rsidP="00763BCF">
            <w:pPr>
              <w:pStyle w:val="ENoteTableText"/>
            </w:pPr>
            <w:r w:rsidRPr="005E3B43">
              <w:t>ad F2019L01660</w:t>
            </w:r>
          </w:p>
        </w:tc>
      </w:tr>
      <w:tr w:rsidR="004E1992" w:rsidRPr="005E3B43" w14:paraId="2E32FEF2" w14:textId="77777777" w:rsidTr="00034EA9">
        <w:trPr>
          <w:cantSplit/>
        </w:trPr>
        <w:tc>
          <w:tcPr>
            <w:tcW w:w="1495" w:type="pct"/>
          </w:tcPr>
          <w:p w14:paraId="4CD8C358" w14:textId="77777777" w:rsidR="004E1992" w:rsidRPr="005E3B43" w:rsidRDefault="004E1992" w:rsidP="00763BCF">
            <w:pPr>
              <w:pStyle w:val="ENoteTableText"/>
              <w:tabs>
                <w:tab w:val="center" w:leader="dot" w:pos="2268"/>
              </w:tabs>
            </w:pPr>
          </w:p>
        </w:tc>
        <w:tc>
          <w:tcPr>
            <w:tcW w:w="3505" w:type="pct"/>
          </w:tcPr>
          <w:p w14:paraId="32CAEEAC" w14:textId="77777777" w:rsidR="004E1992" w:rsidRPr="005E3B43" w:rsidRDefault="004E1992" w:rsidP="00763BCF">
            <w:pPr>
              <w:pStyle w:val="ENoteTableText"/>
            </w:pPr>
            <w:r w:rsidRPr="005E3B43">
              <w:t>am F2020L00946</w:t>
            </w:r>
          </w:p>
        </w:tc>
      </w:tr>
      <w:tr w:rsidR="00BE6888" w:rsidRPr="005E3B43" w14:paraId="6C04C408" w14:textId="77777777" w:rsidTr="00034EA9">
        <w:trPr>
          <w:cantSplit/>
        </w:trPr>
        <w:tc>
          <w:tcPr>
            <w:tcW w:w="1495" w:type="pct"/>
          </w:tcPr>
          <w:p w14:paraId="756B682C" w14:textId="77777777" w:rsidR="00BE6888" w:rsidRPr="005E3B43" w:rsidRDefault="00BE6888" w:rsidP="00763BCF">
            <w:pPr>
              <w:pStyle w:val="ENoteTableText"/>
              <w:tabs>
                <w:tab w:val="center" w:leader="dot" w:pos="2268"/>
              </w:tabs>
              <w:rPr>
                <w:b/>
              </w:rPr>
            </w:pPr>
            <w:r w:rsidRPr="005E3B43">
              <w:rPr>
                <w:b/>
              </w:rPr>
              <w:t>Subdivision C</w:t>
            </w:r>
          </w:p>
        </w:tc>
        <w:tc>
          <w:tcPr>
            <w:tcW w:w="3505" w:type="pct"/>
          </w:tcPr>
          <w:p w14:paraId="34884D28" w14:textId="77777777" w:rsidR="00BE6888" w:rsidRPr="005E3B43" w:rsidRDefault="00BE6888" w:rsidP="00763BCF">
            <w:pPr>
              <w:pStyle w:val="ENoteTableText"/>
            </w:pPr>
          </w:p>
        </w:tc>
      </w:tr>
      <w:tr w:rsidR="00BE6888" w:rsidRPr="005E3B43" w14:paraId="7014C65C" w14:textId="77777777" w:rsidTr="00034EA9">
        <w:trPr>
          <w:cantSplit/>
        </w:trPr>
        <w:tc>
          <w:tcPr>
            <w:tcW w:w="1495" w:type="pct"/>
          </w:tcPr>
          <w:p w14:paraId="0DE15235" w14:textId="77777777" w:rsidR="00BE6888" w:rsidRPr="005E3B43" w:rsidRDefault="00F06C5B" w:rsidP="00763BCF">
            <w:pPr>
              <w:pStyle w:val="ENoteTableText"/>
              <w:tabs>
                <w:tab w:val="center" w:leader="dot" w:pos="2268"/>
              </w:tabs>
            </w:pPr>
            <w:r w:rsidRPr="005E3B43">
              <w:t>r</w:t>
            </w:r>
            <w:r w:rsidR="00BE6888" w:rsidRPr="005E3B43">
              <w:t xml:space="preserve"> 72</w:t>
            </w:r>
            <w:r w:rsidR="00BE6888" w:rsidRPr="005E3B43">
              <w:tab/>
            </w:r>
          </w:p>
        </w:tc>
        <w:tc>
          <w:tcPr>
            <w:tcW w:w="3505" w:type="pct"/>
          </w:tcPr>
          <w:p w14:paraId="181B72EE" w14:textId="77777777" w:rsidR="00BE6888" w:rsidRPr="005E3B43" w:rsidRDefault="00BE6888" w:rsidP="00763BCF">
            <w:pPr>
              <w:pStyle w:val="ENoteTableText"/>
            </w:pPr>
            <w:r w:rsidRPr="005E3B43">
              <w:t>ad F2019L01660</w:t>
            </w:r>
          </w:p>
        </w:tc>
      </w:tr>
      <w:tr w:rsidR="006D0BFC" w:rsidRPr="005E3B43" w14:paraId="0858EEE7" w14:textId="77777777" w:rsidTr="00034EA9">
        <w:trPr>
          <w:cantSplit/>
        </w:trPr>
        <w:tc>
          <w:tcPr>
            <w:tcW w:w="1495" w:type="pct"/>
          </w:tcPr>
          <w:p w14:paraId="680AB693" w14:textId="77777777" w:rsidR="006D0BFC" w:rsidRPr="005E3B43" w:rsidRDefault="006D0BFC" w:rsidP="00763BCF">
            <w:pPr>
              <w:pStyle w:val="ENoteTableText"/>
              <w:tabs>
                <w:tab w:val="center" w:leader="dot" w:pos="2268"/>
              </w:tabs>
            </w:pPr>
          </w:p>
        </w:tc>
        <w:tc>
          <w:tcPr>
            <w:tcW w:w="3505" w:type="pct"/>
          </w:tcPr>
          <w:p w14:paraId="7E0B08AE" w14:textId="77777777" w:rsidR="006D0BFC" w:rsidRPr="005E3B43" w:rsidRDefault="006D0BFC" w:rsidP="00763BCF">
            <w:pPr>
              <w:pStyle w:val="ENoteTableText"/>
            </w:pPr>
            <w:r w:rsidRPr="005E3B43">
              <w:t>am F2021L01474</w:t>
            </w:r>
          </w:p>
        </w:tc>
      </w:tr>
      <w:tr w:rsidR="00BE6888" w:rsidRPr="005E3B43" w14:paraId="0DEAA2D0" w14:textId="77777777" w:rsidTr="00034EA9">
        <w:trPr>
          <w:cantSplit/>
        </w:trPr>
        <w:tc>
          <w:tcPr>
            <w:tcW w:w="1495" w:type="pct"/>
          </w:tcPr>
          <w:p w14:paraId="56D1D8C7" w14:textId="77777777" w:rsidR="00BE6888" w:rsidRPr="005E3B43" w:rsidRDefault="00BE6888" w:rsidP="00763BCF">
            <w:pPr>
              <w:pStyle w:val="ENoteTableText"/>
              <w:tabs>
                <w:tab w:val="center" w:leader="dot" w:pos="2268"/>
              </w:tabs>
              <w:rPr>
                <w:b/>
              </w:rPr>
            </w:pPr>
            <w:r w:rsidRPr="005E3B43">
              <w:rPr>
                <w:b/>
              </w:rPr>
              <w:t>Subdivision D</w:t>
            </w:r>
          </w:p>
        </w:tc>
        <w:tc>
          <w:tcPr>
            <w:tcW w:w="3505" w:type="pct"/>
          </w:tcPr>
          <w:p w14:paraId="4B76215C" w14:textId="77777777" w:rsidR="00BE6888" w:rsidRPr="005E3B43" w:rsidRDefault="00BE6888" w:rsidP="00763BCF">
            <w:pPr>
              <w:pStyle w:val="ENoteTableText"/>
            </w:pPr>
          </w:p>
        </w:tc>
      </w:tr>
      <w:tr w:rsidR="00BE6888" w:rsidRPr="005E3B43" w14:paraId="14525BE1" w14:textId="77777777" w:rsidTr="00034EA9">
        <w:trPr>
          <w:cantSplit/>
        </w:trPr>
        <w:tc>
          <w:tcPr>
            <w:tcW w:w="1495" w:type="pct"/>
          </w:tcPr>
          <w:p w14:paraId="7D74B79C" w14:textId="77777777" w:rsidR="00BE6888" w:rsidRPr="005E3B43" w:rsidRDefault="00F06C5B" w:rsidP="00763BCF">
            <w:pPr>
              <w:pStyle w:val="ENoteTableText"/>
              <w:tabs>
                <w:tab w:val="center" w:leader="dot" w:pos="2268"/>
              </w:tabs>
            </w:pPr>
            <w:r w:rsidRPr="005E3B43">
              <w:t>r</w:t>
            </w:r>
            <w:r w:rsidR="00BE6888" w:rsidRPr="005E3B43">
              <w:t xml:space="preserve"> 73</w:t>
            </w:r>
            <w:r w:rsidR="00BE6888" w:rsidRPr="005E3B43">
              <w:tab/>
            </w:r>
          </w:p>
        </w:tc>
        <w:tc>
          <w:tcPr>
            <w:tcW w:w="3505" w:type="pct"/>
          </w:tcPr>
          <w:p w14:paraId="01B4E8C4" w14:textId="77777777" w:rsidR="00BE6888" w:rsidRPr="005E3B43" w:rsidRDefault="00BE6888" w:rsidP="00763BCF">
            <w:pPr>
              <w:pStyle w:val="ENoteTableText"/>
            </w:pPr>
            <w:r w:rsidRPr="005E3B43">
              <w:t>ad F2019L01660</w:t>
            </w:r>
          </w:p>
        </w:tc>
      </w:tr>
      <w:tr w:rsidR="00BE6888" w:rsidRPr="005E3B43" w14:paraId="30426C8B" w14:textId="77777777" w:rsidTr="00034EA9">
        <w:trPr>
          <w:cantSplit/>
        </w:trPr>
        <w:tc>
          <w:tcPr>
            <w:tcW w:w="1495" w:type="pct"/>
          </w:tcPr>
          <w:p w14:paraId="369B94D1" w14:textId="77777777" w:rsidR="00BE6888" w:rsidRPr="005E3B43" w:rsidRDefault="00BE6888" w:rsidP="00763BCF">
            <w:pPr>
              <w:pStyle w:val="ENoteTableText"/>
              <w:tabs>
                <w:tab w:val="center" w:leader="dot" w:pos="2268"/>
              </w:tabs>
              <w:rPr>
                <w:b/>
              </w:rPr>
            </w:pPr>
            <w:r w:rsidRPr="005E3B43">
              <w:rPr>
                <w:b/>
              </w:rPr>
              <w:t>Subdivision E</w:t>
            </w:r>
          </w:p>
        </w:tc>
        <w:tc>
          <w:tcPr>
            <w:tcW w:w="3505" w:type="pct"/>
          </w:tcPr>
          <w:p w14:paraId="09A8EAC0" w14:textId="77777777" w:rsidR="00BE6888" w:rsidRPr="005E3B43" w:rsidRDefault="00BE6888" w:rsidP="00763BCF">
            <w:pPr>
              <w:pStyle w:val="ENoteTableText"/>
            </w:pPr>
          </w:p>
        </w:tc>
      </w:tr>
      <w:tr w:rsidR="00BE6888" w:rsidRPr="005E3B43" w14:paraId="7A1F8C10" w14:textId="77777777" w:rsidTr="00034EA9">
        <w:trPr>
          <w:cantSplit/>
        </w:trPr>
        <w:tc>
          <w:tcPr>
            <w:tcW w:w="1495" w:type="pct"/>
          </w:tcPr>
          <w:p w14:paraId="7F4ACB16" w14:textId="77777777" w:rsidR="00BE6888" w:rsidRPr="005E3B43" w:rsidRDefault="00F06C5B" w:rsidP="00763BCF">
            <w:pPr>
              <w:pStyle w:val="ENoteTableText"/>
              <w:tabs>
                <w:tab w:val="center" w:leader="dot" w:pos="2268"/>
              </w:tabs>
            </w:pPr>
            <w:r w:rsidRPr="005E3B43">
              <w:t>r</w:t>
            </w:r>
            <w:r w:rsidR="00BE6888" w:rsidRPr="005E3B43">
              <w:t xml:space="preserve"> 74</w:t>
            </w:r>
            <w:r w:rsidR="00BE6888" w:rsidRPr="005E3B43">
              <w:tab/>
            </w:r>
          </w:p>
        </w:tc>
        <w:tc>
          <w:tcPr>
            <w:tcW w:w="3505" w:type="pct"/>
          </w:tcPr>
          <w:p w14:paraId="735E0CD7" w14:textId="77777777" w:rsidR="00BE6888" w:rsidRPr="005E3B43" w:rsidRDefault="00BE6888" w:rsidP="00763BCF">
            <w:pPr>
              <w:pStyle w:val="ENoteTableText"/>
            </w:pPr>
            <w:r w:rsidRPr="005E3B43">
              <w:t>ad F2019L01660</w:t>
            </w:r>
          </w:p>
        </w:tc>
      </w:tr>
      <w:tr w:rsidR="00BE6888" w:rsidRPr="005E3B43" w14:paraId="5944AC99" w14:textId="77777777" w:rsidTr="00034EA9">
        <w:trPr>
          <w:cantSplit/>
        </w:trPr>
        <w:tc>
          <w:tcPr>
            <w:tcW w:w="1495" w:type="pct"/>
          </w:tcPr>
          <w:p w14:paraId="274D3AAC" w14:textId="77777777" w:rsidR="00BE6888" w:rsidRPr="005E3B43" w:rsidRDefault="00BE6888" w:rsidP="00763BCF">
            <w:pPr>
              <w:pStyle w:val="ENoteTableText"/>
              <w:tabs>
                <w:tab w:val="center" w:leader="dot" w:pos="2268"/>
              </w:tabs>
              <w:rPr>
                <w:b/>
              </w:rPr>
            </w:pPr>
            <w:r w:rsidRPr="005E3B43">
              <w:rPr>
                <w:b/>
              </w:rPr>
              <w:t>Subdivision F</w:t>
            </w:r>
          </w:p>
        </w:tc>
        <w:tc>
          <w:tcPr>
            <w:tcW w:w="3505" w:type="pct"/>
          </w:tcPr>
          <w:p w14:paraId="58D0B1DF" w14:textId="77777777" w:rsidR="00BE6888" w:rsidRPr="005E3B43" w:rsidRDefault="00BE6888" w:rsidP="00763BCF">
            <w:pPr>
              <w:pStyle w:val="ENoteTableText"/>
            </w:pPr>
          </w:p>
        </w:tc>
      </w:tr>
      <w:tr w:rsidR="00BE6888" w:rsidRPr="005E3B43" w14:paraId="2E903D3F" w14:textId="77777777" w:rsidTr="00034EA9">
        <w:trPr>
          <w:cantSplit/>
        </w:trPr>
        <w:tc>
          <w:tcPr>
            <w:tcW w:w="1495" w:type="pct"/>
          </w:tcPr>
          <w:p w14:paraId="3A9E5BB3" w14:textId="77777777" w:rsidR="00BE6888" w:rsidRPr="005E3B43" w:rsidRDefault="00F06C5B" w:rsidP="00763BCF">
            <w:pPr>
              <w:pStyle w:val="ENoteTableText"/>
              <w:tabs>
                <w:tab w:val="center" w:leader="dot" w:pos="2268"/>
              </w:tabs>
            </w:pPr>
            <w:r w:rsidRPr="005E3B43">
              <w:t>r</w:t>
            </w:r>
            <w:r w:rsidR="00BE6888" w:rsidRPr="005E3B43">
              <w:t xml:space="preserve"> 75</w:t>
            </w:r>
            <w:r w:rsidR="00BE6888" w:rsidRPr="005E3B43">
              <w:tab/>
            </w:r>
          </w:p>
        </w:tc>
        <w:tc>
          <w:tcPr>
            <w:tcW w:w="3505" w:type="pct"/>
          </w:tcPr>
          <w:p w14:paraId="6830AE01" w14:textId="77777777" w:rsidR="00BE6888" w:rsidRPr="005E3B43" w:rsidRDefault="00BE6888" w:rsidP="00763BCF">
            <w:pPr>
              <w:pStyle w:val="ENoteTableText"/>
            </w:pPr>
            <w:r w:rsidRPr="005E3B43">
              <w:t>ad F2019L01660</w:t>
            </w:r>
          </w:p>
        </w:tc>
      </w:tr>
      <w:tr w:rsidR="004A6E6D" w:rsidRPr="005E3B43" w14:paraId="3C385DC0" w14:textId="77777777" w:rsidTr="00034EA9">
        <w:trPr>
          <w:cantSplit/>
        </w:trPr>
        <w:tc>
          <w:tcPr>
            <w:tcW w:w="1495" w:type="pct"/>
          </w:tcPr>
          <w:p w14:paraId="6E8A6E67" w14:textId="77777777" w:rsidR="004A6E6D" w:rsidRPr="005E3B43" w:rsidRDefault="003C0723" w:rsidP="00D317A0">
            <w:pPr>
              <w:pStyle w:val="ENoteTableText"/>
              <w:keepNext/>
              <w:tabs>
                <w:tab w:val="center" w:leader="dot" w:pos="2268"/>
              </w:tabs>
              <w:rPr>
                <w:b/>
              </w:rPr>
            </w:pPr>
            <w:r w:rsidRPr="005E3B43">
              <w:rPr>
                <w:b/>
              </w:rPr>
              <w:lastRenderedPageBreak/>
              <w:t>Division 1</w:t>
            </w:r>
            <w:r w:rsidR="004A6E6D" w:rsidRPr="005E3B43">
              <w:rPr>
                <w:b/>
              </w:rPr>
              <w:t>3</w:t>
            </w:r>
          </w:p>
        </w:tc>
        <w:tc>
          <w:tcPr>
            <w:tcW w:w="3505" w:type="pct"/>
          </w:tcPr>
          <w:p w14:paraId="4FBA616C" w14:textId="77777777" w:rsidR="004A6E6D" w:rsidRPr="005E3B43" w:rsidRDefault="004A6E6D" w:rsidP="00D317A0">
            <w:pPr>
              <w:pStyle w:val="ENoteTableText"/>
              <w:keepNext/>
            </w:pPr>
          </w:p>
        </w:tc>
      </w:tr>
      <w:tr w:rsidR="004A6E6D" w:rsidRPr="005E3B43" w14:paraId="31E1720C" w14:textId="77777777" w:rsidTr="00034EA9">
        <w:trPr>
          <w:cantSplit/>
        </w:trPr>
        <w:tc>
          <w:tcPr>
            <w:tcW w:w="1495" w:type="pct"/>
          </w:tcPr>
          <w:p w14:paraId="59716FB5" w14:textId="77777777" w:rsidR="004A6E6D" w:rsidRPr="005E3B43" w:rsidRDefault="003C0723" w:rsidP="00763BCF">
            <w:pPr>
              <w:pStyle w:val="ENoteTableText"/>
              <w:tabs>
                <w:tab w:val="center" w:leader="dot" w:pos="2268"/>
              </w:tabs>
            </w:pPr>
            <w:r w:rsidRPr="005E3B43">
              <w:t>Division 1</w:t>
            </w:r>
            <w:r w:rsidR="004A6E6D" w:rsidRPr="005E3B43">
              <w:t>3</w:t>
            </w:r>
            <w:r w:rsidR="004A6E6D" w:rsidRPr="005E3B43">
              <w:tab/>
            </w:r>
          </w:p>
        </w:tc>
        <w:tc>
          <w:tcPr>
            <w:tcW w:w="3505" w:type="pct"/>
          </w:tcPr>
          <w:p w14:paraId="6FD74E3D" w14:textId="77777777" w:rsidR="004A6E6D" w:rsidRPr="005E3B43" w:rsidRDefault="004A6E6D" w:rsidP="00763BCF">
            <w:pPr>
              <w:pStyle w:val="ENoteTableText"/>
            </w:pPr>
            <w:r w:rsidRPr="005E3B43">
              <w:t>ad F2020L00946</w:t>
            </w:r>
          </w:p>
        </w:tc>
      </w:tr>
      <w:tr w:rsidR="004A6E6D" w:rsidRPr="005E3B43" w14:paraId="3FBD80E9" w14:textId="77777777" w:rsidTr="00034EA9">
        <w:trPr>
          <w:cantSplit/>
        </w:trPr>
        <w:tc>
          <w:tcPr>
            <w:tcW w:w="1495" w:type="pct"/>
          </w:tcPr>
          <w:p w14:paraId="30E101D0" w14:textId="77777777" w:rsidR="004A6E6D" w:rsidRPr="005E3B43" w:rsidRDefault="00364A9C" w:rsidP="00763BCF">
            <w:pPr>
              <w:pStyle w:val="ENoteTableText"/>
              <w:tabs>
                <w:tab w:val="center" w:leader="dot" w:pos="2268"/>
              </w:tabs>
            </w:pPr>
            <w:r w:rsidRPr="005E3B43">
              <w:t>r 76</w:t>
            </w:r>
            <w:r w:rsidRPr="005E3B43">
              <w:tab/>
            </w:r>
          </w:p>
        </w:tc>
        <w:tc>
          <w:tcPr>
            <w:tcW w:w="3505" w:type="pct"/>
          </w:tcPr>
          <w:p w14:paraId="430F5F08" w14:textId="77777777" w:rsidR="004A6E6D" w:rsidRPr="005E3B43" w:rsidRDefault="00364A9C" w:rsidP="00763BCF">
            <w:pPr>
              <w:pStyle w:val="ENoteTableText"/>
            </w:pPr>
            <w:r w:rsidRPr="005E3B43">
              <w:t>ad F2020L00946</w:t>
            </w:r>
          </w:p>
        </w:tc>
      </w:tr>
      <w:tr w:rsidR="00364A9C" w:rsidRPr="005E3B43" w14:paraId="0E953A30" w14:textId="77777777" w:rsidTr="00034EA9">
        <w:trPr>
          <w:cantSplit/>
        </w:trPr>
        <w:tc>
          <w:tcPr>
            <w:tcW w:w="1495" w:type="pct"/>
          </w:tcPr>
          <w:p w14:paraId="64073DAA" w14:textId="77777777" w:rsidR="00364A9C" w:rsidRPr="005E3B43" w:rsidRDefault="00364A9C" w:rsidP="00763BCF">
            <w:pPr>
              <w:pStyle w:val="ENoteTableText"/>
              <w:tabs>
                <w:tab w:val="center" w:leader="dot" w:pos="2268"/>
              </w:tabs>
            </w:pPr>
            <w:r w:rsidRPr="005E3B43">
              <w:t>r 77</w:t>
            </w:r>
            <w:r w:rsidRPr="005E3B43">
              <w:tab/>
            </w:r>
          </w:p>
        </w:tc>
        <w:tc>
          <w:tcPr>
            <w:tcW w:w="3505" w:type="pct"/>
          </w:tcPr>
          <w:p w14:paraId="04D5867E" w14:textId="77777777" w:rsidR="00364A9C" w:rsidRPr="005E3B43" w:rsidRDefault="00364A9C" w:rsidP="00763BCF">
            <w:pPr>
              <w:pStyle w:val="ENoteTableText"/>
            </w:pPr>
            <w:r w:rsidRPr="005E3B43">
              <w:t>ad F2020L00946</w:t>
            </w:r>
          </w:p>
        </w:tc>
      </w:tr>
      <w:tr w:rsidR="00155B0B" w:rsidRPr="005E3B43" w14:paraId="1A4FA351" w14:textId="77777777" w:rsidTr="00034EA9">
        <w:trPr>
          <w:cantSplit/>
        </w:trPr>
        <w:tc>
          <w:tcPr>
            <w:tcW w:w="1495" w:type="pct"/>
          </w:tcPr>
          <w:p w14:paraId="0DE5EF93" w14:textId="77777777" w:rsidR="00155B0B" w:rsidRPr="005E3B43" w:rsidRDefault="003C0723" w:rsidP="00763BCF">
            <w:pPr>
              <w:pStyle w:val="ENoteTableText"/>
              <w:tabs>
                <w:tab w:val="center" w:leader="dot" w:pos="2268"/>
              </w:tabs>
            </w:pPr>
            <w:r w:rsidRPr="005E3B43">
              <w:t>Division 1</w:t>
            </w:r>
            <w:r w:rsidR="00155B0B" w:rsidRPr="005E3B43">
              <w:t>4</w:t>
            </w:r>
            <w:r w:rsidR="00155B0B" w:rsidRPr="005E3B43">
              <w:tab/>
            </w:r>
          </w:p>
        </w:tc>
        <w:tc>
          <w:tcPr>
            <w:tcW w:w="3505" w:type="pct"/>
          </w:tcPr>
          <w:p w14:paraId="49248D5A" w14:textId="77777777" w:rsidR="00155B0B" w:rsidRPr="005E3B43" w:rsidRDefault="00155B0B" w:rsidP="00763BCF">
            <w:pPr>
              <w:pStyle w:val="ENoteTableText"/>
            </w:pPr>
            <w:r w:rsidRPr="005E3B43">
              <w:t>ad F2021L01032</w:t>
            </w:r>
          </w:p>
        </w:tc>
      </w:tr>
      <w:tr w:rsidR="00755AA5" w:rsidRPr="005E3B43" w14:paraId="227BC6E2" w14:textId="77777777" w:rsidTr="00034EA9">
        <w:trPr>
          <w:cantSplit/>
        </w:trPr>
        <w:tc>
          <w:tcPr>
            <w:tcW w:w="1495" w:type="pct"/>
          </w:tcPr>
          <w:p w14:paraId="7C392A4C" w14:textId="77777777" w:rsidR="00755AA5" w:rsidRPr="005E3B43" w:rsidRDefault="00755AA5" w:rsidP="00763BCF">
            <w:pPr>
              <w:pStyle w:val="ENoteTableText"/>
              <w:tabs>
                <w:tab w:val="center" w:leader="dot" w:pos="2268"/>
              </w:tabs>
            </w:pPr>
          </w:p>
        </w:tc>
        <w:tc>
          <w:tcPr>
            <w:tcW w:w="3505" w:type="pct"/>
          </w:tcPr>
          <w:p w14:paraId="38189793" w14:textId="77777777" w:rsidR="00755AA5" w:rsidRPr="005E3B43" w:rsidRDefault="00755AA5" w:rsidP="00763BCF">
            <w:pPr>
              <w:pStyle w:val="ENoteTableText"/>
            </w:pPr>
            <w:r w:rsidRPr="005E3B43">
              <w:t>rep F2023L01667</w:t>
            </w:r>
          </w:p>
        </w:tc>
      </w:tr>
      <w:tr w:rsidR="00155B0B" w:rsidRPr="005E3B43" w14:paraId="1116D59C" w14:textId="77777777" w:rsidTr="00034EA9">
        <w:trPr>
          <w:cantSplit/>
        </w:trPr>
        <w:tc>
          <w:tcPr>
            <w:tcW w:w="1495" w:type="pct"/>
          </w:tcPr>
          <w:p w14:paraId="018995D6" w14:textId="77777777" w:rsidR="00155B0B" w:rsidRPr="005E3B43" w:rsidRDefault="00155B0B" w:rsidP="00763BCF">
            <w:pPr>
              <w:pStyle w:val="ENoteTableText"/>
              <w:tabs>
                <w:tab w:val="center" w:leader="dot" w:pos="2268"/>
              </w:tabs>
            </w:pPr>
            <w:r w:rsidRPr="005E3B43">
              <w:t>r 78</w:t>
            </w:r>
            <w:r w:rsidRPr="005E3B43">
              <w:tab/>
            </w:r>
          </w:p>
        </w:tc>
        <w:tc>
          <w:tcPr>
            <w:tcW w:w="3505" w:type="pct"/>
          </w:tcPr>
          <w:p w14:paraId="1645DC08" w14:textId="77777777" w:rsidR="00155B0B" w:rsidRPr="005E3B43" w:rsidRDefault="00155B0B" w:rsidP="00763BCF">
            <w:pPr>
              <w:pStyle w:val="ENoteTableText"/>
            </w:pPr>
            <w:r w:rsidRPr="005E3B43">
              <w:t>ad F2021L01032</w:t>
            </w:r>
          </w:p>
        </w:tc>
      </w:tr>
      <w:tr w:rsidR="00BE1050" w:rsidRPr="005E3B43" w14:paraId="2BCBDE74" w14:textId="77777777" w:rsidTr="00034EA9">
        <w:trPr>
          <w:cantSplit/>
        </w:trPr>
        <w:tc>
          <w:tcPr>
            <w:tcW w:w="1495" w:type="pct"/>
          </w:tcPr>
          <w:p w14:paraId="340D7137" w14:textId="77777777" w:rsidR="00BE1050" w:rsidRPr="005E3B43" w:rsidRDefault="00BE1050" w:rsidP="00763BCF">
            <w:pPr>
              <w:pStyle w:val="ENoteTableText"/>
              <w:tabs>
                <w:tab w:val="center" w:leader="dot" w:pos="2268"/>
              </w:tabs>
            </w:pPr>
          </w:p>
        </w:tc>
        <w:tc>
          <w:tcPr>
            <w:tcW w:w="3505" w:type="pct"/>
          </w:tcPr>
          <w:p w14:paraId="02BD1B45" w14:textId="77777777" w:rsidR="00BE1050" w:rsidRPr="005E3B43" w:rsidRDefault="00BE1050" w:rsidP="00763BCF">
            <w:pPr>
              <w:pStyle w:val="ENoteTableText"/>
            </w:pPr>
            <w:r w:rsidRPr="005E3B43">
              <w:t>rep F2023L01667</w:t>
            </w:r>
          </w:p>
        </w:tc>
      </w:tr>
      <w:tr w:rsidR="00B53CCB" w:rsidRPr="005E3B43" w14:paraId="602710DB" w14:textId="77777777" w:rsidTr="00034EA9">
        <w:trPr>
          <w:cantSplit/>
        </w:trPr>
        <w:tc>
          <w:tcPr>
            <w:tcW w:w="1495" w:type="pct"/>
          </w:tcPr>
          <w:p w14:paraId="4721C2B3" w14:textId="77777777" w:rsidR="00B53CCB" w:rsidRPr="005E3B43" w:rsidRDefault="003C0723" w:rsidP="005D3638">
            <w:pPr>
              <w:pStyle w:val="ENoteTableText"/>
              <w:keepNext/>
              <w:tabs>
                <w:tab w:val="center" w:leader="dot" w:pos="2268"/>
              </w:tabs>
              <w:rPr>
                <w:b/>
              </w:rPr>
            </w:pPr>
            <w:r w:rsidRPr="005E3B43">
              <w:rPr>
                <w:b/>
              </w:rPr>
              <w:t>Division 1</w:t>
            </w:r>
            <w:r w:rsidR="00B53CCB" w:rsidRPr="005E3B43">
              <w:rPr>
                <w:b/>
              </w:rPr>
              <w:t>5</w:t>
            </w:r>
          </w:p>
        </w:tc>
        <w:tc>
          <w:tcPr>
            <w:tcW w:w="3505" w:type="pct"/>
          </w:tcPr>
          <w:p w14:paraId="753728D9" w14:textId="77777777" w:rsidR="00B53CCB" w:rsidRPr="005E3B43" w:rsidRDefault="00B53CCB" w:rsidP="005D3638">
            <w:pPr>
              <w:pStyle w:val="ENoteTableText"/>
              <w:keepNext/>
            </w:pPr>
          </w:p>
        </w:tc>
      </w:tr>
      <w:tr w:rsidR="00B53CCB" w:rsidRPr="005E3B43" w14:paraId="684B52E5" w14:textId="77777777" w:rsidTr="00034EA9">
        <w:trPr>
          <w:cantSplit/>
        </w:trPr>
        <w:tc>
          <w:tcPr>
            <w:tcW w:w="1495" w:type="pct"/>
          </w:tcPr>
          <w:p w14:paraId="55BE7D7F" w14:textId="77777777" w:rsidR="00B53CCB" w:rsidRPr="005E3B43" w:rsidRDefault="003C0723" w:rsidP="00763BCF">
            <w:pPr>
              <w:pStyle w:val="ENoteTableText"/>
              <w:tabs>
                <w:tab w:val="center" w:leader="dot" w:pos="2268"/>
              </w:tabs>
            </w:pPr>
            <w:r w:rsidRPr="005E3B43">
              <w:t>Division 1</w:t>
            </w:r>
            <w:r w:rsidR="00B53CCB" w:rsidRPr="005E3B43">
              <w:t>5</w:t>
            </w:r>
            <w:r w:rsidR="00B53CCB" w:rsidRPr="005E3B43">
              <w:tab/>
            </w:r>
          </w:p>
        </w:tc>
        <w:tc>
          <w:tcPr>
            <w:tcW w:w="3505" w:type="pct"/>
          </w:tcPr>
          <w:p w14:paraId="07E1461C" w14:textId="77777777" w:rsidR="00B53CCB" w:rsidRPr="005E3B43" w:rsidRDefault="00B53CCB" w:rsidP="00763BCF">
            <w:pPr>
              <w:pStyle w:val="ENoteTableText"/>
            </w:pPr>
            <w:r w:rsidRPr="005E3B43">
              <w:t>ad F2021L01390</w:t>
            </w:r>
          </w:p>
        </w:tc>
      </w:tr>
      <w:tr w:rsidR="00B53CCB" w:rsidRPr="005E3B43" w14:paraId="51D66BD0" w14:textId="77777777" w:rsidTr="00034EA9">
        <w:trPr>
          <w:cantSplit/>
        </w:trPr>
        <w:tc>
          <w:tcPr>
            <w:tcW w:w="1495" w:type="pct"/>
          </w:tcPr>
          <w:p w14:paraId="2CB81A45" w14:textId="77777777" w:rsidR="00B53CCB" w:rsidRPr="005E3B43" w:rsidRDefault="00B53CCB" w:rsidP="00763BCF">
            <w:pPr>
              <w:pStyle w:val="ENoteTableText"/>
              <w:tabs>
                <w:tab w:val="center" w:leader="dot" w:pos="2268"/>
              </w:tabs>
            </w:pPr>
            <w:r w:rsidRPr="005E3B43">
              <w:t>r 79</w:t>
            </w:r>
            <w:r w:rsidRPr="005E3B43">
              <w:tab/>
            </w:r>
          </w:p>
        </w:tc>
        <w:tc>
          <w:tcPr>
            <w:tcW w:w="3505" w:type="pct"/>
          </w:tcPr>
          <w:p w14:paraId="2DD4A54E" w14:textId="77777777" w:rsidR="00B53CCB" w:rsidRPr="005E3B43" w:rsidRDefault="00B53CCB" w:rsidP="00763BCF">
            <w:pPr>
              <w:pStyle w:val="ENoteTableText"/>
            </w:pPr>
            <w:r w:rsidRPr="005E3B43">
              <w:t>ad F2021L01390</w:t>
            </w:r>
          </w:p>
        </w:tc>
      </w:tr>
      <w:tr w:rsidR="00E466BB" w:rsidRPr="005E3B43" w14:paraId="7D9391E9" w14:textId="77777777" w:rsidTr="00034EA9">
        <w:trPr>
          <w:cantSplit/>
        </w:trPr>
        <w:tc>
          <w:tcPr>
            <w:tcW w:w="1495" w:type="pct"/>
          </w:tcPr>
          <w:p w14:paraId="29F2F988" w14:textId="77777777" w:rsidR="00E466BB" w:rsidRPr="005E3B43" w:rsidRDefault="003C0723" w:rsidP="00763BCF">
            <w:pPr>
              <w:pStyle w:val="ENoteTableText"/>
              <w:tabs>
                <w:tab w:val="center" w:leader="dot" w:pos="2268"/>
              </w:tabs>
              <w:rPr>
                <w:b/>
              </w:rPr>
            </w:pPr>
            <w:r w:rsidRPr="005E3B43">
              <w:rPr>
                <w:b/>
              </w:rPr>
              <w:t>Division 1</w:t>
            </w:r>
            <w:r w:rsidR="00E466BB" w:rsidRPr="005E3B43">
              <w:rPr>
                <w:b/>
              </w:rPr>
              <w:t>6</w:t>
            </w:r>
          </w:p>
        </w:tc>
        <w:tc>
          <w:tcPr>
            <w:tcW w:w="3505" w:type="pct"/>
          </w:tcPr>
          <w:p w14:paraId="695BB09E" w14:textId="77777777" w:rsidR="00E466BB" w:rsidRPr="005E3B43" w:rsidRDefault="00E466BB" w:rsidP="00763BCF">
            <w:pPr>
              <w:pStyle w:val="ENoteTableText"/>
            </w:pPr>
          </w:p>
        </w:tc>
      </w:tr>
      <w:tr w:rsidR="00E466BB" w:rsidRPr="005E3B43" w14:paraId="38A27FB8" w14:textId="77777777" w:rsidTr="00034EA9">
        <w:trPr>
          <w:cantSplit/>
        </w:trPr>
        <w:tc>
          <w:tcPr>
            <w:tcW w:w="1495" w:type="pct"/>
          </w:tcPr>
          <w:p w14:paraId="215182CB" w14:textId="77777777" w:rsidR="00E466BB" w:rsidRPr="005E3B43" w:rsidRDefault="003C0723" w:rsidP="00763BCF">
            <w:pPr>
              <w:pStyle w:val="ENoteTableText"/>
              <w:tabs>
                <w:tab w:val="center" w:leader="dot" w:pos="2268"/>
              </w:tabs>
            </w:pPr>
            <w:r w:rsidRPr="005E3B43">
              <w:t>Division 1</w:t>
            </w:r>
            <w:r w:rsidR="00E466BB" w:rsidRPr="005E3B43">
              <w:t>6</w:t>
            </w:r>
            <w:r w:rsidR="00E466BB" w:rsidRPr="005E3B43">
              <w:tab/>
            </w:r>
          </w:p>
        </w:tc>
        <w:tc>
          <w:tcPr>
            <w:tcW w:w="3505" w:type="pct"/>
          </w:tcPr>
          <w:p w14:paraId="4F1375FE" w14:textId="77777777" w:rsidR="00E466BB" w:rsidRPr="005E3B43" w:rsidRDefault="00E466BB" w:rsidP="00763BCF">
            <w:pPr>
              <w:pStyle w:val="ENoteTableText"/>
            </w:pPr>
            <w:r w:rsidRPr="005E3B43">
              <w:t>ad F2021L01474</w:t>
            </w:r>
          </w:p>
        </w:tc>
      </w:tr>
      <w:tr w:rsidR="00E466BB" w:rsidRPr="005E3B43" w14:paraId="04E922EE" w14:textId="77777777" w:rsidTr="00034EA9">
        <w:trPr>
          <w:cantSplit/>
        </w:trPr>
        <w:tc>
          <w:tcPr>
            <w:tcW w:w="1495" w:type="pct"/>
          </w:tcPr>
          <w:p w14:paraId="4D0A85A4" w14:textId="77777777" w:rsidR="00E466BB" w:rsidRPr="005E3B43" w:rsidRDefault="00E466BB" w:rsidP="00763BCF">
            <w:pPr>
              <w:pStyle w:val="ENoteTableText"/>
              <w:tabs>
                <w:tab w:val="center" w:leader="dot" w:pos="2268"/>
              </w:tabs>
            </w:pPr>
            <w:r w:rsidRPr="005E3B43">
              <w:t>r 80</w:t>
            </w:r>
            <w:r w:rsidRPr="005E3B43">
              <w:tab/>
            </w:r>
          </w:p>
        </w:tc>
        <w:tc>
          <w:tcPr>
            <w:tcW w:w="3505" w:type="pct"/>
          </w:tcPr>
          <w:p w14:paraId="27B5CF94" w14:textId="77777777" w:rsidR="00E466BB" w:rsidRPr="005E3B43" w:rsidRDefault="00E466BB" w:rsidP="00763BCF">
            <w:pPr>
              <w:pStyle w:val="ENoteTableText"/>
            </w:pPr>
            <w:r w:rsidRPr="005E3B43">
              <w:t>ad F2021L01474</w:t>
            </w:r>
          </w:p>
        </w:tc>
      </w:tr>
      <w:tr w:rsidR="002E7953" w:rsidRPr="005E3B43" w14:paraId="241278A1" w14:textId="77777777" w:rsidTr="00034EA9">
        <w:trPr>
          <w:cantSplit/>
        </w:trPr>
        <w:tc>
          <w:tcPr>
            <w:tcW w:w="1495" w:type="pct"/>
          </w:tcPr>
          <w:p w14:paraId="7EEDC6D8" w14:textId="77777777" w:rsidR="002E7953" w:rsidRPr="005E3B43" w:rsidRDefault="002E7953" w:rsidP="00763BCF">
            <w:pPr>
              <w:pStyle w:val="ENoteTableText"/>
              <w:tabs>
                <w:tab w:val="center" w:leader="dot" w:pos="2268"/>
              </w:tabs>
            </w:pPr>
          </w:p>
        </w:tc>
        <w:tc>
          <w:tcPr>
            <w:tcW w:w="3505" w:type="pct"/>
          </w:tcPr>
          <w:p w14:paraId="02F24A21" w14:textId="77777777" w:rsidR="002E7953" w:rsidRPr="005E3B43" w:rsidRDefault="002E7953" w:rsidP="00763BCF">
            <w:pPr>
              <w:pStyle w:val="ENoteTableText"/>
            </w:pPr>
            <w:r w:rsidRPr="005E3B43">
              <w:t>rep F2023L01667</w:t>
            </w:r>
          </w:p>
        </w:tc>
      </w:tr>
      <w:tr w:rsidR="00E466BB" w:rsidRPr="005E3B43" w14:paraId="35E04939" w14:textId="77777777" w:rsidTr="00034EA9">
        <w:trPr>
          <w:cantSplit/>
        </w:trPr>
        <w:tc>
          <w:tcPr>
            <w:tcW w:w="1495" w:type="pct"/>
          </w:tcPr>
          <w:p w14:paraId="73AA8B82" w14:textId="77777777" w:rsidR="00E466BB" w:rsidRPr="005E3B43" w:rsidRDefault="00E466BB" w:rsidP="00763BCF">
            <w:pPr>
              <w:pStyle w:val="ENoteTableText"/>
              <w:tabs>
                <w:tab w:val="center" w:leader="dot" w:pos="2268"/>
              </w:tabs>
            </w:pPr>
            <w:r w:rsidRPr="005E3B43">
              <w:t>r 81</w:t>
            </w:r>
            <w:r w:rsidRPr="005E3B43">
              <w:tab/>
            </w:r>
          </w:p>
        </w:tc>
        <w:tc>
          <w:tcPr>
            <w:tcW w:w="3505" w:type="pct"/>
          </w:tcPr>
          <w:p w14:paraId="70B6F4F5" w14:textId="77777777" w:rsidR="00E466BB" w:rsidRPr="005E3B43" w:rsidRDefault="00E466BB" w:rsidP="00763BCF">
            <w:pPr>
              <w:pStyle w:val="ENoteTableText"/>
            </w:pPr>
            <w:r w:rsidRPr="005E3B43">
              <w:t>ad F2021L01474</w:t>
            </w:r>
          </w:p>
        </w:tc>
      </w:tr>
      <w:tr w:rsidR="00E466BB" w:rsidRPr="005E3B43" w14:paraId="2A3AA503" w14:textId="77777777" w:rsidTr="00034EA9">
        <w:trPr>
          <w:cantSplit/>
        </w:trPr>
        <w:tc>
          <w:tcPr>
            <w:tcW w:w="1495" w:type="pct"/>
          </w:tcPr>
          <w:p w14:paraId="7865F109" w14:textId="77777777" w:rsidR="00E466BB" w:rsidRPr="005E3B43" w:rsidRDefault="00E466BB" w:rsidP="00763BCF">
            <w:pPr>
              <w:pStyle w:val="ENoteTableText"/>
              <w:tabs>
                <w:tab w:val="center" w:leader="dot" w:pos="2268"/>
              </w:tabs>
            </w:pPr>
            <w:r w:rsidRPr="005E3B43">
              <w:t>r 82</w:t>
            </w:r>
            <w:r w:rsidRPr="005E3B43">
              <w:tab/>
            </w:r>
          </w:p>
        </w:tc>
        <w:tc>
          <w:tcPr>
            <w:tcW w:w="3505" w:type="pct"/>
          </w:tcPr>
          <w:p w14:paraId="79DCE498" w14:textId="77777777" w:rsidR="00E466BB" w:rsidRPr="005E3B43" w:rsidRDefault="00E466BB" w:rsidP="00763BCF">
            <w:pPr>
              <w:pStyle w:val="ENoteTableText"/>
            </w:pPr>
            <w:r w:rsidRPr="005E3B43">
              <w:t>ad F2021L01474</w:t>
            </w:r>
          </w:p>
        </w:tc>
      </w:tr>
      <w:tr w:rsidR="00E466BB" w:rsidRPr="005E3B43" w14:paraId="3131288E" w14:textId="77777777" w:rsidTr="00034EA9">
        <w:trPr>
          <w:cantSplit/>
        </w:trPr>
        <w:tc>
          <w:tcPr>
            <w:tcW w:w="1495" w:type="pct"/>
          </w:tcPr>
          <w:p w14:paraId="26D93F6E" w14:textId="77777777" w:rsidR="00E466BB" w:rsidRPr="005E3B43" w:rsidRDefault="00E466BB" w:rsidP="00763BCF">
            <w:pPr>
              <w:pStyle w:val="ENoteTableText"/>
              <w:tabs>
                <w:tab w:val="center" w:leader="dot" w:pos="2268"/>
              </w:tabs>
            </w:pPr>
            <w:r w:rsidRPr="005E3B43">
              <w:t>r 83</w:t>
            </w:r>
            <w:r w:rsidRPr="005E3B43">
              <w:tab/>
            </w:r>
          </w:p>
        </w:tc>
        <w:tc>
          <w:tcPr>
            <w:tcW w:w="3505" w:type="pct"/>
          </w:tcPr>
          <w:p w14:paraId="7763228B" w14:textId="77777777" w:rsidR="00E466BB" w:rsidRPr="005E3B43" w:rsidRDefault="00E466BB" w:rsidP="00763BCF">
            <w:pPr>
              <w:pStyle w:val="ENoteTableText"/>
            </w:pPr>
            <w:r w:rsidRPr="005E3B43">
              <w:t>ad F2021L01474</w:t>
            </w:r>
          </w:p>
        </w:tc>
      </w:tr>
      <w:tr w:rsidR="00FC29BF" w:rsidRPr="005E3B43" w14:paraId="79FCB65B" w14:textId="77777777" w:rsidTr="00034EA9">
        <w:trPr>
          <w:cantSplit/>
        </w:trPr>
        <w:tc>
          <w:tcPr>
            <w:tcW w:w="1495" w:type="pct"/>
          </w:tcPr>
          <w:p w14:paraId="45EDA561" w14:textId="77777777" w:rsidR="00FC29BF" w:rsidRPr="005E3B43" w:rsidRDefault="003C0723" w:rsidP="00763BCF">
            <w:pPr>
              <w:pStyle w:val="ENoteTableText"/>
              <w:tabs>
                <w:tab w:val="center" w:leader="dot" w:pos="2268"/>
              </w:tabs>
              <w:rPr>
                <w:b/>
              </w:rPr>
            </w:pPr>
            <w:r w:rsidRPr="005E3B43">
              <w:rPr>
                <w:b/>
              </w:rPr>
              <w:t>Division 1</w:t>
            </w:r>
            <w:r w:rsidR="00FC29BF" w:rsidRPr="005E3B43">
              <w:rPr>
                <w:b/>
              </w:rPr>
              <w:t>7</w:t>
            </w:r>
          </w:p>
        </w:tc>
        <w:tc>
          <w:tcPr>
            <w:tcW w:w="3505" w:type="pct"/>
          </w:tcPr>
          <w:p w14:paraId="48EE5341" w14:textId="77777777" w:rsidR="00FC29BF" w:rsidRPr="005E3B43" w:rsidRDefault="00FC29BF" w:rsidP="00763BCF">
            <w:pPr>
              <w:pStyle w:val="ENoteTableText"/>
            </w:pPr>
          </w:p>
        </w:tc>
      </w:tr>
      <w:tr w:rsidR="00FC29BF" w:rsidRPr="005E3B43" w14:paraId="32577DC9" w14:textId="77777777" w:rsidTr="00034EA9">
        <w:trPr>
          <w:cantSplit/>
        </w:trPr>
        <w:tc>
          <w:tcPr>
            <w:tcW w:w="1495" w:type="pct"/>
          </w:tcPr>
          <w:p w14:paraId="6EECC7C7" w14:textId="77777777" w:rsidR="00FC29BF" w:rsidRPr="005E3B43" w:rsidRDefault="003C0723" w:rsidP="00763BCF">
            <w:pPr>
              <w:pStyle w:val="ENoteTableText"/>
              <w:tabs>
                <w:tab w:val="center" w:leader="dot" w:pos="2268"/>
              </w:tabs>
            </w:pPr>
            <w:r w:rsidRPr="005E3B43">
              <w:t>Division 1</w:t>
            </w:r>
            <w:r w:rsidR="00FC29BF" w:rsidRPr="005E3B43">
              <w:t>7</w:t>
            </w:r>
            <w:r w:rsidR="00FC29BF" w:rsidRPr="005E3B43">
              <w:tab/>
            </w:r>
          </w:p>
        </w:tc>
        <w:tc>
          <w:tcPr>
            <w:tcW w:w="3505" w:type="pct"/>
          </w:tcPr>
          <w:p w14:paraId="0CB90DEA" w14:textId="77777777" w:rsidR="00FC29BF" w:rsidRPr="005E3B43" w:rsidRDefault="00FC29BF" w:rsidP="00763BCF">
            <w:pPr>
              <w:pStyle w:val="ENoteTableText"/>
            </w:pPr>
            <w:r w:rsidRPr="005E3B43">
              <w:t>ad F2021L01809</w:t>
            </w:r>
          </w:p>
        </w:tc>
      </w:tr>
      <w:tr w:rsidR="00FC29BF" w:rsidRPr="005E3B43" w14:paraId="7650CFD5" w14:textId="77777777" w:rsidTr="00034EA9">
        <w:trPr>
          <w:cantSplit/>
        </w:trPr>
        <w:tc>
          <w:tcPr>
            <w:tcW w:w="1495" w:type="pct"/>
          </w:tcPr>
          <w:p w14:paraId="61814F33" w14:textId="77777777" w:rsidR="00FC29BF" w:rsidRPr="005E3B43" w:rsidRDefault="00FC29BF" w:rsidP="00763BCF">
            <w:pPr>
              <w:pStyle w:val="ENoteTableText"/>
              <w:tabs>
                <w:tab w:val="center" w:leader="dot" w:pos="2268"/>
              </w:tabs>
            </w:pPr>
            <w:r w:rsidRPr="005E3B43">
              <w:t>r 84</w:t>
            </w:r>
            <w:r w:rsidRPr="005E3B43">
              <w:tab/>
            </w:r>
          </w:p>
        </w:tc>
        <w:tc>
          <w:tcPr>
            <w:tcW w:w="3505" w:type="pct"/>
          </w:tcPr>
          <w:p w14:paraId="38C846CC" w14:textId="77777777" w:rsidR="00FC29BF" w:rsidRPr="005E3B43" w:rsidRDefault="00FC29BF" w:rsidP="00763BCF">
            <w:pPr>
              <w:pStyle w:val="ENoteTableText"/>
              <w:rPr>
                <w:b/>
              </w:rPr>
            </w:pPr>
            <w:r w:rsidRPr="005E3B43">
              <w:t>ad F2021L01809</w:t>
            </w:r>
          </w:p>
        </w:tc>
      </w:tr>
      <w:tr w:rsidR="0057052D" w:rsidRPr="005E3B43" w14:paraId="1A14E9D9" w14:textId="77777777" w:rsidTr="00034EA9">
        <w:trPr>
          <w:cantSplit/>
        </w:trPr>
        <w:tc>
          <w:tcPr>
            <w:tcW w:w="1495" w:type="pct"/>
          </w:tcPr>
          <w:p w14:paraId="15420269" w14:textId="77777777" w:rsidR="0057052D" w:rsidRPr="005E3B43" w:rsidRDefault="0057052D" w:rsidP="00763BCF">
            <w:pPr>
              <w:pStyle w:val="ENoteTableText"/>
              <w:tabs>
                <w:tab w:val="center" w:leader="dot" w:pos="2268"/>
              </w:tabs>
            </w:pPr>
            <w:r w:rsidRPr="005E3B43">
              <w:t>r 85</w:t>
            </w:r>
            <w:r w:rsidRPr="005E3B43">
              <w:tab/>
            </w:r>
          </w:p>
        </w:tc>
        <w:tc>
          <w:tcPr>
            <w:tcW w:w="3505" w:type="pct"/>
          </w:tcPr>
          <w:p w14:paraId="20633C81" w14:textId="77777777" w:rsidR="0057052D" w:rsidRPr="005E3B43" w:rsidRDefault="0057052D" w:rsidP="00763BCF">
            <w:pPr>
              <w:pStyle w:val="ENoteTableText"/>
            </w:pPr>
            <w:r w:rsidRPr="005E3B43">
              <w:t>ad F2021L01809</w:t>
            </w:r>
          </w:p>
        </w:tc>
      </w:tr>
      <w:tr w:rsidR="008A41F2" w:rsidRPr="005E3B43" w14:paraId="68BC437E" w14:textId="77777777" w:rsidTr="00034EA9">
        <w:trPr>
          <w:cantSplit/>
        </w:trPr>
        <w:tc>
          <w:tcPr>
            <w:tcW w:w="1495" w:type="pct"/>
          </w:tcPr>
          <w:p w14:paraId="2F5BDA2A" w14:textId="77777777" w:rsidR="008A41F2" w:rsidRPr="005E3B43" w:rsidRDefault="003C0723" w:rsidP="00763BCF">
            <w:pPr>
              <w:pStyle w:val="ENoteTableText"/>
              <w:tabs>
                <w:tab w:val="center" w:leader="dot" w:pos="2268"/>
              </w:tabs>
              <w:rPr>
                <w:b/>
              </w:rPr>
            </w:pPr>
            <w:r w:rsidRPr="005E3B43">
              <w:rPr>
                <w:b/>
              </w:rPr>
              <w:t>Division 1</w:t>
            </w:r>
            <w:r w:rsidR="008A41F2" w:rsidRPr="005E3B43">
              <w:rPr>
                <w:b/>
              </w:rPr>
              <w:t>8</w:t>
            </w:r>
          </w:p>
        </w:tc>
        <w:tc>
          <w:tcPr>
            <w:tcW w:w="3505" w:type="pct"/>
          </w:tcPr>
          <w:p w14:paraId="71CD36CD" w14:textId="77777777" w:rsidR="008A41F2" w:rsidRPr="005E3B43" w:rsidRDefault="008A41F2" w:rsidP="00763BCF">
            <w:pPr>
              <w:pStyle w:val="ENoteTableText"/>
            </w:pPr>
          </w:p>
        </w:tc>
      </w:tr>
      <w:tr w:rsidR="008A41F2" w:rsidRPr="005E3B43" w14:paraId="341F4AF6" w14:textId="77777777" w:rsidTr="00034EA9">
        <w:trPr>
          <w:cantSplit/>
        </w:trPr>
        <w:tc>
          <w:tcPr>
            <w:tcW w:w="1495" w:type="pct"/>
          </w:tcPr>
          <w:p w14:paraId="19761DB4" w14:textId="77777777" w:rsidR="008A41F2" w:rsidRPr="005E3B43" w:rsidRDefault="003C0723" w:rsidP="00763BCF">
            <w:pPr>
              <w:pStyle w:val="ENoteTableText"/>
              <w:tabs>
                <w:tab w:val="center" w:leader="dot" w:pos="2268"/>
              </w:tabs>
            </w:pPr>
            <w:r w:rsidRPr="005E3B43">
              <w:t>Division 1</w:t>
            </w:r>
            <w:r w:rsidR="008A41F2" w:rsidRPr="005E3B43">
              <w:t>8</w:t>
            </w:r>
            <w:r w:rsidR="008A41F2" w:rsidRPr="005E3B43">
              <w:tab/>
            </w:r>
          </w:p>
        </w:tc>
        <w:tc>
          <w:tcPr>
            <w:tcW w:w="3505" w:type="pct"/>
          </w:tcPr>
          <w:p w14:paraId="635E4F91" w14:textId="77777777" w:rsidR="008A41F2" w:rsidRPr="005E3B43" w:rsidRDefault="008A41F2" w:rsidP="00763BCF">
            <w:pPr>
              <w:pStyle w:val="ENoteTableText"/>
              <w:rPr>
                <w:u w:val="single"/>
              </w:rPr>
            </w:pPr>
            <w:r w:rsidRPr="005E3B43">
              <w:t>ad F2022L00243</w:t>
            </w:r>
          </w:p>
        </w:tc>
      </w:tr>
      <w:tr w:rsidR="008A41F2" w:rsidRPr="005E3B43" w14:paraId="042B2A82" w14:textId="77777777" w:rsidTr="00034EA9">
        <w:trPr>
          <w:cantSplit/>
        </w:trPr>
        <w:tc>
          <w:tcPr>
            <w:tcW w:w="1495" w:type="pct"/>
          </w:tcPr>
          <w:p w14:paraId="2F8B9EAD" w14:textId="77777777" w:rsidR="008A41F2" w:rsidRPr="005E3B43" w:rsidRDefault="008A41F2" w:rsidP="00763BCF">
            <w:pPr>
              <w:pStyle w:val="ENoteTableText"/>
              <w:tabs>
                <w:tab w:val="center" w:leader="dot" w:pos="2268"/>
              </w:tabs>
            </w:pPr>
            <w:r w:rsidRPr="005E3B43">
              <w:t>r 86</w:t>
            </w:r>
            <w:r w:rsidRPr="005E3B43">
              <w:tab/>
            </w:r>
          </w:p>
        </w:tc>
        <w:tc>
          <w:tcPr>
            <w:tcW w:w="3505" w:type="pct"/>
          </w:tcPr>
          <w:p w14:paraId="1A532E7D" w14:textId="77777777" w:rsidR="008A41F2" w:rsidRPr="005E3B43" w:rsidRDefault="008A41F2" w:rsidP="00763BCF">
            <w:pPr>
              <w:pStyle w:val="ENoteTableText"/>
            </w:pPr>
            <w:r w:rsidRPr="005E3B43">
              <w:t>ad F2022L00243</w:t>
            </w:r>
          </w:p>
        </w:tc>
      </w:tr>
      <w:tr w:rsidR="00141B7F" w:rsidRPr="005E3B43" w14:paraId="224ACB3E" w14:textId="77777777" w:rsidTr="00034EA9">
        <w:trPr>
          <w:cantSplit/>
        </w:trPr>
        <w:tc>
          <w:tcPr>
            <w:tcW w:w="1495" w:type="pct"/>
          </w:tcPr>
          <w:p w14:paraId="070A8071" w14:textId="77777777" w:rsidR="00141B7F" w:rsidRPr="005E3B43" w:rsidRDefault="003C0723" w:rsidP="00763BCF">
            <w:pPr>
              <w:pStyle w:val="ENoteTableText"/>
              <w:tabs>
                <w:tab w:val="center" w:leader="dot" w:pos="2268"/>
              </w:tabs>
              <w:rPr>
                <w:b/>
              </w:rPr>
            </w:pPr>
            <w:r w:rsidRPr="005E3B43">
              <w:rPr>
                <w:b/>
              </w:rPr>
              <w:t>Division 1</w:t>
            </w:r>
            <w:r w:rsidR="00141B7F" w:rsidRPr="005E3B43">
              <w:rPr>
                <w:b/>
              </w:rPr>
              <w:t>9</w:t>
            </w:r>
          </w:p>
        </w:tc>
        <w:tc>
          <w:tcPr>
            <w:tcW w:w="3505" w:type="pct"/>
          </w:tcPr>
          <w:p w14:paraId="38EE1FE8" w14:textId="77777777" w:rsidR="00141B7F" w:rsidRPr="005E3B43" w:rsidRDefault="00141B7F" w:rsidP="00763BCF">
            <w:pPr>
              <w:pStyle w:val="ENoteTableText"/>
              <w:rPr>
                <w:b/>
              </w:rPr>
            </w:pPr>
          </w:p>
        </w:tc>
      </w:tr>
      <w:tr w:rsidR="00141B7F" w:rsidRPr="005E3B43" w14:paraId="3F055E00" w14:textId="77777777" w:rsidTr="00034EA9">
        <w:trPr>
          <w:cantSplit/>
        </w:trPr>
        <w:tc>
          <w:tcPr>
            <w:tcW w:w="1495" w:type="pct"/>
          </w:tcPr>
          <w:p w14:paraId="2A63D9B3" w14:textId="77777777" w:rsidR="00141B7F" w:rsidRPr="005E3B43" w:rsidRDefault="003C0723" w:rsidP="00763BCF">
            <w:pPr>
              <w:pStyle w:val="ENoteTableText"/>
              <w:tabs>
                <w:tab w:val="center" w:leader="dot" w:pos="2268"/>
              </w:tabs>
            </w:pPr>
            <w:r w:rsidRPr="005E3B43">
              <w:t>Division 1</w:t>
            </w:r>
            <w:r w:rsidR="00141B7F" w:rsidRPr="005E3B43">
              <w:t>9</w:t>
            </w:r>
            <w:r w:rsidR="00141B7F" w:rsidRPr="005E3B43">
              <w:tab/>
            </w:r>
          </w:p>
        </w:tc>
        <w:tc>
          <w:tcPr>
            <w:tcW w:w="3505" w:type="pct"/>
          </w:tcPr>
          <w:p w14:paraId="53A36924" w14:textId="77777777" w:rsidR="00141B7F" w:rsidRPr="005E3B43" w:rsidRDefault="00141B7F" w:rsidP="00763BCF">
            <w:pPr>
              <w:pStyle w:val="ENoteTableText"/>
            </w:pPr>
            <w:r w:rsidRPr="005E3B43">
              <w:t>ad F2022L00243</w:t>
            </w:r>
          </w:p>
        </w:tc>
      </w:tr>
      <w:tr w:rsidR="00141B7F" w:rsidRPr="005E3B43" w14:paraId="217C072C" w14:textId="77777777" w:rsidTr="00034EA9">
        <w:trPr>
          <w:cantSplit/>
        </w:trPr>
        <w:tc>
          <w:tcPr>
            <w:tcW w:w="1495" w:type="pct"/>
          </w:tcPr>
          <w:p w14:paraId="4BF3EA42" w14:textId="77777777" w:rsidR="00141B7F" w:rsidRPr="005E3B43" w:rsidRDefault="00141B7F" w:rsidP="00763BCF">
            <w:pPr>
              <w:pStyle w:val="ENoteTableText"/>
              <w:tabs>
                <w:tab w:val="center" w:leader="dot" w:pos="2268"/>
              </w:tabs>
            </w:pPr>
            <w:r w:rsidRPr="005E3B43">
              <w:t>r 87</w:t>
            </w:r>
            <w:r w:rsidRPr="005E3B43">
              <w:tab/>
            </w:r>
          </w:p>
        </w:tc>
        <w:tc>
          <w:tcPr>
            <w:tcW w:w="3505" w:type="pct"/>
          </w:tcPr>
          <w:p w14:paraId="676ED205" w14:textId="77777777" w:rsidR="00141B7F" w:rsidRPr="005E3B43" w:rsidRDefault="00141B7F" w:rsidP="00763BCF">
            <w:pPr>
              <w:pStyle w:val="ENoteTableText"/>
            </w:pPr>
            <w:r w:rsidRPr="005E3B43">
              <w:t>ad F2022L00243</w:t>
            </w:r>
          </w:p>
        </w:tc>
      </w:tr>
      <w:tr w:rsidR="00CE0245" w:rsidRPr="005E3B43" w14:paraId="66386DFE" w14:textId="77777777" w:rsidTr="00034EA9">
        <w:trPr>
          <w:cantSplit/>
        </w:trPr>
        <w:tc>
          <w:tcPr>
            <w:tcW w:w="1495" w:type="pct"/>
          </w:tcPr>
          <w:p w14:paraId="2E2BF867" w14:textId="1FD12EFA" w:rsidR="00CE0245" w:rsidRPr="005E3B43" w:rsidRDefault="007C3215" w:rsidP="00763BCF">
            <w:pPr>
              <w:pStyle w:val="ENoteTableText"/>
              <w:tabs>
                <w:tab w:val="center" w:leader="dot" w:pos="2268"/>
              </w:tabs>
            </w:pPr>
            <w:r>
              <w:rPr>
                <w:b/>
              </w:rPr>
              <w:t>Division 2</w:t>
            </w:r>
            <w:r w:rsidR="00CE0245" w:rsidRPr="005E3B43">
              <w:rPr>
                <w:b/>
              </w:rPr>
              <w:t>0</w:t>
            </w:r>
          </w:p>
        </w:tc>
        <w:tc>
          <w:tcPr>
            <w:tcW w:w="3505" w:type="pct"/>
          </w:tcPr>
          <w:p w14:paraId="67E563F4" w14:textId="77777777" w:rsidR="00CE0245" w:rsidRPr="005E3B43" w:rsidRDefault="00CE0245" w:rsidP="00763BCF">
            <w:pPr>
              <w:pStyle w:val="ENoteTableText"/>
            </w:pPr>
          </w:p>
        </w:tc>
      </w:tr>
      <w:tr w:rsidR="00CE0245" w:rsidRPr="005E3B43" w14:paraId="24988CDE" w14:textId="77777777" w:rsidTr="00034EA9">
        <w:trPr>
          <w:cantSplit/>
        </w:trPr>
        <w:tc>
          <w:tcPr>
            <w:tcW w:w="1495" w:type="pct"/>
          </w:tcPr>
          <w:p w14:paraId="1DE087C3" w14:textId="2E022FC7" w:rsidR="00CE0245" w:rsidRPr="005E3B43" w:rsidRDefault="007C3215" w:rsidP="00763BCF">
            <w:pPr>
              <w:pStyle w:val="ENoteTableText"/>
              <w:tabs>
                <w:tab w:val="center" w:leader="dot" w:pos="2268"/>
              </w:tabs>
            </w:pPr>
            <w:r>
              <w:t>Division 2</w:t>
            </w:r>
            <w:r w:rsidR="00CE0245" w:rsidRPr="005E3B43">
              <w:t>0</w:t>
            </w:r>
            <w:r w:rsidR="00CE0245" w:rsidRPr="005E3B43">
              <w:tab/>
            </w:r>
          </w:p>
        </w:tc>
        <w:tc>
          <w:tcPr>
            <w:tcW w:w="3505" w:type="pct"/>
          </w:tcPr>
          <w:p w14:paraId="49C4F930" w14:textId="77777777" w:rsidR="00CE0245" w:rsidRPr="005E3B43" w:rsidRDefault="00B24931" w:rsidP="00763BCF">
            <w:pPr>
              <w:pStyle w:val="ENoteTableText"/>
            </w:pPr>
            <w:r w:rsidRPr="005E3B43">
              <w:t>ad F2022L01687</w:t>
            </w:r>
          </w:p>
        </w:tc>
      </w:tr>
      <w:tr w:rsidR="00CE0245" w:rsidRPr="005E3B43" w14:paraId="69F8D70D" w14:textId="77777777" w:rsidTr="00034EA9">
        <w:trPr>
          <w:cantSplit/>
        </w:trPr>
        <w:tc>
          <w:tcPr>
            <w:tcW w:w="1495" w:type="pct"/>
          </w:tcPr>
          <w:p w14:paraId="0B60DFBE" w14:textId="77777777" w:rsidR="00CE0245" w:rsidRPr="005E3B43" w:rsidRDefault="00B24931" w:rsidP="00763BCF">
            <w:pPr>
              <w:pStyle w:val="ENoteTableText"/>
              <w:tabs>
                <w:tab w:val="center" w:leader="dot" w:pos="2268"/>
              </w:tabs>
            </w:pPr>
            <w:r w:rsidRPr="005E3B43">
              <w:t>r 88</w:t>
            </w:r>
            <w:r w:rsidRPr="005E3B43">
              <w:tab/>
            </w:r>
          </w:p>
        </w:tc>
        <w:tc>
          <w:tcPr>
            <w:tcW w:w="3505" w:type="pct"/>
          </w:tcPr>
          <w:p w14:paraId="1E742D41" w14:textId="77777777" w:rsidR="00CE0245" w:rsidRPr="005E3B43" w:rsidRDefault="00B24931" w:rsidP="00763BCF">
            <w:pPr>
              <w:pStyle w:val="ENoteTableText"/>
            </w:pPr>
            <w:r w:rsidRPr="005E3B43">
              <w:t>ad F2022L01687</w:t>
            </w:r>
          </w:p>
        </w:tc>
      </w:tr>
      <w:tr w:rsidR="00CE0245" w:rsidRPr="005E3B43" w14:paraId="25725921" w14:textId="77777777" w:rsidTr="00034EA9">
        <w:trPr>
          <w:cantSplit/>
        </w:trPr>
        <w:tc>
          <w:tcPr>
            <w:tcW w:w="1495" w:type="pct"/>
          </w:tcPr>
          <w:p w14:paraId="0A5EEFA8" w14:textId="77777777" w:rsidR="00CE0245" w:rsidRPr="005E3B43" w:rsidRDefault="00B24931" w:rsidP="00763BCF">
            <w:pPr>
              <w:pStyle w:val="ENoteTableText"/>
              <w:tabs>
                <w:tab w:val="center" w:leader="dot" w:pos="2268"/>
              </w:tabs>
            </w:pPr>
            <w:r w:rsidRPr="005E3B43">
              <w:t>r 89</w:t>
            </w:r>
            <w:r w:rsidRPr="005E3B43">
              <w:tab/>
            </w:r>
          </w:p>
        </w:tc>
        <w:tc>
          <w:tcPr>
            <w:tcW w:w="3505" w:type="pct"/>
          </w:tcPr>
          <w:p w14:paraId="771CC304" w14:textId="77777777" w:rsidR="00CE0245" w:rsidRPr="005E3B43" w:rsidRDefault="00B24931" w:rsidP="00763BCF">
            <w:pPr>
              <w:pStyle w:val="ENoteTableText"/>
            </w:pPr>
            <w:r w:rsidRPr="005E3B43">
              <w:t>ad F2022L01687</w:t>
            </w:r>
          </w:p>
        </w:tc>
      </w:tr>
      <w:tr w:rsidR="002647A6" w:rsidRPr="005E3B43" w14:paraId="1690B91B" w14:textId="77777777" w:rsidTr="00034EA9">
        <w:trPr>
          <w:cantSplit/>
        </w:trPr>
        <w:tc>
          <w:tcPr>
            <w:tcW w:w="1495" w:type="pct"/>
          </w:tcPr>
          <w:p w14:paraId="2ED21763" w14:textId="1B92D7E4" w:rsidR="002647A6" w:rsidRPr="005E3B43" w:rsidRDefault="007C3215" w:rsidP="00763BCF">
            <w:pPr>
              <w:pStyle w:val="ENoteTableText"/>
              <w:tabs>
                <w:tab w:val="center" w:leader="dot" w:pos="2268"/>
              </w:tabs>
              <w:rPr>
                <w:b/>
              </w:rPr>
            </w:pPr>
            <w:r>
              <w:rPr>
                <w:b/>
              </w:rPr>
              <w:t>Division 2</w:t>
            </w:r>
            <w:r w:rsidR="002647A6" w:rsidRPr="005E3B43">
              <w:rPr>
                <w:b/>
              </w:rPr>
              <w:t>1</w:t>
            </w:r>
          </w:p>
        </w:tc>
        <w:tc>
          <w:tcPr>
            <w:tcW w:w="3505" w:type="pct"/>
          </w:tcPr>
          <w:p w14:paraId="4CD806FB" w14:textId="77777777" w:rsidR="002647A6" w:rsidRPr="005E3B43" w:rsidRDefault="002647A6" w:rsidP="00763BCF">
            <w:pPr>
              <w:pStyle w:val="ENoteTableText"/>
            </w:pPr>
          </w:p>
        </w:tc>
      </w:tr>
      <w:tr w:rsidR="002647A6" w:rsidRPr="005E3B43" w14:paraId="07C31B10" w14:textId="77777777" w:rsidTr="00034EA9">
        <w:trPr>
          <w:cantSplit/>
        </w:trPr>
        <w:tc>
          <w:tcPr>
            <w:tcW w:w="1495" w:type="pct"/>
          </w:tcPr>
          <w:p w14:paraId="491A0631" w14:textId="682A363B" w:rsidR="002647A6" w:rsidRPr="005E3B43" w:rsidRDefault="007C3215" w:rsidP="00763BCF">
            <w:pPr>
              <w:pStyle w:val="ENoteTableText"/>
              <w:tabs>
                <w:tab w:val="center" w:leader="dot" w:pos="2268"/>
              </w:tabs>
              <w:rPr>
                <w:b/>
              </w:rPr>
            </w:pPr>
            <w:r>
              <w:t>Division 2</w:t>
            </w:r>
            <w:r w:rsidR="002647A6" w:rsidRPr="005E3B43">
              <w:t>1</w:t>
            </w:r>
            <w:r w:rsidR="002647A6" w:rsidRPr="005E3B43">
              <w:tab/>
            </w:r>
          </w:p>
        </w:tc>
        <w:tc>
          <w:tcPr>
            <w:tcW w:w="3505" w:type="pct"/>
          </w:tcPr>
          <w:p w14:paraId="066C6749" w14:textId="77777777" w:rsidR="002647A6" w:rsidRPr="005E3B43" w:rsidRDefault="002647A6" w:rsidP="00763BCF">
            <w:pPr>
              <w:pStyle w:val="ENoteTableText"/>
            </w:pPr>
            <w:r w:rsidRPr="005E3B43">
              <w:t>ad F2023L00769</w:t>
            </w:r>
          </w:p>
        </w:tc>
      </w:tr>
      <w:tr w:rsidR="002647A6" w:rsidRPr="005E3B43" w14:paraId="43DF2F3A" w14:textId="77777777" w:rsidTr="00034EA9">
        <w:trPr>
          <w:cantSplit/>
        </w:trPr>
        <w:tc>
          <w:tcPr>
            <w:tcW w:w="1495" w:type="pct"/>
          </w:tcPr>
          <w:p w14:paraId="62F1E97C" w14:textId="77777777" w:rsidR="002647A6" w:rsidRPr="005E3B43" w:rsidRDefault="002647A6" w:rsidP="00763BCF">
            <w:pPr>
              <w:pStyle w:val="ENoteTableText"/>
              <w:tabs>
                <w:tab w:val="center" w:leader="dot" w:pos="2268"/>
              </w:tabs>
            </w:pPr>
            <w:r w:rsidRPr="005E3B43">
              <w:t>r 90</w:t>
            </w:r>
            <w:r w:rsidRPr="005E3B43">
              <w:tab/>
            </w:r>
          </w:p>
        </w:tc>
        <w:tc>
          <w:tcPr>
            <w:tcW w:w="3505" w:type="pct"/>
          </w:tcPr>
          <w:p w14:paraId="75972E7C" w14:textId="77777777" w:rsidR="002647A6" w:rsidRPr="005E3B43" w:rsidRDefault="002647A6" w:rsidP="00763BCF">
            <w:pPr>
              <w:pStyle w:val="ENoteTableText"/>
            </w:pPr>
            <w:r w:rsidRPr="005E3B43">
              <w:t>ad F2023L00769</w:t>
            </w:r>
          </w:p>
        </w:tc>
      </w:tr>
      <w:tr w:rsidR="009D1C9B" w:rsidRPr="005E3B43" w14:paraId="3EDCF1E8" w14:textId="77777777" w:rsidTr="00034EA9">
        <w:trPr>
          <w:cantSplit/>
        </w:trPr>
        <w:tc>
          <w:tcPr>
            <w:tcW w:w="1495" w:type="pct"/>
          </w:tcPr>
          <w:p w14:paraId="6423985D" w14:textId="693AEB57" w:rsidR="009D1C9B" w:rsidRPr="005E3B43" w:rsidRDefault="007C3215" w:rsidP="00763BCF">
            <w:pPr>
              <w:pStyle w:val="ENoteTableText"/>
              <w:tabs>
                <w:tab w:val="center" w:leader="dot" w:pos="2268"/>
              </w:tabs>
              <w:rPr>
                <w:b/>
              </w:rPr>
            </w:pPr>
            <w:r>
              <w:rPr>
                <w:b/>
              </w:rPr>
              <w:t>Division 2</w:t>
            </w:r>
            <w:r w:rsidR="009D1C9B" w:rsidRPr="005E3B43">
              <w:rPr>
                <w:b/>
              </w:rPr>
              <w:t>2</w:t>
            </w:r>
          </w:p>
        </w:tc>
        <w:tc>
          <w:tcPr>
            <w:tcW w:w="3505" w:type="pct"/>
          </w:tcPr>
          <w:p w14:paraId="44990EE3" w14:textId="77777777" w:rsidR="009D1C9B" w:rsidRPr="005E3B43" w:rsidRDefault="009D1C9B" w:rsidP="00763BCF">
            <w:pPr>
              <w:pStyle w:val="ENoteTableText"/>
            </w:pPr>
          </w:p>
        </w:tc>
      </w:tr>
      <w:tr w:rsidR="009D1C9B" w:rsidRPr="005E3B43" w14:paraId="4A1AEAA2" w14:textId="77777777" w:rsidTr="00034EA9">
        <w:trPr>
          <w:cantSplit/>
        </w:trPr>
        <w:tc>
          <w:tcPr>
            <w:tcW w:w="1495" w:type="pct"/>
          </w:tcPr>
          <w:p w14:paraId="3D392A26" w14:textId="3F719BA8" w:rsidR="009D1C9B" w:rsidRPr="005E3B43" w:rsidRDefault="007C3215" w:rsidP="00763BCF">
            <w:pPr>
              <w:pStyle w:val="ENoteTableText"/>
              <w:tabs>
                <w:tab w:val="center" w:leader="dot" w:pos="2268"/>
              </w:tabs>
            </w:pPr>
            <w:r>
              <w:t>Division 2</w:t>
            </w:r>
            <w:r w:rsidR="009D1C9B" w:rsidRPr="005E3B43">
              <w:t>2</w:t>
            </w:r>
            <w:r w:rsidR="009D1C9B" w:rsidRPr="005E3B43">
              <w:tab/>
            </w:r>
          </w:p>
        </w:tc>
        <w:tc>
          <w:tcPr>
            <w:tcW w:w="3505" w:type="pct"/>
          </w:tcPr>
          <w:p w14:paraId="5512B79D" w14:textId="77777777" w:rsidR="009D1C9B" w:rsidRPr="005E3B43" w:rsidRDefault="009D1C9B" w:rsidP="00763BCF">
            <w:pPr>
              <w:pStyle w:val="ENoteTableText"/>
            </w:pPr>
            <w:r w:rsidRPr="005E3B43">
              <w:t>ad F2023L01558</w:t>
            </w:r>
          </w:p>
        </w:tc>
      </w:tr>
      <w:tr w:rsidR="009D1C9B" w:rsidRPr="005E3B43" w14:paraId="07D43EED" w14:textId="77777777" w:rsidTr="00034EA9">
        <w:trPr>
          <w:cantSplit/>
        </w:trPr>
        <w:tc>
          <w:tcPr>
            <w:tcW w:w="1495" w:type="pct"/>
          </w:tcPr>
          <w:p w14:paraId="05A83893" w14:textId="77777777" w:rsidR="009D1C9B" w:rsidRPr="005E3B43" w:rsidRDefault="009D1C9B" w:rsidP="00763BCF">
            <w:pPr>
              <w:pStyle w:val="ENoteTableText"/>
              <w:tabs>
                <w:tab w:val="center" w:leader="dot" w:pos="2268"/>
              </w:tabs>
            </w:pPr>
            <w:r w:rsidRPr="005E3B43">
              <w:t>r 91</w:t>
            </w:r>
            <w:r w:rsidRPr="005E3B43">
              <w:tab/>
            </w:r>
          </w:p>
        </w:tc>
        <w:tc>
          <w:tcPr>
            <w:tcW w:w="3505" w:type="pct"/>
          </w:tcPr>
          <w:p w14:paraId="218F0C36" w14:textId="77777777" w:rsidR="009D1C9B" w:rsidRPr="005E3B43" w:rsidRDefault="009D1C9B" w:rsidP="00763BCF">
            <w:pPr>
              <w:pStyle w:val="ENoteTableText"/>
            </w:pPr>
            <w:r w:rsidRPr="005E3B43">
              <w:t>ad F2023L01558</w:t>
            </w:r>
          </w:p>
        </w:tc>
      </w:tr>
      <w:tr w:rsidR="00B110CA" w:rsidRPr="005E3B43" w14:paraId="2D705FA0" w14:textId="77777777" w:rsidTr="00034EA9">
        <w:trPr>
          <w:cantSplit/>
        </w:trPr>
        <w:tc>
          <w:tcPr>
            <w:tcW w:w="1495" w:type="pct"/>
          </w:tcPr>
          <w:p w14:paraId="747EAC43" w14:textId="77777777" w:rsidR="00B110CA" w:rsidRPr="005E3B43" w:rsidRDefault="00B110CA" w:rsidP="00763BCF">
            <w:pPr>
              <w:pStyle w:val="ENoteTableText"/>
              <w:tabs>
                <w:tab w:val="center" w:leader="dot" w:pos="2268"/>
              </w:tabs>
            </w:pPr>
            <w:r w:rsidRPr="005E3B43">
              <w:t>r 92</w:t>
            </w:r>
            <w:r w:rsidRPr="005E3B43">
              <w:tab/>
            </w:r>
          </w:p>
        </w:tc>
        <w:tc>
          <w:tcPr>
            <w:tcW w:w="3505" w:type="pct"/>
          </w:tcPr>
          <w:p w14:paraId="3AA37FF3" w14:textId="77777777" w:rsidR="00B110CA" w:rsidRPr="005E3B43" w:rsidRDefault="00B110CA" w:rsidP="00763BCF">
            <w:pPr>
              <w:pStyle w:val="ENoteTableText"/>
            </w:pPr>
            <w:r w:rsidRPr="005E3B43">
              <w:t>ad F2023L01558</w:t>
            </w:r>
          </w:p>
        </w:tc>
      </w:tr>
      <w:tr w:rsidR="002E7953" w:rsidRPr="005E3B43" w14:paraId="25D95AE9" w14:textId="77777777" w:rsidTr="00034EA9">
        <w:trPr>
          <w:cantSplit/>
        </w:trPr>
        <w:tc>
          <w:tcPr>
            <w:tcW w:w="1495" w:type="pct"/>
          </w:tcPr>
          <w:p w14:paraId="4B114881" w14:textId="6E81C057" w:rsidR="002E7953" w:rsidRPr="005E3B43" w:rsidRDefault="007C3215" w:rsidP="00D317A0">
            <w:pPr>
              <w:pStyle w:val="ENoteTableText"/>
              <w:keepNext/>
              <w:tabs>
                <w:tab w:val="center" w:leader="dot" w:pos="2268"/>
              </w:tabs>
              <w:rPr>
                <w:b/>
              </w:rPr>
            </w:pPr>
            <w:r>
              <w:rPr>
                <w:b/>
              </w:rPr>
              <w:lastRenderedPageBreak/>
              <w:t>Division 2</w:t>
            </w:r>
            <w:r w:rsidR="002E7953" w:rsidRPr="005E3B43">
              <w:rPr>
                <w:b/>
              </w:rPr>
              <w:t>3</w:t>
            </w:r>
          </w:p>
        </w:tc>
        <w:tc>
          <w:tcPr>
            <w:tcW w:w="3505" w:type="pct"/>
          </w:tcPr>
          <w:p w14:paraId="71174C5C" w14:textId="77777777" w:rsidR="002E7953" w:rsidRPr="005E3B43" w:rsidRDefault="002E7953" w:rsidP="00D317A0">
            <w:pPr>
              <w:pStyle w:val="ENoteTableText"/>
              <w:keepNext/>
            </w:pPr>
          </w:p>
        </w:tc>
      </w:tr>
      <w:tr w:rsidR="002E7953" w:rsidRPr="005E3B43" w14:paraId="56106ABB" w14:textId="77777777" w:rsidTr="00034EA9">
        <w:trPr>
          <w:cantSplit/>
        </w:trPr>
        <w:tc>
          <w:tcPr>
            <w:tcW w:w="1495" w:type="pct"/>
          </w:tcPr>
          <w:p w14:paraId="1E816F4B" w14:textId="1E4F2AB1" w:rsidR="002E7953" w:rsidRPr="005E3B43" w:rsidRDefault="007C3215" w:rsidP="00763BCF">
            <w:pPr>
              <w:pStyle w:val="ENoteTableText"/>
              <w:tabs>
                <w:tab w:val="center" w:leader="dot" w:pos="2268"/>
              </w:tabs>
            </w:pPr>
            <w:r>
              <w:t>Division 2</w:t>
            </w:r>
            <w:r w:rsidR="002E7953" w:rsidRPr="005E3B43">
              <w:t>3</w:t>
            </w:r>
            <w:r w:rsidR="002E7953" w:rsidRPr="005E3B43">
              <w:tab/>
            </w:r>
          </w:p>
        </w:tc>
        <w:tc>
          <w:tcPr>
            <w:tcW w:w="3505" w:type="pct"/>
          </w:tcPr>
          <w:p w14:paraId="66975122" w14:textId="77777777" w:rsidR="002E7953" w:rsidRPr="005E3B43" w:rsidRDefault="002E7953" w:rsidP="00763BCF">
            <w:pPr>
              <w:pStyle w:val="ENoteTableText"/>
            </w:pPr>
            <w:r w:rsidRPr="005E3B43">
              <w:t>ad F2023L01667</w:t>
            </w:r>
          </w:p>
        </w:tc>
      </w:tr>
      <w:tr w:rsidR="002E7953" w:rsidRPr="005E3B43" w14:paraId="0C289EC9" w14:textId="77777777" w:rsidTr="00034EA9">
        <w:trPr>
          <w:cantSplit/>
        </w:trPr>
        <w:tc>
          <w:tcPr>
            <w:tcW w:w="1495" w:type="pct"/>
          </w:tcPr>
          <w:p w14:paraId="4EDB588E" w14:textId="77777777" w:rsidR="002E7953" w:rsidRPr="005E3B43" w:rsidRDefault="002E7953" w:rsidP="00763BCF">
            <w:pPr>
              <w:pStyle w:val="ENoteTableText"/>
              <w:tabs>
                <w:tab w:val="center" w:leader="dot" w:pos="2268"/>
              </w:tabs>
            </w:pPr>
            <w:r w:rsidRPr="005E3B43">
              <w:t>r 93</w:t>
            </w:r>
            <w:r w:rsidRPr="005E3B43">
              <w:tab/>
            </w:r>
          </w:p>
        </w:tc>
        <w:tc>
          <w:tcPr>
            <w:tcW w:w="3505" w:type="pct"/>
          </w:tcPr>
          <w:p w14:paraId="4FE12A82" w14:textId="77777777" w:rsidR="002E7953" w:rsidRPr="005E3B43" w:rsidRDefault="002E7953" w:rsidP="00763BCF">
            <w:pPr>
              <w:pStyle w:val="ENoteTableText"/>
            </w:pPr>
            <w:r w:rsidRPr="005E3B43">
              <w:t>ad F2023L01667</w:t>
            </w:r>
          </w:p>
        </w:tc>
      </w:tr>
      <w:tr w:rsidR="002E7953" w:rsidRPr="005E3B43" w14:paraId="6BB4BBD1" w14:textId="77777777" w:rsidTr="00034EA9">
        <w:trPr>
          <w:cantSplit/>
        </w:trPr>
        <w:tc>
          <w:tcPr>
            <w:tcW w:w="1495" w:type="pct"/>
          </w:tcPr>
          <w:p w14:paraId="0D604B88" w14:textId="77777777" w:rsidR="002E7953" w:rsidRPr="005E3B43" w:rsidRDefault="002E7953" w:rsidP="002E7953">
            <w:pPr>
              <w:pStyle w:val="ENoteTableText"/>
              <w:tabs>
                <w:tab w:val="center" w:leader="dot" w:pos="2268"/>
              </w:tabs>
            </w:pPr>
            <w:r w:rsidRPr="005E3B43">
              <w:t>r 94</w:t>
            </w:r>
            <w:r w:rsidRPr="005E3B43">
              <w:tab/>
            </w:r>
          </w:p>
        </w:tc>
        <w:tc>
          <w:tcPr>
            <w:tcW w:w="3505" w:type="pct"/>
          </w:tcPr>
          <w:p w14:paraId="423E50F6" w14:textId="77777777" w:rsidR="002E7953" w:rsidRPr="005E3B43" w:rsidRDefault="002E7953" w:rsidP="002E7953">
            <w:pPr>
              <w:pStyle w:val="ENoteTableText"/>
            </w:pPr>
            <w:r w:rsidRPr="005E3B43">
              <w:t>ad F2023L01667</w:t>
            </w:r>
          </w:p>
        </w:tc>
      </w:tr>
      <w:tr w:rsidR="002E7953" w:rsidRPr="005E3B43" w14:paraId="63BBA88E" w14:textId="77777777" w:rsidTr="00034EA9">
        <w:trPr>
          <w:cantSplit/>
        </w:trPr>
        <w:tc>
          <w:tcPr>
            <w:tcW w:w="1495" w:type="pct"/>
          </w:tcPr>
          <w:p w14:paraId="0F962196" w14:textId="77777777" w:rsidR="002E7953" w:rsidRPr="005E3B43" w:rsidRDefault="002E7953" w:rsidP="002E7953">
            <w:pPr>
              <w:pStyle w:val="ENoteTableText"/>
              <w:tabs>
                <w:tab w:val="center" w:leader="dot" w:pos="2268"/>
              </w:tabs>
            </w:pPr>
            <w:r w:rsidRPr="005E3B43">
              <w:t>r 95</w:t>
            </w:r>
            <w:r w:rsidRPr="005E3B43">
              <w:tab/>
            </w:r>
          </w:p>
        </w:tc>
        <w:tc>
          <w:tcPr>
            <w:tcW w:w="3505" w:type="pct"/>
          </w:tcPr>
          <w:p w14:paraId="0D933742" w14:textId="77777777" w:rsidR="002E7953" w:rsidRPr="005E3B43" w:rsidRDefault="002E7953" w:rsidP="002E7953">
            <w:pPr>
              <w:pStyle w:val="ENoteTableText"/>
            </w:pPr>
            <w:r w:rsidRPr="005E3B43">
              <w:t>ad F2023L01667</w:t>
            </w:r>
          </w:p>
        </w:tc>
      </w:tr>
      <w:tr w:rsidR="002E7953" w:rsidRPr="005E3B43" w14:paraId="45CE23AF" w14:textId="77777777" w:rsidTr="00034EA9">
        <w:trPr>
          <w:cantSplit/>
        </w:trPr>
        <w:tc>
          <w:tcPr>
            <w:tcW w:w="1495" w:type="pct"/>
          </w:tcPr>
          <w:p w14:paraId="313E37AA" w14:textId="77777777" w:rsidR="002E7953" w:rsidRPr="005E3B43" w:rsidRDefault="002E7953" w:rsidP="002E7953">
            <w:pPr>
              <w:pStyle w:val="ENoteTableText"/>
              <w:tabs>
                <w:tab w:val="center" w:leader="dot" w:pos="2268"/>
              </w:tabs>
            </w:pPr>
            <w:r w:rsidRPr="005E3B43">
              <w:t>r 96</w:t>
            </w:r>
            <w:r w:rsidRPr="005E3B43">
              <w:tab/>
            </w:r>
          </w:p>
        </w:tc>
        <w:tc>
          <w:tcPr>
            <w:tcW w:w="3505" w:type="pct"/>
          </w:tcPr>
          <w:p w14:paraId="3AEA33B3" w14:textId="77777777" w:rsidR="002E7953" w:rsidRPr="005E3B43" w:rsidRDefault="002E7953" w:rsidP="002E7953">
            <w:pPr>
              <w:pStyle w:val="ENoteTableText"/>
            </w:pPr>
            <w:r w:rsidRPr="005E3B43">
              <w:t>ad F2023L01667</w:t>
            </w:r>
          </w:p>
        </w:tc>
      </w:tr>
      <w:tr w:rsidR="007663B2" w:rsidRPr="005E3B43" w14:paraId="2B500324" w14:textId="77777777" w:rsidTr="00034EA9">
        <w:trPr>
          <w:cantSplit/>
        </w:trPr>
        <w:tc>
          <w:tcPr>
            <w:tcW w:w="1495" w:type="pct"/>
          </w:tcPr>
          <w:p w14:paraId="103BB942" w14:textId="77777777" w:rsidR="007663B2" w:rsidRPr="005E3B43" w:rsidRDefault="007663B2" w:rsidP="002E7953">
            <w:pPr>
              <w:pStyle w:val="ENoteTableText"/>
              <w:tabs>
                <w:tab w:val="center" w:leader="dot" w:pos="2268"/>
              </w:tabs>
            </w:pPr>
          </w:p>
        </w:tc>
        <w:tc>
          <w:tcPr>
            <w:tcW w:w="3505" w:type="pct"/>
          </w:tcPr>
          <w:p w14:paraId="5E3ED3CB" w14:textId="77777777" w:rsidR="007663B2" w:rsidRPr="005E3B43" w:rsidRDefault="007663B2" w:rsidP="002E7953">
            <w:pPr>
              <w:pStyle w:val="ENoteTableText"/>
            </w:pPr>
            <w:r w:rsidRPr="005E3B43">
              <w:t>am F2024L00839</w:t>
            </w:r>
          </w:p>
        </w:tc>
      </w:tr>
      <w:tr w:rsidR="002E7953" w:rsidRPr="005E3B43" w14:paraId="07EE5791" w14:textId="77777777" w:rsidTr="00034EA9">
        <w:trPr>
          <w:cantSplit/>
        </w:trPr>
        <w:tc>
          <w:tcPr>
            <w:tcW w:w="1495" w:type="pct"/>
          </w:tcPr>
          <w:p w14:paraId="3795413D" w14:textId="77777777" w:rsidR="002E7953" w:rsidRPr="005E3B43" w:rsidRDefault="002E7953" w:rsidP="002E7953">
            <w:pPr>
              <w:pStyle w:val="ENoteTableText"/>
              <w:tabs>
                <w:tab w:val="center" w:leader="dot" w:pos="2268"/>
              </w:tabs>
            </w:pPr>
            <w:r w:rsidRPr="005E3B43">
              <w:t>r 97</w:t>
            </w:r>
            <w:r w:rsidRPr="005E3B43">
              <w:tab/>
            </w:r>
          </w:p>
        </w:tc>
        <w:tc>
          <w:tcPr>
            <w:tcW w:w="3505" w:type="pct"/>
          </w:tcPr>
          <w:p w14:paraId="73F48DBC" w14:textId="77777777" w:rsidR="002E7953" w:rsidRPr="005E3B43" w:rsidRDefault="002E7953" w:rsidP="002E7953">
            <w:pPr>
              <w:pStyle w:val="ENoteTableText"/>
            </w:pPr>
            <w:r w:rsidRPr="005E3B43">
              <w:t>ad F2023L01667</w:t>
            </w:r>
          </w:p>
        </w:tc>
      </w:tr>
      <w:tr w:rsidR="00020370" w:rsidRPr="005E3B43" w14:paraId="6E755B46" w14:textId="77777777" w:rsidTr="00034EA9">
        <w:trPr>
          <w:cantSplit/>
        </w:trPr>
        <w:tc>
          <w:tcPr>
            <w:tcW w:w="1495" w:type="pct"/>
          </w:tcPr>
          <w:p w14:paraId="5DA2094D" w14:textId="77777777" w:rsidR="00020370" w:rsidRPr="005E3B43" w:rsidRDefault="00020370" w:rsidP="002E7953">
            <w:pPr>
              <w:pStyle w:val="ENoteTableText"/>
              <w:tabs>
                <w:tab w:val="center" w:leader="dot" w:pos="2268"/>
              </w:tabs>
            </w:pPr>
          </w:p>
        </w:tc>
        <w:tc>
          <w:tcPr>
            <w:tcW w:w="3505" w:type="pct"/>
          </w:tcPr>
          <w:p w14:paraId="2C4BAE95" w14:textId="77777777" w:rsidR="00020370" w:rsidRPr="005E3B43" w:rsidRDefault="00020370" w:rsidP="002E7953">
            <w:pPr>
              <w:pStyle w:val="ENoteTableText"/>
            </w:pPr>
            <w:r w:rsidRPr="005E3B43">
              <w:t xml:space="preserve">(3) exp </w:t>
            </w:r>
            <w:r w:rsidRPr="002D450C">
              <w:t>1 Dec 2024 (r 97(4))</w:t>
            </w:r>
          </w:p>
        </w:tc>
      </w:tr>
      <w:tr w:rsidR="002D227A" w:rsidRPr="005E3B43" w14:paraId="3B6B57AA" w14:textId="77777777" w:rsidTr="00034EA9">
        <w:trPr>
          <w:cantSplit/>
        </w:trPr>
        <w:tc>
          <w:tcPr>
            <w:tcW w:w="1495" w:type="pct"/>
          </w:tcPr>
          <w:p w14:paraId="273B81C5" w14:textId="616EAE6B" w:rsidR="002D227A" w:rsidRPr="005E3B43" w:rsidRDefault="007C3215" w:rsidP="00C90BFB">
            <w:pPr>
              <w:pStyle w:val="ENoteTableText"/>
              <w:keepNext/>
              <w:tabs>
                <w:tab w:val="center" w:leader="dot" w:pos="2268"/>
              </w:tabs>
            </w:pPr>
            <w:r>
              <w:rPr>
                <w:b/>
              </w:rPr>
              <w:t>Division 2</w:t>
            </w:r>
            <w:r w:rsidR="007E7B29" w:rsidRPr="005E3B43">
              <w:rPr>
                <w:b/>
              </w:rPr>
              <w:t>4</w:t>
            </w:r>
          </w:p>
        </w:tc>
        <w:tc>
          <w:tcPr>
            <w:tcW w:w="3505" w:type="pct"/>
          </w:tcPr>
          <w:p w14:paraId="30EE276D" w14:textId="77777777" w:rsidR="002D227A" w:rsidRPr="005E3B43" w:rsidRDefault="002D227A" w:rsidP="002E7953">
            <w:pPr>
              <w:pStyle w:val="ENoteTableText"/>
            </w:pPr>
          </w:p>
        </w:tc>
      </w:tr>
      <w:tr w:rsidR="007E7B29" w:rsidRPr="005E3B43" w14:paraId="2E35E849" w14:textId="77777777" w:rsidTr="00034EA9">
        <w:trPr>
          <w:cantSplit/>
        </w:trPr>
        <w:tc>
          <w:tcPr>
            <w:tcW w:w="1495" w:type="pct"/>
          </w:tcPr>
          <w:p w14:paraId="200EF126" w14:textId="4B90D61C" w:rsidR="007E7B29" w:rsidRPr="005E3B43" w:rsidRDefault="007C3215" w:rsidP="007E7B29">
            <w:pPr>
              <w:pStyle w:val="ENoteTableText"/>
              <w:tabs>
                <w:tab w:val="center" w:leader="dot" w:pos="2268"/>
              </w:tabs>
              <w:rPr>
                <w:b/>
              </w:rPr>
            </w:pPr>
            <w:r>
              <w:t>Division 2</w:t>
            </w:r>
            <w:r w:rsidR="007E7B29" w:rsidRPr="005E3B43">
              <w:t>4</w:t>
            </w:r>
            <w:r w:rsidR="007E7B29" w:rsidRPr="005E3B43">
              <w:tab/>
            </w:r>
          </w:p>
        </w:tc>
        <w:tc>
          <w:tcPr>
            <w:tcW w:w="3505" w:type="pct"/>
          </w:tcPr>
          <w:p w14:paraId="7845F0DB" w14:textId="77777777" w:rsidR="007E7B29" w:rsidRPr="005E3B43" w:rsidRDefault="007E7B29" w:rsidP="007E7B29">
            <w:pPr>
              <w:pStyle w:val="ENoteTableText"/>
            </w:pPr>
            <w:r w:rsidRPr="005E3B43">
              <w:t>ad F2024L00260</w:t>
            </w:r>
          </w:p>
        </w:tc>
      </w:tr>
      <w:tr w:rsidR="007E7B29" w:rsidRPr="005E3B43" w14:paraId="1340815D" w14:textId="77777777" w:rsidTr="00034EA9">
        <w:trPr>
          <w:cantSplit/>
        </w:trPr>
        <w:tc>
          <w:tcPr>
            <w:tcW w:w="1495" w:type="pct"/>
          </w:tcPr>
          <w:p w14:paraId="651D138E" w14:textId="77777777" w:rsidR="007E7B29" w:rsidRPr="005E3B43" w:rsidRDefault="007E7B29" w:rsidP="007E7B29">
            <w:pPr>
              <w:pStyle w:val="ENoteTableText"/>
              <w:tabs>
                <w:tab w:val="center" w:leader="dot" w:pos="2268"/>
              </w:tabs>
            </w:pPr>
            <w:r w:rsidRPr="005E3B43">
              <w:t>r 98</w:t>
            </w:r>
            <w:r w:rsidR="00407AD1" w:rsidRPr="005E3B43">
              <w:tab/>
            </w:r>
          </w:p>
        </w:tc>
        <w:tc>
          <w:tcPr>
            <w:tcW w:w="3505" w:type="pct"/>
          </w:tcPr>
          <w:p w14:paraId="27842307" w14:textId="77777777" w:rsidR="007E7B29" w:rsidRPr="005E3B43" w:rsidRDefault="00407AD1" w:rsidP="007E7B29">
            <w:pPr>
              <w:pStyle w:val="ENoteTableText"/>
            </w:pPr>
            <w:r w:rsidRPr="005E3B43">
              <w:t>ad F2024L00260</w:t>
            </w:r>
          </w:p>
        </w:tc>
      </w:tr>
      <w:tr w:rsidR="009E1580" w:rsidRPr="005E3B43" w14:paraId="2FADB2AE" w14:textId="77777777" w:rsidTr="00034EA9">
        <w:trPr>
          <w:cantSplit/>
        </w:trPr>
        <w:tc>
          <w:tcPr>
            <w:tcW w:w="1495" w:type="pct"/>
          </w:tcPr>
          <w:p w14:paraId="2CAF7AA5" w14:textId="652FA196" w:rsidR="009E1580" w:rsidRPr="005E3B43" w:rsidRDefault="007C3215" w:rsidP="007E7B29">
            <w:pPr>
              <w:pStyle w:val="ENoteTableText"/>
              <w:tabs>
                <w:tab w:val="center" w:leader="dot" w:pos="2268"/>
              </w:tabs>
              <w:rPr>
                <w:b/>
              </w:rPr>
            </w:pPr>
            <w:r>
              <w:rPr>
                <w:b/>
              </w:rPr>
              <w:t>Division 2</w:t>
            </w:r>
            <w:r w:rsidR="009E1580" w:rsidRPr="005E3B43">
              <w:rPr>
                <w:b/>
              </w:rPr>
              <w:t>5</w:t>
            </w:r>
          </w:p>
        </w:tc>
        <w:tc>
          <w:tcPr>
            <w:tcW w:w="3505" w:type="pct"/>
          </w:tcPr>
          <w:p w14:paraId="6300C5B6" w14:textId="77777777" w:rsidR="009E1580" w:rsidRPr="005E3B43" w:rsidRDefault="009E1580" w:rsidP="007E7B29">
            <w:pPr>
              <w:pStyle w:val="ENoteTableText"/>
            </w:pPr>
          </w:p>
        </w:tc>
      </w:tr>
      <w:tr w:rsidR="009E1580" w:rsidRPr="005E3B43" w14:paraId="189B4D0D" w14:textId="77777777" w:rsidTr="00034EA9">
        <w:trPr>
          <w:cantSplit/>
        </w:trPr>
        <w:tc>
          <w:tcPr>
            <w:tcW w:w="1495" w:type="pct"/>
          </w:tcPr>
          <w:p w14:paraId="35AC95B4" w14:textId="74A30DC4" w:rsidR="009E1580" w:rsidRPr="005E3B43" w:rsidRDefault="007C3215" w:rsidP="007E7B29">
            <w:pPr>
              <w:pStyle w:val="ENoteTableText"/>
              <w:tabs>
                <w:tab w:val="center" w:leader="dot" w:pos="2268"/>
              </w:tabs>
            </w:pPr>
            <w:r>
              <w:t>Division 2</w:t>
            </w:r>
            <w:r w:rsidR="009E1580" w:rsidRPr="005E3B43">
              <w:t>5</w:t>
            </w:r>
            <w:r w:rsidR="005C7B17" w:rsidRPr="005E3B43">
              <w:tab/>
            </w:r>
          </w:p>
        </w:tc>
        <w:tc>
          <w:tcPr>
            <w:tcW w:w="3505" w:type="pct"/>
          </w:tcPr>
          <w:p w14:paraId="38F7E1B9" w14:textId="77777777" w:rsidR="009E1580" w:rsidRPr="005E3B43" w:rsidRDefault="005C7B17" w:rsidP="007E7B29">
            <w:pPr>
              <w:pStyle w:val="ENoteTableText"/>
            </w:pPr>
            <w:r w:rsidRPr="005E3B43">
              <w:t>ad F2024L00686</w:t>
            </w:r>
          </w:p>
        </w:tc>
      </w:tr>
      <w:tr w:rsidR="009E1580" w:rsidRPr="005E3B43" w14:paraId="2DB6A3BA" w14:textId="77777777" w:rsidTr="00034EA9">
        <w:trPr>
          <w:cantSplit/>
        </w:trPr>
        <w:tc>
          <w:tcPr>
            <w:tcW w:w="1495" w:type="pct"/>
          </w:tcPr>
          <w:p w14:paraId="18E7B335" w14:textId="77777777" w:rsidR="009E1580" w:rsidRPr="005E3B43" w:rsidRDefault="005C7B17" w:rsidP="007E7B29">
            <w:pPr>
              <w:pStyle w:val="ENoteTableText"/>
              <w:tabs>
                <w:tab w:val="center" w:leader="dot" w:pos="2268"/>
              </w:tabs>
            </w:pPr>
            <w:r w:rsidRPr="005E3B43">
              <w:t>r 99</w:t>
            </w:r>
            <w:r w:rsidRPr="005E3B43">
              <w:tab/>
            </w:r>
          </w:p>
        </w:tc>
        <w:tc>
          <w:tcPr>
            <w:tcW w:w="3505" w:type="pct"/>
          </w:tcPr>
          <w:p w14:paraId="0BD2B6AC" w14:textId="77777777" w:rsidR="009E1580" w:rsidRPr="005E3B43" w:rsidRDefault="005C7B17" w:rsidP="007E7B29">
            <w:pPr>
              <w:pStyle w:val="ENoteTableText"/>
            </w:pPr>
            <w:r w:rsidRPr="005E3B43">
              <w:t>ad F2024L00686</w:t>
            </w:r>
          </w:p>
        </w:tc>
      </w:tr>
      <w:tr w:rsidR="009E1580" w:rsidRPr="005E3B43" w14:paraId="2F05933E" w14:textId="77777777" w:rsidTr="00034EA9">
        <w:trPr>
          <w:cantSplit/>
        </w:trPr>
        <w:tc>
          <w:tcPr>
            <w:tcW w:w="1495" w:type="pct"/>
          </w:tcPr>
          <w:p w14:paraId="52B3D5BC" w14:textId="77777777" w:rsidR="009E1580" w:rsidRPr="005E3B43" w:rsidRDefault="005C7B17" w:rsidP="007E7B29">
            <w:pPr>
              <w:pStyle w:val="ENoteTableText"/>
              <w:tabs>
                <w:tab w:val="center" w:leader="dot" w:pos="2268"/>
              </w:tabs>
            </w:pPr>
            <w:r w:rsidRPr="005E3B43">
              <w:t>r 100</w:t>
            </w:r>
            <w:r w:rsidRPr="005E3B43">
              <w:tab/>
            </w:r>
          </w:p>
        </w:tc>
        <w:tc>
          <w:tcPr>
            <w:tcW w:w="3505" w:type="pct"/>
          </w:tcPr>
          <w:p w14:paraId="581B6BDB" w14:textId="77777777" w:rsidR="009E1580" w:rsidRPr="005E3B43" w:rsidRDefault="005C7B17" w:rsidP="007E7B29">
            <w:pPr>
              <w:pStyle w:val="ENoteTableText"/>
            </w:pPr>
            <w:r w:rsidRPr="005E3B43">
              <w:t>ad F2024L00686</w:t>
            </w:r>
          </w:p>
        </w:tc>
      </w:tr>
      <w:tr w:rsidR="005C7B17" w:rsidRPr="005E3B43" w14:paraId="74A79784" w14:textId="77777777" w:rsidTr="00034EA9">
        <w:trPr>
          <w:cantSplit/>
        </w:trPr>
        <w:tc>
          <w:tcPr>
            <w:tcW w:w="1495" w:type="pct"/>
          </w:tcPr>
          <w:p w14:paraId="03EE6D78" w14:textId="77777777" w:rsidR="005C7B17" w:rsidRPr="005E3B43" w:rsidRDefault="005C7B17" w:rsidP="007E7B29">
            <w:pPr>
              <w:pStyle w:val="ENoteTableText"/>
              <w:tabs>
                <w:tab w:val="center" w:leader="dot" w:pos="2268"/>
              </w:tabs>
            </w:pPr>
            <w:r w:rsidRPr="005E3B43">
              <w:t>r 101</w:t>
            </w:r>
            <w:r w:rsidRPr="005E3B43">
              <w:tab/>
            </w:r>
          </w:p>
        </w:tc>
        <w:tc>
          <w:tcPr>
            <w:tcW w:w="3505" w:type="pct"/>
          </w:tcPr>
          <w:p w14:paraId="6CEA540E" w14:textId="77777777" w:rsidR="005C7B17" w:rsidRPr="005E3B43" w:rsidRDefault="005C7B17" w:rsidP="007E7B29">
            <w:pPr>
              <w:pStyle w:val="ENoteTableText"/>
            </w:pPr>
            <w:r w:rsidRPr="005E3B43">
              <w:t>ad F2024L00686</w:t>
            </w:r>
          </w:p>
        </w:tc>
      </w:tr>
      <w:tr w:rsidR="005C7B17" w:rsidRPr="005E3B43" w14:paraId="0AEEB217" w14:textId="77777777" w:rsidTr="00034EA9">
        <w:trPr>
          <w:cantSplit/>
        </w:trPr>
        <w:tc>
          <w:tcPr>
            <w:tcW w:w="1495" w:type="pct"/>
          </w:tcPr>
          <w:p w14:paraId="5C6C9BA9" w14:textId="77777777" w:rsidR="005C7B17" w:rsidRPr="005E3B43" w:rsidRDefault="005C7B17" w:rsidP="007E7B29">
            <w:pPr>
              <w:pStyle w:val="ENoteTableText"/>
              <w:tabs>
                <w:tab w:val="center" w:leader="dot" w:pos="2268"/>
              </w:tabs>
            </w:pPr>
            <w:r w:rsidRPr="005E3B43">
              <w:t>r 102</w:t>
            </w:r>
            <w:r w:rsidRPr="005E3B43">
              <w:tab/>
            </w:r>
          </w:p>
        </w:tc>
        <w:tc>
          <w:tcPr>
            <w:tcW w:w="3505" w:type="pct"/>
          </w:tcPr>
          <w:p w14:paraId="4D9C9436" w14:textId="77777777" w:rsidR="005C7B17" w:rsidRPr="005E3B43" w:rsidRDefault="005C7B17" w:rsidP="007E7B29">
            <w:pPr>
              <w:pStyle w:val="ENoteTableText"/>
            </w:pPr>
            <w:r w:rsidRPr="005E3B43">
              <w:t>ad F2024L00686</w:t>
            </w:r>
          </w:p>
        </w:tc>
      </w:tr>
      <w:tr w:rsidR="00BD5711" w:rsidRPr="005E3B43" w14:paraId="019F15C4" w14:textId="77777777" w:rsidTr="00034EA9">
        <w:trPr>
          <w:cantSplit/>
        </w:trPr>
        <w:tc>
          <w:tcPr>
            <w:tcW w:w="1495" w:type="pct"/>
          </w:tcPr>
          <w:p w14:paraId="0232C100" w14:textId="77777777" w:rsidR="00BD5711" w:rsidRPr="005E3B43" w:rsidRDefault="00BD5711" w:rsidP="007E7B29">
            <w:pPr>
              <w:pStyle w:val="ENoteTableText"/>
              <w:tabs>
                <w:tab w:val="center" w:leader="dot" w:pos="2268"/>
              </w:tabs>
            </w:pPr>
            <w:r w:rsidRPr="005E3B43">
              <w:t>r 103</w:t>
            </w:r>
            <w:r w:rsidRPr="005E3B43">
              <w:tab/>
            </w:r>
          </w:p>
        </w:tc>
        <w:tc>
          <w:tcPr>
            <w:tcW w:w="3505" w:type="pct"/>
          </w:tcPr>
          <w:p w14:paraId="7022C9A8" w14:textId="77777777" w:rsidR="00BD5711" w:rsidRPr="005E3B43" w:rsidRDefault="00BD5711" w:rsidP="007E7B29">
            <w:pPr>
              <w:pStyle w:val="ENoteTableText"/>
            </w:pPr>
            <w:r w:rsidRPr="005E3B43">
              <w:t>ad F2024L00686</w:t>
            </w:r>
          </w:p>
        </w:tc>
      </w:tr>
      <w:tr w:rsidR="0080671F" w:rsidRPr="005E3B43" w14:paraId="4E26119E" w14:textId="77777777" w:rsidTr="00034EA9">
        <w:trPr>
          <w:cantSplit/>
        </w:trPr>
        <w:tc>
          <w:tcPr>
            <w:tcW w:w="1495" w:type="pct"/>
          </w:tcPr>
          <w:p w14:paraId="4F12C19D" w14:textId="6AFFA21D" w:rsidR="0080671F" w:rsidRPr="005E3B43" w:rsidRDefault="007C3215" w:rsidP="007E7B29">
            <w:pPr>
              <w:pStyle w:val="ENoteTableText"/>
              <w:tabs>
                <w:tab w:val="center" w:leader="dot" w:pos="2268"/>
              </w:tabs>
              <w:rPr>
                <w:b/>
              </w:rPr>
            </w:pPr>
            <w:r>
              <w:rPr>
                <w:b/>
              </w:rPr>
              <w:t>Division 2</w:t>
            </w:r>
            <w:r w:rsidR="0080671F" w:rsidRPr="005E3B43">
              <w:rPr>
                <w:b/>
              </w:rPr>
              <w:t>6</w:t>
            </w:r>
          </w:p>
        </w:tc>
        <w:tc>
          <w:tcPr>
            <w:tcW w:w="3505" w:type="pct"/>
          </w:tcPr>
          <w:p w14:paraId="1D9A93D5" w14:textId="77777777" w:rsidR="0080671F" w:rsidRPr="005E3B43" w:rsidRDefault="0080671F" w:rsidP="007E7B29">
            <w:pPr>
              <w:pStyle w:val="ENoteTableText"/>
            </w:pPr>
          </w:p>
        </w:tc>
      </w:tr>
      <w:tr w:rsidR="0080671F" w:rsidRPr="005E3B43" w14:paraId="2ECCA0B7" w14:textId="77777777" w:rsidTr="00034EA9">
        <w:trPr>
          <w:cantSplit/>
        </w:trPr>
        <w:tc>
          <w:tcPr>
            <w:tcW w:w="1495" w:type="pct"/>
          </w:tcPr>
          <w:p w14:paraId="257EBFEE" w14:textId="1AEB1B9F" w:rsidR="0080671F" w:rsidRPr="005E3B43" w:rsidRDefault="007C3215" w:rsidP="007E7B29">
            <w:pPr>
              <w:pStyle w:val="ENoteTableText"/>
              <w:tabs>
                <w:tab w:val="center" w:leader="dot" w:pos="2268"/>
              </w:tabs>
            </w:pPr>
            <w:r>
              <w:t>Division 2</w:t>
            </w:r>
            <w:r w:rsidR="0080671F" w:rsidRPr="005E3B43">
              <w:t>6</w:t>
            </w:r>
            <w:r w:rsidR="00195AE1" w:rsidRPr="005E3B43">
              <w:tab/>
            </w:r>
          </w:p>
        </w:tc>
        <w:tc>
          <w:tcPr>
            <w:tcW w:w="3505" w:type="pct"/>
          </w:tcPr>
          <w:p w14:paraId="0A95C5A9" w14:textId="77777777" w:rsidR="0080671F" w:rsidRPr="005E3B43" w:rsidRDefault="00472FE7" w:rsidP="007E7B29">
            <w:pPr>
              <w:pStyle w:val="ENoteTableText"/>
            </w:pPr>
            <w:r w:rsidRPr="005E3B43">
              <w:t>ad F2024L00839</w:t>
            </w:r>
          </w:p>
        </w:tc>
      </w:tr>
      <w:tr w:rsidR="00472FE7" w:rsidRPr="005E3B43" w14:paraId="3CCC62F5" w14:textId="77777777" w:rsidTr="00034EA9">
        <w:trPr>
          <w:cantSplit/>
        </w:trPr>
        <w:tc>
          <w:tcPr>
            <w:tcW w:w="1495" w:type="pct"/>
          </w:tcPr>
          <w:p w14:paraId="7B3E486B" w14:textId="77777777" w:rsidR="00472FE7" w:rsidRPr="005E3B43" w:rsidRDefault="00472FE7" w:rsidP="007E7B29">
            <w:pPr>
              <w:pStyle w:val="ENoteTableText"/>
              <w:tabs>
                <w:tab w:val="center" w:leader="dot" w:pos="2268"/>
              </w:tabs>
            </w:pPr>
            <w:r w:rsidRPr="005E3B43">
              <w:t>r 104</w:t>
            </w:r>
            <w:r w:rsidRPr="005E3B43">
              <w:tab/>
            </w:r>
          </w:p>
        </w:tc>
        <w:tc>
          <w:tcPr>
            <w:tcW w:w="3505" w:type="pct"/>
          </w:tcPr>
          <w:p w14:paraId="1F6D3D10" w14:textId="77777777" w:rsidR="00472FE7" w:rsidRPr="005E3B43" w:rsidRDefault="00472FE7" w:rsidP="007E7B29">
            <w:pPr>
              <w:pStyle w:val="ENoteTableText"/>
            </w:pPr>
            <w:r w:rsidRPr="005E3B43">
              <w:t>ad F2024L00839</w:t>
            </w:r>
          </w:p>
        </w:tc>
      </w:tr>
      <w:tr w:rsidR="00472FE7" w:rsidRPr="005E3B43" w14:paraId="52EAEF73" w14:textId="77777777" w:rsidTr="00034EA9">
        <w:trPr>
          <w:cantSplit/>
        </w:trPr>
        <w:tc>
          <w:tcPr>
            <w:tcW w:w="1495" w:type="pct"/>
          </w:tcPr>
          <w:p w14:paraId="07FD2A2C" w14:textId="77777777" w:rsidR="00472FE7" w:rsidRPr="005E3B43" w:rsidRDefault="00472FE7" w:rsidP="007E7B29">
            <w:pPr>
              <w:pStyle w:val="ENoteTableText"/>
              <w:tabs>
                <w:tab w:val="center" w:leader="dot" w:pos="2268"/>
              </w:tabs>
            </w:pPr>
            <w:r w:rsidRPr="005E3B43">
              <w:t>r 105</w:t>
            </w:r>
            <w:r w:rsidRPr="005E3B43">
              <w:tab/>
            </w:r>
          </w:p>
        </w:tc>
        <w:tc>
          <w:tcPr>
            <w:tcW w:w="3505" w:type="pct"/>
          </w:tcPr>
          <w:p w14:paraId="1647934F" w14:textId="77777777" w:rsidR="00472FE7" w:rsidRPr="005E3B43" w:rsidRDefault="00472FE7" w:rsidP="007E7B29">
            <w:pPr>
              <w:pStyle w:val="ENoteTableText"/>
            </w:pPr>
            <w:r w:rsidRPr="005E3B43">
              <w:t>ad F2024L00839</w:t>
            </w:r>
          </w:p>
        </w:tc>
      </w:tr>
      <w:tr w:rsidR="00472FE7" w:rsidRPr="005E3B43" w14:paraId="196AE4D1" w14:textId="77777777" w:rsidTr="00034EA9">
        <w:trPr>
          <w:cantSplit/>
        </w:trPr>
        <w:tc>
          <w:tcPr>
            <w:tcW w:w="1495" w:type="pct"/>
          </w:tcPr>
          <w:p w14:paraId="19F0FFFF" w14:textId="77777777" w:rsidR="00472FE7" w:rsidRPr="005E3B43" w:rsidRDefault="00472FE7" w:rsidP="007E7B29">
            <w:pPr>
              <w:pStyle w:val="ENoteTableText"/>
              <w:tabs>
                <w:tab w:val="center" w:leader="dot" w:pos="2268"/>
              </w:tabs>
            </w:pPr>
            <w:r w:rsidRPr="005E3B43">
              <w:t>r 106</w:t>
            </w:r>
            <w:r w:rsidRPr="005E3B43">
              <w:tab/>
            </w:r>
          </w:p>
        </w:tc>
        <w:tc>
          <w:tcPr>
            <w:tcW w:w="3505" w:type="pct"/>
          </w:tcPr>
          <w:p w14:paraId="4D999EB8" w14:textId="77777777" w:rsidR="00472FE7" w:rsidRPr="005E3B43" w:rsidRDefault="00472FE7" w:rsidP="007E7B29">
            <w:pPr>
              <w:pStyle w:val="ENoteTableText"/>
            </w:pPr>
            <w:r w:rsidRPr="005E3B43">
              <w:t>ad F2024L00839</w:t>
            </w:r>
          </w:p>
        </w:tc>
      </w:tr>
      <w:tr w:rsidR="00472FE7" w:rsidRPr="005E3B43" w14:paraId="423CE216" w14:textId="77777777" w:rsidTr="00034EA9">
        <w:trPr>
          <w:cantSplit/>
        </w:trPr>
        <w:tc>
          <w:tcPr>
            <w:tcW w:w="1495" w:type="pct"/>
          </w:tcPr>
          <w:p w14:paraId="34D8F5F3" w14:textId="77777777" w:rsidR="00472FE7" w:rsidRPr="005E3B43" w:rsidRDefault="00472FE7" w:rsidP="007E7B29">
            <w:pPr>
              <w:pStyle w:val="ENoteTableText"/>
              <w:tabs>
                <w:tab w:val="center" w:leader="dot" w:pos="2268"/>
              </w:tabs>
            </w:pPr>
            <w:r w:rsidRPr="005E3B43">
              <w:t>r 107</w:t>
            </w:r>
            <w:r w:rsidRPr="005E3B43">
              <w:tab/>
            </w:r>
          </w:p>
        </w:tc>
        <w:tc>
          <w:tcPr>
            <w:tcW w:w="3505" w:type="pct"/>
          </w:tcPr>
          <w:p w14:paraId="026044D2" w14:textId="77777777" w:rsidR="00472FE7" w:rsidRPr="005E3B43" w:rsidRDefault="00472FE7" w:rsidP="007E7B29">
            <w:pPr>
              <w:pStyle w:val="ENoteTableText"/>
            </w:pPr>
            <w:r w:rsidRPr="005E3B43">
              <w:t>ad F2024L00839</w:t>
            </w:r>
          </w:p>
        </w:tc>
      </w:tr>
      <w:tr w:rsidR="00472FE7" w:rsidRPr="005E3B43" w14:paraId="386AE903" w14:textId="77777777" w:rsidTr="00034EA9">
        <w:trPr>
          <w:cantSplit/>
        </w:trPr>
        <w:tc>
          <w:tcPr>
            <w:tcW w:w="1495" w:type="pct"/>
          </w:tcPr>
          <w:p w14:paraId="34BA4FDF" w14:textId="77777777" w:rsidR="00472FE7" w:rsidRPr="005E3B43" w:rsidRDefault="00472FE7" w:rsidP="007E7B29">
            <w:pPr>
              <w:pStyle w:val="ENoteTableText"/>
              <w:tabs>
                <w:tab w:val="center" w:leader="dot" w:pos="2268"/>
              </w:tabs>
            </w:pPr>
            <w:r w:rsidRPr="005E3B43">
              <w:t>r 108</w:t>
            </w:r>
            <w:r w:rsidRPr="005E3B43">
              <w:tab/>
            </w:r>
          </w:p>
        </w:tc>
        <w:tc>
          <w:tcPr>
            <w:tcW w:w="3505" w:type="pct"/>
          </w:tcPr>
          <w:p w14:paraId="6A96DB60" w14:textId="77777777" w:rsidR="00472FE7" w:rsidRPr="005E3B43" w:rsidRDefault="00472FE7" w:rsidP="007E7B29">
            <w:pPr>
              <w:pStyle w:val="ENoteTableText"/>
            </w:pPr>
            <w:r w:rsidRPr="005E3B43">
              <w:t>ad F2024L00839</w:t>
            </w:r>
          </w:p>
        </w:tc>
      </w:tr>
      <w:tr w:rsidR="004340B0" w:rsidRPr="005E3B43" w14:paraId="64CDAD74" w14:textId="77777777" w:rsidTr="00034EA9">
        <w:trPr>
          <w:cantSplit/>
        </w:trPr>
        <w:tc>
          <w:tcPr>
            <w:tcW w:w="1495" w:type="pct"/>
          </w:tcPr>
          <w:p w14:paraId="7879EA95" w14:textId="77777777" w:rsidR="004340B0" w:rsidRPr="005E3B43" w:rsidRDefault="004340B0" w:rsidP="007E7B29">
            <w:pPr>
              <w:pStyle w:val="ENoteTableText"/>
              <w:tabs>
                <w:tab w:val="center" w:leader="dot" w:pos="2268"/>
              </w:tabs>
            </w:pPr>
          </w:p>
        </w:tc>
        <w:tc>
          <w:tcPr>
            <w:tcW w:w="3505" w:type="pct"/>
          </w:tcPr>
          <w:p w14:paraId="782955CE" w14:textId="77777777" w:rsidR="004340B0" w:rsidRPr="005E3B43" w:rsidRDefault="004424FE" w:rsidP="007E7B29">
            <w:pPr>
              <w:pStyle w:val="ENoteTableText"/>
            </w:pPr>
            <w:r w:rsidRPr="005E3B43">
              <w:t xml:space="preserve">(2) exp </w:t>
            </w:r>
            <w:r w:rsidRPr="005E3B43">
              <w:rPr>
                <w:u w:val="single"/>
              </w:rPr>
              <w:t>end of 31 Dec 2024 (r 108(3))</w:t>
            </w:r>
          </w:p>
        </w:tc>
      </w:tr>
      <w:tr w:rsidR="00E0214E" w:rsidRPr="005E3B43" w14:paraId="32C098E5" w14:textId="77777777" w:rsidTr="00034EA9">
        <w:trPr>
          <w:cantSplit/>
        </w:trPr>
        <w:tc>
          <w:tcPr>
            <w:tcW w:w="1495" w:type="pct"/>
          </w:tcPr>
          <w:p w14:paraId="148C60B1" w14:textId="3D063E2E" w:rsidR="00E0214E" w:rsidRPr="002D450C" w:rsidRDefault="007C3215" w:rsidP="007E7B29">
            <w:pPr>
              <w:pStyle w:val="ENoteTableText"/>
              <w:tabs>
                <w:tab w:val="center" w:leader="dot" w:pos="2268"/>
              </w:tabs>
              <w:rPr>
                <w:b/>
                <w:bCs/>
              </w:rPr>
            </w:pPr>
            <w:r>
              <w:rPr>
                <w:b/>
                <w:bCs/>
              </w:rPr>
              <w:t>Division 2</w:t>
            </w:r>
            <w:r w:rsidR="00E0214E">
              <w:rPr>
                <w:b/>
                <w:bCs/>
              </w:rPr>
              <w:t>7</w:t>
            </w:r>
          </w:p>
        </w:tc>
        <w:tc>
          <w:tcPr>
            <w:tcW w:w="3505" w:type="pct"/>
          </w:tcPr>
          <w:p w14:paraId="68662C5B" w14:textId="77777777" w:rsidR="00E0214E" w:rsidRPr="005E3B43" w:rsidRDefault="00E0214E" w:rsidP="007E7B29">
            <w:pPr>
              <w:pStyle w:val="ENoteTableText"/>
            </w:pPr>
          </w:p>
        </w:tc>
      </w:tr>
      <w:tr w:rsidR="00E0214E" w:rsidRPr="005E3B43" w14:paraId="5130E091" w14:textId="77777777" w:rsidTr="00034EA9">
        <w:trPr>
          <w:cantSplit/>
        </w:trPr>
        <w:tc>
          <w:tcPr>
            <w:tcW w:w="1495" w:type="pct"/>
          </w:tcPr>
          <w:p w14:paraId="665230E5" w14:textId="24C78292" w:rsidR="00E0214E" w:rsidRPr="005E3B43" w:rsidRDefault="007C3215" w:rsidP="007E7B29">
            <w:pPr>
              <w:pStyle w:val="ENoteTableText"/>
              <w:tabs>
                <w:tab w:val="center" w:leader="dot" w:pos="2268"/>
              </w:tabs>
            </w:pPr>
            <w:r>
              <w:t>Division 2</w:t>
            </w:r>
            <w:r w:rsidR="00E0214E">
              <w:t>7</w:t>
            </w:r>
            <w:r w:rsidR="00E0214E">
              <w:tab/>
            </w:r>
          </w:p>
        </w:tc>
        <w:tc>
          <w:tcPr>
            <w:tcW w:w="3505" w:type="pct"/>
          </w:tcPr>
          <w:p w14:paraId="7A2AA60B" w14:textId="57E252FA" w:rsidR="00E0214E" w:rsidRPr="005E3B43" w:rsidRDefault="00E0214E" w:rsidP="007E7B29">
            <w:pPr>
              <w:pStyle w:val="ENoteTableText"/>
            </w:pPr>
            <w:r>
              <w:t xml:space="preserve">ad </w:t>
            </w:r>
            <w:r w:rsidRPr="00E0214E">
              <w:t>F2024L01673</w:t>
            </w:r>
          </w:p>
        </w:tc>
      </w:tr>
      <w:tr w:rsidR="00E0214E" w:rsidRPr="005E3B43" w14:paraId="64F8D54C" w14:textId="77777777" w:rsidTr="00034EA9">
        <w:trPr>
          <w:cantSplit/>
        </w:trPr>
        <w:tc>
          <w:tcPr>
            <w:tcW w:w="1495" w:type="pct"/>
          </w:tcPr>
          <w:p w14:paraId="65A8340B" w14:textId="4979F6D5" w:rsidR="00E0214E" w:rsidRPr="005E3B43" w:rsidRDefault="00E0214E" w:rsidP="007E7B29">
            <w:pPr>
              <w:pStyle w:val="ENoteTableText"/>
              <w:tabs>
                <w:tab w:val="center" w:leader="dot" w:pos="2268"/>
              </w:tabs>
            </w:pPr>
            <w:r>
              <w:t>r 109</w:t>
            </w:r>
            <w:r>
              <w:tab/>
            </w:r>
          </w:p>
        </w:tc>
        <w:tc>
          <w:tcPr>
            <w:tcW w:w="3505" w:type="pct"/>
          </w:tcPr>
          <w:p w14:paraId="00E17958" w14:textId="02572484" w:rsidR="00E0214E" w:rsidRPr="005E3B43" w:rsidRDefault="00E0214E" w:rsidP="007E7B29">
            <w:pPr>
              <w:pStyle w:val="ENoteTableText"/>
            </w:pPr>
            <w:r>
              <w:t xml:space="preserve">ad </w:t>
            </w:r>
            <w:r w:rsidRPr="00E0214E">
              <w:t>F2024L01673</w:t>
            </w:r>
          </w:p>
        </w:tc>
      </w:tr>
      <w:tr w:rsidR="00E0214E" w:rsidRPr="005E3B43" w14:paraId="4F4372DB" w14:textId="77777777" w:rsidTr="00034EA9">
        <w:trPr>
          <w:cantSplit/>
        </w:trPr>
        <w:tc>
          <w:tcPr>
            <w:tcW w:w="1495" w:type="pct"/>
          </w:tcPr>
          <w:p w14:paraId="2887A181" w14:textId="05C813FC" w:rsidR="00E0214E" w:rsidRPr="005E3B43" w:rsidRDefault="00E0214E" w:rsidP="007E7B29">
            <w:pPr>
              <w:pStyle w:val="ENoteTableText"/>
              <w:tabs>
                <w:tab w:val="center" w:leader="dot" w:pos="2268"/>
              </w:tabs>
            </w:pPr>
            <w:r>
              <w:t>r 110</w:t>
            </w:r>
            <w:r>
              <w:tab/>
            </w:r>
          </w:p>
        </w:tc>
        <w:tc>
          <w:tcPr>
            <w:tcW w:w="3505" w:type="pct"/>
          </w:tcPr>
          <w:p w14:paraId="764BA69B" w14:textId="247BE461" w:rsidR="00E0214E" w:rsidRPr="005E3B43" w:rsidRDefault="00E0214E" w:rsidP="007E7B29">
            <w:pPr>
              <w:pStyle w:val="ENoteTableText"/>
            </w:pPr>
            <w:r>
              <w:t xml:space="preserve">ad </w:t>
            </w:r>
            <w:r w:rsidRPr="00E0214E">
              <w:t>F2024L01673</w:t>
            </w:r>
          </w:p>
        </w:tc>
      </w:tr>
      <w:tr w:rsidR="00E0214E" w:rsidRPr="005E3B43" w14:paraId="6033D702" w14:textId="77777777" w:rsidTr="00034EA9">
        <w:trPr>
          <w:cantSplit/>
        </w:trPr>
        <w:tc>
          <w:tcPr>
            <w:tcW w:w="1495" w:type="pct"/>
          </w:tcPr>
          <w:p w14:paraId="0C9B9453" w14:textId="1611E5D4" w:rsidR="00E0214E" w:rsidRPr="005E3B43" w:rsidRDefault="00E0214E" w:rsidP="007E7B29">
            <w:pPr>
              <w:pStyle w:val="ENoteTableText"/>
              <w:tabs>
                <w:tab w:val="center" w:leader="dot" w:pos="2268"/>
              </w:tabs>
            </w:pPr>
            <w:r>
              <w:t>r 111</w:t>
            </w:r>
            <w:r>
              <w:tab/>
            </w:r>
          </w:p>
        </w:tc>
        <w:tc>
          <w:tcPr>
            <w:tcW w:w="3505" w:type="pct"/>
          </w:tcPr>
          <w:p w14:paraId="4795FDBB" w14:textId="0929DF48" w:rsidR="00E0214E" w:rsidRPr="005E3B43" w:rsidRDefault="00E0214E" w:rsidP="007E7B29">
            <w:pPr>
              <w:pStyle w:val="ENoteTableText"/>
            </w:pPr>
            <w:r>
              <w:t xml:space="preserve">ad </w:t>
            </w:r>
            <w:r w:rsidRPr="00E0214E">
              <w:t>F2024L01673</w:t>
            </w:r>
          </w:p>
        </w:tc>
      </w:tr>
      <w:tr w:rsidR="002E7953" w:rsidRPr="005E3B43" w14:paraId="08D08367" w14:textId="77777777" w:rsidTr="00034EA9">
        <w:trPr>
          <w:cantSplit/>
        </w:trPr>
        <w:tc>
          <w:tcPr>
            <w:tcW w:w="1495" w:type="pct"/>
          </w:tcPr>
          <w:p w14:paraId="41843174" w14:textId="77777777" w:rsidR="002E7953" w:rsidRPr="005E3B43" w:rsidRDefault="002E7953" w:rsidP="002E7953">
            <w:pPr>
              <w:pStyle w:val="ENoteTableText"/>
            </w:pPr>
            <w:r w:rsidRPr="005E3B43">
              <w:rPr>
                <w:b/>
              </w:rPr>
              <w:t>Schedule 1</w:t>
            </w:r>
          </w:p>
        </w:tc>
        <w:tc>
          <w:tcPr>
            <w:tcW w:w="3505" w:type="pct"/>
          </w:tcPr>
          <w:p w14:paraId="076A01B7" w14:textId="77777777" w:rsidR="002E7953" w:rsidRPr="005E3B43" w:rsidRDefault="002E7953" w:rsidP="002E7953">
            <w:pPr>
              <w:pStyle w:val="ENoteTableText"/>
            </w:pPr>
          </w:p>
        </w:tc>
      </w:tr>
      <w:tr w:rsidR="002E7953" w:rsidRPr="005E3B43" w14:paraId="797105D2" w14:textId="77777777" w:rsidTr="00034EA9">
        <w:trPr>
          <w:cantSplit/>
        </w:trPr>
        <w:tc>
          <w:tcPr>
            <w:tcW w:w="1495" w:type="pct"/>
          </w:tcPr>
          <w:p w14:paraId="424DC98E" w14:textId="77777777" w:rsidR="002E7953" w:rsidRPr="005E3B43" w:rsidRDefault="002E7953" w:rsidP="002E7953">
            <w:pPr>
              <w:pStyle w:val="ENoteTableText"/>
              <w:tabs>
                <w:tab w:val="center" w:leader="dot" w:pos="2268"/>
              </w:tabs>
            </w:pPr>
            <w:r w:rsidRPr="005E3B43">
              <w:t>Schedule 1</w:t>
            </w:r>
            <w:r w:rsidRPr="005E3B43">
              <w:tab/>
            </w:r>
          </w:p>
        </w:tc>
        <w:tc>
          <w:tcPr>
            <w:tcW w:w="3505" w:type="pct"/>
          </w:tcPr>
          <w:p w14:paraId="3D3A1CD6" w14:textId="77777777" w:rsidR="002E7953" w:rsidRPr="005E3B43" w:rsidRDefault="002E7953" w:rsidP="002E7953">
            <w:pPr>
              <w:pStyle w:val="ENoteTableText"/>
            </w:pPr>
            <w:r w:rsidRPr="005E3B43">
              <w:t>am 1992 No 89; 1992 No 332; 1994 No 150; 1994 No 364; 1995 No 208; 1997 No 398; 1999 No 324; 2001 No 159; 2003 No 258; 2006 No 122; 2012 No 142</w:t>
            </w:r>
          </w:p>
        </w:tc>
      </w:tr>
      <w:tr w:rsidR="002E7953" w:rsidRPr="005E3B43" w14:paraId="6DFAB966" w14:textId="77777777" w:rsidTr="00034EA9">
        <w:trPr>
          <w:cantSplit/>
        </w:trPr>
        <w:tc>
          <w:tcPr>
            <w:tcW w:w="1495" w:type="pct"/>
          </w:tcPr>
          <w:p w14:paraId="7FF93F73" w14:textId="77777777" w:rsidR="002E7953" w:rsidRPr="005E3B43" w:rsidRDefault="002E7953" w:rsidP="002E7953">
            <w:pPr>
              <w:pStyle w:val="ENoteTableText"/>
              <w:keepNext/>
            </w:pPr>
            <w:r w:rsidRPr="005E3B43">
              <w:rPr>
                <w:b/>
              </w:rPr>
              <w:t>Schedule 2</w:t>
            </w:r>
          </w:p>
        </w:tc>
        <w:tc>
          <w:tcPr>
            <w:tcW w:w="3505" w:type="pct"/>
          </w:tcPr>
          <w:p w14:paraId="180409DA" w14:textId="77777777" w:rsidR="002E7953" w:rsidRPr="005E3B43" w:rsidRDefault="002E7953" w:rsidP="002E7953">
            <w:pPr>
              <w:pStyle w:val="ENoteTableText"/>
            </w:pPr>
          </w:p>
        </w:tc>
      </w:tr>
      <w:tr w:rsidR="002E7953" w:rsidRPr="005E3B43" w14:paraId="7F27A8C2" w14:textId="77777777" w:rsidTr="00034EA9">
        <w:trPr>
          <w:cantSplit/>
        </w:trPr>
        <w:tc>
          <w:tcPr>
            <w:tcW w:w="1495" w:type="pct"/>
          </w:tcPr>
          <w:p w14:paraId="46A769A7" w14:textId="77777777" w:rsidR="002E7953" w:rsidRPr="005E3B43" w:rsidRDefault="002E7953" w:rsidP="002E7953">
            <w:pPr>
              <w:pStyle w:val="ENoteTableText"/>
              <w:tabs>
                <w:tab w:val="center" w:leader="dot" w:pos="2268"/>
              </w:tabs>
            </w:pPr>
            <w:r w:rsidRPr="005E3B43">
              <w:t>Schedule 2 heading</w:t>
            </w:r>
            <w:r w:rsidRPr="005E3B43">
              <w:tab/>
            </w:r>
          </w:p>
        </w:tc>
        <w:tc>
          <w:tcPr>
            <w:tcW w:w="3505" w:type="pct"/>
          </w:tcPr>
          <w:p w14:paraId="1F8CFF37" w14:textId="77777777" w:rsidR="002E7953" w:rsidRPr="005E3B43" w:rsidRDefault="002E7953" w:rsidP="002E7953">
            <w:pPr>
              <w:pStyle w:val="ENoteTableText"/>
            </w:pPr>
            <w:r w:rsidRPr="005E3B43">
              <w:t>rs 2003 No 301</w:t>
            </w:r>
          </w:p>
        </w:tc>
      </w:tr>
      <w:tr w:rsidR="002E7953" w:rsidRPr="005E3B43" w14:paraId="142950B5" w14:textId="77777777" w:rsidTr="00034EA9">
        <w:trPr>
          <w:cantSplit/>
        </w:trPr>
        <w:tc>
          <w:tcPr>
            <w:tcW w:w="1495" w:type="pct"/>
          </w:tcPr>
          <w:p w14:paraId="2F821B21" w14:textId="77777777" w:rsidR="002E7953" w:rsidRPr="005E3B43" w:rsidRDefault="002E7953" w:rsidP="002E7953">
            <w:pPr>
              <w:pStyle w:val="ENoteTableText"/>
              <w:tabs>
                <w:tab w:val="center" w:leader="dot" w:pos="2268"/>
              </w:tabs>
            </w:pPr>
            <w:r w:rsidRPr="005E3B43">
              <w:t>Schedule 2</w:t>
            </w:r>
            <w:r w:rsidRPr="005E3B43">
              <w:tab/>
            </w:r>
          </w:p>
        </w:tc>
        <w:tc>
          <w:tcPr>
            <w:tcW w:w="3505" w:type="pct"/>
          </w:tcPr>
          <w:p w14:paraId="2D57962F" w14:textId="77777777" w:rsidR="002E7953" w:rsidRPr="005E3B43" w:rsidRDefault="002E7953" w:rsidP="002E7953">
            <w:pPr>
              <w:pStyle w:val="ENoteTableText"/>
            </w:pPr>
            <w:r w:rsidRPr="005E3B43">
              <w:t>am 1994 No 150; 1995 No 208; 1997 No 398; 1999 No 324; 2000 No 48; 2001 No 159; 2001 No 252; 2002 No 234; 2006 No 122; F2016L01614; F2018L01434; F2021L01809</w:t>
            </w:r>
          </w:p>
        </w:tc>
      </w:tr>
      <w:tr w:rsidR="002E7953" w:rsidRPr="005E3B43" w14:paraId="6DB0D8E5" w14:textId="77777777" w:rsidTr="00034EA9">
        <w:trPr>
          <w:cantSplit/>
        </w:trPr>
        <w:tc>
          <w:tcPr>
            <w:tcW w:w="1495" w:type="pct"/>
          </w:tcPr>
          <w:p w14:paraId="1009FC1C" w14:textId="77777777" w:rsidR="002E7953" w:rsidRPr="005E3B43" w:rsidRDefault="002E7953" w:rsidP="002D450C">
            <w:pPr>
              <w:pStyle w:val="ENoteTableText"/>
              <w:keepNext/>
            </w:pPr>
            <w:r w:rsidRPr="005E3B43">
              <w:rPr>
                <w:b/>
              </w:rPr>
              <w:lastRenderedPageBreak/>
              <w:t>Schedule 3</w:t>
            </w:r>
          </w:p>
        </w:tc>
        <w:tc>
          <w:tcPr>
            <w:tcW w:w="3505" w:type="pct"/>
          </w:tcPr>
          <w:p w14:paraId="6A19752B" w14:textId="77777777" w:rsidR="002E7953" w:rsidRPr="005E3B43" w:rsidRDefault="002E7953" w:rsidP="002E7953">
            <w:pPr>
              <w:pStyle w:val="ENoteTableText"/>
            </w:pPr>
          </w:p>
        </w:tc>
      </w:tr>
      <w:tr w:rsidR="002E7953" w:rsidRPr="005E3B43" w14:paraId="4B1B6B90" w14:textId="77777777" w:rsidTr="00034EA9">
        <w:trPr>
          <w:cantSplit/>
        </w:trPr>
        <w:tc>
          <w:tcPr>
            <w:tcW w:w="1495" w:type="pct"/>
          </w:tcPr>
          <w:p w14:paraId="347DC712" w14:textId="77777777" w:rsidR="002E7953" w:rsidRPr="005E3B43" w:rsidRDefault="002E7953" w:rsidP="002E7953">
            <w:pPr>
              <w:pStyle w:val="ENoteTableText"/>
              <w:tabs>
                <w:tab w:val="center" w:leader="dot" w:pos="2268"/>
              </w:tabs>
            </w:pPr>
            <w:r w:rsidRPr="005E3B43">
              <w:t>Schedule 3 heading</w:t>
            </w:r>
            <w:r w:rsidRPr="005E3B43">
              <w:tab/>
            </w:r>
          </w:p>
        </w:tc>
        <w:tc>
          <w:tcPr>
            <w:tcW w:w="3505" w:type="pct"/>
          </w:tcPr>
          <w:p w14:paraId="584ADD5F" w14:textId="77777777" w:rsidR="002E7953" w:rsidRPr="005E3B43" w:rsidRDefault="002E7953" w:rsidP="002E7953">
            <w:pPr>
              <w:pStyle w:val="ENoteTableText"/>
            </w:pPr>
            <w:r w:rsidRPr="005E3B43">
              <w:t>rs F2018L00311</w:t>
            </w:r>
          </w:p>
        </w:tc>
      </w:tr>
      <w:tr w:rsidR="002E7953" w:rsidRPr="005E3B43" w14:paraId="18F97969" w14:textId="77777777" w:rsidTr="00034EA9">
        <w:trPr>
          <w:cantSplit/>
        </w:trPr>
        <w:tc>
          <w:tcPr>
            <w:tcW w:w="1495" w:type="pct"/>
          </w:tcPr>
          <w:p w14:paraId="75FA5C49" w14:textId="77777777" w:rsidR="002E7953" w:rsidRPr="005E3B43" w:rsidRDefault="002E7953" w:rsidP="002E7953">
            <w:pPr>
              <w:pStyle w:val="ENoteTableText"/>
              <w:tabs>
                <w:tab w:val="center" w:leader="dot" w:pos="2268"/>
              </w:tabs>
            </w:pPr>
            <w:r w:rsidRPr="005E3B43">
              <w:t>Schedule 3</w:t>
            </w:r>
            <w:r w:rsidRPr="005E3B43">
              <w:tab/>
            </w:r>
          </w:p>
        </w:tc>
        <w:tc>
          <w:tcPr>
            <w:tcW w:w="3505" w:type="pct"/>
          </w:tcPr>
          <w:p w14:paraId="20B348B8" w14:textId="77777777" w:rsidR="002E7953" w:rsidRPr="005E3B43" w:rsidRDefault="002E7953" w:rsidP="002E7953">
            <w:pPr>
              <w:pStyle w:val="ENoteTableText"/>
            </w:pPr>
            <w:r w:rsidRPr="005E3B43">
              <w:t>am 1991 No 84; 1991 No 485; 1992 No 19; 1992 No 89; 1992 No 370; 1994 No 150; 1994 No 364; 1995 No 208; 1997 No 398; 1997 No 399; 1999 No 62; 2002 No 84; 2002 No 114; 2002 No 143; 2002 No 234; 2002 No 315; 2004 No 78; 2010 No 26; No 213, 2015; F2018L01434; F2020L00946; F2023L01667</w:t>
            </w:r>
          </w:p>
        </w:tc>
      </w:tr>
      <w:tr w:rsidR="002E7953" w:rsidRPr="005E3B43" w14:paraId="5EF0D136" w14:textId="77777777" w:rsidTr="00034EA9">
        <w:trPr>
          <w:cantSplit/>
        </w:trPr>
        <w:tc>
          <w:tcPr>
            <w:tcW w:w="1495" w:type="pct"/>
          </w:tcPr>
          <w:p w14:paraId="35B37E52" w14:textId="77777777" w:rsidR="002E7953" w:rsidRPr="005E3B43" w:rsidRDefault="002E7953" w:rsidP="005A2156">
            <w:pPr>
              <w:pStyle w:val="ENoteTableText"/>
              <w:keepNext/>
            </w:pPr>
            <w:r w:rsidRPr="005E3B43">
              <w:rPr>
                <w:b/>
              </w:rPr>
              <w:t>Schedule 4</w:t>
            </w:r>
          </w:p>
        </w:tc>
        <w:tc>
          <w:tcPr>
            <w:tcW w:w="3505" w:type="pct"/>
          </w:tcPr>
          <w:p w14:paraId="4201ED13" w14:textId="77777777" w:rsidR="002E7953" w:rsidRPr="005E3B43" w:rsidRDefault="002E7953" w:rsidP="005A2156">
            <w:pPr>
              <w:pStyle w:val="ENoteTableText"/>
              <w:keepNext/>
            </w:pPr>
          </w:p>
        </w:tc>
      </w:tr>
      <w:tr w:rsidR="002E7953" w:rsidRPr="005E3B43" w14:paraId="166A851E" w14:textId="77777777" w:rsidTr="00034EA9">
        <w:trPr>
          <w:cantSplit/>
        </w:trPr>
        <w:tc>
          <w:tcPr>
            <w:tcW w:w="1495" w:type="pct"/>
          </w:tcPr>
          <w:p w14:paraId="5796E041" w14:textId="77777777" w:rsidR="002E7953" w:rsidRPr="005E3B43" w:rsidRDefault="002E7953" w:rsidP="002E7953">
            <w:pPr>
              <w:pStyle w:val="ENoteTableText"/>
              <w:tabs>
                <w:tab w:val="center" w:leader="dot" w:pos="2268"/>
              </w:tabs>
            </w:pPr>
            <w:r w:rsidRPr="005E3B43">
              <w:t>Schedule 4 heading</w:t>
            </w:r>
            <w:r w:rsidRPr="005E3B43">
              <w:tab/>
            </w:r>
          </w:p>
        </w:tc>
        <w:tc>
          <w:tcPr>
            <w:tcW w:w="3505" w:type="pct"/>
          </w:tcPr>
          <w:p w14:paraId="5225FD12" w14:textId="77777777" w:rsidR="002E7953" w:rsidRPr="005E3B43" w:rsidRDefault="002E7953" w:rsidP="002E7953">
            <w:pPr>
              <w:pStyle w:val="ENoteTableText"/>
            </w:pPr>
            <w:r w:rsidRPr="005E3B43">
              <w:t>am 1998 No 227</w:t>
            </w:r>
          </w:p>
        </w:tc>
      </w:tr>
      <w:tr w:rsidR="002E7953" w:rsidRPr="005E3B43" w14:paraId="71821913" w14:textId="77777777" w:rsidTr="00034EA9">
        <w:trPr>
          <w:cantSplit/>
        </w:trPr>
        <w:tc>
          <w:tcPr>
            <w:tcW w:w="1495" w:type="pct"/>
          </w:tcPr>
          <w:p w14:paraId="0F8180C1" w14:textId="77777777" w:rsidR="002E7953" w:rsidRPr="005E3B43" w:rsidRDefault="002E7953" w:rsidP="002E7953">
            <w:pPr>
              <w:pStyle w:val="ENoteTableText"/>
            </w:pPr>
          </w:p>
        </w:tc>
        <w:tc>
          <w:tcPr>
            <w:tcW w:w="3505" w:type="pct"/>
          </w:tcPr>
          <w:p w14:paraId="76353012" w14:textId="77777777" w:rsidR="002E7953" w:rsidRPr="005E3B43" w:rsidRDefault="002E7953" w:rsidP="002E7953">
            <w:pPr>
              <w:pStyle w:val="ENoteTableText"/>
            </w:pPr>
            <w:r w:rsidRPr="005E3B43">
              <w:t>rs 2002 No 234</w:t>
            </w:r>
          </w:p>
        </w:tc>
      </w:tr>
      <w:tr w:rsidR="002E7953" w:rsidRPr="005E3B43" w14:paraId="7691A2CE" w14:textId="77777777" w:rsidTr="00034EA9">
        <w:trPr>
          <w:cantSplit/>
        </w:trPr>
        <w:tc>
          <w:tcPr>
            <w:tcW w:w="1495" w:type="pct"/>
          </w:tcPr>
          <w:p w14:paraId="2708D588" w14:textId="77777777" w:rsidR="002E7953" w:rsidRPr="005E3B43" w:rsidRDefault="002E7953" w:rsidP="002E7953">
            <w:pPr>
              <w:pStyle w:val="ENoteTableText"/>
              <w:tabs>
                <w:tab w:val="center" w:leader="dot" w:pos="2268"/>
              </w:tabs>
            </w:pPr>
            <w:r w:rsidRPr="005E3B43">
              <w:t>Schedule 4</w:t>
            </w:r>
            <w:r w:rsidRPr="005E3B43">
              <w:tab/>
            </w:r>
          </w:p>
        </w:tc>
        <w:tc>
          <w:tcPr>
            <w:tcW w:w="3505" w:type="pct"/>
          </w:tcPr>
          <w:p w14:paraId="18F47DFA" w14:textId="77777777" w:rsidR="002E7953" w:rsidRPr="005E3B43" w:rsidRDefault="002E7953" w:rsidP="002E7953">
            <w:pPr>
              <w:pStyle w:val="ENoteTableText"/>
            </w:pPr>
            <w:r w:rsidRPr="005E3B43">
              <w:t>am No 84, 1991; No 19, 1992; No 89, 1992; No 150, 1994; No 208, 1995; No 320, 1995; No 9, 1996; No 208, 1996; No 398, 1997; No 227, 1998; No 369, 1998; No 62, 1999; No 324, 1999; No 48, 2000; No 159, 2001; No 252, 2001; No 84, 2002; No 114, 2002; No 234, 2002; No 315, 2002; No 258, 2003; No 361, 2003; No 78, 2004; No 127, 2004; No 26, 2010; No 30, 2011; No 281, 2011; No 251, 2012; No 213, 2015; F2018L00311; F2018L00865; F2018L01434; F2019L00396; F2020L00946; F2020L01598; F2023L01558; F2023L01667</w:t>
            </w:r>
            <w:r w:rsidR="007547B5" w:rsidRPr="005E3B43">
              <w:t>; F2024L00686</w:t>
            </w:r>
          </w:p>
        </w:tc>
      </w:tr>
      <w:tr w:rsidR="002E7953" w:rsidRPr="005E3B43" w14:paraId="047435EF" w14:textId="77777777" w:rsidTr="00034EA9">
        <w:trPr>
          <w:cantSplit/>
        </w:trPr>
        <w:tc>
          <w:tcPr>
            <w:tcW w:w="1495" w:type="pct"/>
          </w:tcPr>
          <w:p w14:paraId="4C1FA183" w14:textId="77777777" w:rsidR="002E7953" w:rsidRPr="005E3B43" w:rsidRDefault="002E7953" w:rsidP="002E7953">
            <w:pPr>
              <w:pStyle w:val="ENoteTableText"/>
              <w:keepNext/>
            </w:pPr>
            <w:r w:rsidRPr="005E3B43">
              <w:rPr>
                <w:b/>
              </w:rPr>
              <w:t>Schedule 5</w:t>
            </w:r>
          </w:p>
        </w:tc>
        <w:tc>
          <w:tcPr>
            <w:tcW w:w="3505" w:type="pct"/>
          </w:tcPr>
          <w:p w14:paraId="7483EEFC" w14:textId="77777777" w:rsidR="002E7953" w:rsidRPr="005E3B43" w:rsidRDefault="002E7953" w:rsidP="002E7953">
            <w:pPr>
              <w:pStyle w:val="ENoteTableText"/>
            </w:pPr>
          </w:p>
        </w:tc>
      </w:tr>
      <w:tr w:rsidR="002E7953" w:rsidRPr="005E3B43" w14:paraId="2A9C6229" w14:textId="77777777" w:rsidTr="00034EA9">
        <w:trPr>
          <w:cantSplit/>
        </w:trPr>
        <w:tc>
          <w:tcPr>
            <w:tcW w:w="1495" w:type="pct"/>
          </w:tcPr>
          <w:p w14:paraId="7945B304" w14:textId="77777777" w:rsidR="002E7953" w:rsidRPr="005E3B43" w:rsidRDefault="002E7953" w:rsidP="002E7953">
            <w:pPr>
              <w:pStyle w:val="ENoteTableText"/>
              <w:tabs>
                <w:tab w:val="center" w:leader="dot" w:pos="2268"/>
              </w:tabs>
            </w:pPr>
            <w:r w:rsidRPr="005E3B43">
              <w:t>Schedule 5 heading</w:t>
            </w:r>
            <w:r w:rsidRPr="005E3B43">
              <w:tab/>
            </w:r>
          </w:p>
        </w:tc>
        <w:tc>
          <w:tcPr>
            <w:tcW w:w="3505" w:type="pct"/>
          </w:tcPr>
          <w:p w14:paraId="01F18C34" w14:textId="77777777" w:rsidR="002E7953" w:rsidRPr="005E3B43" w:rsidRDefault="002E7953" w:rsidP="002E7953">
            <w:pPr>
              <w:pStyle w:val="ENoteTableText"/>
            </w:pPr>
            <w:r w:rsidRPr="005E3B43">
              <w:t>am. 2002 No. 234</w:t>
            </w:r>
          </w:p>
        </w:tc>
      </w:tr>
      <w:tr w:rsidR="002E7953" w:rsidRPr="005E3B43" w14:paraId="0FC17CD3" w14:textId="77777777" w:rsidTr="00034EA9">
        <w:trPr>
          <w:cantSplit/>
        </w:trPr>
        <w:tc>
          <w:tcPr>
            <w:tcW w:w="1495" w:type="pct"/>
          </w:tcPr>
          <w:p w14:paraId="4C6E8C5F" w14:textId="77777777" w:rsidR="002E7953" w:rsidRPr="005E3B43" w:rsidRDefault="002E7953" w:rsidP="002E7953">
            <w:pPr>
              <w:pStyle w:val="ENoteTableText"/>
            </w:pPr>
          </w:p>
        </w:tc>
        <w:tc>
          <w:tcPr>
            <w:tcW w:w="3505" w:type="pct"/>
          </w:tcPr>
          <w:p w14:paraId="480C024F" w14:textId="77777777" w:rsidR="002E7953" w:rsidRPr="005E3B43" w:rsidRDefault="002E7953" w:rsidP="002E7953">
            <w:pPr>
              <w:pStyle w:val="ENoteTableText"/>
            </w:pPr>
            <w:r w:rsidRPr="005E3B43">
              <w:t>rs. 2011 No. 30</w:t>
            </w:r>
          </w:p>
        </w:tc>
      </w:tr>
      <w:tr w:rsidR="002E7953" w:rsidRPr="005E3B43" w14:paraId="2CAA91C6" w14:textId="77777777" w:rsidTr="00034EA9">
        <w:trPr>
          <w:cantSplit/>
        </w:trPr>
        <w:tc>
          <w:tcPr>
            <w:tcW w:w="1495" w:type="pct"/>
          </w:tcPr>
          <w:p w14:paraId="0CDE6241" w14:textId="77777777" w:rsidR="002E7953" w:rsidRPr="005E3B43" w:rsidRDefault="002E7953" w:rsidP="002E7953">
            <w:pPr>
              <w:pStyle w:val="ENoteTableText"/>
              <w:tabs>
                <w:tab w:val="center" w:leader="dot" w:pos="2268"/>
              </w:tabs>
            </w:pPr>
            <w:r w:rsidRPr="005E3B43">
              <w:t>Schedule 5</w:t>
            </w:r>
            <w:r w:rsidRPr="005E3B43">
              <w:tab/>
            </w:r>
          </w:p>
        </w:tc>
        <w:tc>
          <w:tcPr>
            <w:tcW w:w="3505" w:type="pct"/>
          </w:tcPr>
          <w:p w14:paraId="4A6C028C" w14:textId="77777777" w:rsidR="002E7953" w:rsidRPr="005E3B43" w:rsidRDefault="002E7953" w:rsidP="002E7953">
            <w:pPr>
              <w:pStyle w:val="ENoteTableText"/>
            </w:pPr>
            <w:r w:rsidRPr="005E3B43">
              <w:t xml:space="preserve">am. 1991 Nos. 84 and 485; 1992 Nos. 19, 89, 332 and 370; 1994 No. 150; 1995 No. 208; 1996 No. 9; 1997 Nos. 398 and 399; 1999 No. 62; 2000 Nos. 48 and 124; 2001 No. 159; 2002 No. 84; 2003 No. 258; 2010 No. 26; 2011 No. 30; 2012 No. 251; F2016L01652 (Sch 1 </w:t>
            </w:r>
            <w:r w:rsidR="006B5D8E" w:rsidRPr="005E3B43">
              <w:t>item 4</w:t>
            </w:r>
            <w:r w:rsidRPr="005E3B43">
              <w:t xml:space="preserve"> disallowed)</w:t>
            </w:r>
          </w:p>
        </w:tc>
      </w:tr>
      <w:tr w:rsidR="002E7953" w:rsidRPr="005E3B43" w14:paraId="7DBFB568" w14:textId="77777777" w:rsidTr="00034EA9">
        <w:trPr>
          <w:cantSplit/>
        </w:trPr>
        <w:tc>
          <w:tcPr>
            <w:tcW w:w="1495" w:type="pct"/>
          </w:tcPr>
          <w:p w14:paraId="26A71566" w14:textId="77777777" w:rsidR="002E7953" w:rsidRPr="005E3B43" w:rsidRDefault="002E7953" w:rsidP="002E7953">
            <w:pPr>
              <w:pStyle w:val="ENoteTableText"/>
              <w:tabs>
                <w:tab w:val="center" w:leader="dot" w:pos="2268"/>
              </w:tabs>
            </w:pPr>
          </w:p>
        </w:tc>
        <w:tc>
          <w:tcPr>
            <w:tcW w:w="3505" w:type="pct"/>
          </w:tcPr>
          <w:p w14:paraId="72ECB3EE" w14:textId="77777777" w:rsidR="002E7953" w:rsidRPr="005E3B43" w:rsidRDefault="002E7953" w:rsidP="002E7953">
            <w:pPr>
              <w:pStyle w:val="ENoteTableText"/>
            </w:pPr>
            <w:r w:rsidRPr="005E3B43">
              <w:t>ed C76</w:t>
            </w:r>
          </w:p>
        </w:tc>
      </w:tr>
      <w:tr w:rsidR="002E7953" w:rsidRPr="005E3B43" w14:paraId="080777D3" w14:textId="77777777" w:rsidTr="00034EA9">
        <w:trPr>
          <w:cantSplit/>
        </w:trPr>
        <w:tc>
          <w:tcPr>
            <w:tcW w:w="1495" w:type="pct"/>
          </w:tcPr>
          <w:p w14:paraId="3E9F520A" w14:textId="77777777" w:rsidR="002E7953" w:rsidRPr="005E3B43" w:rsidRDefault="002E7953" w:rsidP="002E7953">
            <w:pPr>
              <w:pStyle w:val="ENoteTableText"/>
              <w:tabs>
                <w:tab w:val="center" w:leader="dot" w:pos="2268"/>
              </w:tabs>
            </w:pPr>
          </w:p>
        </w:tc>
        <w:tc>
          <w:tcPr>
            <w:tcW w:w="3505" w:type="pct"/>
          </w:tcPr>
          <w:p w14:paraId="011B1BD5" w14:textId="77777777" w:rsidR="002E7953" w:rsidRPr="005E3B43" w:rsidRDefault="002E7953" w:rsidP="002E7953">
            <w:pPr>
              <w:pStyle w:val="ENoteTableText"/>
            </w:pPr>
            <w:r w:rsidRPr="005E3B43">
              <w:t>am F2017L01561; F2018L00865; F2018L01434; F2018L01612</w:t>
            </w:r>
          </w:p>
        </w:tc>
      </w:tr>
      <w:tr w:rsidR="002E7953" w:rsidRPr="005E3B43" w14:paraId="54055FFE" w14:textId="77777777" w:rsidTr="00034EA9">
        <w:trPr>
          <w:cantSplit/>
        </w:trPr>
        <w:tc>
          <w:tcPr>
            <w:tcW w:w="1495" w:type="pct"/>
          </w:tcPr>
          <w:p w14:paraId="218C8B09" w14:textId="77777777" w:rsidR="002E7953" w:rsidRPr="005E3B43" w:rsidRDefault="002E7953" w:rsidP="002E7953">
            <w:pPr>
              <w:pStyle w:val="ENoteTableText"/>
              <w:tabs>
                <w:tab w:val="center" w:leader="dot" w:pos="2268"/>
              </w:tabs>
            </w:pPr>
          </w:p>
        </w:tc>
        <w:tc>
          <w:tcPr>
            <w:tcW w:w="3505" w:type="pct"/>
          </w:tcPr>
          <w:p w14:paraId="27BE8BC9" w14:textId="77777777" w:rsidR="002E7953" w:rsidRPr="005E3B43" w:rsidRDefault="002E7953" w:rsidP="002E7953">
            <w:pPr>
              <w:pStyle w:val="ENoteTableText"/>
            </w:pPr>
            <w:r w:rsidRPr="005E3B43">
              <w:t>ed C85</w:t>
            </w:r>
          </w:p>
        </w:tc>
      </w:tr>
      <w:tr w:rsidR="002E7953" w:rsidRPr="005E3B43" w14:paraId="7FCD3A87" w14:textId="77777777" w:rsidTr="00034EA9">
        <w:trPr>
          <w:cantSplit/>
        </w:trPr>
        <w:tc>
          <w:tcPr>
            <w:tcW w:w="1495" w:type="pct"/>
          </w:tcPr>
          <w:p w14:paraId="6D407DC8" w14:textId="77777777" w:rsidR="002E7953" w:rsidRPr="005E3B43" w:rsidRDefault="002E7953" w:rsidP="002E7953">
            <w:pPr>
              <w:pStyle w:val="ENoteTableText"/>
              <w:tabs>
                <w:tab w:val="center" w:leader="dot" w:pos="2268"/>
              </w:tabs>
            </w:pPr>
          </w:p>
        </w:tc>
        <w:tc>
          <w:tcPr>
            <w:tcW w:w="3505" w:type="pct"/>
          </w:tcPr>
          <w:p w14:paraId="5E265665" w14:textId="77777777" w:rsidR="002E7953" w:rsidRPr="005E3B43" w:rsidRDefault="002E7953" w:rsidP="002E7953">
            <w:pPr>
              <w:pStyle w:val="ENoteTableText"/>
            </w:pPr>
            <w:r w:rsidRPr="005E3B43">
              <w:t>am F2019L01660; F2021L01032; F2021L01474; F2022L00243; F2022L01687; F2023L01558; F2023L01667</w:t>
            </w:r>
            <w:r w:rsidR="009E1580" w:rsidRPr="005E3B43">
              <w:t>; F2024L00686</w:t>
            </w:r>
            <w:r w:rsidR="004F71B7" w:rsidRPr="005E3B43">
              <w:t>; F2024L00839</w:t>
            </w:r>
          </w:p>
        </w:tc>
      </w:tr>
      <w:tr w:rsidR="002E7953" w:rsidRPr="005E3B43" w14:paraId="49076013" w14:textId="77777777" w:rsidTr="00034EA9">
        <w:trPr>
          <w:cantSplit/>
        </w:trPr>
        <w:tc>
          <w:tcPr>
            <w:tcW w:w="1495" w:type="pct"/>
          </w:tcPr>
          <w:p w14:paraId="7F4B4513" w14:textId="77777777" w:rsidR="002E7953" w:rsidRPr="005E3B43" w:rsidRDefault="002E7953" w:rsidP="002E7953">
            <w:pPr>
              <w:pStyle w:val="ENoteTableText"/>
            </w:pPr>
            <w:r w:rsidRPr="005E3B43">
              <w:rPr>
                <w:b/>
              </w:rPr>
              <w:t>Schedule 5A</w:t>
            </w:r>
          </w:p>
        </w:tc>
        <w:tc>
          <w:tcPr>
            <w:tcW w:w="3505" w:type="pct"/>
          </w:tcPr>
          <w:p w14:paraId="05A5E9CF" w14:textId="77777777" w:rsidR="002E7953" w:rsidRPr="005E3B43" w:rsidRDefault="002E7953" w:rsidP="002E7953">
            <w:pPr>
              <w:pStyle w:val="ENoteTableText"/>
            </w:pPr>
          </w:p>
        </w:tc>
      </w:tr>
      <w:tr w:rsidR="002E7953" w:rsidRPr="005E3B43" w14:paraId="3FA23E78" w14:textId="77777777" w:rsidTr="00034EA9">
        <w:trPr>
          <w:cantSplit/>
        </w:trPr>
        <w:tc>
          <w:tcPr>
            <w:tcW w:w="1495" w:type="pct"/>
          </w:tcPr>
          <w:p w14:paraId="3AFD8362" w14:textId="77777777" w:rsidR="002E7953" w:rsidRPr="005E3B43" w:rsidRDefault="002E7953" w:rsidP="002E7953">
            <w:pPr>
              <w:pStyle w:val="ENoteTableText"/>
              <w:tabs>
                <w:tab w:val="center" w:leader="dot" w:pos="2268"/>
              </w:tabs>
            </w:pPr>
            <w:r w:rsidRPr="005E3B43">
              <w:t>Schedule 5A heading</w:t>
            </w:r>
            <w:r w:rsidRPr="005E3B43">
              <w:tab/>
            </w:r>
          </w:p>
        </w:tc>
        <w:tc>
          <w:tcPr>
            <w:tcW w:w="3505" w:type="pct"/>
          </w:tcPr>
          <w:p w14:paraId="2AA60F35" w14:textId="77777777" w:rsidR="002E7953" w:rsidRPr="005E3B43" w:rsidRDefault="002E7953" w:rsidP="002E7953">
            <w:pPr>
              <w:pStyle w:val="ENoteTableText"/>
            </w:pPr>
            <w:r w:rsidRPr="005E3B43">
              <w:t>am No 234, 2002</w:t>
            </w:r>
          </w:p>
        </w:tc>
      </w:tr>
      <w:tr w:rsidR="002E7953" w:rsidRPr="005E3B43" w14:paraId="3320C315" w14:textId="77777777" w:rsidTr="00034EA9">
        <w:trPr>
          <w:cantSplit/>
        </w:trPr>
        <w:tc>
          <w:tcPr>
            <w:tcW w:w="1495" w:type="pct"/>
          </w:tcPr>
          <w:p w14:paraId="4E434FBE" w14:textId="77777777" w:rsidR="002E7953" w:rsidRPr="005E3B43" w:rsidRDefault="002E7953" w:rsidP="002E7953">
            <w:pPr>
              <w:pStyle w:val="ENoteTableText"/>
            </w:pPr>
          </w:p>
        </w:tc>
        <w:tc>
          <w:tcPr>
            <w:tcW w:w="3505" w:type="pct"/>
          </w:tcPr>
          <w:p w14:paraId="0757172D" w14:textId="77777777" w:rsidR="002E7953" w:rsidRPr="005E3B43" w:rsidRDefault="002E7953" w:rsidP="002E7953">
            <w:pPr>
              <w:pStyle w:val="ENoteTableText"/>
            </w:pPr>
            <w:r w:rsidRPr="005E3B43">
              <w:t>rs No 30, 2011; No 251, 2012</w:t>
            </w:r>
          </w:p>
        </w:tc>
      </w:tr>
      <w:tr w:rsidR="002E7953" w:rsidRPr="005E3B43" w14:paraId="7EFE595C" w14:textId="77777777" w:rsidTr="00034EA9">
        <w:trPr>
          <w:cantSplit/>
        </w:trPr>
        <w:tc>
          <w:tcPr>
            <w:tcW w:w="1495" w:type="pct"/>
          </w:tcPr>
          <w:p w14:paraId="0AE8DD24" w14:textId="77777777" w:rsidR="002E7953" w:rsidRPr="005E3B43" w:rsidRDefault="002E7953" w:rsidP="002E7953">
            <w:pPr>
              <w:pStyle w:val="ENoteTableText"/>
              <w:tabs>
                <w:tab w:val="center" w:leader="dot" w:pos="2268"/>
              </w:tabs>
            </w:pPr>
            <w:r w:rsidRPr="005E3B43">
              <w:t>Schedule 5A</w:t>
            </w:r>
            <w:r w:rsidRPr="005E3B43">
              <w:tab/>
            </w:r>
          </w:p>
        </w:tc>
        <w:tc>
          <w:tcPr>
            <w:tcW w:w="3505" w:type="pct"/>
          </w:tcPr>
          <w:p w14:paraId="22785FC2" w14:textId="77777777" w:rsidR="002E7953" w:rsidRPr="005E3B43" w:rsidRDefault="002E7953" w:rsidP="002E7953">
            <w:pPr>
              <w:pStyle w:val="ENoteTableText"/>
            </w:pPr>
            <w:r w:rsidRPr="005E3B43">
              <w:t>ad No 84, 1991</w:t>
            </w:r>
          </w:p>
        </w:tc>
      </w:tr>
      <w:tr w:rsidR="002E7953" w:rsidRPr="005E3B43" w14:paraId="5D8AC4B7" w14:textId="77777777" w:rsidTr="00034EA9">
        <w:trPr>
          <w:cantSplit/>
        </w:trPr>
        <w:tc>
          <w:tcPr>
            <w:tcW w:w="1495" w:type="pct"/>
          </w:tcPr>
          <w:p w14:paraId="7EB70DFD" w14:textId="77777777" w:rsidR="002E7953" w:rsidRPr="005E3B43" w:rsidRDefault="002E7953" w:rsidP="002E7953">
            <w:pPr>
              <w:pStyle w:val="ENoteTableText"/>
              <w:tabs>
                <w:tab w:val="center" w:leader="dot" w:pos="2268"/>
              </w:tabs>
            </w:pPr>
          </w:p>
        </w:tc>
        <w:tc>
          <w:tcPr>
            <w:tcW w:w="3505" w:type="pct"/>
          </w:tcPr>
          <w:p w14:paraId="4FA08E95" w14:textId="52570D12" w:rsidR="002E7953" w:rsidRPr="005E3B43" w:rsidRDefault="002E7953" w:rsidP="002E7953">
            <w:pPr>
              <w:pStyle w:val="ENoteTableText"/>
              <w:tabs>
                <w:tab w:val="center" w:leader="dot" w:pos="2268"/>
              </w:tabs>
            </w:pPr>
            <w:r w:rsidRPr="005E3B43">
              <w:t>am No 89, 1992; No 150, 1994; No 364, 1994; No 33, 1995; No 208, 1995; No 9, 1996; No 399, 1997; No 62, 1999; No 358, 2000; No 159, 2001; No 343, 2001; No 84, 2002; No 345, 2002; No 111, 2003; No 78, 2004; No 26, 2010; No 30, 2011; No 214, 2015; F2016L01652; F2017L00853; F2017L01561; F2018L00311; F2018L00516; F2018L00865; F2019L01660; F2020L00720; F2020L00946; F2021L01474; F2021L01809; F2023L00769; F2023L01558; F2023L01667</w:t>
            </w:r>
            <w:r w:rsidR="00407AD1" w:rsidRPr="005E3B43">
              <w:t>; F2024L00260</w:t>
            </w:r>
            <w:r w:rsidR="009E1580" w:rsidRPr="005E3B43">
              <w:t>; F2024L00686</w:t>
            </w:r>
            <w:r w:rsidR="00F7627D" w:rsidRPr="005E3B43">
              <w:t xml:space="preserve">; </w:t>
            </w:r>
            <w:r w:rsidR="002D1C20" w:rsidRPr="005E3B43">
              <w:t xml:space="preserve">Act </w:t>
            </w:r>
            <w:r w:rsidR="00396AC3" w:rsidRPr="005E3B43">
              <w:t>No 50, 2024</w:t>
            </w:r>
            <w:r w:rsidR="0003603E" w:rsidRPr="005E3B43">
              <w:t>; F2024L00839</w:t>
            </w:r>
            <w:r w:rsidR="00CC7E43">
              <w:t xml:space="preserve">; </w:t>
            </w:r>
            <w:r w:rsidR="00CC7E43" w:rsidRPr="00CC7E43">
              <w:t>F2024L01673</w:t>
            </w:r>
          </w:p>
        </w:tc>
      </w:tr>
      <w:tr w:rsidR="002E7953" w:rsidRPr="005E3B43" w14:paraId="595FF178" w14:textId="77777777" w:rsidTr="00034EA9">
        <w:trPr>
          <w:cantSplit/>
        </w:trPr>
        <w:tc>
          <w:tcPr>
            <w:tcW w:w="1495" w:type="pct"/>
          </w:tcPr>
          <w:p w14:paraId="2FA99179" w14:textId="77777777" w:rsidR="002E7953" w:rsidRPr="005E3B43" w:rsidRDefault="002E7953" w:rsidP="002E7953">
            <w:pPr>
              <w:pStyle w:val="ENoteTableText"/>
              <w:keepNext/>
            </w:pPr>
            <w:r w:rsidRPr="005E3B43">
              <w:rPr>
                <w:b/>
              </w:rPr>
              <w:t>Schedule 5B</w:t>
            </w:r>
          </w:p>
        </w:tc>
        <w:tc>
          <w:tcPr>
            <w:tcW w:w="3505" w:type="pct"/>
          </w:tcPr>
          <w:p w14:paraId="173EA581" w14:textId="77777777" w:rsidR="002E7953" w:rsidRPr="005E3B43" w:rsidRDefault="002E7953" w:rsidP="002E7953">
            <w:pPr>
              <w:pStyle w:val="ENoteTableText"/>
            </w:pPr>
          </w:p>
        </w:tc>
      </w:tr>
      <w:tr w:rsidR="002E7953" w:rsidRPr="005E3B43" w14:paraId="4C412D02" w14:textId="77777777" w:rsidTr="00034EA9">
        <w:trPr>
          <w:cantSplit/>
        </w:trPr>
        <w:tc>
          <w:tcPr>
            <w:tcW w:w="1495" w:type="pct"/>
          </w:tcPr>
          <w:p w14:paraId="50BF7DDB" w14:textId="77777777" w:rsidR="002E7953" w:rsidRPr="005E3B43" w:rsidRDefault="002E7953" w:rsidP="002E7953">
            <w:pPr>
              <w:pStyle w:val="ENoteTableText"/>
              <w:tabs>
                <w:tab w:val="center" w:leader="dot" w:pos="2268"/>
              </w:tabs>
            </w:pPr>
            <w:r w:rsidRPr="005E3B43">
              <w:t>Schedule 5B heading</w:t>
            </w:r>
            <w:r w:rsidRPr="005E3B43">
              <w:tab/>
            </w:r>
          </w:p>
        </w:tc>
        <w:tc>
          <w:tcPr>
            <w:tcW w:w="3505" w:type="pct"/>
          </w:tcPr>
          <w:p w14:paraId="5D4C1EA9" w14:textId="77777777" w:rsidR="002E7953" w:rsidRPr="005E3B43" w:rsidRDefault="002E7953" w:rsidP="002E7953">
            <w:pPr>
              <w:pStyle w:val="ENoteTableText"/>
            </w:pPr>
            <w:r w:rsidRPr="005E3B43">
              <w:t>rs. 2011 No. 30</w:t>
            </w:r>
          </w:p>
        </w:tc>
      </w:tr>
      <w:tr w:rsidR="002E7953" w:rsidRPr="005E3B43" w14:paraId="43794199" w14:textId="77777777" w:rsidTr="00034EA9">
        <w:trPr>
          <w:cantSplit/>
        </w:trPr>
        <w:tc>
          <w:tcPr>
            <w:tcW w:w="1495" w:type="pct"/>
          </w:tcPr>
          <w:p w14:paraId="7B6889FA" w14:textId="77777777" w:rsidR="002E7953" w:rsidRPr="005E3B43" w:rsidRDefault="002E7953" w:rsidP="002E7953">
            <w:pPr>
              <w:pStyle w:val="ENoteTableText"/>
              <w:tabs>
                <w:tab w:val="center" w:leader="dot" w:pos="2268"/>
              </w:tabs>
            </w:pPr>
            <w:r w:rsidRPr="005E3B43">
              <w:t>Schedule 5B</w:t>
            </w:r>
            <w:r w:rsidRPr="005E3B43">
              <w:tab/>
            </w:r>
          </w:p>
        </w:tc>
        <w:tc>
          <w:tcPr>
            <w:tcW w:w="3505" w:type="pct"/>
          </w:tcPr>
          <w:p w14:paraId="74823D5E" w14:textId="77777777" w:rsidR="002E7953" w:rsidRPr="005E3B43" w:rsidRDefault="002E7953" w:rsidP="002E7953">
            <w:pPr>
              <w:pStyle w:val="ENoteTableText"/>
            </w:pPr>
            <w:r w:rsidRPr="005E3B43">
              <w:t>ad 2003 No 111</w:t>
            </w:r>
          </w:p>
        </w:tc>
      </w:tr>
      <w:tr w:rsidR="002E7953" w:rsidRPr="005E3B43" w14:paraId="216F9855" w14:textId="77777777" w:rsidTr="00034EA9">
        <w:trPr>
          <w:cantSplit/>
        </w:trPr>
        <w:tc>
          <w:tcPr>
            <w:tcW w:w="1495" w:type="pct"/>
          </w:tcPr>
          <w:p w14:paraId="1DD66D91" w14:textId="77777777" w:rsidR="002E7953" w:rsidRPr="005E3B43" w:rsidRDefault="002E7953" w:rsidP="002E7953">
            <w:pPr>
              <w:pStyle w:val="ENoteTableText"/>
            </w:pPr>
          </w:p>
        </w:tc>
        <w:tc>
          <w:tcPr>
            <w:tcW w:w="3505" w:type="pct"/>
          </w:tcPr>
          <w:p w14:paraId="46360521" w14:textId="77777777" w:rsidR="002E7953" w:rsidRPr="005E3B43" w:rsidRDefault="002E7953" w:rsidP="002E7953">
            <w:pPr>
              <w:pStyle w:val="ENoteTableText"/>
            </w:pPr>
            <w:r w:rsidRPr="005E3B43">
              <w:t>am 2010 No 266; 2011 No 30; F2017L00853</w:t>
            </w:r>
          </w:p>
        </w:tc>
      </w:tr>
      <w:tr w:rsidR="002E7953" w:rsidRPr="005E3B43" w14:paraId="1CBA1F94" w14:textId="77777777" w:rsidTr="00034EA9">
        <w:trPr>
          <w:cantSplit/>
        </w:trPr>
        <w:tc>
          <w:tcPr>
            <w:tcW w:w="1495" w:type="pct"/>
          </w:tcPr>
          <w:p w14:paraId="5133CA72" w14:textId="77777777" w:rsidR="002E7953" w:rsidRPr="005E3B43" w:rsidRDefault="002E7953" w:rsidP="002E7953">
            <w:pPr>
              <w:pStyle w:val="ENoteTableText"/>
              <w:keepNext/>
            </w:pPr>
            <w:r w:rsidRPr="005E3B43">
              <w:rPr>
                <w:b/>
              </w:rPr>
              <w:lastRenderedPageBreak/>
              <w:t>Schedule 6</w:t>
            </w:r>
          </w:p>
        </w:tc>
        <w:tc>
          <w:tcPr>
            <w:tcW w:w="3505" w:type="pct"/>
          </w:tcPr>
          <w:p w14:paraId="4AEA61E3" w14:textId="77777777" w:rsidR="002E7953" w:rsidRPr="005E3B43" w:rsidRDefault="002E7953" w:rsidP="002E7953">
            <w:pPr>
              <w:pStyle w:val="ENoteTableText"/>
            </w:pPr>
          </w:p>
        </w:tc>
      </w:tr>
      <w:tr w:rsidR="002E7953" w:rsidRPr="005E3B43" w14:paraId="306C8FAF" w14:textId="77777777" w:rsidTr="00034EA9">
        <w:trPr>
          <w:cantSplit/>
        </w:trPr>
        <w:tc>
          <w:tcPr>
            <w:tcW w:w="1495" w:type="pct"/>
          </w:tcPr>
          <w:p w14:paraId="2B5A29A3" w14:textId="77777777" w:rsidR="002E7953" w:rsidRPr="005E3B43" w:rsidRDefault="002E7953" w:rsidP="002E7953">
            <w:pPr>
              <w:pStyle w:val="ENoteTableText"/>
              <w:tabs>
                <w:tab w:val="center" w:leader="dot" w:pos="2268"/>
              </w:tabs>
            </w:pPr>
            <w:r w:rsidRPr="005E3B43">
              <w:t>Schedule 6</w:t>
            </w:r>
            <w:r w:rsidRPr="005E3B43">
              <w:tab/>
            </w:r>
          </w:p>
        </w:tc>
        <w:tc>
          <w:tcPr>
            <w:tcW w:w="3505" w:type="pct"/>
          </w:tcPr>
          <w:p w14:paraId="3CFC26E2" w14:textId="77777777" w:rsidR="002E7953" w:rsidRPr="005E3B43" w:rsidRDefault="002E7953" w:rsidP="002E7953">
            <w:pPr>
              <w:pStyle w:val="ENoteTableText"/>
            </w:pPr>
            <w:r w:rsidRPr="005E3B43">
              <w:t>am No 19, 1992; No 89, 1992; No 370, 1992; No 150; 1994; No 208, 1995; No 398, 1997; No 324, 1999; No 26, 2010</w:t>
            </w:r>
          </w:p>
        </w:tc>
      </w:tr>
      <w:tr w:rsidR="002E7953" w:rsidRPr="005E3B43" w14:paraId="6F53DBAA" w14:textId="77777777" w:rsidTr="00034EA9">
        <w:trPr>
          <w:cantSplit/>
        </w:trPr>
        <w:tc>
          <w:tcPr>
            <w:tcW w:w="1495" w:type="pct"/>
          </w:tcPr>
          <w:p w14:paraId="4FD0EF69" w14:textId="77777777" w:rsidR="002E7953" w:rsidRPr="005E3B43" w:rsidRDefault="002E7953" w:rsidP="002E7953">
            <w:pPr>
              <w:pStyle w:val="ENoteTableText"/>
              <w:tabs>
                <w:tab w:val="center" w:leader="dot" w:pos="2268"/>
              </w:tabs>
            </w:pPr>
          </w:p>
        </w:tc>
        <w:tc>
          <w:tcPr>
            <w:tcW w:w="3505" w:type="pct"/>
          </w:tcPr>
          <w:p w14:paraId="1D7D69E3" w14:textId="77777777" w:rsidR="002E7953" w:rsidRPr="005E3B43" w:rsidRDefault="002E7953" w:rsidP="002E7953">
            <w:pPr>
              <w:pStyle w:val="ENoteTableText"/>
            </w:pPr>
            <w:r w:rsidRPr="005E3B43">
              <w:t>rep F2020L00946</w:t>
            </w:r>
          </w:p>
        </w:tc>
      </w:tr>
      <w:tr w:rsidR="002E7953" w:rsidRPr="005E3B43" w14:paraId="360160CF" w14:textId="77777777" w:rsidTr="00034EA9">
        <w:trPr>
          <w:cantSplit/>
        </w:trPr>
        <w:tc>
          <w:tcPr>
            <w:tcW w:w="1495" w:type="pct"/>
          </w:tcPr>
          <w:p w14:paraId="7F1EFD6B" w14:textId="77777777" w:rsidR="002E7953" w:rsidRPr="005E3B43" w:rsidRDefault="002E7953" w:rsidP="002E7953">
            <w:pPr>
              <w:pStyle w:val="ENoteTableText"/>
            </w:pPr>
            <w:r w:rsidRPr="005E3B43">
              <w:rPr>
                <w:b/>
              </w:rPr>
              <w:t>Schedule 7</w:t>
            </w:r>
          </w:p>
        </w:tc>
        <w:tc>
          <w:tcPr>
            <w:tcW w:w="3505" w:type="pct"/>
          </w:tcPr>
          <w:p w14:paraId="62ECEB07" w14:textId="77777777" w:rsidR="002E7953" w:rsidRPr="005E3B43" w:rsidRDefault="002E7953" w:rsidP="002E7953">
            <w:pPr>
              <w:pStyle w:val="ENoteTableText"/>
            </w:pPr>
          </w:p>
        </w:tc>
      </w:tr>
      <w:tr w:rsidR="002E7953" w:rsidRPr="005E3B43" w14:paraId="6148D0CD" w14:textId="77777777" w:rsidTr="00034EA9">
        <w:trPr>
          <w:cantSplit/>
        </w:trPr>
        <w:tc>
          <w:tcPr>
            <w:tcW w:w="1495" w:type="pct"/>
          </w:tcPr>
          <w:p w14:paraId="6DEBA2F0" w14:textId="77777777" w:rsidR="002E7953" w:rsidRPr="005E3B43" w:rsidRDefault="002E7953" w:rsidP="002E7953">
            <w:pPr>
              <w:pStyle w:val="ENoteTableText"/>
              <w:tabs>
                <w:tab w:val="center" w:leader="dot" w:pos="2268"/>
              </w:tabs>
            </w:pPr>
            <w:r w:rsidRPr="005E3B43">
              <w:t>Schedule 7 heading</w:t>
            </w:r>
            <w:r w:rsidRPr="005E3B43">
              <w:tab/>
            </w:r>
          </w:p>
        </w:tc>
        <w:tc>
          <w:tcPr>
            <w:tcW w:w="3505" w:type="pct"/>
          </w:tcPr>
          <w:p w14:paraId="03D6C4CE" w14:textId="77777777" w:rsidR="002E7953" w:rsidRPr="005E3B43" w:rsidRDefault="002E7953" w:rsidP="002E7953">
            <w:pPr>
              <w:pStyle w:val="ENoteTableText"/>
            </w:pPr>
            <w:r w:rsidRPr="005E3B43">
              <w:t>am No 234, 2002</w:t>
            </w:r>
          </w:p>
        </w:tc>
      </w:tr>
      <w:tr w:rsidR="002E7953" w:rsidRPr="005E3B43" w14:paraId="1933778D" w14:textId="77777777" w:rsidTr="00034EA9">
        <w:trPr>
          <w:cantSplit/>
        </w:trPr>
        <w:tc>
          <w:tcPr>
            <w:tcW w:w="1495" w:type="pct"/>
          </w:tcPr>
          <w:p w14:paraId="417F2AA1" w14:textId="77777777" w:rsidR="002E7953" w:rsidRPr="005E3B43" w:rsidRDefault="002E7953" w:rsidP="002E7953">
            <w:pPr>
              <w:pStyle w:val="ENoteTableText"/>
              <w:tabs>
                <w:tab w:val="center" w:leader="dot" w:pos="2268"/>
              </w:tabs>
            </w:pPr>
            <w:r w:rsidRPr="005E3B43">
              <w:t>Schedule 7</w:t>
            </w:r>
            <w:r w:rsidRPr="005E3B43">
              <w:tab/>
            </w:r>
          </w:p>
        </w:tc>
        <w:tc>
          <w:tcPr>
            <w:tcW w:w="3505" w:type="pct"/>
          </w:tcPr>
          <w:p w14:paraId="46933A61" w14:textId="77777777" w:rsidR="002E7953" w:rsidRPr="005E3B43" w:rsidRDefault="002E7953" w:rsidP="002E7953">
            <w:pPr>
              <w:pStyle w:val="ENoteTableText"/>
            </w:pPr>
            <w:r w:rsidRPr="005E3B43">
              <w:t>am No 84, 1991; No 19, 1992; No 89, 1992; No 370, 1992; No 150, 1994; No 208, 1995; No 398, 1997; No 227, 1998; No 324, 1999; No 124, 2000; No 159, 2001; No 26, 2010; No 251, 2012; F2018L00865; F2019L01660; F2020L00544; F2020L00946; F2023L01558</w:t>
            </w:r>
            <w:r w:rsidR="00873FC5" w:rsidRPr="005E3B43">
              <w:t>; F2024L00839</w:t>
            </w:r>
          </w:p>
        </w:tc>
      </w:tr>
      <w:tr w:rsidR="002E7953" w:rsidRPr="005E3B43" w14:paraId="63F87BAE" w14:textId="77777777" w:rsidTr="00034EA9">
        <w:trPr>
          <w:cantSplit/>
        </w:trPr>
        <w:tc>
          <w:tcPr>
            <w:tcW w:w="1495" w:type="pct"/>
          </w:tcPr>
          <w:p w14:paraId="667E2DAB" w14:textId="77777777" w:rsidR="002E7953" w:rsidRPr="005E3B43" w:rsidRDefault="002E7953" w:rsidP="002E7953">
            <w:pPr>
              <w:pStyle w:val="ENoteTableText"/>
              <w:keepNext/>
            </w:pPr>
            <w:r w:rsidRPr="005E3B43">
              <w:rPr>
                <w:b/>
              </w:rPr>
              <w:t>Schedule 8</w:t>
            </w:r>
          </w:p>
        </w:tc>
        <w:tc>
          <w:tcPr>
            <w:tcW w:w="3505" w:type="pct"/>
          </w:tcPr>
          <w:p w14:paraId="11AAE3F9" w14:textId="77777777" w:rsidR="002E7953" w:rsidRPr="005E3B43" w:rsidRDefault="002E7953" w:rsidP="002E7953">
            <w:pPr>
              <w:pStyle w:val="ENoteTableText"/>
              <w:keepNext/>
            </w:pPr>
          </w:p>
        </w:tc>
      </w:tr>
      <w:tr w:rsidR="002E7953" w:rsidRPr="005E3B43" w14:paraId="120A7C4D" w14:textId="77777777" w:rsidTr="00034EA9">
        <w:trPr>
          <w:cantSplit/>
        </w:trPr>
        <w:tc>
          <w:tcPr>
            <w:tcW w:w="1495" w:type="pct"/>
          </w:tcPr>
          <w:p w14:paraId="4EADB334" w14:textId="77777777" w:rsidR="002E7953" w:rsidRPr="005E3B43" w:rsidRDefault="002E7953" w:rsidP="002E7953">
            <w:pPr>
              <w:pStyle w:val="ENoteTableText"/>
              <w:tabs>
                <w:tab w:val="center" w:leader="dot" w:pos="2268"/>
              </w:tabs>
            </w:pPr>
            <w:r w:rsidRPr="005E3B43">
              <w:t>Schedule 8 heading</w:t>
            </w:r>
            <w:r w:rsidRPr="005E3B43">
              <w:tab/>
            </w:r>
          </w:p>
        </w:tc>
        <w:tc>
          <w:tcPr>
            <w:tcW w:w="3505" w:type="pct"/>
          </w:tcPr>
          <w:p w14:paraId="78C0A86E" w14:textId="77777777" w:rsidR="002E7953" w:rsidRPr="005E3B43" w:rsidRDefault="002E7953" w:rsidP="002E7953">
            <w:pPr>
              <w:pStyle w:val="ENoteTableText"/>
            </w:pPr>
            <w:r w:rsidRPr="005E3B43">
              <w:t>am. 2002 No. 234</w:t>
            </w:r>
          </w:p>
        </w:tc>
      </w:tr>
      <w:tr w:rsidR="002E7953" w:rsidRPr="005E3B43" w14:paraId="50808EE9" w14:textId="77777777" w:rsidTr="00034EA9">
        <w:trPr>
          <w:cantSplit/>
        </w:trPr>
        <w:tc>
          <w:tcPr>
            <w:tcW w:w="1495" w:type="pct"/>
          </w:tcPr>
          <w:p w14:paraId="374F3EA9" w14:textId="77777777" w:rsidR="002E7953" w:rsidRPr="005E3B43" w:rsidRDefault="002E7953" w:rsidP="002E7953">
            <w:pPr>
              <w:pStyle w:val="ENoteTableText"/>
              <w:tabs>
                <w:tab w:val="center" w:leader="dot" w:pos="2268"/>
              </w:tabs>
            </w:pPr>
            <w:r w:rsidRPr="005E3B43">
              <w:t>Schedule 8</w:t>
            </w:r>
            <w:r w:rsidRPr="005E3B43">
              <w:tab/>
            </w:r>
          </w:p>
        </w:tc>
        <w:tc>
          <w:tcPr>
            <w:tcW w:w="3505" w:type="pct"/>
          </w:tcPr>
          <w:p w14:paraId="7623A512" w14:textId="77777777" w:rsidR="002E7953" w:rsidRPr="005E3B43" w:rsidRDefault="002E7953" w:rsidP="002E7953">
            <w:pPr>
              <w:pStyle w:val="ENoteTableText"/>
            </w:pPr>
            <w:r w:rsidRPr="005E3B43">
              <w:t>am No 89, 1992; No 150, 1994; No 398, 1997; No 62, 1999; No 30, 2011; F2016L01652; F2017L01561; F2018L00865; F2020L00946</w:t>
            </w:r>
          </w:p>
        </w:tc>
      </w:tr>
      <w:tr w:rsidR="002E7953" w:rsidRPr="005E3B43" w14:paraId="1F9E2FD6" w14:textId="77777777" w:rsidTr="00034EA9">
        <w:trPr>
          <w:cantSplit/>
        </w:trPr>
        <w:tc>
          <w:tcPr>
            <w:tcW w:w="1495" w:type="pct"/>
          </w:tcPr>
          <w:p w14:paraId="6EF765B8" w14:textId="77777777" w:rsidR="002E7953" w:rsidRPr="005E3B43" w:rsidRDefault="002E7953" w:rsidP="002E7953">
            <w:pPr>
              <w:pStyle w:val="ENoteTableText"/>
              <w:keepNext/>
            </w:pPr>
            <w:r w:rsidRPr="005E3B43">
              <w:rPr>
                <w:b/>
              </w:rPr>
              <w:t>Schedule 9</w:t>
            </w:r>
          </w:p>
        </w:tc>
        <w:tc>
          <w:tcPr>
            <w:tcW w:w="3505" w:type="pct"/>
          </w:tcPr>
          <w:p w14:paraId="24064552" w14:textId="77777777" w:rsidR="002E7953" w:rsidRPr="005E3B43" w:rsidRDefault="002E7953" w:rsidP="002E7953">
            <w:pPr>
              <w:pStyle w:val="ENoteTableText"/>
            </w:pPr>
          </w:p>
        </w:tc>
      </w:tr>
      <w:tr w:rsidR="002E7953" w:rsidRPr="005E3B43" w14:paraId="2700FDC5" w14:textId="77777777" w:rsidTr="00034EA9">
        <w:trPr>
          <w:cantSplit/>
        </w:trPr>
        <w:tc>
          <w:tcPr>
            <w:tcW w:w="1495" w:type="pct"/>
          </w:tcPr>
          <w:p w14:paraId="129DDE71" w14:textId="77777777" w:rsidR="002E7953" w:rsidRPr="005E3B43" w:rsidRDefault="002E7953" w:rsidP="002E7953">
            <w:pPr>
              <w:pStyle w:val="ENoteTableText"/>
              <w:tabs>
                <w:tab w:val="center" w:leader="dot" w:pos="2268"/>
              </w:tabs>
            </w:pPr>
            <w:r w:rsidRPr="005E3B43">
              <w:t>Schedule 9 heading</w:t>
            </w:r>
            <w:r w:rsidRPr="005E3B43">
              <w:tab/>
            </w:r>
          </w:p>
        </w:tc>
        <w:tc>
          <w:tcPr>
            <w:tcW w:w="3505" w:type="pct"/>
          </w:tcPr>
          <w:p w14:paraId="4D6B4348" w14:textId="77777777" w:rsidR="002E7953" w:rsidRPr="005E3B43" w:rsidRDefault="002E7953" w:rsidP="002E7953">
            <w:pPr>
              <w:pStyle w:val="ENoteTableText"/>
            </w:pPr>
            <w:r w:rsidRPr="005E3B43">
              <w:t>rs 2011 No 30</w:t>
            </w:r>
          </w:p>
        </w:tc>
      </w:tr>
      <w:tr w:rsidR="002E7953" w:rsidRPr="005E3B43" w14:paraId="2B7DF23C" w14:textId="77777777" w:rsidTr="00034EA9">
        <w:trPr>
          <w:cantSplit/>
        </w:trPr>
        <w:tc>
          <w:tcPr>
            <w:tcW w:w="1495" w:type="pct"/>
          </w:tcPr>
          <w:p w14:paraId="6C143585" w14:textId="77777777" w:rsidR="002E7953" w:rsidRPr="005E3B43" w:rsidRDefault="002E7953" w:rsidP="002E7953">
            <w:pPr>
              <w:pStyle w:val="ENoteTableText"/>
              <w:tabs>
                <w:tab w:val="center" w:leader="dot" w:pos="2268"/>
              </w:tabs>
            </w:pPr>
            <w:r w:rsidRPr="005E3B43">
              <w:t>Schedule 9</w:t>
            </w:r>
            <w:r w:rsidRPr="005E3B43">
              <w:tab/>
            </w:r>
          </w:p>
        </w:tc>
        <w:tc>
          <w:tcPr>
            <w:tcW w:w="3505" w:type="pct"/>
          </w:tcPr>
          <w:p w14:paraId="5E56300B" w14:textId="77777777" w:rsidR="002E7953" w:rsidRPr="005E3B43" w:rsidRDefault="002E7953" w:rsidP="002E7953">
            <w:pPr>
              <w:pStyle w:val="ENoteTableText"/>
            </w:pPr>
            <w:r w:rsidRPr="005E3B43">
              <w:t>am 1991 Nos 84 and 485; 1992 Nos 19 and 89; 1993 No 141; 1994 Nos 150, 222 and 364; 1995 Nos 192 and 208; 1996 No 131; 1997 Nos 162, 398 and 400; 1998 No 247; 1999 Nos 62 and 324; 2000 Nos 29, 70, 123 and 267; 2001 No 160; 2002 Nos 143 and 234; 2003 No 151; 2004 No 159; 2005 No 192; 2006 No 212; 2007 No 161; 2008 No 117; 2009 Nos 141 and 179; 2010 Nos 26 and 130; 2011 Nos 102 and 281; 2012 Nos 143 and 251; No 94, 2013; No 62, 2014; No 75, 2015; No 87, 2015; No 213, 2015; No 214, 2015; F2016L00109; F2016L00667; F2016L01614; F2017L00552; F2017L00853</w:t>
            </w:r>
          </w:p>
        </w:tc>
      </w:tr>
      <w:tr w:rsidR="002E7953" w:rsidRPr="005E3B43" w14:paraId="31EE2145" w14:textId="77777777" w:rsidTr="00034EA9">
        <w:trPr>
          <w:cantSplit/>
        </w:trPr>
        <w:tc>
          <w:tcPr>
            <w:tcW w:w="1495" w:type="pct"/>
          </w:tcPr>
          <w:p w14:paraId="19C2B247" w14:textId="77777777" w:rsidR="002E7953" w:rsidRPr="005E3B43" w:rsidRDefault="002E7953" w:rsidP="002E7953">
            <w:pPr>
              <w:pStyle w:val="ENoteTableText"/>
              <w:tabs>
                <w:tab w:val="center" w:leader="dot" w:pos="2268"/>
              </w:tabs>
            </w:pPr>
          </w:p>
        </w:tc>
        <w:tc>
          <w:tcPr>
            <w:tcW w:w="3505" w:type="pct"/>
          </w:tcPr>
          <w:p w14:paraId="5D3E1666" w14:textId="77777777" w:rsidR="002E7953" w:rsidRPr="005E3B43" w:rsidRDefault="002E7953" w:rsidP="002E7953">
            <w:pPr>
              <w:pStyle w:val="ENoteTableText"/>
            </w:pPr>
            <w:r w:rsidRPr="005E3B43">
              <w:t>ed C77</w:t>
            </w:r>
          </w:p>
        </w:tc>
      </w:tr>
      <w:tr w:rsidR="002E7953" w:rsidRPr="005E3B43" w14:paraId="42C35916" w14:textId="77777777" w:rsidTr="00034EA9">
        <w:trPr>
          <w:cantSplit/>
        </w:trPr>
        <w:tc>
          <w:tcPr>
            <w:tcW w:w="1495" w:type="pct"/>
          </w:tcPr>
          <w:p w14:paraId="177F2238" w14:textId="77777777" w:rsidR="002E7953" w:rsidRPr="005E3B43" w:rsidRDefault="002E7953" w:rsidP="002E7953">
            <w:pPr>
              <w:pStyle w:val="ENoteTableText"/>
              <w:tabs>
                <w:tab w:val="center" w:leader="dot" w:pos="2268"/>
              </w:tabs>
            </w:pPr>
          </w:p>
        </w:tc>
        <w:tc>
          <w:tcPr>
            <w:tcW w:w="3505" w:type="pct"/>
          </w:tcPr>
          <w:p w14:paraId="03508322" w14:textId="77777777" w:rsidR="002E7953" w:rsidRPr="005E3B43" w:rsidRDefault="002E7953" w:rsidP="002E7953">
            <w:pPr>
              <w:pStyle w:val="ENoteTableText"/>
            </w:pPr>
            <w:r w:rsidRPr="005E3B43">
              <w:t>am F2017L01561; F2018L00311; F2018L00759; F2018L00865; F2018L01434; F2018L01612; F2019L00396</w:t>
            </w:r>
          </w:p>
        </w:tc>
      </w:tr>
      <w:tr w:rsidR="002E7953" w:rsidRPr="005E3B43" w14:paraId="04A187AF" w14:textId="77777777" w:rsidTr="00034EA9">
        <w:trPr>
          <w:cantSplit/>
        </w:trPr>
        <w:tc>
          <w:tcPr>
            <w:tcW w:w="1495" w:type="pct"/>
          </w:tcPr>
          <w:p w14:paraId="5B3D8180" w14:textId="77777777" w:rsidR="002E7953" w:rsidRPr="005E3B43" w:rsidRDefault="002E7953" w:rsidP="002E7953">
            <w:pPr>
              <w:pStyle w:val="ENoteTableText"/>
              <w:tabs>
                <w:tab w:val="center" w:leader="dot" w:pos="2268"/>
              </w:tabs>
            </w:pPr>
          </w:p>
        </w:tc>
        <w:tc>
          <w:tcPr>
            <w:tcW w:w="3505" w:type="pct"/>
          </w:tcPr>
          <w:p w14:paraId="619DFA8B" w14:textId="77777777" w:rsidR="002E7953" w:rsidRPr="005E3B43" w:rsidRDefault="002E7953" w:rsidP="002E7953">
            <w:pPr>
              <w:pStyle w:val="ENoteTableText"/>
            </w:pPr>
            <w:r w:rsidRPr="005E3B43">
              <w:t>ed C88</w:t>
            </w:r>
          </w:p>
        </w:tc>
      </w:tr>
      <w:tr w:rsidR="002E7953" w:rsidRPr="005E3B43" w14:paraId="2BB0A127" w14:textId="77777777" w:rsidTr="00034EA9">
        <w:trPr>
          <w:cantSplit/>
        </w:trPr>
        <w:tc>
          <w:tcPr>
            <w:tcW w:w="1495" w:type="pct"/>
          </w:tcPr>
          <w:p w14:paraId="43DEE83D" w14:textId="77777777" w:rsidR="002E7953" w:rsidRPr="005E3B43" w:rsidRDefault="002E7953" w:rsidP="002E7953">
            <w:pPr>
              <w:pStyle w:val="ENoteTableText"/>
              <w:tabs>
                <w:tab w:val="center" w:leader="dot" w:pos="2268"/>
              </w:tabs>
            </w:pPr>
          </w:p>
        </w:tc>
        <w:tc>
          <w:tcPr>
            <w:tcW w:w="3505" w:type="pct"/>
          </w:tcPr>
          <w:p w14:paraId="598057AE" w14:textId="28EA105C" w:rsidR="002E7953" w:rsidRPr="005E3B43" w:rsidRDefault="002E7953" w:rsidP="002E7953">
            <w:pPr>
              <w:pStyle w:val="ENoteTableText"/>
            </w:pPr>
            <w:r w:rsidRPr="005E3B43">
              <w:t>am F2020L00720; F2020L00946; F2021L00688; F2022L00600; F2022L01687; F2023L00770; F2023L01558</w:t>
            </w:r>
            <w:r w:rsidR="000F3020" w:rsidRPr="005E3B43">
              <w:t>; F2024L00689</w:t>
            </w:r>
            <w:r w:rsidR="00A2156F" w:rsidRPr="005E3B43">
              <w:t xml:space="preserve"> </w:t>
            </w:r>
            <w:r w:rsidR="00A2156F" w:rsidRPr="005E3B43">
              <w:rPr>
                <w:u w:val="single"/>
              </w:rPr>
              <w:t xml:space="preserve">(Sch 2 </w:t>
            </w:r>
            <w:r w:rsidR="007C3215">
              <w:rPr>
                <w:u w:val="single"/>
              </w:rPr>
              <w:t>item 1</w:t>
            </w:r>
            <w:r w:rsidR="00A2156F" w:rsidRPr="005E3B43">
              <w:rPr>
                <w:u w:val="single"/>
              </w:rPr>
              <w:t>)</w:t>
            </w:r>
          </w:p>
        </w:tc>
      </w:tr>
      <w:tr w:rsidR="002E7953" w:rsidRPr="005E3B43" w14:paraId="2A7DFFC8" w14:textId="77777777" w:rsidTr="00034EA9">
        <w:trPr>
          <w:cantSplit/>
        </w:trPr>
        <w:tc>
          <w:tcPr>
            <w:tcW w:w="1495" w:type="pct"/>
          </w:tcPr>
          <w:p w14:paraId="32232112" w14:textId="77777777" w:rsidR="002E7953" w:rsidRPr="005E3B43" w:rsidRDefault="002E7953" w:rsidP="002E7953">
            <w:pPr>
              <w:pStyle w:val="ENoteTableText"/>
            </w:pPr>
            <w:r w:rsidRPr="005E3B43">
              <w:rPr>
                <w:b/>
              </w:rPr>
              <w:t>Schedule 9A</w:t>
            </w:r>
          </w:p>
        </w:tc>
        <w:tc>
          <w:tcPr>
            <w:tcW w:w="3505" w:type="pct"/>
          </w:tcPr>
          <w:p w14:paraId="08B88975" w14:textId="77777777" w:rsidR="002E7953" w:rsidRPr="005E3B43" w:rsidRDefault="002E7953" w:rsidP="002E7953">
            <w:pPr>
              <w:pStyle w:val="ENoteTableText"/>
            </w:pPr>
          </w:p>
        </w:tc>
      </w:tr>
      <w:tr w:rsidR="002E7953" w:rsidRPr="005E3B43" w14:paraId="79835541" w14:textId="77777777" w:rsidTr="00034EA9">
        <w:trPr>
          <w:cantSplit/>
        </w:trPr>
        <w:tc>
          <w:tcPr>
            <w:tcW w:w="1495" w:type="pct"/>
          </w:tcPr>
          <w:p w14:paraId="3ECA70ED" w14:textId="77777777" w:rsidR="002E7953" w:rsidRPr="005E3B43" w:rsidRDefault="002E7953" w:rsidP="002E7953">
            <w:pPr>
              <w:pStyle w:val="ENoteTableText"/>
              <w:tabs>
                <w:tab w:val="center" w:leader="dot" w:pos="2268"/>
              </w:tabs>
            </w:pPr>
            <w:r w:rsidRPr="005E3B43">
              <w:t>Schedule 9A</w:t>
            </w:r>
            <w:r w:rsidRPr="005E3B43">
              <w:tab/>
            </w:r>
          </w:p>
        </w:tc>
        <w:tc>
          <w:tcPr>
            <w:tcW w:w="3505" w:type="pct"/>
          </w:tcPr>
          <w:p w14:paraId="775B02B2" w14:textId="77777777" w:rsidR="002E7953" w:rsidRPr="005E3B43" w:rsidRDefault="002E7953" w:rsidP="002E7953">
            <w:pPr>
              <w:pStyle w:val="ENoteTableText"/>
            </w:pPr>
            <w:r w:rsidRPr="005E3B43">
              <w:t>ad No 30, 2011</w:t>
            </w:r>
          </w:p>
        </w:tc>
      </w:tr>
      <w:tr w:rsidR="002E7953" w:rsidRPr="005E3B43" w14:paraId="080AEE29" w14:textId="77777777" w:rsidTr="00034EA9">
        <w:trPr>
          <w:cantSplit/>
        </w:trPr>
        <w:tc>
          <w:tcPr>
            <w:tcW w:w="1495" w:type="pct"/>
          </w:tcPr>
          <w:p w14:paraId="3E6AA2B6" w14:textId="77777777" w:rsidR="002E7953" w:rsidRPr="005E3B43" w:rsidRDefault="002E7953" w:rsidP="002E7953">
            <w:pPr>
              <w:pStyle w:val="ENoteTableText"/>
            </w:pPr>
          </w:p>
        </w:tc>
        <w:tc>
          <w:tcPr>
            <w:tcW w:w="3505" w:type="pct"/>
          </w:tcPr>
          <w:p w14:paraId="1BF102F3" w14:textId="77777777" w:rsidR="002E7953" w:rsidRPr="005E3B43" w:rsidRDefault="002E7953" w:rsidP="002E7953">
            <w:pPr>
              <w:pStyle w:val="ENoteTableText"/>
            </w:pPr>
            <w:r w:rsidRPr="005E3B43">
              <w:t>am No 143, 2012; No 94, 2013; No 62, 2014; No 75, 2015; No 87, 2015; F2016L00109; F2016L00667; F2017L00552; F2017L00853; F2018L00311; F2018L00759; F2019L00396; F2020L00720</w:t>
            </w:r>
          </w:p>
        </w:tc>
      </w:tr>
      <w:tr w:rsidR="002E7953" w:rsidRPr="005E3B43" w14:paraId="3126E700" w14:textId="77777777" w:rsidTr="00034EA9">
        <w:trPr>
          <w:cantSplit/>
        </w:trPr>
        <w:tc>
          <w:tcPr>
            <w:tcW w:w="1495" w:type="pct"/>
          </w:tcPr>
          <w:p w14:paraId="265F521E" w14:textId="77777777" w:rsidR="002E7953" w:rsidRPr="005E3B43" w:rsidRDefault="002E7953" w:rsidP="002E7953">
            <w:pPr>
              <w:pStyle w:val="ENoteTableText"/>
            </w:pPr>
          </w:p>
        </w:tc>
        <w:tc>
          <w:tcPr>
            <w:tcW w:w="3505" w:type="pct"/>
          </w:tcPr>
          <w:p w14:paraId="31DE1DB8" w14:textId="77777777" w:rsidR="002E7953" w:rsidRPr="005E3B43" w:rsidRDefault="002E7953" w:rsidP="002E7953">
            <w:pPr>
              <w:pStyle w:val="ENoteTableText"/>
            </w:pPr>
            <w:r w:rsidRPr="005E3B43">
              <w:t>ed C94</w:t>
            </w:r>
          </w:p>
        </w:tc>
      </w:tr>
      <w:tr w:rsidR="002E7953" w:rsidRPr="005E3B43" w14:paraId="68B05846" w14:textId="77777777" w:rsidTr="00034EA9">
        <w:trPr>
          <w:cantSplit/>
        </w:trPr>
        <w:tc>
          <w:tcPr>
            <w:tcW w:w="1495" w:type="pct"/>
          </w:tcPr>
          <w:p w14:paraId="3C78A598" w14:textId="77777777" w:rsidR="002E7953" w:rsidRPr="005E3B43" w:rsidRDefault="002E7953" w:rsidP="002E7953">
            <w:pPr>
              <w:pStyle w:val="ENoteTableText"/>
            </w:pPr>
          </w:p>
        </w:tc>
        <w:tc>
          <w:tcPr>
            <w:tcW w:w="3505" w:type="pct"/>
          </w:tcPr>
          <w:p w14:paraId="7B7593B4" w14:textId="77777777" w:rsidR="002E7953" w:rsidRPr="005E3B43" w:rsidRDefault="002E7953" w:rsidP="002E7953">
            <w:pPr>
              <w:pStyle w:val="ENoteTableText"/>
            </w:pPr>
            <w:r w:rsidRPr="005E3B43">
              <w:t>am F2021L00688; F2022L00600; F2022L01300; F2023L00769; F2023L00770</w:t>
            </w:r>
            <w:r w:rsidR="004B5158" w:rsidRPr="005E3B43">
              <w:t>; F2024L00689</w:t>
            </w:r>
            <w:r w:rsidR="003A6ACE" w:rsidRPr="005E3B43">
              <w:t xml:space="preserve"> </w:t>
            </w:r>
            <w:r w:rsidR="003A6ACE" w:rsidRPr="005E3B43">
              <w:rPr>
                <w:u w:val="single"/>
              </w:rPr>
              <w:t xml:space="preserve">(Sch 2 </w:t>
            </w:r>
            <w:r w:rsidR="006B5D8E" w:rsidRPr="005E3B43">
              <w:rPr>
                <w:u w:val="single"/>
              </w:rPr>
              <w:t>item 2</w:t>
            </w:r>
            <w:r w:rsidR="003A6ACE" w:rsidRPr="005E3B43">
              <w:rPr>
                <w:u w:val="single"/>
              </w:rPr>
              <w:t>)</w:t>
            </w:r>
          </w:p>
        </w:tc>
      </w:tr>
      <w:tr w:rsidR="002E7953" w:rsidRPr="005E3B43" w14:paraId="7C47180F" w14:textId="77777777" w:rsidTr="00034EA9">
        <w:trPr>
          <w:cantSplit/>
        </w:trPr>
        <w:tc>
          <w:tcPr>
            <w:tcW w:w="1495" w:type="pct"/>
          </w:tcPr>
          <w:p w14:paraId="5037673F" w14:textId="77777777" w:rsidR="002E7953" w:rsidRPr="005E3B43" w:rsidRDefault="002E7953" w:rsidP="002E7953">
            <w:pPr>
              <w:pStyle w:val="ENoteTableText"/>
              <w:keepNext/>
            </w:pPr>
            <w:r w:rsidRPr="005E3B43">
              <w:rPr>
                <w:b/>
              </w:rPr>
              <w:t>Schedule 10</w:t>
            </w:r>
          </w:p>
        </w:tc>
        <w:tc>
          <w:tcPr>
            <w:tcW w:w="3505" w:type="pct"/>
          </w:tcPr>
          <w:p w14:paraId="7880B25A" w14:textId="77777777" w:rsidR="002E7953" w:rsidRPr="005E3B43" w:rsidRDefault="002E7953" w:rsidP="002E7953">
            <w:pPr>
              <w:pStyle w:val="ENoteTableText"/>
            </w:pPr>
          </w:p>
        </w:tc>
      </w:tr>
      <w:tr w:rsidR="002E7953" w:rsidRPr="005E3B43" w14:paraId="12C9EFB6" w14:textId="77777777" w:rsidTr="00034EA9">
        <w:trPr>
          <w:cantSplit/>
        </w:trPr>
        <w:tc>
          <w:tcPr>
            <w:tcW w:w="1495" w:type="pct"/>
          </w:tcPr>
          <w:p w14:paraId="4E72F0E8" w14:textId="77777777" w:rsidR="002E7953" w:rsidRPr="005E3B43" w:rsidRDefault="002E7953" w:rsidP="002E7953">
            <w:pPr>
              <w:pStyle w:val="ENoteTableText"/>
              <w:tabs>
                <w:tab w:val="center" w:leader="dot" w:pos="2268"/>
              </w:tabs>
            </w:pPr>
            <w:r w:rsidRPr="005E3B43">
              <w:t>Schedule 10 heading</w:t>
            </w:r>
            <w:r w:rsidRPr="005E3B43">
              <w:tab/>
            </w:r>
          </w:p>
        </w:tc>
        <w:tc>
          <w:tcPr>
            <w:tcW w:w="3505" w:type="pct"/>
          </w:tcPr>
          <w:p w14:paraId="2A90DF0E" w14:textId="77777777" w:rsidR="002E7953" w:rsidRPr="005E3B43" w:rsidRDefault="002E7953" w:rsidP="002E7953">
            <w:pPr>
              <w:pStyle w:val="ENoteTableText"/>
            </w:pPr>
            <w:r w:rsidRPr="005E3B43">
              <w:t>rs. 1992 Nos. 332 and 370</w:t>
            </w:r>
          </w:p>
        </w:tc>
      </w:tr>
      <w:tr w:rsidR="002E7953" w:rsidRPr="005E3B43" w14:paraId="38D93066" w14:textId="77777777" w:rsidTr="00034EA9">
        <w:trPr>
          <w:cantSplit/>
        </w:trPr>
        <w:tc>
          <w:tcPr>
            <w:tcW w:w="1495" w:type="pct"/>
          </w:tcPr>
          <w:p w14:paraId="67FDC180" w14:textId="77777777" w:rsidR="002E7953" w:rsidRPr="005E3B43" w:rsidRDefault="002E7953" w:rsidP="002E7953">
            <w:pPr>
              <w:pStyle w:val="ENoteTableText"/>
            </w:pPr>
          </w:p>
        </w:tc>
        <w:tc>
          <w:tcPr>
            <w:tcW w:w="3505" w:type="pct"/>
          </w:tcPr>
          <w:p w14:paraId="0CF54809" w14:textId="77777777" w:rsidR="002E7953" w:rsidRPr="005E3B43" w:rsidRDefault="002E7953" w:rsidP="002E7953">
            <w:pPr>
              <w:pStyle w:val="ENoteTableText"/>
            </w:pPr>
            <w:r w:rsidRPr="005E3B43">
              <w:t>am. 1995 No. 208</w:t>
            </w:r>
          </w:p>
        </w:tc>
      </w:tr>
      <w:tr w:rsidR="002E7953" w:rsidRPr="005E3B43" w14:paraId="51C34FA5" w14:textId="77777777" w:rsidTr="00034EA9">
        <w:trPr>
          <w:cantSplit/>
        </w:trPr>
        <w:tc>
          <w:tcPr>
            <w:tcW w:w="1495" w:type="pct"/>
          </w:tcPr>
          <w:p w14:paraId="7F229C8E" w14:textId="77777777" w:rsidR="002E7953" w:rsidRPr="005E3B43" w:rsidRDefault="002E7953" w:rsidP="002E7953">
            <w:pPr>
              <w:pStyle w:val="ENoteTableText"/>
            </w:pPr>
          </w:p>
        </w:tc>
        <w:tc>
          <w:tcPr>
            <w:tcW w:w="3505" w:type="pct"/>
          </w:tcPr>
          <w:p w14:paraId="6DDCFC2E" w14:textId="77777777" w:rsidR="002E7953" w:rsidRPr="005E3B43" w:rsidRDefault="002E7953" w:rsidP="002E7953">
            <w:pPr>
              <w:pStyle w:val="ENoteTableText"/>
            </w:pPr>
            <w:r w:rsidRPr="005E3B43">
              <w:t>rs F2016L00109</w:t>
            </w:r>
          </w:p>
        </w:tc>
      </w:tr>
      <w:tr w:rsidR="002E7953" w:rsidRPr="005E3B43" w14:paraId="5DFE9008" w14:textId="77777777" w:rsidTr="00034EA9">
        <w:trPr>
          <w:cantSplit/>
        </w:trPr>
        <w:tc>
          <w:tcPr>
            <w:tcW w:w="1495" w:type="pct"/>
          </w:tcPr>
          <w:p w14:paraId="4CD34C2D" w14:textId="77777777" w:rsidR="002E7953" w:rsidRPr="005E3B43" w:rsidRDefault="002E7953" w:rsidP="002E7953">
            <w:pPr>
              <w:pStyle w:val="ENoteTableText"/>
              <w:tabs>
                <w:tab w:val="center" w:leader="dot" w:pos="2268"/>
              </w:tabs>
            </w:pPr>
            <w:r w:rsidRPr="005E3B43">
              <w:t>Schedule 10</w:t>
            </w:r>
            <w:r w:rsidRPr="005E3B43">
              <w:tab/>
            </w:r>
          </w:p>
        </w:tc>
        <w:tc>
          <w:tcPr>
            <w:tcW w:w="3505" w:type="pct"/>
          </w:tcPr>
          <w:p w14:paraId="611E2F04" w14:textId="77777777" w:rsidR="002E7953" w:rsidRPr="005E3B43" w:rsidRDefault="002E7953" w:rsidP="002E7953">
            <w:pPr>
              <w:pStyle w:val="ENoteTableText"/>
            </w:pPr>
            <w:r w:rsidRPr="005E3B43">
              <w:t>ad. 1992 No. 19</w:t>
            </w:r>
          </w:p>
        </w:tc>
      </w:tr>
      <w:tr w:rsidR="002E7953" w:rsidRPr="005E3B43" w14:paraId="65A22D6C" w14:textId="77777777" w:rsidTr="00034EA9">
        <w:trPr>
          <w:cantSplit/>
        </w:trPr>
        <w:tc>
          <w:tcPr>
            <w:tcW w:w="1495" w:type="pct"/>
          </w:tcPr>
          <w:p w14:paraId="09E86C1C" w14:textId="77777777" w:rsidR="002E7953" w:rsidRPr="005E3B43" w:rsidRDefault="002E7953" w:rsidP="002E7953">
            <w:pPr>
              <w:pStyle w:val="ENoteTableText"/>
            </w:pPr>
          </w:p>
        </w:tc>
        <w:tc>
          <w:tcPr>
            <w:tcW w:w="3505" w:type="pct"/>
          </w:tcPr>
          <w:p w14:paraId="3488228C" w14:textId="77777777" w:rsidR="002E7953" w:rsidRPr="005E3B43" w:rsidRDefault="002E7953" w:rsidP="002E7953">
            <w:pPr>
              <w:pStyle w:val="ENoteTableText"/>
            </w:pPr>
            <w:r w:rsidRPr="005E3B43">
              <w:t>am. 1992 No. 89; 1994 No. 150; 1995 No. 208</w:t>
            </w:r>
          </w:p>
        </w:tc>
      </w:tr>
      <w:tr w:rsidR="002E7953" w:rsidRPr="005E3B43" w14:paraId="304BA9A7" w14:textId="77777777" w:rsidTr="00034EA9">
        <w:trPr>
          <w:cantSplit/>
        </w:trPr>
        <w:tc>
          <w:tcPr>
            <w:tcW w:w="1495" w:type="pct"/>
          </w:tcPr>
          <w:p w14:paraId="19B57CE6" w14:textId="77777777" w:rsidR="002E7953" w:rsidRPr="005E3B43" w:rsidRDefault="002E7953" w:rsidP="002E7953">
            <w:pPr>
              <w:pStyle w:val="ENoteTableText"/>
            </w:pPr>
          </w:p>
        </w:tc>
        <w:tc>
          <w:tcPr>
            <w:tcW w:w="3505" w:type="pct"/>
          </w:tcPr>
          <w:p w14:paraId="62855646" w14:textId="77777777" w:rsidR="002E7953" w:rsidRPr="005E3B43" w:rsidRDefault="002E7953" w:rsidP="002E7953">
            <w:pPr>
              <w:pStyle w:val="ENoteTableText"/>
            </w:pPr>
            <w:r w:rsidRPr="005E3B43">
              <w:t>rs. 1998 No. 227</w:t>
            </w:r>
          </w:p>
        </w:tc>
      </w:tr>
      <w:tr w:rsidR="002E7953" w:rsidRPr="005E3B43" w14:paraId="1939451A" w14:textId="77777777" w:rsidTr="00034EA9">
        <w:trPr>
          <w:cantSplit/>
        </w:trPr>
        <w:tc>
          <w:tcPr>
            <w:tcW w:w="1495" w:type="pct"/>
          </w:tcPr>
          <w:p w14:paraId="61B8268F" w14:textId="77777777" w:rsidR="002E7953" w:rsidRPr="005E3B43" w:rsidRDefault="002E7953" w:rsidP="002E7953">
            <w:pPr>
              <w:pStyle w:val="ENoteTableText"/>
            </w:pPr>
          </w:p>
        </w:tc>
        <w:tc>
          <w:tcPr>
            <w:tcW w:w="3505" w:type="pct"/>
          </w:tcPr>
          <w:p w14:paraId="70AC334F" w14:textId="77777777" w:rsidR="002E7953" w:rsidRPr="005E3B43" w:rsidRDefault="002E7953" w:rsidP="002E7953">
            <w:pPr>
              <w:pStyle w:val="ENoteTableText"/>
            </w:pPr>
            <w:r w:rsidRPr="005E3B43">
              <w:t>am No 62, 1999; No 29, 2000; No 78, 2004; No 26, 2010; No 102, 2011; F2016L00109; F2017L01561; F2020L00946</w:t>
            </w:r>
          </w:p>
        </w:tc>
      </w:tr>
      <w:tr w:rsidR="002E7953" w:rsidRPr="005E3B43" w14:paraId="1B61D600" w14:textId="77777777" w:rsidTr="00034EA9">
        <w:trPr>
          <w:cantSplit/>
        </w:trPr>
        <w:tc>
          <w:tcPr>
            <w:tcW w:w="1495" w:type="pct"/>
          </w:tcPr>
          <w:p w14:paraId="451CC366" w14:textId="77777777" w:rsidR="002E7953" w:rsidRPr="005E3B43" w:rsidRDefault="002E7953" w:rsidP="002E7953">
            <w:pPr>
              <w:pStyle w:val="ENoteTableText"/>
              <w:tabs>
                <w:tab w:val="center" w:leader="dot" w:pos="2268"/>
              </w:tabs>
            </w:pPr>
            <w:r w:rsidRPr="005E3B43">
              <w:t>Schedule 11</w:t>
            </w:r>
            <w:r w:rsidRPr="005E3B43">
              <w:tab/>
            </w:r>
          </w:p>
        </w:tc>
        <w:tc>
          <w:tcPr>
            <w:tcW w:w="3505" w:type="pct"/>
          </w:tcPr>
          <w:p w14:paraId="7B80E86F" w14:textId="77777777" w:rsidR="002E7953" w:rsidRPr="005E3B43" w:rsidRDefault="002E7953" w:rsidP="002E7953">
            <w:pPr>
              <w:pStyle w:val="ENoteTableText"/>
            </w:pPr>
            <w:r w:rsidRPr="005E3B43">
              <w:t>ad. 1992 No. 89</w:t>
            </w:r>
          </w:p>
        </w:tc>
      </w:tr>
      <w:tr w:rsidR="002E7953" w:rsidRPr="005E3B43" w14:paraId="662DDA91" w14:textId="77777777" w:rsidTr="00034EA9">
        <w:trPr>
          <w:cantSplit/>
        </w:trPr>
        <w:tc>
          <w:tcPr>
            <w:tcW w:w="1495" w:type="pct"/>
          </w:tcPr>
          <w:p w14:paraId="135B723A" w14:textId="77777777" w:rsidR="002E7953" w:rsidRPr="005E3B43" w:rsidRDefault="002E7953" w:rsidP="002E7953">
            <w:pPr>
              <w:pStyle w:val="ENoteTableText"/>
            </w:pPr>
          </w:p>
        </w:tc>
        <w:tc>
          <w:tcPr>
            <w:tcW w:w="3505" w:type="pct"/>
          </w:tcPr>
          <w:p w14:paraId="3639E5B3" w14:textId="77777777" w:rsidR="002E7953" w:rsidRPr="005E3B43" w:rsidRDefault="002E7953" w:rsidP="002E7953">
            <w:pPr>
              <w:pStyle w:val="ENoteTableText"/>
            </w:pPr>
            <w:r w:rsidRPr="005E3B43">
              <w:t>am. 1999 No. 324; 2002 No. 84</w:t>
            </w:r>
          </w:p>
        </w:tc>
      </w:tr>
      <w:tr w:rsidR="002E7953" w:rsidRPr="005E3B43" w14:paraId="5F443803" w14:textId="77777777" w:rsidTr="00034EA9">
        <w:trPr>
          <w:cantSplit/>
        </w:trPr>
        <w:tc>
          <w:tcPr>
            <w:tcW w:w="1495" w:type="pct"/>
          </w:tcPr>
          <w:p w14:paraId="0826E504" w14:textId="77777777" w:rsidR="002E7953" w:rsidRPr="005E3B43" w:rsidRDefault="002E7953" w:rsidP="002E7953">
            <w:pPr>
              <w:pStyle w:val="ENoteTableText"/>
            </w:pPr>
          </w:p>
        </w:tc>
        <w:tc>
          <w:tcPr>
            <w:tcW w:w="3505" w:type="pct"/>
          </w:tcPr>
          <w:p w14:paraId="572C72FD" w14:textId="77777777" w:rsidR="002E7953" w:rsidRPr="005E3B43" w:rsidRDefault="002E7953" w:rsidP="002E7953">
            <w:pPr>
              <w:pStyle w:val="ENoteTableText"/>
            </w:pPr>
            <w:r w:rsidRPr="005E3B43">
              <w:t>rep. 2010 No. 26</w:t>
            </w:r>
          </w:p>
        </w:tc>
      </w:tr>
      <w:tr w:rsidR="002E7953" w:rsidRPr="005E3B43" w14:paraId="6F570C20" w14:textId="77777777" w:rsidTr="00034EA9">
        <w:trPr>
          <w:cantSplit/>
        </w:trPr>
        <w:tc>
          <w:tcPr>
            <w:tcW w:w="1495" w:type="pct"/>
          </w:tcPr>
          <w:p w14:paraId="5725BEB4" w14:textId="77777777" w:rsidR="002E7953" w:rsidRPr="005E3B43" w:rsidRDefault="002E7953" w:rsidP="002E7953">
            <w:pPr>
              <w:pStyle w:val="ENoteTableText"/>
            </w:pPr>
            <w:r w:rsidRPr="005E3B43">
              <w:rPr>
                <w:b/>
              </w:rPr>
              <w:t>Schedule 12</w:t>
            </w:r>
          </w:p>
        </w:tc>
        <w:tc>
          <w:tcPr>
            <w:tcW w:w="3505" w:type="pct"/>
          </w:tcPr>
          <w:p w14:paraId="5E11E3A5" w14:textId="77777777" w:rsidR="002E7953" w:rsidRPr="005E3B43" w:rsidRDefault="002E7953" w:rsidP="002E7953">
            <w:pPr>
              <w:pStyle w:val="ENoteTableText"/>
            </w:pPr>
          </w:p>
        </w:tc>
      </w:tr>
      <w:tr w:rsidR="002E7953" w:rsidRPr="005E3B43" w14:paraId="0182553C" w14:textId="77777777" w:rsidTr="00034EA9">
        <w:trPr>
          <w:cantSplit/>
        </w:trPr>
        <w:tc>
          <w:tcPr>
            <w:tcW w:w="1495" w:type="pct"/>
          </w:tcPr>
          <w:p w14:paraId="797929FF" w14:textId="77777777" w:rsidR="002E7953" w:rsidRPr="005E3B43" w:rsidRDefault="002E7953" w:rsidP="002E7953">
            <w:pPr>
              <w:pStyle w:val="ENoteTableText"/>
              <w:tabs>
                <w:tab w:val="center" w:leader="dot" w:pos="2268"/>
              </w:tabs>
            </w:pPr>
            <w:r w:rsidRPr="005E3B43">
              <w:t>Schedule 12</w:t>
            </w:r>
            <w:r w:rsidRPr="005E3B43">
              <w:tab/>
            </w:r>
          </w:p>
        </w:tc>
        <w:tc>
          <w:tcPr>
            <w:tcW w:w="3505" w:type="pct"/>
          </w:tcPr>
          <w:p w14:paraId="384D1DF0" w14:textId="77777777" w:rsidR="002E7953" w:rsidRPr="005E3B43" w:rsidRDefault="002E7953" w:rsidP="002E7953">
            <w:pPr>
              <w:pStyle w:val="ENoteTableText"/>
            </w:pPr>
            <w:r w:rsidRPr="005E3B43">
              <w:t>ad. 1992 No. 430</w:t>
            </w:r>
          </w:p>
        </w:tc>
      </w:tr>
      <w:tr w:rsidR="002E7953" w:rsidRPr="005E3B43" w14:paraId="68BF7442" w14:textId="77777777" w:rsidTr="00034EA9">
        <w:trPr>
          <w:cantSplit/>
        </w:trPr>
        <w:tc>
          <w:tcPr>
            <w:tcW w:w="1495" w:type="pct"/>
          </w:tcPr>
          <w:p w14:paraId="000C987F" w14:textId="77777777" w:rsidR="002E7953" w:rsidRPr="005E3B43" w:rsidRDefault="002E7953" w:rsidP="002E7953">
            <w:pPr>
              <w:pStyle w:val="ENoteTableText"/>
            </w:pPr>
          </w:p>
        </w:tc>
        <w:tc>
          <w:tcPr>
            <w:tcW w:w="3505" w:type="pct"/>
          </w:tcPr>
          <w:p w14:paraId="7E42EE5D" w14:textId="77777777" w:rsidR="002E7953" w:rsidRPr="005E3B43" w:rsidRDefault="002E7953" w:rsidP="002E7953">
            <w:pPr>
              <w:pStyle w:val="ENoteTableText"/>
            </w:pPr>
            <w:r w:rsidRPr="005E3B43">
              <w:t>am. 1995 No. 208; 2001 No. 159; 2003 No. 151; 2011 No. 102</w:t>
            </w:r>
          </w:p>
        </w:tc>
      </w:tr>
      <w:tr w:rsidR="002E7953" w:rsidRPr="005E3B43" w14:paraId="0014C784" w14:textId="77777777" w:rsidTr="00034EA9">
        <w:trPr>
          <w:cantSplit/>
        </w:trPr>
        <w:tc>
          <w:tcPr>
            <w:tcW w:w="1495" w:type="pct"/>
          </w:tcPr>
          <w:p w14:paraId="13DBEF28" w14:textId="77777777" w:rsidR="002E7953" w:rsidRPr="005E3B43" w:rsidRDefault="002E7953" w:rsidP="002E7953">
            <w:pPr>
              <w:pStyle w:val="ENoteTableText"/>
            </w:pPr>
          </w:p>
        </w:tc>
        <w:tc>
          <w:tcPr>
            <w:tcW w:w="3505" w:type="pct"/>
          </w:tcPr>
          <w:p w14:paraId="77728993" w14:textId="77777777" w:rsidR="002E7953" w:rsidRPr="005E3B43" w:rsidRDefault="002E7953" w:rsidP="002E7953">
            <w:pPr>
              <w:pStyle w:val="ENoteTableText"/>
            </w:pPr>
            <w:r w:rsidRPr="005E3B43">
              <w:t>rs F2019L01660</w:t>
            </w:r>
          </w:p>
        </w:tc>
      </w:tr>
      <w:tr w:rsidR="002E7953" w:rsidRPr="005E3B43" w14:paraId="0C307C5F" w14:textId="77777777" w:rsidTr="00034EA9">
        <w:trPr>
          <w:cantSplit/>
        </w:trPr>
        <w:tc>
          <w:tcPr>
            <w:tcW w:w="1495" w:type="pct"/>
          </w:tcPr>
          <w:p w14:paraId="3836B0DA" w14:textId="77777777" w:rsidR="002E7953" w:rsidRPr="005E3B43" w:rsidRDefault="002E7953" w:rsidP="002E7953">
            <w:pPr>
              <w:pStyle w:val="ENoteTableText"/>
              <w:keepNext/>
            </w:pPr>
            <w:r w:rsidRPr="005E3B43">
              <w:rPr>
                <w:b/>
              </w:rPr>
              <w:t>Schedule 13</w:t>
            </w:r>
          </w:p>
        </w:tc>
        <w:tc>
          <w:tcPr>
            <w:tcW w:w="3505" w:type="pct"/>
          </w:tcPr>
          <w:p w14:paraId="252B60E2" w14:textId="77777777" w:rsidR="002E7953" w:rsidRPr="005E3B43" w:rsidRDefault="002E7953" w:rsidP="002E7953">
            <w:pPr>
              <w:pStyle w:val="ENoteTableText"/>
              <w:keepNext/>
            </w:pPr>
          </w:p>
        </w:tc>
      </w:tr>
      <w:tr w:rsidR="002E7953" w:rsidRPr="005E3B43" w14:paraId="53C430B0" w14:textId="77777777" w:rsidTr="00034EA9">
        <w:trPr>
          <w:cantSplit/>
        </w:trPr>
        <w:tc>
          <w:tcPr>
            <w:tcW w:w="1495" w:type="pct"/>
          </w:tcPr>
          <w:p w14:paraId="3B1FF9D1" w14:textId="77777777" w:rsidR="002E7953" w:rsidRPr="005E3B43" w:rsidRDefault="002E7953" w:rsidP="002E7953">
            <w:pPr>
              <w:pStyle w:val="ENoteTableText"/>
              <w:tabs>
                <w:tab w:val="center" w:leader="dot" w:pos="2268"/>
              </w:tabs>
            </w:pPr>
            <w:r w:rsidRPr="005E3B43">
              <w:t>Schedule 13</w:t>
            </w:r>
            <w:r w:rsidRPr="005E3B43">
              <w:tab/>
            </w:r>
          </w:p>
        </w:tc>
        <w:tc>
          <w:tcPr>
            <w:tcW w:w="3505" w:type="pct"/>
          </w:tcPr>
          <w:p w14:paraId="54BF8E55" w14:textId="77777777" w:rsidR="002E7953" w:rsidRPr="005E3B43" w:rsidRDefault="002E7953" w:rsidP="002E7953">
            <w:pPr>
              <w:pStyle w:val="ENoteTableText"/>
            </w:pPr>
            <w:r w:rsidRPr="005E3B43">
              <w:t>ad. 1995 No. 208</w:t>
            </w:r>
          </w:p>
        </w:tc>
      </w:tr>
      <w:tr w:rsidR="002E7953" w:rsidRPr="005E3B43" w14:paraId="666675F0" w14:textId="77777777" w:rsidTr="00034EA9">
        <w:trPr>
          <w:cantSplit/>
        </w:trPr>
        <w:tc>
          <w:tcPr>
            <w:tcW w:w="1495" w:type="pct"/>
          </w:tcPr>
          <w:p w14:paraId="288CB9AA" w14:textId="77777777" w:rsidR="002E7953" w:rsidRPr="005E3B43" w:rsidRDefault="002E7953" w:rsidP="002E7953">
            <w:pPr>
              <w:pStyle w:val="ENoteTableText"/>
            </w:pPr>
          </w:p>
        </w:tc>
        <w:tc>
          <w:tcPr>
            <w:tcW w:w="3505" w:type="pct"/>
          </w:tcPr>
          <w:p w14:paraId="39BB6D8C" w14:textId="77777777" w:rsidR="002E7953" w:rsidRPr="005E3B43" w:rsidRDefault="002E7953" w:rsidP="002E7953">
            <w:pPr>
              <w:pStyle w:val="ENoteTableText"/>
            </w:pPr>
            <w:r w:rsidRPr="005E3B43">
              <w:t>am. 2001 No. 159; 2003 No. 151; 2011 No. 102</w:t>
            </w:r>
          </w:p>
        </w:tc>
      </w:tr>
      <w:tr w:rsidR="002E7953" w:rsidRPr="005E3B43" w14:paraId="1534AE67" w14:textId="77777777" w:rsidTr="00034EA9">
        <w:trPr>
          <w:cantSplit/>
        </w:trPr>
        <w:tc>
          <w:tcPr>
            <w:tcW w:w="1495" w:type="pct"/>
          </w:tcPr>
          <w:p w14:paraId="03C76F7A" w14:textId="77777777" w:rsidR="002E7953" w:rsidRPr="005E3B43" w:rsidRDefault="002E7953" w:rsidP="002E7953">
            <w:pPr>
              <w:pStyle w:val="ENoteTableText"/>
            </w:pPr>
          </w:p>
        </w:tc>
        <w:tc>
          <w:tcPr>
            <w:tcW w:w="3505" w:type="pct"/>
          </w:tcPr>
          <w:p w14:paraId="150C5565" w14:textId="77777777" w:rsidR="002E7953" w:rsidRPr="005E3B43" w:rsidRDefault="002E7953" w:rsidP="002E7953">
            <w:pPr>
              <w:pStyle w:val="ENoteTableText"/>
            </w:pPr>
            <w:r w:rsidRPr="005E3B43">
              <w:t>rs F2019L01660</w:t>
            </w:r>
          </w:p>
        </w:tc>
      </w:tr>
      <w:tr w:rsidR="002E7953" w:rsidRPr="005E3B43" w14:paraId="69DEBFB7" w14:textId="77777777" w:rsidTr="00034EA9">
        <w:trPr>
          <w:cantSplit/>
        </w:trPr>
        <w:tc>
          <w:tcPr>
            <w:tcW w:w="1495" w:type="pct"/>
          </w:tcPr>
          <w:p w14:paraId="21136D6D" w14:textId="77777777" w:rsidR="002E7953" w:rsidRPr="005E3B43" w:rsidRDefault="002E7953" w:rsidP="002E7953">
            <w:pPr>
              <w:pStyle w:val="ENoteTableText"/>
              <w:keepNext/>
            </w:pPr>
            <w:r w:rsidRPr="005E3B43">
              <w:rPr>
                <w:b/>
              </w:rPr>
              <w:t>Schedule 14</w:t>
            </w:r>
          </w:p>
        </w:tc>
        <w:tc>
          <w:tcPr>
            <w:tcW w:w="3505" w:type="pct"/>
          </w:tcPr>
          <w:p w14:paraId="0159B76F" w14:textId="77777777" w:rsidR="002E7953" w:rsidRPr="005E3B43" w:rsidRDefault="002E7953" w:rsidP="002E7953">
            <w:pPr>
              <w:pStyle w:val="ENoteTableText"/>
            </w:pPr>
          </w:p>
        </w:tc>
      </w:tr>
      <w:tr w:rsidR="002E7953" w:rsidRPr="005E3B43" w14:paraId="415ED596" w14:textId="77777777" w:rsidTr="00034EA9">
        <w:trPr>
          <w:cantSplit/>
        </w:trPr>
        <w:tc>
          <w:tcPr>
            <w:tcW w:w="1495" w:type="pct"/>
          </w:tcPr>
          <w:p w14:paraId="216DB7A2" w14:textId="77777777" w:rsidR="002E7953" w:rsidRPr="005E3B43" w:rsidRDefault="002E7953" w:rsidP="002E7953">
            <w:pPr>
              <w:pStyle w:val="ENoteTableText"/>
              <w:tabs>
                <w:tab w:val="center" w:leader="dot" w:pos="2268"/>
              </w:tabs>
            </w:pPr>
            <w:r w:rsidRPr="005E3B43">
              <w:t>Schedule 14 heading</w:t>
            </w:r>
            <w:r w:rsidRPr="005E3B43">
              <w:tab/>
            </w:r>
          </w:p>
        </w:tc>
        <w:tc>
          <w:tcPr>
            <w:tcW w:w="3505" w:type="pct"/>
          </w:tcPr>
          <w:p w14:paraId="092A933A" w14:textId="77777777" w:rsidR="002E7953" w:rsidRPr="005E3B43" w:rsidRDefault="002E7953" w:rsidP="002E7953">
            <w:pPr>
              <w:pStyle w:val="ENoteTableText"/>
            </w:pPr>
            <w:r w:rsidRPr="005E3B43">
              <w:t>am. 1999 No. 62</w:t>
            </w:r>
          </w:p>
        </w:tc>
      </w:tr>
      <w:tr w:rsidR="002E7953" w:rsidRPr="005E3B43" w14:paraId="3A629095" w14:textId="77777777" w:rsidTr="00034EA9">
        <w:trPr>
          <w:cantSplit/>
        </w:trPr>
        <w:tc>
          <w:tcPr>
            <w:tcW w:w="1495" w:type="pct"/>
          </w:tcPr>
          <w:p w14:paraId="6E34BA33" w14:textId="77777777" w:rsidR="002E7953" w:rsidRPr="005E3B43" w:rsidRDefault="002E7953" w:rsidP="002E7953">
            <w:pPr>
              <w:pStyle w:val="ENoteTableText"/>
            </w:pPr>
          </w:p>
        </w:tc>
        <w:tc>
          <w:tcPr>
            <w:tcW w:w="3505" w:type="pct"/>
          </w:tcPr>
          <w:p w14:paraId="77D82724" w14:textId="77777777" w:rsidR="002E7953" w:rsidRPr="005E3B43" w:rsidRDefault="002E7953" w:rsidP="002E7953">
            <w:pPr>
              <w:pStyle w:val="ENoteTableText"/>
            </w:pPr>
            <w:r w:rsidRPr="005E3B43">
              <w:t>rs. 2011 No. 102</w:t>
            </w:r>
          </w:p>
        </w:tc>
      </w:tr>
      <w:tr w:rsidR="002E7953" w:rsidRPr="005E3B43" w14:paraId="41A1F7DC" w14:textId="77777777" w:rsidTr="00034EA9">
        <w:trPr>
          <w:cantSplit/>
        </w:trPr>
        <w:tc>
          <w:tcPr>
            <w:tcW w:w="1495" w:type="pct"/>
          </w:tcPr>
          <w:p w14:paraId="72516B62" w14:textId="77777777" w:rsidR="002E7953" w:rsidRPr="005E3B43" w:rsidRDefault="002E7953" w:rsidP="002E7953">
            <w:pPr>
              <w:pStyle w:val="ENoteTableText"/>
              <w:tabs>
                <w:tab w:val="center" w:leader="dot" w:pos="2268"/>
              </w:tabs>
            </w:pPr>
            <w:r w:rsidRPr="005E3B43">
              <w:t>Schedule 14</w:t>
            </w:r>
            <w:r w:rsidRPr="005E3B43">
              <w:tab/>
            </w:r>
          </w:p>
        </w:tc>
        <w:tc>
          <w:tcPr>
            <w:tcW w:w="3505" w:type="pct"/>
          </w:tcPr>
          <w:p w14:paraId="389184D7" w14:textId="77777777" w:rsidR="002E7953" w:rsidRPr="005E3B43" w:rsidRDefault="002E7953" w:rsidP="002E7953">
            <w:pPr>
              <w:pStyle w:val="ENoteTableText"/>
            </w:pPr>
            <w:r w:rsidRPr="005E3B43">
              <w:t>ad. 1997 No. 400</w:t>
            </w:r>
          </w:p>
        </w:tc>
      </w:tr>
      <w:tr w:rsidR="002E7953" w:rsidRPr="005E3B43" w14:paraId="05678349" w14:textId="77777777" w:rsidTr="00034EA9">
        <w:trPr>
          <w:cantSplit/>
        </w:trPr>
        <w:tc>
          <w:tcPr>
            <w:tcW w:w="1495" w:type="pct"/>
          </w:tcPr>
          <w:p w14:paraId="7DAE7EE5" w14:textId="77777777" w:rsidR="002E7953" w:rsidRPr="005E3B43" w:rsidRDefault="002E7953" w:rsidP="002E7953">
            <w:pPr>
              <w:pStyle w:val="ENoteTableText"/>
            </w:pPr>
          </w:p>
        </w:tc>
        <w:tc>
          <w:tcPr>
            <w:tcW w:w="3505" w:type="pct"/>
          </w:tcPr>
          <w:p w14:paraId="2A471E70" w14:textId="77777777" w:rsidR="002E7953" w:rsidRPr="005E3B43" w:rsidRDefault="002E7953" w:rsidP="002E7953">
            <w:pPr>
              <w:pStyle w:val="ENoteTableText"/>
            </w:pPr>
            <w:r w:rsidRPr="005E3B43">
              <w:t>rs. 1998 No. 227</w:t>
            </w:r>
          </w:p>
        </w:tc>
      </w:tr>
      <w:tr w:rsidR="002E7953" w:rsidRPr="005E3B43" w14:paraId="4843701E" w14:textId="77777777" w:rsidTr="00034EA9">
        <w:trPr>
          <w:cantSplit/>
        </w:trPr>
        <w:tc>
          <w:tcPr>
            <w:tcW w:w="1495" w:type="pct"/>
          </w:tcPr>
          <w:p w14:paraId="6F243DC4" w14:textId="77777777" w:rsidR="002E7953" w:rsidRPr="005E3B43" w:rsidRDefault="002E7953" w:rsidP="002E7953">
            <w:pPr>
              <w:pStyle w:val="ENoteTableText"/>
            </w:pPr>
          </w:p>
        </w:tc>
        <w:tc>
          <w:tcPr>
            <w:tcW w:w="3505" w:type="pct"/>
          </w:tcPr>
          <w:p w14:paraId="5C627586" w14:textId="77777777" w:rsidR="002E7953" w:rsidRPr="005E3B43" w:rsidRDefault="002E7953" w:rsidP="002E7953">
            <w:pPr>
              <w:pStyle w:val="ENoteTableText"/>
            </w:pPr>
            <w:r w:rsidRPr="005E3B43">
              <w:t>am F2018L00865</w:t>
            </w:r>
          </w:p>
        </w:tc>
      </w:tr>
      <w:tr w:rsidR="002E7953" w:rsidRPr="005E3B43" w14:paraId="2F9FD2D2" w14:textId="77777777" w:rsidTr="00034EA9">
        <w:trPr>
          <w:cantSplit/>
        </w:trPr>
        <w:tc>
          <w:tcPr>
            <w:tcW w:w="1495" w:type="pct"/>
          </w:tcPr>
          <w:p w14:paraId="5E3111F4" w14:textId="77777777" w:rsidR="002E7953" w:rsidRPr="005E3B43" w:rsidRDefault="002E7953" w:rsidP="002E7953">
            <w:pPr>
              <w:pStyle w:val="ENoteTableText"/>
              <w:tabs>
                <w:tab w:val="center" w:leader="dot" w:pos="2268"/>
              </w:tabs>
            </w:pPr>
            <w:r w:rsidRPr="005E3B43">
              <w:t>Schedule 15</w:t>
            </w:r>
            <w:r w:rsidRPr="005E3B43">
              <w:tab/>
            </w:r>
          </w:p>
        </w:tc>
        <w:tc>
          <w:tcPr>
            <w:tcW w:w="3505" w:type="pct"/>
          </w:tcPr>
          <w:p w14:paraId="1B8A9C6D" w14:textId="77777777" w:rsidR="002E7953" w:rsidRPr="005E3B43" w:rsidRDefault="002E7953" w:rsidP="002E7953">
            <w:pPr>
              <w:pStyle w:val="ENoteTableText"/>
            </w:pPr>
            <w:r w:rsidRPr="005E3B43">
              <w:t>ad. 2009 No. 228</w:t>
            </w:r>
          </w:p>
        </w:tc>
      </w:tr>
      <w:tr w:rsidR="002E7953" w:rsidRPr="005E3B43" w14:paraId="49C3FD78" w14:textId="77777777" w:rsidTr="00034EA9">
        <w:trPr>
          <w:cantSplit/>
        </w:trPr>
        <w:tc>
          <w:tcPr>
            <w:tcW w:w="1495" w:type="pct"/>
          </w:tcPr>
          <w:p w14:paraId="2167983C" w14:textId="77777777" w:rsidR="002E7953" w:rsidRPr="005E3B43" w:rsidRDefault="002E7953" w:rsidP="002E7953">
            <w:pPr>
              <w:pStyle w:val="ENoteTableText"/>
              <w:tabs>
                <w:tab w:val="center" w:leader="dot" w:pos="2268"/>
              </w:tabs>
            </w:pPr>
          </w:p>
        </w:tc>
        <w:tc>
          <w:tcPr>
            <w:tcW w:w="3505" w:type="pct"/>
          </w:tcPr>
          <w:p w14:paraId="1E47F663" w14:textId="77777777" w:rsidR="002E7953" w:rsidRPr="005E3B43" w:rsidRDefault="002E7953" w:rsidP="002E7953">
            <w:pPr>
              <w:pStyle w:val="ENoteTableText"/>
            </w:pPr>
            <w:r w:rsidRPr="005E3B43">
              <w:t>am F2016L00109</w:t>
            </w:r>
          </w:p>
        </w:tc>
      </w:tr>
      <w:tr w:rsidR="002E7953" w:rsidRPr="005E3B43" w14:paraId="2B98247F" w14:textId="77777777" w:rsidTr="00034EA9">
        <w:trPr>
          <w:cantSplit/>
        </w:trPr>
        <w:tc>
          <w:tcPr>
            <w:tcW w:w="1495" w:type="pct"/>
          </w:tcPr>
          <w:p w14:paraId="7EDFC5B3" w14:textId="77777777" w:rsidR="002E7953" w:rsidRPr="005E3B43" w:rsidRDefault="002E7953" w:rsidP="002E7953">
            <w:pPr>
              <w:pStyle w:val="ENoteTableText"/>
              <w:tabs>
                <w:tab w:val="center" w:leader="dot" w:pos="2268"/>
              </w:tabs>
            </w:pPr>
          </w:p>
        </w:tc>
        <w:tc>
          <w:tcPr>
            <w:tcW w:w="3505" w:type="pct"/>
          </w:tcPr>
          <w:p w14:paraId="69B04D73" w14:textId="77777777" w:rsidR="002E7953" w:rsidRPr="005E3B43" w:rsidRDefault="002E7953" w:rsidP="002E7953">
            <w:pPr>
              <w:pStyle w:val="ENoteTableText"/>
            </w:pPr>
            <w:r w:rsidRPr="005E3B43">
              <w:t>rep F2018L00311</w:t>
            </w:r>
          </w:p>
        </w:tc>
      </w:tr>
      <w:tr w:rsidR="002E7953" w:rsidRPr="005E3B43" w14:paraId="32D66FE5" w14:textId="77777777" w:rsidTr="00034EA9">
        <w:trPr>
          <w:cantSplit/>
        </w:trPr>
        <w:tc>
          <w:tcPr>
            <w:tcW w:w="1495" w:type="pct"/>
          </w:tcPr>
          <w:p w14:paraId="06BCEF50" w14:textId="77777777" w:rsidR="002E7953" w:rsidRPr="005E3B43" w:rsidRDefault="002E7953" w:rsidP="00D317A0">
            <w:pPr>
              <w:pStyle w:val="ENoteTableText"/>
            </w:pPr>
            <w:r w:rsidRPr="005E3B43">
              <w:rPr>
                <w:b/>
              </w:rPr>
              <w:t>Schedule 16</w:t>
            </w:r>
          </w:p>
        </w:tc>
        <w:tc>
          <w:tcPr>
            <w:tcW w:w="3505" w:type="pct"/>
          </w:tcPr>
          <w:p w14:paraId="19357501" w14:textId="77777777" w:rsidR="002E7953" w:rsidRPr="005E3B43" w:rsidRDefault="002E7953" w:rsidP="00D317A0">
            <w:pPr>
              <w:pStyle w:val="ENoteTableText"/>
            </w:pPr>
          </w:p>
        </w:tc>
      </w:tr>
      <w:tr w:rsidR="002E7953" w:rsidRPr="005E3B43" w14:paraId="5D4E02C6" w14:textId="77777777" w:rsidTr="00034EA9">
        <w:trPr>
          <w:cantSplit/>
        </w:trPr>
        <w:tc>
          <w:tcPr>
            <w:tcW w:w="1495" w:type="pct"/>
          </w:tcPr>
          <w:p w14:paraId="678F776F" w14:textId="77777777" w:rsidR="002E7953" w:rsidRPr="005E3B43" w:rsidRDefault="002E7953" w:rsidP="002E7953">
            <w:pPr>
              <w:pStyle w:val="ENoteTableText"/>
              <w:tabs>
                <w:tab w:val="center" w:leader="dot" w:pos="2268"/>
              </w:tabs>
            </w:pPr>
            <w:r w:rsidRPr="005E3B43">
              <w:t>Schedule 16</w:t>
            </w:r>
            <w:r w:rsidRPr="005E3B43">
              <w:tab/>
            </w:r>
          </w:p>
        </w:tc>
        <w:tc>
          <w:tcPr>
            <w:tcW w:w="3505" w:type="pct"/>
          </w:tcPr>
          <w:p w14:paraId="05E5D5F6" w14:textId="77777777" w:rsidR="002E7953" w:rsidRPr="005E3B43" w:rsidRDefault="002E7953" w:rsidP="002E7953">
            <w:pPr>
              <w:pStyle w:val="ENoteTableText"/>
            </w:pPr>
            <w:r w:rsidRPr="005E3B43">
              <w:t>ad No 30, 2011</w:t>
            </w:r>
          </w:p>
        </w:tc>
      </w:tr>
      <w:tr w:rsidR="002E7953" w:rsidRPr="005E3B43" w14:paraId="6C0A82A4" w14:textId="77777777" w:rsidTr="00034EA9">
        <w:trPr>
          <w:cantSplit/>
        </w:trPr>
        <w:tc>
          <w:tcPr>
            <w:tcW w:w="1495" w:type="pct"/>
          </w:tcPr>
          <w:p w14:paraId="14CD5FEA" w14:textId="77777777" w:rsidR="002E7953" w:rsidRPr="005E3B43" w:rsidRDefault="002E7953" w:rsidP="002E7953">
            <w:pPr>
              <w:pStyle w:val="ENoteTableText"/>
              <w:tabs>
                <w:tab w:val="center" w:leader="dot" w:pos="2268"/>
              </w:tabs>
            </w:pPr>
          </w:p>
        </w:tc>
        <w:tc>
          <w:tcPr>
            <w:tcW w:w="3505" w:type="pct"/>
          </w:tcPr>
          <w:p w14:paraId="25E562C2" w14:textId="77777777" w:rsidR="002E7953" w:rsidRPr="005E3B43" w:rsidRDefault="002E7953" w:rsidP="002E7953">
            <w:pPr>
              <w:pStyle w:val="ENoteTableText"/>
            </w:pPr>
            <w:r w:rsidRPr="005E3B43">
              <w:t>rs F2018L00865</w:t>
            </w:r>
          </w:p>
        </w:tc>
      </w:tr>
      <w:tr w:rsidR="002E7953" w:rsidRPr="005E3B43" w14:paraId="0A7BA91F" w14:textId="77777777" w:rsidTr="00034EA9">
        <w:trPr>
          <w:cantSplit/>
        </w:trPr>
        <w:tc>
          <w:tcPr>
            <w:tcW w:w="1495" w:type="pct"/>
            <w:tcBorders>
              <w:bottom w:val="single" w:sz="12" w:space="0" w:color="auto"/>
            </w:tcBorders>
          </w:tcPr>
          <w:p w14:paraId="6A42C96F" w14:textId="77777777" w:rsidR="002E7953" w:rsidRPr="005E3B43" w:rsidRDefault="002E7953" w:rsidP="002E7953">
            <w:pPr>
              <w:pStyle w:val="ENoteTableText"/>
              <w:tabs>
                <w:tab w:val="center" w:leader="dot" w:pos="2268"/>
              </w:tabs>
            </w:pPr>
          </w:p>
        </w:tc>
        <w:tc>
          <w:tcPr>
            <w:tcW w:w="3505" w:type="pct"/>
            <w:tcBorders>
              <w:bottom w:val="single" w:sz="12" w:space="0" w:color="auto"/>
            </w:tcBorders>
          </w:tcPr>
          <w:p w14:paraId="1F368AE8" w14:textId="77777777" w:rsidR="002E7953" w:rsidRPr="005E3B43" w:rsidRDefault="002E7953" w:rsidP="002E7953">
            <w:pPr>
              <w:pStyle w:val="ENoteTableText"/>
            </w:pPr>
            <w:r w:rsidRPr="005E3B43">
              <w:t>am F2019L01660</w:t>
            </w:r>
          </w:p>
        </w:tc>
      </w:tr>
    </w:tbl>
    <w:p w14:paraId="4513BEA3" w14:textId="77777777" w:rsidR="005A786D" w:rsidRPr="005E3B43" w:rsidRDefault="005A786D" w:rsidP="00763BCF">
      <w:pPr>
        <w:sectPr w:rsidR="005A786D" w:rsidRPr="005E3B43" w:rsidSect="001444B1">
          <w:headerReference w:type="even" r:id="rId51"/>
          <w:headerReference w:type="default" r:id="rId52"/>
          <w:pgSz w:w="11907" w:h="16839"/>
          <w:pgMar w:top="2325" w:right="1797" w:bottom="1440" w:left="1797" w:header="720" w:footer="709" w:gutter="0"/>
          <w:cols w:space="708"/>
          <w:docGrid w:linePitch="360"/>
        </w:sectPr>
      </w:pPr>
    </w:p>
    <w:p w14:paraId="21854BC8" w14:textId="77777777" w:rsidR="005A786D" w:rsidRPr="005E3B43" w:rsidRDefault="005A786D" w:rsidP="00763BCF"/>
    <w:sectPr w:rsidR="005A786D" w:rsidRPr="005E3B43" w:rsidSect="001444B1">
      <w:headerReference w:type="even" r:id="rId53"/>
      <w:headerReference w:type="default" r:id="rId54"/>
      <w:headerReference w:type="first" r:id="rId55"/>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8E178" w14:textId="77777777" w:rsidR="00625504" w:rsidRDefault="00625504">
      <w:r>
        <w:separator/>
      </w:r>
    </w:p>
  </w:endnote>
  <w:endnote w:type="continuationSeparator" w:id="0">
    <w:p w14:paraId="7E53DC41" w14:textId="77777777" w:rsidR="00625504" w:rsidRDefault="0062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1" w:subsetted="1" w:fontKey="{EBBAFF56-2397-4198-B005-C8B967134D74}"/>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1BCEF" w14:textId="77777777" w:rsidR="00625504" w:rsidRDefault="00625504">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0E177" w14:textId="77777777" w:rsidR="00625504" w:rsidRDefault="00625504" w:rsidP="00A33FD0">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4EA7A" w14:textId="77777777" w:rsidR="00625504" w:rsidRPr="00ED79B6" w:rsidRDefault="00625504" w:rsidP="00A33FD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02F29" w14:textId="77777777" w:rsidR="00625504" w:rsidRPr="007B3B51" w:rsidRDefault="00625504" w:rsidP="0022462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625504" w:rsidRPr="007B3B51" w14:paraId="1DD707B4" w14:textId="77777777" w:rsidTr="00224626">
      <w:tc>
        <w:tcPr>
          <w:tcW w:w="854" w:type="pct"/>
        </w:tcPr>
        <w:p w14:paraId="54DE0D16" w14:textId="77777777" w:rsidR="00625504" w:rsidRPr="007B3B51" w:rsidRDefault="00625504" w:rsidP="0022462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5A8F2FC" w14:textId="1CBD928B" w:rsidR="00625504" w:rsidRPr="007B3B51" w:rsidRDefault="00625504" w:rsidP="002246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444B1">
            <w:rPr>
              <w:i/>
              <w:noProof/>
              <w:sz w:val="16"/>
              <w:szCs w:val="16"/>
            </w:rPr>
            <w:t>Therapeutic Goods Regulations 1990</w:t>
          </w:r>
          <w:r w:rsidRPr="007B3B51">
            <w:rPr>
              <w:i/>
              <w:sz w:val="16"/>
              <w:szCs w:val="16"/>
            </w:rPr>
            <w:fldChar w:fldCharType="end"/>
          </w:r>
        </w:p>
      </w:tc>
      <w:tc>
        <w:tcPr>
          <w:tcW w:w="458" w:type="pct"/>
        </w:tcPr>
        <w:p w14:paraId="1D7EA044" w14:textId="77777777" w:rsidR="00625504" w:rsidRPr="007B3B51" w:rsidRDefault="00625504" w:rsidP="00224626">
          <w:pPr>
            <w:jc w:val="right"/>
            <w:rPr>
              <w:sz w:val="16"/>
              <w:szCs w:val="16"/>
            </w:rPr>
          </w:pPr>
        </w:p>
      </w:tc>
    </w:tr>
    <w:tr w:rsidR="00625504" w:rsidRPr="0055472E" w14:paraId="23D4C499" w14:textId="77777777" w:rsidTr="00224626">
      <w:tc>
        <w:tcPr>
          <w:tcW w:w="1498" w:type="pct"/>
          <w:gridSpan w:val="2"/>
        </w:tcPr>
        <w:p w14:paraId="5D4F444E" w14:textId="418AB7E2" w:rsidR="00625504" w:rsidRPr="0055472E" w:rsidRDefault="00625504" w:rsidP="0022462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D450C">
            <w:rPr>
              <w:sz w:val="16"/>
              <w:szCs w:val="16"/>
            </w:rPr>
            <w:t>123</w:t>
          </w:r>
          <w:r w:rsidRPr="0055472E">
            <w:rPr>
              <w:sz w:val="16"/>
              <w:szCs w:val="16"/>
            </w:rPr>
            <w:fldChar w:fldCharType="end"/>
          </w:r>
        </w:p>
      </w:tc>
      <w:tc>
        <w:tcPr>
          <w:tcW w:w="1703" w:type="pct"/>
        </w:tcPr>
        <w:p w14:paraId="44FC3BDA" w14:textId="77777777" w:rsidR="00625504" w:rsidRPr="0055472E" w:rsidRDefault="00625504" w:rsidP="00224626">
          <w:pPr>
            <w:spacing w:before="120"/>
            <w:rPr>
              <w:sz w:val="16"/>
              <w:szCs w:val="16"/>
            </w:rPr>
          </w:pPr>
        </w:p>
      </w:tc>
      <w:tc>
        <w:tcPr>
          <w:tcW w:w="1799" w:type="pct"/>
          <w:gridSpan w:val="2"/>
        </w:tcPr>
        <w:p w14:paraId="1B90FA08" w14:textId="658D310C" w:rsidR="00625504" w:rsidRPr="0055472E" w:rsidRDefault="00625504" w:rsidP="0022462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D450C">
            <w:rPr>
              <w:sz w:val="16"/>
              <w:szCs w:val="16"/>
            </w:rPr>
            <w:t>14/12/2024</w:t>
          </w:r>
          <w:r w:rsidRPr="0055472E">
            <w:rPr>
              <w:sz w:val="16"/>
              <w:szCs w:val="16"/>
            </w:rPr>
            <w:fldChar w:fldCharType="end"/>
          </w:r>
        </w:p>
      </w:tc>
    </w:tr>
  </w:tbl>
  <w:p w14:paraId="3486E432" w14:textId="77777777" w:rsidR="00625504" w:rsidRPr="005A786D" w:rsidRDefault="00625504" w:rsidP="005A78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E7690" w14:textId="77777777" w:rsidR="00625504" w:rsidRPr="007B3B51" w:rsidRDefault="00625504" w:rsidP="0022462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625504" w:rsidRPr="007B3B51" w14:paraId="1D44A5EA" w14:textId="77777777" w:rsidTr="00224626">
      <w:tc>
        <w:tcPr>
          <w:tcW w:w="854" w:type="pct"/>
        </w:tcPr>
        <w:p w14:paraId="1CD765DB" w14:textId="77777777" w:rsidR="00625504" w:rsidRPr="007B3B51" w:rsidRDefault="00625504" w:rsidP="00224626">
          <w:pPr>
            <w:rPr>
              <w:i/>
              <w:sz w:val="16"/>
              <w:szCs w:val="16"/>
            </w:rPr>
          </w:pPr>
        </w:p>
      </w:tc>
      <w:tc>
        <w:tcPr>
          <w:tcW w:w="3688" w:type="pct"/>
          <w:gridSpan w:val="3"/>
        </w:tcPr>
        <w:p w14:paraId="0E6B397C" w14:textId="33CD2815" w:rsidR="00625504" w:rsidRPr="007B3B51" w:rsidRDefault="00625504" w:rsidP="002246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444B1">
            <w:rPr>
              <w:i/>
              <w:noProof/>
              <w:sz w:val="16"/>
              <w:szCs w:val="16"/>
            </w:rPr>
            <w:t>Therapeutic Goods Regulations 1990</w:t>
          </w:r>
          <w:r w:rsidRPr="007B3B51">
            <w:rPr>
              <w:i/>
              <w:sz w:val="16"/>
              <w:szCs w:val="16"/>
            </w:rPr>
            <w:fldChar w:fldCharType="end"/>
          </w:r>
        </w:p>
      </w:tc>
      <w:tc>
        <w:tcPr>
          <w:tcW w:w="458" w:type="pct"/>
        </w:tcPr>
        <w:p w14:paraId="428902FE" w14:textId="77777777" w:rsidR="00625504" w:rsidRPr="007B3B51" w:rsidRDefault="00625504" w:rsidP="0022462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25504" w:rsidRPr="00130F37" w14:paraId="0C9D061B" w14:textId="77777777" w:rsidTr="00224626">
      <w:tc>
        <w:tcPr>
          <w:tcW w:w="1499" w:type="pct"/>
          <w:gridSpan w:val="2"/>
        </w:tcPr>
        <w:p w14:paraId="6D9DBB1A" w14:textId="5A0A785A" w:rsidR="00625504" w:rsidRPr="00130F37" w:rsidRDefault="00625504" w:rsidP="0022462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2D450C">
            <w:rPr>
              <w:rFonts w:cs="Times New Roman"/>
              <w:sz w:val="16"/>
              <w:szCs w:val="16"/>
            </w:rPr>
            <w:t>123</w:t>
          </w:r>
          <w:r w:rsidRPr="00A02D20">
            <w:rPr>
              <w:sz w:val="16"/>
              <w:szCs w:val="16"/>
            </w:rPr>
            <w:fldChar w:fldCharType="end"/>
          </w:r>
        </w:p>
      </w:tc>
      <w:tc>
        <w:tcPr>
          <w:tcW w:w="1703" w:type="pct"/>
        </w:tcPr>
        <w:p w14:paraId="571FBE05" w14:textId="77777777" w:rsidR="00625504" w:rsidRPr="00130F37" w:rsidRDefault="00625504" w:rsidP="00224626">
          <w:pPr>
            <w:spacing w:before="120"/>
            <w:rPr>
              <w:sz w:val="16"/>
              <w:szCs w:val="16"/>
            </w:rPr>
          </w:pPr>
        </w:p>
      </w:tc>
      <w:tc>
        <w:tcPr>
          <w:tcW w:w="1798" w:type="pct"/>
          <w:gridSpan w:val="2"/>
        </w:tcPr>
        <w:p w14:paraId="77C99D1B" w14:textId="394FCE78" w:rsidR="00625504" w:rsidRPr="00130F37" w:rsidRDefault="00625504" w:rsidP="0022462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2D450C">
            <w:rPr>
              <w:rFonts w:cs="Times New Roman"/>
              <w:sz w:val="16"/>
              <w:szCs w:val="16"/>
            </w:rPr>
            <w:t>14/12/2024</w:t>
          </w:r>
          <w:r w:rsidRPr="00A02D20">
            <w:rPr>
              <w:sz w:val="16"/>
              <w:szCs w:val="16"/>
            </w:rPr>
            <w:fldChar w:fldCharType="end"/>
          </w:r>
        </w:p>
      </w:tc>
    </w:tr>
  </w:tbl>
  <w:p w14:paraId="7EFFDF7E" w14:textId="77777777" w:rsidR="00625504" w:rsidRPr="005A786D" w:rsidRDefault="00625504" w:rsidP="005A786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CCB8E" w14:textId="77777777" w:rsidR="00625504" w:rsidRPr="007B3B51" w:rsidRDefault="00625504" w:rsidP="0022462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625504" w:rsidRPr="007B3B51" w14:paraId="7B9F6FCA" w14:textId="77777777" w:rsidTr="00224626">
      <w:tc>
        <w:tcPr>
          <w:tcW w:w="854" w:type="pct"/>
        </w:tcPr>
        <w:p w14:paraId="0DE9CC7F" w14:textId="77777777" w:rsidR="00625504" w:rsidRPr="007B3B51" w:rsidRDefault="00625504" w:rsidP="0022462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D56E9AB" w14:textId="0767DE7E" w:rsidR="00625504" w:rsidRPr="007B3B51" w:rsidRDefault="00625504" w:rsidP="002246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444B1">
            <w:rPr>
              <w:i/>
              <w:noProof/>
              <w:sz w:val="16"/>
              <w:szCs w:val="16"/>
            </w:rPr>
            <w:t>Therapeutic Goods Regulations 1990</w:t>
          </w:r>
          <w:r w:rsidRPr="007B3B51">
            <w:rPr>
              <w:i/>
              <w:sz w:val="16"/>
              <w:szCs w:val="16"/>
            </w:rPr>
            <w:fldChar w:fldCharType="end"/>
          </w:r>
        </w:p>
      </w:tc>
      <w:tc>
        <w:tcPr>
          <w:tcW w:w="458" w:type="pct"/>
        </w:tcPr>
        <w:p w14:paraId="6A4F348A" w14:textId="77777777" w:rsidR="00625504" w:rsidRPr="007B3B51" w:rsidRDefault="00625504" w:rsidP="00224626">
          <w:pPr>
            <w:jc w:val="right"/>
            <w:rPr>
              <w:sz w:val="16"/>
              <w:szCs w:val="16"/>
            </w:rPr>
          </w:pPr>
        </w:p>
      </w:tc>
    </w:tr>
    <w:tr w:rsidR="00625504" w:rsidRPr="0055472E" w14:paraId="45DDF5B1" w14:textId="77777777" w:rsidTr="00224626">
      <w:tc>
        <w:tcPr>
          <w:tcW w:w="1498" w:type="pct"/>
          <w:gridSpan w:val="2"/>
        </w:tcPr>
        <w:p w14:paraId="2E909A89" w14:textId="00F3805C" w:rsidR="00625504" w:rsidRPr="0055472E" w:rsidRDefault="00625504" w:rsidP="0022462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D450C">
            <w:rPr>
              <w:sz w:val="16"/>
              <w:szCs w:val="16"/>
            </w:rPr>
            <w:t>123</w:t>
          </w:r>
          <w:r w:rsidRPr="0055472E">
            <w:rPr>
              <w:sz w:val="16"/>
              <w:szCs w:val="16"/>
            </w:rPr>
            <w:fldChar w:fldCharType="end"/>
          </w:r>
        </w:p>
      </w:tc>
      <w:tc>
        <w:tcPr>
          <w:tcW w:w="1703" w:type="pct"/>
        </w:tcPr>
        <w:p w14:paraId="7C8540E0" w14:textId="77777777" w:rsidR="00625504" w:rsidRPr="0055472E" w:rsidRDefault="00625504" w:rsidP="00224626">
          <w:pPr>
            <w:spacing w:before="120"/>
            <w:rPr>
              <w:sz w:val="16"/>
              <w:szCs w:val="16"/>
            </w:rPr>
          </w:pPr>
        </w:p>
      </w:tc>
      <w:tc>
        <w:tcPr>
          <w:tcW w:w="1799" w:type="pct"/>
          <w:gridSpan w:val="2"/>
        </w:tcPr>
        <w:p w14:paraId="1F16B9AD" w14:textId="3B19AEFF" w:rsidR="00625504" w:rsidRPr="0055472E" w:rsidRDefault="00625504" w:rsidP="0022462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D450C">
            <w:rPr>
              <w:sz w:val="16"/>
              <w:szCs w:val="16"/>
            </w:rPr>
            <w:t>14/12/2024</w:t>
          </w:r>
          <w:r w:rsidRPr="0055472E">
            <w:rPr>
              <w:sz w:val="16"/>
              <w:szCs w:val="16"/>
            </w:rPr>
            <w:fldChar w:fldCharType="end"/>
          </w:r>
        </w:p>
      </w:tc>
    </w:tr>
  </w:tbl>
  <w:p w14:paraId="6F276AF4" w14:textId="77777777" w:rsidR="00625504" w:rsidRPr="005A786D" w:rsidRDefault="00625504" w:rsidP="005A786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B95E4" w14:textId="77777777" w:rsidR="00625504" w:rsidRPr="007B3B51" w:rsidRDefault="00625504" w:rsidP="0022462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625504" w:rsidRPr="007B3B51" w14:paraId="2F8BF05E" w14:textId="77777777" w:rsidTr="00224626">
      <w:tc>
        <w:tcPr>
          <w:tcW w:w="854" w:type="pct"/>
        </w:tcPr>
        <w:p w14:paraId="36922BBD" w14:textId="77777777" w:rsidR="00625504" w:rsidRPr="007B3B51" w:rsidRDefault="00625504" w:rsidP="00224626">
          <w:pPr>
            <w:rPr>
              <w:i/>
              <w:sz w:val="16"/>
              <w:szCs w:val="16"/>
            </w:rPr>
          </w:pPr>
        </w:p>
      </w:tc>
      <w:tc>
        <w:tcPr>
          <w:tcW w:w="3688" w:type="pct"/>
          <w:gridSpan w:val="3"/>
        </w:tcPr>
        <w:p w14:paraId="20A4B852" w14:textId="40047BCE" w:rsidR="00625504" w:rsidRPr="007B3B51" w:rsidRDefault="00625504" w:rsidP="002246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444B1">
            <w:rPr>
              <w:i/>
              <w:noProof/>
              <w:sz w:val="16"/>
              <w:szCs w:val="16"/>
            </w:rPr>
            <w:t>Therapeutic Goods Regulations 1990</w:t>
          </w:r>
          <w:r w:rsidRPr="007B3B51">
            <w:rPr>
              <w:i/>
              <w:sz w:val="16"/>
              <w:szCs w:val="16"/>
            </w:rPr>
            <w:fldChar w:fldCharType="end"/>
          </w:r>
        </w:p>
      </w:tc>
      <w:tc>
        <w:tcPr>
          <w:tcW w:w="458" w:type="pct"/>
        </w:tcPr>
        <w:p w14:paraId="6A3FE047" w14:textId="77777777" w:rsidR="00625504" w:rsidRPr="007B3B51" w:rsidRDefault="00625504" w:rsidP="0022462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25504" w:rsidRPr="00130F37" w14:paraId="6602C034" w14:textId="77777777" w:rsidTr="00224626">
      <w:tc>
        <w:tcPr>
          <w:tcW w:w="1499" w:type="pct"/>
          <w:gridSpan w:val="2"/>
        </w:tcPr>
        <w:p w14:paraId="26910132" w14:textId="2548C039" w:rsidR="00625504" w:rsidRPr="00130F37" w:rsidRDefault="00625504" w:rsidP="0022462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2D450C">
            <w:rPr>
              <w:rFonts w:cs="Times New Roman"/>
              <w:sz w:val="16"/>
              <w:szCs w:val="16"/>
            </w:rPr>
            <w:t>123</w:t>
          </w:r>
          <w:r w:rsidRPr="00A02D20">
            <w:rPr>
              <w:sz w:val="16"/>
              <w:szCs w:val="16"/>
            </w:rPr>
            <w:fldChar w:fldCharType="end"/>
          </w:r>
        </w:p>
      </w:tc>
      <w:tc>
        <w:tcPr>
          <w:tcW w:w="1703" w:type="pct"/>
        </w:tcPr>
        <w:p w14:paraId="23E793BD" w14:textId="77777777" w:rsidR="00625504" w:rsidRPr="00130F37" w:rsidRDefault="00625504" w:rsidP="00224626">
          <w:pPr>
            <w:spacing w:before="120"/>
            <w:rPr>
              <w:sz w:val="16"/>
              <w:szCs w:val="16"/>
            </w:rPr>
          </w:pPr>
        </w:p>
      </w:tc>
      <w:tc>
        <w:tcPr>
          <w:tcW w:w="1798" w:type="pct"/>
          <w:gridSpan w:val="2"/>
        </w:tcPr>
        <w:p w14:paraId="061B7276" w14:textId="507F9A7D" w:rsidR="00625504" w:rsidRPr="00130F37" w:rsidRDefault="00625504" w:rsidP="0022462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2D450C">
            <w:rPr>
              <w:rFonts w:cs="Times New Roman"/>
              <w:sz w:val="16"/>
              <w:szCs w:val="16"/>
            </w:rPr>
            <w:t>14/12/2024</w:t>
          </w:r>
          <w:r w:rsidRPr="00A02D20">
            <w:rPr>
              <w:sz w:val="16"/>
              <w:szCs w:val="16"/>
            </w:rPr>
            <w:fldChar w:fldCharType="end"/>
          </w:r>
        </w:p>
      </w:tc>
    </w:tr>
  </w:tbl>
  <w:p w14:paraId="12947298" w14:textId="77777777" w:rsidR="00625504" w:rsidRPr="005A786D" w:rsidRDefault="00625504" w:rsidP="005A786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D6BB4" w14:textId="77777777" w:rsidR="00625504" w:rsidRPr="002B0EA5" w:rsidRDefault="00625504" w:rsidP="00B677EB">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625504" w14:paraId="1E21CE00" w14:textId="77777777" w:rsidTr="00224626">
      <w:tc>
        <w:tcPr>
          <w:tcW w:w="947" w:type="pct"/>
        </w:tcPr>
        <w:p w14:paraId="4EB9C3B0" w14:textId="77777777" w:rsidR="00625504" w:rsidRDefault="00625504" w:rsidP="008C521E">
          <w:pPr>
            <w:spacing w:line="0" w:lineRule="atLeast"/>
            <w:rPr>
              <w:sz w:val="18"/>
            </w:rPr>
          </w:pPr>
        </w:p>
      </w:tc>
      <w:tc>
        <w:tcPr>
          <w:tcW w:w="3688" w:type="pct"/>
        </w:tcPr>
        <w:p w14:paraId="479514F9" w14:textId="74FF8EE0" w:rsidR="00625504" w:rsidRDefault="00625504" w:rsidP="008C52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450C">
            <w:rPr>
              <w:i/>
              <w:sz w:val="18"/>
            </w:rPr>
            <w:t>Therapeutic Goods Regulations 1990</w:t>
          </w:r>
          <w:r w:rsidRPr="007A1328">
            <w:rPr>
              <w:i/>
              <w:sz w:val="18"/>
            </w:rPr>
            <w:fldChar w:fldCharType="end"/>
          </w:r>
        </w:p>
      </w:tc>
      <w:tc>
        <w:tcPr>
          <w:tcW w:w="365" w:type="pct"/>
        </w:tcPr>
        <w:p w14:paraId="3D526CB9" w14:textId="77777777" w:rsidR="00625504" w:rsidRDefault="00625504" w:rsidP="008C521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258</w:t>
          </w:r>
          <w:r w:rsidRPr="00ED79B6">
            <w:rPr>
              <w:i/>
              <w:sz w:val="18"/>
            </w:rPr>
            <w:fldChar w:fldCharType="end"/>
          </w:r>
        </w:p>
      </w:tc>
    </w:tr>
  </w:tbl>
  <w:p w14:paraId="11E892D8" w14:textId="77777777" w:rsidR="00625504" w:rsidRPr="00ED79B6" w:rsidRDefault="00625504" w:rsidP="00B677EB">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3596E" w14:textId="77777777" w:rsidR="00625504" w:rsidRPr="00BE5CD2" w:rsidRDefault="00625504" w:rsidP="008C521E">
      <w:pPr>
        <w:rPr>
          <w:sz w:val="26"/>
          <w:szCs w:val="26"/>
        </w:rPr>
      </w:pPr>
    </w:p>
    <w:p w14:paraId="283A8BDC" w14:textId="77777777" w:rsidR="00625504" w:rsidRPr="0020230A" w:rsidRDefault="00625504" w:rsidP="008C521E">
      <w:pPr>
        <w:rPr>
          <w:b/>
          <w:sz w:val="20"/>
        </w:rPr>
      </w:pPr>
      <w:r w:rsidRPr="0020230A">
        <w:rPr>
          <w:b/>
          <w:sz w:val="20"/>
        </w:rPr>
        <w:t>Endnotes</w:t>
      </w:r>
    </w:p>
    <w:p w14:paraId="6914388F" w14:textId="77777777" w:rsidR="00625504" w:rsidRPr="007A1328" w:rsidRDefault="00625504" w:rsidP="008C521E">
      <w:pPr>
        <w:rPr>
          <w:sz w:val="20"/>
        </w:rPr>
      </w:pPr>
    </w:p>
    <w:p w14:paraId="47CAA449" w14:textId="77777777" w:rsidR="00625504" w:rsidRPr="007A1328" w:rsidRDefault="00625504" w:rsidP="008C521E">
      <w:pPr>
        <w:rPr>
          <w:b/>
          <w:sz w:val="24"/>
        </w:rPr>
      </w:pPr>
    </w:p>
    <w:p w14:paraId="440D524C" w14:textId="057B92D5" w:rsidR="00625504" w:rsidRPr="00BE5CD2" w:rsidRDefault="00625504" w:rsidP="008C521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2D450C">
        <w:rPr>
          <w:noProof/>
          <w:szCs w:val="22"/>
        </w:rPr>
        <w:t>Endnote 1—About the endnotes</w:t>
      </w:r>
      <w:r>
        <w:rPr>
          <w:szCs w:val="22"/>
        </w:rPr>
        <w:fldChar w:fldCharType="end"/>
      </w:r>
    </w:p>
    <w:p w14:paraId="4E1AF5EA" w14:textId="77777777" w:rsidR="00625504" w:rsidRPr="00BE5CD2" w:rsidRDefault="00625504" w:rsidP="008C521E">
      <w:pPr>
        <w:jc w:val="right"/>
        <w:rPr>
          <w:sz w:val="26"/>
          <w:szCs w:val="26"/>
        </w:rPr>
      </w:pPr>
    </w:p>
    <w:p w14:paraId="7B58F6B5" w14:textId="77777777" w:rsidR="00625504" w:rsidRPr="0020230A" w:rsidRDefault="00625504" w:rsidP="008C521E">
      <w:pPr>
        <w:jc w:val="right"/>
        <w:rPr>
          <w:b/>
          <w:sz w:val="20"/>
        </w:rPr>
      </w:pPr>
      <w:r w:rsidRPr="0020230A">
        <w:rPr>
          <w:b/>
          <w:sz w:val="20"/>
        </w:rPr>
        <w:t>Endnotes</w:t>
      </w:r>
    </w:p>
    <w:p w14:paraId="1EFD82C1" w14:textId="77777777" w:rsidR="00625504" w:rsidRPr="007A1328" w:rsidRDefault="00625504" w:rsidP="008C521E">
      <w:pPr>
        <w:jc w:val="right"/>
        <w:rPr>
          <w:sz w:val="20"/>
        </w:rPr>
      </w:pPr>
    </w:p>
    <w:p w14:paraId="7E8DE978" w14:textId="77777777" w:rsidR="00625504" w:rsidRPr="007A1328" w:rsidRDefault="00625504" w:rsidP="008C521E">
      <w:pPr>
        <w:jc w:val="right"/>
        <w:rPr>
          <w:b/>
          <w:sz w:val="24"/>
        </w:rPr>
      </w:pPr>
    </w:p>
    <w:p w14:paraId="2542AC1D" w14:textId="12DA11E3" w:rsidR="00625504" w:rsidRPr="00BE5CD2" w:rsidRDefault="00625504" w:rsidP="008C521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2D450C">
        <w:rPr>
          <w:noProof/>
          <w:szCs w:val="22"/>
        </w:rPr>
        <w:t>Endnote 1—About the endnotes</w:t>
      </w:r>
      <w:r>
        <w:rPr>
          <w:szCs w:val="22"/>
        </w:rPr>
        <w:fldChar w:fldCharType="end"/>
      </w:r>
    </w:p>
    <w:p w14:paraId="09D19068" w14:textId="77777777" w:rsidR="00625504" w:rsidRDefault="00625504">
      <w:pPr>
        <w:pStyle w:val="Header"/>
      </w:pPr>
    </w:p>
    <w:p w14:paraId="479D9E47" w14:textId="77777777" w:rsidR="00625504" w:rsidRDefault="00625504"/>
    <w:p w14:paraId="04CDE1FD" w14:textId="77777777" w:rsidR="00625504" w:rsidRPr="007B3B51" w:rsidRDefault="00625504" w:rsidP="00B9094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25504" w:rsidRPr="007B3B51" w14:paraId="466ED1D6" w14:textId="77777777" w:rsidTr="00B46B77">
        <w:tc>
          <w:tcPr>
            <w:tcW w:w="854" w:type="pct"/>
          </w:tcPr>
          <w:p w14:paraId="6963525E" w14:textId="77777777" w:rsidR="00625504" w:rsidRPr="007B3B51" w:rsidRDefault="00625504" w:rsidP="00B9094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280</w:t>
            </w:r>
            <w:r w:rsidRPr="007B3B51">
              <w:rPr>
                <w:i/>
                <w:sz w:val="16"/>
                <w:szCs w:val="16"/>
              </w:rPr>
              <w:fldChar w:fldCharType="end"/>
            </w:r>
          </w:p>
        </w:tc>
        <w:tc>
          <w:tcPr>
            <w:tcW w:w="3688" w:type="pct"/>
            <w:gridSpan w:val="3"/>
          </w:tcPr>
          <w:p w14:paraId="225BC77A" w14:textId="64BBC75C" w:rsidR="00625504" w:rsidRPr="007B3B51" w:rsidRDefault="00625504" w:rsidP="00B9094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D450C">
              <w:rPr>
                <w:i/>
                <w:noProof/>
                <w:sz w:val="16"/>
                <w:szCs w:val="16"/>
              </w:rPr>
              <w:t>Therapeutic Goods Regulations 1990</w:t>
            </w:r>
            <w:r w:rsidRPr="007B3B51">
              <w:rPr>
                <w:i/>
                <w:sz w:val="16"/>
                <w:szCs w:val="16"/>
              </w:rPr>
              <w:fldChar w:fldCharType="end"/>
            </w:r>
          </w:p>
        </w:tc>
        <w:tc>
          <w:tcPr>
            <w:tcW w:w="458" w:type="pct"/>
          </w:tcPr>
          <w:p w14:paraId="3600594E" w14:textId="77777777" w:rsidR="00625504" w:rsidRPr="007B3B51" w:rsidRDefault="00625504" w:rsidP="00B90948">
            <w:pPr>
              <w:jc w:val="right"/>
              <w:rPr>
                <w:sz w:val="16"/>
                <w:szCs w:val="16"/>
              </w:rPr>
            </w:pPr>
          </w:p>
        </w:tc>
      </w:tr>
      <w:tr w:rsidR="00625504" w:rsidRPr="0055472E" w14:paraId="54EDDDC1" w14:textId="77777777" w:rsidTr="00276BCF">
        <w:tc>
          <w:tcPr>
            <w:tcW w:w="1499" w:type="pct"/>
            <w:gridSpan w:val="2"/>
          </w:tcPr>
          <w:p w14:paraId="2474EA0B" w14:textId="1CC2F5D2" w:rsidR="00625504" w:rsidRPr="0055472E" w:rsidRDefault="00625504" w:rsidP="00B9094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D450C">
              <w:rPr>
                <w:sz w:val="16"/>
                <w:szCs w:val="16"/>
              </w:rPr>
              <w:t>123</w:t>
            </w:r>
            <w:r w:rsidRPr="0055472E">
              <w:rPr>
                <w:sz w:val="16"/>
                <w:szCs w:val="16"/>
              </w:rPr>
              <w:fldChar w:fldCharType="end"/>
            </w:r>
          </w:p>
        </w:tc>
        <w:tc>
          <w:tcPr>
            <w:tcW w:w="1999" w:type="pct"/>
          </w:tcPr>
          <w:p w14:paraId="34435FAB" w14:textId="12F3479F" w:rsidR="00625504" w:rsidRPr="0055472E" w:rsidRDefault="00625504" w:rsidP="00B9094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D450C">
              <w:rPr>
                <w:sz w:val="16"/>
                <w:szCs w:val="16"/>
              </w:rPr>
              <w:t>14/12/24</w:t>
            </w:r>
            <w:r w:rsidRPr="0055472E">
              <w:rPr>
                <w:sz w:val="16"/>
                <w:szCs w:val="16"/>
              </w:rPr>
              <w:fldChar w:fldCharType="end"/>
            </w:r>
          </w:p>
        </w:tc>
        <w:tc>
          <w:tcPr>
            <w:tcW w:w="1502" w:type="pct"/>
            <w:gridSpan w:val="2"/>
          </w:tcPr>
          <w:p w14:paraId="17B9FB64" w14:textId="6FD9557C" w:rsidR="00625504" w:rsidRPr="0055472E" w:rsidRDefault="00625504" w:rsidP="00B9094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D450C">
              <w:rPr>
                <w:sz w:val="16"/>
                <w:szCs w:val="16"/>
              </w:rPr>
              <w:instrText>10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D450C">
              <w:rPr>
                <w:sz w:val="16"/>
                <w:szCs w:val="16"/>
              </w:rPr>
              <w:instrText>10/7/24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D450C">
              <w:rPr>
                <w:noProof/>
                <w:sz w:val="16"/>
                <w:szCs w:val="16"/>
              </w:rPr>
              <w:t>10/7/24</w:t>
            </w:r>
            <w:r w:rsidRPr="0055472E">
              <w:rPr>
                <w:sz w:val="16"/>
                <w:szCs w:val="16"/>
              </w:rPr>
              <w:fldChar w:fldCharType="end"/>
            </w:r>
          </w:p>
        </w:tc>
      </w:tr>
    </w:tbl>
    <w:p w14:paraId="44611852" w14:textId="77777777" w:rsidR="00625504" w:rsidRPr="00B46B77" w:rsidRDefault="00625504" w:rsidP="00B46B77">
      <w:pPr>
        <w:pStyle w:val="Footer"/>
      </w:pPr>
    </w:p>
    <w:p w14:paraId="5BEEC825" w14:textId="77777777" w:rsidR="00625504" w:rsidRDefault="00625504">
      <w:pPr>
        <w:pStyle w:val="Footer"/>
      </w:pPr>
    </w:p>
    <w:p w14:paraId="728122C8" w14:textId="77777777" w:rsidR="00625504" w:rsidRDefault="00625504"/>
    <w:p w14:paraId="5F204FB6" w14:textId="77777777" w:rsidR="00625504" w:rsidRPr="007B3B51" w:rsidRDefault="00625504" w:rsidP="00B9094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25504" w:rsidRPr="007B3B51" w14:paraId="21777304" w14:textId="77777777" w:rsidTr="00B46B77">
        <w:tc>
          <w:tcPr>
            <w:tcW w:w="854" w:type="pct"/>
          </w:tcPr>
          <w:p w14:paraId="759ED919" w14:textId="77777777" w:rsidR="00625504" w:rsidRPr="007B3B51" w:rsidRDefault="00625504" w:rsidP="00B90948">
            <w:pPr>
              <w:rPr>
                <w:i/>
                <w:sz w:val="16"/>
                <w:szCs w:val="16"/>
              </w:rPr>
            </w:pPr>
          </w:p>
        </w:tc>
        <w:tc>
          <w:tcPr>
            <w:tcW w:w="3688" w:type="pct"/>
            <w:gridSpan w:val="3"/>
          </w:tcPr>
          <w:p w14:paraId="69FB8812" w14:textId="5482B8E6" w:rsidR="00625504" w:rsidRPr="007B3B51" w:rsidRDefault="00625504" w:rsidP="00B9094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D450C">
              <w:rPr>
                <w:i/>
                <w:noProof/>
                <w:sz w:val="16"/>
                <w:szCs w:val="16"/>
              </w:rPr>
              <w:t>Therapeutic Goods Regulations 1990</w:t>
            </w:r>
            <w:r w:rsidRPr="007B3B51">
              <w:rPr>
                <w:i/>
                <w:sz w:val="16"/>
                <w:szCs w:val="16"/>
              </w:rPr>
              <w:fldChar w:fldCharType="end"/>
            </w:r>
          </w:p>
        </w:tc>
        <w:tc>
          <w:tcPr>
            <w:tcW w:w="458" w:type="pct"/>
          </w:tcPr>
          <w:p w14:paraId="719FFB45" w14:textId="77777777" w:rsidR="00625504" w:rsidRPr="007B3B51" w:rsidRDefault="00625504" w:rsidP="00B9094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280</w:t>
            </w:r>
            <w:r w:rsidRPr="007B3B51">
              <w:rPr>
                <w:i/>
                <w:sz w:val="16"/>
                <w:szCs w:val="16"/>
              </w:rPr>
              <w:fldChar w:fldCharType="end"/>
            </w:r>
          </w:p>
        </w:tc>
      </w:tr>
      <w:tr w:rsidR="00625504" w:rsidRPr="00130F37" w14:paraId="4C34DA58" w14:textId="77777777" w:rsidTr="00276BCF">
        <w:tc>
          <w:tcPr>
            <w:tcW w:w="1499" w:type="pct"/>
            <w:gridSpan w:val="2"/>
          </w:tcPr>
          <w:p w14:paraId="7E84181F" w14:textId="2559DE8A" w:rsidR="00625504" w:rsidRPr="00130F37" w:rsidRDefault="00625504" w:rsidP="00B9094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D450C">
              <w:rPr>
                <w:sz w:val="16"/>
                <w:szCs w:val="16"/>
              </w:rPr>
              <w:t>123</w:t>
            </w:r>
            <w:r w:rsidRPr="00130F37">
              <w:rPr>
                <w:sz w:val="16"/>
                <w:szCs w:val="16"/>
              </w:rPr>
              <w:fldChar w:fldCharType="end"/>
            </w:r>
          </w:p>
        </w:tc>
        <w:tc>
          <w:tcPr>
            <w:tcW w:w="1999" w:type="pct"/>
          </w:tcPr>
          <w:p w14:paraId="2C9E5BE4" w14:textId="51B6D0AF" w:rsidR="00625504" w:rsidRPr="00130F37" w:rsidRDefault="00625504" w:rsidP="00B9094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D450C">
              <w:rPr>
                <w:sz w:val="16"/>
                <w:szCs w:val="16"/>
              </w:rPr>
              <w:t>14/12/24</w:t>
            </w:r>
            <w:r w:rsidRPr="00130F37">
              <w:rPr>
                <w:sz w:val="16"/>
                <w:szCs w:val="16"/>
              </w:rPr>
              <w:fldChar w:fldCharType="end"/>
            </w:r>
          </w:p>
        </w:tc>
        <w:tc>
          <w:tcPr>
            <w:tcW w:w="1502" w:type="pct"/>
            <w:gridSpan w:val="2"/>
          </w:tcPr>
          <w:p w14:paraId="523812C4" w14:textId="496B92F3" w:rsidR="00625504" w:rsidRPr="00130F37" w:rsidRDefault="00625504" w:rsidP="00B9094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D450C">
              <w:rPr>
                <w:sz w:val="16"/>
                <w:szCs w:val="16"/>
              </w:rPr>
              <w:instrText>10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D450C">
              <w:rPr>
                <w:sz w:val="16"/>
                <w:szCs w:val="16"/>
              </w:rPr>
              <w:instrText>10/7/24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D450C">
              <w:rPr>
                <w:noProof/>
                <w:sz w:val="16"/>
                <w:szCs w:val="16"/>
              </w:rPr>
              <w:t>10/7/24</w:t>
            </w:r>
            <w:r w:rsidRPr="00130F37">
              <w:rPr>
                <w:sz w:val="16"/>
                <w:szCs w:val="16"/>
              </w:rPr>
              <w:fldChar w:fldCharType="end"/>
            </w:r>
          </w:p>
        </w:tc>
      </w:tr>
    </w:tbl>
    <w:p w14:paraId="22A94673" w14:textId="77777777" w:rsidR="00625504" w:rsidRPr="00B46B77" w:rsidRDefault="00625504" w:rsidP="00B46B77">
      <w:pPr>
        <w:pStyle w:val="Footer"/>
      </w:pPr>
    </w:p>
    <w:p w14:paraId="53007382" w14:textId="77777777" w:rsidR="00625504" w:rsidRDefault="00625504">
      <w:pPr>
        <w:pStyle w:val="Footer"/>
      </w:pPr>
    </w:p>
    <w:p w14:paraId="535C11E0" w14:textId="77777777" w:rsidR="00625504" w:rsidRDefault="00625504"/>
    <w:p w14:paraId="0E269B70" w14:textId="77777777" w:rsidR="00625504" w:rsidRDefault="00625504">
      <w:r>
        <w:separator/>
      </w:r>
    </w:p>
  </w:footnote>
  <w:footnote w:type="continuationSeparator" w:id="0">
    <w:p w14:paraId="1A5F745C" w14:textId="77777777" w:rsidR="00625504" w:rsidRDefault="00625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88066" w14:textId="77777777" w:rsidR="00625504" w:rsidRDefault="00625504" w:rsidP="00A33FD0">
    <w:pPr>
      <w:pStyle w:val="Header"/>
      <w:pBdr>
        <w:bottom w:val="single" w:sz="6" w:space="1" w:color="auto"/>
      </w:pBdr>
    </w:pPr>
  </w:p>
  <w:p w14:paraId="79E287EB" w14:textId="77777777" w:rsidR="00625504" w:rsidRDefault="00625504" w:rsidP="00A33FD0">
    <w:pPr>
      <w:pStyle w:val="Header"/>
      <w:pBdr>
        <w:bottom w:val="single" w:sz="6" w:space="1" w:color="auto"/>
      </w:pBdr>
    </w:pPr>
  </w:p>
  <w:p w14:paraId="02852B6D" w14:textId="77777777" w:rsidR="00625504" w:rsidRPr="001E77D2" w:rsidRDefault="00625504" w:rsidP="00A33FD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F43FF" w14:textId="29C502F8" w:rsidR="00625504" w:rsidRDefault="00625504">
    <w:pPr>
      <w:rPr>
        <w:sz w:val="20"/>
      </w:rPr>
    </w:pPr>
    <w:r>
      <w:rPr>
        <w:b/>
        <w:sz w:val="20"/>
      </w:rPr>
      <w:fldChar w:fldCharType="begin"/>
    </w:r>
    <w:r>
      <w:rPr>
        <w:b/>
        <w:sz w:val="20"/>
      </w:rPr>
      <w:instrText xml:space="preserve"> STYLEREF CharChapNo </w:instrText>
    </w:r>
    <w:r>
      <w:rPr>
        <w:b/>
        <w:sz w:val="20"/>
      </w:rPr>
      <w:fldChar w:fldCharType="separate"/>
    </w:r>
    <w:r w:rsidR="001444B1">
      <w:rPr>
        <w:b/>
        <w:noProof/>
        <w:sz w:val="20"/>
      </w:rPr>
      <w:t>Schedule 3</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1444B1">
      <w:rPr>
        <w:noProof/>
        <w:sz w:val="20"/>
      </w:rPr>
      <w:t>Therapeutic goods required to be included in the part of the Register for goods known as registered goods or as provisionally registered goods</w:t>
    </w:r>
    <w:r>
      <w:rPr>
        <w:sz w:val="20"/>
      </w:rPr>
      <w:fldChar w:fldCharType="end"/>
    </w:r>
  </w:p>
  <w:p w14:paraId="7EF06453" w14:textId="003B715D" w:rsidR="00625504" w:rsidRDefault="00625504">
    <w:pPr>
      <w:pBdr>
        <w:bottom w:val="single" w:sz="6" w:space="1" w:color="auto"/>
      </w:pBdr>
      <w:rPr>
        <w:sz w:val="20"/>
      </w:rPr>
    </w:pPr>
    <w:r>
      <w:rPr>
        <w:b/>
        <w:sz w:val="20"/>
      </w:rPr>
      <w:fldChar w:fldCharType="begin"/>
    </w:r>
    <w:r>
      <w:rPr>
        <w:b/>
        <w:sz w:val="20"/>
      </w:rPr>
      <w:instrText xml:space="preserve"> STYLEREF CharPartNo </w:instrText>
    </w:r>
    <w:r w:rsidR="001444B1">
      <w:rPr>
        <w:b/>
        <w:sz w:val="20"/>
      </w:rPr>
      <w:fldChar w:fldCharType="separate"/>
    </w:r>
    <w:r w:rsidR="001444B1">
      <w:rPr>
        <w:b/>
        <w:noProof/>
        <w:sz w:val="20"/>
      </w:rPr>
      <w:t>Part 1</w:t>
    </w:r>
    <w:r>
      <w:rPr>
        <w:b/>
        <w:sz w:val="20"/>
      </w:rPr>
      <w:fldChar w:fldCharType="end"/>
    </w:r>
    <w:r>
      <w:rPr>
        <w:b/>
        <w:sz w:val="20"/>
      </w:rPr>
      <w:t xml:space="preserve">  </w:t>
    </w:r>
    <w:r>
      <w:rPr>
        <w:sz w:val="20"/>
      </w:rPr>
      <w:fldChar w:fldCharType="begin"/>
    </w:r>
    <w:r>
      <w:rPr>
        <w:sz w:val="20"/>
      </w:rPr>
      <w:instrText xml:space="preserve"> STYLEREF CharPartText </w:instrText>
    </w:r>
    <w:r w:rsidR="001444B1">
      <w:rPr>
        <w:sz w:val="20"/>
      </w:rPr>
      <w:fldChar w:fldCharType="separate"/>
    </w:r>
    <w:r w:rsidR="001444B1">
      <w:rPr>
        <w:noProof/>
        <w:sz w:val="20"/>
      </w:rPr>
      <w:t>Medicines</w:t>
    </w:r>
    <w:r>
      <w:rPr>
        <w:sz w:val="20"/>
      </w:rPr>
      <w:fldChar w:fldCharType="end"/>
    </w:r>
  </w:p>
  <w:p w14:paraId="6745CA6C" w14:textId="77777777" w:rsidR="00625504" w:rsidRDefault="00625504" w:rsidP="00DA6099">
    <w:pPr>
      <w:pBdr>
        <w:bottom w:val="single" w:sz="6" w:space="1" w:color="auto"/>
      </w:pBdr>
      <w:spacing w:after="24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F6878" w14:textId="061B883E" w:rsidR="00625504" w:rsidRPr="008A2C51" w:rsidRDefault="00625504">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1444B1">
      <w:rPr>
        <w:noProof/>
        <w:sz w:val="20"/>
      </w:rPr>
      <w:t>Prohibited and required representations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1444B1">
      <w:rPr>
        <w:b/>
        <w:noProof/>
        <w:sz w:val="20"/>
      </w:rPr>
      <w:t>Schedule 2</w:t>
    </w:r>
    <w:r w:rsidRPr="008A2C51">
      <w:rPr>
        <w:b/>
        <w:sz w:val="20"/>
      </w:rPr>
      <w:fldChar w:fldCharType="end"/>
    </w:r>
  </w:p>
  <w:p w14:paraId="021789F5" w14:textId="556D503C" w:rsidR="00625504" w:rsidRPr="008A2C51" w:rsidRDefault="00625504">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1444B1">
      <w:rPr>
        <w:sz w:val="20"/>
      </w:rPr>
      <w:fldChar w:fldCharType="separate"/>
    </w:r>
    <w:r w:rsidR="001444B1">
      <w:rPr>
        <w:noProof/>
        <w:sz w:val="20"/>
      </w:rPr>
      <w:t>Vitamins referred to in Item 3 of Part 1 of this Schedule</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1444B1">
      <w:rPr>
        <w:b/>
        <w:sz w:val="20"/>
      </w:rPr>
      <w:fldChar w:fldCharType="separate"/>
    </w:r>
    <w:r w:rsidR="001444B1">
      <w:rPr>
        <w:b/>
        <w:noProof/>
        <w:sz w:val="20"/>
      </w:rPr>
      <w:t>Part 3</w:t>
    </w:r>
    <w:r w:rsidRPr="008A2C51">
      <w:rPr>
        <w:b/>
        <w:sz w:val="20"/>
      </w:rPr>
      <w:fldChar w:fldCharType="end"/>
    </w:r>
  </w:p>
  <w:p w14:paraId="5C141E9F" w14:textId="77777777" w:rsidR="00625504" w:rsidRPr="008A2C51" w:rsidRDefault="00625504" w:rsidP="00DA6099">
    <w:pPr>
      <w:pBdr>
        <w:bottom w:val="single" w:sz="6" w:space="1" w:color="auto"/>
      </w:pBdr>
      <w:spacing w:after="24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DA90D" w14:textId="77777777" w:rsidR="00625504" w:rsidRDefault="0062550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D41AE" w14:textId="7AF2BE8C" w:rsidR="00625504" w:rsidRPr="00D675F1" w:rsidRDefault="00625504">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1444B1">
      <w:rPr>
        <w:b/>
        <w:noProof/>
        <w:sz w:val="20"/>
      </w:rPr>
      <w:t>Schedule 5B</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1444B1">
      <w:rPr>
        <w:noProof/>
        <w:sz w:val="20"/>
      </w:rPr>
      <w:t>Disposal of unused emergency goods and unused emergency biologicals</w:t>
    </w:r>
    <w:r w:rsidRPr="00D675F1">
      <w:rPr>
        <w:sz w:val="20"/>
      </w:rPr>
      <w:fldChar w:fldCharType="end"/>
    </w:r>
  </w:p>
  <w:p w14:paraId="422D5DFE" w14:textId="3985FA4A" w:rsidR="00625504" w:rsidRPr="00D675F1" w:rsidRDefault="00625504">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14:paraId="617BB270" w14:textId="02D18512" w:rsidR="00625504" w:rsidRPr="00D675F1" w:rsidRDefault="00625504">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14:paraId="6179525F" w14:textId="77777777" w:rsidR="00625504" w:rsidRPr="00D675F1" w:rsidRDefault="00625504">
    <w:pPr>
      <w:rPr>
        <w:b/>
      </w:rPr>
    </w:pPr>
  </w:p>
  <w:p w14:paraId="0659DEA2" w14:textId="58D80D7F" w:rsidR="00625504" w:rsidRPr="00C3463D" w:rsidRDefault="00625504" w:rsidP="004B00FF">
    <w:pPr>
      <w:pBdr>
        <w:bottom w:val="single" w:sz="6" w:space="1" w:color="auto"/>
      </w:pBdr>
      <w:spacing w:after="120"/>
      <w:rPr>
        <w:sz w:val="24"/>
        <w:szCs w:val="24"/>
      </w:rPr>
    </w:pPr>
    <w:r w:rsidRPr="00C3463D">
      <w:rPr>
        <w:sz w:val="24"/>
        <w:szCs w:val="24"/>
      </w:rPr>
      <w:t xml:space="preserve">Clause </w:t>
    </w:r>
    <w:r w:rsidRPr="00C3463D">
      <w:rPr>
        <w:sz w:val="24"/>
        <w:szCs w:val="24"/>
      </w:rPr>
      <w:fldChar w:fldCharType="begin"/>
    </w:r>
    <w:r w:rsidRPr="00C3463D">
      <w:rPr>
        <w:sz w:val="24"/>
        <w:szCs w:val="24"/>
      </w:rPr>
      <w:instrText xml:space="preserve"> STYLEREF CharSectno </w:instrText>
    </w:r>
    <w:r w:rsidRPr="00C3463D">
      <w:rPr>
        <w:sz w:val="24"/>
        <w:szCs w:val="24"/>
      </w:rPr>
      <w:fldChar w:fldCharType="separate"/>
    </w:r>
    <w:r w:rsidR="001444B1">
      <w:rPr>
        <w:noProof/>
        <w:sz w:val="24"/>
        <w:szCs w:val="24"/>
      </w:rPr>
      <w:t>7</w:t>
    </w:r>
    <w:r w:rsidRPr="00C3463D">
      <w:rPr>
        <w:noProof/>
        <w:sz w:val="24"/>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AA20D" w14:textId="058B5C09" w:rsidR="00625504" w:rsidRPr="00D675F1" w:rsidRDefault="00625504">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1444B1">
      <w:rPr>
        <w:noProof/>
        <w:sz w:val="20"/>
      </w:rPr>
      <w:t>Disposal of unused emergency goods and unused emergency biologicals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1444B1">
      <w:rPr>
        <w:b/>
        <w:noProof/>
        <w:sz w:val="20"/>
      </w:rPr>
      <w:t>Schedule 5B</w:t>
    </w:r>
    <w:r w:rsidRPr="00D675F1">
      <w:rPr>
        <w:b/>
        <w:sz w:val="20"/>
      </w:rPr>
      <w:fldChar w:fldCharType="end"/>
    </w:r>
  </w:p>
  <w:p w14:paraId="0387B8B3" w14:textId="6C386FBC" w:rsidR="00625504" w:rsidRPr="00D675F1" w:rsidRDefault="00625504">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14:paraId="08C554B1" w14:textId="7130C9CF" w:rsidR="00625504" w:rsidRPr="00D675F1" w:rsidRDefault="00625504">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14:paraId="154EBD7B" w14:textId="77777777" w:rsidR="00625504" w:rsidRPr="00D675F1" w:rsidRDefault="00625504">
    <w:pPr>
      <w:jc w:val="right"/>
      <w:rPr>
        <w:b/>
      </w:rPr>
    </w:pPr>
  </w:p>
  <w:p w14:paraId="08C7CD7C" w14:textId="5AD90234" w:rsidR="00625504" w:rsidRPr="00C3463D" w:rsidRDefault="00625504" w:rsidP="004B00FF">
    <w:pPr>
      <w:pBdr>
        <w:bottom w:val="single" w:sz="6" w:space="1" w:color="auto"/>
      </w:pBdr>
      <w:spacing w:after="120"/>
      <w:jc w:val="right"/>
      <w:rPr>
        <w:sz w:val="24"/>
        <w:szCs w:val="24"/>
      </w:rPr>
    </w:pPr>
    <w:r w:rsidRPr="00C3463D">
      <w:rPr>
        <w:sz w:val="24"/>
        <w:szCs w:val="24"/>
      </w:rPr>
      <w:t xml:space="preserve">Clause </w:t>
    </w:r>
    <w:r w:rsidRPr="00C3463D">
      <w:rPr>
        <w:sz w:val="24"/>
        <w:szCs w:val="24"/>
      </w:rPr>
      <w:fldChar w:fldCharType="begin"/>
    </w:r>
    <w:r w:rsidRPr="00C3463D">
      <w:rPr>
        <w:sz w:val="24"/>
        <w:szCs w:val="24"/>
      </w:rPr>
      <w:instrText xml:space="preserve"> STYLEREF CharSectno </w:instrText>
    </w:r>
    <w:r w:rsidRPr="00C3463D">
      <w:rPr>
        <w:sz w:val="24"/>
        <w:szCs w:val="24"/>
      </w:rPr>
      <w:fldChar w:fldCharType="separate"/>
    </w:r>
    <w:r w:rsidR="001444B1">
      <w:rPr>
        <w:noProof/>
        <w:sz w:val="24"/>
        <w:szCs w:val="24"/>
      </w:rPr>
      <w:t>9</w:t>
    </w:r>
    <w:r w:rsidRPr="00C3463D">
      <w:rPr>
        <w:noProof/>
        <w:sz w:val="24"/>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E27AC" w14:textId="77777777" w:rsidR="00625504" w:rsidRDefault="0062550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8BEAF" w14:textId="11E6B98F" w:rsidR="00625504" w:rsidRDefault="00625504">
    <w:pPr>
      <w:rPr>
        <w:sz w:val="20"/>
      </w:rPr>
    </w:pPr>
    <w:r>
      <w:rPr>
        <w:b/>
        <w:sz w:val="20"/>
      </w:rPr>
      <w:fldChar w:fldCharType="begin"/>
    </w:r>
    <w:r>
      <w:rPr>
        <w:b/>
        <w:sz w:val="20"/>
      </w:rPr>
      <w:instrText xml:space="preserve"> STYLEREF CharChapNo </w:instrText>
    </w:r>
    <w:r>
      <w:rPr>
        <w:b/>
        <w:sz w:val="20"/>
      </w:rPr>
      <w:fldChar w:fldCharType="separate"/>
    </w:r>
    <w:r w:rsidR="001444B1">
      <w:rPr>
        <w:b/>
        <w:noProof/>
        <w:sz w:val="20"/>
      </w:rPr>
      <w:t>Schedule 7</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1444B1">
      <w:rPr>
        <w:noProof/>
        <w:sz w:val="20"/>
      </w:rPr>
      <w:t>Therapeutic goods exempt from the operation of Part 3-3 of the Act unless supplied as pharmaceutical benefits</w:t>
    </w:r>
    <w:r>
      <w:rPr>
        <w:sz w:val="20"/>
      </w:rPr>
      <w:fldChar w:fldCharType="end"/>
    </w:r>
  </w:p>
  <w:p w14:paraId="7AC81FEE" w14:textId="0C92A0BF" w:rsidR="00625504" w:rsidRDefault="00625504">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6A7DDDED" w14:textId="77777777" w:rsidR="00625504" w:rsidRDefault="00625504" w:rsidP="004B00FF">
    <w:pPr>
      <w:pBdr>
        <w:bottom w:val="single" w:sz="6" w:space="1" w:color="auto"/>
      </w:pBdr>
      <w:spacing w:after="12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0AC2F" w14:textId="00F14FE5" w:rsidR="00625504" w:rsidRPr="008A2C51" w:rsidRDefault="00625504">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1444B1">
      <w:rPr>
        <w:noProof/>
        <w:sz w:val="20"/>
      </w:rPr>
      <w:t>Persons exempt from the operation of Part 3-3 of the Act</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1444B1">
      <w:rPr>
        <w:b/>
        <w:noProof/>
        <w:sz w:val="20"/>
      </w:rPr>
      <w:t>Schedule 8</w:t>
    </w:r>
    <w:r w:rsidRPr="008A2C51">
      <w:rPr>
        <w:b/>
        <w:sz w:val="20"/>
      </w:rPr>
      <w:fldChar w:fldCharType="end"/>
    </w:r>
  </w:p>
  <w:p w14:paraId="611A4F3A" w14:textId="54172107" w:rsidR="00625504" w:rsidRPr="008A2C51" w:rsidRDefault="00625504">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14:paraId="495E6133" w14:textId="77777777" w:rsidR="00625504" w:rsidRPr="008A2C51" w:rsidRDefault="00625504" w:rsidP="004B00FF">
    <w:pPr>
      <w:pBdr>
        <w:bottom w:val="single" w:sz="6" w:space="1" w:color="auto"/>
      </w:pBdr>
      <w:spacing w:after="120"/>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C0052" w14:textId="77777777" w:rsidR="00625504" w:rsidRDefault="00625504"/>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9D7B8" w14:textId="33E268F8" w:rsidR="00625504" w:rsidRPr="00D675F1" w:rsidRDefault="00625504">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1444B1">
      <w:rPr>
        <w:b/>
        <w:noProof/>
        <w:sz w:val="20"/>
      </w:rPr>
      <w:t>Schedule 9</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1444B1">
      <w:rPr>
        <w:noProof/>
        <w:sz w:val="20"/>
      </w:rPr>
      <w:t>Fees—therapeutic goods other than biologicals</w:t>
    </w:r>
    <w:r w:rsidRPr="00D675F1">
      <w:rPr>
        <w:sz w:val="20"/>
      </w:rPr>
      <w:fldChar w:fldCharType="end"/>
    </w:r>
  </w:p>
  <w:p w14:paraId="70957AA5" w14:textId="15E65473" w:rsidR="00625504" w:rsidRPr="00D675F1" w:rsidRDefault="00625504">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separate"/>
    </w:r>
    <w:r w:rsidR="001444B1">
      <w:rPr>
        <w:b/>
        <w:noProof/>
        <w:sz w:val="20"/>
      </w:rPr>
      <w:t>Part 4</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separate"/>
    </w:r>
    <w:r w:rsidR="001444B1">
      <w:rPr>
        <w:noProof/>
        <w:sz w:val="20"/>
      </w:rPr>
      <w:t>Table of fees for applications etc. in relation to certain complementary medicines and certain other listed medicines</w:t>
    </w:r>
    <w:r w:rsidRPr="00D675F1">
      <w:rPr>
        <w:sz w:val="20"/>
      </w:rPr>
      <w:fldChar w:fldCharType="end"/>
    </w:r>
  </w:p>
  <w:p w14:paraId="318EECC0" w14:textId="624C6862" w:rsidR="00625504" w:rsidRPr="00D675F1" w:rsidRDefault="00625504">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14:paraId="531D4F4D" w14:textId="77777777" w:rsidR="00625504" w:rsidRPr="00D675F1" w:rsidRDefault="00625504">
    <w:pPr>
      <w:rPr>
        <w:b/>
      </w:rPr>
    </w:pPr>
  </w:p>
  <w:p w14:paraId="267816BD" w14:textId="3E2814F3" w:rsidR="00625504" w:rsidRPr="00E6634B" w:rsidRDefault="00625504">
    <w:pPr>
      <w:pBdr>
        <w:bottom w:val="single" w:sz="6" w:space="1" w:color="auto"/>
      </w:pBdr>
      <w:rPr>
        <w:sz w:val="24"/>
        <w:szCs w:val="24"/>
      </w:rPr>
    </w:pPr>
    <w:r w:rsidRPr="00E6634B">
      <w:rPr>
        <w:sz w:val="24"/>
        <w:szCs w:val="24"/>
      </w:rPr>
      <w:t xml:space="preserve">Clause </w:t>
    </w:r>
    <w:r w:rsidRPr="00E6634B">
      <w:rPr>
        <w:sz w:val="24"/>
        <w:szCs w:val="24"/>
      </w:rPr>
      <w:fldChar w:fldCharType="begin"/>
    </w:r>
    <w:r w:rsidRPr="00E6634B">
      <w:rPr>
        <w:sz w:val="24"/>
        <w:szCs w:val="24"/>
      </w:rPr>
      <w:instrText xml:space="preserve"> STYLEREF CharSectno </w:instrText>
    </w:r>
    <w:r w:rsidRPr="00E6634B">
      <w:rPr>
        <w:sz w:val="24"/>
        <w:szCs w:val="24"/>
      </w:rPr>
      <w:fldChar w:fldCharType="separate"/>
    </w:r>
    <w:r w:rsidR="001444B1">
      <w:rPr>
        <w:noProof/>
        <w:sz w:val="24"/>
        <w:szCs w:val="24"/>
      </w:rPr>
      <w:t>5</w:t>
    </w:r>
    <w:r w:rsidRPr="00E6634B">
      <w:rPr>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148D3" w14:textId="77777777" w:rsidR="00625504" w:rsidRDefault="00625504" w:rsidP="00A33FD0">
    <w:pPr>
      <w:pStyle w:val="Header"/>
      <w:pBdr>
        <w:bottom w:val="single" w:sz="4" w:space="1" w:color="auto"/>
      </w:pBdr>
    </w:pPr>
  </w:p>
  <w:p w14:paraId="23637C9A" w14:textId="77777777" w:rsidR="00625504" w:rsidRDefault="00625504" w:rsidP="00A33FD0">
    <w:pPr>
      <w:pStyle w:val="Header"/>
      <w:pBdr>
        <w:bottom w:val="single" w:sz="4" w:space="1" w:color="auto"/>
      </w:pBdr>
    </w:pPr>
  </w:p>
  <w:p w14:paraId="3AAFF165" w14:textId="77777777" w:rsidR="00625504" w:rsidRPr="001E77D2" w:rsidRDefault="00625504" w:rsidP="00A33FD0">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F9C4B" w14:textId="27EA128C" w:rsidR="00625504" w:rsidRPr="00D675F1" w:rsidRDefault="00625504">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1444B1">
      <w:rPr>
        <w:noProof/>
        <w:sz w:val="20"/>
      </w:rPr>
      <w:t>Fees—biologicals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1444B1">
      <w:rPr>
        <w:b/>
        <w:noProof/>
        <w:sz w:val="20"/>
      </w:rPr>
      <w:t>Schedule 9A</w:t>
    </w:r>
    <w:r w:rsidRPr="00D675F1">
      <w:rPr>
        <w:b/>
        <w:sz w:val="20"/>
      </w:rPr>
      <w:fldChar w:fldCharType="end"/>
    </w:r>
  </w:p>
  <w:p w14:paraId="727BDD75" w14:textId="030D25C3" w:rsidR="00625504" w:rsidRPr="00D675F1" w:rsidRDefault="00625504">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separate"/>
    </w:r>
    <w:r w:rsidR="001444B1">
      <w:rPr>
        <w:noProof/>
        <w:sz w:val="20"/>
      </w:rPr>
      <w:t>Interpretation of table</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separate"/>
    </w:r>
    <w:r w:rsidR="001444B1">
      <w:rPr>
        <w:b/>
        <w:noProof/>
        <w:sz w:val="20"/>
      </w:rPr>
      <w:t>Part 1</w:t>
    </w:r>
    <w:r w:rsidRPr="00D675F1">
      <w:rPr>
        <w:b/>
        <w:sz w:val="20"/>
      </w:rPr>
      <w:fldChar w:fldCharType="end"/>
    </w:r>
  </w:p>
  <w:p w14:paraId="14EBC725" w14:textId="05D09C4F" w:rsidR="00625504" w:rsidRPr="00D675F1" w:rsidRDefault="00625504">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14:paraId="344390D0" w14:textId="77777777" w:rsidR="00625504" w:rsidRPr="00D675F1" w:rsidRDefault="00625504">
    <w:pPr>
      <w:jc w:val="right"/>
      <w:rPr>
        <w:b/>
      </w:rPr>
    </w:pPr>
  </w:p>
  <w:p w14:paraId="1F174226" w14:textId="0EE9141A" w:rsidR="00625504" w:rsidRPr="00E6634B" w:rsidRDefault="00625504">
    <w:pPr>
      <w:pBdr>
        <w:bottom w:val="single" w:sz="6" w:space="1" w:color="auto"/>
      </w:pBdr>
      <w:jc w:val="right"/>
      <w:rPr>
        <w:sz w:val="24"/>
        <w:szCs w:val="24"/>
      </w:rPr>
    </w:pPr>
    <w:r w:rsidRPr="00E6634B">
      <w:rPr>
        <w:sz w:val="24"/>
        <w:szCs w:val="24"/>
      </w:rPr>
      <w:t xml:space="preserve">Clause </w:t>
    </w:r>
    <w:r w:rsidRPr="00E6634B">
      <w:rPr>
        <w:sz w:val="24"/>
        <w:szCs w:val="24"/>
      </w:rPr>
      <w:fldChar w:fldCharType="begin"/>
    </w:r>
    <w:r w:rsidRPr="00E6634B">
      <w:rPr>
        <w:sz w:val="24"/>
        <w:szCs w:val="24"/>
      </w:rPr>
      <w:instrText xml:space="preserve"> STYLEREF CharSectno </w:instrText>
    </w:r>
    <w:r w:rsidRPr="00E6634B">
      <w:rPr>
        <w:sz w:val="24"/>
        <w:szCs w:val="24"/>
      </w:rPr>
      <w:fldChar w:fldCharType="separate"/>
    </w:r>
    <w:r w:rsidR="001444B1">
      <w:rPr>
        <w:noProof/>
        <w:sz w:val="24"/>
        <w:szCs w:val="24"/>
      </w:rPr>
      <w:t>1</w:t>
    </w:r>
    <w:r w:rsidRPr="00E6634B">
      <w:rPr>
        <w:noProof/>
        <w:sz w:val="24"/>
        <w:szCs w:val="24"/>
      </w:rPr>
      <w:fldChar w:fldCharType="end"/>
    </w:r>
  </w:p>
  <w:p w14:paraId="5A516353" w14:textId="77777777" w:rsidR="00625504" w:rsidRDefault="00625504"/>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2DA81" w14:textId="77777777" w:rsidR="00625504" w:rsidRDefault="00625504"/>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95E46" w14:textId="61DD385D" w:rsidR="00625504" w:rsidRDefault="00625504">
    <w:pPr>
      <w:rPr>
        <w:sz w:val="20"/>
      </w:rPr>
    </w:pPr>
    <w:r>
      <w:rPr>
        <w:b/>
        <w:sz w:val="20"/>
      </w:rPr>
      <w:fldChar w:fldCharType="begin"/>
    </w:r>
    <w:r>
      <w:rPr>
        <w:b/>
        <w:sz w:val="20"/>
      </w:rPr>
      <w:instrText xml:space="preserve"> STYLEREF CharChapNo </w:instrText>
    </w:r>
    <w:r>
      <w:rPr>
        <w:b/>
        <w:sz w:val="20"/>
      </w:rPr>
      <w:fldChar w:fldCharType="separate"/>
    </w:r>
    <w:r w:rsidR="001444B1">
      <w:rPr>
        <w:b/>
        <w:noProof/>
        <w:sz w:val="20"/>
      </w:rPr>
      <w:t>Schedule 10</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1444B1">
      <w:rPr>
        <w:noProof/>
        <w:sz w:val="20"/>
      </w:rPr>
      <w:t>Therapeutic goods for evaluation</w:t>
    </w:r>
    <w:r>
      <w:rPr>
        <w:sz w:val="20"/>
      </w:rPr>
      <w:fldChar w:fldCharType="end"/>
    </w:r>
  </w:p>
  <w:p w14:paraId="7B72917F" w14:textId="09468547" w:rsidR="00625504" w:rsidRDefault="00625504">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1444B1">
      <w:rPr>
        <w:b/>
        <w:noProof/>
        <w:sz w:val="20"/>
      </w:rPr>
      <w:t>Part 2</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1444B1">
      <w:rPr>
        <w:noProof/>
        <w:sz w:val="20"/>
      </w:rPr>
      <w:t>Evaluation of complementary medicines by the Complementary and OTC Medicines Branch</w:t>
    </w:r>
    <w:r>
      <w:rPr>
        <w:sz w:val="20"/>
      </w:rPr>
      <w:fldChar w:fldCharType="end"/>
    </w:r>
  </w:p>
  <w:p w14:paraId="7544AED1" w14:textId="77777777" w:rsidR="00625504" w:rsidRDefault="00625504" w:rsidP="00B46B77">
    <w:pPr>
      <w:pBdr>
        <w:bottom w:val="single" w:sz="6" w:space="1" w:color="auto"/>
      </w:pBdr>
      <w:spacing w:after="12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32CC5" w14:textId="112210AD" w:rsidR="00625504" w:rsidRPr="008A2C51" w:rsidRDefault="00625504">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1444B1">
      <w:rPr>
        <w:noProof/>
        <w:sz w:val="20"/>
      </w:rPr>
      <w:t>Therapeutic goods for evaluation</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1444B1">
      <w:rPr>
        <w:b/>
        <w:noProof/>
        <w:sz w:val="20"/>
      </w:rPr>
      <w:t>Schedule 10</w:t>
    </w:r>
    <w:r w:rsidRPr="008A2C51">
      <w:rPr>
        <w:b/>
        <w:sz w:val="20"/>
      </w:rPr>
      <w:fldChar w:fldCharType="end"/>
    </w:r>
  </w:p>
  <w:p w14:paraId="39F95C88" w14:textId="59E19641" w:rsidR="00625504" w:rsidRPr="008A2C51" w:rsidRDefault="00625504">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1444B1">
      <w:rPr>
        <w:noProof/>
        <w:sz w:val="20"/>
      </w:rPr>
      <w:t>Evaluation of non-prescription and other medicines by the Complementary and OTC Medicines Branch</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1444B1">
      <w:rPr>
        <w:b/>
        <w:noProof/>
        <w:sz w:val="20"/>
      </w:rPr>
      <w:t>Part 3</w:t>
    </w:r>
    <w:r w:rsidRPr="008A2C51">
      <w:rPr>
        <w:b/>
        <w:sz w:val="20"/>
      </w:rPr>
      <w:fldChar w:fldCharType="end"/>
    </w:r>
  </w:p>
  <w:p w14:paraId="2E5F9484" w14:textId="77777777" w:rsidR="00625504" w:rsidRPr="008A2C51" w:rsidRDefault="00625504" w:rsidP="00B46B77">
    <w:pPr>
      <w:pBdr>
        <w:bottom w:val="single" w:sz="6" w:space="1" w:color="auto"/>
      </w:pBdr>
      <w:spacing w:after="120"/>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5F7AD" w14:textId="77777777" w:rsidR="00625504" w:rsidRDefault="00625504"/>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3DFE1" w14:textId="69E0B5DD" w:rsidR="00625504" w:rsidRPr="00D675F1" w:rsidRDefault="00625504">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1444B1">
      <w:rPr>
        <w:b/>
        <w:noProof/>
        <w:sz w:val="20"/>
      </w:rPr>
      <w:t>Schedule 12</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1444B1">
      <w:rPr>
        <w:noProof/>
        <w:sz w:val="20"/>
      </w:rPr>
      <w:t>Consumer medicine information documents</w:t>
    </w:r>
    <w:r w:rsidRPr="00D675F1">
      <w:rPr>
        <w:sz w:val="20"/>
      </w:rPr>
      <w:fldChar w:fldCharType="end"/>
    </w:r>
  </w:p>
  <w:p w14:paraId="02B0B7B9" w14:textId="5871F198" w:rsidR="00625504" w:rsidRPr="00D675F1" w:rsidRDefault="00625504">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14:paraId="5084E6C8" w14:textId="19EFA610" w:rsidR="00625504" w:rsidRPr="00D675F1" w:rsidRDefault="00625504">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14:paraId="159677CE" w14:textId="77777777" w:rsidR="00625504" w:rsidRPr="00D675F1" w:rsidRDefault="00625504">
    <w:pPr>
      <w:rPr>
        <w:b/>
      </w:rPr>
    </w:pPr>
  </w:p>
  <w:p w14:paraId="487EC897" w14:textId="52B94B47" w:rsidR="00625504" w:rsidRPr="0002234B" w:rsidRDefault="00625504" w:rsidP="00592BBC">
    <w:pPr>
      <w:pBdr>
        <w:bottom w:val="single" w:sz="6" w:space="1" w:color="auto"/>
      </w:pBdr>
      <w:spacing w:after="120"/>
      <w:rPr>
        <w:sz w:val="24"/>
        <w:szCs w:val="24"/>
      </w:rPr>
    </w:pPr>
    <w:r w:rsidRPr="0002234B">
      <w:rPr>
        <w:sz w:val="24"/>
        <w:szCs w:val="24"/>
      </w:rPr>
      <w:t xml:space="preserve">Clause </w:t>
    </w:r>
    <w:r w:rsidRPr="0002234B">
      <w:rPr>
        <w:sz w:val="24"/>
        <w:szCs w:val="24"/>
      </w:rPr>
      <w:fldChar w:fldCharType="begin"/>
    </w:r>
    <w:r w:rsidRPr="0002234B">
      <w:rPr>
        <w:sz w:val="24"/>
        <w:szCs w:val="24"/>
      </w:rPr>
      <w:instrText xml:space="preserve"> STYLEREF CharSectno </w:instrText>
    </w:r>
    <w:r w:rsidRPr="0002234B">
      <w:rPr>
        <w:sz w:val="24"/>
        <w:szCs w:val="24"/>
      </w:rPr>
      <w:fldChar w:fldCharType="separate"/>
    </w:r>
    <w:r w:rsidR="001444B1">
      <w:rPr>
        <w:noProof/>
        <w:sz w:val="24"/>
        <w:szCs w:val="24"/>
      </w:rPr>
      <w:t>1</w:t>
    </w:r>
    <w:r w:rsidRPr="0002234B">
      <w:rPr>
        <w:noProof/>
        <w:sz w:val="24"/>
        <w:szCs w:val="24"/>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3C192" w14:textId="120CA687" w:rsidR="00625504" w:rsidRPr="00D675F1" w:rsidRDefault="00625504">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1444B1">
      <w:rPr>
        <w:noProof/>
        <w:sz w:val="20"/>
      </w:rPr>
      <w:t>Consumer medicine information documents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1444B1">
      <w:rPr>
        <w:b/>
        <w:noProof/>
        <w:sz w:val="20"/>
      </w:rPr>
      <w:t>Schedule 13</w:t>
    </w:r>
    <w:r w:rsidRPr="00D675F1">
      <w:rPr>
        <w:b/>
        <w:sz w:val="20"/>
      </w:rPr>
      <w:fldChar w:fldCharType="end"/>
    </w:r>
  </w:p>
  <w:p w14:paraId="7A360163" w14:textId="07FFD23D" w:rsidR="00625504" w:rsidRPr="00D675F1" w:rsidRDefault="00625504">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14:paraId="04E01CD8" w14:textId="5C6FE92A" w:rsidR="00625504" w:rsidRPr="00D675F1" w:rsidRDefault="00625504">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14:paraId="24BF30E9" w14:textId="77777777" w:rsidR="00625504" w:rsidRPr="00D675F1" w:rsidRDefault="00625504">
    <w:pPr>
      <w:jc w:val="right"/>
      <w:rPr>
        <w:b/>
      </w:rPr>
    </w:pPr>
  </w:p>
  <w:p w14:paraId="55C41516" w14:textId="55B30CBB" w:rsidR="00625504" w:rsidRPr="00F0798E" w:rsidRDefault="00625504" w:rsidP="00592BBC">
    <w:pPr>
      <w:pBdr>
        <w:bottom w:val="single" w:sz="6" w:space="1" w:color="auto"/>
      </w:pBdr>
      <w:spacing w:after="120"/>
      <w:jc w:val="right"/>
      <w:rPr>
        <w:sz w:val="24"/>
        <w:szCs w:val="24"/>
      </w:rPr>
    </w:pPr>
    <w:r w:rsidRPr="00F0798E">
      <w:rPr>
        <w:sz w:val="24"/>
        <w:szCs w:val="24"/>
      </w:rPr>
      <w:t xml:space="preserve">Clause </w:t>
    </w:r>
    <w:r w:rsidRPr="00F0798E">
      <w:rPr>
        <w:sz w:val="24"/>
        <w:szCs w:val="24"/>
      </w:rPr>
      <w:fldChar w:fldCharType="begin"/>
    </w:r>
    <w:r w:rsidRPr="00F0798E">
      <w:rPr>
        <w:sz w:val="24"/>
        <w:szCs w:val="24"/>
      </w:rPr>
      <w:instrText xml:space="preserve"> STYLEREF CharSectno </w:instrText>
    </w:r>
    <w:r w:rsidRPr="00F0798E">
      <w:rPr>
        <w:sz w:val="24"/>
        <w:szCs w:val="24"/>
      </w:rPr>
      <w:fldChar w:fldCharType="separate"/>
    </w:r>
    <w:r w:rsidR="001444B1">
      <w:rPr>
        <w:noProof/>
        <w:sz w:val="24"/>
        <w:szCs w:val="24"/>
      </w:rPr>
      <w:t>1</w:t>
    </w:r>
    <w:r w:rsidRPr="00F0798E">
      <w:rPr>
        <w:noProof/>
        <w:sz w:val="24"/>
        <w:szCs w:val="24"/>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5FE0C" w14:textId="77777777" w:rsidR="00625504" w:rsidRPr="005A786D" w:rsidRDefault="00625504">
    <w:pPr>
      <w:rPr>
        <w:sz w:val="24"/>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08C53" w14:textId="4CB82A6E" w:rsidR="00625504" w:rsidRDefault="00625504">
    <w:pPr>
      <w:rPr>
        <w:sz w:val="20"/>
      </w:rPr>
    </w:pPr>
    <w:r>
      <w:rPr>
        <w:b/>
        <w:sz w:val="20"/>
      </w:rPr>
      <w:fldChar w:fldCharType="begin"/>
    </w:r>
    <w:r>
      <w:rPr>
        <w:b/>
        <w:sz w:val="20"/>
      </w:rPr>
      <w:instrText xml:space="preserve"> STYLEREF CharChapNo </w:instrText>
    </w:r>
    <w:r>
      <w:rPr>
        <w:b/>
        <w:sz w:val="20"/>
      </w:rPr>
      <w:fldChar w:fldCharType="separate"/>
    </w:r>
    <w:r w:rsidR="001444B1">
      <w:rPr>
        <w:b/>
        <w:noProof/>
        <w:sz w:val="20"/>
      </w:rPr>
      <w:t>Schedule 14</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1444B1">
      <w:rPr>
        <w:noProof/>
        <w:sz w:val="20"/>
      </w:rPr>
      <w:t>Designated active ingredients</w:t>
    </w:r>
    <w:r>
      <w:rPr>
        <w:sz w:val="20"/>
      </w:rPr>
      <w:fldChar w:fldCharType="end"/>
    </w:r>
  </w:p>
  <w:p w14:paraId="03741A02" w14:textId="430AA5E7" w:rsidR="00625504" w:rsidRDefault="00625504">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181667A4" w14:textId="77777777" w:rsidR="00625504" w:rsidRDefault="00625504" w:rsidP="00B46B77">
    <w:pPr>
      <w:pBdr>
        <w:bottom w:val="single" w:sz="6" w:space="1" w:color="auto"/>
      </w:pBdr>
      <w:spacing w:after="12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8491E" w14:textId="709945CF" w:rsidR="00625504" w:rsidRPr="008A2C51" w:rsidRDefault="00625504">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2D450C">
      <w:rPr>
        <w:noProof/>
        <w:sz w:val="20"/>
      </w:rPr>
      <w:t>Designated active ingredients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2D450C">
      <w:rPr>
        <w:b/>
        <w:noProof/>
        <w:sz w:val="20"/>
      </w:rPr>
      <w:t>Schedule 14</w:t>
    </w:r>
    <w:r w:rsidRPr="008A2C51">
      <w:rPr>
        <w:b/>
        <w:sz w:val="20"/>
      </w:rPr>
      <w:fldChar w:fldCharType="end"/>
    </w:r>
  </w:p>
  <w:p w14:paraId="17A9EA07" w14:textId="2C903E0F" w:rsidR="00625504" w:rsidRPr="008A2C51" w:rsidRDefault="00625504">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14:paraId="6C83D81F" w14:textId="77777777" w:rsidR="00625504" w:rsidRPr="008A2C51" w:rsidRDefault="00625504" w:rsidP="00B46B77">
    <w:pPr>
      <w:pBdr>
        <w:bottom w:val="single" w:sz="6" w:space="1" w:color="auto"/>
      </w:pBdr>
      <w:spacing w:after="1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EAB92" w14:textId="77777777" w:rsidR="00625504" w:rsidRPr="005F1388" w:rsidRDefault="00625504" w:rsidP="00A33FD0">
    <w:pPr>
      <w:pStyle w:val="Header"/>
      <w:tabs>
        <w:tab w:val="clear" w:pos="4150"/>
        <w:tab w:val="clear" w:pos="8307"/>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4999F" w14:textId="77777777" w:rsidR="00625504" w:rsidRDefault="00625504"/>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44F87" w14:textId="5FF743FE" w:rsidR="00625504" w:rsidRPr="00D675F1" w:rsidRDefault="00625504">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2D450C">
      <w:rPr>
        <w:b/>
        <w:noProof/>
        <w:sz w:val="20"/>
      </w:rPr>
      <w:t>Schedule 16</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2D450C">
      <w:rPr>
        <w:noProof/>
        <w:sz w:val="20"/>
      </w:rPr>
      <w:t>Classes of biologicals</w:t>
    </w:r>
    <w:r w:rsidRPr="00D675F1">
      <w:rPr>
        <w:sz w:val="20"/>
      </w:rPr>
      <w:fldChar w:fldCharType="end"/>
    </w:r>
  </w:p>
  <w:p w14:paraId="2B5BA93D" w14:textId="6C2B8C27" w:rsidR="00625504" w:rsidRPr="00D675F1" w:rsidRDefault="00625504">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14:paraId="76784FAA" w14:textId="7F4DF1DE" w:rsidR="00625504" w:rsidRPr="00D675F1" w:rsidRDefault="00625504">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14:paraId="00952A0B" w14:textId="77777777" w:rsidR="00625504" w:rsidRPr="00D675F1" w:rsidRDefault="00625504">
    <w:pPr>
      <w:rPr>
        <w:b/>
      </w:rPr>
    </w:pPr>
  </w:p>
  <w:p w14:paraId="757A9014" w14:textId="276FC727" w:rsidR="00625504" w:rsidRPr="0002234B" w:rsidRDefault="00625504" w:rsidP="00592BBC">
    <w:pPr>
      <w:pBdr>
        <w:bottom w:val="single" w:sz="6" w:space="1" w:color="auto"/>
      </w:pBdr>
      <w:spacing w:after="120"/>
      <w:rPr>
        <w:sz w:val="24"/>
        <w:szCs w:val="24"/>
      </w:rPr>
    </w:pPr>
    <w:r w:rsidRPr="0002234B">
      <w:rPr>
        <w:sz w:val="24"/>
        <w:szCs w:val="24"/>
      </w:rPr>
      <w:t xml:space="preserve">Clause </w:t>
    </w:r>
    <w:r w:rsidRPr="0002234B">
      <w:rPr>
        <w:sz w:val="24"/>
        <w:szCs w:val="24"/>
      </w:rPr>
      <w:fldChar w:fldCharType="begin"/>
    </w:r>
    <w:r w:rsidRPr="0002234B">
      <w:rPr>
        <w:sz w:val="24"/>
        <w:szCs w:val="24"/>
      </w:rPr>
      <w:instrText xml:space="preserve"> STYLEREF CharSectno </w:instrText>
    </w:r>
    <w:r w:rsidRPr="0002234B">
      <w:rPr>
        <w:sz w:val="24"/>
        <w:szCs w:val="24"/>
      </w:rPr>
      <w:fldChar w:fldCharType="separate"/>
    </w:r>
    <w:r w:rsidR="002D450C">
      <w:rPr>
        <w:noProof/>
        <w:sz w:val="24"/>
        <w:szCs w:val="24"/>
      </w:rPr>
      <w:t>1A</w:t>
    </w:r>
    <w:r w:rsidRPr="0002234B">
      <w:rPr>
        <w:noProof/>
        <w:sz w:val="24"/>
        <w:szCs w:val="24"/>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92008" w14:textId="50FD41DC" w:rsidR="00625504" w:rsidRPr="00D675F1" w:rsidRDefault="00625504">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1444B1">
      <w:rPr>
        <w:noProof/>
        <w:sz w:val="20"/>
      </w:rPr>
      <w:t>Classes of biologicals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1444B1">
      <w:rPr>
        <w:b/>
        <w:noProof/>
        <w:sz w:val="20"/>
      </w:rPr>
      <w:t>Schedule 16</w:t>
    </w:r>
    <w:r w:rsidRPr="00D675F1">
      <w:rPr>
        <w:b/>
        <w:sz w:val="20"/>
      </w:rPr>
      <w:fldChar w:fldCharType="end"/>
    </w:r>
  </w:p>
  <w:p w14:paraId="482EDA4D" w14:textId="59814585" w:rsidR="00625504" w:rsidRPr="00D675F1" w:rsidRDefault="00625504">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14:paraId="48799E81" w14:textId="467E7553" w:rsidR="00625504" w:rsidRPr="00D675F1" w:rsidRDefault="00625504">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14:paraId="7CC28F3B" w14:textId="77777777" w:rsidR="00625504" w:rsidRPr="00D675F1" w:rsidRDefault="00625504">
    <w:pPr>
      <w:jc w:val="right"/>
      <w:rPr>
        <w:b/>
      </w:rPr>
    </w:pPr>
  </w:p>
  <w:p w14:paraId="4EFDB881" w14:textId="379524E8" w:rsidR="00625504" w:rsidRPr="00F0798E" w:rsidRDefault="00625504" w:rsidP="00592BBC">
    <w:pPr>
      <w:pBdr>
        <w:bottom w:val="single" w:sz="6" w:space="1" w:color="auto"/>
      </w:pBdr>
      <w:spacing w:after="120"/>
      <w:jc w:val="right"/>
      <w:rPr>
        <w:sz w:val="24"/>
        <w:szCs w:val="24"/>
      </w:rPr>
    </w:pPr>
    <w:r w:rsidRPr="00F0798E">
      <w:rPr>
        <w:sz w:val="24"/>
        <w:szCs w:val="24"/>
      </w:rPr>
      <w:t xml:space="preserve">Clause </w:t>
    </w:r>
    <w:r w:rsidRPr="00F0798E">
      <w:rPr>
        <w:sz w:val="24"/>
        <w:szCs w:val="24"/>
      </w:rPr>
      <w:fldChar w:fldCharType="begin"/>
    </w:r>
    <w:r w:rsidRPr="00F0798E">
      <w:rPr>
        <w:sz w:val="24"/>
        <w:szCs w:val="24"/>
      </w:rPr>
      <w:instrText xml:space="preserve"> STYLEREF CharSectno </w:instrText>
    </w:r>
    <w:r w:rsidRPr="00F0798E">
      <w:rPr>
        <w:sz w:val="24"/>
        <w:szCs w:val="24"/>
      </w:rPr>
      <w:fldChar w:fldCharType="separate"/>
    </w:r>
    <w:r w:rsidR="001444B1">
      <w:rPr>
        <w:noProof/>
        <w:sz w:val="24"/>
        <w:szCs w:val="24"/>
      </w:rPr>
      <w:t>1A</w:t>
    </w:r>
    <w:r w:rsidRPr="00F0798E">
      <w:rPr>
        <w:noProof/>
        <w:sz w:val="24"/>
        <w:szCs w:val="24"/>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2C42F" w14:textId="77777777" w:rsidR="00625504" w:rsidRPr="005A786D" w:rsidRDefault="00625504">
    <w:pPr>
      <w:rPr>
        <w:sz w:val="24"/>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F0BAD" w14:textId="77777777" w:rsidR="00625504" w:rsidRPr="00BE5CD2" w:rsidRDefault="00625504" w:rsidP="005A786D">
    <w:pPr>
      <w:rPr>
        <w:sz w:val="26"/>
        <w:szCs w:val="26"/>
      </w:rPr>
    </w:pPr>
  </w:p>
  <w:p w14:paraId="12DFD9EC" w14:textId="77777777" w:rsidR="00625504" w:rsidRPr="0020230A" w:rsidRDefault="00625504" w:rsidP="005A786D">
    <w:pPr>
      <w:rPr>
        <w:b/>
        <w:sz w:val="20"/>
      </w:rPr>
    </w:pPr>
    <w:r w:rsidRPr="0020230A">
      <w:rPr>
        <w:b/>
        <w:sz w:val="20"/>
      </w:rPr>
      <w:t>Endnotes</w:t>
    </w:r>
  </w:p>
  <w:p w14:paraId="30B7DFB1" w14:textId="77777777" w:rsidR="00625504" w:rsidRPr="007A1328" w:rsidRDefault="00625504" w:rsidP="005A786D">
    <w:pPr>
      <w:rPr>
        <w:sz w:val="20"/>
      </w:rPr>
    </w:pPr>
  </w:p>
  <w:p w14:paraId="190D628B" w14:textId="77777777" w:rsidR="00625504" w:rsidRPr="007A1328" w:rsidRDefault="00625504" w:rsidP="005A786D">
    <w:pPr>
      <w:rPr>
        <w:b/>
        <w:sz w:val="24"/>
      </w:rPr>
    </w:pPr>
  </w:p>
  <w:p w14:paraId="318A2EC9" w14:textId="12929BBC" w:rsidR="00625504" w:rsidRPr="005A786D" w:rsidRDefault="00625504" w:rsidP="005A786D">
    <w:pPr>
      <w:pBdr>
        <w:bottom w:val="single" w:sz="6" w:space="1" w:color="auto"/>
      </w:pBdr>
      <w:spacing w:after="120"/>
      <w:rPr>
        <w:sz w:val="24"/>
        <w:szCs w:val="22"/>
      </w:rPr>
    </w:pPr>
    <w:r w:rsidRPr="005A786D">
      <w:rPr>
        <w:sz w:val="24"/>
        <w:szCs w:val="22"/>
      </w:rPr>
      <w:fldChar w:fldCharType="begin"/>
    </w:r>
    <w:r w:rsidRPr="005A786D">
      <w:rPr>
        <w:sz w:val="24"/>
        <w:szCs w:val="22"/>
      </w:rPr>
      <w:instrText xml:space="preserve"> STYLEREF  "ENotesHeading 2,Enh2" </w:instrText>
    </w:r>
    <w:r w:rsidRPr="005A786D">
      <w:rPr>
        <w:sz w:val="24"/>
        <w:szCs w:val="22"/>
      </w:rPr>
      <w:fldChar w:fldCharType="separate"/>
    </w:r>
    <w:r w:rsidR="001444B1">
      <w:rPr>
        <w:noProof/>
        <w:sz w:val="24"/>
        <w:szCs w:val="22"/>
      </w:rPr>
      <w:t>Endnote 4—Amendment history</w:t>
    </w:r>
    <w:r w:rsidRPr="005A786D">
      <w:rPr>
        <w:sz w:val="24"/>
        <w:szCs w:val="22"/>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DC9AF" w14:textId="77777777" w:rsidR="00625504" w:rsidRPr="00BE5CD2" w:rsidRDefault="00625504" w:rsidP="005A786D">
    <w:pPr>
      <w:jc w:val="right"/>
      <w:rPr>
        <w:sz w:val="26"/>
        <w:szCs w:val="26"/>
      </w:rPr>
    </w:pPr>
  </w:p>
  <w:p w14:paraId="189F0024" w14:textId="77777777" w:rsidR="00625504" w:rsidRPr="0020230A" w:rsidRDefault="00625504" w:rsidP="005A786D">
    <w:pPr>
      <w:jc w:val="right"/>
      <w:rPr>
        <w:b/>
        <w:sz w:val="20"/>
      </w:rPr>
    </w:pPr>
    <w:r w:rsidRPr="0020230A">
      <w:rPr>
        <w:b/>
        <w:sz w:val="20"/>
      </w:rPr>
      <w:t>Endnotes</w:t>
    </w:r>
  </w:p>
  <w:p w14:paraId="26D51615" w14:textId="77777777" w:rsidR="00625504" w:rsidRPr="007A1328" w:rsidRDefault="00625504" w:rsidP="005A786D">
    <w:pPr>
      <w:jc w:val="right"/>
      <w:rPr>
        <w:sz w:val="20"/>
      </w:rPr>
    </w:pPr>
  </w:p>
  <w:p w14:paraId="57BCF586" w14:textId="77777777" w:rsidR="00625504" w:rsidRPr="007A1328" w:rsidRDefault="00625504" w:rsidP="005A786D">
    <w:pPr>
      <w:jc w:val="right"/>
      <w:rPr>
        <w:b/>
        <w:sz w:val="24"/>
      </w:rPr>
    </w:pPr>
  </w:p>
  <w:p w14:paraId="072403FA" w14:textId="0348D558" w:rsidR="00625504" w:rsidRPr="005A786D" w:rsidRDefault="00625504" w:rsidP="005A786D">
    <w:pPr>
      <w:pBdr>
        <w:bottom w:val="single" w:sz="6" w:space="1" w:color="auto"/>
      </w:pBdr>
      <w:spacing w:after="120"/>
      <w:jc w:val="right"/>
      <w:rPr>
        <w:sz w:val="24"/>
        <w:szCs w:val="22"/>
      </w:rPr>
    </w:pPr>
    <w:r w:rsidRPr="005A786D">
      <w:rPr>
        <w:sz w:val="24"/>
        <w:szCs w:val="22"/>
      </w:rPr>
      <w:fldChar w:fldCharType="begin"/>
    </w:r>
    <w:r w:rsidRPr="005A786D">
      <w:rPr>
        <w:sz w:val="24"/>
        <w:szCs w:val="22"/>
      </w:rPr>
      <w:instrText xml:space="preserve"> STYLEREF  "ENotesHeading 2,Enh2" </w:instrText>
    </w:r>
    <w:r w:rsidRPr="005A786D">
      <w:rPr>
        <w:sz w:val="24"/>
        <w:szCs w:val="22"/>
      </w:rPr>
      <w:fldChar w:fldCharType="separate"/>
    </w:r>
    <w:r w:rsidR="001444B1">
      <w:rPr>
        <w:noProof/>
        <w:sz w:val="24"/>
        <w:szCs w:val="22"/>
      </w:rPr>
      <w:t>Endnote 4—Amendment history</w:t>
    </w:r>
    <w:r w:rsidRPr="005A786D">
      <w:rPr>
        <w:sz w:val="24"/>
        <w:szCs w:val="22"/>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2B973" w14:textId="77777777" w:rsidR="00625504" w:rsidRPr="00BE5CD2" w:rsidRDefault="00625504" w:rsidP="008C521E">
    <w:pPr>
      <w:rPr>
        <w:sz w:val="26"/>
        <w:szCs w:val="26"/>
      </w:rPr>
    </w:pPr>
  </w:p>
  <w:p w14:paraId="3801588E" w14:textId="77777777" w:rsidR="00625504" w:rsidRPr="0020230A" w:rsidRDefault="00625504" w:rsidP="008C521E">
    <w:pPr>
      <w:rPr>
        <w:b/>
        <w:sz w:val="20"/>
      </w:rPr>
    </w:pPr>
    <w:r w:rsidRPr="0020230A">
      <w:rPr>
        <w:b/>
        <w:sz w:val="20"/>
      </w:rPr>
      <w:t>Endnotes</w:t>
    </w:r>
  </w:p>
  <w:p w14:paraId="26AF0904" w14:textId="77777777" w:rsidR="00625504" w:rsidRPr="007A1328" w:rsidRDefault="00625504" w:rsidP="008C521E">
    <w:pPr>
      <w:rPr>
        <w:sz w:val="20"/>
      </w:rPr>
    </w:pPr>
  </w:p>
  <w:p w14:paraId="23F9B898" w14:textId="77777777" w:rsidR="00625504" w:rsidRPr="007A1328" w:rsidRDefault="00625504" w:rsidP="008C521E">
    <w:pPr>
      <w:rPr>
        <w:b/>
        <w:sz w:val="24"/>
      </w:rPr>
    </w:pPr>
  </w:p>
  <w:p w14:paraId="3E2B6667" w14:textId="73249C7F" w:rsidR="00625504" w:rsidRPr="00BE5CD2" w:rsidRDefault="00625504" w:rsidP="008C521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2D450C">
      <w:rPr>
        <w:noProof/>
        <w:szCs w:val="22"/>
      </w:rPr>
      <w:t>Endnote 4—Amendment history</w:t>
    </w:r>
    <w:r>
      <w:rPr>
        <w:szCs w:val="22"/>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AADE1" w14:textId="77777777" w:rsidR="00625504" w:rsidRPr="00BE5CD2" w:rsidRDefault="00625504" w:rsidP="008C521E">
    <w:pPr>
      <w:jc w:val="right"/>
      <w:rPr>
        <w:sz w:val="26"/>
        <w:szCs w:val="26"/>
      </w:rPr>
    </w:pPr>
  </w:p>
  <w:p w14:paraId="49BD4E67" w14:textId="77777777" w:rsidR="00625504" w:rsidRPr="0020230A" w:rsidRDefault="00625504" w:rsidP="008C521E">
    <w:pPr>
      <w:jc w:val="right"/>
      <w:rPr>
        <w:b/>
        <w:sz w:val="20"/>
      </w:rPr>
    </w:pPr>
    <w:r w:rsidRPr="0020230A">
      <w:rPr>
        <w:b/>
        <w:sz w:val="20"/>
      </w:rPr>
      <w:t>Endnotes</w:t>
    </w:r>
  </w:p>
  <w:p w14:paraId="7E75B20F" w14:textId="77777777" w:rsidR="00625504" w:rsidRPr="007A1328" w:rsidRDefault="00625504" w:rsidP="008C521E">
    <w:pPr>
      <w:jc w:val="right"/>
      <w:rPr>
        <w:sz w:val="20"/>
      </w:rPr>
    </w:pPr>
  </w:p>
  <w:p w14:paraId="043CF831" w14:textId="77777777" w:rsidR="00625504" w:rsidRPr="007A1328" w:rsidRDefault="00625504" w:rsidP="008C521E">
    <w:pPr>
      <w:jc w:val="right"/>
      <w:rPr>
        <w:b/>
        <w:sz w:val="24"/>
      </w:rPr>
    </w:pPr>
  </w:p>
  <w:p w14:paraId="320A2454" w14:textId="0AD713C5" w:rsidR="00625504" w:rsidRPr="00BE5CD2" w:rsidRDefault="00625504" w:rsidP="008C521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2D450C">
      <w:rPr>
        <w:noProof/>
        <w:szCs w:val="22"/>
      </w:rPr>
      <w:t>Endnote 4—Amendment history</w:t>
    </w:r>
    <w:r>
      <w:rPr>
        <w:szCs w:val="22"/>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87517" w14:textId="77777777" w:rsidR="00625504" w:rsidRDefault="00625504" w:rsidP="00EA0056">
    <w:pPr>
      <w:pStyle w:val="Header"/>
    </w:pPr>
  </w:p>
  <w:p w14:paraId="51A0C6D3" w14:textId="77777777" w:rsidR="00625504" w:rsidRPr="00EA0056" w:rsidRDefault="00625504" w:rsidP="00EA00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B9897" w14:textId="77777777" w:rsidR="00625504" w:rsidRPr="00ED79B6" w:rsidRDefault="00625504" w:rsidP="00AE011D">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F6474" w14:textId="77777777" w:rsidR="00625504" w:rsidRPr="00ED79B6" w:rsidRDefault="00625504" w:rsidP="00AE011D">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FA476" w14:textId="77777777" w:rsidR="00625504" w:rsidRPr="00ED79B6" w:rsidRDefault="00625504" w:rsidP="008C521E">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F6E2F" w14:textId="7E86660B" w:rsidR="00625504" w:rsidRDefault="00625504" w:rsidP="0000113E">
    <w:pPr>
      <w:ind w:right="-143"/>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444B1">
      <w:rPr>
        <w:b/>
        <w:noProof/>
        <w:sz w:val="20"/>
      </w:rPr>
      <w:t>Part 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444B1">
      <w:rPr>
        <w:noProof/>
        <w:sz w:val="20"/>
      </w:rPr>
      <w:t>Transitional</w:t>
    </w:r>
    <w:r>
      <w:rPr>
        <w:sz w:val="20"/>
      </w:rPr>
      <w:fldChar w:fldCharType="end"/>
    </w:r>
  </w:p>
  <w:p w14:paraId="3042C735" w14:textId="08ACCBAE" w:rsidR="00625504" w:rsidRPr="007A1328" w:rsidRDefault="00625504" w:rsidP="008C521E">
    <w:pPr>
      <w:rPr>
        <w:sz w:val="20"/>
      </w:rPr>
    </w:pPr>
    <w:r>
      <w:rPr>
        <w:b/>
        <w:sz w:val="20"/>
      </w:rPr>
      <w:fldChar w:fldCharType="begin"/>
    </w:r>
    <w:r>
      <w:rPr>
        <w:b/>
        <w:sz w:val="20"/>
      </w:rPr>
      <w:instrText xml:space="preserve"> STYLEREF CharDivNo </w:instrText>
    </w:r>
    <w:r w:rsidR="001444B1">
      <w:rPr>
        <w:b/>
        <w:sz w:val="20"/>
      </w:rPr>
      <w:fldChar w:fldCharType="separate"/>
    </w:r>
    <w:r w:rsidR="001444B1">
      <w:rPr>
        <w:b/>
        <w:noProof/>
        <w:sz w:val="20"/>
      </w:rPr>
      <w:t>Division 26</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1444B1">
      <w:rPr>
        <w:sz w:val="20"/>
      </w:rPr>
      <w:fldChar w:fldCharType="separate"/>
    </w:r>
    <w:r w:rsidR="001444B1">
      <w:rPr>
        <w:noProof/>
        <w:sz w:val="20"/>
      </w:rPr>
      <w:t>Application and transitional provisions relating to the Therapeutic Goods Legislation Amendment (Vaping Reforms) Regulations 2024</w:t>
    </w:r>
    <w:r>
      <w:rPr>
        <w:sz w:val="20"/>
      </w:rPr>
      <w:fldChar w:fldCharType="end"/>
    </w:r>
  </w:p>
  <w:p w14:paraId="0CE116B2" w14:textId="77777777" w:rsidR="00625504" w:rsidRPr="007A1328" w:rsidRDefault="00625504" w:rsidP="008C521E">
    <w:pPr>
      <w:rPr>
        <w:b/>
        <w:sz w:val="24"/>
      </w:rPr>
    </w:pPr>
  </w:p>
  <w:p w14:paraId="3230675B" w14:textId="0EC152E8" w:rsidR="00625504" w:rsidRPr="007A1328" w:rsidRDefault="00625504" w:rsidP="0000113E">
    <w:pPr>
      <w:pBdr>
        <w:bottom w:val="single" w:sz="6" w:space="1" w:color="auto"/>
      </w:pBdr>
      <w:spacing w:after="240"/>
      <w:rPr>
        <w:sz w:val="24"/>
      </w:rPr>
    </w:pPr>
    <w:r>
      <w:rPr>
        <w:sz w:val="24"/>
      </w:rPr>
      <w:fldChar w:fldCharType="begin"/>
    </w:r>
    <w:r>
      <w:rPr>
        <w:sz w:val="24"/>
      </w:rPr>
      <w:instrText xml:space="preserve"> DOCPROPERTY  Header </w:instrText>
    </w:r>
    <w:r>
      <w:rPr>
        <w:sz w:val="24"/>
      </w:rPr>
      <w:fldChar w:fldCharType="separate"/>
    </w:r>
    <w:r w:rsidR="002D450C">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444B1">
      <w:rPr>
        <w:noProof/>
        <w:sz w:val="24"/>
      </w:rPr>
      <w:t>104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FEBB0" w14:textId="653BAFFF" w:rsidR="00625504" w:rsidRPr="007A1328" w:rsidRDefault="00625504" w:rsidP="0000113E">
    <w:pPr>
      <w:ind w:left="-142"/>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1444B1">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1444B1">
      <w:rPr>
        <w:b/>
        <w:noProof/>
        <w:sz w:val="20"/>
      </w:rPr>
      <w:t>Part 9</w:t>
    </w:r>
    <w:r>
      <w:rPr>
        <w:b/>
        <w:sz w:val="20"/>
      </w:rPr>
      <w:fldChar w:fldCharType="end"/>
    </w:r>
  </w:p>
  <w:p w14:paraId="7801BB3E" w14:textId="61C0A0B0" w:rsidR="00625504" w:rsidRPr="007A1328" w:rsidRDefault="00625504" w:rsidP="008C521E">
    <w:pPr>
      <w:jc w:val="right"/>
      <w:rPr>
        <w:sz w:val="20"/>
      </w:rPr>
    </w:pPr>
    <w:r w:rsidRPr="007A1328">
      <w:rPr>
        <w:sz w:val="20"/>
      </w:rPr>
      <w:fldChar w:fldCharType="begin"/>
    </w:r>
    <w:r w:rsidRPr="007A1328">
      <w:rPr>
        <w:sz w:val="20"/>
      </w:rPr>
      <w:instrText xml:space="preserve"> STYLEREF CharDivText </w:instrText>
    </w:r>
    <w:r w:rsidR="001444B1">
      <w:rPr>
        <w:sz w:val="20"/>
      </w:rPr>
      <w:fldChar w:fldCharType="separate"/>
    </w:r>
    <w:r w:rsidR="001444B1">
      <w:rPr>
        <w:noProof/>
        <w:sz w:val="20"/>
      </w:rPr>
      <w:t>Application and transitional provisions relating to the Therapeutic Goods Legislation Amendment (Vaping Reforms) Regulations 2024</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1444B1">
      <w:rPr>
        <w:b/>
        <w:sz w:val="20"/>
      </w:rPr>
      <w:fldChar w:fldCharType="separate"/>
    </w:r>
    <w:r w:rsidR="001444B1">
      <w:rPr>
        <w:b/>
        <w:noProof/>
        <w:sz w:val="20"/>
      </w:rPr>
      <w:t>Division 26</w:t>
    </w:r>
    <w:r>
      <w:rPr>
        <w:b/>
        <w:sz w:val="20"/>
      </w:rPr>
      <w:fldChar w:fldCharType="end"/>
    </w:r>
  </w:p>
  <w:p w14:paraId="75792079" w14:textId="77777777" w:rsidR="00625504" w:rsidRPr="007A1328" w:rsidRDefault="00625504" w:rsidP="008C521E">
    <w:pPr>
      <w:jc w:val="right"/>
      <w:rPr>
        <w:b/>
        <w:sz w:val="24"/>
      </w:rPr>
    </w:pPr>
  </w:p>
  <w:p w14:paraId="42DFB1FA" w14:textId="22888A18" w:rsidR="00625504" w:rsidRPr="007A1328" w:rsidRDefault="00625504" w:rsidP="0000113E">
    <w:pPr>
      <w:pBdr>
        <w:bottom w:val="single" w:sz="6" w:space="1" w:color="auto"/>
      </w:pBdr>
      <w:spacing w:after="240"/>
      <w:jc w:val="right"/>
      <w:rPr>
        <w:sz w:val="24"/>
      </w:rPr>
    </w:pPr>
    <w:r>
      <w:rPr>
        <w:sz w:val="24"/>
      </w:rPr>
      <w:fldChar w:fldCharType="begin"/>
    </w:r>
    <w:r>
      <w:rPr>
        <w:sz w:val="24"/>
      </w:rPr>
      <w:instrText xml:space="preserve"> DOCPROPERTY  Header </w:instrText>
    </w:r>
    <w:r>
      <w:rPr>
        <w:sz w:val="24"/>
      </w:rPr>
      <w:fldChar w:fldCharType="separate"/>
    </w:r>
    <w:r w:rsidR="002D450C">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444B1">
      <w:rPr>
        <w:noProof/>
        <w:sz w:val="24"/>
      </w:rPr>
      <w:t>108</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D3878" w14:textId="77777777" w:rsidR="00625504" w:rsidRPr="007A1328" w:rsidRDefault="00625504" w:rsidP="008C5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B6424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553629B"/>
    <w:multiLevelType w:val="singleLevel"/>
    <w:tmpl w:val="B0F8B92C"/>
    <w:lvl w:ilvl="0">
      <w:start w:val="1"/>
      <w:numFmt w:val="bullet"/>
      <w:lvlText w:val=""/>
      <w:lvlJc w:val="left"/>
      <w:pPr>
        <w:tabs>
          <w:tab w:val="num" w:pos="360"/>
        </w:tabs>
        <w:ind w:left="360" w:hanging="360"/>
      </w:pPr>
      <w:rPr>
        <w:rFonts w:ascii="Symbol" w:hAnsi="Symbol" w:hint="default"/>
        <w:b w:val="0"/>
        <w:i w:val="0"/>
        <w:sz w:val="20"/>
      </w:rPr>
    </w:lvl>
  </w:abstractNum>
  <w:abstractNum w:abstractNumId="17" w15:restartNumberingAfterBreak="0">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18" w15:restartNumberingAfterBreak="0">
    <w:nsid w:val="38FA0F74"/>
    <w:multiLevelType w:val="singleLevel"/>
    <w:tmpl w:val="26864BC0"/>
    <w:lvl w:ilvl="0">
      <w:start w:val="1"/>
      <w:numFmt w:val="bullet"/>
      <w:lvlText w:val=""/>
      <w:lvlJc w:val="left"/>
      <w:pPr>
        <w:tabs>
          <w:tab w:val="num" w:pos="360"/>
        </w:tabs>
        <w:ind w:left="360" w:hanging="360"/>
      </w:pPr>
      <w:rPr>
        <w:rFonts w:ascii="Symbol" w:hAnsi="Symbol" w:hint="default"/>
        <w:b w:val="0"/>
        <w:i w:val="0"/>
        <w:sz w:val="20"/>
      </w:r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F4E526F"/>
    <w:multiLevelType w:val="hybridMultilevel"/>
    <w:tmpl w:val="6E842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F114EF"/>
    <w:multiLevelType w:val="singleLevel"/>
    <w:tmpl w:val="34ECAA7A"/>
    <w:lvl w:ilvl="0">
      <w:start w:val="1"/>
      <w:numFmt w:val="bullet"/>
      <w:lvlText w:val=""/>
      <w:lvlJc w:val="left"/>
      <w:pPr>
        <w:tabs>
          <w:tab w:val="num" w:pos="360"/>
        </w:tabs>
        <w:ind w:left="360" w:hanging="360"/>
      </w:pPr>
      <w:rPr>
        <w:rFonts w:ascii="Symbol" w:hAnsi="Symbol" w:hint="default"/>
        <w:b w:val="0"/>
        <w:i w:val="0"/>
        <w:sz w:val="20"/>
      </w:rPr>
    </w:lvl>
  </w:abstractNum>
  <w:abstractNum w:abstractNumId="23" w15:restartNumberingAfterBreak="0">
    <w:nsid w:val="500B78B8"/>
    <w:multiLevelType w:val="singleLevel"/>
    <w:tmpl w:val="FEC09522"/>
    <w:lvl w:ilvl="0">
      <w:start w:val="1"/>
      <w:numFmt w:val="bullet"/>
      <w:lvlText w:val=""/>
      <w:lvlJc w:val="left"/>
      <w:pPr>
        <w:tabs>
          <w:tab w:val="num" w:pos="360"/>
        </w:tabs>
        <w:ind w:left="360" w:hanging="360"/>
      </w:pPr>
      <w:rPr>
        <w:rFonts w:ascii="Symbol" w:hAnsi="Symbol" w:hint="default"/>
        <w:sz w:val="20"/>
      </w:rPr>
    </w:lvl>
  </w:abstractNum>
  <w:abstractNum w:abstractNumId="24" w15:restartNumberingAfterBreak="0">
    <w:nsid w:val="523A3E5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FD4B0A"/>
    <w:multiLevelType w:val="singleLevel"/>
    <w:tmpl w:val="7A7AFFCA"/>
    <w:lvl w:ilvl="0">
      <w:start w:val="1"/>
      <w:numFmt w:val="bullet"/>
      <w:lvlText w:val=""/>
      <w:lvlJc w:val="left"/>
      <w:pPr>
        <w:tabs>
          <w:tab w:val="num" w:pos="360"/>
        </w:tabs>
        <w:ind w:left="360" w:hanging="360"/>
      </w:pPr>
      <w:rPr>
        <w:rFonts w:ascii="Symbol" w:hAnsi="Symbol" w:hint="default"/>
        <w:b w:val="0"/>
        <w:i w:val="0"/>
        <w:sz w:val="20"/>
      </w:rPr>
    </w:lvl>
  </w:abstractNum>
  <w:abstractNum w:abstractNumId="26"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C96055D"/>
    <w:multiLevelType w:val="singleLevel"/>
    <w:tmpl w:val="3AECBB58"/>
    <w:lvl w:ilvl="0">
      <w:start w:val="1"/>
      <w:numFmt w:val="bullet"/>
      <w:lvlText w:val=""/>
      <w:lvlJc w:val="left"/>
      <w:pPr>
        <w:tabs>
          <w:tab w:val="num" w:pos="360"/>
        </w:tabs>
        <w:ind w:left="360" w:hanging="360"/>
      </w:pPr>
      <w:rPr>
        <w:rFonts w:ascii="Symbol" w:hAnsi="Symbol" w:hint="default"/>
        <w:sz w:val="20"/>
      </w:rPr>
    </w:lvl>
  </w:abstractNum>
  <w:abstractNum w:abstractNumId="29" w15:restartNumberingAfterBreak="0">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06921559">
    <w:abstractNumId w:val="11"/>
  </w:num>
  <w:num w:numId="2" w16cid:durableId="444278880">
    <w:abstractNumId w:val="15"/>
  </w:num>
  <w:num w:numId="3" w16cid:durableId="493573177">
    <w:abstractNumId w:val="20"/>
  </w:num>
  <w:num w:numId="4" w16cid:durableId="1528330396">
    <w:abstractNumId w:val="9"/>
  </w:num>
  <w:num w:numId="5" w16cid:durableId="124080422">
    <w:abstractNumId w:val="7"/>
  </w:num>
  <w:num w:numId="6" w16cid:durableId="246623656">
    <w:abstractNumId w:val="6"/>
  </w:num>
  <w:num w:numId="7" w16cid:durableId="2133401927">
    <w:abstractNumId w:val="5"/>
  </w:num>
  <w:num w:numId="8" w16cid:durableId="894466171">
    <w:abstractNumId w:val="4"/>
  </w:num>
  <w:num w:numId="9" w16cid:durableId="631326281">
    <w:abstractNumId w:val="8"/>
  </w:num>
  <w:num w:numId="10" w16cid:durableId="1110471633">
    <w:abstractNumId w:val="3"/>
  </w:num>
  <w:num w:numId="11" w16cid:durableId="1147746187">
    <w:abstractNumId w:val="2"/>
  </w:num>
  <w:num w:numId="12" w16cid:durableId="1715499682">
    <w:abstractNumId w:val="1"/>
  </w:num>
  <w:num w:numId="13" w16cid:durableId="1749961678">
    <w:abstractNumId w:val="0"/>
  </w:num>
  <w:num w:numId="14" w16cid:durableId="1208563975">
    <w:abstractNumId w:val="28"/>
  </w:num>
  <w:num w:numId="15" w16cid:durableId="293021100">
    <w:abstractNumId w:val="23"/>
  </w:num>
  <w:num w:numId="16" w16cid:durableId="413666308">
    <w:abstractNumId w:val="16"/>
  </w:num>
  <w:num w:numId="17" w16cid:durableId="1895383934">
    <w:abstractNumId w:val="18"/>
  </w:num>
  <w:num w:numId="18" w16cid:durableId="147140069">
    <w:abstractNumId w:val="22"/>
  </w:num>
  <w:num w:numId="19" w16cid:durableId="1141727942">
    <w:abstractNumId w:val="25"/>
  </w:num>
  <w:num w:numId="20" w16cid:durableId="89859631">
    <w:abstractNumId w:val="10"/>
    <w:lvlOverride w:ilvl="0">
      <w:lvl w:ilvl="0">
        <w:start w:val="1"/>
        <w:numFmt w:val="bullet"/>
        <w:lvlText w:val=""/>
        <w:legacy w:legacy="1" w:legacySpace="0" w:legacyIndent="360"/>
        <w:lvlJc w:val="left"/>
        <w:pPr>
          <w:ind w:left="2118" w:hanging="360"/>
        </w:pPr>
        <w:rPr>
          <w:rFonts w:ascii="Symbol" w:hAnsi="Symbol" w:hint="default"/>
        </w:rPr>
      </w:lvl>
    </w:lvlOverride>
  </w:num>
  <w:num w:numId="21" w16cid:durableId="1680812636">
    <w:abstractNumId w:val="27"/>
  </w:num>
  <w:num w:numId="22" w16cid:durableId="1810392371">
    <w:abstractNumId w:val="17"/>
  </w:num>
  <w:num w:numId="23" w16cid:durableId="87507410">
    <w:abstractNumId w:val="19"/>
  </w:num>
  <w:num w:numId="24" w16cid:durableId="866452464">
    <w:abstractNumId w:val="12"/>
  </w:num>
  <w:num w:numId="25" w16cid:durableId="176114059">
    <w:abstractNumId w:val="29"/>
  </w:num>
  <w:num w:numId="26" w16cid:durableId="1541480048">
    <w:abstractNumId w:val="26"/>
  </w:num>
  <w:num w:numId="27" w16cid:durableId="647242348">
    <w:abstractNumId w:val="13"/>
  </w:num>
  <w:num w:numId="28" w16cid:durableId="1732121025">
    <w:abstractNumId w:val="24"/>
  </w:num>
  <w:num w:numId="29" w16cid:durableId="1399129159">
    <w:abstractNumId w:val="14"/>
  </w:num>
  <w:num w:numId="30" w16cid:durableId="213011995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0"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837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71"/>
    <w:rsid w:val="00000DBD"/>
    <w:rsid w:val="0000104C"/>
    <w:rsid w:val="0000113E"/>
    <w:rsid w:val="00001FB5"/>
    <w:rsid w:val="00002328"/>
    <w:rsid w:val="00002DA4"/>
    <w:rsid w:val="00003BE4"/>
    <w:rsid w:val="000040D1"/>
    <w:rsid w:val="0000439F"/>
    <w:rsid w:val="000047FD"/>
    <w:rsid w:val="00004B1F"/>
    <w:rsid w:val="00004F6A"/>
    <w:rsid w:val="000056EE"/>
    <w:rsid w:val="00005EB9"/>
    <w:rsid w:val="00006818"/>
    <w:rsid w:val="00006F3C"/>
    <w:rsid w:val="000071B8"/>
    <w:rsid w:val="000071D1"/>
    <w:rsid w:val="00010203"/>
    <w:rsid w:val="000102BC"/>
    <w:rsid w:val="00010594"/>
    <w:rsid w:val="00012616"/>
    <w:rsid w:val="00012A4E"/>
    <w:rsid w:val="00012E06"/>
    <w:rsid w:val="00013D34"/>
    <w:rsid w:val="00013FF3"/>
    <w:rsid w:val="00014443"/>
    <w:rsid w:val="000144AA"/>
    <w:rsid w:val="0001471F"/>
    <w:rsid w:val="000159E5"/>
    <w:rsid w:val="00015F1A"/>
    <w:rsid w:val="0001739E"/>
    <w:rsid w:val="00017FB4"/>
    <w:rsid w:val="000200E5"/>
    <w:rsid w:val="00020370"/>
    <w:rsid w:val="00020A1D"/>
    <w:rsid w:val="0002102D"/>
    <w:rsid w:val="00021B81"/>
    <w:rsid w:val="00021BE4"/>
    <w:rsid w:val="00021C48"/>
    <w:rsid w:val="00021FA0"/>
    <w:rsid w:val="000221EA"/>
    <w:rsid w:val="0002234B"/>
    <w:rsid w:val="00022BD4"/>
    <w:rsid w:val="00023FD2"/>
    <w:rsid w:val="0002405F"/>
    <w:rsid w:val="000243BF"/>
    <w:rsid w:val="00025051"/>
    <w:rsid w:val="000253E1"/>
    <w:rsid w:val="00025923"/>
    <w:rsid w:val="000271E0"/>
    <w:rsid w:val="00030E6D"/>
    <w:rsid w:val="0003102A"/>
    <w:rsid w:val="00031A96"/>
    <w:rsid w:val="00031D5D"/>
    <w:rsid w:val="00031F15"/>
    <w:rsid w:val="00032A23"/>
    <w:rsid w:val="0003434D"/>
    <w:rsid w:val="00034893"/>
    <w:rsid w:val="0003498B"/>
    <w:rsid w:val="00034EA9"/>
    <w:rsid w:val="0003603E"/>
    <w:rsid w:val="00036F3B"/>
    <w:rsid w:val="0003718E"/>
    <w:rsid w:val="000373B2"/>
    <w:rsid w:val="000374D1"/>
    <w:rsid w:val="000403D5"/>
    <w:rsid w:val="00041468"/>
    <w:rsid w:val="0004161C"/>
    <w:rsid w:val="000431C6"/>
    <w:rsid w:val="0004355F"/>
    <w:rsid w:val="00044422"/>
    <w:rsid w:val="000447ED"/>
    <w:rsid w:val="00044F80"/>
    <w:rsid w:val="00045D06"/>
    <w:rsid w:val="00045DDF"/>
    <w:rsid w:val="000468B2"/>
    <w:rsid w:val="00047520"/>
    <w:rsid w:val="000477F5"/>
    <w:rsid w:val="00047CBA"/>
    <w:rsid w:val="000505E3"/>
    <w:rsid w:val="00050B14"/>
    <w:rsid w:val="00050D25"/>
    <w:rsid w:val="00051258"/>
    <w:rsid w:val="0005135A"/>
    <w:rsid w:val="000514AB"/>
    <w:rsid w:val="00051758"/>
    <w:rsid w:val="00051BE7"/>
    <w:rsid w:val="000522C4"/>
    <w:rsid w:val="00052394"/>
    <w:rsid w:val="00052826"/>
    <w:rsid w:val="000543DB"/>
    <w:rsid w:val="0005442E"/>
    <w:rsid w:val="00054612"/>
    <w:rsid w:val="00054F28"/>
    <w:rsid w:val="00055A8B"/>
    <w:rsid w:val="00055E25"/>
    <w:rsid w:val="00055FFE"/>
    <w:rsid w:val="000562BF"/>
    <w:rsid w:val="00056463"/>
    <w:rsid w:val="00056ADF"/>
    <w:rsid w:val="0005754A"/>
    <w:rsid w:val="00061B69"/>
    <w:rsid w:val="00062087"/>
    <w:rsid w:val="00062655"/>
    <w:rsid w:val="00062DB2"/>
    <w:rsid w:val="00063290"/>
    <w:rsid w:val="0006335B"/>
    <w:rsid w:val="00063B97"/>
    <w:rsid w:val="00063ECB"/>
    <w:rsid w:val="0006435C"/>
    <w:rsid w:val="000645D9"/>
    <w:rsid w:val="00064846"/>
    <w:rsid w:val="00064E59"/>
    <w:rsid w:val="00065A0E"/>
    <w:rsid w:val="00065AEF"/>
    <w:rsid w:val="00067952"/>
    <w:rsid w:val="0007024E"/>
    <w:rsid w:val="000703A4"/>
    <w:rsid w:val="00071039"/>
    <w:rsid w:val="00071069"/>
    <w:rsid w:val="00071F99"/>
    <w:rsid w:val="00072AF4"/>
    <w:rsid w:val="000731F5"/>
    <w:rsid w:val="0007357E"/>
    <w:rsid w:val="00074B31"/>
    <w:rsid w:val="00074D5D"/>
    <w:rsid w:val="000753EE"/>
    <w:rsid w:val="00075894"/>
    <w:rsid w:val="00075B3D"/>
    <w:rsid w:val="00076C98"/>
    <w:rsid w:val="00076D19"/>
    <w:rsid w:val="0007707D"/>
    <w:rsid w:val="00077472"/>
    <w:rsid w:val="000774F4"/>
    <w:rsid w:val="00077E24"/>
    <w:rsid w:val="000803D9"/>
    <w:rsid w:val="000804C7"/>
    <w:rsid w:val="00080521"/>
    <w:rsid w:val="00080823"/>
    <w:rsid w:val="000808AF"/>
    <w:rsid w:val="00080B9D"/>
    <w:rsid w:val="00080BA5"/>
    <w:rsid w:val="00081211"/>
    <w:rsid w:val="00081364"/>
    <w:rsid w:val="00081DB1"/>
    <w:rsid w:val="00082628"/>
    <w:rsid w:val="00083692"/>
    <w:rsid w:val="00083B97"/>
    <w:rsid w:val="000846CE"/>
    <w:rsid w:val="00085771"/>
    <w:rsid w:val="00085914"/>
    <w:rsid w:val="00085FB0"/>
    <w:rsid w:val="0008653D"/>
    <w:rsid w:val="00086700"/>
    <w:rsid w:val="000870B6"/>
    <w:rsid w:val="00087DBC"/>
    <w:rsid w:val="00087FAA"/>
    <w:rsid w:val="0009072F"/>
    <w:rsid w:val="000910B9"/>
    <w:rsid w:val="00091BAD"/>
    <w:rsid w:val="00091C00"/>
    <w:rsid w:val="00091E00"/>
    <w:rsid w:val="00091EF3"/>
    <w:rsid w:val="00092602"/>
    <w:rsid w:val="00092802"/>
    <w:rsid w:val="00093A8A"/>
    <w:rsid w:val="00093D4A"/>
    <w:rsid w:val="0009515A"/>
    <w:rsid w:val="00095434"/>
    <w:rsid w:val="0009567B"/>
    <w:rsid w:val="00095F61"/>
    <w:rsid w:val="00097968"/>
    <w:rsid w:val="000A02B7"/>
    <w:rsid w:val="000A0C49"/>
    <w:rsid w:val="000A1045"/>
    <w:rsid w:val="000A1492"/>
    <w:rsid w:val="000A2127"/>
    <w:rsid w:val="000A3239"/>
    <w:rsid w:val="000A338D"/>
    <w:rsid w:val="000A33A2"/>
    <w:rsid w:val="000A5028"/>
    <w:rsid w:val="000A643E"/>
    <w:rsid w:val="000A69DA"/>
    <w:rsid w:val="000A7152"/>
    <w:rsid w:val="000A7323"/>
    <w:rsid w:val="000A74F4"/>
    <w:rsid w:val="000A7BFC"/>
    <w:rsid w:val="000A7DC6"/>
    <w:rsid w:val="000A7E60"/>
    <w:rsid w:val="000B08AF"/>
    <w:rsid w:val="000B0A20"/>
    <w:rsid w:val="000B0B20"/>
    <w:rsid w:val="000B0DE3"/>
    <w:rsid w:val="000B1138"/>
    <w:rsid w:val="000B1344"/>
    <w:rsid w:val="000B15A0"/>
    <w:rsid w:val="000B15B6"/>
    <w:rsid w:val="000B20BC"/>
    <w:rsid w:val="000B22BF"/>
    <w:rsid w:val="000B2486"/>
    <w:rsid w:val="000B26C3"/>
    <w:rsid w:val="000B30C3"/>
    <w:rsid w:val="000B32CE"/>
    <w:rsid w:val="000B3600"/>
    <w:rsid w:val="000B38ED"/>
    <w:rsid w:val="000B467A"/>
    <w:rsid w:val="000B52F3"/>
    <w:rsid w:val="000B5559"/>
    <w:rsid w:val="000B6C46"/>
    <w:rsid w:val="000B6C95"/>
    <w:rsid w:val="000B7EA8"/>
    <w:rsid w:val="000B7EF8"/>
    <w:rsid w:val="000C1097"/>
    <w:rsid w:val="000C20E1"/>
    <w:rsid w:val="000C2346"/>
    <w:rsid w:val="000C2528"/>
    <w:rsid w:val="000C2579"/>
    <w:rsid w:val="000C2E2B"/>
    <w:rsid w:val="000C3194"/>
    <w:rsid w:val="000C354D"/>
    <w:rsid w:val="000C366A"/>
    <w:rsid w:val="000C3B6E"/>
    <w:rsid w:val="000C3C20"/>
    <w:rsid w:val="000C445F"/>
    <w:rsid w:val="000C49EF"/>
    <w:rsid w:val="000C56FE"/>
    <w:rsid w:val="000C5B0D"/>
    <w:rsid w:val="000C5DB7"/>
    <w:rsid w:val="000C642E"/>
    <w:rsid w:val="000C698A"/>
    <w:rsid w:val="000C6FCB"/>
    <w:rsid w:val="000C766B"/>
    <w:rsid w:val="000D0106"/>
    <w:rsid w:val="000D0A9B"/>
    <w:rsid w:val="000D0C58"/>
    <w:rsid w:val="000D112D"/>
    <w:rsid w:val="000D1EC0"/>
    <w:rsid w:val="000D2098"/>
    <w:rsid w:val="000D256D"/>
    <w:rsid w:val="000D2FFA"/>
    <w:rsid w:val="000D358F"/>
    <w:rsid w:val="000D363E"/>
    <w:rsid w:val="000D36A7"/>
    <w:rsid w:val="000D375E"/>
    <w:rsid w:val="000D3A04"/>
    <w:rsid w:val="000D3E12"/>
    <w:rsid w:val="000D3FCB"/>
    <w:rsid w:val="000D4BC8"/>
    <w:rsid w:val="000D63B2"/>
    <w:rsid w:val="000D7DA1"/>
    <w:rsid w:val="000D7E6A"/>
    <w:rsid w:val="000E081D"/>
    <w:rsid w:val="000E12C9"/>
    <w:rsid w:val="000E1415"/>
    <w:rsid w:val="000E1F57"/>
    <w:rsid w:val="000E28E1"/>
    <w:rsid w:val="000E36E4"/>
    <w:rsid w:val="000E3EC5"/>
    <w:rsid w:val="000E41B4"/>
    <w:rsid w:val="000E43C7"/>
    <w:rsid w:val="000E45C5"/>
    <w:rsid w:val="000E5304"/>
    <w:rsid w:val="000E540E"/>
    <w:rsid w:val="000E5C02"/>
    <w:rsid w:val="000E647F"/>
    <w:rsid w:val="000E64FB"/>
    <w:rsid w:val="000E6914"/>
    <w:rsid w:val="000E7C8E"/>
    <w:rsid w:val="000F07BD"/>
    <w:rsid w:val="000F140F"/>
    <w:rsid w:val="000F1575"/>
    <w:rsid w:val="000F243F"/>
    <w:rsid w:val="000F28B5"/>
    <w:rsid w:val="000F3020"/>
    <w:rsid w:val="000F355B"/>
    <w:rsid w:val="000F4340"/>
    <w:rsid w:val="000F4413"/>
    <w:rsid w:val="000F4B9B"/>
    <w:rsid w:val="000F5637"/>
    <w:rsid w:val="000F572E"/>
    <w:rsid w:val="000F66F7"/>
    <w:rsid w:val="000F6777"/>
    <w:rsid w:val="000F6ABE"/>
    <w:rsid w:val="000F6ADA"/>
    <w:rsid w:val="000F6F39"/>
    <w:rsid w:val="000F7879"/>
    <w:rsid w:val="000F7B90"/>
    <w:rsid w:val="000F7C0E"/>
    <w:rsid w:val="000F7E36"/>
    <w:rsid w:val="000F7E92"/>
    <w:rsid w:val="00100993"/>
    <w:rsid w:val="00100DFC"/>
    <w:rsid w:val="0010109C"/>
    <w:rsid w:val="001015ED"/>
    <w:rsid w:val="00101A1F"/>
    <w:rsid w:val="00101DE2"/>
    <w:rsid w:val="00101ED7"/>
    <w:rsid w:val="0010212B"/>
    <w:rsid w:val="00102755"/>
    <w:rsid w:val="00103258"/>
    <w:rsid w:val="00103CB2"/>
    <w:rsid w:val="001044AB"/>
    <w:rsid w:val="00104751"/>
    <w:rsid w:val="0010489C"/>
    <w:rsid w:val="00104EB6"/>
    <w:rsid w:val="0010596C"/>
    <w:rsid w:val="001062ED"/>
    <w:rsid w:val="0010657C"/>
    <w:rsid w:val="00106659"/>
    <w:rsid w:val="001071B9"/>
    <w:rsid w:val="0010776B"/>
    <w:rsid w:val="00110A0F"/>
    <w:rsid w:val="00110D20"/>
    <w:rsid w:val="001114FA"/>
    <w:rsid w:val="00111E48"/>
    <w:rsid w:val="001139F2"/>
    <w:rsid w:val="00114286"/>
    <w:rsid w:val="001142C6"/>
    <w:rsid w:val="001143BD"/>
    <w:rsid w:val="001144DC"/>
    <w:rsid w:val="001151CA"/>
    <w:rsid w:val="00115706"/>
    <w:rsid w:val="00115BB7"/>
    <w:rsid w:val="001160CC"/>
    <w:rsid w:val="00116324"/>
    <w:rsid w:val="001164A8"/>
    <w:rsid w:val="00116C86"/>
    <w:rsid w:val="0012039C"/>
    <w:rsid w:val="001204C4"/>
    <w:rsid w:val="00121F69"/>
    <w:rsid w:val="00122335"/>
    <w:rsid w:val="00122CA1"/>
    <w:rsid w:val="00122D7D"/>
    <w:rsid w:val="00122F39"/>
    <w:rsid w:val="00125634"/>
    <w:rsid w:val="00125F59"/>
    <w:rsid w:val="0012669B"/>
    <w:rsid w:val="00126901"/>
    <w:rsid w:val="001269A3"/>
    <w:rsid w:val="00126C33"/>
    <w:rsid w:val="00126D00"/>
    <w:rsid w:val="00127C57"/>
    <w:rsid w:val="001309A3"/>
    <w:rsid w:val="00130F5E"/>
    <w:rsid w:val="00131075"/>
    <w:rsid w:val="0013190D"/>
    <w:rsid w:val="00131A05"/>
    <w:rsid w:val="00132A11"/>
    <w:rsid w:val="001330B9"/>
    <w:rsid w:val="00133358"/>
    <w:rsid w:val="00133419"/>
    <w:rsid w:val="00133BA1"/>
    <w:rsid w:val="00133D48"/>
    <w:rsid w:val="0013424D"/>
    <w:rsid w:val="0013490E"/>
    <w:rsid w:val="00134C99"/>
    <w:rsid w:val="00135C63"/>
    <w:rsid w:val="001363F5"/>
    <w:rsid w:val="00137048"/>
    <w:rsid w:val="00137617"/>
    <w:rsid w:val="00140BB6"/>
    <w:rsid w:val="00140D33"/>
    <w:rsid w:val="00140DD0"/>
    <w:rsid w:val="00140FB1"/>
    <w:rsid w:val="0014156D"/>
    <w:rsid w:val="00141B7F"/>
    <w:rsid w:val="001422D1"/>
    <w:rsid w:val="001423BD"/>
    <w:rsid w:val="00142438"/>
    <w:rsid w:val="00142BAF"/>
    <w:rsid w:val="00144230"/>
    <w:rsid w:val="001444B1"/>
    <w:rsid w:val="00144637"/>
    <w:rsid w:val="001449BB"/>
    <w:rsid w:val="00145A07"/>
    <w:rsid w:val="00145BCD"/>
    <w:rsid w:val="00145BE4"/>
    <w:rsid w:val="00145C33"/>
    <w:rsid w:val="0014604F"/>
    <w:rsid w:val="001460F8"/>
    <w:rsid w:val="0014660D"/>
    <w:rsid w:val="00146CA0"/>
    <w:rsid w:val="00147025"/>
    <w:rsid w:val="0014715F"/>
    <w:rsid w:val="00147E48"/>
    <w:rsid w:val="001500D9"/>
    <w:rsid w:val="001501D3"/>
    <w:rsid w:val="001518FF"/>
    <w:rsid w:val="00151FE0"/>
    <w:rsid w:val="0015232B"/>
    <w:rsid w:val="00152677"/>
    <w:rsid w:val="00152824"/>
    <w:rsid w:val="00152A06"/>
    <w:rsid w:val="00153593"/>
    <w:rsid w:val="001537BC"/>
    <w:rsid w:val="00153F07"/>
    <w:rsid w:val="001544DD"/>
    <w:rsid w:val="001548C0"/>
    <w:rsid w:val="001552EE"/>
    <w:rsid w:val="001554B3"/>
    <w:rsid w:val="00155795"/>
    <w:rsid w:val="00155B0B"/>
    <w:rsid w:val="001562CE"/>
    <w:rsid w:val="00156A30"/>
    <w:rsid w:val="00156DCD"/>
    <w:rsid w:val="0015727A"/>
    <w:rsid w:val="001572C5"/>
    <w:rsid w:val="00157639"/>
    <w:rsid w:val="001602E8"/>
    <w:rsid w:val="0016040F"/>
    <w:rsid w:val="001611E6"/>
    <w:rsid w:val="001614CA"/>
    <w:rsid w:val="00161E75"/>
    <w:rsid w:val="00161F5C"/>
    <w:rsid w:val="00162433"/>
    <w:rsid w:val="00162971"/>
    <w:rsid w:val="00162F70"/>
    <w:rsid w:val="0016338F"/>
    <w:rsid w:val="001647C3"/>
    <w:rsid w:val="00164B68"/>
    <w:rsid w:val="00164BF9"/>
    <w:rsid w:val="00164F22"/>
    <w:rsid w:val="0016505D"/>
    <w:rsid w:val="001657B9"/>
    <w:rsid w:val="001661DD"/>
    <w:rsid w:val="00166B8B"/>
    <w:rsid w:val="00170440"/>
    <w:rsid w:val="00170EF4"/>
    <w:rsid w:val="001710FB"/>
    <w:rsid w:val="00171DFF"/>
    <w:rsid w:val="00172111"/>
    <w:rsid w:val="0017238E"/>
    <w:rsid w:val="0017267C"/>
    <w:rsid w:val="00172DB6"/>
    <w:rsid w:val="00172E5F"/>
    <w:rsid w:val="00172EE4"/>
    <w:rsid w:val="001733B4"/>
    <w:rsid w:val="0017343E"/>
    <w:rsid w:val="0017385E"/>
    <w:rsid w:val="00173C65"/>
    <w:rsid w:val="00173D7B"/>
    <w:rsid w:val="001753FA"/>
    <w:rsid w:val="001767D6"/>
    <w:rsid w:val="00177B96"/>
    <w:rsid w:val="001804F6"/>
    <w:rsid w:val="00180CD3"/>
    <w:rsid w:val="00180F57"/>
    <w:rsid w:val="001817C0"/>
    <w:rsid w:val="00182AAA"/>
    <w:rsid w:val="0018377B"/>
    <w:rsid w:val="001839A3"/>
    <w:rsid w:val="0018428E"/>
    <w:rsid w:val="00184CBA"/>
    <w:rsid w:val="001850DC"/>
    <w:rsid w:val="0018563F"/>
    <w:rsid w:val="0018618E"/>
    <w:rsid w:val="00187326"/>
    <w:rsid w:val="001877BA"/>
    <w:rsid w:val="001905B0"/>
    <w:rsid w:val="00190832"/>
    <w:rsid w:val="0019185C"/>
    <w:rsid w:val="00191B57"/>
    <w:rsid w:val="00191CBC"/>
    <w:rsid w:val="001921B2"/>
    <w:rsid w:val="001927D7"/>
    <w:rsid w:val="00192996"/>
    <w:rsid w:val="00192A32"/>
    <w:rsid w:val="001933D4"/>
    <w:rsid w:val="00193464"/>
    <w:rsid w:val="00193FE3"/>
    <w:rsid w:val="001941F1"/>
    <w:rsid w:val="00194687"/>
    <w:rsid w:val="00194E69"/>
    <w:rsid w:val="00195218"/>
    <w:rsid w:val="00195953"/>
    <w:rsid w:val="00195AE1"/>
    <w:rsid w:val="00195D16"/>
    <w:rsid w:val="0019695C"/>
    <w:rsid w:val="00196C5E"/>
    <w:rsid w:val="00197115"/>
    <w:rsid w:val="0019714B"/>
    <w:rsid w:val="001972F7"/>
    <w:rsid w:val="00197459"/>
    <w:rsid w:val="001A0E47"/>
    <w:rsid w:val="001A25BD"/>
    <w:rsid w:val="001A31C6"/>
    <w:rsid w:val="001A3D96"/>
    <w:rsid w:val="001A3DE0"/>
    <w:rsid w:val="001A4D63"/>
    <w:rsid w:val="001A5DCD"/>
    <w:rsid w:val="001A6073"/>
    <w:rsid w:val="001A6CB4"/>
    <w:rsid w:val="001B0CA7"/>
    <w:rsid w:val="001B11C8"/>
    <w:rsid w:val="001B1868"/>
    <w:rsid w:val="001B2855"/>
    <w:rsid w:val="001B2CA0"/>
    <w:rsid w:val="001B3451"/>
    <w:rsid w:val="001B40B3"/>
    <w:rsid w:val="001B437D"/>
    <w:rsid w:val="001B43D7"/>
    <w:rsid w:val="001B4D38"/>
    <w:rsid w:val="001B4EEF"/>
    <w:rsid w:val="001B50CF"/>
    <w:rsid w:val="001B5198"/>
    <w:rsid w:val="001B5348"/>
    <w:rsid w:val="001B598E"/>
    <w:rsid w:val="001B649F"/>
    <w:rsid w:val="001B6648"/>
    <w:rsid w:val="001B680B"/>
    <w:rsid w:val="001B6F08"/>
    <w:rsid w:val="001B7079"/>
    <w:rsid w:val="001B75C9"/>
    <w:rsid w:val="001B7AA2"/>
    <w:rsid w:val="001B7AE2"/>
    <w:rsid w:val="001B7D1A"/>
    <w:rsid w:val="001C0669"/>
    <w:rsid w:val="001C0B01"/>
    <w:rsid w:val="001C11FC"/>
    <w:rsid w:val="001C24C5"/>
    <w:rsid w:val="001C2787"/>
    <w:rsid w:val="001C2AE2"/>
    <w:rsid w:val="001C2D2D"/>
    <w:rsid w:val="001C344B"/>
    <w:rsid w:val="001C35AE"/>
    <w:rsid w:val="001C3C74"/>
    <w:rsid w:val="001C3CFF"/>
    <w:rsid w:val="001C440A"/>
    <w:rsid w:val="001C4BBD"/>
    <w:rsid w:val="001C557C"/>
    <w:rsid w:val="001C5DD2"/>
    <w:rsid w:val="001C678D"/>
    <w:rsid w:val="001C6C78"/>
    <w:rsid w:val="001C6E68"/>
    <w:rsid w:val="001D040C"/>
    <w:rsid w:val="001D0B49"/>
    <w:rsid w:val="001D1730"/>
    <w:rsid w:val="001D1BFA"/>
    <w:rsid w:val="001D2EF9"/>
    <w:rsid w:val="001D2F60"/>
    <w:rsid w:val="001D3C3A"/>
    <w:rsid w:val="001D49E7"/>
    <w:rsid w:val="001D4BD3"/>
    <w:rsid w:val="001D52D2"/>
    <w:rsid w:val="001D53F8"/>
    <w:rsid w:val="001D5545"/>
    <w:rsid w:val="001D597E"/>
    <w:rsid w:val="001D5FBF"/>
    <w:rsid w:val="001D619F"/>
    <w:rsid w:val="001D6A46"/>
    <w:rsid w:val="001D71A3"/>
    <w:rsid w:val="001E0659"/>
    <w:rsid w:val="001E094B"/>
    <w:rsid w:val="001E098B"/>
    <w:rsid w:val="001E10FC"/>
    <w:rsid w:val="001E16DC"/>
    <w:rsid w:val="001E247E"/>
    <w:rsid w:val="001E2BA4"/>
    <w:rsid w:val="001E2F6B"/>
    <w:rsid w:val="001E34ED"/>
    <w:rsid w:val="001E35F9"/>
    <w:rsid w:val="001E4272"/>
    <w:rsid w:val="001E4831"/>
    <w:rsid w:val="001E4DB2"/>
    <w:rsid w:val="001E5156"/>
    <w:rsid w:val="001E5209"/>
    <w:rsid w:val="001E551F"/>
    <w:rsid w:val="001E6367"/>
    <w:rsid w:val="001E6426"/>
    <w:rsid w:val="001F087C"/>
    <w:rsid w:val="001F089C"/>
    <w:rsid w:val="001F0BD3"/>
    <w:rsid w:val="001F204C"/>
    <w:rsid w:val="001F26E6"/>
    <w:rsid w:val="001F3112"/>
    <w:rsid w:val="001F37C8"/>
    <w:rsid w:val="001F41DB"/>
    <w:rsid w:val="001F4665"/>
    <w:rsid w:val="001F4A53"/>
    <w:rsid w:val="001F4C23"/>
    <w:rsid w:val="001F4CD7"/>
    <w:rsid w:val="001F5F71"/>
    <w:rsid w:val="001F6647"/>
    <w:rsid w:val="001F6939"/>
    <w:rsid w:val="00200414"/>
    <w:rsid w:val="00200A38"/>
    <w:rsid w:val="00200B0E"/>
    <w:rsid w:val="00200FF4"/>
    <w:rsid w:val="00201EDB"/>
    <w:rsid w:val="00201F38"/>
    <w:rsid w:val="00202105"/>
    <w:rsid w:val="00202CF8"/>
    <w:rsid w:val="00202D75"/>
    <w:rsid w:val="00202DDC"/>
    <w:rsid w:val="002035FC"/>
    <w:rsid w:val="002039B6"/>
    <w:rsid w:val="002042D2"/>
    <w:rsid w:val="0020488A"/>
    <w:rsid w:val="00204C1E"/>
    <w:rsid w:val="00206C17"/>
    <w:rsid w:val="00206D50"/>
    <w:rsid w:val="00207271"/>
    <w:rsid w:val="00207871"/>
    <w:rsid w:val="00207B1C"/>
    <w:rsid w:val="00207E2E"/>
    <w:rsid w:val="00210544"/>
    <w:rsid w:val="002110FA"/>
    <w:rsid w:val="00211228"/>
    <w:rsid w:val="0021151B"/>
    <w:rsid w:val="0021216C"/>
    <w:rsid w:val="002125DA"/>
    <w:rsid w:val="00213257"/>
    <w:rsid w:val="00213921"/>
    <w:rsid w:val="002148FF"/>
    <w:rsid w:val="00214981"/>
    <w:rsid w:val="00214CC4"/>
    <w:rsid w:val="002161DD"/>
    <w:rsid w:val="002162FE"/>
    <w:rsid w:val="002169CD"/>
    <w:rsid w:val="002171D6"/>
    <w:rsid w:val="00217401"/>
    <w:rsid w:val="00220146"/>
    <w:rsid w:val="00220228"/>
    <w:rsid w:val="002202CF"/>
    <w:rsid w:val="00220823"/>
    <w:rsid w:val="00220EDA"/>
    <w:rsid w:val="00221AB6"/>
    <w:rsid w:val="002229D4"/>
    <w:rsid w:val="00222A80"/>
    <w:rsid w:val="00222CCA"/>
    <w:rsid w:val="00222DA1"/>
    <w:rsid w:val="0022344B"/>
    <w:rsid w:val="0022350B"/>
    <w:rsid w:val="002235FD"/>
    <w:rsid w:val="00223A7F"/>
    <w:rsid w:val="00223C68"/>
    <w:rsid w:val="002242A3"/>
    <w:rsid w:val="002242F3"/>
    <w:rsid w:val="00224375"/>
    <w:rsid w:val="00224626"/>
    <w:rsid w:val="00224C7A"/>
    <w:rsid w:val="002250FB"/>
    <w:rsid w:val="002253B0"/>
    <w:rsid w:val="00226103"/>
    <w:rsid w:val="002270B2"/>
    <w:rsid w:val="002271EA"/>
    <w:rsid w:val="002303A1"/>
    <w:rsid w:val="00230B30"/>
    <w:rsid w:val="002310DD"/>
    <w:rsid w:val="00231D8C"/>
    <w:rsid w:val="002320A3"/>
    <w:rsid w:val="0023212C"/>
    <w:rsid w:val="00232584"/>
    <w:rsid w:val="00232960"/>
    <w:rsid w:val="00232AF6"/>
    <w:rsid w:val="0023341E"/>
    <w:rsid w:val="00233EC6"/>
    <w:rsid w:val="002340FC"/>
    <w:rsid w:val="00234FE4"/>
    <w:rsid w:val="00236729"/>
    <w:rsid w:val="00236CFF"/>
    <w:rsid w:val="002375A3"/>
    <w:rsid w:val="00237808"/>
    <w:rsid w:val="00237D48"/>
    <w:rsid w:val="00241097"/>
    <w:rsid w:val="002424BE"/>
    <w:rsid w:val="00242716"/>
    <w:rsid w:val="00242B60"/>
    <w:rsid w:val="00243565"/>
    <w:rsid w:val="0024524A"/>
    <w:rsid w:val="002461D7"/>
    <w:rsid w:val="00246268"/>
    <w:rsid w:val="002462F5"/>
    <w:rsid w:val="00246346"/>
    <w:rsid w:val="0024697F"/>
    <w:rsid w:val="00246D2D"/>
    <w:rsid w:val="00246EB5"/>
    <w:rsid w:val="00247F3F"/>
    <w:rsid w:val="00250046"/>
    <w:rsid w:val="00250281"/>
    <w:rsid w:val="002513FE"/>
    <w:rsid w:val="00251CC7"/>
    <w:rsid w:val="00251DF5"/>
    <w:rsid w:val="00252897"/>
    <w:rsid w:val="00252980"/>
    <w:rsid w:val="00252F3B"/>
    <w:rsid w:val="002535CD"/>
    <w:rsid w:val="002537B2"/>
    <w:rsid w:val="0025387D"/>
    <w:rsid w:val="00253BE0"/>
    <w:rsid w:val="00254739"/>
    <w:rsid w:val="00254B2F"/>
    <w:rsid w:val="00254B44"/>
    <w:rsid w:val="00254C12"/>
    <w:rsid w:val="00255433"/>
    <w:rsid w:val="00255770"/>
    <w:rsid w:val="00256421"/>
    <w:rsid w:val="002566D1"/>
    <w:rsid w:val="00257037"/>
    <w:rsid w:val="0025778E"/>
    <w:rsid w:val="00257F6F"/>
    <w:rsid w:val="00260180"/>
    <w:rsid w:val="0026110B"/>
    <w:rsid w:val="002618A8"/>
    <w:rsid w:val="002618F2"/>
    <w:rsid w:val="002619D1"/>
    <w:rsid w:val="00262431"/>
    <w:rsid w:val="00262836"/>
    <w:rsid w:val="00262940"/>
    <w:rsid w:val="00262B2C"/>
    <w:rsid w:val="00262D02"/>
    <w:rsid w:val="00263216"/>
    <w:rsid w:val="00263704"/>
    <w:rsid w:val="00263858"/>
    <w:rsid w:val="00263C36"/>
    <w:rsid w:val="002647A6"/>
    <w:rsid w:val="00265096"/>
    <w:rsid w:val="002654A6"/>
    <w:rsid w:val="00265526"/>
    <w:rsid w:val="00265A64"/>
    <w:rsid w:val="00266243"/>
    <w:rsid w:val="0026717B"/>
    <w:rsid w:val="00267552"/>
    <w:rsid w:val="00267E56"/>
    <w:rsid w:val="00267F99"/>
    <w:rsid w:val="002705A1"/>
    <w:rsid w:val="002705F2"/>
    <w:rsid w:val="0027062C"/>
    <w:rsid w:val="002707A6"/>
    <w:rsid w:val="00270826"/>
    <w:rsid w:val="00270C5C"/>
    <w:rsid w:val="002712A5"/>
    <w:rsid w:val="00272CA9"/>
    <w:rsid w:val="00273424"/>
    <w:rsid w:val="0027363B"/>
    <w:rsid w:val="00273A04"/>
    <w:rsid w:val="00273AC9"/>
    <w:rsid w:val="00273B9F"/>
    <w:rsid w:val="002751CC"/>
    <w:rsid w:val="00276552"/>
    <w:rsid w:val="00276BCF"/>
    <w:rsid w:val="00277747"/>
    <w:rsid w:val="00277B36"/>
    <w:rsid w:val="00277DAC"/>
    <w:rsid w:val="00280071"/>
    <w:rsid w:val="0028010C"/>
    <w:rsid w:val="00280CFD"/>
    <w:rsid w:val="0028103B"/>
    <w:rsid w:val="0028178B"/>
    <w:rsid w:val="00281A64"/>
    <w:rsid w:val="00282099"/>
    <w:rsid w:val="0028394C"/>
    <w:rsid w:val="00285154"/>
    <w:rsid w:val="002855D6"/>
    <w:rsid w:val="00285856"/>
    <w:rsid w:val="00285B4C"/>
    <w:rsid w:val="00286EBD"/>
    <w:rsid w:val="00286EDF"/>
    <w:rsid w:val="00286FB6"/>
    <w:rsid w:val="00287E61"/>
    <w:rsid w:val="00287F8C"/>
    <w:rsid w:val="002907C8"/>
    <w:rsid w:val="00290823"/>
    <w:rsid w:val="0029098F"/>
    <w:rsid w:val="002909BD"/>
    <w:rsid w:val="00290E69"/>
    <w:rsid w:val="00291061"/>
    <w:rsid w:val="002916FD"/>
    <w:rsid w:val="00291DCB"/>
    <w:rsid w:val="002929B5"/>
    <w:rsid w:val="00292A26"/>
    <w:rsid w:val="002934AA"/>
    <w:rsid w:val="0029364A"/>
    <w:rsid w:val="002954AD"/>
    <w:rsid w:val="002957FF"/>
    <w:rsid w:val="00296319"/>
    <w:rsid w:val="00296435"/>
    <w:rsid w:val="0029646C"/>
    <w:rsid w:val="00296E69"/>
    <w:rsid w:val="002A3B56"/>
    <w:rsid w:val="002A49A3"/>
    <w:rsid w:val="002A57A4"/>
    <w:rsid w:val="002A586E"/>
    <w:rsid w:val="002A6108"/>
    <w:rsid w:val="002A6558"/>
    <w:rsid w:val="002A66D6"/>
    <w:rsid w:val="002A6A03"/>
    <w:rsid w:val="002A6EA6"/>
    <w:rsid w:val="002A72E3"/>
    <w:rsid w:val="002A75F0"/>
    <w:rsid w:val="002A79B8"/>
    <w:rsid w:val="002B08CB"/>
    <w:rsid w:val="002B0B5F"/>
    <w:rsid w:val="002B1F1F"/>
    <w:rsid w:val="002B2418"/>
    <w:rsid w:val="002B246B"/>
    <w:rsid w:val="002B3585"/>
    <w:rsid w:val="002B388A"/>
    <w:rsid w:val="002B3CC8"/>
    <w:rsid w:val="002B4163"/>
    <w:rsid w:val="002B4943"/>
    <w:rsid w:val="002B54C0"/>
    <w:rsid w:val="002B5C5E"/>
    <w:rsid w:val="002B64B4"/>
    <w:rsid w:val="002B7831"/>
    <w:rsid w:val="002B7CF9"/>
    <w:rsid w:val="002C045D"/>
    <w:rsid w:val="002C07DB"/>
    <w:rsid w:val="002C0E89"/>
    <w:rsid w:val="002C1585"/>
    <w:rsid w:val="002C233F"/>
    <w:rsid w:val="002C2DA4"/>
    <w:rsid w:val="002C31C8"/>
    <w:rsid w:val="002C3282"/>
    <w:rsid w:val="002C3979"/>
    <w:rsid w:val="002C3DD2"/>
    <w:rsid w:val="002C40A3"/>
    <w:rsid w:val="002C42F1"/>
    <w:rsid w:val="002C573F"/>
    <w:rsid w:val="002C576B"/>
    <w:rsid w:val="002C57F0"/>
    <w:rsid w:val="002C661F"/>
    <w:rsid w:val="002C69BF"/>
    <w:rsid w:val="002C70CD"/>
    <w:rsid w:val="002C79E4"/>
    <w:rsid w:val="002C7E69"/>
    <w:rsid w:val="002C7F8D"/>
    <w:rsid w:val="002D0756"/>
    <w:rsid w:val="002D0B45"/>
    <w:rsid w:val="002D0C64"/>
    <w:rsid w:val="002D14A7"/>
    <w:rsid w:val="002D19AD"/>
    <w:rsid w:val="002D1C20"/>
    <w:rsid w:val="002D1F8F"/>
    <w:rsid w:val="002D2009"/>
    <w:rsid w:val="002D227A"/>
    <w:rsid w:val="002D2494"/>
    <w:rsid w:val="002D2A22"/>
    <w:rsid w:val="002D2AFD"/>
    <w:rsid w:val="002D3206"/>
    <w:rsid w:val="002D3248"/>
    <w:rsid w:val="002D35D3"/>
    <w:rsid w:val="002D3939"/>
    <w:rsid w:val="002D419E"/>
    <w:rsid w:val="002D450C"/>
    <w:rsid w:val="002D510F"/>
    <w:rsid w:val="002D5396"/>
    <w:rsid w:val="002D5709"/>
    <w:rsid w:val="002D5C58"/>
    <w:rsid w:val="002E0467"/>
    <w:rsid w:val="002E047D"/>
    <w:rsid w:val="002E0506"/>
    <w:rsid w:val="002E0971"/>
    <w:rsid w:val="002E0A38"/>
    <w:rsid w:val="002E0DBF"/>
    <w:rsid w:val="002E1345"/>
    <w:rsid w:val="002E266B"/>
    <w:rsid w:val="002E3F0F"/>
    <w:rsid w:val="002E4944"/>
    <w:rsid w:val="002E6B58"/>
    <w:rsid w:val="002E6E4C"/>
    <w:rsid w:val="002E70D3"/>
    <w:rsid w:val="002E7213"/>
    <w:rsid w:val="002E7953"/>
    <w:rsid w:val="002E7B28"/>
    <w:rsid w:val="002E7B59"/>
    <w:rsid w:val="002F0309"/>
    <w:rsid w:val="002F1378"/>
    <w:rsid w:val="002F13C7"/>
    <w:rsid w:val="002F149C"/>
    <w:rsid w:val="002F1E6C"/>
    <w:rsid w:val="002F2819"/>
    <w:rsid w:val="002F2960"/>
    <w:rsid w:val="002F2F1B"/>
    <w:rsid w:val="002F33B7"/>
    <w:rsid w:val="002F3524"/>
    <w:rsid w:val="002F3C12"/>
    <w:rsid w:val="002F3FE1"/>
    <w:rsid w:val="002F4107"/>
    <w:rsid w:val="002F4120"/>
    <w:rsid w:val="002F4E62"/>
    <w:rsid w:val="002F5137"/>
    <w:rsid w:val="002F6592"/>
    <w:rsid w:val="002F666E"/>
    <w:rsid w:val="002F7B87"/>
    <w:rsid w:val="002F7D1C"/>
    <w:rsid w:val="002F7FFC"/>
    <w:rsid w:val="0030050E"/>
    <w:rsid w:val="003006B5"/>
    <w:rsid w:val="00300C65"/>
    <w:rsid w:val="00301AA8"/>
    <w:rsid w:val="00301B8A"/>
    <w:rsid w:val="00301C33"/>
    <w:rsid w:val="00301EE4"/>
    <w:rsid w:val="0030232D"/>
    <w:rsid w:val="00302C19"/>
    <w:rsid w:val="003047B6"/>
    <w:rsid w:val="00306005"/>
    <w:rsid w:val="00306162"/>
    <w:rsid w:val="0030627F"/>
    <w:rsid w:val="00306344"/>
    <w:rsid w:val="003063F6"/>
    <w:rsid w:val="0030665F"/>
    <w:rsid w:val="00306AEA"/>
    <w:rsid w:val="00307166"/>
    <w:rsid w:val="00307D5B"/>
    <w:rsid w:val="00311587"/>
    <w:rsid w:val="003118B7"/>
    <w:rsid w:val="00312493"/>
    <w:rsid w:val="0031311B"/>
    <w:rsid w:val="00313731"/>
    <w:rsid w:val="00313915"/>
    <w:rsid w:val="00313A59"/>
    <w:rsid w:val="00313EBC"/>
    <w:rsid w:val="0031426C"/>
    <w:rsid w:val="0031486C"/>
    <w:rsid w:val="0031745C"/>
    <w:rsid w:val="00317623"/>
    <w:rsid w:val="003203A0"/>
    <w:rsid w:val="0032048F"/>
    <w:rsid w:val="00320552"/>
    <w:rsid w:val="003240D4"/>
    <w:rsid w:val="003241D8"/>
    <w:rsid w:val="003242D2"/>
    <w:rsid w:val="00324558"/>
    <w:rsid w:val="00324AB6"/>
    <w:rsid w:val="00325324"/>
    <w:rsid w:val="00325BA0"/>
    <w:rsid w:val="00326265"/>
    <w:rsid w:val="00326427"/>
    <w:rsid w:val="003269CD"/>
    <w:rsid w:val="00326A9A"/>
    <w:rsid w:val="00327A3B"/>
    <w:rsid w:val="00327AAB"/>
    <w:rsid w:val="00327AC6"/>
    <w:rsid w:val="00327B95"/>
    <w:rsid w:val="00327D53"/>
    <w:rsid w:val="00327EC1"/>
    <w:rsid w:val="00330523"/>
    <w:rsid w:val="003305C7"/>
    <w:rsid w:val="0033217D"/>
    <w:rsid w:val="003323A7"/>
    <w:rsid w:val="0033258B"/>
    <w:rsid w:val="003328BD"/>
    <w:rsid w:val="00332942"/>
    <w:rsid w:val="00332B57"/>
    <w:rsid w:val="00333033"/>
    <w:rsid w:val="00333653"/>
    <w:rsid w:val="0033437D"/>
    <w:rsid w:val="0033450C"/>
    <w:rsid w:val="00334545"/>
    <w:rsid w:val="00334CBF"/>
    <w:rsid w:val="0033510C"/>
    <w:rsid w:val="00335816"/>
    <w:rsid w:val="00335CF1"/>
    <w:rsid w:val="00336271"/>
    <w:rsid w:val="00336768"/>
    <w:rsid w:val="00340240"/>
    <w:rsid w:val="0034150D"/>
    <w:rsid w:val="003416D1"/>
    <w:rsid w:val="00341B95"/>
    <w:rsid w:val="00341D3B"/>
    <w:rsid w:val="00341FCD"/>
    <w:rsid w:val="00342681"/>
    <w:rsid w:val="00342E87"/>
    <w:rsid w:val="003432D2"/>
    <w:rsid w:val="00343486"/>
    <w:rsid w:val="003435F5"/>
    <w:rsid w:val="00343FA9"/>
    <w:rsid w:val="00344902"/>
    <w:rsid w:val="00344EE0"/>
    <w:rsid w:val="00345B69"/>
    <w:rsid w:val="00346928"/>
    <w:rsid w:val="003469B9"/>
    <w:rsid w:val="00347380"/>
    <w:rsid w:val="00347807"/>
    <w:rsid w:val="00347ABE"/>
    <w:rsid w:val="00347F2E"/>
    <w:rsid w:val="003510E8"/>
    <w:rsid w:val="00351150"/>
    <w:rsid w:val="00351600"/>
    <w:rsid w:val="00352101"/>
    <w:rsid w:val="00353076"/>
    <w:rsid w:val="00353F9D"/>
    <w:rsid w:val="003541B3"/>
    <w:rsid w:val="00354265"/>
    <w:rsid w:val="00354373"/>
    <w:rsid w:val="00354746"/>
    <w:rsid w:val="00354FE4"/>
    <w:rsid w:val="00355F2E"/>
    <w:rsid w:val="003564F7"/>
    <w:rsid w:val="003567D5"/>
    <w:rsid w:val="003570F6"/>
    <w:rsid w:val="00357216"/>
    <w:rsid w:val="00357F09"/>
    <w:rsid w:val="0036017F"/>
    <w:rsid w:val="003603CE"/>
    <w:rsid w:val="0036110A"/>
    <w:rsid w:val="00361317"/>
    <w:rsid w:val="0036190B"/>
    <w:rsid w:val="00361A09"/>
    <w:rsid w:val="00361C74"/>
    <w:rsid w:val="00361FCF"/>
    <w:rsid w:val="00363326"/>
    <w:rsid w:val="0036380C"/>
    <w:rsid w:val="00363B46"/>
    <w:rsid w:val="00363C6D"/>
    <w:rsid w:val="00363E6C"/>
    <w:rsid w:val="0036453B"/>
    <w:rsid w:val="003646AE"/>
    <w:rsid w:val="00364734"/>
    <w:rsid w:val="00364801"/>
    <w:rsid w:val="00364A9C"/>
    <w:rsid w:val="00365485"/>
    <w:rsid w:val="003655C8"/>
    <w:rsid w:val="00366209"/>
    <w:rsid w:val="003673D2"/>
    <w:rsid w:val="003705D5"/>
    <w:rsid w:val="00370842"/>
    <w:rsid w:val="003710F6"/>
    <w:rsid w:val="00371597"/>
    <w:rsid w:val="00372089"/>
    <w:rsid w:val="0037211D"/>
    <w:rsid w:val="00372239"/>
    <w:rsid w:val="003729F2"/>
    <w:rsid w:val="00372E06"/>
    <w:rsid w:val="0037307D"/>
    <w:rsid w:val="003747AA"/>
    <w:rsid w:val="0037489B"/>
    <w:rsid w:val="003748F9"/>
    <w:rsid w:val="003757FE"/>
    <w:rsid w:val="00375B48"/>
    <w:rsid w:val="00375F1D"/>
    <w:rsid w:val="00376023"/>
    <w:rsid w:val="00376523"/>
    <w:rsid w:val="003774CD"/>
    <w:rsid w:val="00380134"/>
    <w:rsid w:val="00381454"/>
    <w:rsid w:val="00381811"/>
    <w:rsid w:val="00381897"/>
    <w:rsid w:val="00382507"/>
    <w:rsid w:val="003837FB"/>
    <w:rsid w:val="00383810"/>
    <w:rsid w:val="00383F8A"/>
    <w:rsid w:val="00384B0F"/>
    <w:rsid w:val="00385498"/>
    <w:rsid w:val="0038558F"/>
    <w:rsid w:val="0038584F"/>
    <w:rsid w:val="00385FFF"/>
    <w:rsid w:val="003865D8"/>
    <w:rsid w:val="0038661F"/>
    <w:rsid w:val="00386636"/>
    <w:rsid w:val="00386E0C"/>
    <w:rsid w:val="00386E87"/>
    <w:rsid w:val="003907CD"/>
    <w:rsid w:val="00391CBB"/>
    <w:rsid w:val="0039268A"/>
    <w:rsid w:val="0039288B"/>
    <w:rsid w:val="00392B9C"/>
    <w:rsid w:val="00393A96"/>
    <w:rsid w:val="00394B30"/>
    <w:rsid w:val="00395828"/>
    <w:rsid w:val="0039596A"/>
    <w:rsid w:val="00396539"/>
    <w:rsid w:val="00396732"/>
    <w:rsid w:val="00396AC3"/>
    <w:rsid w:val="00396D7A"/>
    <w:rsid w:val="00397082"/>
    <w:rsid w:val="00397156"/>
    <w:rsid w:val="00397E1A"/>
    <w:rsid w:val="003A0395"/>
    <w:rsid w:val="003A1152"/>
    <w:rsid w:val="003A1DAA"/>
    <w:rsid w:val="003A26F3"/>
    <w:rsid w:val="003A278F"/>
    <w:rsid w:val="003A2B7E"/>
    <w:rsid w:val="003A2E29"/>
    <w:rsid w:val="003A2F70"/>
    <w:rsid w:val="003A3291"/>
    <w:rsid w:val="003A3549"/>
    <w:rsid w:val="003A3C66"/>
    <w:rsid w:val="003A40BB"/>
    <w:rsid w:val="003A49E4"/>
    <w:rsid w:val="003A5258"/>
    <w:rsid w:val="003A5334"/>
    <w:rsid w:val="003A55B0"/>
    <w:rsid w:val="003A66CC"/>
    <w:rsid w:val="003A6772"/>
    <w:rsid w:val="003A6ACE"/>
    <w:rsid w:val="003A704A"/>
    <w:rsid w:val="003A74E2"/>
    <w:rsid w:val="003A77FC"/>
    <w:rsid w:val="003A7BF7"/>
    <w:rsid w:val="003A7D0A"/>
    <w:rsid w:val="003B1380"/>
    <w:rsid w:val="003B2E7A"/>
    <w:rsid w:val="003B2F7C"/>
    <w:rsid w:val="003B3586"/>
    <w:rsid w:val="003B53DA"/>
    <w:rsid w:val="003B580B"/>
    <w:rsid w:val="003B5CAB"/>
    <w:rsid w:val="003B5D1C"/>
    <w:rsid w:val="003B615A"/>
    <w:rsid w:val="003B6DBC"/>
    <w:rsid w:val="003B73A5"/>
    <w:rsid w:val="003B7869"/>
    <w:rsid w:val="003B7D33"/>
    <w:rsid w:val="003B7F86"/>
    <w:rsid w:val="003C00ED"/>
    <w:rsid w:val="003C0405"/>
    <w:rsid w:val="003C06CC"/>
    <w:rsid w:val="003C0723"/>
    <w:rsid w:val="003C0984"/>
    <w:rsid w:val="003C0D54"/>
    <w:rsid w:val="003C12C1"/>
    <w:rsid w:val="003C1D3B"/>
    <w:rsid w:val="003C2394"/>
    <w:rsid w:val="003C2783"/>
    <w:rsid w:val="003C2904"/>
    <w:rsid w:val="003C2A7C"/>
    <w:rsid w:val="003C4287"/>
    <w:rsid w:val="003C46A3"/>
    <w:rsid w:val="003C49F1"/>
    <w:rsid w:val="003C4F8E"/>
    <w:rsid w:val="003C5F94"/>
    <w:rsid w:val="003C6321"/>
    <w:rsid w:val="003C672F"/>
    <w:rsid w:val="003C6892"/>
    <w:rsid w:val="003C6F11"/>
    <w:rsid w:val="003C700C"/>
    <w:rsid w:val="003C7320"/>
    <w:rsid w:val="003C73F5"/>
    <w:rsid w:val="003C7651"/>
    <w:rsid w:val="003D04A3"/>
    <w:rsid w:val="003D0A4A"/>
    <w:rsid w:val="003D0C99"/>
    <w:rsid w:val="003D0CAE"/>
    <w:rsid w:val="003D173F"/>
    <w:rsid w:val="003D20DD"/>
    <w:rsid w:val="003D22BB"/>
    <w:rsid w:val="003D30B5"/>
    <w:rsid w:val="003D3CC0"/>
    <w:rsid w:val="003D4D60"/>
    <w:rsid w:val="003D4DF6"/>
    <w:rsid w:val="003D5954"/>
    <w:rsid w:val="003D6C18"/>
    <w:rsid w:val="003E031F"/>
    <w:rsid w:val="003E066F"/>
    <w:rsid w:val="003E1A79"/>
    <w:rsid w:val="003E21A8"/>
    <w:rsid w:val="003E2B3B"/>
    <w:rsid w:val="003E2BB8"/>
    <w:rsid w:val="003E33DD"/>
    <w:rsid w:val="003E376D"/>
    <w:rsid w:val="003E40E7"/>
    <w:rsid w:val="003E41BF"/>
    <w:rsid w:val="003E538C"/>
    <w:rsid w:val="003E61CD"/>
    <w:rsid w:val="003E7B05"/>
    <w:rsid w:val="003E7B72"/>
    <w:rsid w:val="003F1A97"/>
    <w:rsid w:val="003F1AF9"/>
    <w:rsid w:val="003F2736"/>
    <w:rsid w:val="003F2C61"/>
    <w:rsid w:val="003F536F"/>
    <w:rsid w:val="003F5C13"/>
    <w:rsid w:val="003F72DC"/>
    <w:rsid w:val="003F7882"/>
    <w:rsid w:val="003F7EFC"/>
    <w:rsid w:val="004006CD"/>
    <w:rsid w:val="004008ED"/>
    <w:rsid w:val="00400970"/>
    <w:rsid w:val="00400F56"/>
    <w:rsid w:val="004015E2"/>
    <w:rsid w:val="00401C18"/>
    <w:rsid w:val="004020AD"/>
    <w:rsid w:val="00402610"/>
    <w:rsid w:val="0040296B"/>
    <w:rsid w:val="00402CEA"/>
    <w:rsid w:val="00403525"/>
    <w:rsid w:val="00403D9F"/>
    <w:rsid w:val="00405F83"/>
    <w:rsid w:val="004062B8"/>
    <w:rsid w:val="004072D0"/>
    <w:rsid w:val="00407354"/>
    <w:rsid w:val="00407462"/>
    <w:rsid w:val="00407AD1"/>
    <w:rsid w:val="00407B60"/>
    <w:rsid w:val="00407BA5"/>
    <w:rsid w:val="00410CA6"/>
    <w:rsid w:val="00410E64"/>
    <w:rsid w:val="00411203"/>
    <w:rsid w:val="00411746"/>
    <w:rsid w:val="004127F8"/>
    <w:rsid w:val="004139C3"/>
    <w:rsid w:val="004143DF"/>
    <w:rsid w:val="0041491C"/>
    <w:rsid w:val="004167FE"/>
    <w:rsid w:val="0041691A"/>
    <w:rsid w:val="00416B07"/>
    <w:rsid w:val="00417B93"/>
    <w:rsid w:val="00417CFF"/>
    <w:rsid w:val="004207D7"/>
    <w:rsid w:val="00421537"/>
    <w:rsid w:val="0042156D"/>
    <w:rsid w:val="00421CE8"/>
    <w:rsid w:val="00421EC3"/>
    <w:rsid w:val="00422386"/>
    <w:rsid w:val="004225B8"/>
    <w:rsid w:val="00422814"/>
    <w:rsid w:val="00422B4E"/>
    <w:rsid w:val="00423121"/>
    <w:rsid w:val="004231E7"/>
    <w:rsid w:val="00424431"/>
    <w:rsid w:val="0042454F"/>
    <w:rsid w:val="00424F64"/>
    <w:rsid w:val="004254AD"/>
    <w:rsid w:val="00425BE6"/>
    <w:rsid w:val="00427249"/>
    <w:rsid w:val="00427612"/>
    <w:rsid w:val="004277B3"/>
    <w:rsid w:val="00430DCD"/>
    <w:rsid w:val="004310BA"/>
    <w:rsid w:val="004317B4"/>
    <w:rsid w:val="004323D1"/>
    <w:rsid w:val="00432E88"/>
    <w:rsid w:val="00433112"/>
    <w:rsid w:val="004340B0"/>
    <w:rsid w:val="00434152"/>
    <w:rsid w:val="004348B9"/>
    <w:rsid w:val="00437D76"/>
    <w:rsid w:val="004406A2"/>
    <w:rsid w:val="004408F8"/>
    <w:rsid w:val="00440F03"/>
    <w:rsid w:val="00441257"/>
    <w:rsid w:val="00441AA6"/>
    <w:rsid w:val="004421A7"/>
    <w:rsid w:val="0044243A"/>
    <w:rsid w:val="00442444"/>
    <w:rsid w:val="004424FE"/>
    <w:rsid w:val="00442F6C"/>
    <w:rsid w:val="00443026"/>
    <w:rsid w:val="004438EB"/>
    <w:rsid w:val="00443E0D"/>
    <w:rsid w:val="00445377"/>
    <w:rsid w:val="00445C3B"/>
    <w:rsid w:val="00446378"/>
    <w:rsid w:val="004466FE"/>
    <w:rsid w:val="00446E05"/>
    <w:rsid w:val="00450DBF"/>
    <w:rsid w:val="00450F67"/>
    <w:rsid w:val="00451035"/>
    <w:rsid w:val="00451672"/>
    <w:rsid w:val="0045185C"/>
    <w:rsid w:val="004525E2"/>
    <w:rsid w:val="00452A61"/>
    <w:rsid w:val="004530A6"/>
    <w:rsid w:val="004530B2"/>
    <w:rsid w:val="00453941"/>
    <w:rsid w:val="00454AED"/>
    <w:rsid w:val="00454D0B"/>
    <w:rsid w:val="00454D78"/>
    <w:rsid w:val="00455983"/>
    <w:rsid w:val="00455AD4"/>
    <w:rsid w:val="00456116"/>
    <w:rsid w:val="00456350"/>
    <w:rsid w:val="004567C8"/>
    <w:rsid w:val="00456DE8"/>
    <w:rsid w:val="00456E14"/>
    <w:rsid w:val="004571DB"/>
    <w:rsid w:val="00457AC5"/>
    <w:rsid w:val="00457B6B"/>
    <w:rsid w:val="00457D01"/>
    <w:rsid w:val="00457E0D"/>
    <w:rsid w:val="004612AE"/>
    <w:rsid w:val="004620FA"/>
    <w:rsid w:val="0046243A"/>
    <w:rsid w:val="004627EC"/>
    <w:rsid w:val="00462C72"/>
    <w:rsid w:val="00463D83"/>
    <w:rsid w:val="00463E40"/>
    <w:rsid w:val="00464100"/>
    <w:rsid w:val="004642F9"/>
    <w:rsid w:val="004645A9"/>
    <w:rsid w:val="00464BC6"/>
    <w:rsid w:val="00465387"/>
    <w:rsid w:val="004657FC"/>
    <w:rsid w:val="00471023"/>
    <w:rsid w:val="0047102B"/>
    <w:rsid w:val="004713EC"/>
    <w:rsid w:val="00471C06"/>
    <w:rsid w:val="004720CC"/>
    <w:rsid w:val="0047221D"/>
    <w:rsid w:val="00472365"/>
    <w:rsid w:val="00472AAC"/>
    <w:rsid w:val="00472FE7"/>
    <w:rsid w:val="0047322E"/>
    <w:rsid w:val="004732E3"/>
    <w:rsid w:val="00473408"/>
    <w:rsid w:val="00475A78"/>
    <w:rsid w:val="0047602A"/>
    <w:rsid w:val="00476AF8"/>
    <w:rsid w:val="00477061"/>
    <w:rsid w:val="00477098"/>
    <w:rsid w:val="004807BC"/>
    <w:rsid w:val="00480918"/>
    <w:rsid w:val="00480BF7"/>
    <w:rsid w:val="00480CDE"/>
    <w:rsid w:val="0048184A"/>
    <w:rsid w:val="00481C51"/>
    <w:rsid w:val="00481D0F"/>
    <w:rsid w:val="00482600"/>
    <w:rsid w:val="0048292D"/>
    <w:rsid w:val="00482B0A"/>
    <w:rsid w:val="0048355D"/>
    <w:rsid w:val="00483842"/>
    <w:rsid w:val="004838AB"/>
    <w:rsid w:val="00483F95"/>
    <w:rsid w:val="00484604"/>
    <w:rsid w:val="0048502C"/>
    <w:rsid w:val="004865F8"/>
    <w:rsid w:val="004867D0"/>
    <w:rsid w:val="00486A3F"/>
    <w:rsid w:val="004876F4"/>
    <w:rsid w:val="00490956"/>
    <w:rsid w:val="004929A1"/>
    <w:rsid w:val="00492A75"/>
    <w:rsid w:val="00492AF6"/>
    <w:rsid w:val="00493130"/>
    <w:rsid w:val="00493152"/>
    <w:rsid w:val="0049366E"/>
    <w:rsid w:val="00494699"/>
    <w:rsid w:val="0049476B"/>
    <w:rsid w:val="00494AC0"/>
    <w:rsid w:val="00494E79"/>
    <w:rsid w:val="004951B3"/>
    <w:rsid w:val="00495F19"/>
    <w:rsid w:val="00496695"/>
    <w:rsid w:val="00496A9A"/>
    <w:rsid w:val="004A0249"/>
    <w:rsid w:val="004A1604"/>
    <w:rsid w:val="004A1D13"/>
    <w:rsid w:val="004A1E9D"/>
    <w:rsid w:val="004A2096"/>
    <w:rsid w:val="004A215A"/>
    <w:rsid w:val="004A3156"/>
    <w:rsid w:val="004A3F56"/>
    <w:rsid w:val="004A5BC7"/>
    <w:rsid w:val="004A6E6D"/>
    <w:rsid w:val="004A731A"/>
    <w:rsid w:val="004A73CC"/>
    <w:rsid w:val="004B00FF"/>
    <w:rsid w:val="004B1949"/>
    <w:rsid w:val="004B1E60"/>
    <w:rsid w:val="004B218C"/>
    <w:rsid w:val="004B38A5"/>
    <w:rsid w:val="004B3B20"/>
    <w:rsid w:val="004B3D93"/>
    <w:rsid w:val="004B3EBA"/>
    <w:rsid w:val="004B46FC"/>
    <w:rsid w:val="004B48C1"/>
    <w:rsid w:val="004B4B30"/>
    <w:rsid w:val="004B5158"/>
    <w:rsid w:val="004B523A"/>
    <w:rsid w:val="004B57A9"/>
    <w:rsid w:val="004B6EF1"/>
    <w:rsid w:val="004B702E"/>
    <w:rsid w:val="004B717C"/>
    <w:rsid w:val="004B7D53"/>
    <w:rsid w:val="004C02C7"/>
    <w:rsid w:val="004C03E2"/>
    <w:rsid w:val="004C14E1"/>
    <w:rsid w:val="004C18E2"/>
    <w:rsid w:val="004C239C"/>
    <w:rsid w:val="004C2785"/>
    <w:rsid w:val="004C3132"/>
    <w:rsid w:val="004C4116"/>
    <w:rsid w:val="004C5D4A"/>
    <w:rsid w:val="004C660E"/>
    <w:rsid w:val="004C6B2B"/>
    <w:rsid w:val="004C720B"/>
    <w:rsid w:val="004C736A"/>
    <w:rsid w:val="004D037C"/>
    <w:rsid w:val="004D0E10"/>
    <w:rsid w:val="004D1257"/>
    <w:rsid w:val="004D1794"/>
    <w:rsid w:val="004D1A0F"/>
    <w:rsid w:val="004D25B2"/>
    <w:rsid w:val="004D2CCB"/>
    <w:rsid w:val="004D32FA"/>
    <w:rsid w:val="004D491E"/>
    <w:rsid w:val="004D49EE"/>
    <w:rsid w:val="004D53BC"/>
    <w:rsid w:val="004D585E"/>
    <w:rsid w:val="004D5A45"/>
    <w:rsid w:val="004D5C37"/>
    <w:rsid w:val="004D714B"/>
    <w:rsid w:val="004D7B19"/>
    <w:rsid w:val="004D7EAE"/>
    <w:rsid w:val="004E004A"/>
    <w:rsid w:val="004E01BE"/>
    <w:rsid w:val="004E0587"/>
    <w:rsid w:val="004E12A8"/>
    <w:rsid w:val="004E1613"/>
    <w:rsid w:val="004E1992"/>
    <w:rsid w:val="004E1C16"/>
    <w:rsid w:val="004E2382"/>
    <w:rsid w:val="004E2972"/>
    <w:rsid w:val="004E2EA8"/>
    <w:rsid w:val="004E3375"/>
    <w:rsid w:val="004E3A03"/>
    <w:rsid w:val="004E3B31"/>
    <w:rsid w:val="004E401C"/>
    <w:rsid w:val="004E414B"/>
    <w:rsid w:val="004E496F"/>
    <w:rsid w:val="004E6672"/>
    <w:rsid w:val="004E697A"/>
    <w:rsid w:val="004E6B03"/>
    <w:rsid w:val="004E6D00"/>
    <w:rsid w:val="004E7448"/>
    <w:rsid w:val="004E7A13"/>
    <w:rsid w:val="004F0A32"/>
    <w:rsid w:val="004F18F2"/>
    <w:rsid w:val="004F31CE"/>
    <w:rsid w:val="004F3529"/>
    <w:rsid w:val="004F4085"/>
    <w:rsid w:val="004F4139"/>
    <w:rsid w:val="004F4485"/>
    <w:rsid w:val="004F4913"/>
    <w:rsid w:val="004F4CD9"/>
    <w:rsid w:val="004F586F"/>
    <w:rsid w:val="004F6606"/>
    <w:rsid w:val="004F6F63"/>
    <w:rsid w:val="004F7005"/>
    <w:rsid w:val="004F71B7"/>
    <w:rsid w:val="004F7A21"/>
    <w:rsid w:val="004F7F14"/>
    <w:rsid w:val="0050078E"/>
    <w:rsid w:val="0050136E"/>
    <w:rsid w:val="005016E2"/>
    <w:rsid w:val="00501CA3"/>
    <w:rsid w:val="00501F68"/>
    <w:rsid w:val="00502851"/>
    <w:rsid w:val="00502BFD"/>
    <w:rsid w:val="00503503"/>
    <w:rsid w:val="005036DB"/>
    <w:rsid w:val="00503B4B"/>
    <w:rsid w:val="00503BAE"/>
    <w:rsid w:val="00504EF9"/>
    <w:rsid w:val="0050528A"/>
    <w:rsid w:val="005053C9"/>
    <w:rsid w:val="00505643"/>
    <w:rsid w:val="00505BA8"/>
    <w:rsid w:val="005061A0"/>
    <w:rsid w:val="005062E5"/>
    <w:rsid w:val="0050669C"/>
    <w:rsid w:val="0050705E"/>
    <w:rsid w:val="0050725A"/>
    <w:rsid w:val="005072A0"/>
    <w:rsid w:val="005073C6"/>
    <w:rsid w:val="00507908"/>
    <w:rsid w:val="005101E3"/>
    <w:rsid w:val="0051044A"/>
    <w:rsid w:val="0051143D"/>
    <w:rsid w:val="005121A3"/>
    <w:rsid w:val="00512660"/>
    <w:rsid w:val="00512C29"/>
    <w:rsid w:val="00513527"/>
    <w:rsid w:val="005142C2"/>
    <w:rsid w:val="0051489A"/>
    <w:rsid w:val="00514F3E"/>
    <w:rsid w:val="00515027"/>
    <w:rsid w:val="0051543A"/>
    <w:rsid w:val="005158E9"/>
    <w:rsid w:val="00516211"/>
    <w:rsid w:val="00516823"/>
    <w:rsid w:val="00516CC1"/>
    <w:rsid w:val="00516D9A"/>
    <w:rsid w:val="00516E25"/>
    <w:rsid w:val="00520845"/>
    <w:rsid w:val="00520A84"/>
    <w:rsid w:val="005216D2"/>
    <w:rsid w:val="00521736"/>
    <w:rsid w:val="005217A5"/>
    <w:rsid w:val="005219B8"/>
    <w:rsid w:val="00521AC3"/>
    <w:rsid w:val="005227E1"/>
    <w:rsid w:val="00522D4E"/>
    <w:rsid w:val="00522F41"/>
    <w:rsid w:val="00523023"/>
    <w:rsid w:val="00524510"/>
    <w:rsid w:val="005245E0"/>
    <w:rsid w:val="005246A2"/>
    <w:rsid w:val="00524BE1"/>
    <w:rsid w:val="00524DD9"/>
    <w:rsid w:val="005250D2"/>
    <w:rsid w:val="00525E37"/>
    <w:rsid w:val="00526727"/>
    <w:rsid w:val="005267E4"/>
    <w:rsid w:val="00526A48"/>
    <w:rsid w:val="005270BF"/>
    <w:rsid w:val="00527F40"/>
    <w:rsid w:val="00531F8F"/>
    <w:rsid w:val="005331E0"/>
    <w:rsid w:val="005332D5"/>
    <w:rsid w:val="0053401B"/>
    <w:rsid w:val="0053413F"/>
    <w:rsid w:val="005342C7"/>
    <w:rsid w:val="00535494"/>
    <w:rsid w:val="005359F9"/>
    <w:rsid w:val="00535BFA"/>
    <w:rsid w:val="0053678F"/>
    <w:rsid w:val="0053679E"/>
    <w:rsid w:val="00536A23"/>
    <w:rsid w:val="005377CA"/>
    <w:rsid w:val="00537A00"/>
    <w:rsid w:val="00537E88"/>
    <w:rsid w:val="00540AFE"/>
    <w:rsid w:val="00540B18"/>
    <w:rsid w:val="00540B45"/>
    <w:rsid w:val="00540F8D"/>
    <w:rsid w:val="00542B28"/>
    <w:rsid w:val="005439F5"/>
    <w:rsid w:val="00543D95"/>
    <w:rsid w:val="00545701"/>
    <w:rsid w:val="0054654B"/>
    <w:rsid w:val="00546F21"/>
    <w:rsid w:val="005471C8"/>
    <w:rsid w:val="00547EBA"/>
    <w:rsid w:val="00550F49"/>
    <w:rsid w:val="00550FEB"/>
    <w:rsid w:val="00552513"/>
    <w:rsid w:val="00552C49"/>
    <w:rsid w:val="0055342E"/>
    <w:rsid w:val="00553685"/>
    <w:rsid w:val="005538A9"/>
    <w:rsid w:val="00553A4D"/>
    <w:rsid w:val="00553BBD"/>
    <w:rsid w:val="00553C5C"/>
    <w:rsid w:val="00553CCE"/>
    <w:rsid w:val="005542FF"/>
    <w:rsid w:val="005548F9"/>
    <w:rsid w:val="0055491B"/>
    <w:rsid w:val="005557F2"/>
    <w:rsid w:val="00555BF5"/>
    <w:rsid w:val="005564DD"/>
    <w:rsid w:val="00556D4A"/>
    <w:rsid w:val="00557029"/>
    <w:rsid w:val="0055742F"/>
    <w:rsid w:val="005574E2"/>
    <w:rsid w:val="00557ADB"/>
    <w:rsid w:val="00557B82"/>
    <w:rsid w:val="00560565"/>
    <w:rsid w:val="00560624"/>
    <w:rsid w:val="00560D9F"/>
    <w:rsid w:val="00561460"/>
    <w:rsid w:val="005615B9"/>
    <w:rsid w:val="0056191F"/>
    <w:rsid w:val="00561A44"/>
    <w:rsid w:val="00561A78"/>
    <w:rsid w:val="00562631"/>
    <w:rsid w:val="00562E72"/>
    <w:rsid w:val="00563105"/>
    <w:rsid w:val="005633E4"/>
    <w:rsid w:val="00563546"/>
    <w:rsid w:val="00563D3E"/>
    <w:rsid w:val="00563EB5"/>
    <w:rsid w:val="00563F64"/>
    <w:rsid w:val="00564001"/>
    <w:rsid w:val="0056412A"/>
    <w:rsid w:val="005642A1"/>
    <w:rsid w:val="00564EBD"/>
    <w:rsid w:val="00565B3D"/>
    <w:rsid w:val="00565C21"/>
    <w:rsid w:val="00566841"/>
    <w:rsid w:val="00567136"/>
    <w:rsid w:val="005679A5"/>
    <w:rsid w:val="0057052D"/>
    <w:rsid w:val="005705CC"/>
    <w:rsid w:val="005706AC"/>
    <w:rsid w:val="005711A0"/>
    <w:rsid w:val="005727EA"/>
    <w:rsid w:val="005730B7"/>
    <w:rsid w:val="005735FB"/>
    <w:rsid w:val="005737B5"/>
    <w:rsid w:val="00573B2F"/>
    <w:rsid w:val="005748FB"/>
    <w:rsid w:val="00575247"/>
    <w:rsid w:val="005756D9"/>
    <w:rsid w:val="00575AF1"/>
    <w:rsid w:val="00576A6D"/>
    <w:rsid w:val="0057708A"/>
    <w:rsid w:val="00577475"/>
    <w:rsid w:val="00577B3A"/>
    <w:rsid w:val="00581090"/>
    <w:rsid w:val="005816BB"/>
    <w:rsid w:val="00582553"/>
    <w:rsid w:val="00583391"/>
    <w:rsid w:val="00583DA2"/>
    <w:rsid w:val="00583FA1"/>
    <w:rsid w:val="0058438E"/>
    <w:rsid w:val="00584A71"/>
    <w:rsid w:val="00584F84"/>
    <w:rsid w:val="00585437"/>
    <w:rsid w:val="005856D9"/>
    <w:rsid w:val="005857D2"/>
    <w:rsid w:val="00585E7D"/>
    <w:rsid w:val="005867F2"/>
    <w:rsid w:val="00586DA5"/>
    <w:rsid w:val="005870A6"/>
    <w:rsid w:val="00587191"/>
    <w:rsid w:val="00587864"/>
    <w:rsid w:val="005879E6"/>
    <w:rsid w:val="00587C87"/>
    <w:rsid w:val="0059014E"/>
    <w:rsid w:val="00590B66"/>
    <w:rsid w:val="005917F3"/>
    <w:rsid w:val="005918CA"/>
    <w:rsid w:val="005929F8"/>
    <w:rsid w:val="00592BBC"/>
    <w:rsid w:val="00593541"/>
    <w:rsid w:val="0059476B"/>
    <w:rsid w:val="00594925"/>
    <w:rsid w:val="00594F6A"/>
    <w:rsid w:val="00595E26"/>
    <w:rsid w:val="0059620D"/>
    <w:rsid w:val="00596294"/>
    <w:rsid w:val="00596446"/>
    <w:rsid w:val="005968CC"/>
    <w:rsid w:val="00596962"/>
    <w:rsid w:val="00597C42"/>
    <w:rsid w:val="005A02A1"/>
    <w:rsid w:val="005A03E4"/>
    <w:rsid w:val="005A04A5"/>
    <w:rsid w:val="005A085D"/>
    <w:rsid w:val="005A0F53"/>
    <w:rsid w:val="005A0FAC"/>
    <w:rsid w:val="005A2156"/>
    <w:rsid w:val="005A21AD"/>
    <w:rsid w:val="005A2A56"/>
    <w:rsid w:val="005A2B1D"/>
    <w:rsid w:val="005A2F63"/>
    <w:rsid w:val="005A31EF"/>
    <w:rsid w:val="005A3323"/>
    <w:rsid w:val="005A4545"/>
    <w:rsid w:val="005A4F2E"/>
    <w:rsid w:val="005A5BF1"/>
    <w:rsid w:val="005A5F9B"/>
    <w:rsid w:val="005A60D2"/>
    <w:rsid w:val="005A64E1"/>
    <w:rsid w:val="005A6B89"/>
    <w:rsid w:val="005A6CA7"/>
    <w:rsid w:val="005A786D"/>
    <w:rsid w:val="005B086A"/>
    <w:rsid w:val="005B106E"/>
    <w:rsid w:val="005B141D"/>
    <w:rsid w:val="005B1AC7"/>
    <w:rsid w:val="005B238D"/>
    <w:rsid w:val="005B2BDF"/>
    <w:rsid w:val="005B3709"/>
    <w:rsid w:val="005B3C01"/>
    <w:rsid w:val="005B3C43"/>
    <w:rsid w:val="005B3CA4"/>
    <w:rsid w:val="005B41DF"/>
    <w:rsid w:val="005B5592"/>
    <w:rsid w:val="005B7825"/>
    <w:rsid w:val="005C06D8"/>
    <w:rsid w:val="005C070D"/>
    <w:rsid w:val="005C0B98"/>
    <w:rsid w:val="005C20BB"/>
    <w:rsid w:val="005C3C31"/>
    <w:rsid w:val="005C3F6B"/>
    <w:rsid w:val="005C456C"/>
    <w:rsid w:val="005C76B7"/>
    <w:rsid w:val="005C7760"/>
    <w:rsid w:val="005C77AA"/>
    <w:rsid w:val="005C79BC"/>
    <w:rsid w:val="005C7B17"/>
    <w:rsid w:val="005C7BB8"/>
    <w:rsid w:val="005D263F"/>
    <w:rsid w:val="005D29D1"/>
    <w:rsid w:val="005D3638"/>
    <w:rsid w:val="005D40F1"/>
    <w:rsid w:val="005D491C"/>
    <w:rsid w:val="005D49EF"/>
    <w:rsid w:val="005D4C32"/>
    <w:rsid w:val="005D4E10"/>
    <w:rsid w:val="005D5651"/>
    <w:rsid w:val="005D58F0"/>
    <w:rsid w:val="005D6815"/>
    <w:rsid w:val="005D68AA"/>
    <w:rsid w:val="005D6AC8"/>
    <w:rsid w:val="005D6F22"/>
    <w:rsid w:val="005D7903"/>
    <w:rsid w:val="005E08D7"/>
    <w:rsid w:val="005E0FBD"/>
    <w:rsid w:val="005E1E2D"/>
    <w:rsid w:val="005E25BC"/>
    <w:rsid w:val="005E2A42"/>
    <w:rsid w:val="005E2B4C"/>
    <w:rsid w:val="005E2D2B"/>
    <w:rsid w:val="005E3B2E"/>
    <w:rsid w:val="005E3B43"/>
    <w:rsid w:val="005E3C1A"/>
    <w:rsid w:val="005E42DE"/>
    <w:rsid w:val="005E4912"/>
    <w:rsid w:val="005E4C83"/>
    <w:rsid w:val="005E5309"/>
    <w:rsid w:val="005E5B93"/>
    <w:rsid w:val="005E6491"/>
    <w:rsid w:val="005E6D7C"/>
    <w:rsid w:val="005E6E48"/>
    <w:rsid w:val="005E7A80"/>
    <w:rsid w:val="005E7BE1"/>
    <w:rsid w:val="005F0BC3"/>
    <w:rsid w:val="005F0DFD"/>
    <w:rsid w:val="005F1500"/>
    <w:rsid w:val="005F1D0A"/>
    <w:rsid w:val="005F1DF2"/>
    <w:rsid w:val="005F200A"/>
    <w:rsid w:val="005F2490"/>
    <w:rsid w:val="005F2582"/>
    <w:rsid w:val="005F29C8"/>
    <w:rsid w:val="005F2C17"/>
    <w:rsid w:val="005F3815"/>
    <w:rsid w:val="005F38C6"/>
    <w:rsid w:val="005F3BEA"/>
    <w:rsid w:val="005F3C22"/>
    <w:rsid w:val="005F4924"/>
    <w:rsid w:val="005F4A96"/>
    <w:rsid w:val="005F5365"/>
    <w:rsid w:val="005F577F"/>
    <w:rsid w:val="005F59E9"/>
    <w:rsid w:val="005F605E"/>
    <w:rsid w:val="005F6E35"/>
    <w:rsid w:val="005F73A2"/>
    <w:rsid w:val="005F7BE7"/>
    <w:rsid w:val="006002F9"/>
    <w:rsid w:val="00600810"/>
    <w:rsid w:val="00600E72"/>
    <w:rsid w:val="00601225"/>
    <w:rsid w:val="00601443"/>
    <w:rsid w:val="00601BEB"/>
    <w:rsid w:val="00602ABC"/>
    <w:rsid w:val="00602EA5"/>
    <w:rsid w:val="0060350E"/>
    <w:rsid w:val="006035FC"/>
    <w:rsid w:val="00603B90"/>
    <w:rsid w:val="006043E5"/>
    <w:rsid w:val="006045A6"/>
    <w:rsid w:val="0060499E"/>
    <w:rsid w:val="00605EA6"/>
    <w:rsid w:val="00605FBF"/>
    <w:rsid w:val="00606180"/>
    <w:rsid w:val="00606C68"/>
    <w:rsid w:val="00606EA9"/>
    <w:rsid w:val="00607F20"/>
    <w:rsid w:val="00610934"/>
    <w:rsid w:val="00610AD0"/>
    <w:rsid w:val="00610CB1"/>
    <w:rsid w:val="00610F6E"/>
    <w:rsid w:val="0061118C"/>
    <w:rsid w:val="00612D33"/>
    <w:rsid w:val="00612E21"/>
    <w:rsid w:val="006133D2"/>
    <w:rsid w:val="006139CA"/>
    <w:rsid w:val="0061454F"/>
    <w:rsid w:val="0061655D"/>
    <w:rsid w:val="00616946"/>
    <w:rsid w:val="00617836"/>
    <w:rsid w:val="006178F6"/>
    <w:rsid w:val="0062098C"/>
    <w:rsid w:val="006215D9"/>
    <w:rsid w:val="00622AB0"/>
    <w:rsid w:val="00622BFC"/>
    <w:rsid w:val="00625504"/>
    <w:rsid w:val="00625CB9"/>
    <w:rsid w:val="0062606D"/>
    <w:rsid w:val="0062628F"/>
    <w:rsid w:val="0062633B"/>
    <w:rsid w:val="006267DE"/>
    <w:rsid w:val="006303FB"/>
    <w:rsid w:val="0063057F"/>
    <w:rsid w:val="00630739"/>
    <w:rsid w:val="00630C62"/>
    <w:rsid w:val="00631101"/>
    <w:rsid w:val="00631F8A"/>
    <w:rsid w:val="0063297A"/>
    <w:rsid w:val="00632D93"/>
    <w:rsid w:val="00632E72"/>
    <w:rsid w:val="00633192"/>
    <w:rsid w:val="006334F8"/>
    <w:rsid w:val="0063374C"/>
    <w:rsid w:val="00634B39"/>
    <w:rsid w:val="00635581"/>
    <w:rsid w:val="00635867"/>
    <w:rsid w:val="00635EDA"/>
    <w:rsid w:val="00636F77"/>
    <w:rsid w:val="00637B77"/>
    <w:rsid w:val="00637C7A"/>
    <w:rsid w:val="006401C4"/>
    <w:rsid w:val="00640347"/>
    <w:rsid w:val="00640CC6"/>
    <w:rsid w:val="006410B2"/>
    <w:rsid w:val="00641236"/>
    <w:rsid w:val="00641723"/>
    <w:rsid w:val="00641810"/>
    <w:rsid w:val="0064194E"/>
    <w:rsid w:val="00641D02"/>
    <w:rsid w:val="00642042"/>
    <w:rsid w:val="00642071"/>
    <w:rsid w:val="0064241F"/>
    <w:rsid w:val="00644F95"/>
    <w:rsid w:val="00645165"/>
    <w:rsid w:val="00645209"/>
    <w:rsid w:val="00645A49"/>
    <w:rsid w:val="00646004"/>
    <w:rsid w:val="00646166"/>
    <w:rsid w:val="0064625A"/>
    <w:rsid w:val="00646C5C"/>
    <w:rsid w:val="006470B0"/>
    <w:rsid w:val="00647421"/>
    <w:rsid w:val="006503AC"/>
    <w:rsid w:val="00650488"/>
    <w:rsid w:val="006514FE"/>
    <w:rsid w:val="0065182F"/>
    <w:rsid w:val="006524F1"/>
    <w:rsid w:val="00652DB2"/>
    <w:rsid w:val="00653898"/>
    <w:rsid w:val="006546E5"/>
    <w:rsid w:val="006548E6"/>
    <w:rsid w:val="00655FB4"/>
    <w:rsid w:val="0065632B"/>
    <w:rsid w:val="00656B84"/>
    <w:rsid w:val="00657047"/>
    <w:rsid w:val="0065794A"/>
    <w:rsid w:val="00657BCC"/>
    <w:rsid w:val="006622A3"/>
    <w:rsid w:val="0066241E"/>
    <w:rsid w:val="00663600"/>
    <w:rsid w:val="0066372A"/>
    <w:rsid w:val="006642F1"/>
    <w:rsid w:val="00664F65"/>
    <w:rsid w:val="0066517A"/>
    <w:rsid w:val="00665427"/>
    <w:rsid w:val="00665930"/>
    <w:rsid w:val="00665E2D"/>
    <w:rsid w:val="00665FB6"/>
    <w:rsid w:val="00666723"/>
    <w:rsid w:val="00667093"/>
    <w:rsid w:val="00667F53"/>
    <w:rsid w:val="00670D15"/>
    <w:rsid w:val="00671CD5"/>
    <w:rsid w:val="00672003"/>
    <w:rsid w:val="006726A7"/>
    <w:rsid w:val="0067295A"/>
    <w:rsid w:val="00672979"/>
    <w:rsid w:val="00673452"/>
    <w:rsid w:val="00673E40"/>
    <w:rsid w:val="00673F54"/>
    <w:rsid w:val="006740FC"/>
    <w:rsid w:val="006742F8"/>
    <w:rsid w:val="00674D20"/>
    <w:rsid w:val="00675260"/>
    <w:rsid w:val="00675602"/>
    <w:rsid w:val="0067641F"/>
    <w:rsid w:val="006769D5"/>
    <w:rsid w:val="00676DA8"/>
    <w:rsid w:val="00677177"/>
    <w:rsid w:val="00677E21"/>
    <w:rsid w:val="0068052E"/>
    <w:rsid w:val="006808C5"/>
    <w:rsid w:val="00681042"/>
    <w:rsid w:val="00681709"/>
    <w:rsid w:val="006824E3"/>
    <w:rsid w:val="0068262C"/>
    <w:rsid w:val="0068331C"/>
    <w:rsid w:val="00683E25"/>
    <w:rsid w:val="006849AB"/>
    <w:rsid w:val="0068554C"/>
    <w:rsid w:val="006855F3"/>
    <w:rsid w:val="0068599E"/>
    <w:rsid w:val="00685A3A"/>
    <w:rsid w:val="00685AE4"/>
    <w:rsid w:val="00686152"/>
    <w:rsid w:val="00687DA0"/>
    <w:rsid w:val="00690AF2"/>
    <w:rsid w:val="00692ED0"/>
    <w:rsid w:val="0069323A"/>
    <w:rsid w:val="00693297"/>
    <w:rsid w:val="00693592"/>
    <w:rsid w:val="006939CE"/>
    <w:rsid w:val="0069406D"/>
    <w:rsid w:val="006955F4"/>
    <w:rsid w:val="00695AE4"/>
    <w:rsid w:val="0069607F"/>
    <w:rsid w:val="006969A7"/>
    <w:rsid w:val="00696CD3"/>
    <w:rsid w:val="00697B9D"/>
    <w:rsid w:val="006A1571"/>
    <w:rsid w:val="006A1592"/>
    <w:rsid w:val="006A1D08"/>
    <w:rsid w:val="006A3FAC"/>
    <w:rsid w:val="006A42DB"/>
    <w:rsid w:val="006A4BA5"/>
    <w:rsid w:val="006A4CE1"/>
    <w:rsid w:val="006A5A2B"/>
    <w:rsid w:val="006A5EEE"/>
    <w:rsid w:val="006A600B"/>
    <w:rsid w:val="006B03A1"/>
    <w:rsid w:val="006B0635"/>
    <w:rsid w:val="006B0D2B"/>
    <w:rsid w:val="006B0E7F"/>
    <w:rsid w:val="006B1680"/>
    <w:rsid w:val="006B1BD4"/>
    <w:rsid w:val="006B26AB"/>
    <w:rsid w:val="006B28EE"/>
    <w:rsid w:val="006B2FE8"/>
    <w:rsid w:val="006B31DB"/>
    <w:rsid w:val="006B3786"/>
    <w:rsid w:val="006B380A"/>
    <w:rsid w:val="006B39B2"/>
    <w:rsid w:val="006B4E64"/>
    <w:rsid w:val="006B5266"/>
    <w:rsid w:val="006B58D7"/>
    <w:rsid w:val="006B5D8E"/>
    <w:rsid w:val="006B626E"/>
    <w:rsid w:val="006B7505"/>
    <w:rsid w:val="006B7D90"/>
    <w:rsid w:val="006C053B"/>
    <w:rsid w:val="006C05AB"/>
    <w:rsid w:val="006C0919"/>
    <w:rsid w:val="006C0A9E"/>
    <w:rsid w:val="006C0AAC"/>
    <w:rsid w:val="006C0EE6"/>
    <w:rsid w:val="006C18C6"/>
    <w:rsid w:val="006C1C42"/>
    <w:rsid w:val="006C1CE4"/>
    <w:rsid w:val="006C2251"/>
    <w:rsid w:val="006C305A"/>
    <w:rsid w:val="006C31CA"/>
    <w:rsid w:val="006C384E"/>
    <w:rsid w:val="006C439B"/>
    <w:rsid w:val="006C4BED"/>
    <w:rsid w:val="006C53D2"/>
    <w:rsid w:val="006C57E0"/>
    <w:rsid w:val="006C62FF"/>
    <w:rsid w:val="006C666B"/>
    <w:rsid w:val="006C6FA0"/>
    <w:rsid w:val="006C71C7"/>
    <w:rsid w:val="006C795D"/>
    <w:rsid w:val="006D0603"/>
    <w:rsid w:val="006D0669"/>
    <w:rsid w:val="006D08A3"/>
    <w:rsid w:val="006D093D"/>
    <w:rsid w:val="006D0BFC"/>
    <w:rsid w:val="006D0FED"/>
    <w:rsid w:val="006D137F"/>
    <w:rsid w:val="006D18DE"/>
    <w:rsid w:val="006D1C1C"/>
    <w:rsid w:val="006D33B7"/>
    <w:rsid w:val="006D4B99"/>
    <w:rsid w:val="006D4D34"/>
    <w:rsid w:val="006D4FD3"/>
    <w:rsid w:val="006D5991"/>
    <w:rsid w:val="006D5A7D"/>
    <w:rsid w:val="006D6370"/>
    <w:rsid w:val="006D6543"/>
    <w:rsid w:val="006D6D6C"/>
    <w:rsid w:val="006D728F"/>
    <w:rsid w:val="006D7943"/>
    <w:rsid w:val="006D7E38"/>
    <w:rsid w:val="006D7E61"/>
    <w:rsid w:val="006E0106"/>
    <w:rsid w:val="006E0126"/>
    <w:rsid w:val="006E0BCF"/>
    <w:rsid w:val="006E0C14"/>
    <w:rsid w:val="006E183A"/>
    <w:rsid w:val="006E371A"/>
    <w:rsid w:val="006E390C"/>
    <w:rsid w:val="006E4460"/>
    <w:rsid w:val="006E4575"/>
    <w:rsid w:val="006E482B"/>
    <w:rsid w:val="006E528F"/>
    <w:rsid w:val="006E577C"/>
    <w:rsid w:val="006E592C"/>
    <w:rsid w:val="006E59CA"/>
    <w:rsid w:val="006E5EC4"/>
    <w:rsid w:val="006E676A"/>
    <w:rsid w:val="006E6AF8"/>
    <w:rsid w:val="006E7051"/>
    <w:rsid w:val="006E7114"/>
    <w:rsid w:val="006E75FA"/>
    <w:rsid w:val="006E7874"/>
    <w:rsid w:val="006F0D83"/>
    <w:rsid w:val="006F0F0C"/>
    <w:rsid w:val="006F14D5"/>
    <w:rsid w:val="006F1577"/>
    <w:rsid w:val="006F157F"/>
    <w:rsid w:val="006F2504"/>
    <w:rsid w:val="006F3509"/>
    <w:rsid w:val="006F382D"/>
    <w:rsid w:val="006F4628"/>
    <w:rsid w:val="006F4850"/>
    <w:rsid w:val="006F5BC9"/>
    <w:rsid w:val="006F69D3"/>
    <w:rsid w:val="006F7B1E"/>
    <w:rsid w:val="006F7B45"/>
    <w:rsid w:val="00700001"/>
    <w:rsid w:val="00702844"/>
    <w:rsid w:val="00702845"/>
    <w:rsid w:val="00702983"/>
    <w:rsid w:val="00702BFD"/>
    <w:rsid w:val="007033B5"/>
    <w:rsid w:val="007037DD"/>
    <w:rsid w:val="00703B1A"/>
    <w:rsid w:val="0070450A"/>
    <w:rsid w:val="00705226"/>
    <w:rsid w:val="00705F27"/>
    <w:rsid w:val="007067C6"/>
    <w:rsid w:val="007069D2"/>
    <w:rsid w:val="00706AD4"/>
    <w:rsid w:val="00707DC9"/>
    <w:rsid w:val="00711FE1"/>
    <w:rsid w:val="00712504"/>
    <w:rsid w:val="00712AB1"/>
    <w:rsid w:val="00712AEE"/>
    <w:rsid w:val="00713025"/>
    <w:rsid w:val="007131F1"/>
    <w:rsid w:val="00713AAB"/>
    <w:rsid w:val="007143C5"/>
    <w:rsid w:val="007148AC"/>
    <w:rsid w:val="007155ED"/>
    <w:rsid w:val="00715FA5"/>
    <w:rsid w:val="00717372"/>
    <w:rsid w:val="0071744F"/>
    <w:rsid w:val="00717563"/>
    <w:rsid w:val="0072069B"/>
    <w:rsid w:val="00720CDF"/>
    <w:rsid w:val="0072196D"/>
    <w:rsid w:val="00722A86"/>
    <w:rsid w:val="00722F0F"/>
    <w:rsid w:val="00723340"/>
    <w:rsid w:val="00724ACC"/>
    <w:rsid w:val="00725128"/>
    <w:rsid w:val="00725C32"/>
    <w:rsid w:val="007263EA"/>
    <w:rsid w:val="007308A8"/>
    <w:rsid w:val="00730AB3"/>
    <w:rsid w:val="00730B3B"/>
    <w:rsid w:val="00730DA5"/>
    <w:rsid w:val="00730F3A"/>
    <w:rsid w:val="007312CE"/>
    <w:rsid w:val="00731F76"/>
    <w:rsid w:val="00731FC9"/>
    <w:rsid w:val="00732425"/>
    <w:rsid w:val="0073267F"/>
    <w:rsid w:val="00732790"/>
    <w:rsid w:val="00732816"/>
    <w:rsid w:val="00732A3A"/>
    <w:rsid w:val="0073359A"/>
    <w:rsid w:val="00733A53"/>
    <w:rsid w:val="00733D1E"/>
    <w:rsid w:val="00733E4C"/>
    <w:rsid w:val="00733ED9"/>
    <w:rsid w:val="0073557F"/>
    <w:rsid w:val="00735744"/>
    <w:rsid w:val="00735B24"/>
    <w:rsid w:val="00736101"/>
    <w:rsid w:val="0073619F"/>
    <w:rsid w:val="00736586"/>
    <w:rsid w:val="00737171"/>
    <w:rsid w:val="007373D9"/>
    <w:rsid w:val="0073761F"/>
    <w:rsid w:val="00737D9B"/>
    <w:rsid w:val="00740526"/>
    <w:rsid w:val="00741E02"/>
    <w:rsid w:val="007424BF"/>
    <w:rsid w:val="00742BE4"/>
    <w:rsid w:val="00743D2B"/>
    <w:rsid w:val="0074422B"/>
    <w:rsid w:val="007444BF"/>
    <w:rsid w:val="00745026"/>
    <w:rsid w:val="0074530F"/>
    <w:rsid w:val="00745847"/>
    <w:rsid w:val="00745D56"/>
    <w:rsid w:val="00745D58"/>
    <w:rsid w:val="00746512"/>
    <w:rsid w:val="007472E1"/>
    <w:rsid w:val="00750F54"/>
    <w:rsid w:val="007512D0"/>
    <w:rsid w:val="00751591"/>
    <w:rsid w:val="0075171D"/>
    <w:rsid w:val="00751A57"/>
    <w:rsid w:val="0075206C"/>
    <w:rsid w:val="0075224A"/>
    <w:rsid w:val="007529A3"/>
    <w:rsid w:val="00753EEA"/>
    <w:rsid w:val="0075465D"/>
    <w:rsid w:val="007547B5"/>
    <w:rsid w:val="00754CC2"/>
    <w:rsid w:val="00754FD4"/>
    <w:rsid w:val="00755AA5"/>
    <w:rsid w:val="00755D3D"/>
    <w:rsid w:val="00756240"/>
    <w:rsid w:val="00756708"/>
    <w:rsid w:val="00756805"/>
    <w:rsid w:val="0075694C"/>
    <w:rsid w:val="00756B7B"/>
    <w:rsid w:val="00756E6C"/>
    <w:rsid w:val="00757605"/>
    <w:rsid w:val="007576E3"/>
    <w:rsid w:val="007577E0"/>
    <w:rsid w:val="00757D9D"/>
    <w:rsid w:val="00757F6A"/>
    <w:rsid w:val="00760594"/>
    <w:rsid w:val="00760E43"/>
    <w:rsid w:val="0076223F"/>
    <w:rsid w:val="00763099"/>
    <w:rsid w:val="00763748"/>
    <w:rsid w:val="00763BCF"/>
    <w:rsid w:val="00763D79"/>
    <w:rsid w:val="007640FB"/>
    <w:rsid w:val="007649C9"/>
    <w:rsid w:val="0076520E"/>
    <w:rsid w:val="007660D5"/>
    <w:rsid w:val="007663B2"/>
    <w:rsid w:val="007670D4"/>
    <w:rsid w:val="00767978"/>
    <w:rsid w:val="00767CD8"/>
    <w:rsid w:val="00770413"/>
    <w:rsid w:val="007705FE"/>
    <w:rsid w:val="00770606"/>
    <w:rsid w:val="0077069C"/>
    <w:rsid w:val="007712C4"/>
    <w:rsid w:val="00772B49"/>
    <w:rsid w:val="00773626"/>
    <w:rsid w:val="0077370F"/>
    <w:rsid w:val="00773811"/>
    <w:rsid w:val="007740C6"/>
    <w:rsid w:val="007742D9"/>
    <w:rsid w:val="00774405"/>
    <w:rsid w:val="00774660"/>
    <w:rsid w:val="0077503C"/>
    <w:rsid w:val="0077545A"/>
    <w:rsid w:val="00776B5B"/>
    <w:rsid w:val="00777347"/>
    <w:rsid w:val="00780414"/>
    <w:rsid w:val="00780843"/>
    <w:rsid w:val="00780E15"/>
    <w:rsid w:val="007816B7"/>
    <w:rsid w:val="007820F1"/>
    <w:rsid w:val="00782B33"/>
    <w:rsid w:val="00782F50"/>
    <w:rsid w:val="00782FF1"/>
    <w:rsid w:val="00783C71"/>
    <w:rsid w:val="00784468"/>
    <w:rsid w:val="00784CB8"/>
    <w:rsid w:val="007855C2"/>
    <w:rsid w:val="00785972"/>
    <w:rsid w:val="00786259"/>
    <w:rsid w:val="00786659"/>
    <w:rsid w:val="00787D5F"/>
    <w:rsid w:val="00787DA8"/>
    <w:rsid w:val="00787E97"/>
    <w:rsid w:val="007907CE"/>
    <w:rsid w:val="00790B74"/>
    <w:rsid w:val="007916FB"/>
    <w:rsid w:val="00791891"/>
    <w:rsid w:val="00791DC3"/>
    <w:rsid w:val="00792292"/>
    <w:rsid w:val="007929FA"/>
    <w:rsid w:val="00792C57"/>
    <w:rsid w:val="00792D08"/>
    <w:rsid w:val="0079357A"/>
    <w:rsid w:val="00793644"/>
    <w:rsid w:val="0079413D"/>
    <w:rsid w:val="007947DB"/>
    <w:rsid w:val="0079491F"/>
    <w:rsid w:val="007952D3"/>
    <w:rsid w:val="00795452"/>
    <w:rsid w:val="007956AA"/>
    <w:rsid w:val="00795E01"/>
    <w:rsid w:val="00796317"/>
    <w:rsid w:val="0079643C"/>
    <w:rsid w:val="0079645B"/>
    <w:rsid w:val="0079710F"/>
    <w:rsid w:val="007973A2"/>
    <w:rsid w:val="00797507"/>
    <w:rsid w:val="00797C09"/>
    <w:rsid w:val="007A1077"/>
    <w:rsid w:val="007A1349"/>
    <w:rsid w:val="007A18FD"/>
    <w:rsid w:val="007A19B7"/>
    <w:rsid w:val="007A275D"/>
    <w:rsid w:val="007A27EF"/>
    <w:rsid w:val="007A3106"/>
    <w:rsid w:val="007A3567"/>
    <w:rsid w:val="007A38D7"/>
    <w:rsid w:val="007A44BC"/>
    <w:rsid w:val="007A46F1"/>
    <w:rsid w:val="007A47E3"/>
    <w:rsid w:val="007A4998"/>
    <w:rsid w:val="007A5691"/>
    <w:rsid w:val="007A5C8D"/>
    <w:rsid w:val="007A7E3D"/>
    <w:rsid w:val="007B09B8"/>
    <w:rsid w:val="007B0CF5"/>
    <w:rsid w:val="007B104F"/>
    <w:rsid w:val="007B1267"/>
    <w:rsid w:val="007B1F8A"/>
    <w:rsid w:val="007B330A"/>
    <w:rsid w:val="007B34E9"/>
    <w:rsid w:val="007B3585"/>
    <w:rsid w:val="007B3AE6"/>
    <w:rsid w:val="007B3BAC"/>
    <w:rsid w:val="007B4D9E"/>
    <w:rsid w:val="007B5170"/>
    <w:rsid w:val="007B5848"/>
    <w:rsid w:val="007B5A55"/>
    <w:rsid w:val="007B66A8"/>
    <w:rsid w:val="007B6878"/>
    <w:rsid w:val="007B729E"/>
    <w:rsid w:val="007B740B"/>
    <w:rsid w:val="007C012A"/>
    <w:rsid w:val="007C0378"/>
    <w:rsid w:val="007C0ACF"/>
    <w:rsid w:val="007C0D96"/>
    <w:rsid w:val="007C0F38"/>
    <w:rsid w:val="007C110F"/>
    <w:rsid w:val="007C1C3C"/>
    <w:rsid w:val="007C207E"/>
    <w:rsid w:val="007C23A0"/>
    <w:rsid w:val="007C2525"/>
    <w:rsid w:val="007C2981"/>
    <w:rsid w:val="007C30A4"/>
    <w:rsid w:val="007C3215"/>
    <w:rsid w:val="007C3253"/>
    <w:rsid w:val="007C35B7"/>
    <w:rsid w:val="007C35F1"/>
    <w:rsid w:val="007C378E"/>
    <w:rsid w:val="007C46FD"/>
    <w:rsid w:val="007C4793"/>
    <w:rsid w:val="007C4814"/>
    <w:rsid w:val="007C49D9"/>
    <w:rsid w:val="007C4BEF"/>
    <w:rsid w:val="007C4CF6"/>
    <w:rsid w:val="007C4DB4"/>
    <w:rsid w:val="007C4DB8"/>
    <w:rsid w:val="007C54FA"/>
    <w:rsid w:val="007C57BC"/>
    <w:rsid w:val="007C57ED"/>
    <w:rsid w:val="007C5F85"/>
    <w:rsid w:val="007C6627"/>
    <w:rsid w:val="007C6C3A"/>
    <w:rsid w:val="007C7100"/>
    <w:rsid w:val="007C7586"/>
    <w:rsid w:val="007C770D"/>
    <w:rsid w:val="007D09BB"/>
    <w:rsid w:val="007D0A43"/>
    <w:rsid w:val="007D0F5B"/>
    <w:rsid w:val="007D2042"/>
    <w:rsid w:val="007D2753"/>
    <w:rsid w:val="007D3353"/>
    <w:rsid w:val="007D3E1F"/>
    <w:rsid w:val="007D3E41"/>
    <w:rsid w:val="007D4096"/>
    <w:rsid w:val="007D4B74"/>
    <w:rsid w:val="007D4F3A"/>
    <w:rsid w:val="007D5BAC"/>
    <w:rsid w:val="007D644E"/>
    <w:rsid w:val="007D71E5"/>
    <w:rsid w:val="007D7E4F"/>
    <w:rsid w:val="007E06C0"/>
    <w:rsid w:val="007E09E9"/>
    <w:rsid w:val="007E0DBA"/>
    <w:rsid w:val="007E21C3"/>
    <w:rsid w:val="007E27BA"/>
    <w:rsid w:val="007E2D13"/>
    <w:rsid w:val="007E346B"/>
    <w:rsid w:val="007E3A1F"/>
    <w:rsid w:val="007E3D22"/>
    <w:rsid w:val="007E4779"/>
    <w:rsid w:val="007E48C9"/>
    <w:rsid w:val="007E4F9D"/>
    <w:rsid w:val="007E5A5F"/>
    <w:rsid w:val="007E5A9A"/>
    <w:rsid w:val="007E6836"/>
    <w:rsid w:val="007E6848"/>
    <w:rsid w:val="007E6A87"/>
    <w:rsid w:val="007E7528"/>
    <w:rsid w:val="007E763C"/>
    <w:rsid w:val="007E7866"/>
    <w:rsid w:val="007E7B29"/>
    <w:rsid w:val="007E7BBB"/>
    <w:rsid w:val="007F1241"/>
    <w:rsid w:val="007F19AC"/>
    <w:rsid w:val="007F21CC"/>
    <w:rsid w:val="007F2307"/>
    <w:rsid w:val="007F2CC2"/>
    <w:rsid w:val="007F32CF"/>
    <w:rsid w:val="007F53FE"/>
    <w:rsid w:val="007F5E99"/>
    <w:rsid w:val="007F6538"/>
    <w:rsid w:val="007F6B43"/>
    <w:rsid w:val="007F6DF4"/>
    <w:rsid w:val="007F70FB"/>
    <w:rsid w:val="007F7704"/>
    <w:rsid w:val="007F7EDB"/>
    <w:rsid w:val="00800BF7"/>
    <w:rsid w:val="00800EE9"/>
    <w:rsid w:val="00802343"/>
    <w:rsid w:val="00802693"/>
    <w:rsid w:val="008026F5"/>
    <w:rsid w:val="00803DCB"/>
    <w:rsid w:val="00804095"/>
    <w:rsid w:val="008046D9"/>
    <w:rsid w:val="00805511"/>
    <w:rsid w:val="00805A80"/>
    <w:rsid w:val="00805CDF"/>
    <w:rsid w:val="008062FF"/>
    <w:rsid w:val="0080671F"/>
    <w:rsid w:val="008102C8"/>
    <w:rsid w:val="0081051B"/>
    <w:rsid w:val="00810639"/>
    <w:rsid w:val="00810EE1"/>
    <w:rsid w:val="00812375"/>
    <w:rsid w:val="008129D3"/>
    <w:rsid w:val="00813D2B"/>
    <w:rsid w:val="00814F8F"/>
    <w:rsid w:val="00815864"/>
    <w:rsid w:val="00816133"/>
    <w:rsid w:val="00816284"/>
    <w:rsid w:val="00816789"/>
    <w:rsid w:val="008170DA"/>
    <w:rsid w:val="0082003C"/>
    <w:rsid w:val="008200F1"/>
    <w:rsid w:val="008203BA"/>
    <w:rsid w:val="00820E6A"/>
    <w:rsid w:val="00821575"/>
    <w:rsid w:val="0082158F"/>
    <w:rsid w:val="00821DFE"/>
    <w:rsid w:val="008224ED"/>
    <w:rsid w:val="00822713"/>
    <w:rsid w:val="00823287"/>
    <w:rsid w:val="00823DF3"/>
    <w:rsid w:val="0082443A"/>
    <w:rsid w:val="008247F6"/>
    <w:rsid w:val="00824AD6"/>
    <w:rsid w:val="00824FEC"/>
    <w:rsid w:val="00825292"/>
    <w:rsid w:val="008266EA"/>
    <w:rsid w:val="0082697E"/>
    <w:rsid w:val="0082754D"/>
    <w:rsid w:val="00830042"/>
    <w:rsid w:val="0083006A"/>
    <w:rsid w:val="00830562"/>
    <w:rsid w:val="00830D37"/>
    <w:rsid w:val="00830E31"/>
    <w:rsid w:val="00831048"/>
    <w:rsid w:val="00832C25"/>
    <w:rsid w:val="00833356"/>
    <w:rsid w:val="00833D2B"/>
    <w:rsid w:val="00833F3E"/>
    <w:rsid w:val="00834026"/>
    <w:rsid w:val="00834DFD"/>
    <w:rsid w:val="00835116"/>
    <w:rsid w:val="00835351"/>
    <w:rsid w:val="00837294"/>
    <w:rsid w:val="00837FA3"/>
    <w:rsid w:val="00840B1C"/>
    <w:rsid w:val="00840BB3"/>
    <w:rsid w:val="00841D5F"/>
    <w:rsid w:val="00842013"/>
    <w:rsid w:val="008421EA"/>
    <w:rsid w:val="008425E5"/>
    <w:rsid w:val="00842CCD"/>
    <w:rsid w:val="008432E8"/>
    <w:rsid w:val="00843464"/>
    <w:rsid w:val="008440CC"/>
    <w:rsid w:val="00844738"/>
    <w:rsid w:val="008449D6"/>
    <w:rsid w:val="00844F4E"/>
    <w:rsid w:val="00845663"/>
    <w:rsid w:val="00845C48"/>
    <w:rsid w:val="00845C51"/>
    <w:rsid w:val="00845F1A"/>
    <w:rsid w:val="0084600B"/>
    <w:rsid w:val="00846A8E"/>
    <w:rsid w:val="0085003C"/>
    <w:rsid w:val="0085006D"/>
    <w:rsid w:val="008502FD"/>
    <w:rsid w:val="00850675"/>
    <w:rsid w:val="00851DB3"/>
    <w:rsid w:val="00851DF5"/>
    <w:rsid w:val="00851E04"/>
    <w:rsid w:val="008529D0"/>
    <w:rsid w:val="00852AE9"/>
    <w:rsid w:val="00854D14"/>
    <w:rsid w:val="00855672"/>
    <w:rsid w:val="00855B7C"/>
    <w:rsid w:val="00855D70"/>
    <w:rsid w:val="00855ED4"/>
    <w:rsid w:val="00856025"/>
    <w:rsid w:val="00856201"/>
    <w:rsid w:val="008564DA"/>
    <w:rsid w:val="0085756B"/>
    <w:rsid w:val="0085781D"/>
    <w:rsid w:val="00857FE0"/>
    <w:rsid w:val="008601E8"/>
    <w:rsid w:val="00860760"/>
    <w:rsid w:val="00860F28"/>
    <w:rsid w:val="00861555"/>
    <w:rsid w:val="008621D6"/>
    <w:rsid w:val="008629DF"/>
    <w:rsid w:val="00863AE8"/>
    <w:rsid w:val="00863CBD"/>
    <w:rsid w:val="008645BD"/>
    <w:rsid w:val="0086464D"/>
    <w:rsid w:val="00864E8A"/>
    <w:rsid w:val="008651F4"/>
    <w:rsid w:val="0086537F"/>
    <w:rsid w:val="008658AA"/>
    <w:rsid w:val="00866055"/>
    <w:rsid w:val="00866D02"/>
    <w:rsid w:val="00866D9F"/>
    <w:rsid w:val="00867F36"/>
    <w:rsid w:val="008705BD"/>
    <w:rsid w:val="00871459"/>
    <w:rsid w:val="00871FBE"/>
    <w:rsid w:val="00872DF4"/>
    <w:rsid w:val="0087398C"/>
    <w:rsid w:val="00873FC5"/>
    <w:rsid w:val="00875C12"/>
    <w:rsid w:val="008776CE"/>
    <w:rsid w:val="00877B56"/>
    <w:rsid w:val="0088020F"/>
    <w:rsid w:val="008802BE"/>
    <w:rsid w:val="00880317"/>
    <w:rsid w:val="00880E7D"/>
    <w:rsid w:val="00881F36"/>
    <w:rsid w:val="00881F5F"/>
    <w:rsid w:val="008821D4"/>
    <w:rsid w:val="008824FA"/>
    <w:rsid w:val="0088289B"/>
    <w:rsid w:val="00882AFD"/>
    <w:rsid w:val="008845EB"/>
    <w:rsid w:val="00884A91"/>
    <w:rsid w:val="00885222"/>
    <w:rsid w:val="0088562D"/>
    <w:rsid w:val="008869DB"/>
    <w:rsid w:val="00887329"/>
    <w:rsid w:val="00887330"/>
    <w:rsid w:val="008903EC"/>
    <w:rsid w:val="00890A16"/>
    <w:rsid w:val="00890F3F"/>
    <w:rsid w:val="00891605"/>
    <w:rsid w:val="00891ABC"/>
    <w:rsid w:val="00891D06"/>
    <w:rsid w:val="00891DC5"/>
    <w:rsid w:val="00892160"/>
    <w:rsid w:val="00892F77"/>
    <w:rsid w:val="00893CC8"/>
    <w:rsid w:val="00894143"/>
    <w:rsid w:val="00894510"/>
    <w:rsid w:val="008957D6"/>
    <w:rsid w:val="00895AE5"/>
    <w:rsid w:val="00896E32"/>
    <w:rsid w:val="00896F91"/>
    <w:rsid w:val="008A0D3A"/>
    <w:rsid w:val="008A0FDA"/>
    <w:rsid w:val="008A1271"/>
    <w:rsid w:val="008A1D8E"/>
    <w:rsid w:val="008A20CB"/>
    <w:rsid w:val="008A2138"/>
    <w:rsid w:val="008A2918"/>
    <w:rsid w:val="008A39C9"/>
    <w:rsid w:val="008A3D32"/>
    <w:rsid w:val="008A41F2"/>
    <w:rsid w:val="008A43FB"/>
    <w:rsid w:val="008A443B"/>
    <w:rsid w:val="008A48AC"/>
    <w:rsid w:val="008A5870"/>
    <w:rsid w:val="008A5DD5"/>
    <w:rsid w:val="008A7D8F"/>
    <w:rsid w:val="008B0116"/>
    <w:rsid w:val="008B0230"/>
    <w:rsid w:val="008B0A6C"/>
    <w:rsid w:val="008B0EB0"/>
    <w:rsid w:val="008B12DF"/>
    <w:rsid w:val="008B139C"/>
    <w:rsid w:val="008B14DE"/>
    <w:rsid w:val="008B2E3C"/>
    <w:rsid w:val="008B3357"/>
    <w:rsid w:val="008B3832"/>
    <w:rsid w:val="008B5501"/>
    <w:rsid w:val="008B5D65"/>
    <w:rsid w:val="008B5E4C"/>
    <w:rsid w:val="008B612B"/>
    <w:rsid w:val="008B6CFA"/>
    <w:rsid w:val="008B6FED"/>
    <w:rsid w:val="008B7DD7"/>
    <w:rsid w:val="008B7F3D"/>
    <w:rsid w:val="008C0502"/>
    <w:rsid w:val="008C0AEE"/>
    <w:rsid w:val="008C0BA2"/>
    <w:rsid w:val="008C0EAA"/>
    <w:rsid w:val="008C1322"/>
    <w:rsid w:val="008C171D"/>
    <w:rsid w:val="008C1964"/>
    <w:rsid w:val="008C1D70"/>
    <w:rsid w:val="008C2ACC"/>
    <w:rsid w:val="008C2B3F"/>
    <w:rsid w:val="008C367D"/>
    <w:rsid w:val="008C38FE"/>
    <w:rsid w:val="008C3BD3"/>
    <w:rsid w:val="008C3E92"/>
    <w:rsid w:val="008C520C"/>
    <w:rsid w:val="008C521E"/>
    <w:rsid w:val="008C5298"/>
    <w:rsid w:val="008C59E9"/>
    <w:rsid w:val="008C5A6E"/>
    <w:rsid w:val="008C5D98"/>
    <w:rsid w:val="008C5D9A"/>
    <w:rsid w:val="008C5EF8"/>
    <w:rsid w:val="008C639B"/>
    <w:rsid w:val="008C6724"/>
    <w:rsid w:val="008C7426"/>
    <w:rsid w:val="008C7638"/>
    <w:rsid w:val="008C7BF1"/>
    <w:rsid w:val="008C7D2A"/>
    <w:rsid w:val="008C7E31"/>
    <w:rsid w:val="008D01E7"/>
    <w:rsid w:val="008D0787"/>
    <w:rsid w:val="008D13E7"/>
    <w:rsid w:val="008D16FB"/>
    <w:rsid w:val="008D1B4F"/>
    <w:rsid w:val="008D1FC8"/>
    <w:rsid w:val="008D22A0"/>
    <w:rsid w:val="008D27AF"/>
    <w:rsid w:val="008D4899"/>
    <w:rsid w:val="008D4DF5"/>
    <w:rsid w:val="008D4E80"/>
    <w:rsid w:val="008D545E"/>
    <w:rsid w:val="008D5C47"/>
    <w:rsid w:val="008D62D8"/>
    <w:rsid w:val="008D64ED"/>
    <w:rsid w:val="008D6DF4"/>
    <w:rsid w:val="008D7237"/>
    <w:rsid w:val="008D74F7"/>
    <w:rsid w:val="008E02E5"/>
    <w:rsid w:val="008E030D"/>
    <w:rsid w:val="008E067E"/>
    <w:rsid w:val="008E09AF"/>
    <w:rsid w:val="008E18C2"/>
    <w:rsid w:val="008E1C55"/>
    <w:rsid w:val="008E1D77"/>
    <w:rsid w:val="008E26CA"/>
    <w:rsid w:val="008E2F7F"/>
    <w:rsid w:val="008E3867"/>
    <w:rsid w:val="008E49B9"/>
    <w:rsid w:val="008E61EA"/>
    <w:rsid w:val="008E74ED"/>
    <w:rsid w:val="008E7D39"/>
    <w:rsid w:val="008E7E83"/>
    <w:rsid w:val="008F11D8"/>
    <w:rsid w:val="008F2442"/>
    <w:rsid w:val="008F2E1C"/>
    <w:rsid w:val="008F2FAA"/>
    <w:rsid w:val="008F33A1"/>
    <w:rsid w:val="008F4479"/>
    <w:rsid w:val="008F4AF7"/>
    <w:rsid w:val="008F4F00"/>
    <w:rsid w:val="008F518B"/>
    <w:rsid w:val="008F52A3"/>
    <w:rsid w:val="008F5DD9"/>
    <w:rsid w:val="008F5EC2"/>
    <w:rsid w:val="008F5F4F"/>
    <w:rsid w:val="008F646C"/>
    <w:rsid w:val="008F7522"/>
    <w:rsid w:val="00900AD0"/>
    <w:rsid w:val="00901A79"/>
    <w:rsid w:val="00901D54"/>
    <w:rsid w:val="00901D6E"/>
    <w:rsid w:val="00901DA5"/>
    <w:rsid w:val="00902268"/>
    <w:rsid w:val="0090241F"/>
    <w:rsid w:val="00902AA0"/>
    <w:rsid w:val="00902E58"/>
    <w:rsid w:val="00902FB5"/>
    <w:rsid w:val="00903244"/>
    <w:rsid w:val="00903957"/>
    <w:rsid w:val="009039F8"/>
    <w:rsid w:val="00903E16"/>
    <w:rsid w:val="00905C21"/>
    <w:rsid w:val="00906626"/>
    <w:rsid w:val="00906AC7"/>
    <w:rsid w:val="009070F5"/>
    <w:rsid w:val="00907952"/>
    <w:rsid w:val="00910BDD"/>
    <w:rsid w:val="00911F99"/>
    <w:rsid w:val="00912704"/>
    <w:rsid w:val="00914092"/>
    <w:rsid w:val="009149D2"/>
    <w:rsid w:val="00914C3E"/>
    <w:rsid w:val="00914CC9"/>
    <w:rsid w:val="00915037"/>
    <w:rsid w:val="00916B84"/>
    <w:rsid w:val="00916D80"/>
    <w:rsid w:val="00916FD9"/>
    <w:rsid w:val="0091727F"/>
    <w:rsid w:val="009178AD"/>
    <w:rsid w:val="009200BB"/>
    <w:rsid w:val="009203F0"/>
    <w:rsid w:val="009204E9"/>
    <w:rsid w:val="009207CF"/>
    <w:rsid w:val="00922543"/>
    <w:rsid w:val="00922703"/>
    <w:rsid w:val="00923A1D"/>
    <w:rsid w:val="00923C34"/>
    <w:rsid w:val="009247E0"/>
    <w:rsid w:val="009249AC"/>
    <w:rsid w:val="00924C91"/>
    <w:rsid w:val="009252EC"/>
    <w:rsid w:val="00925CEA"/>
    <w:rsid w:val="00925FDA"/>
    <w:rsid w:val="00926114"/>
    <w:rsid w:val="009263C2"/>
    <w:rsid w:val="00926C9D"/>
    <w:rsid w:val="00926ED0"/>
    <w:rsid w:val="00927E17"/>
    <w:rsid w:val="0093033C"/>
    <w:rsid w:val="00931F35"/>
    <w:rsid w:val="00932B20"/>
    <w:rsid w:val="00934BCA"/>
    <w:rsid w:val="00934FB2"/>
    <w:rsid w:val="009354C5"/>
    <w:rsid w:val="009356C5"/>
    <w:rsid w:val="00935C27"/>
    <w:rsid w:val="00937983"/>
    <w:rsid w:val="00937E38"/>
    <w:rsid w:val="009400AA"/>
    <w:rsid w:val="009408F4"/>
    <w:rsid w:val="00941248"/>
    <w:rsid w:val="00941610"/>
    <w:rsid w:val="00942262"/>
    <w:rsid w:val="0094272C"/>
    <w:rsid w:val="009432F3"/>
    <w:rsid w:val="00943A0F"/>
    <w:rsid w:val="00944262"/>
    <w:rsid w:val="00944599"/>
    <w:rsid w:val="00944D7F"/>
    <w:rsid w:val="00944E60"/>
    <w:rsid w:val="00944F27"/>
    <w:rsid w:val="00945EB3"/>
    <w:rsid w:val="00946371"/>
    <w:rsid w:val="00946B08"/>
    <w:rsid w:val="0094753E"/>
    <w:rsid w:val="00947F11"/>
    <w:rsid w:val="009509B7"/>
    <w:rsid w:val="00951465"/>
    <w:rsid w:val="0095197B"/>
    <w:rsid w:val="00952034"/>
    <w:rsid w:val="009526D5"/>
    <w:rsid w:val="00952F3D"/>
    <w:rsid w:val="00952F66"/>
    <w:rsid w:val="0095322A"/>
    <w:rsid w:val="00953D4E"/>
    <w:rsid w:val="009543E6"/>
    <w:rsid w:val="009548CF"/>
    <w:rsid w:val="009553F5"/>
    <w:rsid w:val="009559A2"/>
    <w:rsid w:val="0095776A"/>
    <w:rsid w:val="00961034"/>
    <w:rsid w:val="00961D1B"/>
    <w:rsid w:val="00961E01"/>
    <w:rsid w:val="00962032"/>
    <w:rsid w:val="00962662"/>
    <w:rsid w:val="00962958"/>
    <w:rsid w:val="00962DC3"/>
    <w:rsid w:val="00962E8F"/>
    <w:rsid w:val="009636B5"/>
    <w:rsid w:val="00963756"/>
    <w:rsid w:val="00963AC2"/>
    <w:rsid w:val="00963B31"/>
    <w:rsid w:val="00964DC3"/>
    <w:rsid w:val="00965A96"/>
    <w:rsid w:val="00965AAE"/>
    <w:rsid w:val="00965AE9"/>
    <w:rsid w:val="009662E8"/>
    <w:rsid w:val="009669C6"/>
    <w:rsid w:val="00967335"/>
    <w:rsid w:val="009673C6"/>
    <w:rsid w:val="00967428"/>
    <w:rsid w:val="009676B9"/>
    <w:rsid w:val="009705FC"/>
    <w:rsid w:val="009718BE"/>
    <w:rsid w:val="00971A00"/>
    <w:rsid w:val="00971D81"/>
    <w:rsid w:val="00971FFA"/>
    <w:rsid w:val="0097298D"/>
    <w:rsid w:val="00972B28"/>
    <w:rsid w:val="0097313A"/>
    <w:rsid w:val="009734D6"/>
    <w:rsid w:val="0097384D"/>
    <w:rsid w:val="0097416E"/>
    <w:rsid w:val="00974464"/>
    <w:rsid w:val="00974651"/>
    <w:rsid w:val="00975450"/>
    <w:rsid w:val="0097582B"/>
    <w:rsid w:val="009761FF"/>
    <w:rsid w:val="00976C67"/>
    <w:rsid w:val="00977060"/>
    <w:rsid w:val="00977D7B"/>
    <w:rsid w:val="0098075F"/>
    <w:rsid w:val="0098076A"/>
    <w:rsid w:val="009821E3"/>
    <w:rsid w:val="00982904"/>
    <w:rsid w:val="00982DEB"/>
    <w:rsid w:val="00982FFF"/>
    <w:rsid w:val="00983139"/>
    <w:rsid w:val="00983706"/>
    <w:rsid w:val="009842D3"/>
    <w:rsid w:val="00984488"/>
    <w:rsid w:val="00986C13"/>
    <w:rsid w:val="00986F33"/>
    <w:rsid w:val="00986F93"/>
    <w:rsid w:val="0098704A"/>
    <w:rsid w:val="0098737D"/>
    <w:rsid w:val="0098752A"/>
    <w:rsid w:val="00987C8C"/>
    <w:rsid w:val="00987DF2"/>
    <w:rsid w:val="009905A9"/>
    <w:rsid w:val="009916C7"/>
    <w:rsid w:val="00992087"/>
    <w:rsid w:val="00992710"/>
    <w:rsid w:val="00992A45"/>
    <w:rsid w:val="00992E46"/>
    <w:rsid w:val="00993184"/>
    <w:rsid w:val="009933D8"/>
    <w:rsid w:val="00994A25"/>
    <w:rsid w:val="00994FAF"/>
    <w:rsid w:val="009957F1"/>
    <w:rsid w:val="00995C8A"/>
    <w:rsid w:val="00996578"/>
    <w:rsid w:val="0099674C"/>
    <w:rsid w:val="00996AB8"/>
    <w:rsid w:val="00996E55"/>
    <w:rsid w:val="00997200"/>
    <w:rsid w:val="009A2A36"/>
    <w:rsid w:val="009A2B1E"/>
    <w:rsid w:val="009A3070"/>
    <w:rsid w:val="009A36B6"/>
    <w:rsid w:val="009A3B8C"/>
    <w:rsid w:val="009A42E8"/>
    <w:rsid w:val="009A460C"/>
    <w:rsid w:val="009A5795"/>
    <w:rsid w:val="009A595E"/>
    <w:rsid w:val="009A5E0F"/>
    <w:rsid w:val="009A66F1"/>
    <w:rsid w:val="009A794B"/>
    <w:rsid w:val="009A7CFC"/>
    <w:rsid w:val="009B0307"/>
    <w:rsid w:val="009B0869"/>
    <w:rsid w:val="009B1379"/>
    <w:rsid w:val="009B3150"/>
    <w:rsid w:val="009B3879"/>
    <w:rsid w:val="009B40A6"/>
    <w:rsid w:val="009B41F8"/>
    <w:rsid w:val="009B423F"/>
    <w:rsid w:val="009B425C"/>
    <w:rsid w:val="009B43F1"/>
    <w:rsid w:val="009B5105"/>
    <w:rsid w:val="009B53CB"/>
    <w:rsid w:val="009B5831"/>
    <w:rsid w:val="009B58FD"/>
    <w:rsid w:val="009B5E77"/>
    <w:rsid w:val="009B6438"/>
    <w:rsid w:val="009B755A"/>
    <w:rsid w:val="009C0951"/>
    <w:rsid w:val="009C0DE9"/>
    <w:rsid w:val="009C134F"/>
    <w:rsid w:val="009C169B"/>
    <w:rsid w:val="009C22F5"/>
    <w:rsid w:val="009C23CD"/>
    <w:rsid w:val="009C2856"/>
    <w:rsid w:val="009C317B"/>
    <w:rsid w:val="009C32E1"/>
    <w:rsid w:val="009C33CB"/>
    <w:rsid w:val="009C372E"/>
    <w:rsid w:val="009C378B"/>
    <w:rsid w:val="009C37BA"/>
    <w:rsid w:val="009C3DEE"/>
    <w:rsid w:val="009C5A22"/>
    <w:rsid w:val="009C61FC"/>
    <w:rsid w:val="009C67E1"/>
    <w:rsid w:val="009C6F46"/>
    <w:rsid w:val="009C706D"/>
    <w:rsid w:val="009C7393"/>
    <w:rsid w:val="009C7712"/>
    <w:rsid w:val="009D15F4"/>
    <w:rsid w:val="009D19F0"/>
    <w:rsid w:val="009D1A76"/>
    <w:rsid w:val="009D1AE4"/>
    <w:rsid w:val="009D1C9B"/>
    <w:rsid w:val="009D1DA6"/>
    <w:rsid w:val="009D206D"/>
    <w:rsid w:val="009D234C"/>
    <w:rsid w:val="009D2E22"/>
    <w:rsid w:val="009D3E71"/>
    <w:rsid w:val="009D42C7"/>
    <w:rsid w:val="009D5042"/>
    <w:rsid w:val="009D5A20"/>
    <w:rsid w:val="009D79EC"/>
    <w:rsid w:val="009D7AE0"/>
    <w:rsid w:val="009E02D3"/>
    <w:rsid w:val="009E0449"/>
    <w:rsid w:val="009E04D4"/>
    <w:rsid w:val="009E0AEE"/>
    <w:rsid w:val="009E0B64"/>
    <w:rsid w:val="009E0CDA"/>
    <w:rsid w:val="009E1580"/>
    <w:rsid w:val="009E2719"/>
    <w:rsid w:val="009E2F61"/>
    <w:rsid w:val="009E3171"/>
    <w:rsid w:val="009E3E67"/>
    <w:rsid w:val="009E4E45"/>
    <w:rsid w:val="009E544F"/>
    <w:rsid w:val="009E57A5"/>
    <w:rsid w:val="009E5A52"/>
    <w:rsid w:val="009E640C"/>
    <w:rsid w:val="009E6A07"/>
    <w:rsid w:val="009E7440"/>
    <w:rsid w:val="009E78D5"/>
    <w:rsid w:val="009E7D79"/>
    <w:rsid w:val="009F0148"/>
    <w:rsid w:val="009F0457"/>
    <w:rsid w:val="009F07B3"/>
    <w:rsid w:val="009F2774"/>
    <w:rsid w:val="009F2A21"/>
    <w:rsid w:val="009F30AA"/>
    <w:rsid w:val="009F3211"/>
    <w:rsid w:val="009F4BA1"/>
    <w:rsid w:val="009F4D03"/>
    <w:rsid w:val="009F5DF4"/>
    <w:rsid w:val="009F6E65"/>
    <w:rsid w:val="009F7276"/>
    <w:rsid w:val="00A00E77"/>
    <w:rsid w:val="00A01264"/>
    <w:rsid w:val="00A012E6"/>
    <w:rsid w:val="00A01333"/>
    <w:rsid w:val="00A01C32"/>
    <w:rsid w:val="00A01FB2"/>
    <w:rsid w:val="00A021A1"/>
    <w:rsid w:val="00A0267C"/>
    <w:rsid w:val="00A02E12"/>
    <w:rsid w:val="00A0306E"/>
    <w:rsid w:val="00A032ED"/>
    <w:rsid w:val="00A03F84"/>
    <w:rsid w:val="00A048B1"/>
    <w:rsid w:val="00A04AA6"/>
    <w:rsid w:val="00A062FC"/>
    <w:rsid w:val="00A0669A"/>
    <w:rsid w:val="00A06800"/>
    <w:rsid w:val="00A105BC"/>
    <w:rsid w:val="00A10808"/>
    <w:rsid w:val="00A1262D"/>
    <w:rsid w:val="00A1281A"/>
    <w:rsid w:val="00A12B9C"/>
    <w:rsid w:val="00A13323"/>
    <w:rsid w:val="00A13807"/>
    <w:rsid w:val="00A13A9B"/>
    <w:rsid w:val="00A14264"/>
    <w:rsid w:val="00A15499"/>
    <w:rsid w:val="00A15EA8"/>
    <w:rsid w:val="00A1696F"/>
    <w:rsid w:val="00A16C45"/>
    <w:rsid w:val="00A16CC9"/>
    <w:rsid w:val="00A16F34"/>
    <w:rsid w:val="00A171B2"/>
    <w:rsid w:val="00A1727F"/>
    <w:rsid w:val="00A177A0"/>
    <w:rsid w:val="00A177C9"/>
    <w:rsid w:val="00A17C43"/>
    <w:rsid w:val="00A17D1D"/>
    <w:rsid w:val="00A17DAA"/>
    <w:rsid w:val="00A17F24"/>
    <w:rsid w:val="00A20966"/>
    <w:rsid w:val="00A2156F"/>
    <w:rsid w:val="00A2158C"/>
    <w:rsid w:val="00A215C8"/>
    <w:rsid w:val="00A21C1E"/>
    <w:rsid w:val="00A21DA0"/>
    <w:rsid w:val="00A223A5"/>
    <w:rsid w:val="00A22918"/>
    <w:rsid w:val="00A24401"/>
    <w:rsid w:val="00A25154"/>
    <w:rsid w:val="00A2523D"/>
    <w:rsid w:val="00A25304"/>
    <w:rsid w:val="00A26EC4"/>
    <w:rsid w:val="00A2704D"/>
    <w:rsid w:val="00A27274"/>
    <w:rsid w:val="00A27D3E"/>
    <w:rsid w:val="00A27FE2"/>
    <w:rsid w:val="00A30995"/>
    <w:rsid w:val="00A30B92"/>
    <w:rsid w:val="00A30C82"/>
    <w:rsid w:val="00A30F0D"/>
    <w:rsid w:val="00A3165E"/>
    <w:rsid w:val="00A3174D"/>
    <w:rsid w:val="00A317BD"/>
    <w:rsid w:val="00A31BE9"/>
    <w:rsid w:val="00A321DF"/>
    <w:rsid w:val="00A323FB"/>
    <w:rsid w:val="00A3300D"/>
    <w:rsid w:val="00A33163"/>
    <w:rsid w:val="00A33FD0"/>
    <w:rsid w:val="00A34264"/>
    <w:rsid w:val="00A34B9D"/>
    <w:rsid w:val="00A34E92"/>
    <w:rsid w:val="00A3581D"/>
    <w:rsid w:val="00A35C5E"/>
    <w:rsid w:val="00A36E0F"/>
    <w:rsid w:val="00A375B5"/>
    <w:rsid w:val="00A375D4"/>
    <w:rsid w:val="00A37DE4"/>
    <w:rsid w:val="00A37E3F"/>
    <w:rsid w:val="00A40418"/>
    <w:rsid w:val="00A40923"/>
    <w:rsid w:val="00A42E0E"/>
    <w:rsid w:val="00A4346D"/>
    <w:rsid w:val="00A44199"/>
    <w:rsid w:val="00A4438C"/>
    <w:rsid w:val="00A4454A"/>
    <w:rsid w:val="00A468A7"/>
    <w:rsid w:val="00A46A6C"/>
    <w:rsid w:val="00A46D95"/>
    <w:rsid w:val="00A4782D"/>
    <w:rsid w:val="00A47C0E"/>
    <w:rsid w:val="00A47D9C"/>
    <w:rsid w:val="00A500CF"/>
    <w:rsid w:val="00A50241"/>
    <w:rsid w:val="00A505C7"/>
    <w:rsid w:val="00A506C4"/>
    <w:rsid w:val="00A5089F"/>
    <w:rsid w:val="00A50F4E"/>
    <w:rsid w:val="00A5141F"/>
    <w:rsid w:val="00A51566"/>
    <w:rsid w:val="00A52794"/>
    <w:rsid w:val="00A55489"/>
    <w:rsid w:val="00A5601A"/>
    <w:rsid w:val="00A56DE1"/>
    <w:rsid w:val="00A570AA"/>
    <w:rsid w:val="00A57667"/>
    <w:rsid w:val="00A5794C"/>
    <w:rsid w:val="00A57AB2"/>
    <w:rsid w:val="00A616B0"/>
    <w:rsid w:val="00A61905"/>
    <w:rsid w:val="00A61F40"/>
    <w:rsid w:val="00A63444"/>
    <w:rsid w:val="00A63E2F"/>
    <w:rsid w:val="00A6526E"/>
    <w:rsid w:val="00A655BA"/>
    <w:rsid w:val="00A65892"/>
    <w:rsid w:val="00A6597F"/>
    <w:rsid w:val="00A65FD8"/>
    <w:rsid w:val="00A6654D"/>
    <w:rsid w:val="00A67BF9"/>
    <w:rsid w:val="00A70420"/>
    <w:rsid w:val="00A71DF5"/>
    <w:rsid w:val="00A7238F"/>
    <w:rsid w:val="00A72423"/>
    <w:rsid w:val="00A73261"/>
    <w:rsid w:val="00A75183"/>
    <w:rsid w:val="00A75468"/>
    <w:rsid w:val="00A75FE8"/>
    <w:rsid w:val="00A76329"/>
    <w:rsid w:val="00A76B04"/>
    <w:rsid w:val="00A7729E"/>
    <w:rsid w:val="00A778D0"/>
    <w:rsid w:val="00A827F3"/>
    <w:rsid w:val="00A82914"/>
    <w:rsid w:val="00A83393"/>
    <w:rsid w:val="00A845C3"/>
    <w:rsid w:val="00A8540C"/>
    <w:rsid w:val="00A86AFA"/>
    <w:rsid w:val="00A86E83"/>
    <w:rsid w:val="00A873CE"/>
    <w:rsid w:val="00A90A6E"/>
    <w:rsid w:val="00A90BAC"/>
    <w:rsid w:val="00A90F58"/>
    <w:rsid w:val="00A915C0"/>
    <w:rsid w:val="00A918B3"/>
    <w:rsid w:val="00A91A0E"/>
    <w:rsid w:val="00A91F48"/>
    <w:rsid w:val="00A922B9"/>
    <w:rsid w:val="00A92668"/>
    <w:rsid w:val="00A92B47"/>
    <w:rsid w:val="00A93360"/>
    <w:rsid w:val="00A9343D"/>
    <w:rsid w:val="00A9392C"/>
    <w:rsid w:val="00A939BC"/>
    <w:rsid w:val="00A941DF"/>
    <w:rsid w:val="00A9451E"/>
    <w:rsid w:val="00A945D6"/>
    <w:rsid w:val="00A95968"/>
    <w:rsid w:val="00A9602F"/>
    <w:rsid w:val="00A96821"/>
    <w:rsid w:val="00A971A8"/>
    <w:rsid w:val="00A97C23"/>
    <w:rsid w:val="00A97D98"/>
    <w:rsid w:val="00A97FB6"/>
    <w:rsid w:val="00AA10BC"/>
    <w:rsid w:val="00AA1B42"/>
    <w:rsid w:val="00AA25D3"/>
    <w:rsid w:val="00AA2958"/>
    <w:rsid w:val="00AA3001"/>
    <w:rsid w:val="00AA3F1E"/>
    <w:rsid w:val="00AA46D1"/>
    <w:rsid w:val="00AA47AE"/>
    <w:rsid w:val="00AA52C8"/>
    <w:rsid w:val="00AA561F"/>
    <w:rsid w:val="00AA586A"/>
    <w:rsid w:val="00AA5B83"/>
    <w:rsid w:val="00AA64FB"/>
    <w:rsid w:val="00AA6A6A"/>
    <w:rsid w:val="00AB02E5"/>
    <w:rsid w:val="00AB0DC6"/>
    <w:rsid w:val="00AB139A"/>
    <w:rsid w:val="00AB166D"/>
    <w:rsid w:val="00AB172B"/>
    <w:rsid w:val="00AB1CC1"/>
    <w:rsid w:val="00AB28D2"/>
    <w:rsid w:val="00AB2995"/>
    <w:rsid w:val="00AB3AB7"/>
    <w:rsid w:val="00AB41F6"/>
    <w:rsid w:val="00AB4547"/>
    <w:rsid w:val="00AB5725"/>
    <w:rsid w:val="00AB6CFC"/>
    <w:rsid w:val="00AB74D4"/>
    <w:rsid w:val="00AC07C4"/>
    <w:rsid w:val="00AC0822"/>
    <w:rsid w:val="00AC1415"/>
    <w:rsid w:val="00AC1ECF"/>
    <w:rsid w:val="00AC23E8"/>
    <w:rsid w:val="00AC2613"/>
    <w:rsid w:val="00AC2749"/>
    <w:rsid w:val="00AC2CA6"/>
    <w:rsid w:val="00AC3131"/>
    <w:rsid w:val="00AC313D"/>
    <w:rsid w:val="00AC3168"/>
    <w:rsid w:val="00AC3C75"/>
    <w:rsid w:val="00AC3E30"/>
    <w:rsid w:val="00AC51CB"/>
    <w:rsid w:val="00AC5BEF"/>
    <w:rsid w:val="00AC5EB8"/>
    <w:rsid w:val="00AC6665"/>
    <w:rsid w:val="00AC6BC5"/>
    <w:rsid w:val="00AC7ACB"/>
    <w:rsid w:val="00AC7FC8"/>
    <w:rsid w:val="00AC7FDD"/>
    <w:rsid w:val="00AD03D4"/>
    <w:rsid w:val="00AD0809"/>
    <w:rsid w:val="00AD0896"/>
    <w:rsid w:val="00AD12C1"/>
    <w:rsid w:val="00AD1DA6"/>
    <w:rsid w:val="00AD21DE"/>
    <w:rsid w:val="00AD273B"/>
    <w:rsid w:val="00AD2A56"/>
    <w:rsid w:val="00AD3860"/>
    <w:rsid w:val="00AD3E3D"/>
    <w:rsid w:val="00AD400C"/>
    <w:rsid w:val="00AD4930"/>
    <w:rsid w:val="00AD4C82"/>
    <w:rsid w:val="00AD4C91"/>
    <w:rsid w:val="00AD4DED"/>
    <w:rsid w:val="00AD62F7"/>
    <w:rsid w:val="00AD6878"/>
    <w:rsid w:val="00AD6C5C"/>
    <w:rsid w:val="00AD70AC"/>
    <w:rsid w:val="00AD7162"/>
    <w:rsid w:val="00AD7795"/>
    <w:rsid w:val="00AD7847"/>
    <w:rsid w:val="00AE009F"/>
    <w:rsid w:val="00AE011D"/>
    <w:rsid w:val="00AE0FF1"/>
    <w:rsid w:val="00AE12B6"/>
    <w:rsid w:val="00AE18DA"/>
    <w:rsid w:val="00AE2007"/>
    <w:rsid w:val="00AE2309"/>
    <w:rsid w:val="00AE2994"/>
    <w:rsid w:val="00AE3B4A"/>
    <w:rsid w:val="00AE3BDB"/>
    <w:rsid w:val="00AE3BED"/>
    <w:rsid w:val="00AE4540"/>
    <w:rsid w:val="00AE4E11"/>
    <w:rsid w:val="00AE4E62"/>
    <w:rsid w:val="00AE503E"/>
    <w:rsid w:val="00AE54BD"/>
    <w:rsid w:val="00AE5649"/>
    <w:rsid w:val="00AE57AD"/>
    <w:rsid w:val="00AE59B5"/>
    <w:rsid w:val="00AE5B54"/>
    <w:rsid w:val="00AE5E55"/>
    <w:rsid w:val="00AE5F08"/>
    <w:rsid w:val="00AE64D9"/>
    <w:rsid w:val="00AE672B"/>
    <w:rsid w:val="00AE7AA3"/>
    <w:rsid w:val="00AF01CF"/>
    <w:rsid w:val="00AF1BB0"/>
    <w:rsid w:val="00AF302C"/>
    <w:rsid w:val="00AF3088"/>
    <w:rsid w:val="00AF3B1A"/>
    <w:rsid w:val="00AF3FC6"/>
    <w:rsid w:val="00AF409A"/>
    <w:rsid w:val="00AF41C2"/>
    <w:rsid w:val="00AF59A0"/>
    <w:rsid w:val="00AF5AF4"/>
    <w:rsid w:val="00AF5F75"/>
    <w:rsid w:val="00AF69A0"/>
    <w:rsid w:val="00AF6B12"/>
    <w:rsid w:val="00AF6BFD"/>
    <w:rsid w:val="00AF7D4A"/>
    <w:rsid w:val="00B00472"/>
    <w:rsid w:val="00B00B2B"/>
    <w:rsid w:val="00B01114"/>
    <w:rsid w:val="00B0181B"/>
    <w:rsid w:val="00B01D82"/>
    <w:rsid w:val="00B0213B"/>
    <w:rsid w:val="00B02301"/>
    <w:rsid w:val="00B0309F"/>
    <w:rsid w:val="00B0488D"/>
    <w:rsid w:val="00B05F96"/>
    <w:rsid w:val="00B0698F"/>
    <w:rsid w:val="00B06D8D"/>
    <w:rsid w:val="00B0756B"/>
    <w:rsid w:val="00B07865"/>
    <w:rsid w:val="00B07F1F"/>
    <w:rsid w:val="00B107E8"/>
    <w:rsid w:val="00B10E27"/>
    <w:rsid w:val="00B110CA"/>
    <w:rsid w:val="00B111DA"/>
    <w:rsid w:val="00B118BE"/>
    <w:rsid w:val="00B11D7F"/>
    <w:rsid w:val="00B11FF4"/>
    <w:rsid w:val="00B1333C"/>
    <w:rsid w:val="00B136C3"/>
    <w:rsid w:val="00B137B8"/>
    <w:rsid w:val="00B14618"/>
    <w:rsid w:val="00B146AB"/>
    <w:rsid w:val="00B14919"/>
    <w:rsid w:val="00B14A73"/>
    <w:rsid w:val="00B14B3A"/>
    <w:rsid w:val="00B14F29"/>
    <w:rsid w:val="00B157BD"/>
    <w:rsid w:val="00B162F9"/>
    <w:rsid w:val="00B17767"/>
    <w:rsid w:val="00B20059"/>
    <w:rsid w:val="00B20130"/>
    <w:rsid w:val="00B21BB9"/>
    <w:rsid w:val="00B2296C"/>
    <w:rsid w:val="00B2296F"/>
    <w:rsid w:val="00B22E07"/>
    <w:rsid w:val="00B230DD"/>
    <w:rsid w:val="00B232D3"/>
    <w:rsid w:val="00B2365B"/>
    <w:rsid w:val="00B23A46"/>
    <w:rsid w:val="00B23B5C"/>
    <w:rsid w:val="00B23CC1"/>
    <w:rsid w:val="00B24135"/>
    <w:rsid w:val="00B24664"/>
    <w:rsid w:val="00B2466B"/>
    <w:rsid w:val="00B2484E"/>
    <w:rsid w:val="00B2489D"/>
    <w:rsid w:val="00B24931"/>
    <w:rsid w:val="00B25090"/>
    <w:rsid w:val="00B2644E"/>
    <w:rsid w:val="00B267A3"/>
    <w:rsid w:val="00B26B73"/>
    <w:rsid w:val="00B26D93"/>
    <w:rsid w:val="00B26EA9"/>
    <w:rsid w:val="00B271DF"/>
    <w:rsid w:val="00B2730F"/>
    <w:rsid w:val="00B2760B"/>
    <w:rsid w:val="00B303D9"/>
    <w:rsid w:val="00B30D24"/>
    <w:rsid w:val="00B31A8B"/>
    <w:rsid w:val="00B31B7F"/>
    <w:rsid w:val="00B321F6"/>
    <w:rsid w:val="00B323A4"/>
    <w:rsid w:val="00B329FD"/>
    <w:rsid w:val="00B335A9"/>
    <w:rsid w:val="00B33A36"/>
    <w:rsid w:val="00B3418B"/>
    <w:rsid w:val="00B341F1"/>
    <w:rsid w:val="00B348D3"/>
    <w:rsid w:val="00B3513D"/>
    <w:rsid w:val="00B35954"/>
    <w:rsid w:val="00B363C4"/>
    <w:rsid w:val="00B36CD7"/>
    <w:rsid w:val="00B370AC"/>
    <w:rsid w:val="00B371F7"/>
    <w:rsid w:val="00B37747"/>
    <w:rsid w:val="00B37D97"/>
    <w:rsid w:val="00B37EBA"/>
    <w:rsid w:val="00B40E2D"/>
    <w:rsid w:val="00B4133C"/>
    <w:rsid w:val="00B4189C"/>
    <w:rsid w:val="00B41A08"/>
    <w:rsid w:val="00B41D12"/>
    <w:rsid w:val="00B41E55"/>
    <w:rsid w:val="00B421B3"/>
    <w:rsid w:val="00B432B9"/>
    <w:rsid w:val="00B4339E"/>
    <w:rsid w:val="00B43422"/>
    <w:rsid w:val="00B4359B"/>
    <w:rsid w:val="00B4372D"/>
    <w:rsid w:val="00B440EB"/>
    <w:rsid w:val="00B44140"/>
    <w:rsid w:val="00B4546E"/>
    <w:rsid w:val="00B4659D"/>
    <w:rsid w:val="00B467BC"/>
    <w:rsid w:val="00B46B77"/>
    <w:rsid w:val="00B46F83"/>
    <w:rsid w:val="00B471FC"/>
    <w:rsid w:val="00B47326"/>
    <w:rsid w:val="00B476FB"/>
    <w:rsid w:val="00B47EF0"/>
    <w:rsid w:val="00B502AB"/>
    <w:rsid w:val="00B502AF"/>
    <w:rsid w:val="00B50921"/>
    <w:rsid w:val="00B50B2D"/>
    <w:rsid w:val="00B50D0A"/>
    <w:rsid w:val="00B51ED7"/>
    <w:rsid w:val="00B52098"/>
    <w:rsid w:val="00B528C4"/>
    <w:rsid w:val="00B52A63"/>
    <w:rsid w:val="00B534F8"/>
    <w:rsid w:val="00B53CCB"/>
    <w:rsid w:val="00B547EC"/>
    <w:rsid w:val="00B54C21"/>
    <w:rsid w:val="00B551F1"/>
    <w:rsid w:val="00B558A2"/>
    <w:rsid w:val="00B55AE8"/>
    <w:rsid w:val="00B564FE"/>
    <w:rsid w:val="00B56B8D"/>
    <w:rsid w:val="00B56D28"/>
    <w:rsid w:val="00B60570"/>
    <w:rsid w:val="00B609C1"/>
    <w:rsid w:val="00B61030"/>
    <w:rsid w:val="00B61379"/>
    <w:rsid w:val="00B61A79"/>
    <w:rsid w:val="00B61B81"/>
    <w:rsid w:val="00B61D96"/>
    <w:rsid w:val="00B61EB2"/>
    <w:rsid w:val="00B621E5"/>
    <w:rsid w:val="00B62755"/>
    <w:rsid w:val="00B62953"/>
    <w:rsid w:val="00B63191"/>
    <w:rsid w:val="00B63E2F"/>
    <w:rsid w:val="00B64636"/>
    <w:rsid w:val="00B64896"/>
    <w:rsid w:val="00B64D46"/>
    <w:rsid w:val="00B64EEA"/>
    <w:rsid w:val="00B6568E"/>
    <w:rsid w:val="00B65B18"/>
    <w:rsid w:val="00B65ED3"/>
    <w:rsid w:val="00B6604D"/>
    <w:rsid w:val="00B66B48"/>
    <w:rsid w:val="00B66E2F"/>
    <w:rsid w:val="00B677EB"/>
    <w:rsid w:val="00B67BCE"/>
    <w:rsid w:val="00B67D72"/>
    <w:rsid w:val="00B67F0B"/>
    <w:rsid w:val="00B70220"/>
    <w:rsid w:val="00B70DEA"/>
    <w:rsid w:val="00B71286"/>
    <w:rsid w:val="00B72E8F"/>
    <w:rsid w:val="00B73520"/>
    <w:rsid w:val="00B737A1"/>
    <w:rsid w:val="00B74194"/>
    <w:rsid w:val="00B74531"/>
    <w:rsid w:val="00B74B43"/>
    <w:rsid w:val="00B74EBD"/>
    <w:rsid w:val="00B74FB8"/>
    <w:rsid w:val="00B750D0"/>
    <w:rsid w:val="00B75420"/>
    <w:rsid w:val="00B75BF2"/>
    <w:rsid w:val="00B75D0A"/>
    <w:rsid w:val="00B76AE8"/>
    <w:rsid w:val="00B76F4F"/>
    <w:rsid w:val="00B76F60"/>
    <w:rsid w:val="00B779A9"/>
    <w:rsid w:val="00B80431"/>
    <w:rsid w:val="00B81196"/>
    <w:rsid w:val="00B817B2"/>
    <w:rsid w:val="00B819A6"/>
    <w:rsid w:val="00B82EA0"/>
    <w:rsid w:val="00B82EAA"/>
    <w:rsid w:val="00B83299"/>
    <w:rsid w:val="00B83E9B"/>
    <w:rsid w:val="00B84109"/>
    <w:rsid w:val="00B84652"/>
    <w:rsid w:val="00B84F75"/>
    <w:rsid w:val="00B8553C"/>
    <w:rsid w:val="00B86F68"/>
    <w:rsid w:val="00B870AC"/>
    <w:rsid w:val="00B8747C"/>
    <w:rsid w:val="00B87B33"/>
    <w:rsid w:val="00B9032A"/>
    <w:rsid w:val="00B90948"/>
    <w:rsid w:val="00B914C7"/>
    <w:rsid w:val="00B91598"/>
    <w:rsid w:val="00B932D6"/>
    <w:rsid w:val="00B9349B"/>
    <w:rsid w:val="00B93E09"/>
    <w:rsid w:val="00B94175"/>
    <w:rsid w:val="00B94815"/>
    <w:rsid w:val="00B94A60"/>
    <w:rsid w:val="00B9576D"/>
    <w:rsid w:val="00B95EC3"/>
    <w:rsid w:val="00B95ED5"/>
    <w:rsid w:val="00B960FB"/>
    <w:rsid w:val="00B96531"/>
    <w:rsid w:val="00B96BA3"/>
    <w:rsid w:val="00B96D00"/>
    <w:rsid w:val="00B96F19"/>
    <w:rsid w:val="00B971CF"/>
    <w:rsid w:val="00B97B46"/>
    <w:rsid w:val="00BA0875"/>
    <w:rsid w:val="00BA10BA"/>
    <w:rsid w:val="00BA172E"/>
    <w:rsid w:val="00BA225A"/>
    <w:rsid w:val="00BA36EF"/>
    <w:rsid w:val="00BA3AA3"/>
    <w:rsid w:val="00BA4CD6"/>
    <w:rsid w:val="00BA5270"/>
    <w:rsid w:val="00BA530F"/>
    <w:rsid w:val="00BA56DA"/>
    <w:rsid w:val="00BA5A9A"/>
    <w:rsid w:val="00BA5D45"/>
    <w:rsid w:val="00BA61EE"/>
    <w:rsid w:val="00BA6212"/>
    <w:rsid w:val="00BA64B0"/>
    <w:rsid w:val="00BA6C6D"/>
    <w:rsid w:val="00BA6CFA"/>
    <w:rsid w:val="00BA71C0"/>
    <w:rsid w:val="00BA74E6"/>
    <w:rsid w:val="00BA761C"/>
    <w:rsid w:val="00BB0977"/>
    <w:rsid w:val="00BB0FE5"/>
    <w:rsid w:val="00BB22D9"/>
    <w:rsid w:val="00BB3819"/>
    <w:rsid w:val="00BB3E26"/>
    <w:rsid w:val="00BB4C68"/>
    <w:rsid w:val="00BB5233"/>
    <w:rsid w:val="00BB5C79"/>
    <w:rsid w:val="00BB758E"/>
    <w:rsid w:val="00BB7802"/>
    <w:rsid w:val="00BC01F2"/>
    <w:rsid w:val="00BC04D9"/>
    <w:rsid w:val="00BC0530"/>
    <w:rsid w:val="00BC0A14"/>
    <w:rsid w:val="00BC0C3B"/>
    <w:rsid w:val="00BC1591"/>
    <w:rsid w:val="00BC3478"/>
    <w:rsid w:val="00BC35CC"/>
    <w:rsid w:val="00BC3B3C"/>
    <w:rsid w:val="00BC564C"/>
    <w:rsid w:val="00BC63F3"/>
    <w:rsid w:val="00BC64F5"/>
    <w:rsid w:val="00BC6820"/>
    <w:rsid w:val="00BC7FB9"/>
    <w:rsid w:val="00BD0056"/>
    <w:rsid w:val="00BD0348"/>
    <w:rsid w:val="00BD03F3"/>
    <w:rsid w:val="00BD12AB"/>
    <w:rsid w:val="00BD1922"/>
    <w:rsid w:val="00BD2C37"/>
    <w:rsid w:val="00BD353E"/>
    <w:rsid w:val="00BD367B"/>
    <w:rsid w:val="00BD3E81"/>
    <w:rsid w:val="00BD4A51"/>
    <w:rsid w:val="00BD4DFD"/>
    <w:rsid w:val="00BD5345"/>
    <w:rsid w:val="00BD5711"/>
    <w:rsid w:val="00BD5974"/>
    <w:rsid w:val="00BD5F26"/>
    <w:rsid w:val="00BD6209"/>
    <w:rsid w:val="00BD650E"/>
    <w:rsid w:val="00BD6CD6"/>
    <w:rsid w:val="00BD7D5D"/>
    <w:rsid w:val="00BE01E1"/>
    <w:rsid w:val="00BE040A"/>
    <w:rsid w:val="00BE0AB7"/>
    <w:rsid w:val="00BE1016"/>
    <w:rsid w:val="00BE1050"/>
    <w:rsid w:val="00BE12FE"/>
    <w:rsid w:val="00BE1488"/>
    <w:rsid w:val="00BE1E65"/>
    <w:rsid w:val="00BE33DD"/>
    <w:rsid w:val="00BE3B37"/>
    <w:rsid w:val="00BE4A0A"/>
    <w:rsid w:val="00BE5387"/>
    <w:rsid w:val="00BE64EC"/>
    <w:rsid w:val="00BE6888"/>
    <w:rsid w:val="00BE6A5F"/>
    <w:rsid w:val="00BE7291"/>
    <w:rsid w:val="00BE7D9A"/>
    <w:rsid w:val="00BE7FAC"/>
    <w:rsid w:val="00BF04B0"/>
    <w:rsid w:val="00BF04C0"/>
    <w:rsid w:val="00BF0B1E"/>
    <w:rsid w:val="00BF0C3C"/>
    <w:rsid w:val="00BF154D"/>
    <w:rsid w:val="00BF1991"/>
    <w:rsid w:val="00BF27D8"/>
    <w:rsid w:val="00BF34DC"/>
    <w:rsid w:val="00BF355B"/>
    <w:rsid w:val="00BF3A1E"/>
    <w:rsid w:val="00BF4185"/>
    <w:rsid w:val="00BF510F"/>
    <w:rsid w:val="00BF59DB"/>
    <w:rsid w:val="00BF607D"/>
    <w:rsid w:val="00BF69CD"/>
    <w:rsid w:val="00BF6D96"/>
    <w:rsid w:val="00BF6F37"/>
    <w:rsid w:val="00BF7625"/>
    <w:rsid w:val="00BF7684"/>
    <w:rsid w:val="00BF7B06"/>
    <w:rsid w:val="00C002E9"/>
    <w:rsid w:val="00C00B53"/>
    <w:rsid w:val="00C00C77"/>
    <w:rsid w:val="00C0128B"/>
    <w:rsid w:val="00C012EF"/>
    <w:rsid w:val="00C01C20"/>
    <w:rsid w:val="00C01E2E"/>
    <w:rsid w:val="00C02DBF"/>
    <w:rsid w:val="00C03332"/>
    <w:rsid w:val="00C03897"/>
    <w:rsid w:val="00C03BAF"/>
    <w:rsid w:val="00C04580"/>
    <w:rsid w:val="00C045F6"/>
    <w:rsid w:val="00C049C1"/>
    <w:rsid w:val="00C05407"/>
    <w:rsid w:val="00C054EE"/>
    <w:rsid w:val="00C0628F"/>
    <w:rsid w:val="00C06C73"/>
    <w:rsid w:val="00C07485"/>
    <w:rsid w:val="00C10E88"/>
    <w:rsid w:val="00C1157A"/>
    <w:rsid w:val="00C121A7"/>
    <w:rsid w:val="00C12569"/>
    <w:rsid w:val="00C1322D"/>
    <w:rsid w:val="00C13341"/>
    <w:rsid w:val="00C143E8"/>
    <w:rsid w:val="00C1443C"/>
    <w:rsid w:val="00C14773"/>
    <w:rsid w:val="00C148DA"/>
    <w:rsid w:val="00C14E62"/>
    <w:rsid w:val="00C1576C"/>
    <w:rsid w:val="00C1620D"/>
    <w:rsid w:val="00C16BFD"/>
    <w:rsid w:val="00C17668"/>
    <w:rsid w:val="00C20A95"/>
    <w:rsid w:val="00C21911"/>
    <w:rsid w:val="00C21D7F"/>
    <w:rsid w:val="00C222AC"/>
    <w:rsid w:val="00C223A3"/>
    <w:rsid w:val="00C223AD"/>
    <w:rsid w:val="00C22858"/>
    <w:rsid w:val="00C22866"/>
    <w:rsid w:val="00C23106"/>
    <w:rsid w:val="00C24C68"/>
    <w:rsid w:val="00C24D82"/>
    <w:rsid w:val="00C252C4"/>
    <w:rsid w:val="00C2597C"/>
    <w:rsid w:val="00C26053"/>
    <w:rsid w:val="00C26518"/>
    <w:rsid w:val="00C26600"/>
    <w:rsid w:val="00C26618"/>
    <w:rsid w:val="00C26D66"/>
    <w:rsid w:val="00C2763C"/>
    <w:rsid w:val="00C27C42"/>
    <w:rsid w:val="00C27F5C"/>
    <w:rsid w:val="00C301BC"/>
    <w:rsid w:val="00C308DA"/>
    <w:rsid w:val="00C30FDD"/>
    <w:rsid w:val="00C3140C"/>
    <w:rsid w:val="00C321EA"/>
    <w:rsid w:val="00C328B7"/>
    <w:rsid w:val="00C33891"/>
    <w:rsid w:val="00C33B08"/>
    <w:rsid w:val="00C33BF6"/>
    <w:rsid w:val="00C33D55"/>
    <w:rsid w:val="00C33F20"/>
    <w:rsid w:val="00C33FA5"/>
    <w:rsid w:val="00C3463D"/>
    <w:rsid w:val="00C3484E"/>
    <w:rsid w:val="00C34B2A"/>
    <w:rsid w:val="00C34BF7"/>
    <w:rsid w:val="00C35124"/>
    <w:rsid w:val="00C35BBB"/>
    <w:rsid w:val="00C35F5B"/>
    <w:rsid w:val="00C3708E"/>
    <w:rsid w:val="00C37C60"/>
    <w:rsid w:val="00C37EAF"/>
    <w:rsid w:val="00C40971"/>
    <w:rsid w:val="00C410E6"/>
    <w:rsid w:val="00C41519"/>
    <w:rsid w:val="00C43098"/>
    <w:rsid w:val="00C4337E"/>
    <w:rsid w:val="00C43806"/>
    <w:rsid w:val="00C44DD9"/>
    <w:rsid w:val="00C452AC"/>
    <w:rsid w:val="00C45374"/>
    <w:rsid w:val="00C45892"/>
    <w:rsid w:val="00C460E2"/>
    <w:rsid w:val="00C47E4C"/>
    <w:rsid w:val="00C50D70"/>
    <w:rsid w:val="00C50EB2"/>
    <w:rsid w:val="00C50FB8"/>
    <w:rsid w:val="00C51D6E"/>
    <w:rsid w:val="00C5229F"/>
    <w:rsid w:val="00C522C8"/>
    <w:rsid w:val="00C52327"/>
    <w:rsid w:val="00C526E9"/>
    <w:rsid w:val="00C52762"/>
    <w:rsid w:val="00C52A00"/>
    <w:rsid w:val="00C52B3D"/>
    <w:rsid w:val="00C53289"/>
    <w:rsid w:val="00C533D5"/>
    <w:rsid w:val="00C534E4"/>
    <w:rsid w:val="00C537FF"/>
    <w:rsid w:val="00C53984"/>
    <w:rsid w:val="00C53A50"/>
    <w:rsid w:val="00C54B82"/>
    <w:rsid w:val="00C55518"/>
    <w:rsid w:val="00C559E2"/>
    <w:rsid w:val="00C561C6"/>
    <w:rsid w:val="00C563B2"/>
    <w:rsid w:val="00C5685E"/>
    <w:rsid w:val="00C56C15"/>
    <w:rsid w:val="00C57523"/>
    <w:rsid w:val="00C606EE"/>
    <w:rsid w:val="00C608AC"/>
    <w:rsid w:val="00C6106A"/>
    <w:rsid w:val="00C610BC"/>
    <w:rsid w:val="00C637BD"/>
    <w:rsid w:val="00C647AB"/>
    <w:rsid w:val="00C64A99"/>
    <w:rsid w:val="00C65016"/>
    <w:rsid w:val="00C65BEB"/>
    <w:rsid w:val="00C66478"/>
    <w:rsid w:val="00C6690B"/>
    <w:rsid w:val="00C6731E"/>
    <w:rsid w:val="00C70776"/>
    <w:rsid w:val="00C70FAF"/>
    <w:rsid w:val="00C71434"/>
    <w:rsid w:val="00C7164B"/>
    <w:rsid w:val="00C71E61"/>
    <w:rsid w:val="00C724DE"/>
    <w:rsid w:val="00C7254C"/>
    <w:rsid w:val="00C729EE"/>
    <w:rsid w:val="00C73342"/>
    <w:rsid w:val="00C73929"/>
    <w:rsid w:val="00C7493D"/>
    <w:rsid w:val="00C75148"/>
    <w:rsid w:val="00C75374"/>
    <w:rsid w:val="00C75F31"/>
    <w:rsid w:val="00C75F89"/>
    <w:rsid w:val="00C76082"/>
    <w:rsid w:val="00C770F4"/>
    <w:rsid w:val="00C80C9F"/>
    <w:rsid w:val="00C81240"/>
    <w:rsid w:val="00C81B9D"/>
    <w:rsid w:val="00C81D88"/>
    <w:rsid w:val="00C82160"/>
    <w:rsid w:val="00C82173"/>
    <w:rsid w:val="00C8232F"/>
    <w:rsid w:val="00C82911"/>
    <w:rsid w:val="00C82D38"/>
    <w:rsid w:val="00C833A9"/>
    <w:rsid w:val="00C83A05"/>
    <w:rsid w:val="00C83DFB"/>
    <w:rsid w:val="00C83EC6"/>
    <w:rsid w:val="00C84609"/>
    <w:rsid w:val="00C8463A"/>
    <w:rsid w:val="00C84B1E"/>
    <w:rsid w:val="00C84B3C"/>
    <w:rsid w:val="00C85260"/>
    <w:rsid w:val="00C861D2"/>
    <w:rsid w:val="00C86682"/>
    <w:rsid w:val="00C867E8"/>
    <w:rsid w:val="00C87173"/>
    <w:rsid w:val="00C87AA8"/>
    <w:rsid w:val="00C90674"/>
    <w:rsid w:val="00C90A01"/>
    <w:rsid w:val="00C90BFB"/>
    <w:rsid w:val="00C918F2"/>
    <w:rsid w:val="00C92281"/>
    <w:rsid w:val="00C92CDA"/>
    <w:rsid w:val="00C92D5F"/>
    <w:rsid w:val="00C93A54"/>
    <w:rsid w:val="00C93CF4"/>
    <w:rsid w:val="00C9472B"/>
    <w:rsid w:val="00C94FC5"/>
    <w:rsid w:val="00C9572F"/>
    <w:rsid w:val="00C95A4E"/>
    <w:rsid w:val="00C96226"/>
    <w:rsid w:val="00C96597"/>
    <w:rsid w:val="00C969CA"/>
    <w:rsid w:val="00C969F3"/>
    <w:rsid w:val="00C96A02"/>
    <w:rsid w:val="00C96F65"/>
    <w:rsid w:val="00C97329"/>
    <w:rsid w:val="00CA0749"/>
    <w:rsid w:val="00CA1252"/>
    <w:rsid w:val="00CA14D6"/>
    <w:rsid w:val="00CA1A98"/>
    <w:rsid w:val="00CA1CBB"/>
    <w:rsid w:val="00CA1D75"/>
    <w:rsid w:val="00CA1D8F"/>
    <w:rsid w:val="00CA1EB2"/>
    <w:rsid w:val="00CA21E0"/>
    <w:rsid w:val="00CA25E8"/>
    <w:rsid w:val="00CA3152"/>
    <w:rsid w:val="00CA421D"/>
    <w:rsid w:val="00CA5128"/>
    <w:rsid w:val="00CA553E"/>
    <w:rsid w:val="00CA6274"/>
    <w:rsid w:val="00CA69EA"/>
    <w:rsid w:val="00CA702B"/>
    <w:rsid w:val="00CA7390"/>
    <w:rsid w:val="00CA7E42"/>
    <w:rsid w:val="00CB0E7C"/>
    <w:rsid w:val="00CB122F"/>
    <w:rsid w:val="00CB136A"/>
    <w:rsid w:val="00CB229C"/>
    <w:rsid w:val="00CB41CF"/>
    <w:rsid w:val="00CB482A"/>
    <w:rsid w:val="00CB4BD8"/>
    <w:rsid w:val="00CB5079"/>
    <w:rsid w:val="00CB52FF"/>
    <w:rsid w:val="00CB5609"/>
    <w:rsid w:val="00CB5893"/>
    <w:rsid w:val="00CB5CCE"/>
    <w:rsid w:val="00CB6BE9"/>
    <w:rsid w:val="00CB6CA1"/>
    <w:rsid w:val="00CB72A7"/>
    <w:rsid w:val="00CB7BF8"/>
    <w:rsid w:val="00CB7C63"/>
    <w:rsid w:val="00CC1F47"/>
    <w:rsid w:val="00CC1FC2"/>
    <w:rsid w:val="00CC29CA"/>
    <w:rsid w:val="00CC2A65"/>
    <w:rsid w:val="00CC2D3D"/>
    <w:rsid w:val="00CC2EB7"/>
    <w:rsid w:val="00CC31AD"/>
    <w:rsid w:val="00CC436D"/>
    <w:rsid w:val="00CC4EF4"/>
    <w:rsid w:val="00CC504E"/>
    <w:rsid w:val="00CC5A7E"/>
    <w:rsid w:val="00CC5C36"/>
    <w:rsid w:val="00CC60E7"/>
    <w:rsid w:val="00CC7753"/>
    <w:rsid w:val="00CC7CA2"/>
    <w:rsid w:val="00CC7E43"/>
    <w:rsid w:val="00CD0587"/>
    <w:rsid w:val="00CD1188"/>
    <w:rsid w:val="00CD11C3"/>
    <w:rsid w:val="00CD163D"/>
    <w:rsid w:val="00CD22A1"/>
    <w:rsid w:val="00CD3119"/>
    <w:rsid w:val="00CD3688"/>
    <w:rsid w:val="00CD3702"/>
    <w:rsid w:val="00CD3D0D"/>
    <w:rsid w:val="00CD431B"/>
    <w:rsid w:val="00CD4477"/>
    <w:rsid w:val="00CD49CD"/>
    <w:rsid w:val="00CD5272"/>
    <w:rsid w:val="00CD5C16"/>
    <w:rsid w:val="00CD6122"/>
    <w:rsid w:val="00CD6FA0"/>
    <w:rsid w:val="00CD7307"/>
    <w:rsid w:val="00CD752C"/>
    <w:rsid w:val="00CD76E7"/>
    <w:rsid w:val="00CD7905"/>
    <w:rsid w:val="00CD7E18"/>
    <w:rsid w:val="00CE0245"/>
    <w:rsid w:val="00CE02A4"/>
    <w:rsid w:val="00CE0DA5"/>
    <w:rsid w:val="00CE1605"/>
    <w:rsid w:val="00CE1B7C"/>
    <w:rsid w:val="00CE233A"/>
    <w:rsid w:val="00CE2380"/>
    <w:rsid w:val="00CE239D"/>
    <w:rsid w:val="00CE2F71"/>
    <w:rsid w:val="00CE482F"/>
    <w:rsid w:val="00CE4DB1"/>
    <w:rsid w:val="00CE5442"/>
    <w:rsid w:val="00CE6340"/>
    <w:rsid w:val="00CE6985"/>
    <w:rsid w:val="00CE6B54"/>
    <w:rsid w:val="00CE7647"/>
    <w:rsid w:val="00CE7A9C"/>
    <w:rsid w:val="00CE7AFC"/>
    <w:rsid w:val="00CF04B3"/>
    <w:rsid w:val="00CF13BB"/>
    <w:rsid w:val="00CF1511"/>
    <w:rsid w:val="00CF16A4"/>
    <w:rsid w:val="00CF194C"/>
    <w:rsid w:val="00CF247F"/>
    <w:rsid w:val="00CF2B99"/>
    <w:rsid w:val="00CF2C7E"/>
    <w:rsid w:val="00CF598B"/>
    <w:rsid w:val="00CF5B0F"/>
    <w:rsid w:val="00CF7328"/>
    <w:rsid w:val="00CF7762"/>
    <w:rsid w:val="00CF7A1F"/>
    <w:rsid w:val="00D002B0"/>
    <w:rsid w:val="00D01140"/>
    <w:rsid w:val="00D02BA0"/>
    <w:rsid w:val="00D02CA0"/>
    <w:rsid w:val="00D02CD8"/>
    <w:rsid w:val="00D03D68"/>
    <w:rsid w:val="00D05527"/>
    <w:rsid w:val="00D05DD9"/>
    <w:rsid w:val="00D05F66"/>
    <w:rsid w:val="00D05FF5"/>
    <w:rsid w:val="00D06C86"/>
    <w:rsid w:val="00D078E7"/>
    <w:rsid w:val="00D10091"/>
    <w:rsid w:val="00D101BA"/>
    <w:rsid w:val="00D1032B"/>
    <w:rsid w:val="00D10555"/>
    <w:rsid w:val="00D10601"/>
    <w:rsid w:val="00D1064E"/>
    <w:rsid w:val="00D10D34"/>
    <w:rsid w:val="00D114EB"/>
    <w:rsid w:val="00D117D6"/>
    <w:rsid w:val="00D11907"/>
    <w:rsid w:val="00D130A7"/>
    <w:rsid w:val="00D130C1"/>
    <w:rsid w:val="00D142C9"/>
    <w:rsid w:val="00D1454D"/>
    <w:rsid w:val="00D14C7C"/>
    <w:rsid w:val="00D162B7"/>
    <w:rsid w:val="00D17BF2"/>
    <w:rsid w:val="00D20D11"/>
    <w:rsid w:val="00D20FA2"/>
    <w:rsid w:val="00D2211C"/>
    <w:rsid w:val="00D222D8"/>
    <w:rsid w:val="00D22605"/>
    <w:rsid w:val="00D230DD"/>
    <w:rsid w:val="00D23277"/>
    <w:rsid w:val="00D24700"/>
    <w:rsid w:val="00D250FA"/>
    <w:rsid w:val="00D25660"/>
    <w:rsid w:val="00D25FCF"/>
    <w:rsid w:val="00D26B80"/>
    <w:rsid w:val="00D26D7C"/>
    <w:rsid w:val="00D26E5C"/>
    <w:rsid w:val="00D272AD"/>
    <w:rsid w:val="00D27F5D"/>
    <w:rsid w:val="00D304D1"/>
    <w:rsid w:val="00D30A24"/>
    <w:rsid w:val="00D30BDA"/>
    <w:rsid w:val="00D3143E"/>
    <w:rsid w:val="00D31633"/>
    <w:rsid w:val="00D317A0"/>
    <w:rsid w:val="00D31E52"/>
    <w:rsid w:val="00D3325B"/>
    <w:rsid w:val="00D332EF"/>
    <w:rsid w:val="00D3341A"/>
    <w:rsid w:val="00D33D13"/>
    <w:rsid w:val="00D34BC2"/>
    <w:rsid w:val="00D35A97"/>
    <w:rsid w:val="00D36966"/>
    <w:rsid w:val="00D37121"/>
    <w:rsid w:val="00D37ABB"/>
    <w:rsid w:val="00D40915"/>
    <w:rsid w:val="00D409CC"/>
    <w:rsid w:val="00D414D9"/>
    <w:rsid w:val="00D415CF"/>
    <w:rsid w:val="00D41724"/>
    <w:rsid w:val="00D41733"/>
    <w:rsid w:val="00D41A73"/>
    <w:rsid w:val="00D41BA0"/>
    <w:rsid w:val="00D41FE8"/>
    <w:rsid w:val="00D43180"/>
    <w:rsid w:val="00D435CD"/>
    <w:rsid w:val="00D43C47"/>
    <w:rsid w:val="00D43C4A"/>
    <w:rsid w:val="00D43EB2"/>
    <w:rsid w:val="00D43F1A"/>
    <w:rsid w:val="00D442D6"/>
    <w:rsid w:val="00D44BF0"/>
    <w:rsid w:val="00D44EBF"/>
    <w:rsid w:val="00D4502B"/>
    <w:rsid w:val="00D450AA"/>
    <w:rsid w:val="00D45311"/>
    <w:rsid w:val="00D45E52"/>
    <w:rsid w:val="00D46E29"/>
    <w:rsid w:val="00D47841"/>
    <w:rsid w:val="00D47851"/>
    <w:rsid w:val="00D50A88"/>
    <w:rsid w:val="00D50D04"/>
    <w:rsid w:val="00D510D6"/>
    <w:rsid w:val="00D51961"/>
    <w:rsid w:val="00D52AE8"/>
    <w:rsid w:val="00D53591"/>
    <w:rsid w:val="00D53886"/>
    <w:rsid w:val="00D54498"/>
    <w:rsid w:val="00D54515"/>
    <w:rsid w:val="00D546F0"/>
    <w:rsid w:val="00D55958"/>
    <w:rsid w:val="00D55E86"/>
    <w:rsid w:val="00D56591"/>
    <w:rsid w:val="00D56789"/>
    <w:rsid w:val="00D56C54"/>
    <w:rsid w:val="00D572B0"/>
    <w:rsid w:val="00D57C7C"/>
    <w:rsid w:val="00D60123"/>
    <w:rsid w:val="00D60167"/>
    <w:rsid w:val="00D60993"/>
    <w:rsid w:val="00D60A40"/>
    <w:rsid w:val="00D6166C"/>
    <w:rsid w:val="00D616F0"/>
    <w:rsid w:val="00D61A40"/>
    <w:rsid w:val="00D61F99"/>
    <w:rsid w:val="00D6267F"/>
    <w:rsid w:val="00D63002"/>
    <w:rsid w:val="00D63BA8"/>
    <w:rsid w:val="00D63E4B"/>
    <w:rsid w:val="00D63F37"/>
    <w:rsid w:val="00D64E96"/>
    <w:rsid w:val="00D650C2"/>
    <w:rsid w:val="00D65E8E"/>
    <w:rsid w:val="00D66CAF"/>
    <w:rsid w:val="00D677A1"/>
    <w:rsid w:val="00D67EC5"/>
    <w:rsid w:val="00D67F07"/>
    <w:rsid w:val="00D713C4"/>
    <w:rsid w:val="00D7213F"/>
    <w:rsid w:val="00D72993"/>
    <w:rsid w:val="00D72DB2"/>
    <w:rsid w:val="00D73510"/>
    <w:rsid w:val="00D743BD"/>
    <w:rsid w:val="00D74690"/>
    <w:rsid w:val="00D74CAA"/>
    <w:rsid w:val="00D754BC"/>
    <w:rsid w:val="00D75679"/>
    <w:rsid w:val="00D75EC3"/>
    <w:rsid w:val="00D76A16"/>
    <w:rsid w:val="00D76C6C"/>
    <w:rsid w:val="00D8061B"/>
    <w:rsid w:val="00D80760"/>
    <w:rsid w:val="00D80775"/>
    <w:rsid w:val="00D80912"/>
    <w:rsid w:val="00D8094E"/>
    <w:rsid w:val="00D80D44"/>
    <w:rsid w:val="00D814D3"/>
    <w:rsid w:val="00D817D8"/>
    <w:rsid w:val="00D81913"/>
    <w:rsid w:val="00D81E9A"/>
    <w:rsid w:val="00D81F21"/>
    <w:rsid w:val="00D826A4"/>
    <w:rsid w:val="00D827A5"/>
    <w:rsid w:val="00D8320A"/>
    <w:rsid w:val="00D83304"/>
    <w:rsid w:val="00D83CFD"/>
    <w:rsid w:val="00D84210"/>
    <w:rsid w:val="00D8452B"/>
    <w:rsid w:val="00D846A5"/>
    <w:rsid w:val="00D84869"/>
    <w:rsid w:val="00D848E7"/>
    <w:rsid w:val="00D84AB9"/>
    <w:rsid w:val="00D84E4E"/>
    <w:rsid w:val="00D8595E"/>
    <w:rsid w:val="00D859FB"/>
    <w:rsid w:val="00D86DE4"/>
    <w:rsid w:val="00D86E3C"/>
    <w:rsid w:val="00D87035"/>
    <w:rsid w:val="00D87F91"/>
    <w:rsid w:val="00D90550"/>
    <w:rsid w:val="00D9080D"/>
    <w:rsid w:val="00D91300"/>
    <w:rsid w:val="00D9193D"/>
    <w:rsid w:val="00D91999"/>
    <w:rsid w:val="00D919FD"/>
    <w:rsid w:val="00D91D38"/>
    <w:rsid w:val="00D91EE3"/>
    <w:rsid w:val="00D92AEC"/>
    <w:rsid w:val="00D930E1"/>
    <w:rsid w:val="00D9415C"/>
    <w:rsid w:val="00D941F4"/>
    <w:rsid w:val="00D94A13"/>
    <w:rsid w:val="00D9574F"/>
    <w:rsid w:val="00D95F13"/>
    <w:rsid w:val="00D9662E"/>
    <w:rsid w:val="00D96882"/>
    <w:rsid w:val="00D96917"/>
    <w:rsid w:val="00D96F5B"/>
    <w:rsid w:val="00D96FAA"/>
    <w:rsid w:val="00D979A2"/>
    <w:rsid w:val="00D97C6A"/>
    <w:rsid w:val="00D97F3C"/>
    <w:rsid w:val="00DA055B"/>
    <w:rsid w:val="00DA0732"/>
    <w:rsid w:val="00DA1D2E"/>
    <w:rsid w:val="00DA213B"/>
    <w:rsid w:val="00DA2D63"/>
    <w:rsid w:val="00DA364E"/>
    <w:rsid w:val="00DA3D36"/>
    <w:rsid w:val="00DA3F9E"/>
    <w:rsid w:val="00DA49BD"/>
    <w:rsid w:val="00DA5363"/>
    <w:rsid w:val="00DA5559"/>
    <w:rsid w:val="00DA5B74"/>
    <w:rsid w:val="00DA5BF4"/>
    <w:rsid w:val="00DA6099"/>
    <w:rsid w:val="00DA6146"/>
    <w:rsid w:val="00DA648B"/>
    <w:rsid w:val="00DA6865"/>
    <w:rsid w:val="00DA6B8F"/>
    <w:rsid w:val="00DA74DB"/>
    <w:rsid w:val="00DA7A81"/>
    <w:rsid w:val="00DB0925"/>
    <w:rsid w:val="00DB1DAB"/>
    <w:rsid w:val="00DB2833"/>
    <w:rsid w:val="00DB37FD"/>
    <w:rsid w:val="00DB3EB6"/>
    <w:rsid w:val="00DB3F69"/>
    <w:rsid w:val="00DB4004"/>
    <w:rsid w:val="00DB407C"/>
    <w:rsid w:val="00DB4457"/>
    <w:rsid w:val="00DB4549"/>
    <w:rsid w:val="00DB4775"/>
    <w:rsid w:val="00DB5566"/>
    <w:rsid w:val="00DB5C9A"/>
    <w:rsid w:val="00DB6A1F"/>
    <w:rsid w:val="00DB6DA8"/>
    <w:rsid w:val="00DB6DBB"/>
    <w:rsid w:val="00DB6EA7"/>
    <w:rsid w:val="00DB6EF2"/>
    <w:rsid w:val="00DB7178"/>
    <w:rsid w:val="00DB721D"/>
    <w:rsid w:val="00DB78AA"/>
    <w:rsid w:val="00DC03A7"/>
    <w:rsid w:val="00DC09B3"/>
    <w:rsid w:val="00DC0D9A"/>
    <w:rsid w:val="00DC0EB2"/>
    <w:rsid w:val="00DC0EE2"/>
    <w:rsid w:val="00DC2AA2"/>
    <w:rsid w:val="00DC487A"/>
    <w:rsid w:val="00DC4A89"/>
    <w:rsid w:val="00DC4D22"/>
    <w:rsid w:val="00DC5DC8"/>
    <w:rsid w:val="00DC642E"/>
    <w:rsid w:val="00DC79E8"/>
    <w:rsid w:val="00DC7B56"/>
    <w:rsid w:val="00DC7E19"/>
    <w:rsid w:val="00DD137B"/>
    <w:rsid w:val="00DD1424"/>
    <w:rsid w:val="00DD143F"/>
    <w:rsid w:val="00DD1B46"/>
    <w:rsid w:val="00DD1B7F"/>
    <w:rsid w:val="00DD1FA0"/>
    <w:rsid w:val="00DD22E0"/>
    <w:rsid w:val="00DD252C"/>
    <w:rsid w:val="00DD2725"/>
    <w:rsid w:val="00DD2AF9"/>
    <w:rsid w:val="00DD2DD6"/>
    <w:rsid w:val="00DD330E"/>
    <w:rsid w:val="00DD3531"/>
    <w:rsid w:val="00DD3616"/>
    <w:rsid w:val="00DD3741"/>
    <w:rsid w:val="00DD3D71"/>
    <w:rsid w:val="00DD51D2"/>
    <w:rsid w:val="00DD66AC"/>
    <w:rsid w:val="00DD6DA1"/>
    <w:rsid w:val="00DD7129"/>
    <w:rsid w:val="00DD77F9"/>
    <w:rsid w:val="00DD7A72"/>
    <w:rsid w:val="00DD7C51"/>
    <w:rsid w:val="00DE004B"/>
    <w:rsid w:val="00DE0484"/>
    <w:rsid w:val="00DE081A"/>
    <w:rsid w:val="00DE099D"/>
    <w:rsid w:val="00DE0A50"/>
    <w:rsid w:val="00DE0C15"/>
    <w:rsid w:val="00DE141D"/>
    <w:rsid w:val="00DE254C"/>
    <w:rsid w:val="00DE2BC6"/>
    <w:rsid w:val="00DE2DFD"/>
    <w:rsid w:val="00DE2F81"/>
    <w:rsid w:val="00DE4244"/>
    <w:rsid w:val="00DE432F"/>
    <w:rsid w:val="00DE629F"/>
    <w:rsid w:val="00DE69BB"/>
    <w:rsid w:val="00DE794E"/>
    <w:rsid w:val="00DF034E"/>
    <w:rsid w:val="00DF0457"/>
    <w:rsid w:val="00DF0A66"/>
    <w:rsid w:val="00DF1348"/>
    <w:rsid w:val="00DF13B9"/>
    <w:rsid w:val="00DF1B3D"/>
    <w:rsid w:val="00DF1DEE"/>
    <w:rsid w:val="00DF20D5"/>
    <w:rsid w:val="00DF25EA"/>
    <w:rsid w:val="00DF3776"/>
    <w:rsid w:val="00DF3DDE"/>
    <w:rsid w:val="00DF448E"/>
    <w:rsid w:val="00DF47C9"/>
    <w:rsid w:val="00DF5A5B"/>
    <w:rsid w:val="00DF632B"/>
    <w:rsid w:val="00DF7A67"/>
    <w:rsid w:val="00E008BA"/>
    <w:rsid w:val="00E0142C"/>
    <w:rsid w:val="00E014FD"/>
    <w:rsid w:val="00E0170F"/>
    <w:rsid w:val="00E0214E"/>
    <w:rsid w:val="00E028D6"/>
    <w:rsid w:val="00E04C20"/>
    <w:rsid w:val="00E05EF9"/>
    <w:rsid w:val="00E061FE"/>
    <w:rsid w:val="00E06827"/>
    <w:rsid w:val="00E10334"/>
    <w:rsid w:val="00E1093C"/>
    <w:rsid w:val="00E10EF2"/>
    <w:rsid w:val="00E10F27"/>
    <w:rsid w:val="00E115EE"/>
    <w:rsid w:val="00E117C9"/>
    <w:rsid w:val="00E120F6"/>
    <w:rsid w:val="00E13895"/>
    <w:rsid w:val="00E14097"/>
    <w:rsid w:val="00E1458C"/>
    <w:rsid w:val="00E14879"/>
    <w:rsid w:val="00E1533B"/>
    <w:rsid w:val="00E1581D"/>
    <w:rsid w:val="00E1632C"/>
    <w:rsid w:val="00E16561"/>
    <w:rsid w:val="00E20975"/>
    <w:rsid w:val="00E20BA4"/>
    <w:rsid w:val="00E20F91"/>
    <w:rsid w:val="00E21052"/>
    <w:rsid w:val="00E21216"/>
    <w:rsid w:val="00E212D0"/>
    <w:rsid w:val="00E21332"/>
    <w:rsid w:val="00E213C8"/>
    <w:rsid w:val="00E215B4"/>
    <w:rsid w:val="00E2181E"/>
    <w:rsid w:val="00E21860"/>
    <w:rsid w:val="00E21F3D"/>
    <w:rsid w:val="00E221AB"/>
    <w:rsid w:val="00E22F6D"/>
    <w:rsid w:val="00E23492"/>
    <w:rsid w:val="00E2380F"/>
    <w:rsid w:val="00E23CBE"/>
    <w:rsid w:val="00E245E3"/>
    <w:rsid w:val="00E24CA9"/>
    <w:rsid w:val="00E24DF6"/>
    <w:rsid w:val="00E250B4"/>
    <w:rsid w:val="00E25413"/>
    <w:rsid w:val="00E256EE"/>
    <w:rsid w:val="00E26117"/>
    <w:rsid w:val="00E27FB1"/>
    <w:rsid w:val="00E30110"/>
    <w:rsid w:val="00E3057F"/>
    <w:rsid w:val="00E31BB1"/>
    <w:rsid w:val="00E31BFB"/>
    <w:rsid w:val="00E3315F"/>
    <w:rsid w:val="00E33F70"/>
    <w:rsid w:val="00E3589D"/>
    <w:rsid w:val="00E35913"/>
    <w:rsid w:val="00E35F17"/>
    <w:rsid w:val="00E36774"/>
    <w:rsid w:val="00E36DBC"/>
    <w:rsid w:val="00E371BB"/>
    <w:rsid w:val="00E371E4"/>
    <w:rsid w:val="00E37212"/>
    <w:rsid w:val="00E4095C"/>
    <w:rsid w:val="00E416D8"/>
    <w:rsid w:val="00E41BA5"/>
    <w:rsid w:val="00E41F46"/>
    <w:rsid w:val="00E42953"/>
    <w:rsid w:val="00E42AD2"/>
    <w:rsid w:val="00E43628"/>
    <w:rsid w:val="00E43FC4"/>
    <w:rsid w:val="00E44630"/>
    <w:rsid w:val="00E44DF7"/>
    <w:rsid w:val="00E44E5E"/>
    <w:rsid w:val="00E4553F"/>
    <w:rsid w:val="00E456EE"/>
    <w:rsid w:val="00E46498"/>
    <w:rsid w:val="00E466BB"/>
    <w:rsid w:val="00E46957"/>
    <w:rsid w:val="00E46DB7"/>
    <w:rsid w:val="00E476B6"/>
    <w:rsid w:val="00E50CD7"/>
    <w:rsid w:val="00E51DBF"/>
    <w:rsid w:val="00E52B04"/>
    <w:rsid w:val="00E52F0B"/>
    <w:rsid w:val="00E5499A"/>
    <w:rsid w:val="00E54BCB"/>
    <w:rsid w:val="00E55451"/>
    <w:rsid w:val="00E55CE5"/>
    <w:rsid w:val="00E56198"/>
    <w:rsid w:val="00E5654B"/>
    <w:rsid w:val="00E565FE"/>
    <w:rsid w:val="00E56890"/>
    <w:rsid w:val="00E57C58"/>
    <w:rsid w:val="00E57D72"/>
    <w:rsid w:val="00E605B6"/>
    <w:rsid w:val="00E6072E"/>
    <w:rsid w:val="00E60D4B"/>
    <w:rsid w:val="00E61ACA"/>
    <w:rsid w:val="00E6245D"/>
    <w:rsid w:val="00E62A83"/>
    <w:rsid w:val="00E62BED"/>
    <w:rsid w:val="00E62CCD"/>
    <w:rsid w:val="00E638A3"/>
    <w:rsid w:val="00E64616"/>
    <w:rsid w:val="00E648BA"/>
    <w:rsid w:val="00E66032"/>
    <w:rsid w:val="00E6634B"/>
    <w:rsid w:val="00E665F6"/>
    <w:rsid w:val="00E66B62"/>
    <w:rsid w:val="00E6749D"/>
    <w:rsid w:val="00E67500"/>
    <w:rsid w:val="00E6755A"/>
    <w:rsid w:val="00E67588"/>
    <w:rsid w:val="00E70208"/>
    <w:rsid w:val="00E703B8"/>
    <w:rsid w:val="00E70A32"/>
    <w:rsid w:val="00E71693"/>
    <w:rsid w:val="00E71C3C"/>
    <w:rsid w:val="00E723FD"/>
    <w:rsid w:val="00E7329D"/>
    <w:rsid w:val="00E73A1B"/>
    <w:rsid w:val="00E73D8C"/>
    <w:rsid w:val="00E73DF6"/>
    <w:rsid w:val="00E74AD8"/>
    <w:rsid w:val="00E75414"/>
    <w:rsid w:val="00E758E9"/>
    <w:rsid w:val="00E75BB6"/>
    <w:rsid w:val="00E76310"/>
    <w:rsid w:val="00E76584"/>
    <w:rsid w:val="00E77CF5"/>
    <w:rsid w:val="00E80245"/>
    <w:rsid w:val="00E80797"/>
    <w:rsid w:val="00E808DB"/>
    <w:rsid w:val="00E80A04"/>
    <w:rsid w:val="00E80CFD"/>
    <w:rsid w:val="00E811E6"/>
    <w:rsid w:val="00E8184C"/>
    <w:rsid w:val="00E81FF9"/>
    <w:rsid w:val="00E820A4"/>
    <w:rsid w:val="00E82813"/>
    <w:rsid w:val="00E82F51"/>
    <w:rsid w:val="00E82F54"/>
    <w:rsid w:val="00E83A62"/>
    <w:rsid w:val="00E83B98"/>
    <w:rsid w:val="00E83CB5"/>
    <w:rsid w:val="00E83F15"/>
    <w:rsid w:val="00E844E4"/>
    <w:rsid w:val="00E8495E"/>
    <w:rsid w:val="00E84A9E"/>
    <w:rsid w:val="00E84B80"/>
    <w:rsid w:val="00E856F0"/>
    <w:rsid w:val="00E85DE0"/>
    <w:rsid w:val="00E85DE1"/>
    <w:rsid w:val="00E86107"/>
    <w:rsid w:val="00E866D9"/>
    <w:rsid w:val="00E86B87"/>
    <w:rsid w:val="00E86FF5"/>
    <w:rsid w:val="00E870E7"/>
    <w:rsid w:val="00E8735B"/>
    <w:rsid w:val="00E9008C"/>
    <w:rsid w:val="00E90733"/>
    <w:rsid w:val="00E90C81"/>
    <w:rsid w:val="00E90CD5"/>
    <w:rsid w:val="00E90D98"/>
    <w:rsid w:val="00E90E8F"/>
    <w:rsid w:val="00E911EA"/>
    <w:rsid w:val="00E91E15"/>
    <w:rsid w:val="00E9250B"/>
    <w:rsid w:val="00E926BF"/>
    <w:rsid w:val="00E92D68"/>
    <w:rsid w:val="00E92FE9"/>
    <w:rsid w:val="00E9308E"/>
    <w:rsid w:val="00E93D08"/>
    <w:rsid w:val="00E942E4"/>
    <w:rsid w:val="00E94499"/>
    <w:rsid w:val="00E94EB6"/>
    <w:rsid w:val="00E953C7"/>
    <w:rsid w:val="00E954BD"/>
    <w:rsid w:val="00E95A6B"/>
    <w:rsid w:val="00E960B2"/>
    <w:rsid w:val="00E96360"/>
    <w:rsid w:val="00E96A0D"/>
    <w:rsid w:val="00E9758D"/>
    <w:rsid w:val="00E975F2"/>
    <w:rsid w:val="00E97E3E"/>
    <w:rsid w:val="00EA0056"/>
    <w:rsid w:val="00EA065A"/>
    <w:rsid w:val="00EA071E"/>
    <w:rsid w:val="00EA09AC"/>
    <w:rsid w:val="00EA14A2"/>
    <w:rsid w:val="00EA14B9"/>
    <w:rsid w:val="00EA22A1"/>
    <w:rsid w:val="00EA23BC"/>
    <w:rsid w:val="00EA332B"/>
    <w:rsid w:val="00EA3772"/>
    <w:rsid w:val="00EA3D2D"/>
    <w:rsid w:val="00EA46C5"/>
    <w:rsid w:val="00EA4E91"/>
    <w:rsid w:val="00EA5486"/>
    <w:rsid w:val="00EA5B71"/>
    <w:rsid w:val="00EA688E"/>
    <w:rsid w:val="00EA73F8"/>
    <w:rsid w:val="00EA7408"/>
    <w:rsid w:val="00EA7DC4"/>
    <w:rsid w:val="00EB00FD"/>
    <w:rsid w:val="00EB010A"/>
    <w:rsid w:val="00EB07D2"/>
    <w:rsid w:val="00EB08AB"/>
    <w:rsid w:val="00EB0BD9"/>
    <w:rsid w:val="00EB1009"/>
    <w:rsid w:val="00EB1935"/>
    <w:rsid w:val="00EB219D"/>
    <w:rsid w:val="00EB22F0"/>
    <w:rsid w:val="00EB293E"/>
    <w:rsid w:val="00EB2E68"/>
    <w:rsid w:val="00EB3073"/>
    <w:rsid w:val="00EB31CA"/>
    <w:rsid w:val="00EB3C50"/>
    <w:rsid w:val="00EB46AB"/>
    <w:rsid w:val="00EB4EC9"/>
    <w:rsid w:val="00EB522E"/>
    <w:rsid w:val="00EB5D2B"/>
    <w:rsid w:val="00EB6CE9"/>
    <w:rsid w:val="00EB78E9"/>
    <w:rsid w:val="00EB7991"/>
    <w:rsid w:val="00EC10BF"/>
    <w:rsid w:val="00EC10E5"/>
    <w:rsid w:val="00EC1832"/>
    <w:rsid w:val="00EC1C37"/>
    <w:rsid w:val="00EC2E16"/>
    <w:rsid w:val="00EC31E0"/>
    <w:rsid w:val="00EC3300"/>
    <w:rsid w:val="00EC34B0"/>
    <w:rsid w:val="00EC4544"/>
    <w:rsid w:val="00EC518B"/>
    <w:rsid w:val="00EC55BB"/>
    <w:rsid w:val="00EC5FD9"/>
    <w:rsid w:val="00EC6385"/>
    <w:rsid w:val="00EC6595"/>
    <w:rsid w:val="00EC68E4"/>
    <w:rsid w:val="00EC6938"/>
    <w:rsid w:val="00EC7EF8"/>
    <w:rsid w:val="00EC7F27"/>
    <w:rsid w:val="00ED0193"/>
    <w:rsid w:val="00ED01DA"/>
    <w:rsid w:val="00ED078E"/>
    <w:rsid w:val="00ED1080"/>
    <w:rsid w:val="00ED129D"/>
    <w:rsid w:val="00ED12B9"/>
    <w:rsid w:val="00ED196E"/>
    <w:rsid w:val="00ED1CE2"/>
    <w:rsid w:val="00ED1D51"/>
    <w:rsid w:val="00ED2681"/>
    <w:rsid w:val="00ED310D"/>
    <w:rsid w:val="00ED3608"/>
    <w:rsid w:val="00ED402E"/>
    <w:rsid w:val="00ED434D"/>
    <w:rsid w:val="00ED4677"/>
    <w:rsid w:val="00ED47A6"/>
    <w:rsid w:val="00ED5440"/>
    <w:rsid w:val="00ED619D"/>
    <w:rsid w:val="00ED6CE7"/>
    <w:rsid w:val="00ED7174"/>
    <w:rsid w:val="00ED73EB"/>
    <w:rsid w:val="00ED76E2"/>
    <w:rsid w:val="00ED77C7"/>
    <w:rsid w:val="00ED7DBA"/>
    <w:rsid w:val="00EE04EA"/>
    <w:rsid w:val="00EE066C"/>
    <w:rsid w:val="00EE0998"/>
    <w:rsid w:val="00EE0DAD"/>
    <w:rsid w:val="00EE1035"/>
    <w:rsid w:val="00EE105C"/>
    <w:rsid w:val="00EE1927"/>
    <w:rsid w:val="00EE1D6C"/>
    <w:rsid w:val="00EE2A3B"/>
    <w:rsid w:val="00EE2E40"/>
    <w:rsid w:val="00EE2EC9"/>
    <w:rsid w:val="00EE3292"/>
    <w:rsid w:val="00EE3EEC"/>
    <w:rsid w:val="00EE425E"/>
    <w:rsid w:val="00EE4274"/>
    <w:rsid w:val="00EE44B6"/>
    <w:rsid w:val="00EE4C41"/>
    <w:rsid w:val="00EE4C55"/>
    <w:rsid w:val="00EE5069"/>
    <w:rsid w:val="00EE5338"/>
    <w:rsid w:val="00EE5FBE"/>
    <w:rsid w:val="00EE675F"/>
    <w:rsid w:val="00EE6ACA"/>
    <w:rsid w:val="00EE6ADD"/>
    <w:rsid w:val="00EE6B48"/>
    <w:rsid w:val="00EE7371"/>
    <w:rsid w:val="00EE73F5"/>
    <w:rsid w:val="00EE7605"/>
    <w:rsid w:val="00EE7651"/>
    <w:rsid w:val="00EE7975"/>
    <w:rsid w:val="00EE7D5F"/>
    <w:rsid w:val="00EF0526"/>
    <w:rsid w:val="00EF08CE"/>
    <w:rsid w:val="00EF0A80"/>
    <w:rsid w:val="00EF0E32"/>
    <w:rsid w:val="00EF0E9B"/>
    <w:rsid w:val="00EF1E98"/>
    <w:rsid w:val="00EF338C"/>
    <w:rsid w:val="00EF3A6D"/>
    <w:rsid w:val="00EF3CE5"/>
    <w:rsid w:val="00EF4E14"/>
    <w:rsid w:val="00EF4F03"/>
    <w:rsid w:val="00EF50CB"/>
    <w:rsid w:val="00EF57D3"/>
    <w:rsid w:val="00EF5D56"/>
    <w:rsid w:val="00EF69D6"/>
    <w:rsid w:val="00EF6DFD"/>
    <w:rsid w:val="00EF764D"/>
    <w:rsid w:val="00EF76BC"/>
    <w:rsid w:val="00F0008D"/>
    <w:rsid w:val="00F001BF"/>
    <w:rsid w:val="00F008F6"/>
    <w:rsid w:val="00F008F9"/>
    <w:rsid w:val="00F009D0"/>
    <w:rsid w:val="00F00ADF"/>
    <w:rsid w:val="00F00C4C"/>
    <w:rsid w:val="00F012F0"/>
    <w:rsid w:val="00F01759"/>
    <w:rsid w:val="00F02696"/>
    <w:rsid w:val="00F02A0B"/>
    <w:rsid w:val="00F02CC0"/>
    <w:rsid w:val="00F0316D"/>
    <w:rsid w:val="00F03B6F"/>
    <w:rsid w:val="00F03CB8"/>
    <w:rsid w:val="00F04553"/>
    <w:rsid w:val="00F0486C"/>
    <w:rsid w:val="00F05CE0"/>
    <w:rsid w:val="00F0631B"/>
    <w:rsid w:val="00F06C14"/>
    <w:rsid w:val="00F06C5B"/>
    <w:rsid w:val="00F06F1E"/>
    <w:rsid w:val="00F071A8"/>
    <w:rsid w:val="00F0760F"/>
    <w:rsid w:val="00F076D2"/>
    <w:rsid w:val="00F0798E"/>
    <w:rsid w:val="00F079C4"/>
    <w:rsid w:val="00F07B55"/>
    <w:rsid w:val="00F10548"/>
    <w:rsid w:val="00F10CD8"/>
    <w:rsid w:val="00F10DE9"/>
    <w:rsid w:val="00F12867"/>
    <w:rsid w:val="00F12F05"/>
    <w:rsid w:val="00F131E7"/>
    <w:rsid w:val="00F1343A"/>
    <w:rsid w:val="00F13598"/>
    <w:rsid w:val="00F1455C"/>
    <w:rsid w:val="00F14651"/>
    <w:rsid w:val="00F15178"/>
    <w:rsid w:val="00F154AC"/>
    <w:rsid w:val="00F15576"/>
    <w:rsid w:val="00F15A33"/>
    <w:rsid w:val="00F15BB2"/>
    <w:rsid w:val="00F15D6B"/>
    <w:rsid w:val="00F16006"/>
    <w:rsid w:val="00F17326"/>
    <w:rsid w:val="00F174B5"/>
    <w:rsid w:val="00F17ACB"/>
    <w:rsid w:val="00F17B15"/>
    <w:rsid w:val="00F17F20"/>
    <w:rsid w:val="00F2048E"/>
    <w:rsid w:val="00F205F4"/>
    <w:rsid w:val="00F20609"/>
    <w:rsid w:val="00F20611"/>
    <w:rsid w:val="00F20E84"/>
    <w:rsid w:val="00F21027"/>
    <w:rsid w:val="00F2114F"/>
    <w:rsid w:val="00F21787"/>
    <w:rsid w:val="00F21D2B"/>
    <w:rsid w:val="00F22D2F"/>
    <w:rsid w:val="00F2322D"/>
    <w:rsid w:val="00F2338F"/>
    <w:rsid w:val="00F24AE1"/>
    <w:rsid w:val="00F2600F"/>
    <w:rsid w:val="00F26F9C"/>
    <w:rsid w:val="00F27DA0"/>
    <w:rsid w:val="00F27DB0"/>
    <w:rsid w:val="00F306FD"/>
    <w:rsid w:val="00F30807"/>
    <w:rsid w:val="00F30A85"/>
    <w:rsid w:val="00F30C5D"/>
    <w:rsid w:val="00F310F9"/>
    <w:rsid w:val="00F311C8"/>
    <w:rsid w:val="00F31898"/>
    <w:rsid w:val="00F31A9B"/>
    <w:rsid w:val="00F32680"/>
    <w:rsid w:val="00F328C0"/>
    <w:rsid w:val="00F33606"/>
    <w:rsid w:val="00F33AD7"/>
    <w:rsid w:val="00F33CAA"/>
    <w:rsid w:val="00F35903"/>
    <w:rsid w:val="00F361C1"/>
    <w:rsid w:val="00F3623A"/>
    <w:rsid w:val="00F36F87"/>
    <w:rsid w:val="00F37A61"/>
    <w:rsid w:val="00F409E0"/>
    <w:rsid w:val="00F410DB"/>
    <w:rsid w:val="00F41AFE"/>
    <w:rsid w:val="00F41DD1"/>
    <w:rsid w:val="00F42D5E"/>
    <w:rsid w:val="00F43997"/>
    <w:rsid w:val="00F439EC"/>
    <w:rsid w:val="00F43B00"/>
    <w:rsid w:val="00F440F8"/>
    <w:rsid w:val="00F453DC"/>
    <w:rsid w:val="00F4553C"/>
    <w:rsid w:val="00F45890"/>
    <w:rsid w:val="00F4594E"/>
    <w:rsid w:val="00F466EA"/>
    <w:rsid w:val="00F46E83"/>
    <w:rsid w:val="00F50AC2"/>
    <w:rsid w:val="00F5194E"/>
    <w:rsid w:val="00F51CFA"/>
    <w:rsid w:val="00F521E6"/>
    <w:rsid w:val="00F52C54"/>
    <w:rsid w:val="00F53266"/>
    <w:rsid w:val="00F5332E"/>
    <w:rsid w:val="00F539F4"/>
    <w:rsid w:val="00F53DB6"/>
    <w:rsid w:val="00F540BA"/>
    <w:rsid w:val="00F54B0B"/>
    <w:rsid w:val="00F54F3F"/>
    <w:rsid w:val="00F55F6E"/>
    <w:rsid w:val="00F5673C"/>
    <w:rsid w:val="00F57858"/>
    <w:rsid w:val="00F57880"/>
    <w:rsid w:val="00F6009D"/>
    <w:rsid w:val="00F60524"/>
    <w:rsid w:val="00F60D04"/>
    <w:rsid w:val="00F610A8"/>
    <w:rsid w:val="00F611E5"/>
    <w:rsid w:val="00F61BD4"/>
    <w:rsid w:val="00F61F26"/>
    <w:rsid w:val="00F62FAE"/>
    <w:rsid w:val="00F6307F"/>
    <w:rsid w:val="00F63BAB"/>
    <w:rsid w:val="00F6406F"/>
    <w:rsid w:val="00F64346"/>
    <w:rsid w:val="00F66322"/>
    <w:rsid w:val="00F667C4"/>
    <w:rsid w:val="00F66803"/>
    <w:rsid w:val="00F67EB1"/>
    <w:rsid w:val="00F7088B"/>
    <w:rsid w:val="00F70D6E"/>
    <w:rsid w:val="00F7118A"/>
    <w:rsid w:val="00F712D9"/>
    <w:rsid w:val="00F718C7"/>
    <w:rsid w:val="00F72662"/>
    <w:rsid w:val="00F72FA4"/>
    <w:rsid w:val="00F7395E"/>
    <w:rsid w:val="00F73CD7"/>
    <w:rsid w:val="00F74F28"/>
    <w:rsid w:val="00F75028"/>
    <w:rsid w:val="00F760C9"/>
    <w:rsid w:val="00F7627D"/>
    <w:rsid w:val="00F76D2B"/>
    <w:rsid w:val="00F7715E"/>
    <w:rsid w:val="00F77547"/>
    <w:rsid w:val="00F801DD"/>
    <w:rsid w:val="00F804B3"/>
    <w:rsid w:val="00F808E7"/>
    <w:rsid w:val="00F809BB"/>
    <w:rsid w:val="00F80C3E"/>
    <w:rsid w:val="00F80F55"/>
    <w:rsid w:val="00F82689"/>
    <w:rsid w:val="00F830AF"/>
    <w:rsid w:val="00F83269"/>
    <w:rsid w:val="00F833DD"/>
    <w:rsid w:val="00F8464C"/>
    <w:rsid w:val="00F848EA"/>
    <w:rsid w:val="00F855FF"/>
    <w:rsid w:val="00F85736"/>
    <w:rsid w:val="00F8573C"/>
    <w:rsid w:val="00F86868"/>
    <w:rsid w:val="00F86EBE"/>
    <w:rsid w:val="00F8774B"/>
    <w:rsid w:val="00F902BB"/>
    <w:rsid w:val="00F90E3D"/>
    <w:rsid w:val="00F913B8"/>
    <w:rsid w:val="00F91C78"/>
    <w:rsid w:val="00F91D33"/>
    <w:rsid w:val="00F926E5"/>
    <w:rsid w:val="00F92B59"/>
    <w:rsid w:val="00F92D02"/>
    <w:rsid w:val="00F92E00"/>
    <w:rsid w:val="00F96700"/>
    <w:rsid w:val="00F978A4"/>
    <w:rsid w:val="00F97EFE"/>
    <w:rsid w:val="00FA0599"/>
    <w:rsid w:val="00FA1570"/>
    <w:rsid w:val="00FA1C09"/>
    <w:rsid w:val="00FA2BF7"/>
    <w:rsid w:val="00FA40EE"/>
    <w:rsid w:val="00FA561C"/>
    <w:rsid w:val="00FA57A5"/>
    <w:rsid w:val="00FA69A7"/>
    <w:rsid w:val="00FA6BD8"/>
    <w:rsid w:val="00FA7373"/>
    <w:rsid w:val="00FA7FEF"/>
    <w:rsid w:val="00FB0593"/>
    <w:rsid w:val="00FB0756"/>
    <w:rsid w:val="00FB0D6C"/>
    <w:rsid w:val="00FB1A04"/>
    <w:rsid w:val="00FB20D0"/>
    <w:rsid w:val="00FB2303"/>
    <w:rsid w:val="00FB2A3E"/>
    <w:rsid w:val="00FB373D"/>
    <w:rsid w:val="00FB3A18"/>
    <w:rsid w:val="00FB3A5A"/>
    <w:rsid w:val="00FB42C9"/>
    <w:rsid w:val="00FB4734"/>
    <w:rsid w:val="00FB4B02"/>
    <w:rsid w:val="00FB515C"/>
    <w:rsid w:val="00FB51F9"/>
    <w:rsid w:val="00FB5EE4"/>
    <w:rsid w:val="00FB6E13"/>
    <w:rsid w:val="00FB6E93"/>
    <w:rsid w:val="00FB7FAA"/>
    <w:rsid w:val="00FC01AD"/>
    <w:rsid w:val="00FC05CE"/>
    <w:rsid w:val="00FC07BC"/>
    <w:rsid w:val="00FC0928"/>
    <w:rsid w:val="00FC093A"/>
    <w:rsid w:val="00FC1973"/>
    <w:rsid w:val="00FC19B7"/>
    <w:rsid w:val="00FC1CF1"/>
    <w:rsid w:val="00FC29BF"/>
    <w:rsid w:val="00FC37C3"/>
    <w:rsid w:val="00FC39AB"/>
    <w:rsid w:val="00FC3BEC"/>
    <w:rsid w:val="00FC3C1D"/>
    <w:rsid w:val="00FC3D75"/>
    <w:rsid w:val="00FC3DCA"/>
    <w:rsid w:val="00FC45F6"/>
    <w:rsid w:val="00FC4814"/>
    <w:rsid w:val="00FC4C5B"/>
    <w:rsid w:val="00FC4F73"/>
    <w:rsid w:val="00FC5526"/>
    <w:rsid w:val="00FC5F83"/>
    <w:rsid w:val="00FC63FE"/>
    <w:rsid w:val="00FC646D"/>
    <w:rsid w:val="00FC777C"/>
    <w:rsid w:val="00FC7DD1"/>
    <w:rsid w:val="00FD0553"/>
    <w:rsid w:val="00FD070E"/>
    <w:rsid w:val="00FD0744"/>
    <w:rsid w:val="00FD180F"/>
    <w:rsid w:val="00FD1C02"/>
    <w:rsid w:val="00FD2021"/>
    <w:rsid w:val="00FD212A"/>
    <w:rsid w:val="00FD2682"/>
    <w:rsid w:val="00FD2CBC"/>
    <w:rsid w:val="00FD3EEF"/>
    <w:rsid w:val="00FD3EF6"/>
    <w:rsid w:val="00FD41B2"/>
    <w:rsid w:val="00FD4915"/>
    <w:rsid w:val="00FD4B3A"/>
    <w:rsid w:val="00FD51F9"/>
    <w:rsid w:val="00FD55BE"/>
    <w:rsid w:val="00FD5707"/>
    <w:rsid w:val="00FD5A3A"/>
    <w:rsid w:val="00FD5F54"/>
    <w:rsid w:val="00FD602D"/>
    <w:rsid w:val="00FD63AF"/>
    <w:rsid w:val="00FD67E9"/>
    <w:rsid w:val="00FD7E94"/>
    <w:rsid w:val="00FD7E9E"/>
    <w:rsid w:val="00FE006F"/>
    <w:rsid w:val="00FE0691"/>
    <w:rsid w:val="00FE0870"/>
    <w:rsid w:val="00FE1A8C"/>
    <w:rsid w:val="00FE1D25"/>
    <w:rsid w:val="00FE3629"/>
    <w:rsid w:val="00FE3C51"/>
    <w:rsid w:val="00FE4099"/>
    <w:rsid w:val="00FE4359"/>
    <w:rsid w:val="00FE47E3"/>
    <w:rsid w:val="00FE4E37"/>
    <w:rsid w:val="00FE4F50"/>
    <w:rsid w:val="00FE568A"/>
    <w:rsid w:val="00FE62FB"/>
    <w:rsid w:val="00FE6C13"/>
    <w:rsid w:val="00FE6D0A"/>
    <w:rsid w:val="00FF0021"/>
    <w:rsid w:val="00FF08C9"/>
    <w:rsid w:val="00FF14DF"/>
    <w:rsid w:val="00FF1590"/>
    <w:rsid w:val="00FF1626"/>
    <w:rsid w:val="00FF20D1"/>
    <w:rsid w:val="00FF2BD5"/>
    <w:rsid w:val="00FF3CDE"/>
    <w:rsid w:val="00FF4993"/>
    <w:rsid w:val="00FF4B8F"/>
    <w:rsid w:val="00FF5049"/>
    <w:rsid w:val="00FF54C4"/>
    <w:rsid w:val="00FF5B0A"/>
    <w:rsid w:val="00FF5C2B"/>
    <w:rsid w:val="00FF60DA"/>
    <w:rsid w:val="00FF6420"/>
    <w:rsid w:val="00FF73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7633"/>
    <o:shapelayout v:ext="edit">
      <o:idmap v:ext="edit" data="1"/>
    </o:shapelayout>
  </w:shapeDefaults>
  <w:doNotEmbedSmartTags/>
  <w:decimalSymbol w:val="."/>
  <w:listSeparator w:val=","/>
  <w14:docId w14:val="3303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08F6"/>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F008F6"/>
    <w:pPr>
      <w:keepNext/>
      <w:keepLines/>
      <w:numPr>
        <w:numId w:val="2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08F6"/>
    <w:pPr>
      <w:keepNext/>
      <w:keepLines/>
      <w:numPr>
        <w:ilvl w:val="1"/>
        <w:numId w:val="2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008F6"/>
    <w:pPr>
      <w:keepNext/>
      <w:keepLines/>
      <w:numPr>
        <w:ilvl w:val="2"/>
        <w:numId w:val="2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08F6"/>
    <w:pPr>
      <w:keepNext/>
      <w:keepLines/>
      <w:numPr>
        <w:ilvl w:val="3"/>
        <w:numId w:val="2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008F6"/>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008F6"/>
    <w:pPr>
      <w:keepNext/>
      <w:keepLines/>
      <w:numPr>
        <w:ilvl w:val="5"/>
        <w:numId w:val="2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008F6"/>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008F6"/>
    <w:pPr>
      <w:keepNext/>
      <w:keepLines/>
      <w:numPr>
        <w:ilvl w:val="7"/>
        <w:numId w:val="2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008F6"/>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F008F6"/>
  </w:style>
  <w:style w:type="character" w:customStyle="1" w:styleId="CharSubPartNoCASA">
    <w:name w:val="CharSubPartNo(CASA)"/>
    <w:basedOn w:val="OPCCharBase"/>
    <w:uiPriority w:val="1"/>
    <w:rsid w:val="00F008F6"/>
  </w:style>
  <w:style w:type="paragraph" w:styleId="Footer">
    <w:name w:val="footer"/>
    <w:link w:val="FooterChar"/>
    <w:rsid w:val="00F008F6"/>
    <w:pPr>
      <w:tabs>
        <w:tab w:val="center" w:pos="4153"/>
        <w:tab w:val="right" w:pos="8306"/>
      </w:tabs>
    </w:pPr>
    <w:rPr>
      <w:sz w:val="22"/>
      <w:szCs w:val="24"/>
    </w:rPr>
  </w:style>
  <w:style w:type="paragraph" w:customStyle="1" w:styleId="ENoteTTIndentHeadingSub">
    <w:name w:val="ENoteTTIndentHeadingSub"/>
    <w:aliases w:val="enTTHis"/>
    <w:basedOn w:val="OPCParaBase"/>
    <w:rsid w:val="00F008F6"/>
    <w:pPr>
      <w:keepNext/>
      <w:spacing w:before="60" w:line="240" w:lineRule="atLeast"/>
      <w:ind w:left="340"/>
    </w:pPr>
    <w:rPr>
      <w:b/>
      <w:sz w:val="16"/>
    </w:rPr>
  </w:style>
  <w:style w:type="paragraph" w:customStyle="1" w:styleId="ENoteTTiSub">
    <w:name w:val="ENoteTTiSub"/>
    <w:aliases w:val="enttis"/>
    <w:basedOn w:val="OPCParaBase"/>
    <w:rsid w:val="00F008F6"/>
    <w:pPr>
      <w:keepNext/>
      <w:spacing w:before="60" w:line="240" w:lineRule="atLeast"/>
      <w:ind w:left="340"/>
    </w:pPr>
    <w:rPr>
      <w:sz w:val="16"/>
    </w:rPr>
  </w:style>
  <w:style w:type="paragraph" w:customStyle="1" w:styleId="SubDivisionMigration">
    <w:name w:val="SubDivisionMigration"/>
    <w:aliases w:val="sdm"/>
    <w:basedOn w:val="OPCParaBase"/>
    <w:rsid w:val="00F008F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008F6"/>
    <w:pPr>
      <w:keepNext/>
      <w:keepLines/>
      <w:spacing w:before="240" w:line="240" w:lineRule="auto"/>
      <w:ind w:left="1134" w:hanging="1134"/>
    </w:pPr>
    <w:rPr>
      <w:b/>
      <w:sz w:val="28"/>
    </w:rPr>
  </w:style>
  <w:style w:type="numbering" w:styleId="111111">
    <w:name w:val="Outline List 2"/>
    <w:basedOn w:val="NoList"/>
    <w:rsid w:val="00F008F6"/>
    <w:pPr>
      <w:numPr>
        <w:numId w:val="28"/>
      </w:numPr>
    </w:pPr>
  </w:style>
  <w:style w:type="numbering" w:styleId="1ai">
    <w:name w:val="Outline List 1"/>
    <w:basedOn w:val="NoList"/>
    <w:rsid w:val="00F008F6"/>
    <w:pPr>
      <w:numPr>
        <w:numId w:val="2"/>
      </w:numPr>
    </w:pPr>
  </w:style>
  <w:style w:type="numbering" w:styleId="ArticleSection">
    <w:name w:val="Outline List 3"/>
    <w:basedOn w:val="NoList"/>
    <w:rsid w:val="00F008F6"/>
    <w:pPr>
      <w:numPr>
        <w:numId w:val="29"/>
      </w:numPr>
    </w:pPr>
  </w:style>
  <w:style w:type="paragraph" w:styleId="BlockText">
    <w:name w:val="Block Text"/>
    <w:basedOn w:val="Normal"/>
    <w:rsid w:val="00F008F6"/>
    <w:pPr>
      <w:spacing w:after="120"/>
      <w:ind w:left="1440" w:right="1440"/>
    </w:pPr>
  </w:style>
  <w:style w:type="paragraph" w:styleId="BodyText">
    <w:name w:val="Body Text"/>
    <w:basedOn w:val="Normal"/>
    <w:link w:val="BodyTextChar"/>
    <w:rsid w:val="00F008F6"/>
    <w:pPr>
      <w:spacing w:after="120"/>
    </w:pPr>
  </w:style>
  <w:style w:type="paragraph" w:styleId="BodyText2">
    <w:name w:val="Body Text 2"/>
    <w:basedOn w:val="Normal"/>
    <w:link w:val="BodyText2Char"/>
    <w:rsid w:val="00F008F6"/>
    <w:pPr>
      <w:spacing w:after="120" w:line="480" w:lineRule="auto"/>
    </w:pPr>
  </w:style>
  <w:style w:type="paragraph" w:styleId="BodyText3">
    <w:name w:val="Body Text 3"/>
    <w:basedOn w:val="Normal"/>
    <w:link w:val="BodyText3Char"/>
    <w:rsid w:val="00F008F6"/>
    <w:pPr>
      <w:spacing w:after="120"/>
    </w:pPr>
    <w:rPr>
      <w:sz w:val="16"/>
      <w:szCs w:val="16"/>
    </w:rPr>
  </w:style>
  <w:style w:type="paragraph" w:styleId="BodyTextFirstIndent">
    <w:name w:val="Body Text First Indent"/>
    <w:basedOn w:val="BodyText"/>
    <w:link w:val="BodyTextFirstIndentChar"/>
    <w:rsid w:val="00F008F6"/>
    <w:pPr>
      <w:ind w:firstLine="210"/>
    </w:pPr>
  </w:style>
  <w:style w:type="paragraph" w:styleId="BodyTextIndent">
    <w:name w:val="Body Text Indent"/>
    <w:basedOn w:val="Normal"/>
    <w:link w:val="BodyTextIndentChar"/>
    <w:rsid w:val="00F008F6"/>
    <w:pPr>
      <w:spacing w:after="120"/>
      <w:ind w:left="283"/>
    </w:pPr>
  </w:style>
  <w:style w:type="paragraph" w:styleId="BodyTextFirstIndent2">
    <w:name w:val="Body Text First Indent 2"/>
    <w:basedOn w:val="BodyTextIndent"/>
    <w:link w:val="BodyTextFirstIndent2Char"/>
    <w:rsid w:val="00F008F6"/>
    <w:pPr>
      <w:ind w:firstLine="210"/>
    </w:pPr>
  </w:style>
  <w:style w:type="paragraph" w:styleId="BodyTextIndent2">
    <w:name w:val="Body Text Indent 2"/>
    <w:basedOn w:val="Normal"/>
    <w:link w:val="BodyTextIndent2Char"/>
    <w:rsid w:val="00F008F6"/>
    <w:pPr>
      <w:spacing w:after="120" w:line="480" w:lineRule="auto"/>
      <w:ind w:left="283"/>
    </w:pPr>
  </w:style>
  <w:style w:type="paragraph" w:styleId="BodyTextIndent3">
    <w:name w:val="Body Text Indent 3"/>
    <w:basedOn w:val="Normal"/>
    <w:link w:val="BodyTextIndent3Char"/>
    <w:rsid w:val="00F008F6"/>
    <w:pPr>
      <w:spacing w:after="120"/>
      <w:ind w:left="283"/>
    </w:pPr>
    <w:rPr>
      <w:sz w:val="16"/>
      <w:szCs w:val="16"/>
    </w:rPr>
  </w:style>
  <w:style w:type="paragraph" w:styleId="Closing">
    <w:name w:val="Closing"/>
    <w:basedOn w:val="Normal"/>
    <w:link w:val="ClosingChar"/>
    <w:rsid w:val="00F008F6"/>
    <w:pPr>
      <w:ind w:left="4252"/>
    </w:pPr>
  </w:style>
  <w:style w:type="paragraph" w:styleId="Date">
    <w:name w:val="Date"/>
    <w:basedOn w:val="Normal"/>
    <w:next w:val="Normal"/>
    <w:link w:val="DateChar"/>
    <w:rsid w:val="00F008F6"/>
  </w:style>
  <w:style w:type="paragraph" w:styleId="E-mailSignature">
    <w:name w:val="E-mail Signature"/>
    <w:basedOn w:val="Normal"/>
    <w:link w:val="E-mailSignatureChar"/>
    <w:rsid w:val="00F008F6"/>
  </w:style>
  <w:style w:type="character" w:styleId="Emphasis">
    <w:name w:val="Emphasis"/>
    <w:basedOn w:val="DefaultParagraphFont"/>
    <w:qFormat/>
    <w:rsid w:val="00F008F6"/>
    <w:rPr>
      <w:i/>
      <w:iCs/>
    </w:rPr>
  </w:style>
  <w:style w:type="paragraph" w:styleId="EnvelopeAddress">
    <w:name w:val="envelope address"/>
    <w:basedOn w:val="Normal"/>
    <w:rsid w:val="00F008F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008F6"/>
    <w:rPr>
      <w:rFonts w:ascii="Arial" w:hAnsi="Arial" w:cs="Arial"/>
      <w:sz w:val="20"/>
    </w:rPr>
  </w:style>
  <w:style w:type="character" w:styleId="FollowedHyperlink">
    <w:name w:val="FollowedHyperlink"/>
    <w:basedOn w:val="DefaultParagraphFont"/>
    <w:rsid w:val="00F008F6"/>
    <w:rPr>
      <w:color w:val="800080"/>
      <w:u w:val="single"/>
    </w:rPr>
  </w:style>
  <w:style w:type="paragraph" w:styleId="Header">
    <w:name w:val="header"/>
    <w:basedOn w:val="OPCParaBase"/>
    <w:link w:val="HeaderChar"/>
    <w:unhideWhenUsed/>
    <w:rsid w:val="00F008F6"/>
    <w:pPr>
      <w:keepNext/>
      <w:keepLines/>
      <w:tabs>
        <w:tab w:val="center" w:pos="4150"/>
        <w:tab w:val="right" w:pos="8307"/>
      </w:tabs>
      <w:spacing w:line="160" w:lineRule="exact"/>
    </w:pPr>
    <w:rPr>
      <w:sz w:val="16"/>
    </w:rPr>
  </w:style>
  <w:style w:type="character" w:styleId="HTMLAcronym">
    <w:name w:val="HTML Acronym"/>
    <w:basedOn w:val="DefaultParagraphFont"/>
    <w:rsid w:val="00F008F6"/>
  </w:style>
  <w:style w:type="paragraph" w:styleId="HTMLAddress">
    <w:name w:val="HTML Address"/>
    <w:basedOn w:val="Normal"/>
    <w:link w:val="HTMLAddressChar"/>
    <w:rsid w:val="00F008F6"/>
    <w:rPr>
      <w:i/>
      <w:iCs/>
    </w:rPr>
  </w:style>
  <w:style w:type="character" w:styleId="HTMLCite">
    <w:name w:val="HTML Cite"/>
    <w:basedOn w:val="DefaultParagraphFont"/>
    <w:rsid w:val="00F008F6"/>
    <w:rPr>
      <w:i/>
      <w:iCs/>
    </w:rPr>
  </w:style>
  <w:style w:type="character" w:styleId="HTMLCode">
    <w:name w:val="HTML Code"/>
    <w:basedOn w:val="DefaultParagraphFont"/>
    <w:rsid w:val="00F008F6"/>
    <w:rPr>
      <w:rFonts w:ascii="Courier New" w:hAnsi="Courier New" w:cs="Courier New"/>
      <w:sz w:val="20"/>
      <w:szCs w:val="20"/>
    </w:rPr>
  </w:style>
  <w:style w:type="character" w:styleId="HTMLDefinition">
    <w:name w:val="HTML Definition"/>
    <w:basedOn w:val="DefaultParagraphFont"/>
    <w:rsid w:val="00F008F6"/>
    <w:rPr>
      <w:i/>
      <w:iCs/>
    </w:rPr>
  </w:style>
  <w:style w:type="character" w:styleId="HTMLKeyboard">
    <w:name w:val="HTML Keyboard"/>
    <w:basedOn w:val="DefaultParagraphFont"/>
    <w:rsid w:val="00F008F6"/>
    <w:rPr>
      <w:rFonts w:ascii="Courier New" w:hAnsi="Courier New" w:cs="Courier New"/>
      <w:sz w:val="20"/>
      <w:szCs w:val="20"/>
    </w:rPr>
  </w:style>
  <w:style w:type="paragraph" w:styleId="HTMLPreformatted">
    <w:name w:val="HTML Preformatted"/>
    <w:basedOn w:val="Normal"/>
    <w:link w:val="HTMLPreformattedChar"/>
    <w:rsid w:val="00F008F6"/>
    <w:rPr>
      <w:rFonts w:ascii="Courier New" w:hAnsi="Courier New" w:cs="Courier New"/>
      <w:sz w:val="20"/>
    </w:rPr>
  </w:style>
  <w:style w:type="character" w:styleId="HTMLSample">
    <w:name w:val="HTML Sample"/>
    <w:basedOn w:val="DefaultParagraphFont"/>
    <w:rsid w:val="00F008F6"/>
    <w:rPr>
      <w:rFonts w:ascii="Courier New" w:hAnsi="Courier New" w:cs="Courier New"/>
    </w:rPr>
  </w:style>
  <w:style w:type="character" w:styleId="HTMLTypewriter">
    <w:name w:val="HTML Typewriter"/>
    <w:basedOn w:val="DefaultParagraphFont"/>
    <w:rsid w:val="00F008F6"/>
    <w:rPr>
      <w:rFonts w:ascii="Courier New" w:hAnsi="Courier New" w:cs="Courier New"/>
      <w:sz w:val="20"/>
      <w:szCs w:val="20"/>
    </w:rPr>
  </w:style>
  <w:style w:type="character" w:styleId="HTMLVariable">
    <w:name w:val="HTML Variable"/>
    <w:basedOn w:val="DefaultParagraphFont"/>
    <w:rsid w:val="00F008F6"/>
    <w:rPr>
      <w:i/>
      <w:iCs/>
    </w:rPr>
  </w:style>
  <w:style w:type="character" w:styleId="Hyperlink">
    <w:name w:val="Hyperlink"/>
    <w:basedOn w:val="DefaultParagraphFont"/>
    <w:rsid w:val="00F008F6"/>
    <w:rPr>
      <w:color w:val="0000FF"/>
      <w:u w:val="single"/>
    </w:rPr>
  </w:style>
  <w:style w:type="character" w:styleId="LineNumber">
    <w:name w:val="line number"/>
    <w:basedOn w:val="OPCCharBase"/>
    <w:uiPriority w:val="99"/>
    <w:unhideWhenUsed/>
    <w:rsid w:val="00F008F6"/>
    <w:rPr>
      <w:sz w:val="16"/>
    </w:rPr>
  </w:style>
  <w:style w:type="paragraph" w:styleId="List">
    <w:name w:val="List"/>
    <w:basedOn w:val="Normal"/>
    <w:rsid w:val="00F008F6"/>
    <w:pPr>
      <w:ind w:left="283" w:hanging="283"/>
    </w:pPr>
  </w:style>
  <w:style w:type="paragraph" w:styleId="List2">
    <w:name w:val="List 2"/>
    <w:basedOn w:val="Normal"/>
    <w:rsid w:val="00F008F6"/>
    <w:pPr>
      <w:ind w:left="566" w:hanging="283"/>
    </w:pPr>
  </w:style>
  <w:style w:type="paragraph" w:styleId="List3">
    <w:name w:val="List 3"/>
    <w:basedOn w:val="Normal"/>
    <w:rsid w:val="00F008F6"/>
    <w:pPr>
      <w:ind w:left="849" w:hanging="283"/>
    </w:pPr>
  </w:style>
  <w:style w:type="paragraph" w:styleId="List4">
    <w:name w:val="List 4"/>
    <w:basedOn w:val="Normal"/>
    <w:rsid w:val="00F008F6"/>
    <w:pPr>
      <w:ind w:left="1132" w:hanging="283"/>
    </w:pPr>
  </w:style>
  <w:style w:type="paragraph" w:styleId="List5">
    <w:name w:val="List 5"/>
    <w:basedOn w:val="Normal"/>
    <w:rsid w:val="00F008F6"/>
    <w:pPr>
      <w:ind w:left="1415" w:hanging="283"/>
    </w:pPr>
  </w:style>
  <w:style w:type="paragraph" w:styleId="ListBullet">
    <w:name w:val="List Bullet"/>
    <w:basedOn w:val="Normal"/>
    <w:autoRedefine/>
    <w:rsid w:val="00F008F6"/>
    <w:pPr>
      <w:tabs>
        <w:tab w:val="num" w:pos="360"/>
      </w:tabs>
      <w:ind w:left="360" w:hanging="360"/>
    </w:pPr>
  </w:style>
  <w:style w:type="paragraph" w:styleId="ListBullet2">
    <w:name w:val="List Bullet 2"/>
    <w:basedOn w:val="Normal"/>
    <w:autoRedefine/>
    <w:rsid w:val="00F008F6"/>
    <w:pPr>
      <w:tabs>
        <w:tab w:val="num" w:pos="360"/>
      </w:tabs>
    </w:pPr>
  </w:style>
  <w:style w:type="paragraph" w:styleId="ListBullet3">
    <w:name w:val="List Bullet 3"/>
    <w:basedOn w:val="Normal"/>
    <w:autoRedefine/>
    <w:rsid w:val="00F008F6"/>
    <w:pPr>
      <w:tabs>
        <w:tab w:val="num" w:pos="926"/>
      </w:tabs>
      <w:ind w:left="926" w:hanging="360"/>
    </w:pPr>
  </w:style>
  <w:style w:type="paragraph" w:styleId="ListBullet4">
    <w:name w:val="List Bullet 4"/>
    <w:basedOn w:val="Normal"/>
    <w:autoRedefine/>
    <w:rsid w:val="00F008F6"/>
    <w:pPr>
      <w:tabs>
        <w:tab w:val="num" w:pos="1209"/>
      </w:tabs>
      <w:ind w:left="1209" w:hanging="360"/>
    </w:pPr>
  </w:style>
  <w:style w:type="paragraph" w:styleId="ListBullet5">
    <w:name w:val="List Bullet 5"/>
    <w:basedOn w:val="Normal"/>
    <w:autoRedefine/>
    <w:rsid w:val="00F008F6"/>
    <w:pPr>
      <w:tabs>
        <w:tab w:val="num" w:pos="1492"/>
      </w:tabs>
      <w:ind w:left="1492" w:hanging="360"/>
    </w:pPr>
  </w:style>
  <w:style w:type="paragraph" w:styleId="ListContinue">
    <w:name w:val="List Continue"/>
    <w:basedOn w:val="Normal"/>
    <w:rsid w:val="00F008F6"/>
    <w:pPr>
      <w:spacing w:after="120"/>
      <w:ind w:left="283"/>
    </w:pPr>
  </w:style>
  <w:style w:type="paragraph" w:styleId="ListContinue2">
    <w:name w:val="List Continue 2"/>
    <w:basedOn w:val="Normal"/>
    <w:rsid w:val="00F008F6"/>
    <w:pPr>
      <w:spacing w:after="120"/>
      <w:ind w:left="566"/>
    </w:pPr>
  </w:style>
  <w:style w:type="paragraph" w:styleId="ListContinue3">
    <w:name w:val="List Continue 3"/>
    <w:basedOn w:val="Normal"/>
    <w:rsid w:val="00F008F6"/>
    <w:pPr>
      <w:spacing w:after="120"/>
      <w:ind w:left="849"/>
    </w:pPr>
  </w:style>
  <w:style w:type="paragraph" w:styleId="ListContinue4">
    <w:name w:val="List Continue 4"/>
    <w:basedOn w:val="Normal"/>
    <w:rsid w:val="00F008F6"/>
    <w:pPr>
      <w:spacing w:after="120"/>
      <w:ind w:left="1132"/>
    </w:pPr>
  </w:style>
  <w:style w:type="paragraph" w:styleId="ListContinue5">
    <w:name w:val="List Continue 5"/>
    <w:basedOn w:val="Normal"/>
    <w:rsid w:val="00F008F6"/>
    <w:pPr>
      <w:spacing w:after="120"/>
      <w:ind w:left="1415"/>
    </w:pPr>
  </w:style>
  <w:style w:type="paragraph" w:styleId="ListNumber">
    <w:name w:val="List Number"/>
    <w:basedOn w:val="Normal"/>
    <w:rsid w:val="00F008F6"/>
    <w:pPr>
      <w:tabs>
        <w:tab w:val="num" w:pos="360"/>
      </w:tabs>
      <w:ind w:left="360" w:hanging="360"/>
    </w:pPr>
  </w:style>
  <w:style w:type="paragraph" w:styleId="ListNumber2">
    <w:name w:val="List Number 2"/>
    <w:basedOn w:val="Normal"/>
    <w:rsid w:val="00F008F6"/>
    <w:pPr>
      <w:tabs>
        <w:tab w:val="num" w:pos="643"/>
      </w:tabs>
      <w:ind w:left="643" w:hanging="360"/>
    </w:pPr>
  </w:style>
  <w:style w:type="paragraph" w:styleId="ListNumber3">
    <w:name w:val="List Number 3"/>
    <w:basedOn w:val="Normal"/>
    <w:rsid w:val="00F008F6"/>
    <w:pPr>
      <w:tabs>
        <w:tab w:val="num" w:pos="926"/>
      </w:tabs>
      <w:ind w:left="926" w:hanging="360"/>
    </w:pPr>
  </w:style>
  <w:style w:type="paragraph" w:styleId="ListNumber4">
    <w:name w:val="List Number 4"/>
    <w:basedOn w:val="Normal"/>
    <w:rsid w:val="00F008F6"/>
    <w:pPr>
      <w:tabs>
        <w:tab w:val="num" w:pos="1209"/>
      </w:tabs>
      <w:ind w:left="1209" w:hanging="360"/>
    </w:pPr>
  </w:style>
  <w:style w:type="paragraph" w:styleId="ListNumber5">
    <w:name w:val="List Number 5"/>
    <w:basedOn w:val="Normal"/>
    <w:rsid w:val="00F008F6"/>
    <w:pPr>
      <w:tabs>
        <w:tab w:val="num" w:pos="1492"/>
      </w:tabs>
      <w:ind w:left="1492" w:hanging="360"/>
    </w:pPr>
  </w:style>
  <w:style w:type="paragraph" w:styleId="MessageHeader">
    <w:name w:val="Message Header"/>
    <w:basedOn w:val="Normal"/>
    <w:link w:val="MessageHeaderChar"/>
    <w:rsid w:val="00F008F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008F6"/>
  </w:style>
  <w:style w:type="paragraph" w:styleId="NormalIndent">
    <w:name w:val="Normal Indent"/>
    <w:basedOn w:val="Normal"/>
    <w:rsid w:val="00F008F6"/>
    <w:pPr>
      <w:ind w:left="720"/>
    </w:pPr>
  </w:style>
  <w:style w:type="character" w:styleId="PageNumber">
    <w:name w:val="page number"/>
    <w:basedOn w:val="DefaultParagraphFont"/>
    <w:rsid w:val="00F008F6"/>
  </w:style>
  <w:style w:type="paragraph" w:styleId="PlainText">
    <w:name w:val="Plain Text"/>
    <w:basedOn w:val="Normal"/>
    <w:link w:val="PlainTextChar"/>
    <w:rsid w:val="00F008F6"/>
    <w:rPr>
      <w:rFonts w:ascii="Courier New" w:hAnsi="Courier New" w:cs="Courier New"/>
      <w:sz w:val="20"/>
    </w:rPr>
  </w:style>
  <w:style w:type="paragraph" w:styleId="Salutation">
    <w:name w:val="Salutation"/>
    <w:basedOn w:val="Normal"/>
    <w:next w:val="Normal"/>
    <w:link w:val="SalutationChar"/>
    <w:rsid w:val="00F008F6"/>
  </w:style>
  <w:style w:type="paragraph" w:styleId="Signature">
    <w:name w:val="Signature"/>
    <w:basedOn w:val="Normal"/>
    <w:link w:val="SignatureChar"/>
    <w:rsid w:val="00F008F6"/>
    <w:pPr>
      <w:ind w:left="4252"/>
    </w:pPr>
  </w:style>
  <w:style w:type="character" w:styleId="Strong">
    <w:name w:val="Strong"/>
    <w:basedOn w:val="DefaultParagraphFont"/>
    <w:qFormat/>
    <w:rsid w:val="00F008F6"/>
    <w:rPr>
      <w:b/>
      <w:bCs/>
    </w:rPr>
  </w:style>
  <w:style w:type="paragraph" w:styleId="Subtitle">
    <w:name w:val="Subtitle"/>
    <w:basedOn w:val="Normal"/>
    <w:link w:val="SubtitleChar"/>
    <w:qFormat/>
    <w:rsid w:val="00F008F6"/>
    <w:pPr>
      <w:spacing w:after="60"/>
      <w:jc w:val="center"/>
      <w:outlineLvl w:val="1"/>
    </w:pPr>
    <w:rPr>
      <w:rFonts w:ascii="Arial" w:hAnsi="Arial" w:cs="Arial"/>
    </w:rPr>
  </w:style>
  <w:style w:type="table" w:styleId="Table3Deffects1">
    <w:name w:val="Table 3D effects 1"/>
    <w:basedOn w:val="TableNormal"/>
    <w:rsid w:val="00F008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008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008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008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008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008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008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008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008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008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008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008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008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008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008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008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008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008F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008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008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008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008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008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008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008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008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008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008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008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008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008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008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008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008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008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008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08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008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008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008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00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008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008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008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008F6"/>
    <w:pPr>
      <w:spacing w:before="240" w:after="60"/>
    </w:pPr>
    <w:rPr>
      <w:rFonts w:ascii="Arial" w:hAnsi="Arial" w:cs="Arial"/>
      <w:b/>
      <w:bCs/>
      <w:sz w:val="40"/>
      <w:szCs w:val="40"/>
    </w:rPr>
  </w:style>
  <w:style w:type="character" w:customStyle="1" w:styleId="CharAmSchNo">
    <w:name w:val="CharAmSchNo"/>
    <w:basedOn w:val="OPCCharBase"/>
    <w:qFormat/>
    <w:rsid w:val="00F008F6"/>
  </w:style>
  <w:style w:type="character" w:customStyle="1" w:styleId="CharAmSchText">
    <w:name w:val="CharAmSchText"/>
    <w:basedOn w:val="OPCCharBase"/>
    <w:qFormat/>
    <w:rsid w:val="00F008F6"/>
  </w:style>
  <w:style w:type="character" w:customStyle="1" w:styleId="CharChapNo">
    <w:name w:val="CharChapNo"/>
    <w:basedOn w:val="OPCCharBase"/>
    <w:uiPriority w:val="1"/>
    <w:qFormat/>
    <w:rsid w:val="00F008F6"/>
  </w:style>
  <w:style w:type="character" w:customStyle="1" w:styleId="CharChapText">
    <w:name w:val="CharChapText"/>
    <w:basedOn w:val="OPCCharBase"/>
    <w:uiPriority w:val="1"/>
    <w:qFormat/>
    <w:rsid w:val="00F008F6"/>
  </w:style>
  <w:style w:type="character" w:customStyle="1" w:styleId="CharDivNo">
    <w:name w:val="CharDivNo"/>
    <w:basedOn w:val="OPCCharBase"/>
    <w:uiPriority w:val="1"/>
    <w:qFormat/>
    <w:rsid w:val="00F008F6"/>
  </w:style>
  <w:style w:type="character" w:customStyle="1" w:styleId="CharDivText">
    <w:name w:val="CharDivText"/>
    <w:basedOn w:val="OPCCharBase"/>
    <w:uiPriority w:val="1"/>
    <w:qFormat/>
    <w:rsid w:val="00F008F6"/>
  </w:style>
  <w:style w:type="character" w:customStyle="1" w:styleId="CharPartNo">
    <w:name w:val="CharPartNo"/>
    <w:basedOn w:val="OPCCharBase"/>
    <w:uiPriority w:val="1"/>
    <w:qFormat/>
    <w:rsid w:val="00F008F6"/>
  </w:style>
  <w:style w:type="character" w:customStyle="1" w:styleId="CharPartText">
    <w:name w:val="CharPartText"/>
    <w:basedOn w:val="OPCCharBase"/>
    <w:uiPriority w:val="1"/>
    <w:qFormat/>
    <w:rsid w:val="00F008F6"/>
  </w:style>
  <w:style w:type="character" w:customStyle="1" w:styleId="OPCCharBase">
    <w:name w:val="OPCCharBase"/>
    <w:uiPriority w:val="1"/>
    <w:qFormat/>
    <w:rsid w:val="00F008F6"/>
  </w:style>
  <w:style w:type="paragraph" w:customStyle="1" w:styleId="OPCParaBase">
    <w:name w:val="OPCParaBase"/>
    <w:qFormat/>
    <w:rsid w:val="00F008F6"/>
    <w:pPr>
      <w:spacing w:line="260" w:lineRule="atLeast"/>
    </w:pPr>
    <w:rPr>
      <w:sz w:val="22"/>
    </w:rPr>
  </w:style>
  <w:style w:type="character" w:customStyle="1" w:styleId="CharSectno">
    <w:name w:val="CharSectno"/>
    <w:basedOn w:val="OPCCharBase"/>
    <w:qFormat/>
    <w:rsid w:val="00F008F6"/>
  </w:style>
  <w:style w:type="character" w:styleId="EndnoteReference">
    <w:name w:val="endnote reference"/>
    <w:basedOn w:val="DefaultParagraphFont"/>
    <w:rsid w:val="00F008F6"/>
    <w:rPr>
      <w:vertAlign w:val="superscript"/>
    </w:rPr>
  </w:style>
  <w:style w:type="paragraph" w:styleId="EndnoteText">
    <w:name w:val="endnote text"/>
    <w:basedOn w:val="Normal"/>
    <w:link w:val="EndnoteTextChar"/>
    <w:rsid w:val="00F008F6"/>
    <w:rPr>
      <w:sz w:val="20"/>
    </w:rPr>
  </w:style>
  <w:style w:type="character" w:styleId="FootnoteReference">
    <w:name w:val="footnote reference"/>
    <w:basedOn w:val="DefaultParagraphFont"/>
    <w:rsid w:val="00F008F6"/>
    <w:rPr>
      <w:rFonts w:ascii="Times New Roman" w:hAnsi="Times New Roman"/>
      <w:sz w:val="20"/>
      <w:vertAlign w:val="superscript"/>
    </w:rPr>
  </w:style>
  <w:style w:type="paragraph" w:styleId="FootnoteText">
    <w:name w:val="footnote text"/>
    <w:basedOn w:val="Normal"/>
    <w:link w:val="FootnoteTextChar"/>
    <w:rsid w:val="00F008F6"/>
    <w:rPr>
      <w:sz w:val="20"/>
    </w:rPr>
  </w:style>
  <w:style w:type="paragraph" w:customStyle="1" w:styleId="Formula">
    <w:name w:val="Formula"/>
    <w:basedOn w:val="OPCParaBase"/>
    <w:rsid w:val="00F008F6"/>
    <w:pPr>
      <w:spacing w:line="240" w:lineRule="auto"/>
      <w:ind w:left="1134"/>
    </w:pPr>
    <w:rPr>
      <w:sz w:val="20"/>
    </w:rPr>
  </w:style>
  <w:style w:type="paragraph" w:customStyle="1" w:styleId="ActHead5">
    <w:name w:val="ActHead 5"/>
    <w:aliases w:val="s"/>
    <w:basedOn w:val="OPCParaBase"/>
    <w:next w:val="subsection"/>
    <w:link w:val="ActHead5Char"/>
    <w:qFormat/>
    <w:rsid w:val="00F008F6"/>
    <w:pPr>
      <w:keepNext/>
      <w:keepLines/>
      <w:spacing w:before="280" w:line="240" w:lineRule="auto"/>
      <w:ind w:left="1134" w:hanging="1134"/>
      <w:outlineLvl w:val="4"/>
    </w:pPr>
    <w:rPr>
      <w:b/>
      <w:kern w:val="28"/>
      <w:sz w:val="24"/>
    </w:rPr>
  </w:style>
  <w:style w:type="paragraph" w:customStyle="1" w:styleId="Penalty">
    <w:name w:val="Penalty"/>
    <w:basedOn w:val="OPCParaBase"/>
    <w:rsid w:val="00F008F6"/>
    <w:pPr>
      <w:tabs>
        <w:tab w:val="left" w:pos="2977"/>
      </w:tabs>
      <w:spacing w:before="180" w:line="240" w:lineRule="auto"/>
      <w:ind w:left="1985" w:hanging="851"/>
    </w:pPr>
  </w:style>
  <w:style w:type="paragraph" w:styleId="TOC1">
    <w:name w:val="toc 1"/>
    <w:basedOn w:val="Normal"/>
    <w:next w:val="Normal"/>
    <w:uiPriority w:val="39"/>
    <w:unhideWhenUsed/>
    <w:rsid w:val="00F008F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008F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008F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008F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008F6"/>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6">
    <w:name w:val="toc 6"/>
    <w:basedOn w:val="Normal"/>
    <w:next w:val="Normal"/>
    <w:uiPriority w:val="39"/>
    <w:unhideWhenUsed/>
    <w:rsid w:val="00F008F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008F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008F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008F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FreeForm">
    <w:name w:val="FreeForm"/>
    <w:rsid w:val="00F008F6"/>
    <w:rPr>
      <w:rFonts w:ascii="Arial" w:eastAsiaTheme="minorHAnsi" w:hAnsi="Arial" w:cstheme="minorBidi"/>
      <w:sz w:val="22"/>
      <w:lang w:eastAsia="en-US"/>
    </w:rPr>
  </w:style>
  <w:style w:type="paragraph" w:customStyle="1" w:styleId="PageBreak">
    <w:name w:val="PageBreak"/>
    <w:aliases w:val="pb"/>
    <w:basedOn w:val="OPCParaBase"/>
    <w:rsid w:val="00F008F6"/>
    <w:pPr>
      <w:spacing w:line="240" w:lineRule="auto"/>
    </w:pPr>
    <w:rPr>
      <w:sz w:val="20"/>
    </w:rPr>
  </w:style>
  <w:style w:type="paragraph" w:customStyle="1" w:styleId="ActHead6">
    <w:name w:val="ActHead 6"/>
    <w:aliases w:val="as"/>
    <w:basedOn w:val="OPCParaBase"/>
    <w:next w:val="ActHead7"/>
    <w:qFormat/>
    <w:rsid w:val="00F008F6"/>
    <w:pPr>
      <w:keepNext/>
      <w:keepLines/>
      <w:spacing w:line="240" w:lineRule="auto"/>
      <w:ind w:left="1134" w:hanging="1134"/>
      <w:outlineLvl w:val="5"/>
    </w:pPr>
    <w:rPr>
      <w:rFonts w:ascii="Arial" w:hAnsi="Arial"/>
      <w:b/>
      <w:kern w:val="28"/>
      <w:sz w:val="32"/>
    </w:rPr>
  </w:style>
  <w:style w:type="paragraph" w:styleId="BalloonText">
    <w:name w:val="Balloon Text"/>
    <w:basedOn w:val="Normal"/>
    <w:link w:val="BalloonTextChar"/>
    <w:uiPriority w:val="99"/>
    <w:unhideWhenUsed/>
    <w:rsid w:val="00F008F6"/>
    <w:pPr>
      <w:spacing w:line="240" w:lineRule="auto"/>
    </w:pPr>
    <w:rPr>
      <w:rFonts w:ascii="Tahoma" w:hAnsi="Tahoma" w:cs="Tahoma"/>
      <w:sz w:val="16"/>
      <w:szCs w:val="16"/>
    </w:rPr>
  </w:style>
  <w:style w:type="paragraph" w:styleId="Caption">
    <w:name w:val="caption"/>
    <w:basedOn w:val="Normal"/>
    <w:next w:val="Normal"/>
    <w:qFormat/>
    <w:rsid w:val="00F008F6"/>
    <w:pPr>
      <w:spacing w:before="120" w:after="120"/>
    </w:pPr>
    <w:rPr>
      <w:b/>
      <w:bCs/>
      <w:sz w:val="20"/>
    </w:rPr>
  </w:style>
  <w:style w:type="character" w:styleId="CommentReference">
    <w:name w:val="annotation reference"/>
    <w:basedOn w:val="DefaultParagraphFont"/>
    <w:rsid w:val="00F008F6"/>
    <w:rPr>
      <w:sz w:val="16"/>
      <w:szCs w:val="16"/>
    </w:rPr>
  </w:style>
  <w:style w:type="paragraph" w:styleId="CommentText">
    <w:name w:val="annotation text"/>
    <w:basedOn w:val="Normal"/>
    <w:link w:val="CommentTextChar"/>
    <w:rsid w:val="00F008F6"/>
    <w:rPr>
      <w:sz w:val="20"/>
    </w:rPr>
  </w:style>
  <w:style w:type="paragraph" w:styleId="CommentSubject">
    <w:name w:val="annotation subject"/>
    <w:basedOn w:val="CommentText"/>
    <w:next w:val="CommentText"/>
    <w:link w:val="CommentSubjectChar"/>
    <w:rsid w:val="00F008F6"/>
    <w:rPr>
      <w:b/>
      <w:bCs/>
    </w:rPr>
  </w:style>
  <w:style w:type="paragraph" w:styleId="DocumentMap">
    <w:name w:val="Document Map"/>
    <w:basedOn w:val="Normal"/>
    <w:link w:val="DocumentMapChar"/>
    <w:rsid w:val="00F008F6"/>
    <w:pPr>
      <w:shd w:val="clear" w:color="auto" w:fill="000080"/>
    </w:pPr>
    <w:rPr>
      <w:rFonts w:ascii="Tahoma" w:hAnsi="Tahoma" w:cs="Tahoma"/>
    </w:rPr>
  </w:style>
  <w:style w:type="paragraph" w:styleId="Index1">
    <w:name w:val="index 1"/>
    <w:basedOn w:val="Normal"/>
    <w:next w:val="Normal"/>
    <w:autoRedefine/>
    <w:rsid w:val="00F008F6"/>
    <w:pPr>
      <w:ind w:left="240" w:hanging="240"/>
    </w:pPr>
  </w:style>
  <w:style w:type="paragraph" w:styleId="Index2">
    <w:name w:val="index 2"/>
    <w:basedOn w:val="Normal"/>
    <w:next w:val="Normal"/>
    <w:autoRedefine/>
    <w:rsid w:val="00F008F6"/>
    <w:pPr>
      <w:ind w:left="480" w:hanging="240"/>
    </w:pPr>
  </w:style>
  <w:style w:type="paragraph" w:styleId="Index3">
    <w:name w:val="index 3"/>
    <w:basedOn w:val="Normal"/>
    <w:next w:val="Normal"/>
    <w:autoRedefine/>
    <w:rsid w:val="00F008F6"/>
    <w:pPr>
      <w:ind w:left="720" w:hanging="240"/>
    </w:pPr>
  </w:style>
  <w:style w:type="paragraph" w:styleId="Index4">
    <w:name w:val="index 4"/>
    <w:basedOn w:val="Normal"/>
    <w:next w:val="Normal"/>
    <w:autoRedefine/>
    <w:rsid w:val="00F008F6"/>
    <w:pPr>
      <w:ind w:left="960" w:hanging="240"/>
    </w:pPr>
  </w:style>
  <w:style w:type="paragraph" w:styleId="Index5">
    <w:name w:val="index 5"/>
    <w:basedOn w:val="Normal"/>
    <w:next w:val="Normal"/>
    <w:autoRedefine/>
    <w:rsid w:val="00F008F6"/>
    <w:pPr>
      <w:ind w:left="1200" w:hanging="240"/>
    </w:pPr>
  </w:style>
  <w:style w:type="paragraph" w:styleId="Index6">
    <w:name w:val="index 6"/>
    <w:basedOn w:val="Normal"/>
    <w:next w:val="Normal"/>
    <w:autoRedefine/>
    <w:rsid w:val="00F008F6"/>
    <w:pPr>
      <w:ind w:left="1440" w:hanging="240"/>
    </w:pPr>
  </w:style>
  <w:style w:type="paragraph" w:styleId="Index7">
    <w:name w:val="index 7"/>
    <w:basedOn w:val="Normal"/>
    <w:next w:val="Normal"/>
    <w:autoRedefine/>
    <w:rsid w:val="00F008F6"/>
    <w:pPr>
      <w:ind w:left="1680" w:hanging="240"/>
    </w:pPr>
  </w:style>
  <w:style w:type="paragraph" w:styleId="Index8">
    <w:name w:val="index 8"/>
    <w:basedOn w:val="Normal"/>
    <w:next w:val="Normal"/>
    <w:autoRedefine/>
    <w:rsid w:val="00F008F6"/>
    <w:pPr>
      <w:ind w:left="1920" w:hanging="240"/>
    </w:pPr>
  </w:style>
  <w:style w:type="paragraph" w:styleId="Index9">
    <w:name w:val="index 9"/>
    <w:basedOn w:val="Normal"/>
    <w:next w:val="Normal"/>
    <w:autoRedefine/>
    <w:rsid w:val="00F008F6"/>
    <w:pPr>
      <w:ind w:left="2160" w:hanging="240"/>
    </w:pPr>
  </w:style>
  <w:style w:type="paragraph" w:styleId="IndexHeading">
    <w:name w:val="index heading"/>
    <w:basedOn w:val="Normal"/>
    <w:next w:val="Index1"/>
    <w:rsid w:val="00F008F6"/>
    <w:rPr>
      <w:rFonts w:ascii="Arial" w:hAnsi="Arial" w:cs="Arial"/>
      <w:b/>
      <w:bCs/>
    </w:rPr>
  </w:style>
  <w:style w:type="paragraph" w:styleId="MacroText">
    <w:name w:val="macro"/>
    <w:link w:val="MacroTextChar"/>
    <w:rsid w:val="00F008F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008F6"/>
    <w:pPr>
      <w:ind w:left="240" w:hanging="240"/>
    </w:pPr>
  </w:style>
  <w:style w:type="paragraph" w:styleId="TableofFigures">
    <w:name w:val="table of figures"/>
    <w:basedOn w:val="Normal"/>
    <w:next w:val="Normal"/>
    <w:rsid w:val="00F008F6"/>
    <w:pPr>
      <w:ind w:left="480" w:hanging="480"/>
    </w:pPr>
  </w:style>
  <w:style w:type="paragraph" w:styleId="TOAHeading">
    <w:name w:val="toa heading"/>
    <w:basedOn w:val="Normal"/>
    <w:next w:val="Normal"/>
    <w:rsid w:val="00F008F6"/>
    <w:pPr>
      <w:spacing w:before="120"/>
    </w:pPr>
    <w:rPr>
      <w:rFonts w:ascii="Arial" w:hAnsi="Arial" w:cs="Arial"/>
      <w:b/>
      <w:bCs/>
    </w:rPr>
  </w:style>
  <w:style w:type="paragraph" w:customStyle="1" w:styleId="ShortT">
    <w:name w:val="ShortT"/>
    <w:basedOn w:val="OPCParaBase"/>
    <w:next w:val="Normal"/>
    <w:qFormat/>
    <w:rsid w:val="00F008F6"/>
    <w:pPr>
      <w:spacing w:line="240" w:lineRule="auto"/>
    </w:pPr>
    <w:rPr>
      <w:b/>
      <w:sz w:val="40"/>
    </w:rPr>
  </w:style>
  <w:style w:type="paragraph" w:customStyle="1" w:styleId="Definition">
    <w:name w:val="Definition"/>
    <w:aliases w:val="dd"/>
    <w:basedOn w:val="OPCParaBase"/>
    <w:link w:val="DefinitionChar"/>
    <w:rsid w:val="00F008F6"/>
    <w:pPr>
      <w:spacing w:before="180" w:line="240" w:lineRule="auto"/>
      <w:ind w:left="1134"/>
    </w:pPr>
  </w:style>
  <w:style w:type="paragraph" w:customStyle="1" w:styleId="ActHead7">
    <w:name w:val="ActHead 7"/>
    <w:aliases w:val="ap"/>
    <w:basedOn w:val="OPCParaBase"/>
    <w:next w:val="ItemHead"/>
    <w:qFormat/>
    <w:rsid w:val="00F008F6"/>
    <w:pPr>
      <w:keepNext/>
      <w:keepLines/>
      <w:spacing w:before="280" w:line="240" w:lineRule="auto"/>
      <w:ind w:left="1134" w:hanging="1134"/>
      <w:outlineLvl w:val="6"/>
    </w:pPr>
    <w:rPr>
      <w:rFonts w:ascii="Arial" w:hAnsi="Arial"/>
      <w:b/>
      <w:kern w:val="28"/>
      <w:sz w:val="28"/>
    </w:rPr>
  </w:style>
  <w:style w:type="character" w:customStyle="1" w:styleId="HeaderChar">
    <w:name w:val="Header Char"/>
    <w:basedOn w:val="DefaultParagraphFont"/>
    <w:link w:val="Header"/>
    <w:rsid w:val="00F008F6"/>
    <w:rPr>
      <w:sz w:val="16"/>
    </w:rPr>
  </w:style>
  <w:style w:type="paragraph" w:customStyle="1" w:styleId="ActHead8">
    <w:name w:val="ActHead 8"/>
    <w:aliases w:val="ad"/>
    <w:basedOn w:val="OPCParaBase"/>
    <w:next w:val="ItemHead"/>
    <w:qFormat/>
    <w:rsid w:val="00F008F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008F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008F6"/>
  </w:style>
  <w:style w:type="paragraph" w:customStyle="1" w:styleId="Blocks">
    <w:name w:val="Blocks"/>
    <w:aliases w:val="bb"/>
    <w:basedOn w:val="OPCParaBase"/>
    <w:qFormat/>
    <w:rsid w:val="00F008F6"/>
    <w:pPr>
      <w:spacing w:line="240" w:lineRule="auto"/>
    </w:pPr>
    <w:rPr>
      <w:sz w:val="24"/>
    </w:rPr>
  </w:style>
  <w:style w:type="paragraph" w:customStyle="1" w:styleId="BoxText">
    <w:name w:val="BoxText"/>
    <w:aliases w:val="bt"/>
    <w:basedOn w:val="OPCParaBase"/>
    <w:qFormat/>
    <w:rsid w:val="00F008F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008F6"/>
    <w:rPr>
      <w:b/>
    </w:rPr>
  </w:style>
  <w:style w:type="paragraph" w:customStyle="1" w:styleId="BoxHeadItalic">
    <w:name w:val="BoxHeadItalic"/>
    <w:aliases w:val="bhi"/>
    <w:basedOn w:val="BoxText"/>
    <w:next w:val="BoxStep"/>
    <w:qFormat/>
    <w:rsid w:val="00F008F6"/>
    <w:rPr>
      <w:i/>
    </w:rPr>
  </w:style>
  <w:style w:type="paragraph" w:customStyle="1" w:styleId="BoxList">
    <w:name w:val="BoxList"/>
    <w:aliases w:val="bl"/>
    <w:basedOn w:val="BoxText"/>
    <w:qFormat/>
    <w:rsid w:val="00F008F6"/>
    <w:pPr>
      <w:ind w:left="1559" w:hanging="425"/>
    </w:pPr>
  </w:style>
  <w:style w:type="paragraph" w:customStyle="1" w:styleId="BoxNote">
    <w:name w:val="BoxNote"/>
    <w:aliases w:val="bn"/>
    <w:basedOn w:val="BoxText"/>
    <w:qFormat/>
    <w:rsid w:val="00F008F6"/>
    <w:pPr>
      <w:tabs>
        <w:tab w:val="left" w:pos="1985"/>
      </w:tabs>
      <w:spacing w:before="122" w:line="198" w:lineRule="exact"/>
      <w:ind w:left="2948" w:hanging="1814"/>
    </w:pPr>
    <w:rPr>
      <w:sz w:val="18"/>
    </w:rPr>
  </w:style>
  <w:style w:type="paragraph" w:customStyle="1" w:styleId="BoxPara">
    <w:name w:val="BoxPara"/>
    <w:aliases w:val="bp"/>
    <w:basedOn w:val="BoxText"/>
    <w:qFormat/>
    <w:rsid w:val="00F008F6"/>
    <w:pPr>
      <w:tabs>
        <w:tab w:val="right" w:pos="2268"/>
      </w:tabs>
      <w:ind w:left="2552" w:hanging="1418"/>
    </w:pPr>
  </w:style>
  <w:style w:type="paragraph" w:customStyle="1" w:styleId="BoxStep">
    <w:name w:val="BoxStep"/>
    <w:aliases w:val="bs"/>
    <w:basedOn w:val="BoxText"/>
    <w:qFormat/>
    <w:rsid w:val="00F008F6"/>
    <w:pPr>
      <w:ind w:left="1985" w:hanging="851"/>
    </w:pPr>
  </w:style>
  <w:style w:type="character" w:customStyle="1" w:styleId="CharAmPartNo">
    <w:name w:val="CharAmPartNo"/>
    <w:basedOn w:val="OPCCharBase"/>
    <w:qFormat/>
    <w:rsid w:val="00F008F6"/>
  </w:style>
  <w:style w:type="character" w:customStyle="1" w:styleId="CharAmPartText">
    <w:name w:val="CharAmPartText"/>
    <w:basedOn w:val="OPCCharBase"/>
    <w:qFormat/>
    <w:rsid w:val="00F008F6"/>
  </w:style>
  <w:style w:type="character" w:customStyle="1" w:styleId="CharBoldItalic">
    <w:name w:val="CharBoldItalic"/>
    <w:basedOn w:val="OPCCharBase"/>
    <w:uiPriority w:val="1"/>
    <w:qFormat/>
    <w:rsid w:val="00F008F6"/>
    <w:rPr>
      <w:b/>
      <w:i/>
    </w:rPr>
  </w:style>
  <w:style w:type="character" w:customStyle="1" w:styleId="CharItalic">
    <w:name w:val="CharItalic"/>
    <w:basedOn w:val="OPCCharBase"/>
    <w:uiPriority w:val="1"/>
    <w:qFormat/>
    <w:rsid w:val="00F008F6"/>
    <w:rPr>
      <w:i/>
    </w:rPr>
  </w:style>
  <w:style w:type="character" w:customStyle="1" w:styleId="CharSubdNo">
    <w:name w:val="CharSubdNo"/>
    <w:basedOn w:val="OPCCharBase"/>
    <w:uiPriority w:val="1"/>
    <w:qFormat/>
    <w:rsid w:val="00F008F6"/>
  </w:style>
  <w:style w:type="character" w:customStyle="1" w:styleId="CharSubdText">
    <w:name w:val="CharSubdText"/>
    <w:basedOn w:val="OPCCharBase"/>
    <w:uiPriority w:val="1"/>
    <w:qFormat/>
    <w:rsid w:val="00F008F6"/>
  </w:style>
  <w:style w:type="paragraph" w:customStyle="1" w:styleId="CTA--">
    <w:name w:val="CTA --"/>
    <w:basedOn w:val="OPCParaBase"/>
    <w:next w:val="Normal"/>
    <w:rsid w:val="00F008F6"/>
    <w:pPr>
      <w:spacing w:before="60" w:line="240" w:lineRule="atLeast"/>
      <w:ind w:left="142" w:hanging="142"/>
    </w:pPr>
    <w:rPr>
      <w:sz w:val="20"/>
    </w:rPr>
  </w:style>
  <w:style w:type="paragraph" w:customStyle="1" w:styleId="CTA-">
    <w:name w:val="CTA -"/>
    <w:basedOn w:val="OPCParaBase"/>
    <w:rsid w:val="00F008F6"/>
    <w:pPr>
      <w:spacing w:before="60" w:line="240" w:lineRule="atLeast"/>
      <w:ind w:left="85" w:hanging="85"/>
    </w:pPr>
    <w:rPr>
      <w:sz w:val="20"/>
    </w:rPr>
  </w:style>
  <w:style w:type="paragraph" w:customStyle="1" w:styleId="CTA---">
    <w:name w:val="CTA ---"/>
    <w:basedOn w:val="OPCParaBase"/>
    <w:next w:val="Normal"/>
    <w:rsid w:val="00F008F6"/>
    <w:pPr>
      <w:spacing w:before="60" w:line="240" w:lineRule="atLeast"/>
      <w:ind w:left="198" w:hanging="198"/>
    </w:pPr>
    <w:rPr>
      <w:sz w:val="20"/>
    </w:rPr>
  </w:style>
  <w:style w:type="paragraph" w:customStyle="1" w:styleId="CTA----">
    <w:name w:val="CTA ----"/>
    <w:basedOn w:val="OPCParaBase"/>
    <w:next w:val="Normal"/>
    <w:rsid w:val="00F008F6"/>
    <w:pPr>
      <w:spacing w:before="60" w:line="240" w:lineRule="atLeast"/>
      <w:ind w:left="255" w:hanging="255"/>
    </w:pPr>
    <w:rPr>
      <w:sz w:val="20"/>
    </w:rPr>
  </w:style>
  <w:style w:type="paragraph" w:customStyle="1" w:styleId="CTA1a">
    <w:name w:val="CTA 1(a)"/>
    <w:basedOn w:val="OPCParaBase"/>
    <w:rsid w:val="00F008F6"/>
    <w:pPr>
      <w:tabs>
        <w:tab w:val="right" w:pos="414"/>
      </w:tabs>
      <w:spacing w:before="40" w:line="240" w:lineRule="atLeast"/>
      <w:ind w:left="675" w:hanging="675"/>
    </w:pPr>
    <w:rPr>
      <w:sz w:val="20"/>
    </w:rPr>
  </w:style>
  <w:style w:type="paragraph" w:customStyle="1" w:styleId="CTA1ai">
    <w:name w:val="CTA 1(a)(i)"/>
    <w:basedOn w:val="OPCParaBase"/>
    <w:rsid w:val="00F008F6"/>
    <w:pPr>
      <w:tabs>
        <w:tab w:val="right" w:pos="1004"/>
      </w:tabs>
      <w:spacing w:before="40" w:line="240" w:lineRule="atLeast"/>
      <w:ind w:left="1253" w:hanging="1253"/>
    </w:pPr>
    <w:rPr>
      <w:sz w:val="20"/>
    </w:rPr>
  </w:style>
  <w:style w:type="paragraph" w:customStyle="1" w:styleId="CTA2a">
    <w:name w:val="CTA 2(a)"/>
    <w:basedOn w:val="OPCParaBase"/>
    <w:rsid w:val="00F008F6"/>
    <w:pPr>
      <w:tabs>
        <w:tab w:val="right" w:pos="482"/>
      </w:tabs>
      <w:spacing w:before="40" w:line="240" w:lineRule="atLeast"/>
      <w:ind w:left="748" w:hanging="748"/>
    </w:pPr>
    <w:rPr>
      <w:sz w:val="20"/>
    </w:rPr>
  </w:style>
  <w:style w:type="paragraph" w:customStyle="1" w:styleId="CTA2ai">
    <w:name w:val="CTA 2(a)(i)"/>
    <w:basedOn w:val="OPCParaBase"/>
    <w:rsid w:val="00F008F6"/>
    <w:pPr>
      <w:tabs>
        <w:tab w:val="right" w:pos="1089"/>
      </w:tabs>
      <w:spacing w:before="40" w:line="240" w:lineRule="atLeast"/>
      <w:ind w:left="1327" w:hanging="1327"/>
    </w:pPr>
    <w:rPr>
      <w:sz w:val="20"/>
    </w:rPr>
  </w:style>
  <w:style w:type="paragraph" w:customStyle="1" w:styleId="CTA3a">
    <w:name w:val="CTA 3(a)"/>
    <w:basedOn w:val="OPCParaBase"/>
    <w:rsid w:val="00F008F6"/>
    <w:pPr>
      <w:tabs>
        <w:tab w:val="right" w:pos="556"/>
      </w:tabs>
      <w:spacing w:before="40" w:line="240" w:lineRule="atLeast"/>
      <w:ind w:left="805" w:hanging="805"/>
    </w:pPr>
    <w:rPr>
      <w:sz w:val="20"/>
    </w:rPr>
  </w:style>
  <w:style w:type="paragraph" w:customStyle="1" w:styleId="CTA3ai">
    <w:name w:val="CTA 3(a)(i)"/>
    <w:basedOn w:val="OPCParaBase"/>
    <w:rsid w:val="00F008F6"/>
    <w:pPr>
      <w:tabs>
        <w:tab w:val="right" w:pos="1140"/>
      </w:tabs>
      <w:spacing w:before="40" w:line="240" w:lineRule="atLeast"/>
      <w:ind w:left="1361" w:hanging="1361"/>
    </w:pPr>
    <w:rPr>
      <w:sz w:val="20"/>
    </w:rPr>
  </w:style>
  <w:style w:type="paragraph" w:customStyle="1" w:styleId="CTA4a">
    <w:name w:val="CTA 4(a)"/>
    <w:basedOn w:val="OPCParaBase"/>
    <w:rsid w:val="00F008F6"/>
    <w:pPr>
      <w:tabs>
        <w:tab w:val="right" w:pos="624"/>
      </w:tabs>
      <w:spacing w:before="40" w:line="240" w:lineRule="atLeast"/>
      <w:ind w:left="873" w:hanging="873"/>
    </w:pPr>
    <w:rPr>
      <w:sz w:val="20"/>
    </w:rPr>
  </w:style>
  <w:style w:type="paragraph" w:customStyle="1" w:styleId="CTA4ai">
    <w:name w:val="CTA 4(a)(i)"/>
    <w:basedOn w:val="OPCParaBase"/>
    <w:rsid w:val="00F008F6"/>
    <w:pPr>
      <w:tabs>
        <w:tab w:val="right" w:pos="1213"/>
      </w:tabs>
      <w:spacing w:before="40" w:line="240" w:lineRule="atLeast"/>
      <w:ind w:left="1452" w:hanging="1452"/>
    </w:pPr>
    <w:rPr>
      <w:sz w:val="20"/>
    </w:rPr>
  </w:style>
  <w:style w:type="paragraph" w:customStyle="1" w:styleId="CTACAPS">
    <w:name w:val="CTA CAPS"/>
    <w:basedOn w:val="OPCParaBase"/>
    <w:rsid w:val="00F008F6"/>
    <w:pPr>
      <w:spacing w:before="60" w:line="240" w:lineRule="atLeast"/>
    </w:pPr>
    <w:rPr>
      <w:sz w:val="20"/>
    </w:rPr>
  </w:style>
  <w:style w:type="paragraph" w:customStyle="1" w:styleId="CTAright">
    <w:name w:val="CTA right"/>
    <w:basedOn w:val="OPCParaBase"/>
    <w:rsid w:val="00F008F6"/>
    <w:pPr>
      <w:spacing w:before="60" w:line="240" w:lineRule="auto"/>
      <w:jc w:val="right"/>
    </w:pPr>
    <w:rPr>
      <w:sz w:val="20"/>
    </w:rPr>
  </w:style>
  <w:style w:type="paragraph" w:customStyle="1" w:styleId="subsection">
    <w:name w:val="subsection"/>
    <w:aliases w:val="ss"/>
    <w:basedOn w:val="OPCParaBase"/>
    <w:link w:val="subsectionChar"/>
    <w:rsid w:val="00F008F6"/>
    <w:pPr>
      <w:tabs>
        <w:tab w:val="right" w:pos="1021"/>
      </w:tabs>
      <w:spacing w:before="180" w:line="240" w:lineRule="auto"/>
      <w:ind w:left="1134" w:hanging="1134"/>
    </w:pPr>
  </w:style>
  <w:style w:type="paragraph" w:customStyle="1" w:styleId="EndNotespara">
    <w:name w:val="EndNotes(para)"/>
    <w:aliases w:val="eta"/>
    <w:basedOn w:val="OPCParaBase"/>
    <w:next w:val="EndNotessubpara"/>
    <w:rsid w:val="00F008F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008F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008F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008F6"/>
    <w:pPr>
      <w:tabs>
        <w:tab w:val="right" w:pos="1412"/>
      </w:tabs>
      <w:spacing w:before="60" w:line="240" w:lineRule="auto"/>
      <w:ind w:left="1525" w:hanging="1525"/>
    </w:pPr>
    <w:rPr>
      <w:sz w:val="20"/>
    </w:rPr>
  </w:style>
  <w:style w:type="paragraph" w:customStyle="1" w:styleId="House">
    <w:name w:val="House"/>
    <w:basedOn w:val="OPCParaBase"/>
    <w:rsid w:val="00F008F6"/>
    <w:pPr>
      <w:spacing w:line="240" w:lineRule="auto"/>
    </w:pPr>
    <w:rPr>
      <w:sz w:val="28"/>
    </w:rPr>
  </w:style>
  <w:style w:type="paragraph" w:customStyle="1" w:styleId="Item">
    <w:name w:val="Item"/>
    <w:aliases w:val="i"/>
    <w:basedOn w:val="OPCParaBase"/>
    <w:next w:val="ItemHead"/>
    <w:rsid w:val="00F008F6"/>
    <w:pPr>
      <w:keepLines/>
      <w:spacing w:before="80" w:line="240" w:lineRule="auto"/>
      <w:ind w:left="709"/>
    </w:pPr>
  </w:style>
  <w:style w:type="paragraph" w:customStyle="1" w:styleId="ItemHead">
    <w:name w:val="ItemHead"/>
    <w:aliases w:val="ih"/>
    <w:basedOn w:val="OPCParaBase"/>
    <w:next w:val="Item"/>
    <w:rsid w:val="00F008F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008F6"/>
    <w:pPr>
      <w:spacing w:line="240" w:lineRule="auto"/>
    </w:pPr>
    <w:rPr>
      <w:b/>
      <w:sz w:val="32"/>
    </w:rPr>
  </w:style>
  <w:style w:type="paragraph" w:customStyle="1" w:styleId="notedraft">
    <w:name w:val="note(draft)"/>
    <w:aliases w:val="nd"/>
    <w:basedOn w:val="OPCParaBase"/>
    <w:rsid w:val="00F008F6"/>
    <w:pPr>
      <w:spacing w:before="240" w:line="240" w:lineRule="auto"/>
      <w:ind w:left="284" w:hanging="284"/>
    </w:pPr>
    <w:rPr>
      <w:i/>
      <w:sz w:val="24"/>
    </w:rPr>
  </w:style>
  <w:style w:type="paragraph" w:customStyle="1" w:styleId="notemargin">
    <w:name w:val="note(margin)"/>
    <w:aliases w:val="nm"/>
    <w:basedOn w:val="OPCParaBase"/>
    <w:rsid w:val="00F008F6"/>
    <w:pPr>
      <w:tabs>
        <w:tab w:val="left" w:pos="709"/>
      </w:tabs>
      <w:spacing w:before="122" w:line="198" w:lineRule="exact"/>
      <w:ind w:left="709" w:hanging="709"/>
    </w:pPr>
    <w:rPr>
      <w:sz w:val="18"/>
    </w:rPr>
  </w:style>
  <w:style w:type="paragraph" w:customStyle="1" w:styleId="noteToPara">
    <w:name w:val="noteToPara"/>
    <w:aliases w:val="ntp"/>
    <w:basedOn w:val="OPCParaBase"/>
    <w:rsid w:val="00F008F6"/>
    <w:pPr>
      <w:spacing w:before="122" w:line="198" w:lineRule="exact"/>
      <w:ind w:left="2353" w:hanging="709"/>
    </w:pPr>
    <w:rPr>
      <w:sz w:val="18"/>
    </w:rPr>
  </w:style>
  <w:style w:type="paragraph" w:customStyle="1" w:styleId="noteParlAmend">
    <w:name w:val="note(ParlAmend)"/>
    <w:aliases w:val="npp"/>
    <w:basedOn w:val="OPCParaBase"/>
    <w:next w:val="ParlAmend"/>
    <w:rsid w:val="00F008F6"/>
    <w:pPr>
      <w:spacing w:line="240" w:lineRule="auto"/>
      <w:jc w:val="right"/>
    </w:pPr>
    <w:rPr>
      <w:rFonts w:ascii="Arial" w:hAnsi="Arial"/>
      <w:b/>
      <w:i/>
    </w:rPr>
  </w:style>
  <w:style w:type="paragraph" w:customStyle="1" w:styleId="notetext">
    <w:name w:val="note(text)"/>
    <w:aliases w:val="n"/>
    <w:basedOn w:val="OPCParaBase"/>
    <w:link w:val="notetextChar"/>
    <w:rsid w:val="00F008F6"/>
    <w:pPr>
      <w:spacing w:before="122" w:line="240" w:lineRule="auto"/>
      <w:ind w:left="1985" w:hanging="851"/>
    </w:pPr>
    <w:rPr>
      <w:sz w:val="18"/>
    </w:rPr>
  </w:style>
  <w:style w:type="paragraph" w:customStyle="1" w:styleId="Page1">
    <w:name w:val="Page1"/>
    <w:basedOn w:val="OPCParaBase"/>
    <w:rsid w:val="00F008F6"/>
    <w:pPr>
      <w:spacing w:before="5600" w:line="240" w:lineRule="auto"/>
    </w:pPr>
    <w:rPr>
      <w:b/>
      <w:sz w:val="32"/>
    </w:rPr>
  </w:style>
  <w:style w:type="paragraph" w:customStyle="1" w:styleId="paragraphsub">
    <w:name w:val="paragraph(sub)"/>
    <w:aliases w:val="aa"/>
    <w:basedOn w:val="OPCParaBase"/>
    <w:rsid w:val="00F008F6"/>
    <w:pPr>
      <w:tabs>
        <w:tab w:val="right" w:pos="1985"/>
      </w:tabs>
      <w:spacing w:before="40" w:line="240" w:lineRule="auto"/>
      <w:ind w:left="2098" w:hanging="2098"/>
    </w:pPr>
  </w:style>
  <w:style w:type="paragraph" w:customStyle="1" w:styleId="paragraphsub-sub">
    <w:name w:val="paragraph(sub-sub)"/>
    <w:aliases w:val="aaa"/>
    <w:basedOn w:val="OPCParaBase"/>
    <w:rsid w:val="00F008F6"/>
    <w:pPr>
      <w:tabs>
        <w:tab w:val="right" w:pos="2722"/>
      </w:tabs>
      <w:spacing w:before="40" w:line="240" w:lineRule="auto"/>
      <w:ind w:left="2835" w:hanging="2835"/>
    </w:pPr>
  </w:style>
  <w:style w:type="paragraph" w:customStyle="1" w:styleId="paragraph">
    <w:name w:val="paragraph"/>
    <w:aliases w:val="a"/>
    <w:basedOn w:val="OPCParaBase"/>
    <w:link w:val="paragraphChar"/>
    <w:rsid w:val="00F008F6"/>
    <w:pPr>
      <w:tabs>
        <w:tab w:val="right" w:pos="1531"/>
      </w:tabs>
      <w:spacing w:before="40" w:line="240" w:lineRule="auto"/>
      <w:ind w:left="1644" w:hanging="1644"/>
    </w:pPr>
  </w:style>
  <w:style w:type="paragraph" w:customStyle="1" w:styleId="ParlAmend">
    <w:name w:val="ParlAmend"/>
    <w:aliases w:val="pp"/>
    <w:basedOn w:val="OPCParaBase"/>
    <w:rsid w:val="00F008F6"/>
    <w:pPr>
      <w:spacing w:before="240" w:line="240" w:lineRule="atLeast"/>
      <w:ind w:hanging="567"/>
    </w:pPr>
    <w:rPr>
      <w:sz w:val="24"/>
    </w:rPr>
  </w:style>
  <w:style w:type="paragraph" w:customStyle="1" w:styleId="Portfolio">
    <w:name w:val="Portfolio"/>
    <w:basedOn w:val="OPCParaBase"/>
    <w:rsid w:val="00F008F6"/>
    <w:pPr>
      <w:spacing w:line="240" w:lineRule="auto"/>
    </w:pPr>
    <w:rPr>
      <w:i/>
      <w:sz w:val="20"/>
    </w:rPr>
  </w:style>
  <w:style w:type="paragraph" w:customStyle="1" w:styleId="Preamble">
    <w:name w:val="Preamble"/>
    <w:basedOn w:val="OPCParaBase"/>
    <w:next w:val="Normal"/>
    <w:rsid w:val="00F008F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008F6"/>
    <w:pPr>
      <w:spacing w:line="240" w:lineRule="auto"/>
    </w:pPr>
    <w:rPr>
      <w:i/>
      <w:sz w:val="20"/>
    </w:rPr>
  </w:style>
  <w:style w:type="paragraph" w:customStyle="1" w:styleId="Session">
    <w:name w:val="Session"/>
    <w:basedOn w:val="OPCParaBase"/>
    <w:rsid w:val="00F008F6"/>
    <w:pPr>
      <w:spacing w:line="240" w:lineRule="auto"/>
    </w:pPr>
    <w:rPr>
      <w:sz w:val="28"/>
    </w:rPr>
  </w:style>
  <w:style w:type="paragraph" w:customStyle="1" w:styleId="Sponsor">
    <w:name w:val="Sponsor"/>
    <w:basedOn w:val="OPCParaBase"/>
    <w:rsid w:val="00F008F6"/>
    <w:pPr>
      <w:spacing w:line="240" w:lineRule="auto"/>
    </w:pPr>
    <w:rPr>
      <w:i/>
    </w:rPr>
  </w:style>
  <w:style w:type="paragraph" w:customStyle="1" w:styleId="Subitem">
    <w:name w:val="Subitem"/>
    <w:aliases w:val="iss"/>
    <w:basedOn w:val="OPCParaBase"/>
    <w:rsid w:val="00F008F6"/>
    <w:pPr>
      <w:spacing w:before="180" w:line="240" w:lineRule="auto"/>
      <w:ind w:left="709" w:hanging="709"/>
    </w:pPr>
  </w:style>
  <w:style w:type="paragraph" w:customStyle="1" w:styleId="SubitemHead">
    <w:name w:val="SubitemHead"/>
    <w:aliases w:val="issh"/>
    <w:basedOn w:val="OPCParaBase"/>
    <w:rsid w:val="00F008F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008F6"/>
    <w:pPr>
      <w:spacing w:before="40" w:line="240" w:lineRule="auto"/>
      <w:ind w:left="1134"/>
    </w:pPr>
  </w:style>
  <w:style w:type="paragraph" w:customStyle="1" w:styleId="SubsectionHead">
    <w:name w:val="SubsectionHead"/>
    <w:aliases w:val="ssh"/>
    <w:basedOn w:val="OPCParaBase"/>
    <w:next w:val="subsection"/>
    <w:rsid w:val="00F008F6"/>
    <w:pPr>
      <w:keepNext/>
      <w:keepLines/>
      <w:spacing w:before="240" w:line="240" w:lineRule="auto"/>
      <w:ind w:left="1134"/>
    </w:pPr>
    <w:rPr>
      <w:i/>
    </w:rPr>
  </w:style>
  <w:style w:type="paragraph" w:customStyle="1" w:styleId="Tablea">
    <w:name w:val="Table(a)"/>
    <w:aliases w:val="ta"/>
    <w:basedOn w:val="OPCParaBase"/>
    <w:rsid w:val="00F008F6"/>
    <w:pPr>
      <w:spacing w:before="60" w:line="240" w:lineRule="auto"/>
      <w:ind w:left="284" w:hanging="284"/>
    </w:pPr>
    <w:rPr>
      <w:sz w:val="20"/>
    </w:rPr>
  </w:style>
  <w:style w:type="paragraph" w:customStyle="1" w:styleId="TableAA">
    <w:name w:val="Table(AA)"/>
    <w:aliases w:val="taaa"/>
    <w:basedOn w:val="OPCParaBase"/>
    <w:rsid w:val="00F008F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008F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008F6"/>
    <w:pPr>
      <w:spacing w:before="60" w:line="240" w:lineRule="atLeast"/>
    </w:pPr>
    <w:rPr>
      <w:sz w:val="20"/>
    </w:rPr>
  </w:style>
  <w:style w:type="paragraph" w:customStyle="1" w:styleId="TLPBoxTextnote">
    <w:name w:val="TLPBoxText(note"/>
    <w:aliases w:val="right)"/>
    <w:basedOn w:val="OPCParaBase"/>
    <w:rsid w:val="00F008F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008F6"/>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008F6"/>
    <w:pPr>
      <w:spacing w:before="122" w:line="198" w:lineRule="exact"/>
      <w:ind w:left="1985" w:hanging="851"/>
      <w:jc w:val="right"/>
    </w:pPr>
    <w:rPr>
      <w:sz w:val="18"/>
    </w:rPr>
  </w:style>
  <w:style w:type="paragraph" w:customStyle="1" w:styleId="TLPTableBullet">
    <w:name w:val="TLPTableBullet"/>
    <w:aliases w:val="ttb"/>
    <w:basedOn w:val="OPCParaBase"/>
    <w:rsid w:val="00F008F6"/>
    <w:pPr>
      <w:spacing w:line="240" w:lineRule="exact"/>
      <w:ind w:left="284" w:hanging="284"/>
    </w:pPr>
    <w:rPr>
      <w:sz w:val="20"/>
    </w:rPr>
  </w:style>
  <w:style w:type="paragraph" w:customStyle="1" w:styleId="TofSectsGroupHeading">
    <w:name w:val="TofSects(GroupHeading)"/>
    <w:basedOn w:val="OPCParaBase"/>
    <w:next w:val="TofSectsSection"/>
    <w:rsid w:val="00F008F6"/>
    <w:pPr>
      <w:keepLines/>
      <w:spacing w:before="240" w:after="120" w:line="240" w:lineRule="auto"/>
      <w:ind w:left="794"/>
    </w:pPr>
    <w:rPr>
      <w:b/>
      <w:kern w:val="28"/>
      <w:sz w:val="20"/>
    </w:rPr>
  </w:style>
  <w:style w:type="paragraph" w:customStyle="1" w:styleId="TofSectsHeading">
    <w:name w:val="TofSects(Heading)"/>
    <w:basedOn w:val="OPCParaBase"/>
    <w:rsid w:val="00F008F6"/>
    <w:pPr>
      <w:spacing w:before="240" w:after="120" w:line="240" w:lineRule="auto"/>
    </w:pPr>
    <w:rPr>
      <w:b/>
      <w:sz w:val="24"/>
    </w:rPr>
  </w:style>
  <w:style w:type="paragraph" w:customStyle="1" w:styleId="TofSectsSection">
    <w:name w:val="TofSects(Section)"/>
    <w:basedOn w:val="OPCParaBase"/>
    <w:rsid w:val="00F008F6"/>
    <w:pPr>
      <w:keepLines/>
      <w:spacing w:before="40" w:line="240" w:lineRule="auto"/>
      <w:ind w:left="1588" w:hanging="794"/>
    </w:pPr>
    <w:rPr>
      <w:kern w:val="28"/>
      <w:sz w:val="18"/>
    </w:rPr>
  </w:style>
  <w:style w:type="paragraph" w:customStyle="1" w:styleId="TofSectsSubdiv">
    <w:name w:val="TofSects(Subdiv)"/>
    <w:basedOn w:val="OPCParaBase"/>
    <w:rsid w:val="00F008F6"/>
    <w:pPr>
      <w:keepLines/>
      <w:spacing w:before="80" w:line="240" w:lineRule="auto"/>
      <w:ind w:left="1588" w:hanging="794"/>
    </w:pPr>
    <w:rPr>
      <w:kern w:val="28"/>
    </w:rPr>
  </w:style>
  <w:style w:type="paragraph" w:customStyle="1" w:styleId="WRStyle">
    <w:name w:val="WR Style"/>
    <w:aliases w:val="WR"/>
    <w:basedOn w:val="OPCParaBase"/>
    <w:rsid w:val="00F008F6"/>
    <w:pPr>
      <w:spacing w:before="240" w:line="240" w:lineRule="auto"/>
      <w:ind w:left="284" w:hanging="284"/>
    </w:pPr>
    <w:rPr>
      <w:b/>
      <w:i/>
      <w:kern w:val="28"/>
      <w:sz w:val="24"/>
    </w:rPr>
  </w:style>
  <w:style w:type="paragraph" w:customStyle="1" w:styleId="notepara">
    <w:name w:val="note(para)"/>
    <w:aliases w:val="na"/>
    <w:basedOn w:val="OPCParaBase"/>
    <w:rsid w:val="00F008F6"/>
    <w:pPr>
      <w:spacing w:before="40" w:line="198" w:lineRule="exact"/>
      <w:ind w:left="2354" w:hanging="369"/>
    </w:pPr>
    <w:rPr>
      <w:sz w:val="18"/>
    </w:rPr>
  </w:style>
  <w:style w:type="character" w:customStyle="1" w:styleId="FooterChar">
    <w:name w:val="Footer Char"/>
    <w:basedOn w:val="DefaultParagraphFont"/>
    <w:link w:val="Footer"/>
    <w:rsid w:val="00F008F6"/>
    <w:rPr>
      <w:sz w:val="22"/>
      <w:szCs w:val="24"/>
    </w:rPr>
  </w:style>
  <w:style w:type="table" w:customStyle="1" w:styleId="CFlag">
    <w:name w:val="CFlag"/>
    <w:basedOn w:val="TableNormal"/>
    <w:uiPriority w:val="99"/>
    <w:rsid w:val="00F008F6"/>
    <w:tblPr/>
  </w:style>
  <w:style w:type="character" w:customStyle="1" w:styleId="BalloonTextChar">
    <w:name w:val="Balloon Text Char"/>
    <w:basedOn w:val="DefaultParagraphFont"/>
    <w:link w:val="BalloonText"/>
    <w:uiPriority w:val="99"/>
    <w:rsid w:val="00F008F6"/>
    <w:rPr>
      <w:rFonts w:ascii="Tahoma" w:eastAsiaTheme="minorHAnsi" w:hAnsi="Tahoma" w:cs="Tahoma"/>
      <w:sz w:val="16"/>
      <w:szCs w:val="16"/>
      <w:lang w:eastAsia="en-US"/>
    </w:rPr>
  </w:style>
  <w:style w:type="paragraph" w:customStyle="1" w:styleId="InstNo">
    <w:name w:val="InstNo"/>
    <w:basedOn w:val="OPCParaBase"/>
    <w:next w:val="Normal"/>
    <w:rsid w:val="00F008F6"/>
    <w:rPr>
      <w:b/>
      <w:sz w:val="28"/>
      <w:szCs w:val="32"/>
    </w:rPr>
  </w:style>
  <w:style w:type="paragraph" w:customStyle="1" w:styleId="TerritoryT">
    <w:name w:val="TerritoryT"/>
    <w:basedOn w:val="OPCParaBase"/>
    <w:next w:val="Normal"/>
    <w:rsid w:val="00F008F6"/>
    <w:rPr>
      <w:b/>
      <w:sz w:val="32"/>
    </w:rPr>
  </w:style>
  <w:style w:type="paragraph" w:customStyle="1" w:styleId="LegislationMadeUnder">
    <w:name w:val="LegislationMadeUnder"/>
    <w:basedOn w:val="OPCParaBase"/>
    <w:next w:val="Normal"/>
    <w:rsid w:val="00F008F6"/>
    <w:rPr>
      <w:i/>
      <w:sz w:val="32"/>
      <w:szCs w:val="32"/>
    </w:rPr>
  </w:style>
  <w:style w:type="paragraph" w:customStyle="1" w:styleId="ActHead10">
    <w:name w:val="ActHead 10"/>
    <w:aliases w:val="sp"/>
    <w:basedOn w:val="OPCParaBase"/>
    <w:next w:val="ActHead3"/>
    <w:rsid w:val="00F008F6"/>
    <w:pPr>
      <w:keepNext/>
      <w:spacing w:before="280" w:line="240" w:lineRule="auto"/>
      <w:outlineLvl w:val="1"/>
    </w:pPr>
    <w:rPr>
      <w:b/>
      <w:sz w:val="32"/>
      <w:szCs w:val="30"/>
    </w:rPr>
  </w:style>
  <w:style w:type="paragraph" w:customStyle="1" w:styleId="SignCoverPageEnd">
    <w:name w:val="SignCoverPageEnd"/>
    <w:basedOn w:val="OPCParaBase"/>
    <w:next w:val="Normal"/>
    <w:rsid w:val="00F008F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008F6"/>
    <w:pPr>
      <w:pBdr>
        <w:top w:val="single" w:sz="4" w:space="1" w:color="auto"/>
      </w:pBdr>
      <w:spacing w:before="360"/>
      <w:ind w:right="397"/>
      <w:jc w:val="both"/>
    </w:pPr>
  </w:style>
  <w:style w:type="paragraph" w:customStyle="1" w:styleId="NotesHeading2">
    <w:name w:val="NotesHeading 2"/>
    <w:basedOn w:val="OPCParaBase"/>
    <w:next w:val="Normal"/>
    <w:rsid w:val="00F008F6"/>
    <w:rPr>
      <w:b/>
      <w:sz w:val="28"/>
      <w:szCs w:val="28"/>
    </w:rPr>
  </w:style>
  <w:style w:type="paragraph" w:customStyle="1" w:styleId="NotesHeading1">
    <w:name w:val="NotesHeading 1"/>
    <w:basedOn w:val="OPCParaBase"/>
    <w:next w:val="Normal"/>
    <w:rsid w:val="00F008F6"/>
    <w:rPr>
      <w:b/>
      <w:sz w:val="28"/>
      <w:szCs w:val="28"/>
    </w:rPr>
  </w:style>
  <w:style w:type="paragraph" w:customStyle="1" w:styleId="CompiledActNo">
    <w:name w:val="CompiledActNo"/>
    <w:basedOn w:val="OPCParaBase"/>
    <w:next w:val="Normal"/>
    <w:rsid w:val="00F008F6"/>
    <w:rPr>
      <w:b/>
      <w:sz w:val="24"/>
      <w:szCs w:val="24"/>
    </w:rPr>
  </w:style>
  <w:style w:type="paragraph" w:customStyle="1" w:styleId="ENotesText">
    <w:name w:val="ENotesText"/>
    <w:aliases w:val="Ent"/>
    <w:basedOn w:val="OPCParaBase"/>
    <w:next w:val="Normal"/>
    <w:rsid w:val="00F008F6"/>
    <w:pPr>
      <w:spacing w:before="120"/>
    </w:pPr>
  </w:style>
  <w:style w:type="paragraph" w:customStyle="1" w:styleId="CompiledMadeUnder">
    <w:name w:val="CompiledMadeUnder"/>
    <w:basedOn w:val="OPCParaBase"/>
    <w:next w:val="Normal"/>
    <w:rsid w:val="00F008F6"/>
    <w:rPr>
      <w:i/>
      <w:sz w:val="24"/>
      <w:szCs w:val="24"/>
    </w:rPr>
  </w:style>
  <w:style w:type="paragraph" w:customStyle="1" w:styleId="Paragraphsub-sub-sub">
    <w:name w:val="Paragraph(sub-sub-sub)"/>
    <w:aliases w:val="aaaa"/>
    <w:basedOn w:val="OPCParaBase"/>
    <w:rsid w:val="00F008F6"/>
    <w:pPr>
      <w:tabs>
        <w:tab w:val="right" w:pos="3402"/>
      </w:tabs>
      <w:spacing w:before="40" w:line="240" w:lineRule="auto"/>
      <w:ind w:left="3402" w:hanging="3402"/>
    </w:pPr>
  </w:style>
  <w:style w:type="paragraph" w:customStyle="1" w:styleId="TableTextEndNotes">
    <w:name w:val="TableTextEndNotes"/>
    <w:aliases w:val="Tten"/>
    <w:basedOn w:val="Normal"/>
    <w:rsid w:val="00F008F6"/>
    <w:pPr>
      <w:spacing w:before="60" w:line="240" w:lineRule="auto"/>
    </w:pPr>
    <w:rPr>
      <w:rFonts w:cs="Arial"/>
      <w:sz w:val="20"/>
      <w:szCs w:val="22"/>
    </w:rPr>
  </w:style>
  <w:style w:type="paragraph" w:customStyle="1" w:styleId="TableHeading">
    <w:name w:val="TableHeading"/>
    <w:aliases w:val="th"/>
    <w:basedOn w:val="OPCParaBase"/>
    <w:next w:val="Tabletext"/>
    <w:rsid w:val="00F008F6"/>
    <w:pPr>
      <w:keepNext/>
      <w:spacing w:before="60" w:line="240" w:lineRule="atLeast"/>
    </w:pPr>
    <w:rPr>
      <w:b/>
      <w:sz w:val="20"/>
    </w:rPr>
  </w:style>
  <w:style w:type="paragraph" w:customStyle="1" w:styleId="NoteToSubpara">
    <w:name w:val="NoteToSubpara"/>
    <w:aliases w:val="nts"/>
    <w:basedOn w:val="OPCParaBase"/>
    <w:rsid w:val="00F008F6"/>
    <w:pPr>
      <w:spacing w:before="40" w:line="198" w:lineRule="exact"/>
      <w:ind w:left="2835" w:hanging="709"/>
    </w:pPr>
    <w:rPr>
      <w:sz w:val="18"/>
    </w:rPr>
  </w:style>
  <w:style w:type="paragraph" w:customStyle="1" w:styleId="ENoteTableHeading">
    <w:name w:val="ENoteTableHeading"/>
    <w:aliases w:val="enth"/>
    <w:basedOn w:val="OPCParaBase"/>
    <w:rsid w:val="00F008F6"/>
    <w:pPr>
      <w:keepNext/>
      <w:spacing w:before="60" w:line="240" w:lineRule="atLeast"/>
    </w:pPr>
    <w:rPr>
      <w:rFonts w:ascii="Arial" w:hAnsi="Arial"/>
      <w:b/>
      <w:sz w:val="16"/>
    </w:rPr>
  </w:style>
  <w:style w:type="paragraph" w:customStyle="1" w:styleId="ENoteTTi">
    <w:name w:val="ENoteTTi"/>
    <w:aliases w:val="entti"/>
    <w:basedOn w:val="OPCParaBase"/>
    <w:rsid w:val="00F008F6"/>
    <w:pPr>
      <w:keepNext/>
      <w:spacing w:before="60" w:line="240" w:lineRule="atLeast"/>
      <w:ind w:left="170"/>
    </w:pPr>
    <w:rPr>
      <w:sz w:val="16"/>
    </w:rPr>
  </w:style>
  <w:style w:type="paragraph" w:customStyle="1" w:styleId="ENotesHeading1">
    <w:name w:val="ENotesHeading 1"/>
    <w:aliases w:val="Enh1"/>
    <w:basedOn w:val="OPCParaBase"/>
    <w:next w:val="Normal"/>
    <w:rsid w:val="00F008F6"/>
    <w:pPr>
      <w:spacing w:before="120"/>
      <w:outlineLvl w:val="1"/>
    </w:pPr>
    <w:rPr>
      <w:b/>
      <w:sz w:val="28"/>
      <w:szCs w:val="28"/>
    </w:rPr>
  </w:style>
  <w:style w:type="paragraph" w:customStyle="1" w:styleId="ENotesHeading2">
    <w:name w:val="ENotesHeading 2"/>
    <w:aliases w:val="Enh2,ENh2"/>
    <w:basedOn w:val="OPCParaBase"/>
    <w:next w:val="Normal"/>
    <w:rsid w:val="00F008F6"/>
    <w:pPr>
      <w:spacing w:before="120" w:after="120"/>
      <w:outlineLvl w:val="2"/>
    </w:pPr>
    <w:rPr>
      <w:b/>
      <w:sz w:val="24"/>
      <w:szCs w:val="28"/>
    </w:rPr>
  </w:style>
  <w:style w:type="paragraph" w:customStyle="1" w:styleId="ENotesHeading3">
    <w:name w:val="ENotesHeading 3"/>
    <w:aliases w:val="Enh3"/>
    <w:basedOn w:val="OPCParaBase"/>
    <w:next w:val="Normal"/>
    <w:rsid w:val="00F008F6"/>
    <w:pPr>
      <w:keepNext/>
      <w:spacing w:before="120" w:line="240" w:lineRule="auto"/>
      <w:outlineLvl w:val="4"/>
    </w:pPr>
    <w:rPr>
      <w:b/>
      <w:szCs w:val="24"/>
    </w:rPr>
  </w:style>
  <w:style w:type="paragraph" w:customStyle="1" w:styleId="ENoteTTIndentHeading">
    <w:name w:val="ENoteTTIndentHeading"/>
    <w:aliases w:val="enTTHi"/>
    <w:basedOn w:val="OPCParaBase"/>
    <w:rsid w:val="00F008F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008F6"/>
    <w:pPr>
      <w:spacing w:before="60" w:line="240" w:lineRule="atLeast"/>
    </w:pPr>
    <w:rPr>
      <w:sz w:val="16"/>
    </w:rPr>
  </w:style>
  <w:style w:type="paragraph" w:customStyle="1" w:styleId="MadeunderText">
    <w:name w:val="MadeunderText"/>
    <w:basedOn w:val="OPCParaBase"/>
    <w:next w:val="Normal"/>
    <w:rsid w:val="00F008F6"/>
    <w:pPr>
      <w:spacing w:before="240"/>
    </w:pPr>
    <w:rPr>
      <w:sz w:val="24"/>
      <w:szCs w:val="24"/>
    </w:rPr>
  </w:style>
  <w:style w:type="paragraph" w:customStyle="1" w:styleId="SubPartCASA">
    <w:name w:val="SubPart(CASA)"/>
    <w:aliases w:val="csp"/>
    <w:basedOn w:val="OPCParaBase"/>
    <w:next w:val="ActHead3"/>
    <w:rsid w:val="00F008F6"/>
    <w:pPr>
      <w:keepNext/>
      <w:keepLines/>
      <w:spacing w:before="280"/>
      <w:ind w:left="1134" w:hanging="1134"/>
      <w:outlineLvl w:val="1"/>
    </w:pPr>
    <w:rPr>
      <w:b/>
      <w:kern w:val="28"/>
      <w:sz w:val="32"/>
    </w:rPr>
  </w:style>
  <w:style w:type="paragraph" w:customStyle="1" w:styleId="ActHead1">
    <w:name w:val="ActHead 1"/>
    <w:aliases w:val="c"/>
    <w:basedOn w:val="OPCParaBase"/>
    <w:next w:val="Normal"/>
    <w:qFormat/>
    <w:rsid w:val="00F008F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008F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008F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008F6"/>
    <w:pPr>
      <w:keepNext/>
      <w:keepLines/>
      <w:spacing w:before="220" w:line="240" w:lineRule="auto"/>
      <w:ind w:left="1134" w:hanging="1134"/>
      <w:outlineLvl w:val="3"/>
    </w:pPr>
    <w:rPr>
      <w:b/>
      <w:kern w:val="28"/>
      <w:sz w:val="26"/>
    </w:rPr>
  </w:style>
  <w:style w:type="character" w:customStyle="1" w:styleId="subsectionChar">
    <w:name w:val="subsection Char"/>
    <w:aliases w:val="ss Char"/>
    <w:basedOn w:val="DefaultParagraphFont"/>
    <w:link w:val="subsection"/>
    <w:rsid w:val="00F008F6"/>
    <w:rPr>
      <w:sz w:val="22"/>
    </w:rPr>
  </w:style>
  <w:style w:type="character" w:customStyle="1" w:styleId="paragraphChar">
    <w:name w:val="paragraph Char"/>
    <w:aliases w:val="a Char"/>
    <w:basedOn w:val="DefaultParagraphFont"/>
    <w:link w:val="paragraph"/>
    <w:rsid w:val="008E09AF"/>
    <w:rPr>
      <w:sz w:val="22"/>
    </w:rPr>
  </w:style>
  <w:style w:type="paragraph" w:customStyle="1" w:styleId="SOText">
    <w:name w:val="SO Text"/>
    <w:aliases w:val="sot"/>
    <w:link w:val="SOTextChar"/>
    <w:rsid w:val="00F008F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008F6"/>
    <w:rPr>
      <w:rFonts w:eastAsiaTheme="minorHAnsi" w:cstheme="minorBidi"/>
      <w:sz w:val="22"/>
      <w:lang w:eastAsia="en-US"/>
    </w:rPr>
  </w:style>
  <w:style w:type="paragraph" w:customStyle="1" w:styleId="SOTextNote">
    <w:name w:val="SO TextNote"/>
    <w:aliases w:val="sont"/>
    <w:basedOn w:val="SOText"/>
    <w:qFormat/>
    <w:rsid w:val="00F008F6"/>
    <w:pPr>
      <w:spacing w:before="122" w:line="198" w:lineRule="exact"/>
      <w:ind w:left="1843" w:hanging="709"/>
    </w:pPr>
    <w:rPr>
      <w:sz w:val="18"/>
    </w:rPr>
  </w:style>
  <w:style w:type="paragraph" w:customStyle="1" w:styleId="SOPara">
    <w:name w:val="SO Para"/>
    <w:aliases w:val="soa"/>
    <w:basedOn w:val="SOText"/>
    <w:link w:val="SOParaChar"/>
    <w:qFormat/>
    <w:rsid w:val="00F008F6"/>
    <w:pPr>
      <w:tabs>
        <w:tab w:val="right" w:pos="1786"/>
      </w:tabs>
      <w:spacing w:before="40"/>
      <w:ind w:left="2070" w:hanging="936"/>
    </w:pPr>
  </w:style>
  <w:style w:type="character" w:customStyle="1" w:styleId="SOParaChar">
    <w:name w:val="SO Para Char"/>
    <w:aliases w:val="soa Char"/>
    <w:basedOn w:val="DefaultParagraphFont"/>
    <w:link w:val="SOPara"/>
    <w:rsid w:val="00F008F6"/>
    <w:rPr>
      <w:rFonts w:eastAsiaTheme="minorHAnsi" w:cstheme="minorBidi"/>
      <w:sz w:val="22"/>
      <w:lang w:eastAsia="en-US"/>
    </w:rPr>
  </w:style>
  <w:style w:type="paragraph" w:customStyle="1" w:styleId="FileName">
    <w:name w:val="FileName"/>
    <w:basedOn w:val="Normal"/>
    <w:rsid w:val="00F008F6"/>
  </w:style>
  <w:style w:type="paragraph" w:customStyle="1" w:styleId="SOHeadBold">
    <w:name w:val="SO HeadBold"/>
    <w:aliases w:val="sohb"/>
    <w:basedOn w:val="SOText"/>
    <w:next w:val="SOText"/>
    <w:link w:val="SOHeadBoldChar"/>
    <w:qFormat/>
    <w:rsid w:val="00F008F6"/>
    <w:rPr>
      <w:b/>
    </w:rPr>
  </w:style>
  <w:style w:type="character" w:customStyle="1" w:styleId="SOHeadBoldChar">
    <w:name w:val="SO HeadBold Char"/>
    <w:aliases w:val="sohb Char"/>
    <w:basedOn w:val="DefaultParagraphFont"/>
    <w:link w:val="SOHeadBold"/>
    <w:rsid w:val="00F008F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008F6"/>
    <w:rPr>
      <w:i/>
    </w:rPr>
  </w:style>
  <w:style w:type="character" w:customStyle="1" w:styleId="SOHeadItalicChar">
    <w:name w:val="SO HeadItalic Char"/>
    <w:aliases w:val="sohi Char"/>
    <w:basedOn w:val="DefaultParagraphFont"/>
    <w:link w:val="SOHeadItalic"/>
    <w:rsid w:val="00F008F6"/>
    <w:rPr>
      <w:rFonts w:eastAsiaTheme="minorHAnsi" w:cstheme="minorBidi"/>
      <w:i/>
      <w:sz w:val="22"/>
      <w:lang w:eastAsia="en-US"/>
    </w:rPr>
  </w:style>
  <w:style w:type="paragraph" w:customStyle="1" w:styleId="SOBullet">
    <w:name w:val="SO Bullet"/>
    <w:aliases w:val="sotb"/>
    <w:basedOn w:val="SOText"/>
    <w:link w:val="SOBulletChar"/>
    <w:qFormat/>
    <w:rsid w:val="00F008F6"/>
    <w:pPr>
      <w:ind w:left="1559" w:hanging="425"/>
    </w:pPr>
  </w:style>
  <w:style w:type="character" w:customStyle="1" w:styleId="SOBulletChar">
    <w:name w:val="SO Bullet Char"/>
    <w:aliases w:val="sotb Char"/>
    <w:basedOn w:val="DefaultParagraphFont"/>
    <w:link w:val="SOBullet"/>
    <w:rsid w:val="00F008F6"/>
    <w:rPr>
      <w:rFonts w:eastAsiaTheme="minorHAnsi" w:cstheme="minorBidi"/>
      <w:sz w:val="22"/>
      <w:lang w:eastAsia="en-US"/>
    </w:rPr>
  </w:style>
  <w:style w:type="paragraph" w:customStyle="1" w:styleId="SOBulletNote">
    <w:name w:val="SO BulletNote"/>
    <w:aliases w:val="sonb"/>
    <w:basedOn w:val="SOTextNote"/>
    <w:link w:val="SOBulletNoteChar"/>
    <w:qFormat/>
    <w:rsid w:val="00F008F6"/>
    <w:pPr>
      <w:tabs>
        <w:tab w:val="left" w:pos="1560"/>
      </w:tabs>
      <w:ind w:left="2268" w:hanging="1134"/>
    </w:pPr>
  </w:style>
  <w:style w:type="character" w:customStyle="1" w:styleId="SOBulletNoteChar">
    <w:name w:val="SO BulletNote Char"/>
    <w:aliases w:val="sonb Char"/>
    <w:basedOn w:val="DefaultParagraphFont"/>
    <w:link w:val="SOBulletNote"/>
    <w:rsid w:val="00F008F6"/>
    <w:rPr>
      <w:rFonts w:eastAsiaTheme="minorHAnsi" w:cstheme="minorBidi"/>
      <w:sz w:val="18"/>
      <w:lang w:eastAsia="en-US"/>
    </w:rPr>
  </w:style>
  <w:style w:type="character" w:customStyle="1" w:styleId="ActHead5Char">
    <w:name w:val="ActHead 5 Char"/>
    <w:aliases w:val="s Char"/>
    <w:link w:val="ActHead5"/>
    <w:rsid w:val="00F008F6"/>
    <w:rPr>
      <w:b/>
      <w:kern w:val="28"/>
      <w:sz w:val="24"/>
    </w:rPr>
  </w:style>
  <w:style w:type="character" w:customStyle="1" w:styleId="notetextChar">
    <w:name w:val="note(text) Char"/>
    <w:aliases w:val="n Char"/>
    <w:basedOn w:val="DefaultParagraphFont"/>
    <w:link w:val="notetext"/>
    <w:rsid w:val="00F008F6"/>
    <w:rPr>
      <w:sz w:val="18"/>
    </w:rPr>
  </w:style>
  <w:style w:type="paragraph" w:styleId="Revision">
    <w:name w:val="Revision"/>
    <w:hidden/>
    <w:uiPriority w:val="99"/>
    <w:semiHidden/>
    <w:rsid w:val="002235FD"/>
    <w:rPr>
      <w:rFonts w:eastAsiaTheme="minorHAnsi" w:cstheme="minorBidi"/>
      <w:sz w:val="22"/>
      <w:lang w:eastAsia="en-US"/>
    </w:rPr>
  </w:style>
  <w:style w:type="paragraph" w:customStyle="1" w:styleId="EnStatement">
    <w:name w:val="EnStatement"/>
    <w:basedOn w:val="Normal"/>
    <w:rsid w:val="00F008F6"/>
    <w:pPr>
      <w:numPr>
        <w:numId w:val="26"/>
      </w:numPr>
    </w:pPr>
    <w:rPr>
      <w:rFonts w:eastAsia="Times New Roman" w:cs="Times New Roman"/>
      <w:lang w:eastAsia="en-AU"/>
    </w:rPr>
  </w:style>
  <w:style w:type="paragraph" w:customStyle="1" w:styleId="EnStatementHeading">
    <w:name w:val="EnStatementHeading"/>
    <w:basedOn w:val="Normal"/>
    <w:rsid w:val="00F008F6"/>
    <w:rPr>
      <w:rFonts w:eastAsia="Times New Roman" w:cs="Times New Roman"/>
      <w:b/>
      <w:lang w:eastAsia="en-AU"/>
    </w:rPr>
  </w:style>
  <w:style w:type="paragraph" w:customStyle="1" w:styleId="Transitional">
    <w:name w:val="Transitional"/>
    <w:aliases w:val="tr"/>
    <w:basedOn w:val="ItemHead"/>
    <w:next w:val="Item"/>
    <w:rsid w:val="00F008F6"/>
  </w:style>
  <w:style w:type="character" w:customStyle="1" w:styleId="BodyTextIndentChar">
    <w:name w:val="Body Text Indent Char"/>
    <w:basedOn w:val="DefaultParagraphFont"/>
    <w:link w:val="BodyTextIndent"/>
    <w:rsid w:val="00F008F6"/>
    <w:rPr>
      <w:rFonts w:eastAsiaTheme="minorHAnsi" w:cstheme="minorBidi"/>
      <w:sz w:val="22"/>
      <w:lang w:eastAsia="en-US"/>
    </w:rPr>
  </w:style>
  <w:style w:type="character" w:customStyle="1" w:styleId="BodyTextChar">
    <w:name w:val="Body Text Char"/>
    <w:basedOn w:val="DefaultParagraphFont"/>
    <w:link w:val="BodyText"/>
    <w:rsid w:val="00F008F6"/>
    <w:rPr>
      <w:rFonts w:eastAsiaTheme="minorHAnsi" w:cstheme="minorBidi"/>
      <w:sz w:val="22"/>
      <w:lang w:eastAsia="en-US"/>
    </w:rPr>
  </w:style>
  <w:style w:type="character" w:customStyle="1" w:styleId="Heading1Char">
    <w:name w:val="Heading 1 Char"/>
    <w:basedOn w:val="DefaultParagraphFont"/>
    <w:link w:val="Heading1"/>
    <w:uiPriority w:val="9"/>
    <w:rsid w:val="00F008F6"/>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F008F6"/>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F008F6"/>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uiPriority w:val="9"/>
    <w:rsid w:val="00F008F6"/>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sid w:val="00F008F6"/>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sid w:val="00F008F6"/>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sid w:val="00F008F6"/>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F008F6"/>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F008F6"/>
    <w:rPr>
      <w:rFonts w:asciiTheme="majorHAnsi" w:eastAsiaTheme="majorEastAsia" w:hAnsiTheme="majorHAnsi" w:cstheme="majorBidi"/>
      <w:i/>
      <w:iCs/>
      <w:color w:val="404040" w:themeColor="text1" w:themeTint="BF"/>
      <w:lang w:eastAsia="en-US"/>
    </w:rPr>
  </w:style>
  <w:style w:type="paragraph" w:styleId="Bibliography">
    <w:name w:val="Bibliography"/>
    <w:basedOn w:val="Normal"/>
    <w:next w:val="Normal"/>
    <w:uiPriority w:val="37"/>
    <w:semiHidden/>
    <w:unhideWhenUsed/>
    <w:rsid w:val="00F008F6"/>
  </w:style>
  <w:style w:type="character" w:customStyle="1" w:styleId="BodyText2Char">
    <w:name w:val="Body Text 2 Char"/>
    <w:basedOn w:val="DefaultParagraphFont"/>
    <w:link w:val="BodyText2"/>
    <w:rsid w:val="00F008F6"/>
    <w:rPr>
      <w:rFonts w:eastAsiaTheme="minorHAnsi" w:cstheme="minorBidi"/>
      <w:sz w:val="22"/>
      <w:lang w:eastAsia="en-US"/>
    </w:rPr>
  </w:style>
  <w:style w:type="character" w:customStyle="1" w:styleId="BodyText3Char">
    <w:name w:val="Body Text 3 Char"/>
    <w:basedOn w:val="DefaultParagraphFont"/>
    <w:link w:val="BodyText3"/>
    <w:rsid w:val="00F008F6"/>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F008F6"/>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F008F6"/>
    <w:rPr>
      <w:rFonts w:eastAsiaTheme="minorHAnsi" w:cstheme="minorBidi"/>
      <w:sz w:val="22"/>
      <w:lang w:eastAsia="en-US"/>
    </w:rPr>
  </w:style>
  <w:style w:type="character" w:customStyle="1" w:styleId="BodyTextIndent2Char">
    <w:name w:val="Body Text Indent 2 Char"/>
    <w:basedOn w:val="DefaultParagraphFont"/>
    <w:link w:val="BodyTextIndent2"/>
    <w:rsid w:val="00F008F6"/>
    <w:rPr>
      <w:rFonts w:eastAsiaTheme="minorHAnsi" w:cstheme="minorBidi"/>
      <w:sz w:val="22"/>
      <w:lang w:eastAsia="en-US"/>
    </w:rPr>
  </w:style>
  <w:style w:type="character" w:customStyle="1" w:styleId="BodyTextIndent3Char">
    <w:name w:val="Body Text Indent 3 Char"/>
    <w:basedOn w:val="DefaultParagraphFont"/>
    <w:link w:val="BodyTextIndent3"/>
    <w:rsid w:val="00F008F6"/>
    <w:rPr>
      <w:rFonts w:eastAsiaTheme="minorHAnsi" w:cstheme="minorBidi"/>
      <w:sz w:val="16"/>
      <w:szCs w:val="16"/>
      <w:lang w:eastAsia="en-US"/>
    </w:rPr>
  </w:style>
  <w:style w:type="character" w:styleId="BookTitle">
    <w:name w:val="Book Title"/>
    <w:basedOn w:val="DefaultParagraphFont"/>
    <w:uiPriority w:val="33"/>
    <w:qFormat/>
    <w:rsid w:val="00F008F6"/>
    <w:rPr>
      <w:b/>
      <w:bCs/>
      <w:i/>
      <w:iCs/>
      <w:spacing w:val="5"/>
    </w:rPr>
  </w:style>
  <w:style w:type="character" w:customStyle="1" w:styleId="ClosingChar">
    <w:name w:val="Closing Char"/>
    <w:basedOn w:val="DefaultParagraphFont"/>
    <w:link w:val="Closing"/>
    <w:rsid w:val="00F008F6"/>
    <w:rPr>
      <w:rFonts w:eastAsiaTheme="minorHAnsi" w:cstheme="minorBidi"/>
      <w:sz w:val="22"/>
      <w:lang w:eastAsia="en-US"/>
    </w:rPr>
  </w:style>
  <w:style w:type="table" w:styleId="ColorfulGrid">
    <w:name w:val="Colorful Grid"/>
    <w:basedOn w:val="TableNormal"/>
    <w:uiPriority w:val="73"/>
    <w:semiHidden/>
    <w:unhideWhenUsed/>
    <w:rsid w:val="00F008F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008F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008F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008F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008F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008F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008F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008F6"/>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008F6"/>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008F6"/>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008F6"/>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008F6"/>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008F6"/>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008F6"/>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008F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008F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008F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008F6"/>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008F6"/>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008F6"/>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008F6"/>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rsid w:val="00F008F6"/>
    <w:rPr>
      <w:rFonts w:eastAsiaTheme="minorHAnsi" w:cstheme="minorBidi"/>
      <w:lang w:eastAsia="en-US"/>
    </w:rPr>
  </w:style>
  <w:style w:type="character" w:customStyle="1" w:styleId="CommentSubjectChar">
    <w:name w:val="Comment Subject Char"/>
    <w:basedOn w:val="CommentTextChar"/>
    <w:link w:val="CommentSubject"/>
    <w:rsid w:val="00F008F6"/>
    <w:rPr>
      <w:rFonts w:eastAsiaTheme="minorHAnsi" w:cstheme="minorBidi"/>
      <w:b/>
      <w:bCs/>
      <w:lang w:eastAsia="en-US"/>
    </w:rPr>
  </w:style>
  <w:style w:type="table" w:styleId="DarkList">
    <w:name w:val="Dark List"/>
    <w:basedOn w:val="TableNormal"/>
    <w:uiPriority w:val="70"/>
    <w:semiHidden/>
    <w:unhideWhenUsed/>
    <w:rsid w:val="00F008F6"/>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008F6"/>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008F6"/>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008F6"/>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008F6"/>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008F6"/>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008F6"/>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rsid w:val="00F008F6"/>
    <w:rPr>
      <w:rFonts w:eastAsiaTheme="minorHAnsi" w:cstheme="minorBidi"/>
      <w:sz w:val="22"/>
      <w:lang w:eastAsia="en-US"/>
    </w:rPr>
  </w:style>
  <w:style w:type="character" w:customStyle="1" w:styleId="DocumentMapChar">
    <w:name w:val="Document Map Char"/>
    <w:basedOn w:val="DefaultParagraphFont"/>
    <w:link w:val="DocumentMap"/>
    <w:rsid w:val="00F008F6"/>
    <w:rPr>
      <w:rFonts w:ascii="Tahoma" w:eastAsiaTheme="minorHAnsi" w:hAnsi="Tahoma" w:cs="Tahoma"/>
      <w:sz w:val="22"/>
      <w:shd w:val="clear" w:color="auto" w:fill="000080"/>
      <w:lang w:eastAsia="en-US"/>
    </w:rPr>
  </w:style>
  <w:style w:type="character" w:customStyle="1" w:styleId="E-mailSignatureChar">
    <w:name w:val="E-mail Signature Char"/>
    <w:basedOn w:val="DefaultParagraphFont"/>
    <w:link w:val="E-mailSignature"/>
    <w:rsid w:val="00F008F6"/>
    <w:rPr>
      <w:rFonts w:eastAsiaTheme="minorHAnsi" w:cstheme="minorBidi"/>
      <w:sz w:val="22"/>
      <w:lang w:eastAsia="en-US"/>
    </w:rPr>
  </w:style>
  <w:style w:type="character" w:customStyle="1" w:styleId="EndnoteTextChar">
    <w:name w:val="Endnote Text Char"/>
    <w:basedOn w:val="DefaultParagraphFont"/>
    <w:link w:val="EndnoteText"/>
    <w:rsid w:val="00F008F6"/>
    <w:rPr>
      <w:rFonts w:eastAsiaTheme="minorHAnsi" w:cstheme="minorBidi"/>
      <w:lang w:eastAsia="en-US"/>
    </w:rPr>
  </w:style>
  <w:style w:type="character" w:customStyle="1" w:styleId="FootnoteTextChar">
    <w:name w:val="Footnote Text Char"/>
    <w:basedOn w:val="DefaultParagraphFont"/>
    <w:link w:val="FootnoteText"/>
    <w:rsid w:val="00F008F6"/>
    <w:rPr>
      <w:rFonts w:eastAsiaTheme="minorHAnsi" w:cstheme="minorBidi"/>
      <w:lang w:eastAsia="en-US"/>
    </w:rPr>
  </w:style>
  <w:style w:type="table" w:styleId="GridTable1Light">
    <w:name w:val="Grid Table 1 Light"/>
    <w:basedOn w:val="TableNormal"/>
    <w:uiPriority w:val="46"/>
    <w:rsid w:val="00F008F6"/>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008F6"/>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008F6"/>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008F6"/>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008F6"/>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008F6"/>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008F6"/>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008F6"/>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008F6"/>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008F6"/>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008F6"/>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008F6"/>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008F6"/>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008F6"/>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008F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008F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008F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008F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008F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008F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008F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008F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008F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008F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008F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008F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008F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008F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008F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008F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008F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008F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008F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008F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008F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008F6"/>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008F6"/>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008F6"/>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008F6"/>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008F6"/>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008F6"/>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008F6"/>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008F6"/>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008F6"/>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008F6"/>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008F6"/>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008F6"/>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008F6"/>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008F6"/>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008F6"/>
    <w:rPr>
      <w:color w:val="2B579A"/>
      <w:shd w:val="clear" w:color="auto" w:fill="E1DFDD"/>
    </w:rPr>
  </w:style>
  <w:style w:type="character" w:customStyle="1" w:styleId="HTMLAddressChar">
    <w:name w:val="HTML Address Char"/>
    <w:basedOn w:val="DefaultParagraphFont"/>
    <w:link w:val="HTMLAddress"/>
    <w:rsid w:val="00F008F6"/>
    <w:rPr>
      <w:rFonts w:eastAsiaTheme="minorHAnsi" w:cstheme="minorBidi"/>
      <w:i/>
      <w:iCs/>
      <w:sz w:val="22"/>
      <w:lang w:eastAsia="en-US"/>
    </w:rPr>
  </w:style>
  <w:style w:type="character" w:customStyle="1" w:styleId="HTMLPreformattedChar">
    <w:name w:val="HTML Preformatted Char"/>
    <w:basedOn w:val="DefaultParagraphFont"/>
    <w:link w:val="HTMLPreformatted"/>
    <w:rsid w:val="00F008F6"/>
    <w:rPr>
      <w:rFonts w:ascii="Courier New" w:eastAsiaTheme="minorHAnsi" w:hAnsi="Courier New" w:cs="Courier New"/>
      <w:lang w:eastAsia="en-US"/>
    </w:rPr>
  </w:style>
  <w:style w:type="character" w:styleId="IntenseEmphasis">
    <w:name w:val="Intense Emphasis"/>
    <w:basedOn w:val="DefaultParagraphFont"/>
    <w:uiPriority w:val="21"/>
    <w:qFormat/>
    <w:rsid w:val="00F008F6"/>
    <w:rPr>
      <w:i/>
      <w:iCs/>
      <w:color w:val="4F81BD" w:themeColor="accent1"/>
    </w:rPr>
  </w:style>
  <w:style w:type="paragraph" w:styleId="IntenseQuote">
    <w:name w:val="Intense Quote"/>
    <w:basedOn w:val="Normal"/>
    <w:next w:val="Normal"/>
    <w:link w:val="IntenseQuoteChar"/>
    <w:uiPriority w:val="30"/>
    <w:qFormat/>
    <w:rsid w:val="00F008F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008F6"/>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F008F6"/>
    <w:rPr>
      <w:b/>
      <w:bCs/>
      <w:smallCaps/>
      <w:color w:val="4F81BD" w:themeColor="accent1"/>
      <w:spacing w:val="5"/>
    </w:rPr>
  </w:style>
  <w:style w:type="table" w:styleId="LightGrid">
    <w:name w:val="Light Grid"/>
    <w:basedOn w:val="TableNormal"/>
    <w:uiPriority w:val="62"/>
    <w:semiHidden/>
    <w:unhideWhenUsed/>
    <w:rsid w:val="00F008F6"/>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008F6"/>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008F6"/>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008F6"/>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008F6"/>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008F6"/>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008F6"/>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008F6"/>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008F6"/>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008F6"/>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008F6"/>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008F6"/>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008F6"/>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008F6"/>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008F6"/>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008F6"/>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008F6"/>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008F6"/>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008F6"/>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008F6"/>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008F6"/>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F008F6"/>
    <w:pPr>
      <w:ind w:left="720"/>
      <w:contextualSpacing/>
    </w:pPr>
  </w:style>
  <w:style w:type="table" w:styleId="ListTable1Light">
    <w:name w:val="List Table 1 Light"/>
    <w:basedOn w:val="TableNormal"/>
    <w:uiPriority w:val="46"/>
    <w:rsid w:val="00F008F6"/>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008F6"/>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008F6"/>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008F6"/>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008F6"/>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008F6"/>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008F6"/>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008F6"/>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008F6"/>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008F6"/>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008F6"/>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008F6"/>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008F6"/>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008F6"/>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008F6"/>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008F6"/>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008F6"/>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008F6"/>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008F6"/>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008F6"/>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008F6"/>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008F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008F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008F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008F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008F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008F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008F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008F6"/>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008F6"/>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008F6"/>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008F6"/>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008F6"/>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008F6"/>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008F6"/>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008F6"/>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008F6"/>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008F6"/>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008F6"/>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008F6"/>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008F6"/>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008F6"/>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008F6"/>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008F6"/>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008F6"/>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008F6"/>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008F6"/>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008F6"/>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008F6"/>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rsid w:val="00F008F6"/>
    <w:rPr>
      <w:rFonts w:ascii="Courier New" w:hAnsi="Courier New" w:cs="Courier New"/>
    </w:rPr>
  </w:style>
  <w:style w:type="table" w:styleId="MediumGrid1">
    <w:name w:val="Medium Grid 1"/>
    <w:basedOn w:val="TableNormal"/>
    <w:uiPriority w:val="67"/>
    <w:semiHidden/>
    <w:unhideWhenUsed/>
    <w:rsid w:val="00F008F6"/>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008F6"/>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008F6"/>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008F6"/>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008F6"/>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008F6"/>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008F6"/>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008F6"/>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008F6"/>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008F6"/>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008F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008F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008F6"/>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008F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008F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008F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008F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008F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008F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008F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008F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008F6"/>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008F6"/>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008F6"/>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008F6"/>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008F6"/>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008F6"/>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008F6"/>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008F6"/>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008F6"/>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008F6"/>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008F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008F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008F6"/>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008F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008F6"/>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008F6"/>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008F6"/>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008F6"/>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008F6"/>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008F6"/>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008F6"/>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008F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008F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008F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008F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008F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008F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008F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008F6"/>
    <w:rPr>
      <w:color w:val="2B579A"/>
      <w:shd w:val="clear" w:color="auto" w:fill="E1DFDD"/>
    </w:rPr>
  </w:style>
  <w:style w:type="character" w:customStyle="1" w:styleId="MessageHeaderChar">
    <w:name w:val="Message Header Char"/>
    <w:basedOn w:val="DefaultParagraphFont"/>
    <w:link w:val="MessageHeader"/>
    <w:rsid w:val="00F008F6"/>
    <w:rPr>
      <w:rFonts w:ascii="Arial" w:eastAsiaTheme="minorHAnsi" w:hAnsi="Arial" w:cs="Arial"/>
      <w:sz w:val="22"/>
      <w:shd w:val="pct20" w:color="auto" w:fill="auto"/>
      <w:lang w:eastAsia="en-US"/>
    </w:rPr>
  </w:style>
  <w:style w:type="paragraph" w:styleId="NoSpacing">
    <w:name w:val="No Spacing"/>
    <w:uiPriority w:val="1"/>
    <w:qFormat/>
    <w:rsid w:val="00F008F6"/>
    <w:rPr>
      <w:rFonts w:eastAsiaTheme="minorHAnsi" w:cstheme="minorBidi"/>
      <w:sz w:val="22"/>
      <w:lang w:eastAsia="en-US"/>
    </w:rPr>
  </w:style>
  <w:style w:type="paragraph" w:styleId="NoteHeading">
    <w:name w:val="Note Heading"/>
    <w:basedOn w:val="Normal"/>
    <w:next w:val="Normal"/>
    <w:link w:val="NoteHeadingChar"/>
    <w:uiPriority w:val="99"/>
    <w:semiHidden/>
    <w:unhideWhenUsed/>
    <w:rsid w:val="00F008F6"/>
    <w:pPr>
      <w:spacing w:line="240" w:lineRule="auto"/>
    </w:pPr>
  </w:style>
  <w:style w:type="character" w:customStyle="1" w:styleId="NoteHeadingChar">
    <w:name w:val="Note Heading Char"/>
    <w:basedOn w:val="DefaultParagraphFont"/>
    <w:link w:val="NoteHeading"/>
    <w:uiPriority w:val="99"/>
    <w:semiHidden/>
    <w:rsid w:val="00F008F6"/>
    <w:rPr>
      <w:rFonts w:eastAsiaTheme="minorHAnsi" w:cstheme="minorBidi"/>
      <w:sz w:val="22"/>
      <w:lang w:eastAsia="en-US"/>
    </w:rPr>
  </w:style>
  <w:style w:type="character" w:styleId="PlaceholderText">
    <w:name w:val="Placeholder Text"/>
    <w:basedOn w:val="DefaultParagraphFont"/>
    <w:uiPriority w:val="99"/>
    <w:semiHidden/>
    <w:rsid w:val="00F008F6"/>
    <w:rPr>
      <w:color w:val="808080"/>
    </w:rPr>
  </w:style>
  <w:style w:type="table" w:styleId="PlainTable1">
    <w:name w:val="Plain Table 1"/>
    <w:basedOn w:val="TableNormal"/>
    <w:uiPriority w:val="41"/>
    <w:rsid w:val="00F008F6"/>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008F6"/>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008F6"/>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008F6"/>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008F6"/>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rsid w:val="00F008F6"/>
    <w:rPr>
      <w:rFonts w:ascii="Courier New" w:eastAsiaTheme="minorHAnsi" w:hAnsi="Courier New" w:cs="Courier New"/>
      <w:lang w:eastAsia="en-US"/>
    </w:rPr>
  </w:style>
  <w:style w:type="paragraph" w:styleId="Quote">
    <w:name w:val="Quote"/>
    <w:basedOn w:val="Normal"/>
    <w:next w:val="Normal"/>
    <w:link w:val="QuoteChar"/>
    <w:uiPriority w:val="29"/>
    <w:qFormat/>
    <w:rsid w:val="00F008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008F6"/>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rsid w:val="00F008F6"/>
    <w:rPr>
      <w:rFonts w:eastAsiaTheme="minorHAnsi" w:cstheme="minorBidi"/>
      <w:sz w:val="22"/>
      <w:lang w:eastAsia="en-US"/>
    </w:rPr>
  </w:style>
  <w:style w:type="character" w:customStyle="1" w:styleId="SignatureChar">
    <w:name w:val="Signature Char"/>
    <w:basedOn w:val="DefaultParagraphFont"/>
    <w:link w:val="Signature"/>
    <w:rsid w:val="00F008F6"/>
    <w:rPr>
      <w:rFonts w:eastAsiaTheme="minorHAnsi" w:cstheme="minorBidi"/>
      <w:sz w:val="22"/>
      <w:lang w:eastAsia="en-US"/>
    </w:rPr>
  </w:style>
  <w:style w:type="character" w:styleId="SmartHyperlink">
    <w:name w:val="Smart Hyperlink"/>
    <w:basedOn w:val="DefaultParagraphFont"/>
    <w:uiPriority w:val="99"/>
    <w:semiHidden/>
    <w:unhideWhenUsed/>
    <w:rsid w:val="00F008F6"/>
    <w:rPr>
      <w:u w:val="dotted"/>
    </w:rPr>
  </w:style>
  <w:style w:type="character" w:customStyle="1" w:styleId="SubtitleChar">
    <w:name w:val="Subtitle Char"/>
    <w:basedOn w:val="DefaultParagraphFont"/>
    <w:link w:val="Subtitle"/>
    <w:rsid w:val="00F008F6"/>
    <w:rPr>
      <w:rFonts w:ascii="Arial" w:eastAsiaTheme="minorHAnsi" w:hAnsi="Arial" w:cs="Arial"/>
      <w:sz w:val="22"/>
      <w:lang w:eastAsia="en-US"/>
    </w:rPr>
  </w:style>
  <w:style w:type="character" w:styleId="SubtleEmphasis">
    <w:name w:val="Subtle Emphasis"/>
    <w:basedOn w:val="DefaultParagraphFont"/>
    <w:uiPriority w:val="19"/>
    <w:qFormat/>
    <w:rsid w:val="00F008F6"/>
    <w:rPr>
      <w:i/>
      <w:iCs/>
      <w:color w:val="404040" w:themeColor="text1" w:themeTint="BF"/>
    </w:rPr>
  </w:style>
  <w:style w:type="character" w:styleId="SubtleReference">
    <w:name w:val="Subtle Reference"/>
    <w:basedOn w:val="DefaultParagraphFont"/>
    <w:uiPriority w:val="31"/>
    <w:qFormat/>
    <w:rsid w:val="00F008F6"/>
    <w:rPr>
      <w:smallCaps/>
      <w:color w:val="5A5A5A" w:themeColor="text1" w:themeTint="A5"/>
    </w:rPr>
  </w:style>
  <w:style w:type="table" w:styleId="TableGridLight">
    <w:name w:val="Grid Table Light"/>
    <w:basedOn w:val="TableNormal"/>
    <w:uiPriority w:val="40"/>
    <w:rsid w:val="00F008F6"/>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rsid w:val="00F008F6"/>
    <w:rPr>
      <w:rFonts w:ascii="Arial" w:eastAsiaTheme="minorHAnsi" w:hAnsi="Arial" w:cs="Arial"/>
      <w:b/>
      <w:bCs/>
      <w:sz w:val="40"/>
      <w:szCs w:val="40"/>
      <w:lang w:eastAsia="en-US"/>
    </w:rPr>
  </w:style>
  <w:style w:type="paragraph" w:styleId="TOCHeading">
    <w:name w:val="TOC Heading"/>
    <w:basedOn w:val="Heading1"/>
    <w:next w:val="Normal"/>
    <w:uiPriority w:val="39"/>
    <w:semiHidden/>
    <w:unhideWhenUsed/>
    <w:qFormat/>
    <w:rsid w:val="00F008F6"/>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F008F6"/>
    <w:rPr>
      <w:color w:val="605E5C"/>
      <w:shd w:val="clear" w:color="auto" w:fill="E1DFDD"/>
    </w:rPr>
  </w:style>
  <w:style w:type="paragraph" w:customStyle="1" w:styleId="SOText2">
    <w:name w:val="SO Text2"/>
    <w:aliases w:val="sot2"/>
    <w:basedOn w:val="Normal"/>
    <w:next w:val="SOText"/>
    <w:link w:val="SOText2Char"/>
    <w:rsid w:val="00F008F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008F6"/>
    <w:rPr>
      <w:rFonts w:eastAsiaTheme="minorHAnsi" w:cstheme="minorBidi"/>
      <w:sz w:val="22"/>
      <w:lang w:eastAsia="en-US"/>
    </w:rPr>
  </w:style>
  <w:style w:type="paragraph" w:customStyle="1" w:styleId="ETAsubitem">
    <w:name w:val="ETA(subitem)"/>
    <w:basedOn w:val="OPCParaBase"/>
    <w:rsid w:val="00F008F6"/>
    <w:pPr>
      <w:tabs>
        <w:tab w:val="right" w:pos="340"/>
      </w:tabs>
      <w:spacing w:before="60" w:line="240" w:lineRule="auto"/>
      <w:ind w:left="454" w:hanging="454"/>
    </w:pPr>
    <w:rPr>
      <w:sz w:val="20"/>
    </w:rPr>
  </w:style>
  <w:style w:type="paragraph" w:customStyle="1" w:styleId="ETApara">
    <w:name w:val="ETA(para)"/>
    <w:basedOn w:val="OPCParaBase"/>
    <w:rsid w:val="00F008F6"/>
    <w:pPr>
      <w:tabs>
        <w:tab w:val="right" w:pos="754"/>
      </w:tabs>
      <w:spacing w:before="60" w:line="240" w:lineRule="auto"/>
      <w:ind w:left="828" w:hanging="828"/>
    </w:pPr>
    <w:rPr>
      <w:sz w:val="20"/>
    </w:rPr>
  </w:style>
  <w:style w:type="paragraph" w:customStyle="1" w:styleId="ETAsubpara">
    <w:name w:val="ETA(subpara)"/>
    <w:basedOn w:val="OPCParaBase"/>
    <w:rsid w:val="00F008F6"/>
    <w:pPr>
      <w:tabs>
        <w:tab w:val="right" w:pos="1083"/>
      </w:tabs>
      <w:spacing w:before="60" w:line="240" w:lineRule="auto"/>
      <w:ind w:left="1191" w:hanging="1191"/>
    </w:pPr>
    <w:rPr>
      <w:sz w:val="20"/>
    </w:rPr>
  </w:style>
  <w:style w:type="paragraph" w:customStyle="1" w:styleId="ETAsub-subpara">
    <w:name w:val="ETA(sub-subpara)"/>
    <w:basedOn w:val="OPCParaBase"/>
    <w:rsid w:val="00F008F6"/>
    <w:pPr>
      <w:tabs>
        <w:tab w:val="right" w:pos="1412"/>
      </w:tabs>
      <w:spacing w:before="60" w:line="240" w:lineRule="auto"/>
      <w:ind w:left="1525" w:hanging="1525"/>
    </w:pPr>
    <w:rPr>
      <w:sz w:val="20"/>
    </w:rPr>
  </w:style>
  <w:style w:type="character" w:customStyle="1" w:styleId="charlegsubtitle1">
    <w:name w:val="charlegsubtitle1"/>
    <w:basedOn w:val="DefaultParagraphFont"/>
    <w:rsid w:val="00F008F6"/>
    <w:rPr>
      <w:rFonts w:ascii="Arial" w:hAnsi="Arial" w:cs="Arial" w:hint="default"/>
      <w:b/>
      <w:bCs/>
      <w:sz w:val="28"/>
      <w:szCs w:val="28"/>
    </w:rPr>
  </w:style>
  <w:style w:type="character" w:customStyle="1" w:styleId="DefinitionChar">
    <w:name w:val="Definition Char"/>
    <w:aliases w:val="dd Char"/>
    <w:link w:val="Definition"/>
    <w:rsid w:val="0061655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340307">
      <w:bodyDiv w:val="1"/>
      <w:marLeft w:val="0"/>
      <w:marRight w:val="0"/>
      <w:marTop w:val="0"/>
      <w:marBottom w:val="0"/>
      <w:divBdr>
        <w:top w:val="none" w:sz="0" w:space="0" w:color="auto"/>
        <w:left w:val="none" w:sz="0" w:space="0" w:color="auto"/>
        <w:bottom w:val="none" w:sz="0" w:space="0" w:color="auto"/>
        <w:right w:val="none" w:sz="0" w:space="0" w:color="auto"/>
      </w:divBdr>
      <w:divsChild>
        <w:div w:id="639193889">
          <w:marLeft w:val="0"/>
          <w:marRight w:val="0"/>
          <w:marTop w:val="0"/>
          <w:marBottom w:val="0"/>
          <w:divBdr>
            <w:top w:val="none" w:sz="0" w:space="0" w:color="auto"/>
            <w:left w:val="none" w:sz="0" w:space="0" w:color="auto"/>
            <w:bottom w:val="none" w:sz="0" w:space="0" w:color="auto"/>
            <w:right w:val="none" w:sz="0" w:space="0" w:color="auto"/>
          </w:divBdr>
          <w:divsChild>
            <w:div w:id="133942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376">
      <w:bodyDiv w:val="1"/>
      <w:marLeft w:val="0"/>
      <w:marRight w:val="0"/>
      <w:marTop w:val="0"/>
      <w:marBottom w:val="0"/>
      <w:divBdr>
        <w:top w:val="none" w:sz="0" w:space="0" w:color="auto"/>
        <w:left w:val="none" w:sz="0" w:space="0" w:color="auto"/>
        <w:bottom w:val="none" w:sz="0" w:space="0" w:color="auto"/>
        <w:right w:val="none" w:sz="0" w:space="0" w:color="auto"/>
      </w:divBdr>
      <w:divsChild>
        <w:div w:id="2101218918">
          <w:marLeft w:val="0"/>
          <w:marRight w:val="0"/>
          <w:marTop w:val="0"/>
          <w:marBottom w:val="0"/>
          <w:divBdr>
            <w:top w:val="none" w:sz="0" w:space="0" w:color="auto"/>
            <w:left w:val="none" w:sz="0" w:space="0" w:color="auto"/>
            <w:bottom w:val="none" w:sz="0" w:space="0" w:color="auto"/>
            <w:right w:val="none" w:sz="0" w:space="0" w:color="auto"/>
          </w:divBdr>
          <w:divsChild>
            <w:div w:id="1879196296">
              <w:marLeft w:val="0"/>
              <w:marRight w:val="0"/>
              <w:marTop w:val="0"/>
              <w:marBottom w:val="0"/>
              <w:divBdr>
                <w:top w:val="none" w:sz="0" w:space="0" w:color="auto"/>
                <w:left w:val="none" w:sz="0" w:space="0" w:color="auto"/>
                <w:bottom w:val="none" w:sz="0" w:space="0" w:color="auto"/>
                <w:right w:val="none" w:sz="0" w:space="0" w:color="auto"/>
              </w:divBdr>
              <w:divsChild>
                <w:div w:id="2119250316">
                  <w:marLeft w:val="0"/>
                  <w:marRight w:val="0"/>
                  <w:marTop w:val="0"/>
                  <w:marBottom w:val="0"/>
                  <w:divBdr>
                    <w:top w:val="none" w:sz="0" w:space="0" w:color="auto"/>
                    <w:left w:val="none" w:sz="0" w:space="0" w:color="auto"/>
                    <w:bottom w:val="none" w:sz="0" w:space="0" w:color="auto"/>
                    <w:right w:val="none" w:sz="0" w:space="0" w:color="auto"/>
                  </w:divBdr>
                  <w:divsChild>
                    <w:div w:id="1790122059">
                      <w:marLeft w:val="0"/>
                      <w:marRight w:val="0"/>
                      <w:marTop w:val="0"/>
                      <w:marBottom w:val="0"/>
                      <w:divBdr>
                        <w:top w:val="none" w:sz="0" w:space="0" w:color="auto"/>
                        <w:left w:val="none" w:sz="0" w:space="0" w:color="auto"/>
                        <w:bottom w:val="none" w:sz="0" w:space="0" w:color="auto"/>
                        <w:right w:val="none" w:sz="0" w:space="0" w:color="auto"/>
                      </w:divBdr>
                      <w:divsChild>
                        <w:div w:id="1867712185">
                          <w:marLeft w:val="0"/>
                          <w:marRight w:val="0"/>
                          <w:marTop w:val="0"/>
                          <w:marBottom w:val="0"/>
                          <w:divBdr>
                            <w:top w:val="none" w:sz="0" w:space="0" w:color="auto"/>
                            <w:left w:val="none" w:sz="0" w:space="0" w:color="auto"/>
                            <w:bottom w:val="none" w:sz="0" w:space="0" w:color="auto"/>
                            <w:right w:val="none" w:sz="0" w:space="0" w:color="auto"/>
                          </w:divBdr>
                          <w:divsChild>
                            <w:div w:id="2139568382">
                              <w:marLeft w:val="0"/>
                              <w:marRight w:val="0"/>
                              <w:marTop w:val="0"/>
                              <w:marBottom w:val="0"/>
                              <w:divBdr>
                                <w:top w:val="single" w:sz="6" w:space="0" w:color="828282"/>
                                <w:left w:val="single" w:sz="6" w:space="0" w:color="828282"/>
                                <w:bottom w:val="single" w:sz="6" w:space="0" w:color="828282"/>
                                <w:right w:val="single" w:sz="6" w:space="0" w:color="828282"/>
                              </w:divBdr>
                              <w:divsChild>
                                <w:div w:id="2137671578">
                                  <w:marLeft w:val="0"/>
                                  <w:marRight w:val="0"/>
                                  <w:marTop w:val="0"/>
                                  <w:marBottom w:val="0"/>
                                  <w:divBdr>
                                    <w:top w:val="none" w:sz="0" w:space="0" w:color="auto"/>
                                    <w:left w:val="none" w:sz="0" w:space="0" w:color="auto"/>
                                    <w:bottom w:val="none" w:sz="0" w:space="0" w:color="auto"/>
                                    <w:right w:val="none" w:sz="0" w:space="0" w:color="auto"/>
                                  </w:divBdr>
                                  <w:divsChild>
                                    <w:div w:id="212927688">
                                      <w:marLeft w:val="0"/>
                                      <w:marRight w:val="0"/>
                                      <w:marTop w:val="0"/>
                                      <w:marBottom w:val="0"/>
                                      <w:divBdr>
                                        <w:top w:val="none" w:sz="0" w:space="0" w:color="auto"/>
                                        <w:left w:val="none" w:sz="0" w:space="0" w:color="auto"/>
                                        <w:bottom w:val="none" w:sz="0" w:space="0" w:color="auto"/>
                                        <w:right w:val="none" w:sz="0" w:space="0" w:color="auto"/>
                                      </w:divBdr>
                                      <w:divsChild>
                                        <w:div w:id="450439154">
                                          <w:marLeft w:val="0"/>
                                          <w:marRight w:val="0"/>
                                          <w:marTop w:val="0"/>
                                          <w:marBottom w:val="0"/>
                                          <w:divBdr>
                                            <w:top w:val="none" w:sz="0" w:space="0" w:color="auto"/>
                                            <w:left w:val="none" w:sz="0" w:space="0" w:color="auto"/>
                                            <w:bottom w:val="none" w:sz="0" w:space="0" w:color="auto"/>
                                            <w:right w:val="none" w:sz="0" w:space="0" w:color="auto"/>
                                          </w:divBdr>
                                          <w:divsChild>
                                            <w:div w:id="796995649">
                                              <w:marLeft w:val="0"/>
                                              <w:marRight w:val="0"/>
                                              <w:marTop w:val="0"/>
                                              <w:marBottom w:val="0"/>
                                              <w:divBdr>
                                                <w:top w:val="none" w:sz="0" w:space="0" w:color="auto"/>
                                                <w:left w:val="none" w:sz="0" w:space="0" w:color="auto"/>
                                                <w:bottom w:val="none" w:sz="0" w:space="0" w:color="auto"/>
                                                <w:right w:val="none" w:sz="0" w:space="0" w:color="auto"/>
                                              </w:divBdr>
                                              <w:divsChild>
                                                <w:div w:id="1277954046">
                                                  <w:marLeft w:val="0"/>
                                                  <w:marRight w:val="0"/>
                                                  <w:marTop w:val="0"/>
                                                  <w:marBottom w:val="0"/>
                                                  <w:divBdr>
                                                    <w:top w:val="none" w:sz="0" w:space="0" w:color="auto"/>
                                                    <w:left w:val="none" w:sz="0" w:space="0" w:color="auto"/>
                                                    <w:bottom w:val="none" w:sz="0" w:space="0" w:color="auto"/>
                                                    <w:right w:val="none" w:sz="0" w:space="0" w:color="auto"/>
                                                  </w:divBdr>
                                                  <w:divsChild>
                                                    <w:div w:id="1202353953">
                                                      <w:marLeft w:val="0"/>
                                                      <w:marRight w:val="0"/>
                                                      <w:marTop w:val="0"/>
                                                      <w:marBottom w:val="0"/>
                                                      <w:divBdr>
                                                        <w:top w:val="none" w:sz="0" w:space="0" w:color="auto"/>
                                                        <w:left w:val="none" w:sz="0" w:space="0" w:color="auto"/>
                                                        <w:bottom w:val="none" w:sz="0" w:space="0" w:color="auto"/>
                                                        <w:right w:val="none" w:sz="0" w:space="0" w:color="auto"/>
                                                      </w:divBdr>
                                                      <w:divsChild>
                                                        <w:div w:id="1894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22.xml"/><Relationship Id="rId21" Type="http://schemas.openxmlformats.org/officeDocument/2006/relationships/header" Target="header7.xml"/><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header" Target="header30.xml"/><Relationship Id="rId50" Type="http://schemas.openxmlformats.org/officeDocument/2006/relationships/header" Target="header33.xml"/><Relationship Id="rId55" Type="http://schemas.openxmlformats.org/officeDocument/2006/relationships/header" Target="header3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2.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3" Type="http://schemas.openxmlformats.org/officeDocument/2006/relationships/header" Target="header36.xml"/><Relationship Id="rId5"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 Id="rId48" Type="http://schemas.openxmlformats.org/officeDocument/2006/relationships/header" Target="header31.xml"/><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eader" Target="header34.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9.xml"/><Relationship Id="rId20" Type="http://schemas.openxmlformats.org/officeDocument/2006/relationships/header" Target="header6.xml"/><Relationship Id="rId41" Type="http://schemas.openxmlformats.org/officeDocument/2006/relationships/header" Target="header24.xml"/><Relationship Id="rId54" Type="http://schemas.openxmlformats.org/officeDocument/2006/relationships/header" Target="header3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9.xml"/><Relationship Id="rId49" Type="http://schemas.openxmlformats.org/officeDocument/2006/relationships/header" Target="header32.xml"/><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eader" Target="header14.xml"/><Relationship Id="rId44" Type="http://schemas.openxmlformats.org/officeDocument/2006/relationships/header" Target="header27.xml"/><Relationship Id="rId52" Type="http://schemas.openxmlformats.org/officeDocument/2006/relationships/header" Target="header35.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F75C5-B74C-4CAA-ADA8-77FFDB63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Template>
  <TotalTime>0</TotalTime>
  <Pages>350</Pages>
  <Words>101135</Words>
  <Characters>501921</Characters>
  <Application>Microsoft Office Word</Application>
  <DocSecurity>0</DocSecurity>
  <PresentationFormat/>
  <Lines>15894</Lines>
  <Paragraphs>9072</Paragraphs>
  <ScaleCrop>false</ScaleCrop>
  <HeadingPairs>
    <vt:vector size="2" baseType="variant">
      <vt:variant>
        <vt:lpstr>Title</vt:lpstr>
      </vt:variant>
      <vt:variant>
        <vt:i4>1</vt:i4>
      </vt:variant>
    </vt:vector>
  </HeadingPairs>
  <TitlesOfParts>
    <vt:vector size="1" baseType="lpstr">
      <vt:lpstr>Therapeutic Goods Regulations 1990</vt:lpstr>
    </vt:vector>
  </TitlesOfParts>
  <Manager/>
  <Company/>
  <LinksUpToDate>false</LinksUpToDate>
  <CharactersWithSpaces>596987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Goods Regulations 1990</dc:title>
  <dc:subject/>
  <dc:creator/>
  <cp:keywords/>
  <dc:description/>
  <cp:lastModifiedBy/>
  <cp:revision>1</cp:revision>
  <cp:lastPrinted>2013-07-10T01:30:00Z</cp:lastPrinted>
  <dcterms:created xsi:type="dcterms:W3CDTF">2025-01-06T23:01:00Z</dcterms:created>
  <dcterms:modified xsi:type="dcterms:W3CDTF">2025-01-06T23:01:00Z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Therapeutic Goods Regulations 1990</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2023</vt:lpwstr>
  </property>
  <property fmtid="{D5CDD505-2E9C-101B-9397-08002B2CF9AE}" pid="11" name="EXCO">
    <vt:lpwstr> </vt:lpwstr>
  </property>
  <property fmtid="{D5CDD505-2E9C-101B-9397-08002B2CF9AE}" pid="12" name="Authority">
    <vt:lpwstr> </vt:lpwstr>
  </property>
  <property fmtid="{D5CDD505-2E9C-101B-9397-08002B2CF9AE}" pid="13" name="DoNotAsk">
    <vt:lpwstr>0</vt:lpwstr>
  </property>
  <property fmtid="{D5CDD505-2E9C-101B-9397-08002B2CF9AE}" pid="14" name="ChangedTitle">
    <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y fmtid="{D5CDD505-2E9C-101B-9397-08002B2CF9AE}" pid="18" name="CompilationNumber">
    <vt:lpwstr>123</vt:lpwstr>
  </property>
  <property fmtid="{D5CDD505-2E9C-101B-9397-08002B2CF9AE}" pid="19" name="StartDate">
    <vt:lpwstr>14 December 2024</vt:lpwstr>
  </property>
  <property fmtid="{D5CDD505-2E9C-101B-9397-08002B2CF9AE}" pid="20" name="PreparedDate">
    <vt:filetime>2016-02-15T13:00:00Z</vt:filetime>
  </property>
  <property fmtid="{D5CDD505-2E9C-101B-9397-08002B2CF9AE}" pid="21" name="RegisteredDate">
    <vt:lpwstr>10 July 2024</vt:lpwstr>
  </property>
  <property fmtid="{D5CDD505-2E9C-101B-9397-08002B2CF9AE}" pid="22" name="IncludesUpTo">
    <vt:lpwstr>F2024L01673</vt:lpwstr>
  </property>
</Properties>
</file>