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A" w:rsidRPr="00CC1D70" w:rsidRDefault="000E401A" w:rsidP="00F12203">
      <w:pPr>
        <w:rPr>
          <w:sz w:val="28"/>
        </w:rPr>
      </w:pPr>
      <w:bookmarkStart w:id="0" w:name="_GoBack"/>
      <w:bookmarkEnd w:id="0"/>
      <w:r w:rsidRPr="00CC1D70">
        <w:rPr>
          <w:noProof/>
          <w:lang w:eastAsia="en-AU"/>
        </w:rPr>
        <w:drawing>
          <wp:inline distT="0" distB="0" distL="0" distR="0" wp14:anchorId="7DEF3DB7" wp14:editId="5E1F947B">
            <wp:extent cx="1419225" cy="1104900"/>
            <wp:effectExtent l="0" t="0" r="9525" b="0"/>
            <wp:docPr id="3" name="Picture 3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1A" w:rsidRPr="00CC1D70" w:rsidRDefault="000E401A" w:rsidP="00F12203">
      <w:pPr>
        <w:pStyle w:val="ShortT"/>
        <w:spacing w:before="240"/>
      </w:pPr>
      <w:r w:rsidRPr="00CC1D70">
        <w:t>Superannuation (Self Managed Superannuation Funds) Supervisory Levy Imposition Regulations</w:t>
      </w:r>
      <w:r w:rsidR="00CC1D70">
        <w:t> </w:t>
      </w:r>
      <w:r w:rsidRPr="00CC1D70">
        <w:t>1991</w:t>
      </w:r>
    </w:p>
    <w:p w:rsidR="000E401A" w:rsidRPr="00CC1D70" w:rsidRDefault="000E401A" w:rsidP="00F12203">
      <w:pPr>
        <w:pStyle w:val="CompiledActNo"/>
        <w:spacing w:before="240"/>
      </w:pPr>
      <w:r w:rsidRPr="00CC1D70">
        <w:t>Statutory Rules No.</w:t>
      </w:r>
      <w:r w:rsidR="00CC1D70">
        <w:t> </w:t>
      </w:r>
      <w:r w:rsidRPr="00CC1D70">
        <w:t>154, 1991 as amended</w:t>
      </w:r>
    </w:p>
    <w:p w:rsidR="000E401A" w:rsidRPr="00CC1D70" w:rsidRDefault="00CC1D70" w:rsidP="00F12203">
      <w:pPr>
        <w:pStyle w:val="MadeunderText"/>
      </w:pPr>
      <w:r>
        <w:t>made under the</w:t>
      </w:r>
    </w:p>
    <w:p w:rsidR="000E401A" w:rsidRPr="00CC1D70" w:rsidRDefault="00CC1D70" w:rsidP="00F12203">
      <w:pPr>
        <w:pStyle w:val="CompiledMadeUnder"/>
        <w:spacing w:before="240"/>
      </w:pPr>
      <w:r>
        <w:t>Superannuation (Self Managed Superannuation Funds) Supervisory Levy Imposition Act 1991</w:t>
      </w:r>
    </w:p>
    <w:p w:rsidR="000E401A" w:rsidRPr="00CC1D70" w:rsidRDefault="000E401A" w:rsidP="00F12203">
      <w:pPr>
        <w:spacing w:before="1000"/>
        <w:rPr>
          <w:rFonts w:cs="Arial"/>
          <w:sz w:val="24"/>
        </w:rPr>
      </w:pPr>
      <w:r w:rsidRPr="00CC1D70">
        <w:rPr>
          <w:rFonts w:cs="Arial"/>
          <w:b/>
          <w:sz w:val="24"/>
        </w:rPr>
        <w:t xml:space="preserve">Compilation start date: </w:t>
      </w:r>
      <w:r w:rsidRPr="00CC1D70">
        <w:rPr>
          <w:rFonts w:cs="Arial"/>
          <w:b/>
          <w:sz w:val="24"/>
        </w:rPr>
        <w:tab/>
      </w:r>
      <w:r w:rsidRPr="00CC1D70">
        <w:rPr>
          <w:rFonts w:cs="Arial"/>
          <w:b/>
          <w:sz w:val="24"/>
        </w:rPr>
        <w:tab/>
      </w:r>
      <w:r w:rsidR="00857C64">
        <w:rPr>
          <w:rFonts w:cs="Arial"/>
          <w:sz w:val="24"/>
          <w:szCs w:val="24"/>
        </w:rPr>
        <w:t>1 July 2013</w:t>
      </w:r>
    </w:p>
    <w:p w:rsidR="000E401A" w:rsidRPr="00CC1D70" w:rsidRDefault="000E401A" w:rsidP="00F12203">
      <w:pPr>
        <w:spacing w:before="240"/>
        <w:rPr>
          <w:rFonts w:cs="Arial"/>
          <w:sz w:val="24"/>
        </w:rPr>
      </w:pPr>
      <w:r w:rsidRPr="00CC1D70">
        <w:rPr>
          <w:rFonts w:cs="Arial"/>
          <w:b/>
          <w:sz w:val="24"/>
        </w:rPr>
        <w:t>Includes amendments up to:</w:t>
      </w:r>
      <w:r w:rsidRPr="00CC1D70">
        <w:rPr>
          <w:rFonts w:cs="Arial"/>
          <w:b/>
          <w:sz w:val="24"/>
        </w:rPr>
        <w:tab/>
      </w:r>
      <w:r w:rsidRPr="00CC1D70">
        <w:rPr>
          <w:rFonts w:cs="Arial"/>
          <w:sz w:val="24"/>
        </w:rPr>
        <w:t>SLI</w:t>
      </w:r>
      <w:r w:rsidR="00CC1D70">
        <w:rPr>
          <w:rFonts w:cs="Arial"/>
          <w:sz w:val="24"/>
        </w:rPr>
        <w:t> </w:t>
      </w:r>
      <w:r w:rsidRPr="00CC1D70">
        <w:rPr>
          <w:rFonts w:cs="Arial"/>
          <w:sz w:val="24"/>
        </w:rPr>
        <w:t>No.</w:t>
      </w:r>
      <w:r w:rsidR="00CC1D70">
        <w:rPr>
          <w:rFonts w:cs="Arial"/>
          <w:sz w:val="24"/>
        </w:rPr>
        <w:t> </w:t>
      </w:r>
      <w:r w:rsidR="00857C64">
        <w:rPr>
          <w:rFonts w:cs="Arial"/>
          <w:sz w:val="24"/>
        </w:rPr>
        <w:t>116</w:t>
      </w:r>
      <w:r w:rsidR="00C728CB">
        <w:rPr>
          <w:rFonts w:cs="Arial"/>
          <w:sz w:val="24"/>
        </w:rPr>
        <w:t>, 2013</w:t>
      </w:r>
    </w:p>
    <w:p w:rsidR="000E401A" w:rsidRPr="00CC1D70" w:rsidRDefault="000E401A" w:rsidP="00F12203">
      <w:pPr>
        <w:spacing w:before="240"/>
        <w:rPr>
          <w:rFonts w:cs="Arial"/>
          <w:sz w:val="24"/>
        </w:rPr>
      </w:pPr>
    </w:p>
    <w:p w:rsidR="000E401A" w:rsidRPr="00CC1D70" w:rsidRDefault="000E401A" w:rsidP="00F12203">
      <w:pPr>
        <w:pageBreakBefore/>
        <w:rPr>
          <w:rFonts w:cs="Arial"/>
          <w:b/>
          <w:sz w:val="32"/>
          <w:szCs w:val="32"/>
        </w:rPr>
      </w:pPr>
      <w:r w:rsidRPr="00CC1D70">
        <w:rPr>
          <w:rFonts w:cs="Arial"/>
          <w:b/>
          <w:sz w:val="32"/>
          <w:szCs w:val="32"/>
        </w:rPr>
        <w:lastRenderedPageBreak/>
        <w:t>About this compilation</w:t>
      </w:r>
    </w:p>
    <w:p w:rsidR="000E401A" w:rsidRPr="00CC1D70" w:rsidRDefault="000E401A" w:rsidP="00F12203">
      <w:pPr>
        <w:spacing w:before="240"/>
        <w:rPr>
          <w:rFonts w:cs="Arial"/>
        </w:rPr>
      </w:pPr>
      <w:r w:rsidRPr="00CC1D70">
        <w:rPr>
          <w:rFonts w:cs="Arial"/>
          <w:b/>
          <w:szCs w:val="22"/>
        </w:rPr>
        <w:t>This compilation</w:t>
      </w:r>
    </w:p>
    <w:p w:rsidR="000E401A" w:rsidRPr="00CC1D70" w:rsidRDefault="000E401A" w:rsidP="00F12203">
      <w:pPr>
        <w:spacing w:before="120" w:after="120"/>
        <w:rPr>
          <w:rFonts w:cs="Arial"/>
          <w:szCs w:val="22"/>
        </w:rPr>
      </w:pPr>
      <w:r w:rsidRPr="00CC1D70">
        <w:rPr>
          <w:rFonts w:cs="Arial"/>
          <w:szCs w:val="22"/>
        </w:rPr>
        <w:t xml:space="preserve">This is a compilation of the </w:t>
      </w:r>
      <w:r w:rsidRPr="00CC1D70">
        <w:rPr>
          <w:rFonts w:cs="Arial"/>
          <w:i/>
          <w:szCs w:val="22"/>
        </w:rPr>
        <w:fldChar w:fldCharType="begin"/>
      </w:r>
      <w:r w:rsidRPr="00CC1D70">
        <w:rPr>
          <w:rFonts w:cs="Arial"/>
          <w:i/>
          <w:szCs w:val="22"/>
        </w:rPr>
        <w:instrText xml:space="preserve"> STYLEREF  ShortT </w:instrText>
      </w:r>
      <w:r w:rsidRPr="00CC1D70">
        <w:rPr>
          <w:rFonts w:cs="Arial"/>
          <w:i/>
          <w:szCs w:val="22"/>
        </w:rPr>
        <w:fldChar w:fldCharType="separate"/>
      </w:r>
      <w:r w:rsidR="00B22716">
        <w:rPr>
          <w:rFonts w:cs="Arial"/>
          <w:i/>
          <w:noProof/>
          <w:szCs w:val="22"/>
        </w:rPr>
        <w:t>Superannuation (Self Managed Superannuation Funds) Supervisory Levy Imposition Regulations 1991</w:t>
      </w:r>
      <w:r w:rsidRPr="00CC1D70">
        <w:rPr>
          <w:rFonts w:cs="Arial"/>
          <w:i/>
          <w:szCs w:val="22"/>
        </w:rPr>
        <w:fldChar w:fldCharType="end"/>
      </w:r>
      <w:r w:rsidRPr="00CC1D70">
        <w:rPr>
          <w:rFonts w:cs="Arial"/>
          <w:szCs w:val="22"/>
        </w:rPr>
        <w:t xml:space="preserve"> as in force on </w:t>
      </w:r>
      <w:r w:rsidR="00857C64">
        <w:rPr>
          <w:rFonts w:cs="Arial"/>
          <w:szCs w:val="22"/>
        </w:rPr>
        <w:t>1 July 2013</w:t>
      </w:r>
      <w:r w:rsidRPr="00CC1D70">
        <w:rPr>
          <w:rFonts w:cs="Arial"/>
          <w:szCs w:val="22"/>
        </w:rPr>
        <w:t xml:space="preserve">. It includes any commenced amendment affecting the </w:t>
      </w:r>
      <w:r w:rsidR="00857C64">
        <w:rPr>
          <w:rFonts w:cs="Arial"/>
          <w:szCs w:val="22"/>
        </w:rPr>
        <w:t>legislation</w:t>
      </w:r>
      <w:r w:rsidRPr="00CC1D70">
        <w:rPr>
          <w:rFonts w:cs="Arial"/>
          <w:szCs w:val="22"/>
        </w:rPr>
        <w:t xml:space="preserve"> to that date.</w:t>
      </w:r>
    </w:p>
    <w:p w:rsidR="000E401A" w:rsidRPr="00CC1D70" w:rsidRDefault="000E401A" w:rsidP="00F12203">
      <w:pPr>
        <w:spacing w:after="120"/>
        <w:rPr>
          <w:rFonts w:cs="Arial"/>
          <w:szCs w:val="22"/>
        </w:rPr>
      </w:pPr>
      <w:r w:rsidRPr="00CC1D70">
        <w:rPr>
          <w:rFonts w:cs="Arial"/>
          <w:szCs w:val="22"/>
        </w:rPr>
        <w:t xml:space="preserve">This compilation was prepared on </w:t>
      </w:r>
      <w:r w:rsidR="00857C64">
        <w:rPr>
          <w:rFonts w:cs="Arial"/>
          <w:szCs w:val="22"/>
        </w:rPr>
        <w:t>3 September 2013</w:t>
      </w:r>
      <w:r w:rsidRPr="00CC1D70">
        <w:rPr>
          <w:rFonts w:cs="Arial"/>
          <w:szCs w:val="22"/>
        </w:rPr>
        <w:t>.</w:t>
      </w:r>
    </w:p>
    <w:p w:rsidR="000E401A" w:rsidRPr="00CC1D70" w:rsidRDefault="000E401A" w:rsidP="00F12203">
      <w:pPr>
        <w:spacing w:after="120"/>
        <w:rPr>
          <w:rFonts w:cs="Arial"/>
          <w:szCs w:val="22"/>
        </w:rPr>
      </w:pPr>
      <w:r w:rsidRPr="00CC1D70">
        <w:rPr>
          <w:rFonts w:cs="Arial"/>
          <w:szCs w:val="22"/>
        </w:rPr>
        <w:t xml:space="preserve">The notes at the end of this compilation (the </w:t>
      </w:r>
      <w:r w:rsidRPr="00CC1D70">
        <w:rPr>
          <w:rFonts w:cs="Arial"/>
          <w:b/>
          <w:i/>
          <w:szCs w:val="22"/>
        </w:rPr>
        <w:t>endnotes</w:t>
      </w:r>
      <w:r w:rsidRPr="00CC1D70">
        <w:rPr>
          <w:rFonts w:cs="Arial"/>
          <w:szCs w:val="22"/>
        </w:rPr>
        <w:t>) include information about amending laws and the amendment history of each amended provision.</w:t>
      </w:r>
    </w:p>
    <w:p w:rsidR="000E401A" w:rsidRPr="00CC1D70" w:rsidRDefault="000E401A" w:rsidP="00F12203">
      <w:pPr>
        <w:tabs>
          <w:tab w:val="left" w:pos="5640"/>
        </w:tabs>
        <w:spacing w:before="120" w:after="120"/>
        <w:rPr>
          <w:rFonts w:cs="Arial"/>
          <w:b/>
          <w:szCs w:val="22"/>
        </w:rPr>
      </w:pPr>
      <w:r w:rsidRPr="00CC1D70">
        <w:rPr>
          <w:rFonts w:cs="Arial"/>
          <w:b/>
          <w:szCs w:val="22"/>
        </w:rPr>
        <w:t>Uncommenced amendments</w:t>
      </w:r>
    </w:p>
    <w:p w:rsidR="000E401A" w:rsidRPr="00CC1D70" w:rsidRDefault="000E401A" w:rsidP="00F12203">
      <w:pPr>
        <w:spacing w:after="120"/>
        <w:rPr>
          <w:rFonts w:cs="Arial"/>
          <w:szCs w:val="22"/>
        </w:rPr>
      </w:pPr>
      <w:r w:rsidRPr="00CC1D70">
        <w:rPr>
          <w:rFonts w:cs="Arial"/>
          <w:szCs w:val="22"/>
        </w:rPr>
        <w:t>The effect of uncommenced amendments is not reflected in the text of the compiled law but the text of the amendments is included in the endnotes.</w:t>
      </w:r>
    </w:p>
    <w:p w:rsidR="000E401A" w:rsidRPr="00CC1D70" w:rsidRDefault="000E401A" w:rsidP="00F12203">
      <w:pPr>
        <w:spacing w:before="120" w:after="120"/>
        <w:rPr>
          <w:rFonts w:cs="Arial"/>
          <w:b/>
          <w:szCs w:val="22"/>
        </w:rPr>
      </w:pPr>
      <w:r w:rsidRPr="00CC1D70">
        <w:rPr>
          <w:rFonts w:cs="Arial"/>
          <w:b/>
          <w:szCs w:val="22"/>
        </w:rPr>
        <w:t>Application, saving and transitional provisions for provisions and amendments</w:t>
      </w:r>
    </w:p>
    <w:p w:rsidR="000E401A" w:rsidRPr="00CC1D70" w:rsidRDefault="000E401A" w:rsidP="00F12203">
      <w:pPr>
        <w:spacing w:after="120"/>
        <w:rPr>
          <w:rFonts w:cs="Arial"/>
          <w:szCs w:val="22"/>
        </w:rPr>
      </w:pPr>
      <w:r w:rsidRPr="00CC1D70">
        <w:rPr>
          <w:rFonts w:cs="Arial"/>
          <w:szCs w:val="22"/>
        </w:rPr>
        <w:t>If the operation of a provision or amendment is affected by an application, saving or transitional provision that is not included in this compilation, details are included in the endnotes.</w:t>
      </w:r>
    </w:p>
    <w:p w:rsidR="000E401A" w:rsidRPr="00CC1D70" w:rsidRDefault="000E401A" w:rsidP="00F12203">
      <w:pPr>
        <w:spacing w:before="120" w:after="120"/>
        <w:rPr>
          <w:rFonts w:cs="Arial"/>
          <w:b/>
          <w:szCs w:val="22"/>
        </w:rPr>
      </w:pPr>
      <w:r w:rsidRPr="00CC1D70">
        <w:rPr>
          <w:rFonts w:cs="Arial"/>
          <w:b/>
          <w:szCs w:val="22"/>
        </w:rPr>
        <w:t>Modifications</w:t>
      </w:r>
    </w:p>
    <w:p w:rsidR="000E401A" w:rsidRPr="00CC1D70" w:rsidRDefault="000E401A" w:rsidP="00F12203">
      <w:pPr>
        <w:spacing w:after="120"/>
        <w:rPr>
          <w:rFonts w:cs="Arial"/>
          <w:szCs w:val="22"/>
        </w:rPr>
      </w:pPr>
      <w:r w:rsidRPr="00CC1D70">
        <w:rPr>
          <w:rFonts w:cs="Arial"/>
          <w:szCs w:val="22"/>
        </w:rPr>
        <w:t xml:space="preserve">If a provision of the compiled law is affected by a modification that is in force, details are included in the endnotes. </w:t>
      </w:r>
    </w:p>
    <w:p w:rsidR="000E401A" w:rsidRPr="00CC1D70" w:rsidRDefault="000E401A" w:rsidP="00F12203">
      <w:pPr>
        <w:spacing w:before="80" w:after="120"/>
        <w:rPr>
          <w:rFonts w:cs="Arial"/>
          <w:b/>
          <w:szCs w:val="22"/>
        </w:rPr>
      </w:pPr>
      <w:r w:rsidRPr="00CC1D70">
        <w:rPr>
          <w:rFonts w:cs="Arial"/>
          <w:b/>
          <w:szCs w:val="22"/>
        </w:rPr>
        <w:t>Provisions ceasing to have effect</w:t>
      </w:r>
    </w:p>
    <w:p w:rsidR="000E401A" w:rsidRPr="00CC1D70" w:rsidRDefault="000E401A" w:rsidP="00F12203">
      <w:pPr>
        <w:spacing w:after="120"/>
        <w:rPr>
          <w:rFonts w:cs="Arial"/>
        </w:rPr>
      </w:pPr>
      <w:r w:rsidRPr="00CC1D70">
        <w:rPr>
          <w:rFonts w:cs="Arial"/>
          <w:szCs w:val="22"/>
        </w:rPr>
        <w:t>If a provision of the compiled law has expired or otherwise ceased to have effect in accordance with a provision of the law, details are included in the endnotes.</w:t>
      </w:r>
    </w:p>
    <w:p w:rsidR="000E401A" w:rsidRPr="00CC1D70" w:rsidRDefault="000E401A" w:rsidP="00F12203"/>
    <w:p w:rsidR="000E401A" w:rsidRPr="00CC1D70" w:rsidRDefault="000E401A" w:rsidP="00F12203">
      <w:pPr>
        <w:pStyle w:val="Header"/>
        <w:tabs>
          <w:tab w:val="clear" w:pos="4150"/>
          <w:tab w:val="clear" w:pos="8307"/>
        </w:tabs>
      </w:pPr>
      <w:r w:rsidRPr="00CC1D70">
        <w:rPr>
          <w:rStyle w:val="CharChapNo"/>
        </w:rPr>
        <w:t xml:space="preserve"> </w:t>
      </w:r>
      <w:r w:rsidRPr="00CC1D70">
        <w:rPr>
          <w:rStyle w:val="CharChapText"/>
        </w:rPr>
        <w:t xml:space="preserve"> </w:t>
      </w:r>
    </w:p>
    <w:p w:rsidR="000E401A" w:rsidRPr="00CC1D70" w:rsidRDefault="000E401A" w:rsidP="00F12203">
      <w:pPr>
        <w:pStyle w:val="Header"/>
        <w:tabs>
          <w:tab w:val="clear" w:pos="4150"/>
          <w:tab w:val="clear" w:pos="8307"/>
        </w:tabs>
      </w:pPr>
      <w:r w:rsidRPr="00CC1D70">
        <w:rPr>
          <w:rStyle w:val="CharPartNo"/>
        </w:rPr>
        <w:t xml:space="preserve"> </w:t>
      </w:r>
      <w:r w:rsidRPr="00CC1D70">
        <w:rPr>
          <w:rStyle w:val="CharPartText"/>
        </w:rPr>
        <w:t xml:space="preserve"> </w:t>
      </w:r>
    </w:p>
    <w:p w:rsidR="000E401A" w:rsidRPr="00CC1D70" w:rsidRDefault="000E401A" w:rsidP="00F12203">
      <w:pPr>
        <w:pStyle w:val="Header"/>
        <w:tabs>
          <w:tab w:val="clear" w:pos="4150"/>
          <w:tab w:val="clear" w:pos="8307"/>
        </w:tabs>
      </w:pPr>
      <w:r w:rsidRPr="00CC1D70">
        <w:rPr>
          <w:rStyle w:val="CharDivNo"/>
        </w:rPr>
        <w:t xml:space="preserve"> </w:t>
      </w:r>
      <w:r w:rsidRPr="00CC1D70">
        <w:rPr>
          <w:rStyle w:val="CharDivText"/>
        </w:rPr>
        <w:t xml:space="preserve"> </w:t>
      </w:r>
    </w:p>
    <w:p w:rsidR="000E401A" w:rsidRPr="00CC1D70" w:rsidRDefault="000E401A" w:rsidP="00F12203">
      <w:pPr>
        <w:sectPr w:rsidR="000E401A" w:rsidRPr="00CC1D70" w:rsidSect="008138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titlePg/>
          <w:docGrid w:linePitch="360"/>
        </w:sectPr>
      </w:pPr>
    </w:p>
    <w:p w:rsidR="000E401A" w:rsidRPr="00CC1D70" w:rsidRDefault="000E401A" w:rsidP="00CC1D70">
      <w:pPr>
        <w:rPr>
          <w:sz w:val="36"/>
        </w:rPr>
      </w:pPr>
      <w:r w:rsidRPr="00CC1D70">
        <w:rPr>
          <w:sz w:val="36"/>
        </w:rPr>
        <w:lastRenderedPageBreak/>
        <w:t>Contents</w:t>
      </w:r>
    </w:p>
    <w:p w:rsidR="00C728CB" w:rsidRDefault="000E40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728CB">
        <w:fldChar w:fldCharType="begin"/>
      </w:r>
      <w:r w:rsidRPr="00CC1D70">
        <w:instrText xml:space="preserve"> TOC \o "1-9" </w:instrText>
      </w:r>
      <w:r w:rsidRPr="00C728CB">
        <w:fldChar w:fldCharType="separate"/>
      </w:r>
      <w:r w:rsidR="00C728CB">
        <w:rPr>
          <w:noProof/>
        </w:rPr>
        <w:t>1</w:t>
      </w:r>
      <w:r w:rsidR="00C728CB">
        <w:rPr>
          <w:noProof/>
        </w:rPr>
        <w:tab/>
        <w:t>Name of Regulations</w:t>
      </w:r>
      <w:r w:rsidR="00C728CB" w:rsidRPr="00C728CB">
        <w:rPr>
          <w:noProof/>
        </w:rPr>
        <w:tab/>
      </w:r>
      <w:r w:rsidR="00C728CB" w:rsidRPr="00C728CB">
        <w:rPr>
          <w:noProof/>
        </w:rPr>
        <w:fldChar w:fldCharType="begin"/>
      </w:r>
      <w:r w:rsidR="00C728CB" w:rsidRPr="00C728CB">
        <w:rPr>
          <w:noProof/>
        </w:rPr>
        <w:instrText xml:space="preserve"> PAGEREF _Toc366505622 \h </w:instrText>
      </w:r>
      <w:r w:rsidR="00C728CB" w:rsidRPr="00C728CB">
        <w:rPr>
          <w:noProof/>
        </w:rPr>
      </w:r>
      <w:r w:rsidR="00C728CB" w:rsidRPr="00C728CB">
        <w:rPr>
          <w:noProof/>
        </w:rPr>
        <w:fldChar w:fldCharType="separate"/>
      </w:r>
      <w:r w:rsidR="00C728CB" w:rsidRPr="00C728CB">
        <w:rPr>
          <w:noProof/>
        </w:rPr>
        <w:t>1</w:t>
      </w:r>
      <w:r w:rsidR="00C728CB" w:rsidRPr="00C728CB">
        <w:rPr>
          <w:noProof/>
        </w:rPr>
        <w:fldChar w:fldCharType="end"/>
      </w:r>
    </w:p>
    <w:p w:rsidR="00C728CB" w:rsidRDefault="00C72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728CB">
        <w:rPr>
          <w:noProof/>
        </w:rPr>
        <w:tab/>
      </w:r>
      <w:r w:rsidRPr="00C728CB">
        <w:rPr>
          <w:noProof/>
        </w:rPr>
        <w:fldChar w:fldCharType="begin"/>
      </w:r>
      <w:r w:rsidRPr="00C728CB">
        <w:rPr>
          <w:noProof/>
        </w:rPr>
        <w:instrText xml:space="preserve"> PAGEREF _Toc366505623 \h </w:instrText>
      </w:r>
      <w:r w:rsidRPr="00C728CB">
        <w:rPr>
          <w:noProof/>
        </w:rPr>
      </w:r>
      <w:r w:rsidRPr="00C728CB">
        <w:rPr>
          <w:noProof/>
        </w:rPr>
        <w:fldChar w:fldCharType="separate"/>
      </w:r>
      <w:r w:rsidRPr="00C728CB">
        <w:rPr>
          <w:noProof/>
        </w:rPr>
        <w:t>1</w:t>
      </w:r>
      <w:r w:rsidRPr="00C728CB">
        <w:rPr>
          <w:noProof/>
        </w:rPr>
        <w:fldChar w:fldCharType="end"/>
      </w:r>
    </w:p>
    <w:p w:rsidR="00C728CB" w:rsidRDefault="00C72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Definition</w:t>
      </w:r>
      <w:r w:rsidRPr="00C728CB">
        <w:rPr>
          <w:noProof/>
        </w:rPr>
        <w:tab/>
      </w:r>
      <w:r w:rsidRPr="00C728CB">
        <w:rPr>
          <w:noProof/>
        </w:rPr>
        <w:fldChar w:fldCharType="begin"/>
      </w:r>
      <w:r w:rsidRPr="00C728CB">
        <w:rPr>
          <w:noProof/>
        </w:rPr>
        <w:instrText xml:space="preserve"> PAGEREF _Toc366505624 \h </w:instrText>
      </w:r>
      <w:r w:rsidRPr="00C728CB">
        <w:rPr>
          <w:noProof/>
        </w:rPr>
      </w:r>
      <w:r w:rsidRPr="00C728CB">
        <w:rPr>
          <w:noProof/>
        </w:rPr>
        <w:fldChar w:fldCharType="separate"/>
      </w:r>
      <w:r w:rsidRPr="00C728CB">
        <w:rPr>
          <w:noProof/>
        </w:rPr>
        <w:t>1</w:t>
      </w:r>
      <w:r w:rsidRPr="00C728CB">
        <w:rPr>
          <w:noProof/>
        </w:rPr>
        <w:fldChar w:fldCharType="end"/>
      </w:r>
    </w:p>
    <w:p w:rsidR="00C728CB" w:rsidRDefault="00C72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Superannuation supervisory levy</w:t>
      </w:r>
      <w:r w:rsidRPr="00C728CB">
        <w:rPr>
          <w:noProof/>
        </w:rPr>
        <w:tab/>
      </w:r>
      <w:r w:rsidRPr="00C728CB">
        <w:rPr>
          <w:noProof/>
        </w:rPr>
        <w:fldChar w:fldCharType="begin"/>
      </w:r>
      <w:r w:rsidRPr="00C728CB">
        <w:rPr>
          <w:noProof/>
        </w:rPr>
        <w:instrText xml:space="preserve"> PAGEREF _Toc366505625 \h </w:instrText>
      </w:r>
      <w:r w:rsidRPr="00C728CB">
        <w:rPr>
          <w:noProof/>
        </w:rPr>
      </w:r>
      <w:r w:rsidRPr="00C728CB">
        <w:rPr>
          <w:noProof/>
        </w:rPr>
        <w:fldChar w:fldCharType="separate"/>
      </w:r>
      <w:r w:rsidRPr="00C728CB">
        <w:rPr>
          <w:noProof/>
        </w:rPr>
        <w:t>1</w:t>
      </w:r>
      <w:r w:rsidRPr="00C728CB">
        <w:rPr>
          <w:noProof/>
        </w:rPr>
        <w:fldChar w:fldCharType="end"/>
      </w:r>
    </w:p>
    <w:p w:rsidR="00C728CB" w:rsidRDefault="00C72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Endnotes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_Toc366505626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2</w:t>
      </w:r>
      <w:r w:rsidRPr="00C728CB">
        <w:rPr>
          <w:b w:val="0"/>
          <w:noProof/>
          <w:sz w:val="18"/>
        </w:rPr>
        <w:fldChar w:fldCharType="end"/>
      </w:r>
    </w:p>
    <w:p w:rsidR="00C728CB" w:rsidRDefault="00C728C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1—About the endnotes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_Toc366505627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2</w:t>
      </w:r>
      <w:r w:rsidRPr="00C728CB">
        <w:rPr>
          <w:b w:val="0"/>
          <w:noProof/>
          <w:sz w:val="18"/>
        </w:rPr>
        <w:fldChar w:fldCharType="end"/>
      </w:r>
    </w:p>
    <w:p w:rsidR="00C728CB" w:rsidRDefault="00C728C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2—Abbreviation key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_Toc366505628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4</w:t>
      </w:r>
      <w:r w:rsidRPr="00C728CB">
        <w:rPr>
          <w:b w:val="0"/>
          <w:noProof/>
          <w:sz w:val="18"/>
        </w:rPr>
        <w:fldChar w:fldCharType="end"/>
      </w:r>
    </w:p>
    <w:p w:rsidR="00C728CB" w:rsidRDefault="00C728C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3—Legislation history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_Toc366505629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5</w:t>
      </w:r>
      <w:r w:rsidRPr="00C728CB">
        <w:rPr>
          <w:b w:val="0"/>
          <w:noProof/>
          <w:sz w:val="18"/>
        </w:rPr>
        <w:fldChar w:fldCharType="end"/>
      </w:r>
    </w:p>
    <w:p w:rsidR="00C728CB" w:rsidRDefault="00C728C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4—Amendment history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_Toc366505630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6</w:t>
      </w:r>
      <w:r w:rsidRPr="00C728CB">
        <w:rPr>
          <w:b w:val="0"/>
          <w:noProof/>
          <w:sz w:val="18"/>
        </w:rPr>
        <w:fldChar w:fldCharType="end"/>
      </w:r>
    </w:p>
    <w:p w:rsidR="00C728CB" w:rsidRDefault="00C728C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5—Uncommenced amendments [none]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_Toc366505631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7</w:t>
      </w:r>
      <w:r w:rsidRPr="00C728CB">
        <w:rPr>
          <w:b w:val="0"/>
          <w:noProof/>
          <w:sz w:val="18"/>
        </w:rPr>
        <w:fldChar w:fldCharType="end"/>
      </w:r>
    </w:p>
    <w:p w:rsidR="00C728CB" w:rsidRDefault="00C728C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6—Modifications [none]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_Toc366505632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7</w:t>
      </w:r>
      <w:r w:rsidRPr="00C728CB">
        <w:rPr>
          <w:b w:val="0"/>
          <w:noProof/>
          <w:sz w:val="18"/>
        </w:rPr>
        <w:fldChar w:fldCharType="end"/>
      </w:r>
    </w:p>
    <w:p w:rsidR="00C728CB" w:rsidRDefault="00C728C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7—Misdescribed amendments [none]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_Toc366505633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7</w:t>
      </w:r>
      <w:r w:rsidRPr="00C728CB">
        <w:rPr>
          <w:b w:val="0"/>
          <w:noProof/>
          <w:sz w:val="18"/>
        </w:rPr>
        <w:fldChar w:fldCharType="end"/>
      </w:r>
    </w:p>
    <w:p w:rsidR="00C728CB" w:rsidRPr="00C728CB" w:rsidRDefault="00C728CB">
      <w:pPr>
        <w:pStyle w:val="TOC3"/>
        <w:rPr>
          <w:rFonts w:eastAsiaTheme="minorEastAsia"/>
          <w:b w:val="0"/>
          <w:noProof/>
          <w:kern w:val="0"/>
          <w:sz w:val="18"/>
          <w:szCs w:val="22"/>
        </w:rPr>
      </w:pPr>
      <w:r>
        <w:rPr>
          <w:noProof/>
        </w:rPr>
        <w:t>Endnote 8—Miscellaneous [none]</w:t>
      </w:r>
      <w:r w:rsidRPr="00C728CB">
        <w:rPr>
          <w:b w:val="0"/>
          <w:noProof/>
          <w:sz w:val="18"/>
        </w:rPr>
        <w:tab/>
      </w:r>
      <w:r w:rsidRPr="00C728CB">
        <w:rPr>
          <w:b w:val="0"/>
          <w:noProof/>
          <w:sz w:val="18"/>
        </w:rPr>
        <w:fldChar w:fldCharType="begin"/>
      </w:r>
      <w:r w:rsidRPr="00C728CB">
        <w:rPr>
          <w:b w:val="0"/>
          <w:noProof/>
          <w:sz w:val="18"/>
        </w:rPr>
        <w:instrText xml:space="preserve"> PAGEREF _Toc366505634 \h </w:instrText>
      </w:r>
      <w:r w:rsidRPr="00C728CB">
        <w:rPr>
          <w:b w:val="0"/>
          <w:noProof/>
          <w:sz w:val="18"/>
        </w:rPr>
      </w:r>
      <w:r w:rsidRPr="00C728CB">
        <w:rPr>
          <w:b w:val="0"/>
          <w:noProof/>
          <w:sz w:val="18"/>
        </w:rPr>
        <w:fldChar w:fldCharType="separate"/>
      </w:r>
      <w:r w:rsidRPr="00C728CB">
        <w:rPr>
          <w:b w:val="0"/>
          <w:noProof/>
          <w:sz w:val="18"/>
        </w:rPr>
        <w:t>7</w:t>
      </w:r>
      <w:r w:rsidRPr="00C728CB">
        <w:rPr>
          <w:b w:val="0"/>
          <w:noProof/>
          <w:sz w:val="18"/>
        </w:rPr>
        <w:fldChar w:fldCharType="end"/>
      </w:r>
    </w:p>
    <w:p w:rsidR="000E401A" w:rsidRPr="00CC1D70" w:rsidRDefault="000E401A" w:rsidP="000E401A">
      <w:r w:rsidRPr="00C728CB">
        <w:rPr>
          <w:rFonts w:cs="Times New Roman"/>
          <w:sz w:val="18"/>
        </w:rPr>
        <w:fldChar w:fldCharType="end"/>
      </w:r>
    </w:p>
    <w:p w:rsidR="008B6495" w:rsidRPr="00CC1D70" w:rsidRDefault="008B6495" w:rsidP="00F12203">
      <w:pPr>
        <w:sectPr w:rsidR="008B6495" w:rsidRPr="00CC1D70" w:rsidSect="0081383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1" w:name="OPCSB_ContentsB5"/>
    </w:p>
    <w:bookmarkEnd w:id="1"/>
    <w:p w:rsidR="002A519B" w:rsidRPr="00CC1D70" w:rsidRDefault="000E401A" w:rsidP="000C01A8">
      <w:pPr>
        <w:pStyle w:val="Header"/>
        <w:pageBreakBefore/>
      </w:pPr>
      <w:r w:rsidRPr="00CC1D70">
        <w:t xml:space="preserve">  </w:t>
      </w:r>
    </w:p>
    <w:p w:rsidR="002A519B" w:rsidRPr="00CC1D70" w:rsidRDefault="000E401A" w:rsidP="002A519B">
      <w:pPr>
        <w:pStyle w:val="Header"/>
      </w:pPr>
      <w:r w:rsidRPr="00CC1D70">
        <w:t xml:space="preserve">  </w:t>
      </w:r>
    </w:p>
    <w:p w:rsidR="002A519B" w:rsidRPr="00CC1D70" w:rsidRDefault="002A519B" w:rsidP="000E401A">
      <w:pPr>
        <w:pStyle w:val="ActHead5"/>
      </w:pPr>
      <w:bookmarkStart w:id="2" w:name="_Toc366505622"/>
      <w:r w:rsidRPr="00CC1D70">
        <w:rPr>
          <w:rStyle w:val="CharSectno"/>
        </w:rPr>
        <w:t>1</w:t>
      </w:r>
      <w:r w:rsidR="000E401A" w:rsidRPr="00CC1D70">
        <w:t xml:space="preserve">  </w:t>
      </w:r>
      <w:r w:rsidRPr="00CC1D70">
        <w:t>Name of Regulations</w:t>
      </w:r>
      <w:bookmarkEnd w:id="2"/>
    </w:p>
    <w:p w:rsidR="002A519B" w:rsidRPr="00CC1D70" w:rsidRDefault="002A519B" w:rsidP="000E401A">
      <w:pPr>
        <w:pStyle w:val="subsection"/>
      </w:pPr>
      <w:r w:rsidRPr="00CC1D70">
        <w:tab/>
      </w:r>
      <w:r w:rsidRPr="00CC1D70">
        <w:tab/>
        <w:t xml:space="preserve">These Regulations are the </w:t>
      </w:r>
      <w:r w:rsidRPr="00CC1D70">
        <w:rPr>
          <w:i/>
        </w:rPr>
        <w:t>Superannuation (Self Managed Superannuation Funds) Supervisory Levy Imposition Regulations</w:t>
      </w:r>
      <w:r w:rsidR="00CC1D70">
        <w:rPr>
          <w:i/>
        </w:rPr>
        <w:t> </w:t>
      </w:r>
      <w:r w:rsidRPr="00CC1D70">
        <w:rPr>
          <w:i/>
        </w:rPr>
        <w:t>1991</w:t>
      </w:r>
      <w:r w:rsidRPr="00CC1D70">
        <w:t>.</w:t>
      </w:r>
    </w:p>
    <w:p w:rsidR="002A519B" w:rsidRPr="00CC1D70" w:rsidRDefault="002A519B" w:rsidP="000E401A">
      <w:pPr>
        <w:pStyle w:val="ActHead5"/>
        <w:rPr>
          <w:sz w:val="18"/>
        </w:rPr>
      </w:pPr>
      <w:bookmarkStart w:id="3" w:name="_Toc366505623"/>
      <w:r w:rsidRPr="00CC1D70">
        <w:rPr>
          <w:rStyle w:val="CharSectno"/>
        </w:rPr>
        <w:t>2</w:t>
      </w:r>
      <w:r w:rsidR="000E401A" w:rsidRPr="00CC1D70">
        <w:t xml:space="preserve">  </w:t>
      </w:r>
      <w:r w:rsidRPr="00CC1D70">
        <w:t>Commencement</w:t>
      </w:r>
      <w:bookmarkEnd w:id="3"/>
    </w:p>
    <w:p w:rsidR="002A519B" w:rsidRPr="00CC1D70" w:rsidRDefault="002A519B" w:rsidP="000E401A">
      <w:pPr>
        <w:pStyle w:val="subsection"/>
      </w:pPr>
      <w:r w:rsidRPr="00CC1D70">
        <w:tab/>
      </w:r>
      <w:r w:rsidRPr="00CC1D70">
        <w:tab/>
        <w:t>These Regulations commence on 1</w:t>
      </w:r>
      <w:r w:rsidR="00CC1D70">
        <w:t> </w:t>
      </w:r>
      <w:r w:rsidRPr="00CC1D70">
        <w:t>July 1991.</w:t>
      </w:r>
    </w:p>
    <w:p w:rsidR="002A519B" w:rsidRPr="00CC1D70" w:rsidRDefault="002A519B" w:rsidP="000E401A">
      <w:pPr>
        <w:pStyle w:val="ActHead5"/>
        <w:rPr>
          <w:i/>
        </w:rPr>
      </w:pPr>
      <w:bookmarkStart w:id="4" w:name="_Toc366505624"/>
      <w:r w:rsidRPr="00CC1D70">
        <w:rPr>
          <w:rStyle w:val="CharSectno"/>
        </w:rPr>
        <w:t>3</w:t>
      </w:r>
      <w:r w:rsidR="000E401A" w:rsidRPr="00CC1D70">
        <w:t xml:space="preserve">  </w:t>
      </w:r>
      <w:r w:rsidRPr="00CC1D70">
        <w:t>Definition</w:t>
      </w:r>
      <w:bookmarkEnd w:id="4"/>
    </w:p>
    <w:p w:rsidR="002A519B" w:rsidRPr="00CC1D70" w:rsidRDefault="002A519B" w:rsidP="000E401A">
      <w:pPr>
        <w:pStyle w:val="subsection"/>
      </w:pPr>
      <w:r w:rsidRPr="00CC1D70">
        <w:tab/>
      </w:r>
      <w:r w:rsidRPr="00CC1D70">
        <w:tab/>
        <w:t>In these Regulations:</w:t>
      </w:r>
    </w:p>
    <w:p w:rsidR="002A519B" w:rsidRPr="00CC1D70" w:rsidRDefault="002A519B" w:rsidP="000E401A">
      <w:pPr>
        <w:pStyle w:val="Definition"/>
      </w:pPr>
      <w:r w:rsidRPr="00CC1D70">
        <w:rPr>
          <w:b/>
          <w:i/>
        </w:rPr>
        <w:t xml:space="preserve">Act </w:t>
      </w:r>
      <w:r w:rsidRPr="00CC1D70">
        <w:t xml:space="preserve">means the </w:t>
      </w:r>
      <w:r w:rsidRPr="00CC1D70">
        <w:rPr>
          <w:i/>
        </w:rPr>
        <w:t>Superannuation (Self Managed Superannuation Funds) Supervisory Levy Imposition Act 1991</w:t>
      </w:r>
      <w:r w:rsidRPr="00CC1D70">
        <w:t>.</w:t>
      </w:r>
    </w:p>
    <w:p w:rsidR="00E60A64" w:rsidRPr="00CC1D70" w:rsidRDefault="00E60A64" w:rsidP="000E401A">
      <w:pPr>
        <w:pStyle w:val="ActHead5"/>
      </w:pPr>
      <w:bookmarkStart w:id="5" w:name="_Toc366505625"/>
      <w:r w:rsidRPr="00CC1D70">
        <w:rPr>
          <w:rStyle w:val="CharSectno"/>
        </w:rPr>
        <w:t>4</w:t>
      </w:r>
      <w:r w:rsidR="000E401A" w:rsidRPr="00CC1D70">
        <w:t xml:space="preserve">  </w:t>
      </w:r>
      <w:r w:rsidRPr="00CC1D70">
        <w:t>Superannuation supervisory levy</w:t>
      </w:r>
      <w:bookmarkEnd w:id="5"/>
    </w:p>
    <w:p w:rsidR="00E60A64" w:rsidRPr="00CC1D70" w:rsidRDefault="00E60A64" w:rsidP="000E401A">
      <w:pPr>
        <w:pStyle w:val="subsection"/>
      </w:pPr>
      <w:r w:rsidRPr="00CC1D70">
        <w:tab/>
        <w:t>(1)</w:t>
      </w:r>
      <w:r w:rsidRPr="00CC1D70">
        <w:tab/>
        <w:t>This regulation is made for section</w:t>
      </w:r>
      <w:r w:rsidR="00CC1D70">
        <w:t> </w:t>
      </w:r>
      <w:r w:rsidRPr="00CC1D70">
        <w:t>6 of the Act.</w:t>
      </w:r>
    </w:p>
    <w:p w:rsidR="002B7BF4" w:rsidRPr="00854148" w:rsidRDefault="002B7BF4" w:rsidP="002B7BF4">
      <w:pPr>
        <w:pStyle w:val="subsection"/>
      </w:pPr>
      <w:r w:rsidRPr="00854148">
        <w:tab/>
        <w:t>(2)</w:t>
      </w:r>
      <w:r w:rsidRPr="00854148">
        <w:tab/>
        <w:t>The amount of the levy payable for the year of income ending on 30 June 2014, and for each year of income after that, is $259.</w:t>
      </w:r>
    </w:p>
    <w:p w:rsidR="002A519B" w:rsidRPr="00CC1D70" w:rsidRDefault="002A519B" w:rsidP="009E4A9E"/>
    <w:p w:rsidR="000E401A" w:rsidRPr="00CC1D70" w:rsidRDefault="000E401A" w:rsidP="00F12203">
      <w:pPr>
        <w:sectPr w:rsidR="000E401A" w:rsidRPr="00CC1D70" w:rsidSect="0081383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2381" w:right="2410" w:bottom="4253" w:left="2410" w:header="720" w:footer="3402" w:gutter="0"/>
          <w:pgNumType w:start="1"/>
          <w:cols w:space="708"/>
          <w:docGrid w:linePitch="360"/>
        </w:sectPr>
      </w:pPr>
      <w:bookmarkStart w:id="6" w:name="OPCSB_BodyPrincipleB5"/>
    </w:p>
    <w:p w:rsidR="000E401A" w:rsidRPr="00CC1D70" w:rsidRDefault="000E401A" w:rsidP="00CC1D70">
      <w:pPr>
        <w:pStyle w:val="ENotesHeading1"/>
        <w:pageBreakBefore/>
        <w:outlineLvl w:val="9"/>
      </w:pPr>
      <w:bookmarkStart w:id="7" w:name="_Toc366505626"/>
      <w:bookmarkEnd w:id="6"/>
      <w:r w:rsidRPr="00CC1D70">
        <w:t>Endnotes</w:t>
      </w:r>
      <w:bookmarkEnd w:id="7"/>
    </w:p>
    <w:p w:rsidR="00BC12B8" w:rsidRPr="00BC57F4" w:rsidRDefault="00BC12B8" w:rsidP="00F12203">
      <w:pPr>
        <w:pStyle w:val="ENotesHeading2"/>
      </w:pPr>
      <w:bookmarkStart w:id="8" w:name="_Toc366505627"/>
      <w:r w:rsidRPr="00BC57F4">
        <w:t>Endnote 1—About the endnotes</w:t>
      </w:r>
      <w:bookmarkEnd w:id="8"/>
    </w:p>
    <w:p w:rsidR="00BC12B8" w:rsidRPr="00BC57F4" w:rsidRDefault="00BC12B8" w:rsidP="00F12203">
      <w:r w:rsidRPr="00BC57F4">
        <w:t xml:space="preserve">The endnotes provide details of the history of this </w:t>
      </w:r>
      <w:r w:rsidR="002B7BF4">
        <w:t>legislation</w:t>
      </w:r>
      <w:r w:rsidRPr="00BC57F4">
        <w:t xml:space="preserve"> and its provisions. The following endnotes are included in each compilation:</w:t>
      </w:r>
    </w:p>
    <w:p w:rsidR="00BC12B8" w:rsidRPr="00BC57F4" w:rsidRDefault="00BC12B8" w:rsidP="00F12203"/>
    <w:p w:rsidR="00BC12B8" w:rsidRPr="00BC57F4" w:rsidRDefault="00BC12B8" w:rsidP="00F12203">
      <w:r w:rsidRPr="00BC57F4">
        <w:t>Endnote 1—About the endnotes</w:t>
      </w:r>
    </w:p>
    <w:p w:rsidR="00BC12B8" w:rsidRPr="00BC57F4" w:rsidRDefault="00BC12B8" w:rsidP="00F12203">
      <w:r w:rsidRPr="00BC57F4">
        <w:t>Endnote 2—Abbreviation key</w:t>
      </w:r>
    </w:p>
    <w:p w:rsidR="00BC12B8" w:rsidRPr="00BC57F4" w:rsidRDefault="00BC12B8" w:rsidP="00F12203">
      <w:r w:rsidRPr="00BC57F4">
        <w:t>Endnote 3—Legislation history</w:t>
      </w:r>
    </w:p>
    <w:p w:rsidR="00BC12B8" w:rsidRPr="00BC57F4" w:rsidRDefault="00BC12B8" w:rsidP="00F12203">
      <w:r w:rsidRPr="00BC57F4">
        <w:t>Endnote 4—Amendment history</w:t>
      </w:r>
    </w:p>
    <w:p w:rsidR="00BC12B8" w:rsidRPr="00BC57F4" w:rsidRDefault="00BC12B8" w:rsidP="00F12203">
      <w:r w:rsidRPr="00BC57F4">
        <w:t>Endnote 5—Uncommenced amendments</w:t>
      </w:r>
    </w:p>
    <w:p w:rsidR="00BC12B8" w:rsidRPr="00BC57F4" w:rsidRDefault="00BC12B8" w:rsidP="00F12203">
      <w:r w:rsidRPr="00BC57F4">
        <w:t>Endnote 6—Modifications</w:t>
      </w:r>
    </w:p>
    <w:p w:rsidR="00BC12B8" w:rsidRPr="00BC57F4" w:rsidRDefault="00BC12B8" w:rsidP="00F12203">
      <w:r w:rsidRPr="00BC57F4">
        <w:t>Endnote 7—Misdescribed amendments</w:t>
      </w:r>
    </w:p>
    <w:p w:rsidR="00BC12B8" w:rsidRPr="00BC57F4" w:rsidRDefault="00BC12B8" w:rsidP="00F12203">
      <w:r w:rsidRPr="00BC57F4">
        <w:t>Endnote 8—Miscellaneous</w:t>
      </w:r>
    </w:p>
    <w:p w:rsidR="00BC12B8" w:rsidRPr="00BC57F4" w:rsidRDefault="00BC12B8" w:rsidP="00F12203">
      <w:pPr>
        <w:rPr>
          <w:b/>
        </w:rPr>
      </w:pPr>
    </w:p>
    <w:p w:rsidR="00BC12B8" w:rsidRPr="00BC57F4" w:rsidRDefault="00BC12B8" w:rsidP="00F12203">
      <w:r w:rsidRPr="00BC57F4">
        <w:t>If there is no information under a particular endnote, the word “none” will appear in square brackets after the endnote heading.</w:t>
      </w:r>
    </w:p>
    <w:p w:rsidR="00BC12B8" w:rsidRPr="00BC57F4" w:rsidRDefault="00BC12B8" w:rsidP="00F12203">
      <w:pPr>
        <w:rPr>
          <w:b/>
        </w:rPr>
      </w:pPr>
    </w:p>
    <w:p w:rsidR="00BC12B8" w:rsidRPr="00BC57F4" w:rsidRDefault="00BC12B8" w:rsidP="00F12203">
      <w:r w:rsidRPr="00BC57F4">
        <w:rPr>
          <w:b/>
        </w:rPr>
        <w:t>Abbreviation key—</w:t>
      </w:r>
      <w:r>
        <w:rPr>
          <w:b/>
        </w:rPr>
        <w:t>E</w:t>
      </w:r>
      <w:r w:rsidRPr="00BC57F4">
        <w:rPr>
          <w:b/>
        </w:rPr>
        <w:t>ndnote 2</w:t>
      </w:r>
    </w:p>
    <w:p w:rsidR="00BC12B8" w:rsidRPr="00BC57F4" w:rsidRDefault="00BC12B8" w:rsidP="00F12203">
      <w:r w:rsidRPr="00BC57F4">
        <w:t xml:space="preserve">The abbreviation key in this endnote sets out abbreviations </w:t>
      </w:r>
      <w:r>
        <w:t xml:space="preserve">that may be </w:t>
      </w:r>
      <w:r w:rsidRPr="00BC57F4">
        <w:t>used in the endnotes.</w:t>
      </w:r>
    </w:p>
    <w:p w:rsidR="00BC12B8" w:rsidRPr="00BC57F4" w:rsidRDefault="00BC12B8" w:rsidP="00F12203"/>
    <w:p w:rsidR="00BC12B8" w:rsidRPr="00BC57F4" w:rsidRDefault="00BC12B8" w:rsidP="00F12203">
      <w:pPr>
        <w:rPr>
          <w:b/>
        </w:rPr>
      </w:pPr>
      <w:r w:rsidRPr="00BC57F4">
        <w:rPr>
          <w:b/>
        </w:rPr>
        <w:t>Legislation history and amendment history—</w:t>
      </w:r>
      <w:r>
        <w:rPr>
          <w:b/>
        </w:rPr>
        <w:t>E</w:t>
      </w:r>
      <w:r w:rsidRPr="00BC57F4">
        <w:rPr>
          <w:b/>
        </w:rPr>
        <w:t>ndnotes 3 and 4</w:t>
      </w:r>
    </w:p>
    <w:p w:rsidR="00BC12B8" w:rsidRPr="00BC57F4" w:rsidRDefault="00BC12B8" w:rsidP="00F12203">
      <w:r w:rsidRPr="00BC57F4">
        <w:t>Amending laws are annotated in the legislation history and amendment history.</w:t>
      </w:r>
    </w:p>
    <w:p w:rsidR="00BC12B8" w:rsidRPr="00BC57F4" w:rsidRDefault="00BC12B8" w:rsidP="00F12203"/>
    <w:p w:rsidR="00BC12B8" w:rsidRPr="00BC57F4" w:rsidRDefault="00BC12B8" w:rsidP="00F12203">
      <w:r w:rsidRPr="00BC57F4">
        <w:t>The legislation history in endnote 3 provides information about each law that has amended the compiled law</w:t>
      </w:r>
      <w:r>
        <w:t xml:space="preserve">. </w:t>
      </w:r>
      <w:r w:rsidRPr="00BC57F4">
        <w:t xml:space="preserve">The information includes commencement information for amending laws and details of application, saving </w:t>
      </w:r>
      <w:r>
        <w:t>or</w:t>
      </w:r>
      <w:r w:rsidRPr="00BC57F4">
        <w:t xml:space="preserve"> transitional provisions that are not</w:t>
      </w:r>
      <w:r>
        <w:t xml:space="preserve"> included in this compilation.</w:t>
      </w:r>
    </w:p>
    <w:p w:rsidR="00BC12B8" w:rsidRPr="00BC57F4" w:rsidRDefault="00BC12B8" w:rsidP="00F12203"/>
    <w:p w:rsidR="00BC12B8" w:rsidRPr="00BC57F4" w:rsidRDefault="00BC12B8" w:rsidP="00F12203">
      <w:r w:rsidRPr="00BC57F4">
        <w:t xml:space="preserve">The amendment history in endnote 4 provides information about amendments at the provision level. It also includes information about any provisions that have expired or otherwise ceased to have effect in accordance with a provision of the compiled law. </w:t>
      </w:r>
    </w:p>
    <w:p w:rsidR="00BC12B8" w:rsidRPr="00BC57F4" w:rsidRDefault="00BC12B8" w:rsidP="00F12203">
      <w:pPr>
        <w:rPr>
          <w:b/>
        </w:rPr>
      </w:pPr>
    </w:p>
    <w:p w:rsidR="00BC12B8" w:rsidRPr="00BC57F4" w:rsidRDefault="00BC12B8" w:rsidP="00C728CB">
      <w:pPr>
        <w:pageBreakBefore/>
        <w:rPr>
          <w:b/>
        </w:rPr>
      </w:pPr>
      <w:r w:rsidRPr="00BC57F4">
        <w:rPr>
          <w:b/>
        </w:rPr>
        <w:t>Uncommenced amendments—</w:t>
      </w:r>
      <w:r>
        <w:rPr>
          <w:b/>
        </w:rPr>
        <w:t>E</w:t>
      </w:r>
      <w:r w:rsidRPr="00BC57F4">
        <w:rPr>
          <w:b/>
        </w:rPr>
        <w:t>ndnote 5</w:t>
      </w:r>
    </w:p>
    <w:p w:rsidR="00BC12B8" w:rsidRDefault="00BC12B8" w:rsidP="00F12203">
      <w:r w:rsidRPr="00BC57F4">
        <w:t xml:space="preserve">The effect of uncommenced amendments is not reflected in the text of the compiled law, but the text of the amendments </w:t>
      </w:r>
      <w:r>
        <w:t>is</w:t>
      </w:r>
      <w:r w:rsidRPr="00BC57F4">
        <w:t xml:space="preserve"> included in endnote 5.</w:t>
      </w:r>
    </w:p>
    <w:p w:rsidR="002B7BF4" w:rsidRPr="00BC57F4" w:rsidRDefault="002B7BF4" w:rsidP="00F12203"/>
    <w:p w:rsidR="00BC12B8" w:rsidRPr="00BC57F4" w:rsidRDefault="00BC12B8" w:rsidP="00F12203">
      <w:pPr>
        <w:keepNext/>
        <w:rPr>
          <w:b/>
        </w:rPr>
      </w:pPr>
      <w:r w:rsidRPr="00BC57F4">
        <w:rPr>
          <w:b/>
        </w:rPr>
        <w:t>Modifications—</w:t>
      </w:r>
      <w:r>
        <w:rPr>
          <w:b/>
        </w:rPr>
        <w:t>E</w:t>
      </w:r>
      <w:r w:rsidRPr="00BC57F4">
        <w:rPr>
          <w:b/>
        </w:rPr>
        <w:t>ndnote 6</w:t>
      </w:r>
    </w:p>
    <w:p w:rsidR="00BC12B8" w:rsidRPr="00BC57F4" w:rsidRDefault="00BC12B8" w:rsidP="00F12203">
      <w:r w:rsidRPr="00BC57F4">
        <w:t>If the compiled law is affected by a modification that is in force, details of the modification are included in endnote 6.</w:t>
      </w:r>
    </w:p>
    <w:p w:rsidR="00BC12B8" w:rsidRPr="00BC57F4" w:rsidRDefault="00BC12B8" w:rsidP="00F12203"/>
    <w:p w:rsidR="00BC12B8" w:rsidRPr="00BC57F4" w:rsidRDefault="00BC12B8" w:rsidP="00F12203">
      <w:pPr>
        <w:keepNext/>
      </w:pPr>
      <w:r w:rsidRPr="00BC57F4">
        <w:rPr>
          <w:b/>
        </w:rPr>
        <w:t>Misdescribed amendments—</w:t>
      </w:r>
      <w:r>
        <w:rPr>
          <w:b/>
        </w:rPr>
        <w:t>E</w:t>
      </w:r>
      <w:r w:rsidRPr="00BC57F4">
        <w:rPr>
          <w:b/>
        </w:rPr>
        <w:t>ndnote 7</w:t>
      </w:r>
    </w:p>
    <w:p w:rsidR="00BC12B8" w:rsidRPr="00BC57F4" w:rsidRDefault="00BC12B8" w:rsidP="00F12203">
      <w:r w:rsidRPr="00BC57F4">
        <w:t>An amendment is a misdescribed amendment if the effect of the amendment cannot be incorporated into the text of the compilation</w:t>
      </w:r>
      <w:r>
        <w:t>.</w:t>
      </w:r>
      <w:r w:rsidRPr="00BC57F4">
        <w:t xml:space="preserve"> Any misdescribed amendment is included in endnote </w:t>
      </w:r>
      <w:r>
        <w:t>7</w:t>
      </w:r>
      <w:r w:rsidRPr="00BC57F4">
        <w:t>.</w:t>
      </w:r>
    </w:p>
    <w:p w:rsidR="00BC12B8" w:rsidRPr="00BC57F4" w:rsidRDefault="00BC12B8" w:rsidP="00F12203"/>
    <w:p w:rsidR="00BC12B8" w:rsidRPr="00BC57F4" w:rsidRDefault="00BC12B8" w:rsidP="00F12203">
      <w:pPr>
        <w:rPr>
          <w:b/>
        </w:rPr>
      </w:pPr>
      <w:r w:rsidRPr="00BC57F4">
        <w:rPr>
          <w:b/>
        </w:rPr>
        <w:t>Miscellaneous—</w:t>
      </w:r>
      <w:r>
        <w:rPr>
          <w:b/>
        </w:rPr>
        <w:t>E</w:t>
      </w:r>
      <w:r w:rsidRPr="00BC57F4">
        <w:rPr>
          <w:b/>
        </w:rPr>
        <w:t xml:space="preserve">ndnote </w:t>
      </w:r>
      <w:r>
        <w:rPr>
          <w:b/>
        </w:rPr>
        <w:t>8</w:t>
      </w:r>
    </w:p>
    <w:p w:rsidR="00BC12B8" w:rsidRPr="00BC57F4" w:rsidRDefault="00BC12B8" w:rsidP="00F12203">
      <w:r w:rsidRPr="00BC57F4">
        <w:t xml:space="preserve">Endnote </w:t>
      </w:r>
      <w:r>
        <w:t>8</w:t>
      </w:r>
      <w:r w:rsidRPr="00BC57F4">
        <w:t xml:space="preserve"> includes any additional information </w:t>
      </w:r>
      <w:r>
        <w:t>that may</w:t>
      </w:r>
      <w:r w:rsidRPr="00BC57F4">
        <w:t xml:space="preserve"> be helpful for a reader of the compilation.</w:t>
      </w:r>
    </w:p>
    <w:p w:rsidR="00BC12B8" w:rsidRDefault="00BC12B8" w:rsidP="00F12203"/>
    <w:p w:rsidR="00BC12B8" w:rsidRPr="00BC57F4" w:rsidRDefault="00BC12B8" w:rsidP="00F12203">
      <w:pPr>
        <w:pStyle w:val="ENotesHeading2"/>
        <w:pageBreakBefore/>
        <w:outlineLvl w:val="9"/>
      </w:pPr>
      <w:bookmarkStart w:id="9" w:name="_Toc366505628"/>
      <w:r w:rsidRPr="00BC57F4">
        <w:t>Endnote 2—Abbreviation key</w:t>
      </w:r>
      <w:bookmarkEnd w:id="9"/>
    </w:p>
    <w:p w:rsidR="00BC12B8" w:rsidRDefault="00BC12B8" w:rsidP="00F12203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543"/>
        <w:gridCol w:w="3543"/>
      </w:tblGrid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ad = added or inserted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pres = present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am = amended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prev = previous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c = clause(s)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(prev) = previously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Ch = Chapter(s)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Pt = Part(s)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def = definition(s)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r = regulation(s)/rule(s)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Dict = Dictionary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Reg = Regulation/Regulations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disallowed = disallowed by Parliament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reloc = relocated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Div = Division(s)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renum = renumbered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exp = expired or ceased to have effect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rep = repealed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hdg = heading(s)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rs = repealed and substituted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LI = Legislative Instrument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s = section(s)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 xml:space="preserve">LIA = </w:t>
            </w:r>
            <w:r w:rsidRPr="00C728CB">
              <w:rPr>
                <w:i/>
                <w:sz w:val="20"/>
              </w:rPr>
              <w:t>Legislative Instruments Act 2003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Sch = Schedule(s)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mod = modified/modification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Sdiv = Subdivision(s)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No</w:t>
            </w:r>
            <w:r w:rsidR="006A34B1" w:rsidRPr="009E5EA3">
              <w:rPr>
                <w:sz w:val="20"/>
              </w:rPr>
              <w:t xml:space="preserve"> = </w:t>
            </w:r>
            <w:r w:rsidRPr="009E5EA3">
              <w:rPr>
                <w:sz w:val="20"/>
              </w:rPr>
              <w:t>Number(s)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SLI = Select Legislative Instrument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o = order(s)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SR = Statutory Rules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Ord = Ordinance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Sub-Ch = Sub-Chapter(s)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orig = original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SubPt = Subpart(s)</w:t>
            </w:r>
          </w:p>
        </w:tc>
      </w:tr>
      <w:tr w:rsidR="00BC12B8" w:rsidRPr="00967BE4" w:rsidTr="00F12203"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  <w:r w:rsidRPr="009E5EA3">
              <w:rPr>
                <w:sz w:val="20"/>
              </w:rPr>
              <w:t>par = paragraph(s)/subparagraph(s)</w:t>
            </w:r>
          </w:p>
        </w:tc>
        <w:tc>
          <w:tcPr>
            <w:tcW w:w="3543" w:type="dxa"/>
            <w:shd w:val="clear" w:color="auto" w:fill="auto"/>
          </w:tcPr>
          <w:p w:rsidR="00BC12B8" w:rsidRPr="009E5EA3" w:rsidRDefault="00BC12B8" w:rsidP="00F12203">
            <w:pPr>
              <w:pStyle w:val="ENoteTableText"/>
              <w:rPr>
                <w:sz w:val="20"/>
              </w:rPr>
            </w:pPr>
          </w:p>
        </w:tc>
      </w:tr>
      <w:tr w:rsidR="008A62F3" w:rsidTr="008A62F3">
        <w:trPr>
          <w:trHeight w:val="366"/>
        </w:trPr>
        <w:tc>
          <w:tcPr>
            <w:tcW w:w="3543" w:type="dxa"/>
            <w:shd w:val="clear" w:color="auto" w:fill="auto"/>
          </w:tcPr>
          <w:p w:rsidR="008A62F3" w:rsidRPr="00152F22" w:rsidRDefault="008A62F3" w:rsidP="00947429">
            <w:pPr>
              <w:pStyle w:val="ENoteTableText"/>
              <w:rPr>
                <w:sz w:val="20"/>
              </w:rPr>
            </w:pPr>
            <w:r w:rsidRPr="00152F22">
              <w:rPr>
                <w:sz w:val="20"/>
              </w:rPr>
              <w:tab/>
              <w:t>/sub</w:t>
            </w:r>
            <w:r>
              <w:rPr>
                <w:sz w:val="20"/>
              </w:rPr>
              <w:noBreakHyphen/>
            </w:r>
            <w:r w:rsidRPr="00152F22">
              <w:rPr>
                <w:sz w:val="20"/>
              </w:rPr>
              <w:t>subparagraph(s)</w:t>
            </w:r>
          </w:p>
        </w:tc>
        <w:tc>
          <w:tcPr>
            <w:tcW w:w="3543" w:type="dxa"/>
            <w:shd w:val="clear" w:color="auto" w:fill="auto"/>
          </w:tcPr>
          <w:p w:rsidR="008A62F3" w:rsidRPr="009E5EA3" w:rsidRDefault="008A62F3" w:rsidP="00F12203">
            <w:pPr>
              <w:pStyle w:val="ENoteTableText"/>
              <w:rPr>
                <w:sz w:val="20"/>
              </w:rPr>
            </w:pPr>
          </w:p>
        </w:tc>
      </w:tr>
    </w:tbl>
    <w:p w:rsidR="00BC12B8" w:rsidRPr="00BC57F4" w:rsidRDefault="00BC12B8" w:rsidP="00F12203">
      <w:pPr>
        <w:pStyle w:val="Tabletext"/>
      </w:pPr>
    </w:p>
    <w:p w:rsidR="00BC12B8" w:rsidRDefault="00BC12B8" w:rsidP="00F12203">
      <w:pPr>
        <w:pStyle w:val="ENotesHeading2"/>
        <w:pageBreakBefore/>
      </w:pPr>
      <w:bookmarkStart w:id="10" w:name="_Toc366505629"/>
      <w:r>
        <w:t>Endnote 3—Legislation history</w:t>
      </w:r>
      <w:bookmarkEnd w:id="10"/>
    </w:p>
    <w:p w:rsidR="00BC12B8" w:rsidRDefault="00BC12B8" w:rsidP="00F12203">
      <w:pPr>
        <w:pStyle w:val="Tabletext"/>
      </w:pPr>
    </w:p>
    <w:tbl>
      <w:tblPr>
        <w:tblW w:w="7224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6"/>
        <w:gridCol w:w="1806"/>
        <w:gridCol w:w="1806"/>
      </w:tblGrid>
      <w:tr w:rsidR="00BC12B8" w:rsidRPr="0098546F" w:rsidTr="002F12CC">
        <w:trPr>
          <w:cantSplit/>
          <w:tblHeader/>
        </w:trPr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12B8" w:rsidRPr="00E117A3" w:rsidRDefault="00BC12B8" w:rsidP="00F12203">
            <w:pPr>
              <w:pStyle w:val="ENoteTableHeading"/>
            </w:pPr>
            <w:r w:rsidRPr="00E117A3">
              <w:t>Number and year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12B8" w:rsidRPr="00E117A3" w:rsidRDefault="00BC12B8" w:rsidP="00C728CB">
            <w:pPr>
              <w:pStyle w:val="ENoteTableHeading"/>
            </w:pPr>
            <w:r w:rsidRPr="00E117A3">
              <w:t xml:space="preserve">FRLI registration </w:t>
            </w:r>
            <w:r w:rsidR="00541338">
              <w:br/>
            </w:r>
            <w:r w:rsidR="00C728CB">
              <w:t>or Gazettal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12B8" w:rsidRPr="00E117A3" w:rsidRDefault="00BC12B8" w:rsidP="00F12203">
            <w:pPr>
              <w:pStyle w:val="ENoteTableHeading"/>
            </w:pPr>
            <w:r>
              <w:t>Commencement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12B8" w:rsidRPr="00E117A3" w:rsidRDefault="00BC12B8" w:rsidP="00F12203">
            <w:pPr>
              <w:pStyle w:val="ENoteTableHeading"/>
            </w:pPr>
            <w:r w:rsidRPr="00E117A3">
              <w:t>Application, saving and transitional provisions</w:t>
            </w:r>
          </w:p>
        </w:tc>
      </w:tr>
      <w:tr w:rsidR="002F12CC" w:rsidTr="00541338">
        <w:trPr>
          <w:cantSplit/>
        </w:trPr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1991 No 154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28</w:t>
            </w:r>
            <w:r>
              <w:t> </w:t>
            </w:r>
            <w:r w:rsidRPr="00CC1D70">
              <w:t>June 1991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</w:t>
            </w:r>
            <w:r>
              <w:t> </w:t>
            </w:r>
            <w:r w:rsidRPr="00CC1D70">
              <w:t>July 1991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</w:p>
        </w:tc>
      </w:tr>
      <w:tr w:rsidR="002F12CC" w:rsidTr="00541338">
        <w:trPr>
          <w:cantSplit/>
        </w:trPr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1992 No 283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8 Sept 1992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8 Sept 1992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—</w:t>
            </w:r>
          </w:p>
        </w:tc>
      </w:tr>
      <w:tr w:rsidR="002F12CC" w:rsidTr="00541338">
        <w:trPr>
          <w:cantSplit/>
        </w:trPr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1995 No 156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29</w:t>
            </w:r>
            <w:r>
              <w:t> </w:t>
            </w:r>
            <w:r w:rsidRPr="00CC1D70">
              <w:t>June 1995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29</w:t>
            </w:r>
            <w:r>
              <w:t> </w:t>
            </w:r>
            <w:r w:rsidRPr="00CC1D70">
              <w:t>June 1995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>
              <w:t xml:space="preserve">r </w:t>
            </w:r>
            <w:r w:rsidRPr="00CC1D70">
              <w:t>4</w:t>
            </w:r>
          </w:p>
        </w:tc>
      </w:tr>
      <w:tr w:rsidR="002F12CC" w:rsidTr="00541338">
        <w:trPr>
          <w:cantSplit/>
        </w:trPr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1999 No 134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30</w:t>
            </w:r>
            <w:r>
              <w:t> </w:t>
            </w:r>
            <w:r w:rsidRPr="00CC1D70">
              <w:t>June 1999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</w:t>
            </w:r>
            <w:r>
              <w:t> </w:t>
            </w:r>
            <w:r w:rsidRPr="00CC1D70">
              <w:t xml:space="preserve">July 1999 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>
              <w:t xml:space="preserve">r </w:t>
            </w:r>
            <w:r w:rsidRPr="00CC1D70">
              <w:t>4</w:t>
            </w:r>
          </w:p>
        </w:tc>
      </w:tr>
      <w:tr w:rsidR="002F12CC" w:rsidTr="00541338">
        <w:trPr>
          <w:cantSplit/>
        </w:trPr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1999 No 240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20 Oct 1999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20 Oct 1999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>
              <w:t xml:space="preserve">r </w:t>
            </w:r>
            <w:r w:rsidRPr="00CC1D70">
              <w:t>4</w:t>
            </w:r>
          </w:p>
        </w:tc>
      </w:tr>
      <w:tr w:rsidR="002F12CC" w:rsidTr="00541338">
        <w:trPr>
          <w:cantSplit/>
        </w:trPr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2002 No 200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29 Aug 2002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29 Aug 2002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—</w:t>
            </w:r>
          </w:p>
        </w:tc>
      </w:tr>
      <w:tr w:rsidR="002F12CC" w:rsidTr="00541338">
        <w:trPr>
          <w:cantSplit/>
        </w:trPr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2007 No 75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 Apr 2007 (</w:t>
            </w:r>
            <w:r w:rsidRPr="00CC1D70">
              <w:rPr>
                <w:i/>
              </w:rPr>
              <w:t xml:space="preserve">see </w:t>
            </w:r>
            <w:r w:rsidRPr="00CC1D70">
              <w:t>F2007L00824)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</w:t>
            </w:r>
            <w:r>
              <w:t> </w:t>
            </w:r>
            <w:r w:rsidRPr="00CC1D70">
              <w:t>July 2007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>
              <w:t xml:space="preserve">r </w:t>
            </w:r>
            <w:r w:rsidRPr="00CC1D70">
              <w:t>4</w:t>
            </w:r>
          </w:p>
        </w:tc>
      </w:tr>
      <w:tr w:rsidR="002F12CC" w:rsidTr="00541338">
        <w:trPr>
          <w:cantSplit/>
        </w:trPr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2011 No 68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13</w:t>
            </w:r>
            <w:r>
              <w:t> </w:t>
            </w:r>
            <w:r w:rsidRPr="00CC1D70">
              <w:t>May 2011 (</w:t>
            </w:r>
            <w:r w:rsidRPr="00CC1D70">
              <w:rPr>
                <w:i/>
              </w:rPr>
              <w:t>see</w:t>
            </w:r>
            <w:r w:rsidRPr="00CC1D70">
              <w:t xml:space="preserve"> F2011L00759)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14</w:t>
            </w:r>
            <w:r>
              <w:t> </w:t>
            </w:r>
            <w:r w:rsidRPr="00CC1D70">
              <w:t>May 2011</w:t>
            </w:r>
          </w:p>
        </w:tc>
        <w:tc>
          <w:tcPr>
            <w:tcW w:w="1806" w:type="dxa"/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>
              <w:t xml:space="preserve">r </w:t>
            </w:r>
            <w:r w:rsidRPr="00CC1D70">
              <w:t>4</w:t>
            </w:r>
          </w:p>
        </w:tc>
      </w:tr>
      <w:tr w:rsidR="002F12CC" w:rsidTr="00541338">
        <w:trPr>
          <w:cantSplit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2012 No 132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29</w:t>
            </w:r>
            <w:r>
              <w:t> </w:t>
            </w:r>
            <w:r w:rsidRPr="00CC1D70">
              <w:t>June 2012 (</w:t>
            </w:r>
            <w:r w:rsidRPr="00CC1D70">
              <w:rPr>
                <w:i/>
              </w:rPr>
              <w:t>see</w:t>
            </w:r>
            <w:r w:rsidRPr="00CC1D70">
              <w:t xml:space="preserve"> F2012L01429)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30</w:t>
            </w:r>
            <w:r>
              <w:t> </w:t>
            </w:r>
            <w:r w:rsidRPr="00CC1D70">
              <w:t>June 2012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 w:rsidRPr="00CC1D70">
              <w:t>—</w:t>
            </w:r>
          </w:p>
        </w:tc>
      </w:tr>
      <w:tr w:rsidR="002F12CC" w:rsidTr="00541338">
        <w:trPr>
          <w:cantSplit/>
        </w:trPr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>
              <w:t>116, 2013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2F12CC" w:rsidRPr="0018031E" w:rsidRDefault="002F12CC" w:rsidP="00F12203">
            <w:pPr>
              <w:pStyle w:val="ENoteTableText"/>
            </w:pPr>
            <w:r>
              <w:t>13 June 2013 (</w:t>
            </w:r>
            <w:r>
              <w:rPr>
                <w:i/>
              </w:rPr>
              <w:t>see</w:t>
            </w:r>
            <w:r>
              <w:t xml:space="preserve"> F2013L00988)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>
              <w:t>1 July 2013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2F12CC" w:rsidRPr="00E117A3" w:rsidRDefault="002F12CC" w:rsidP="00F12203">
            <w:pPr>
              <w:pStyle w:val="ENoteTableText"/>
            </w:pPr>
            <w:r>
              <w:t>—</w:t>
            </w:r>
          </w:p>
        </w:tc>
      </w:tr>
    </w:tbl>
    <w:p w:rsidR="00BC12B8" w:rsidRDefault="00BC12B8" w:rsidP="00F12203">
      <w:pPr>
        <w:pStyle w:val="Tabletext"/>
      </w:pPr>
    </w:p>
    <w:p w:rsidR="00BC12B8" w:rsidRDefault="00BC12B8" w:rsidP="00F12203">
      <w:pPr>
        <w:pStyle w:val="ENotesHeading2"/>
        <w:pageBreakBefore/>
      </w:pPr>
      <w:bookmarkStart w:id="11" w:name="_Toc366505630"/>
      <w:r>
        <w:t>Endnote 4—Amendment history</w:t>
      </w:r>
      <w:bookmarkEnd w:id="11"/>
    </w:p>
    <w:p w:rsidR="00BC12B8" w:rsidRDefault="00BC12B8" w:rsidP="00F12203">
      <w:pPr>
        <w:pStyle w:val="Tabletext"/>
      </w:pPr>
    </w:p>
    <w:tbl>
      <w:tblPr>
        <w:tblW w:w="708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139"/>
        <w:gridCol w:w="4943"/>
      </w:tblGrid>
      <w:tr w:rsidR="00BC12B8" w:rsidRPr="0098546F" w:rsidTr="00F12203">
        <w:trPr>
          <w:cantSplit/>
          <w:tblHeader/>
        </w:trPr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12B8" w:rsidRPr="00E117A3" w:rsidRDefault="00BC12B8" w:rsidP="00F12203">
            <w:pPr>
              <w:pStyle w:val="ENoteTableHeading"/>
            </w:pPr>
            <w:r w:rsidRPr="00E117A3">
              <w:t>Provision affected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12B8" w:rsidRPr="00E117A3" w:rsidRDefault="00BC12B8" w:rsidP="00F12203">
            <w:pPr>
              <w:pStyle w:val="ENoteTableHeading"/>
            </w:pPr>
            <w:r w:rsidRPr="00E117A3">
              <w:t>How affected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  <w:tabs>
                <w:tab w:val="center" w:leader="dot" w:pos="2268"/>
              </w:tabs>
            </w:pPr>
            <w:r>
              <w:t xml:space="preserve">r </w:t>
            </w:r>
            <w:r w:rsidRPr="00CC1D70">
              <w:t>1</w:t>
            </w:r>
            <w:r w:rsidRPr="00CC1D70">
              <w:tab/>
            </w: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rs 1999 No 134 and 240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  <w:tabs>
                <w:tab w:val="center" w:leader="dot" w:pos="2268"/>
              </w:tabs>
            </w:pPr>
            <w:r>
              <w:t xml:space="preserve">r </w:t>
            </w:r>
            <w:r w:rsidRPr="00CC1D70">
              <w:t>3</w:t>
            </w:r>
            <w:r w:rsidRPr="00CC1D70">
              <w:tab/>
            </w: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am 1995 No</w:t>
            </w:r>
            <w:r>
              <w:t> </w:t>
            </w:r>
            <w:r w:rsidRPr="00CC1D70">
              <w:t>156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3A123D">
            <w:pPr>
              <w:pStyle w:val="ENoteTableText"/>
            </w:pP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rs 1999 Nos 134 and 240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C728CB" w:rsidP="00C728CB">
            <w:pPr>
              <w:pStyle w:val="ENoteTableText"/>
              <w:tabs>
                <w:tab w:val="center" w:leader="dot" w:pos="2268"/>
              </w:tabs>
            </w:pPr>
            <w:r>
              <w:t>hdg</w:t>
            </w:r>
            <w:r w:rsidR="00EE2FCD" w:rsidRPr="00CC1D70">
              <w:t xml:space="preserve"> to r 4</w:t>
            </w:r>
            <w:r w:rsidR="00EE2FCD" w:rsidRPr="00CC1D70">
              <w:tab/>
            </w: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rs 2002 No</w:t>
            </w:r>
            <w:r>
              <w:t> </w:t>
            </w:r>
            <w:r w:rsidRPr="00CC1D70">
              <w:t>200; 2012 No</w:t>
            </w:r>
            <w:r>
              <w:t> </w:t>
            </w:r>
            <w:r w:rsidRPr="00CC1D70">
              <w:t>132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  <w:tabs>
                <w:tab w:val="center" w:leader="dot" w:pos="2268"/>
              </w:tabs>
            </w:pPr>
            <w:r>
              <w:t xml:space="preserve">r </w:t>
            </w:r>
            <w:r w:rsidRPr="00CC1D70">
              <w:t>4</w:t>
            </w:r>
            <w:r w:rsidRPr="00CC1D70">
              <w:tab/>
            </w: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am 1992 No</w:t>
            </w:r>
            <w:r>
              <w:t> </w:t>
            </w:r>
            <w:r w:rsidRPr="00CC1D70">
              <w:t>283; 1995 No</w:t>
            </w:r>
            <w:r>
              <w:t> </w:t>
            </w:r>
            <w:r w:rsidRPr="00CC1D70">
              <w:t>156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3A123D">
            <w:pPr>
              <w:pStyle w:val="ENoteTableText"/>
            </w:pP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rs 1999 No</w:t>
            </w:r>
            <w:r w:rsidR="00C728CB">
              <w:t>s</w:t>
            </w:r>
            <w:r w:rsidRPr="00CC1D70">
              <w:t xml:space="preserve"> 134 and 240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3A123D">
            <w:pPr>
              <w:pStyle w:val="ENoteTableText"/>
            </w:pP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am 2002 No</w:t>
            </w:r>
            <w:r>
              <w:t> </w:t>
            </w:r>
            <w:r w:rsidRPr="00CC1D70">
              <w:t>200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3A123D">
            <w:pPr>
              <w:pStyle w:val="ENoteTableText"/>
            </w:pP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rs 2007 No</w:t>
            </w:r>
            <w:r>
              <w:t> </w:t>
            </w:r>
            <w:r w:rsidRPr="00CC1D70">
              <w:t>75</w:t>
            </w:r>
          </w:p>
        </w:tc>
      </w:tr>
      <w:tr w:rsidR="00EE2FCD" w:rsidTr="00F12203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3A123D">
            <w:pPr>
              <w:pStyle w:val="ENoteTableText"/>
            </w:pP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am 2011 No</w:t>
            </w:r>
            <w:r>
              <w:t> </w:t>
            </w:r>
            <w:r w:rsidRPr="00CC1D70">
              <w:t>68</w:t>
            </w:r>
          </w:p>
        </w:tc>
      </w:tr>
      <w:tr w:rsidR="00EE2FCD" w:rsidTr="00EE2FCD">
        <w:trPr>
          <w:cantSplit/>
        </w:trPr>
        <w:tc>
          <w:tcPr>
            <w:tcW w:w="2139" w:type="dxa"/>
            <w:shd w:val="clear" w:color="auto" w:fill="auto"/>
          </w:tcPr>
          <w:p w:rsidR="00EE2FCD" w:rsidRPr="00CC1D70" w:rsidRDefault="00EE2FCD" w:rsidP="003A123D">
            <w:pPr>
              <w:pStyle w:val="ENoteTableText"/>
            </w:pPr>
          </w:p>
        </w:tc>
        <w:tc>
          <w:tcPr>
            <w:tcW w:w="4943" w:type="dxa"/>
            <w:shd w:val="clear" w:color="auto" w:fill="auto"/>
          </w:tcPr>
          <w:p w:rsidR="00EE2FCD" w:rsidRPr="00CC1D70" w:rsidRDefault="00EE2FCD" w:rsidP="00C728CB">
            <w:pPr>
              <w:pStyle w:val="ENoteTableText"/>
            </w:pPr>
            <w:r w:rsidRPr="00CC1D70">
              <w:t>rs 2012 No</w:t>
            </w:r>
            <w:r>
              <w:t> </w:t>
            </w:r>
            <w:r w:rsidRPr="00CC1D70">
              <w:t>132</w:t>
            </w:r>
          </w:p>
        </w:tc>
      </w:tr>
      <w:tr w:rsidR="00EE2FCD" w:rsidTr="00EE2FCD">
        <w:trPr>
          <w:cantSplit/>
        </w:trPr>
        <w:tc>
          <w:tcPr>
            <w:tcW w:w="2139" w:type="dxa"/>
            <w:tcBorders>
              <w:bottom w:val="single" w:sz="12" w:space="0" w:color="auto"/>
            </w:tcBorders>
            <w:shd w:val="clear" w:color="auto" w:fill="auto"/>
          </w:tcPr>
          <w:p w:rsidR="00EE2FCD" w:rsidRPr="00CC1D70" w:rsidRDefault="00EE2FCD" w:rsidP="003A123D">
            <w:pPr>
              <w:pStyle w:val="ENoteTableText"/>
            </w:pPr>
          </w:p>
        </w:tc>
        <w:tc>
          <w:tcPr>
            <w:tcW w:w="4943" w:type="dxa"/>
            <w:tcBorders>
              <w:bottom w:val="single" w:sz="12" w:space="0" w:color="auto"/>
            </w:tcBorders>
            <w:shd w:val="clear" w:color="auto" w:fill="auto"/>
          </w:tcPr>
          <w:p w:rsidR="00EE2FCD" w:rsidRPr="00CC1D70" w:rsidRDefault="00EE2FCD" w:rsidP="003A123D">
            <w:pPr>
              <w:pStyle w:val="ENoteTableText"/>
            </w:pPr>
            <w:r>
              <w:t>am No 116, 2013</w:t>
            </w:r>
          </w:p>
        </w:tc>
      </w:tr>
    </w:tbl>
    <w:p w:rsidR="00BC12B8" w:rsidRDefault="00BC12B8" w:rsidP="00F12203">
      <w:pPr>
        <w:pStyle w:val="Tabletext"/>
      </w:pPr>
    </w:p>
    <w:p w:rsidR="00BC12B8" w:rsidRDefault="00BC12B8" w:rsidP="00F12203">
      <w:pPr>
        <w:pStyle w:val="ENotesHeading2"/>
        <w:pageBreakBefore/>
      </w:pPr>
      <w:bookmarkStart w:id="12" w:name="_Toc366505631"/>
      <w:r>
        <w:t>Endnote 5—Uncommenced amendments</w:t>
      </w:r>
      <w:r w:rsidR="002F12CC">
        <w:t xml:space="preserve"> [none]</w:t>
      </w:r>
      <w:bookmarkEnd w:id="12"/>
    </w:p>
    <w:p w:rsidR="00BC12B8" w:rsidRDefault="00BC12B8" w:rsidP="00C728CB">
      <w:pPr>
        <w:pStyle w:val="ENotesHeading2"/>
      </w:pPr>
      <w:bookmarkStart w:id="13" w:name="_Toc366505632"/>
      <w:r>
        <w:t>Endn</w:t>
      </w:r>
      <w:r w:rsidRPr="00786FBC">
        <w:t xml:space="preserve">ote </w:t>
      </w:r>
      <w:r>
        <w:t>6</w:t>
      </w:r>
      <w:r w:rsidRPr="00786FBC">
        <w:t>—Modifications</w:t>
      </w:r>
      <w:r w:rsidR="002F12CC">
        <w:t xml:space="preserve"> [none]</w:t>
      </w:r>
      <w:bookmarkEnd w:id="13"/>
    </w:p>
    <w:p w:rsidR="00BC12B8" w:rsidRPr="00723CF8" w:rsidRDefault="00BC12B8" w:rsidP="00C728CB">
      <w:pPr>
        <w:pStyle w:val="ENotesHeading2"/>
      </w:pPr>
      <w:bookmarkStart w:id="14" w:name="_Toc366505633"/>
      <w:r>
        <w:t>Endnote 7</w:t>
      </w:r>
      <w:r w:rsidRPr="00723CF8">
        <w:t xml:space="preserve">—Misdescribed </w:t>
      </w:r>
      <w:r>
        <w:t>a</w:t>
      </w:r>
      <w:r w:rsidRPr="00723CF8">
        <w:t>mendments</w:t>
      </w:r>
      <w:r w:rsidR="002F12CC">
        <w:t xml:space="preserve"> [none]</w:t>
      </w:r>
      <w:bookmarkEnd w:id="14"/>
    </w:p>
    <w:p w:rsidR="00BC12B8" w:rsidRDefault="00BC12B8" w:rsidP="00C728CB">
      <w:pPr>
        <w:pStyle w:val="ENotesHeading2"/>
      </w:pPr>
      <w:bookmarkStart w:id="15" w:name="_Toc366505634"/>
      <w:r>
        <w:t>Endnote 8—Miscellaneous</w:t>
      </w:r>
      <w:r w:rsidR="002F12CC">
        <w:t xml:space="preserve"> [none]</w:t>
      </w:r>
      <w:bookmarkEnd w:id="15"/>
    </w:p>
    <w:p w:rsidR="008B6495" w:rsidRPr="00CC1D70" w:rsidRDefault="008B6495" w:rsidP="00F12203">
      <w:pPr>
        <w:sectPr w:rsidR="008B6495" w:rsidRPr="00CC1D70" w:rsidSect="00813836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/>
          <w:pgMar w:top="2381" w:right="2409" w:bottom="4252" w:left="2409" w:header="720" w:footer="3175" w:gutter="0"/>
          <w:cols w:space="708"/>
          <w:docGrid w:linePitch="360"/>
        </w:sectPr>
      </w:pPr>
      <w:bookmarkStart w:id="16" w:name="BK_S5P19L20C21"/>
      <w:bookmarkStart w:id="17" w:name="BK_S5P22L23C24"/>
      <w:bookmarkEnd w:id="16"/>
      <w:bookmarkEnd w:id="17"/>
    </w:p>
    <w:p w:rsidR="002A519B" w:rsidRPr="00CC1D70" w:rsidRDefault="002A519B" w:rsidP="008B6495"/>
    <w:sectPr w:rsidR="002A519B" w:rsidRPr="00CC1D70" w:rsidSect="0081383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type w:val="continuous"/>
      <w:pgSz w:w="11907" w:h="16839"/>
      <w:pgMar w:top="2381" w:right="2409" w:bottom="4252" w:left="2409" w:header="720" w:footer="3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3D" w:rsidRPr="00D30DB7" w:rsidRDefault="003A123D" w:rsidP="00DF0A21">
      <w:r>
        <w:separator/>
      </w:r>
    </w:p>
  </w:endnote>
  <w:endnote w:type="continuationSeparator" w:id="0">
    <w:p w:rsidR="003A123D" w:rsidRPr="00D30DB7" w:rsidRDefault="003A123D" w:rsidP="00DF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Default="003A123D" w:rsidP="008B6495">
    <w:pPr>
      <w:pBdr>
        <w:top w:val="single" w:sz="6" w:space="1" w:color="auto"/>
      </w:pBdr>
      <w:jc w:val="right"/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2B0EA5" w:rsidRDefault="003A123D" w:rsidP="008B64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A123D" w:rsidTr="00F12203">
      <w:tc>
        <w:tcPr>
          <w:tcW w:w="1383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3836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2B0EA5" w:rsidRDefault="003A123D" w:rsidP="008B649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A123D" w:rsidTr="00F12203">
      <w:tc>
        <w:tcPr>
          <w:tcW w:w="533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2716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jc w:val="right"/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2B0EA5" w:rsidRDefault="003A123D" w:rsidP="008B64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A123D" w:rsidTr="00F12203">
      <w:tc>
        <w:tcPr>
          <w:tcW w:w="1383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2716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Default="003A123D" w:rsidP="008B6495">
    <w:pPr>
      <w:pBdr>
        <w:top w:val="single" w:sz="6" w:space="1" w:color="auto"/>
      </w:pBdr>
      <w:spacing w:before="120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ED79B6" w:rsidRDefault="003A123D" w:rsidP="008B649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3278F2" w:rsidRDefault="003A123D" w:rsidP="008B64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3A123D" w:rsidTr="00F12203">
      <w:tc>
        <w:tcPr>
          <w:tcW w:w="534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2716">
            <w:rPr>
              <w:i/>
              <w:noProof/>
              <w:sz w:val="18"/>
            </w:rPr>
            <w:t>xiii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jc w:val="right"/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2B0EA5" w:rsidRDefault="003A123D" w:rsidP="008B64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A123D" w:rsidTr="00F12203">
      <w:tc>
        <w:tcPr>
          <w:tcW w:w="1383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383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2B0EA5" w:rsidRDefault="003A123D" w:rsidP="008B649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A123D" w:rsidTr="00F12203">
      <w:tc>
        <w:tcPr>
          <w:tcW w:w="533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2716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jc w:val="right"/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2B0EA5" w:rsidRDefault="003A123D" w:rsidP="008B649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A123D" w:rsidTr="00F12203">
      <w:tc>
        <w:tcPr>
          <w:tcW w:w="1383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383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2B0EA5" w:rsidRDefault="003A123D" w:rsidP="008B649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A123D" w:rsidTr="00F12203">
      <w:tc>
        <w:tcPr>
          <w:tcW w:w="1383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22716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2B0EA5" w:rsidRDefault="003A123D" w:rsidP="00C728C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A123D" w:rsidTr="00F12203">
      <w:tc>
        <w:tcPr>
          <w:tcW w:w="533" w:type="dxa"/>
        </w:tcPr>
        <w:p w:rsidR="003A123D" w:rsidRDefault="003A123D" w:rsidP="00F122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3836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A123D" w:rsidRDefault="003A123D" w:rsidP="00F122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22716">
            <w:rPr>
              <w:i/>
              <w:sz w:val="18"/>
            </w:rPr>
            <w:t>Superannuation (Self Managed Superannuation Funds) Supervisory Levy Imposition Regulations 1991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3A123D" w:rsidRDefault="003A123D" w:rsidP="00F12203">
          <w:pPr>
            <w:spacing w:line="0" w:lineRule="atLeast"/>
            <w:jc w:val="right"/>
            <w:rPr>
              <w:sz w:val="18"/>
            </w:rPr>
          </w:pPr>
        </w:p>
      </w:tc>
    </w:tr>
    <w:tr w:rsidR="003A123D" w:rsidTr="00F12203">
      <w:tc>
        <w:tcPr>
          <w:tcW w:w="7303" w:type="dxa"/>
          <w:gridSpan w:val="3"/>
        </w:tcPr>
        <w:p w:rsidR="003A123D" w:rsidRDefault="003A123D" w:rsidP="00F12203">
          <w:pPr>
            <w:jc w:val="right"/>
            <w:rPr>
              <w:sz w:val="18"/>
            </w:rPr>
          </w:pPr>
        </w:p>
      </w:tc>
    </w:tr>
  </w:tbl>
  <w:p w:rsidR="003A123D" w:rsidRPr="00ED79B6" w:rsidRDefault="003A123D" w:rsidP="008B649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3D" w:rsidRPr="00D30DB7" w:rsidRDefault="003A123D" w:rsidP="00DF0A21">
      <w:r>
        <w:separator/>
      </w:r>
    </w:p>
  </w:footnote>
  <w:footnote w:type="continuationSeparator" w:id="0">
    <w:p w:rsidR="003A123D" w:rsidRPr="00D30DB7" w:rsidRDefault="003A123D" w:rsidP="00DF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Default="003A123D" w:rsidP="00F1220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3A123D" w:rsidRDefault="003A123D" w:rsidP="00F1220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3A123D" w:rsidRPr="005F1388" w:rsidRDefault="003A123D" w:rsidP="00F1220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BE5CD2" w:rsidRDefault="003A123D" w:rsidP="00F12203">
    <w:pPr>
      <w:rPr>
        <w:sz w:val="26"/>
        <w:szCs w:val="26"/>
      </w:rPr>
    </w:pPr>
  </w:p>
  <w:p w:rsidR="003A123D" w:rsidRPr="0020230A" w:rsidRDefault="003A123D" w:rsidP="00F12203">
    <w:pPr>
      <w:rPr>
        <w:b/>
        <w:sz w:val="20"/>
      </w:rPr>
    </w:pPr>
    <w:r w:rsidRPr="0020230A">
      <w:rPr>
        <w:b/>
        <w:sz w:val="20"/>
      </w:rPr>
      <w:t>Endnotes</w:t>
    </w:r>
  </w:p>
  <w:p w:rsidR="003A123D" w:rsidRPr="007A1328" w:rsidRDefault="003A123D" w:rsidP="00F12203">
    <w:pPr>
      <w:rPr>
        <w:sz w:val="20"/>
      </w:rPr>
    </w:pPr>
  </w:p>
  <w:p w:rsidR="003A123D" w:rsidRPr="007A1328" w:rsidRDefault="003A123D" w:rsidP="00F12203">
    <w:pPr>
      <w:rPr>
        <w:b/>
        <w:sz w:val="24"/>
      </w:rPr>
    </w:pPr>
  </w:p>
  <w:p w:rsidR="003A123D" w:rsidRPr="00BE5CD2" w:rsidRDefault="003A123D" w:rsidP="00F12203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813836">
      <w:rPr>
        <w:noProof/>
        <w:szCs w:val="22"/>
      </w:rPr>
      <w:t>Endnote 4—Amendment history</w:t>
    </w:r>
    <w:r>
      <w:rPr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BE5CD2" w:rsidRDefault="003A123D" w:rsidP="00F12203">
    <w:pPr>
      <w:jc w:val="right"/>
      <w:rPr>
        <w:sz w:val="26"/>
        <w:szCs w:val="26"/>
      </w:rPr>
    </w:pPr>
  </w:p>
  <w:p w:rsidR="003A123D" w:rsidRPr="0020230A" w:rsidRDefault="003A123D" w:rsidP="00F12203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:rsidR="003A123D" w:rsidRPr="007A1328" w:rsidRDefault="003A123D" w:rsidP="00F12203">
    <w:pPr>
      <w:jc w:val="right"/>
      <w:rPr>
        <w:sz w:val="20"/>
      </w:rPr>
    </w:pPr>
  </w:p>
  <w:p w:rsidR="003A123D" w:rsidRPr="007A1328" w:rsidRDefault="003A123D" w:rsidP="00F12203">
    <w:pPr>
      <w:jc w:val="right"/>
      <w:rPr>
        <w:b/>
        <w:sz w:val="24"/>
      </w:rPr>
    </w:pPr>
  </w:p>
  <w:p w:rsidR="003A123D" w:rsidRPr="00BE5CD2" w:rsidRDefault="003A123D" w:rsidP="00F12203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813836">
      <w:rPr>
        <w:noProof/>
        <w:szCs w:val="22"/>
      </w:rPr>
      <w:t>Endnote 5—Uncommenced amendments [none]</w:t>
    </w:r>
    <w:r>
      <w:rPr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BE5CD2" w:rsidRDefault="003A123D" w:rsidP="00F12203">
    <w:pPr>
      <w:rPr>
        <w:sz w:val="26"/>
        <w:szCs w:val="26"/>
      </w:rPr>
    </w:pPr>
  </w:p>
  <w:p w:rsidR="003A123D" w:rsidRPr="0020230A" w:rsidRDefault="003A123D" w:rsidP="00F12203">
    <w:pPr>
      <w:rPr>
        <w:b/>
        <w:sz w:val="20"/>
      </w:rPr>
    </w:pPr>
    <w:r w:rsidRPr="0020230A">
      <w:rPr>
        <w:b/>
        <w:sz w:val="20"/>
      </w:rPr>
      <w:t>Endnotes</w:t>
    </w:r>
  </w:p>
  <w:p w:rsidR="003A123D" w:rsidRPr="007A1328" w:rsidRDefault="003A123D" w:rsidP="00F12203">
    <w:pPr>
      <w:rPr>
        <w:sz w:val="20"/>
      </w:rPr>
    </w:pPr>
  </w:p>
  <w:p w:rsidR="003A123D" w:rsidRPr="007A1328" w:rsidRDefault="003A123D" w:rsidP="00F12203">
    <w:pPr>
      <w:rPr>
        <w:b/>
        <w:sz w:val="24"/>
      </w:rPr>
    </w:pPr>
  </w:p>
  <w:p w:rsidR="003A123D" w:rsidRPr="00BE5CD2" w:rsidRDefault="003A123D" w:rsidP="00F12203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B22716">
      <w:rPr>
        <w:noProof/>
        <w:szCs w:val="22"/>
      </w:rPr>
      <w:t>Endnote 5—Misdescribed amendments</w:t>
    </w:r>
    <w:r>
      <w:rPr>
        <w:szCs w:val="22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BE5CD2" w:rsidRDefault="003A123D" w:rsidP="00F12203">
    <w:pPr>
      <w:jc w:val="right"/>
      <w:rPr>
        <w:sz w:val="26"/>
        <w:szCs w:val="26"/>
      </w:rPr>
    </w:pPr>
  </w:p>
  <w:p w:rsidR="003A123D" w:rsidRPr="0020230A" w:rsidRDefault="003A123D" w:rsidP="00F12203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:rsidR="003A123D" w:rsidRPr="007A1328" w:rsidRDefault="003A123D" w:rsidP="00F12203">
    <w:pPr>
      <w:jc w:val="right"/>
      <w:rPr>
        <w:sz w:val="20"/>
      </w:rPr>
    </w:pPr>
  </w:p>
  <w:p w:rsidR="003A123D" w:rsidRPr="007A1328" w:rsidRDefault="003A123D" w:rsidP="00F12203">
    <w:pPr>
      <w:jc w:val="right"/>
      <w:rPr>
        <w:b/>
        <w:sz w:val="24"/>
      </w:rPr>
    </w:pPr>
  </w:p>
  <w:p w:rsidR="003A123D" w:rsidRPr="00BE5CD2" w:rsidRDefault="003A123D" w:rsidP="00F12203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B22716">
      <w:rPr>
        <w:noProof/>
        <w:szCs w:val="22"/>
      </w:rPr>
      <w:t>Endnote 5—Misdescribed amendments</w:t>
    </w:r>
    <w:r>
      <w:rPr>
        <w:szCs w:val="22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Default="003A123D" w:rsidP="00EA0056">
    <w:pPr>
      <w:pStyle w:val="Header"/>
    </w:pPr>
  </w:p>
  <w:p w:rsidR="003A123D" w:rsidRPr="00EA0056" w:rsidRDefault="003A123D" w:rsidP="00EA0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Default="003A123D" w:rsidP="00F12203">
    <w:pPr>
      <w:pStyle w:val="Header"/>
      <w:pBdr>
        <w:bottom w:val="single" w:sz="4" w:space="1" w:color="auto"/>
      </w:pBdr>
    </w:pPr>
  </w:p>
  <w:p w:rsidR="003A123D" w:rsidRDefault="003A123D" w:rsidP="00F12203">
    <w:pPr>
      <w:pStyle w:val="Header"/>
      <w:pBdr>
        <w:bottom w:val="single" w:sz="4" w:space="1" w:color="auto"/>
      </w:pBdr>
    </w:pPr>
  </w:p>
  <w:p w:rsidR="003A123D" w:rsidRDefault="003A123D" w:rsidP="00F12203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36" w:rsidRDefault="008138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ED79B6" w:rsidRDefault="003A123D" w:rsidP="00F12203">
    <w:pPr>
      <w:pBdr>
        <w:bottom w:val="single" w:sz="12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ED79B6" w:rsidRDefault="003A123D" w:rsidP="00F12203">
    <w:pPr>
      <w:pBdr>
        <w:bottom w:val="single" w:sz="12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ED79B6" w:rsidRDefault="003A123D" w:rsidP="00F12203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Default="003A123D" w:rsidP="00F12203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A123D" w:rsidRDefault="003A123D" w:rsidP="00F12203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3A123D" w:rsidRPr="007A1328" w:rsidRDefault="003A123D" w:rsidP="00F1220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A123D" w:rsidRPr="007A1328" w:rsidRDefault="003A123D" w:rsidP="00F12203">
    <w:pPr>
      <w:rPr>
        <w:b/>
        <w:sz w:val="24"/>
      </w:rPr>
    </w:pPr>
  </w:p>
  <w:p w:rsidR="003A123D" w:rsidRPr="007A1328" w:rsidRDefault="003A123D" w:rsidP="00F12203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22716">
      <w:rPr>
        <w:sz w:val="24"/>
      </w:rPr>
      <w:t>Regulation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22716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7A1328" w:rsidRDefault="003A123D" w:rsidP="00F1220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A123D" w:rsidRPr="007A1328" w:rsidRDefault="003A123D" w:rsidP="00F1220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3A123D" w:rsidRPr="007A1328" w:rsidRDefault="003A123D" w:rsidP="00F1220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A123D" w:rsidRPr="007A1328" w:rsidRDefault="003A123D" w:rsidP="00F12203">
    <w:pPr>
      <w:jc w:val="right"/>
      <w:rPr>
        <w:b/>
        <w:sz w:val="24"/>
      </w:rPr>
    </w:pPr>
  </w:p>
  <w:p w:rsidR="003A123D" w:rsidRPr="007A1328" w:rsidRDefault="003A123D" w:rsidP="00F12203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22716">
      <w:rPr>
        <w:sz w:val="24"/>
      </w:rPr>
      <w:t>Regulation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13836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D" w:rsidRPr="007A1328" w:rsidRDefault="003A123D" w:rsidP="00F122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002328"/>
    <w:rsid w:val="0000439F"/>
    <w:rsid w:val="000047FD"/>
    <w:rsid w:val="000056EE"/>
    <w:rsid w:val="00006F3C"/>
    <w:rsid w:val="00010203"/>
    <w:rsid w:val="00012A4E"/>
    <w:rsid w:val="00014F8F"/>
    <w:rsid w:val="0001739E"/>
    <w:rsid w:val="00023CE8"/>
    <w:rsid w:val="00023FD2"/>
    <w:rsid w:val="0003434D"/>
    <w:rsid w:val="0003498B"/>
    <w:rsid w:val="00047B90"/>
    <w:rsid w:val="00055E25"/>
    <w:rsid w:val="00065A0E"/>
    <w:rsid w:val="000753EE"/>
    <w:rsid w:val="00075B3D"/>
    <w:rsid w:val="00085F2A"/>
    <w:rsid w:val="00092802"/>
    <w:rsid w:val="000B0A20"/>
    <w:rsid w:val="000B26C3"/>
    <w:rsid w:val="000B52F3"/>
    <w:rsid w:val="000C01A8"/>
    <w:rsid w:val="000C56FE"/>
    <w:rsid w:val="000D112D"/>
    <w:rsid w:val="000D363E"/>
    <w:rsid w:val="000E081D"/>
    <w:rsid w:val="000E401A"/>
    <w:rsid w:val="000F140F"/>
    <w:rsid w:val="00111E48"/>
    <w:rsid w:val="00114243"/>
    <w:rsid w:val="00114286"/>
    <w:rsid w:val="00122CA1"/>
    <w:rsid w:val="00126C33"/>
    <w:rsid w:val="00126D00"/>
    <w:rsid w:val="00133419"/>
    <w:rsid w:val="001363F5"/>
    <w:rsid w:val="00145C33"/>
    <w:rsid w:val="0014660D"/>
    <w:rsid w:val="00152824"/>
    <w:rsid w:val="00153593"/>
    <w:rsid w:val="001544DD"/>
    <w:rsid w:val="0018031E"/>
    <w:rsid w:val="00180CD3"/>
    <w:rsid w:val="00191B57"/>
    <w:rsid w:val="00195953"/>
    <w:rsid w:val="001A25BD"/>
    <w:rsid w:val="001A7263"/>
    <w:rsid w:val="001B680B"/>
    <w:rsid w:val="001B7079"/>
    <w:rsid w:val="001C2D2D"/>
    <w:rsid w:val="001C3CFF"/>
    <w:rsid w:val="001C6C78"/>
    <w:rsid w:val="001D1730"/>
    <w:rsid w:val="001D281B"/>
    <w:rsid w:val="001D49C9"/>
    <w:rsid w:val="001D49E7"/>
    <w:rsid w:val="001D53F8"/>
    <w:rsid w:val="001D595D"/>
    <w:rsid w:val="001E0659"/>
    <w:rsid w:val="001E551F"/>
    <w:rsid w:val="001F204C"/>
    <w:rsid w:val="0020488A"/>
    <w:rsid w:val="002125DA"/>
    <w:rsid w:val="00220EDA"/>
    <w:rsid w:val="00222DA1"/>
    <w:rsid w:val="00223A7F"/>
    <w:rsid w:val="002250FB"/>
    <w:rsid w:val="002303A1"/>
    <w:rsid w:val="00254B2F"/>
    <w:rsid w:val="00254C12"/>
    <w:rsid w:val="00262431"/>
    <w:rsid w:val="002705A1"/>
    <w:rsid w:val="00270826"/>
    <w:rsid w:val="0027363B"/>
    <w:rsid w:val="00296435"/>
    <w:rsid w:val="0029646C"/>
    <w:rsid w:val="00296E69"/>
    <w:rsid w:val="002A519B"/>
    <w:rsid w:val="002A57A4"/>
    <w:rsid w:val="002B7BF4"/>
    <w:rsid w:val="002C0E89"/>
    <w:rsid w:val="002C42F1"/>
    <w:rsid w:val="002C79E4"/>
    <w:rsid w:val="002C7F8D"/>
    <w:rsid w:val="002D35D3"/>
    <w:rsid w:val="002F12CC"/>
    <w:rsid w:val="002F149C"/>
    <w:rsid w:val="0030627F"/>
    <w:rsid w:val="00310BD6"/>
    <w:rsid w:val="003242D2"/>
    <w:rsid w:val="003269CD"/>
    <w:rsid w:val="00327AAB"/>
    <w:rsid w:val="003328BD"/>
    <w:rsid w:val="00336768"/>
    <w:rsid w:val="00347380"/>
    <w:rsid w:val="00347ABE"/>
    <w:rsid w:val="00351600"/>
    <w:rsid w:val="003567D5"/>
    <w:rsid w:val="003570F6"/>
    <w:rsid w:val="00365485"/>
    <w:rsid w:val="00366209"/>
    <w:rsid w:val="00393A96"/>
    <w:rsid w:val="00396732"/>
    <w:rsid w:val="003A123D"/>
    <w:rsid w:val="003A3291"/>
    <w:rsid w:val="003C1D3B"/>
    <w:rsid w:val="003C700C"/>
    <w:rsid w:val="003D20DD"/>
    <w:rsid w:val="003F1A97"/>
    <w:rsid w:val="003F1AF9"/>
    <w:rsid w:val="004207D7"/>
    <w:rsid w:val="00424431"/>
    <w:rsid w:val="00427249"/>
    <w:rsid w:val="00441257"/>
    <w:rsid w:val="00442444"/>
    <w:rsid w:val="00454D0B"/>
    <w:rsid w:val="00457AC5"/>
    <w:rsid w:val="0047221D"/>
    <w:rsid w:val="00482B0A"/>
    <w:rsid w:val="00490956"/>
    <w:rsid w:val="00492AF6"/>
    <w:rsid w:val="0049476B"/>
    <w:rsid w:val="004B1E60"/>
    <w:rsid w:val="004B717C"/>
    <w:rsid w:val="004C4116"/>
    <w:rsid w:val="004D25B2"/>
    <w:rsid w:val="004D2CCB"/>
    <w:rsid w:val="004E01BE"/>
    <w:rsid w:val="004E3375"/>
    <w:rsid w:val="004E6672"/>
    <w:rsid w:val="004F0A32"/>
    <w:rsid w:val="004F149E"/>
    <w:rsid w:val="004F586F"/>
    <w:rsid w:val="004F6F63"/>
    <w:rsid w:val="0051543A"/>
    <w:rsid w:val="00524BE1"/>
    <w:rsid w:val="00535BFA"/>
    <w:rsid w:val="00541338"/>
    <w:rsid w:val="00553BBD"/>
    <w:rsid w:val="00553CCE"/>
    <w:rsid w:val="005548F9"/>
    <w:rsid w:val="00561460"/>
    <w:rsid w:val="00564001"/>
    <w:rsid w:val="00577475"/>
    <w:rsid w:val="00584A71"/>
    <w:rsid w:val="005867F2"/>
    <w:rsid w:val="00590B66"/>
    <w:rsid w:val="00594F6A"/>
    <w:rsid w:val="005A04A5"/>
    <w:rsid w:val="005A0F53"/>
    <w:rsid w:val="005A2A56"/>
    <w:rsid w:val="005B2BDF"/>
    <w:rsid w:val="005C20BB"/>
    <w:rsid w:val="005C7760"/>
    <w:rsid w:val="005C7BB8"/>
    <w:rsid w:val="005D0F82"/>
    <w:rsid w:val="005D40F1"/>
    <w:rsid w:val="005D491C"/>
    <w:rsid w:val="005D5651"/>
    <w:rsid w:val="005D6F22"/>
    <w:rsid w:val="005E42DE"/>
    <w:rsid w:val="005E5309"/>
    <w:rsid w:val="005E6D7C"/>
    <w:rsid w:val="005F38C6"/>
    <w:rsid w:val="005F5365"/>
    <w:rsid w:val="0060499E"/>
    <w:rsid w:val="00610CB1"/>
    <w:rsid w:val="006133D2"/>
    <w:rsid w:val="00630C62"/>
    <w:rsid w:val="006334F8"/>
    <w:rsid w:val="00637C89"/>
    <w:rsid w:val="00645165"/>
    <w:rsid w:val="00645A49"/>
    <w:rsid w:val="00647421"/>
    <w:rsid w:val="006503AC"/>
    <w:rsid w:val="006548E6"/>
    <w:rsid w:val="00657047"/>
    <w:rsid w:val="0065794A"/>
    <w:rsid w:val="00672003"/>
    <w:rsid w:val="00672979"/>
    <w:rsid w:val="00675602"/>
    <w:rsid w:val="00685D60"/>
    <w:rsid w:val="00686152"/>
    <w:rsid w:val="006A34B1"/>
    <w:rsid w:val="006A4BA5"/>
    <w:rsid w:val="006B28EE"/>
    <w:rsid w:val="006C31CA"/>
    <w:rsid w:val="006C4BED"/>
    <w:rsid w:val="006C53D2"/>
    <w:rsid w:val="006C795D"/>
    <w:rsid w:val="006D0603"/>
    <w:rsid w:val="006D18DE"/>
    <w:rsid w:val="006D4B99"/>
    <w:rsid w:val="006E6AF8"/>
    <w:rsid w:val="006F2504"/>
    <w:rsid w:val="006F4850"/>
    <w:rsid w:val="007037DD"/>
    <w:rsid w:val="007067C6"/>
    <w:rsid w:val="00715D1C"/>
    <w:rsid w:val="00717563"/>
    <w:rsid w:val="00723675"/>
    <w:rsid w:val="00730AB3"/>
    <w:rsid w:val="00732425"/>
    <w:rsid w:val="00733D1E"/>
    <w:rsid w:val="00733ED9"/>
    <w:rsid w:val="00735B24"/>
    <w:rsid w:val="0073761F"/>
    <w:rsid w:val="00742BE4"/>
    <w:rsid w:val="0074530F"/>
    <w:rsid w:val="00750F54"/>
    <w:rsid w:val="00754052"/>
    <w:rsid w:val="007576E3"/>
    <w:rsid w:val="00757D9D"/>
    <w:rsid w:val="007640FB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1349"/>
    <w:rsid w:val="007A18FD"/>
    <w:rsid w:val="007A3567"/>
    <w:rsid w:val="007C012A"/>
    <w:rsid w:val="007C0378"/>
    <w:rsid w:val="007C23A0"/>
    <w:rsid w:val="007C378E"/>
    <w:rsid w:val="007C49D9"/>
    <w:rsid w:val="007D2042"/>
    <w:rsid w:val="007E21C3"/>
    <w:rsid w:val="007F6B43"/>
    <w:rsid w:val="00800EE9"/>
    <w:rsid w:val="00802693"/>
    <w:rsid w:val="00813836"/>
    <w:rsid w:val="008200F1"/>
    <w:rsid w:val="00820E6A"/>
    <w:rsid w:val="00834026"/>
    <w:rsid w:val="008421EA"/>
    <w:rsid w:val="008529D0"/>
    <w:rsid w:val="00855B7C"/>
    <w:rsid w:val="008566B9"/>
    <w:rsid w:val="00857C64"/>
    <w:rsid w:val="008621D6"/>
    <w:rsid w:val="00884A91"/>
    <w:rsid w:val="00890A16"/>
    <w:rsid w:val="008A0D3A"/>
    <w:rsid w:val="008A3D32"/>
    <w:rsid w:val="008A5870"/>
    <w:rsid w:val="008A5DD5"/>
    <w:rsid w:val="008A62F3"/>
    <w:rsid w:val="008B6495"/>
    <w:rsid w:val="008B7DD7"/>
    <w:rsid w:val="008C1D70"/>
    <w:rsid w:val="008C38FE"/>
    <w:rsid w:val="008D64ED"/>
    <w:rsid w:val="008E02E5"/>
    <w:rsid w:val="008E74ED"/>
    <w:rsid w:val="008E7D39"/>
    <w:rsid w:val="008F5EC2"/>
    <w:rsid w:val="00901D54"/>
    <w:rsid w:val="00901DA5"/>
    <w:rsid w:val="00902FB5"/>
    <w:rsid w:val="009070F5"/>
    <w:rsid w:val="00914CC9"/>
    <w:rsid w:val="0092684A"/>
    <w:rsid w:val="0093033C"/>
    <w:rsid w:val="00934501"/>
    <w:rsid w:val="009356C5"/>
    <w:rsid w:val="00944599"/>
    <w:rsid w:val="0095322A"/>
    <w:rsid w:val="009553F5"/>
    <w:rsid w:val="009676B9"/>
    <w:rsid w:val="00982FFF"/>
    <w:rsid w:val="00987DF2"/>
    <w:rsid w:val="00992087"/>
    <w:rsid w:val="00992710"/>
    <w:rsid w:val="009A595E"/>
    <w:rsid w:val="009E3171"/>
    <w:rsid w:val="009E4A9E"/>
    <w:rsid w:val="009E5EA3"/>
    <w:rsid w:val="009F3211"/>
    <w:rsid w:val="009F5B94"/>
    <w:rsid w:val="00A01333"/>
    <w:rsid w:val="00A01FB2"/>
    <w:rsid w:val="00A03F84"/>
    <w:rsid w:val="00A1281A"/>
    <w:rsid w:val="00A17D1D"/>
    <w:rsid w:val="00A20966"/>
    <w:rsid w:val="00A2448A"/>
    <w:rsid w:val="00A26EC4"/>
    <w:rsid w:val="00A31BE9"/>
    <w:rsid w:val="00A40923"/>
    <w:rsid w:val="00A5794C"/>
    <w:rsid w:val="00A7238F"/>
    <w:rsid w:val="00A91F48"/>
    <w:rsid w:val="00A939BC"/>
    <w:rsid w:val="00AA64FB"/>
    <w:rsid w:val="00AB3AB7"/>
    <w:rsid w:val="00AC2749"/>
    <w:rsid w:val="00AD4C82"/>
    <w:rsid w:val="00AE3BDB"/>
    <w:rsid w:val="00AE5649"/>
    <w:rsid w:val="00AF001A"/>
    <w:rsid w:val="00B02301"/>
    <w:rsid w:val="00B11FF4"/>
    <w:rsid w:val="00B22716"/>
    <w:rsid w:val="00B267A3"/>
    <w:rsid w:val="00B2730F"/>
    <w:rsid w:val="00B341F1"/>
    <w:rsid w:val="00B41A08"/>
    <w:rsid w:val="00B4372D"/>
    <w:rsid w:val="00B440EB"/>
    <w:rsid w:val="00B50B2D"/>
    <w:rsid w:val="00B564FE"/>
    <w:rsid w:val="00B56B8D"/>
    <w:rsid w:val="00B64636"/>
    <w:rsid w:val="00B64D46"/>
    <w:rsid w:val="00B65B18"/>
    <w:rsid w:val="00B6604D"/>
    <w:rsid w:val="00B66B48"/>
    <w:rsid w:val="00B74EBD"/>
    <w:rsid w:val="00B750D0"/>
    <w:rsid w:val="00B75420"/>
    <w:rsid w:val="00B76F60"/>
    <w:rsid w:val="00B779A9"/>
    <w:rsid w:val="00B82EAA"/>
    <w:rsid w:val="00BA3AA3"/>
    <w:rsid w:val="00BA4CD6"/>
    <w:rsid w:val="00BA56DA"/>
    <w:rsid w:val="00BA5A9A"/>
    <w:rsid w:val="00BA61EE"/>
    <w:rsid w:val="00BA761C"/>
    <w:rsid w:val="00BB7335"/>
    <w:rsid w:val="00BC12B8"/>
    <w:rsid w:val="00BC6056"/>
    <w:rsid w:val="00BC63F3"/>
    <w:rsid w:val="00BD0348"/>
    <w:rsid w:val="00BD12AB"/>
    <w:rsid w:val="00BE7291"/>
    <w:rsid w:val="00C02DBF"/>
    <w:rsid w:val="00C03332"/>
    <w:rsid w:val="00C13341"/>
    <w:rsid w:val="00C143E8"/>
    <w:rsid w:val="00C17668"/>
    <w:rsid w:val="00C24D82"/>
    <w:rsid w:val="00C321EA"/>
    <w:rsid w:val="00C33891"/>
    <w:rsid w:val="00C34B2A"/>
    <w:rsid w:val="00C42E4A"/>
    <w:rsid w:val="00C452AC"/>
    <w:rsid w:val="00C50FB8"/>
    <w:rsid w:val="00C5685E"/>
    <w:rsid w:val="00C56C15"/>
    <w:rsid w:val="00C65016"/>
    <w:rsid w:val="00C70FAF"/>
    <w:rsid w:val="00C728CB"/>
    <w:rsid w:val="00C73929"/>
    <w:rsid w:val="00C82160"/>
    <w:rsid w:val="00C82911"/>
    <w:rsid w:val="00C82D38"/>
    <w:rsid w:val="00C85260"/>
    <w:rsid w:val="00C861D2"/>
    <w:rsid w:val="00C92281"/>
    <w:rsid w:val="00C92CDA"/>
    <w:rsid w:val="00C9472B"/>
    <w:rsid w:val="00C95A4E"/>
    <w:rsid w:val="00C96597"/>
    <w:rsid w:val="00C969F3"/>
    <w:rsid w:val="00CA1EB2"/>
    <w:rsid w:val="00CC1D70"/>
    <w:rsid w:val="00CC1FC2"/>
    <w:rsid w:val="00CC4EF4"/>
    <w:rsid w:val="00CC5A7E"/>
    <w:rsid w:val="00CC60E7"/>
    <w:rsid w:val="00CC7753"/>
    <w:rsid w:val="00CC7CA2"/>
    <w:rsid w:val="00CD11C3"/>
    <w:rsid w:val="00CE233A"/>
    <w:rsid w:val="00D10555"/>
    <w:rsid w:val="00D222D8"/>
    <w:rsid w:val="00D23277"/>
    <w:rsid w:val="00D304D1"/>
    <w:rsid w:val="00D36966"/>
    <w:rsid w:val="00D43C47"/>
    <w:rsid w:val="00D4502B"/>
    <w:rsid w:val="00D47851"/>
    <w:rsid w:val="00D50A88"/>
    <w:rsid w:val="00D50D04"/>
    <w:rsid w:val="00D510D6"/>
    <w:rsid w:val="00D80D44"/>
    <w:rsid w:val="00D9415C"/>
    <w:rsid w:val="00D9574F"/>
    <w:rsid w:val="00D96FAA"/>
    <w:rsid w:val="00D97C6A"/>
    <w:rsid w:val="00D97F3C"/>
    <w:rsid w:val="00DA7953"/>
    <w:rsid w:val="00DB2833"/>
    <w:rsid w:val="00DB3919"/>
    <w:rsid w:val="00DB78AA"/>
    <w:rsid w:val="00DD3616"/>
    <w:rsid w:val="00DE0A50"/>
    <w:rsid w:val="00DF0A21"/>
    <w:rsid w:val="00DF7A67"/>
    <w:rsid w:val="00E0170F"/>
    <w:rsid w:val="00E115EE"/>
    <w:rsid w:val="00E136CD"/>
    <w:rsid w:val="00E212D0"/>
    <w:rsid w:val="00E371BB"/>
    <w:rsid w:val="00E42FE9"/>
    <w:rsid w:val="00E476B6"/>
    <w:rsid w:val="00E60A64"/>
    <w:rsid w:val="00E62BED"/>
    <w:rsid w:val="00E73A1B"/>
    <w:rsid w:val="00E76310"/>
    <w:rsid w:val="00E83CB5"/>
    <w:rsid w:val="00E95A6B"/>
    <w:rsid w:val="00EA0056"/>
    <w:rsid w:val="00EA14B9"/>
    <w:rsid w:val="00EB00FD"/>
    <w:rsid w:val="00EB31CA"/>
    <w:rsid w:val="00EC6429"/>
    <w:rsid w:val="00EC6938"/>
    <w:rsid w:val="00ED310D"/>
    <w:rsid w:val="00EE2FCD"/>
    <w:rsid w:val="00EE7651"/>
    <w:rsid w:val="00EF440C"/>
    <w:rsid w:val="00EF4F03"/>
    <w:rsid w:val="00EF522E"/>
    <w:rsid w:val="00F00C4C"/>
    <w:rsid w:val="00F03CB8"/>
    <w:rsid w:val="00F04553"/>
    <w:rsid w:val="00F06252"/>
    <w:rsid w:val="00F10548"/>
    <w:rsid w:val="00F12203"/>
    <w:rsid w:val="00F1343A"/>
    <w:rsid w:val="00F21027"/>
    <w:rsid w:val="00F33606"/>
    <w:rsid w:val="00F35903"/>
    <w:rsid w:val="00F3623A"/>
    <w:rsid w:val="00F4594E"/>
    <w:rsid w:val="00F5332E"/>
    <w:rsid w:val="00F54B0B"/>
    <w:rsid w:val="00F57858"/>
    <w:rsid w:val="00F60524"/>
    <w:rsid w:val="00F72662"/>
    <w:rsid w:val="00F8464C"/>
    <w:rsid w:val="00F85736"/>
    <w:rsid w:val="00FA75DC"/>
    <w:rsid w:val="00FB2A3E"/>
    <w:rsid w:val="00FB515C"/>
    <w:rsid w:val="00FC1CF1"/>
    <w:rsid w:val="00FC7600"/>
    <w:rsid w:val="00FD212A"/>
    <w:rsid w:val="00FD41B2"/>
    <w:rsid w:val="00FD4915"/>
    <w:rsid w:val="00FD4B3A"/>
    <w:rsid w:val="00FF20D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1D70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CC1D70"/>
  </w:style>
  <w:style w:type="character" w:customStyle="1" w:styleId="CharSubPartNoCASA">
    <w:name w:val="CharSubPartNo(CASA)"/>
    <w:basedOn w:val="OPCCharBase"/>
    <w:uiPriority w:val="1"/>
    <w:rsid w:val="00CC1D70"/>
  </w:style>
  <w:style w:type="paragraph" w:styleId="Footer">
    <w:name w:val="footer"/>
    <w:link w:val="FooterChar"/>
    <w:rsid w:val="00CC1D70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TTIndentHeadingSub">
    <w:name w:val="ENoteTTIndentHeadingSub"/>
    <w:aliases w:val="enTTHis"/>
    <w:basedOn w:val="OPCParaBase"/>
    <w:rsid w:val="00CC1D7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C1D7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C1D7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C1D7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0E401A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401A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CC1D7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CC1D70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C1D70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F8573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8573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57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CC1D70"/>
  </w:style>
  <w:style w:type="character" w:customStyle="1" w:styleId="CharAmSchText">
    <w:name w:val="CharAmSchText"/>
    <w:basedOn w:val="OPCCharBase"/>
    <w:uiPriority w:val="1"/>
    <w:qFormat/>
    <w:rsid w:val="00CC1D70"/>
  </w:style>
  <w:style w:type="character" w:customStyle="1" w:styleId="CharChapNo">
    <w:name w:val="CharChapNo"/>
    <w:basedOn w:val="OPCCharBase"/>
    <w:qFormat/>
    <w:rsid w:val="00CC1D70"/>
  </w:style>
  <w:style w:type="character" w:customStyle="1" w:styleId="CharChapText">
    <w:name w:val="CharChapText"/>
    <w:basedOn w:val="OPCCharBase"/>
    <w:qFormat/>
    <w:rsid w:val="00CC1D70"/>
  </w:style>
  <w:style w:type="character" w:customStyle="1" w:styleId="CharDivNo">
    <w:name w:val="CharDivNo"/>
    <w:basedOn w:val="OPCCharBase"/>
    <w:qFormat/>
    <w:rsid w:val="00CC1D70"/>
  </w:style>
  <w:style w:type="character" w:customStyle="1" w:styleId="CharDivText">
    <w:name w:val="CharDivText"/>
    <w:basedOn w:val="OPCCharBase"/>
    <w:qFormat/>
    <w:rsid w:val="00CC1D70"/>
  </w:style>
  <w:style w:type="character" w:customStyle="1" w:styleId="CharPartNo">
    <w:name w:val="CharPartNo"/>
    <w:basedOn w:val="OPCCharBase"/>
    <w:qFormat/>
    <w:rsid w:val="00CC1D70"/>
  </w:style>
  <w:style w:type="character" w:customStyle="1" w:styleId="CharPartText">
    <w:name w:val="CharPartText"/>
    <w:basedOn w:val="OPCCharBase"/>
    <w:qFormat/>
    <w:rsid w:val="00CC1D70"/>
  </w:style>
  <w:style w:type="character" w:customStyle="1" w:styleId="OPCCharBase">
    <w:name w:val="OPCCharBase"/>
    <w:uiPriority w:val="1"/>
    <w:qFormat/>
    <w:rsid w:val="00CC1D70"/>
  </w:style>
  <w:style w:type="paragraph" w:customStyle="1" w:styleId="OPCParaBase">
    <w:name w:val="OPCParaBase"/>
    <w:qFormat/>
    <w:rsid w:val="00CC1D70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CC1D70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CC1D70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CC1D70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CC1D70"/>
    <w:pPr>
      <w:tabs>
        <w:tab w:val="left" w:pos="2977"/>
      </w:tabs>
      <w:spacing w:before="180" w:line="240" w:lineRule="auto"/>
      <w:ind w:left="1985" w:hanging="851"/>
    </w:pPr>
  </w:style>
  <w:style w:type="paragraph" w:styleId="TOC1">
    <w:name w:val="toc 1"/>
    <w:basedOn w:val="OPCParaBase"/>
    <w:next w:val="Normal"/>
    <w:uiPriority w:val="39"/>
    <w:unhideWhenUsed/>
    <w:rsid w:val="00CC1D7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C1D7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C1D7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C1D7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ableASubhead">
    <w:name w:val="TableASubhead"/>
    <w:basedOn w:val="Normal"/>
    <w:rsid w:val="002A519B"/>
    <w:pPr>
      <w:spacing w:before="120" w:after="120"/>
    </w:pPr>
    <w:rPr>
      <w:rFonts w:ascii="Helvetica" w:hAnsi="Helvetica"/>
      <w:b/>
    </w:rPr>
  </w:style>
  <w:style w:type="paragraph" w:customStyle="1" w:styleId="PageBreak">
    <w:name w:val="PageBreak"/>
    <w:aliases w:val="pb"/>
    <w:basedOn w:val="OPCParaBase"/>
    <w:rsid w:val="00CC1D70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CC1D7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CC1D70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ActHead2">
    <w:name w:val="ActHead 2"/>
    <w:aliases w:val="p"/>
    <w:basedOn w:val="OPCParaBase"/>
    <w:next w:val="ActHead3"/>
    <w:qFormat/>
    <w:rsid w:val="00CC1D7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C1D7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C1D7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C1D7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C1D7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C1D7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C1D7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C1D7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C1D70"/>
  </w:style>
  <w:style w:type="paragraph" w:customStyle="1" w:styleId="Blocks">
    <w:name w:val="Blocks"/>
    <w:aliases w:val="bb"/>
    <w:basedOn w:val="OPCParaBase"/>
    <w:qFormat/>
    <w:rsid w:val="00CC1D7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C1D7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C1D7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C1D70"/>
    <w:rPr>
      <w:i/>
    </w:rPr>
  </w:style>
  <w:style w:type="paragraph" w:customStyle="1" w:styleId="BoxList">
    <w:name w:val="BoxList"/>
    <w:aliases w:val="bl"/>
    <w:basedOn w:val="BoxText"/>
    <w:qFormat/>
    <w:rsid w:val="00CC1D7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C1D7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C1D7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C1D7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C1D70"/>
  </w:style>
  <w:style w:type="character" w:customStyle="1" w:styleId="CharAmPartText">
    <w:name w:val="CharAmPartText"/>
    <w:basedOn w:val="OPCCharBase"/>
    <w:uiPriority w:val="1"/>
    <w:qFormat/>
    <w:rsid w:val="00CC1D70"/>
  </w:style>
  <w:style w:type="character" w:customStyle="1" w:styleId="CharBoldItalic">
    <w:name w:val="CharBoldItalic"/>
    <w:basedOn w:val="OPCCharBase"/>
    <w:uiPriority w:val="1"/>
    <w:qFormat/>
    <w:rsid w:val="00CC1D70"/>
    <w:rPr>
      <w:b/>
      <w:i/>
    </w:rPr>
  </w:style>
  <w:style w:type="character" w:customStyle="1" w:styleId="CharItalic">
    <w:name w:val="CharItalic"/>
    <w:basedOn w:val="OPCCharBase"/>
    <w:uiPriority w:val="1"/>
    <w:qFormat/>
    <w:rsid w:val="00CC1D70"/>
    <w:rPr>
      <w:i/>
    </w:rPr>
  </w:style>
  <w:style w:type="character" w:customStyle="1" w:styleId="CharSubdNo">
    <w:name w:val="CharSubdNo"/>
    <w:basedOn w:val="OPCCharBase"/>
    <w:uiPriority w:val="1"/>
    <w:qFormat/>
    <w:rsid w:val="00CC1D70"/>
  </w:style>
  <w:style w:type="character" w:customStyle="1" w:styleId="CharSubdText">
    <w:name w:val="CharSubdText"/>
    <w:basedOn w:val="OPCCharBase"/>
    <w:uiPriority w:val="1"/>
    <w:qFormat/>
    <w:rsid w:val="00CC1D70"/>
  </w:style>
  <w:style w:type="paragraph" w:customStyle="1" w:styleId="CTA--">
    <w:name w:val="CTA --"/>
    <w:basedOn w:val="OPCParaBase"/>
    <w:next w:val="Normal"/>
    <w:rsid w:val="00CC1D7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C1D7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C1D7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C1D7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C1D7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C1D7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C1D7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C1D7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C1D7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C1D7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C1D7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C1D7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C1D7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C1D7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C1D7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C1D7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C1D7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C1D7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C1D7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C1D7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C1D70"/>
    <w:rPr>
      <w:sz w:val="16"/>
    </w:rPr>
  </w:style>
  <w:style w:type="paragraph" w:customStyle="1" w:styleId="House">
    <w:name w:val="House"/>
    <w:basedOn w:val="OPCParaBase"/>
    <w:rsid w:val="00CC1D7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C1D7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C1D7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C1D7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C1D7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C1D7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C1D7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C1D7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C1D70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CC1D7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C1D7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C1D7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C1D70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CC1D7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C1D7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C1D7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C1D7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C1D7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C1D7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C1D7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C1D7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C1D7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C1D7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C1D7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C1D7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C1D7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C1D7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C1D70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C1D7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C1D70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CC1D7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C1D7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C1D7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C1D7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C1D7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C1D70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C1D70"/>
    <w:rPr>
      <w:sz w:val="22"/>
      <w:szCs w:val="24"/>
    </w:rPr>
  </w:style>
  <w:style w:type="table" w:customStyle="1" w:styleId="CFlag">
    <w:name w:val="CFlag"/>
    <w:basedOn w:val="TableNormal"/>
    <w:uiPriority w:val="99"/>
    <w:rsid w:val="00CC1D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CC1D7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CC1D7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C1D7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C1D70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CC1D70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CC1D7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C1D7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C1D70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C1D7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C1D70"/>
    <w:rPr>
      <w:b/>
      <w:sz w:val="24"/>
      <w:szCs w:val="24"/>
    </w:rPr>
  </w:style>
  <w:style w:type="paragraph" w:customStyle="1" w:styleId="ENotesText">
    <w:name w:val="ENotesText"/>
    <w:aliases w:val="Ent,ENt"/>
    <w:basedOn w:val="OPCParaBase"/>
    <w:next w:val="Normal"/>
    <w:rsid w:val="00CC1D7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C1D7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C1D7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C1D7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CC1D7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CC1D7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C1D7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C1D7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C1D7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CC1D70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CC1D70"/>
    <w:pPr>
      <w:keepNext/>
      <w:spacing w:before="120" w:line="240" w:lineRule="auto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CC1D7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C1D7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C1D70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C1D7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text">
    <w:name w:val="note(text)"/>
    <w:aliases w:val="n"/>
    <w:basedOn w:val="OPCParaBase"/>
    <w:rsid w:val="00CC1D70"/>
    <w:pPr>
      <w:spacing w:before="122" w:line="240" w:lineRule="auto"/>
      <w:ind w:left="1985" w:hanging="851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1D70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CC1D70"/>
  </w:style>
  <w:style w:type="character" w:customStyle="1" w:styleId="CharSubPartNoCASA">
    <w:name w:val="CharSubPartNo(CASA)"/>
    <w:basedOn w:val="OPCCharBase"/>
    <w:uiPriority w:val="1"/>
    <w:rsid w:val="00CC1D70"/>
  </w:style>
  <w:style w:type="paragraph" w:styleId="Footer">
    <w:name w:val="footer"/>
    <w:link w:val="FooterChar"/>
    <w:rsid w:val="00CC1D70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TTIndentHeadingSub">
    <w:name w:val="ENoteTTIndentHeadingSub"/>
    <w:aliases w:val="enTTHis"/>
    <w:basedOn w:val="OPCParaBase"/>
    <w:rsid w:val="00CC1D7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C1D7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C1D7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C1D7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0E401A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401A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CC1D7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CC1D70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C1D70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F8573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8573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857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CC1D70"/>
  </w:style>
  <w:style w:type="character" w:customStyle="1" w:styleId="CharAmSchText">
    <w:name w:val="CharAmSchText"/>
    <w:basedOn w:val="OPCCharBase"/>
    <w:uiPriority w:val="1"/>
    <w:qFormat/>
    <w:rsid w:val="00CC1D70"/>
  </w:style>
  <w:style w:type="character" w:customStyle="1" w:styleId="CharChapNo">
    <w:name w:val="CharChapNo"/>
    <w:basedOn w:val="OPCCharBase"/>
    <w:qFormat/>
    <w:rsid w:val="00CC1D70"/>
  </w:style>
  <w:style w:type="character" w:customStyle="1" w:styleId="CharChapText">
    <w:name w:val="CharChapText"/>
    <w:basedOn w:val="OPCCharBase"/>
    <w:qFormat/>
    <w:rsid w:val="00CC1D70"/>
  </w:style>
  <w:style w:type="character" w:customStyle="1" w:styleId="CharDivNo">
    <w:name w:val="CharDivNo"/>
    <w:basedOn w:val="OPCCharBase"/>
    <w:qFormat/>
    <w:rsid w:val="00CC1D70"/>
  </w:style>
  <w:style w:type="character" w:customStyle="1" w:styleId="CharDivText">
    <w:name w:val="CharDivText"/>
    <w:basedOn w:val="OPCCharBase"/>
    <w:qFormat/>
    <w:rsid w:val="00CC1D70"/>
  </w:style>
  <w:style w:type="character" w:customStyle="1" w:styleId="CharPartNo">
    <w:name w:val="CharPartNo"/>
    <w:basedOn w:val="OPCCharBase"/>
    <w:qFormat/>
    <w:rsid w:val="00CC1D70"/>
  </w:style>
  <w:style w:type="character" w:customStyle="1" w:styleId="CharPartText">
    <w:name w:val="CharPartText"/>
    <w:basedOn w:val="OPCCharBase"/>
    <w:qFormat/>
    <w:rsid w:val="00CC1D70"/>
  </w:style>
  <w:style w:type="character" w:customStyle="1" w:styleId="OPCCharBase">
    <w:name w:val="OPCCharBase"/>
    <w:uiPriority w:val="1"/>
    <w:qFormat/>
    <w:rsid w:val="00CC1D70"/>
  </w:style>
  <w:style w:type="paragraph" w:customStyle="1" w:styleId="OPCParaBase">
    <w:name w:val="OPCParaBase"/>
    <w:qFormat/>
    <w:rsid w:val="00CC1D70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CC1D70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CC1D70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CC1D70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CC1D70"/>
    <w:pPr>
      <w:tabs>
        <w:tab w:val="left" w:pos="2977"/>
      </w:tabs>
      <w:spacing w:before="180" w:line="240" w:lineRule="auto"/>
      <w:ind w:left="1985" w:hanging="851"/>
    </w:pPr>
  </w:style>
  <w:style w:type="paragraph" w:styleId="TOC1">
    <w:name w:val="toc 1"/>
    <w:basedOn w:val="OPCParaBase"/>
    <w:next w:val="Normal"/>
    <w:uiPriority w:val="39"/>
    <w:unhideWhenUsed/>
    <w:rsid w:val="00CC1D7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C1D7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C1D7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C1D7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C1D7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ableASubhead">
    <w:name w:val="TableASubhead"/>
    <w:basedOn w:val="Normal"/>
    <w:rsid w:val="002A519B"/>
    <w:pPr>
      <w:spacing w:before="120" w:after="120"/>
    </w:pPr>
    <w:rPr>
      <w:rFonts w:ascii="Helvetica" w:hAnsi="Helvetica"/>
      <w:b/>
    </w:rPr>
  </w:style>
  <w:style w:type="paragraph" w:customStyle="1" w:styleId="PageBreak">
    <w:name w:val="PageBreak"/>
    <w:aliases w:val="pb"/>
    <w:basedOn w:val="OPCParaBase"/>
    <w:rsid w:val="00CC1D70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CC1D7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CC1D70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ActHead2">
    <w:name w:val="ActHead 2"/>
    <w:aliases w:val="p"/>
    <w:basedOn w:val="OPCParaBase"/>
    <w:next w:val="ActHead3"/>
    <w:qFormat/>
    <w:rsid w:val="00CC1D7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C1D7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C1D7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C1D7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C1D7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C1D7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C1D7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C1D7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C1D70"/>
  </w:style>
  <w:style w:type="paragraph" w:customStyle="1" w:styleId="Blocks">
    <w:name w:val="Blocks"/>
    <w:aliases w:val="bb"/>
    <w:basedOn w:val="OPCParaBase"/>
    <w:qFormat/>
    <w:rsid w:val="00CC1D7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C1D7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C1D7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C1D70"/>
    <w:rPr>
      <w:i/>
    </w:rPr>
  </w:style>
  <w:style w:type="paragraph" w:customStyle="1" w:styleId="BoxList">
    <w:name w:val="BoxList"/>
    <w:aliases w:val="bl"/>
    <w:basedOn w:val="BoxText"/>
    <w:qFormat/>
    <w:rsid w:val="00CC1D7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C1D7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C1D7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C1D7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C1D70"/>
  </w:style>
  <w:style w:type="character" w:customStyle="1" w:styleId="CharAmPartText">
    <w:name w:val="CharAmPartText"/>
    <w:basedOn w:val="OPCCharBase"/>
    <w:uiPriority w:val="1"/>
    <w:qFormat/>
    <w:rsid w:val="00CC1D70"/>
  </w:style>
  <w:style w:type="character" w:customStyle="1" w:styleId="CharBoldItalic">
    <w:name w:val="CharBoldItalic"/>
    <w:basedOn w:val="OPCCharBase"/>
    <w:uiPriority w:val="1"/>
    <w:qFormat/>
    <w:rsid w:val="00CC1D70"/>
    <w:rPr>
      <w:b/>
      <w:i/>
    </w:rPr>
  </w:style>
  <w:style w:type="character" w:customStyle="1" w:styleId="CharItalic">
    <w:name w:val="CharItalic"/>
    <w:basedOn w:val="OPCCharBase"/>
    <w:uiPriority w:val="1"/>
    <w:qFormat/>
    <w:rsid w:val="00CC1D70"/>
    <w:rPr>
      <w:i/>
    </w:rPr>
  </w:style>
  <w:style w:type="character" w:customStyle="1" w:styleId="CharSubdNo">
    <w:name w:val="CharSubdNo"/>
    <w:basedOn w:val="OPCCharBase"/>
    <w:uiPriority w:val="1"/>
    <w:qFormat/>
    <w:rsid w:val="00CC1D70"/>
  </w:style>
  <w:style w:type="character" w:customStyle="1" w:styleId="CharSubdText">
    <w:name w:val="CharSubdText"/>
    <w:basedOn w:val="OPCCharBase"/>
    <w:uiPriority w:val="1"/>
    <w:qFormat/>
    <w:rsid w:val="00CC1D70"/>
  </w:style>
  <w:style w:type="paragraph" w:customStyle="1" w:styleId="CTA--">
    <w:name w:val="CTA --"/>
    <w:basedOn w:val="OPCParaBase"/>
    <w:next w:val="Normal"/>
    <w:rsid w:val="00CC1D7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C1D7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C1D7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C1D7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C1D7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C1D7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C1D7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C1D7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C1D7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C1D7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C1D7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C1D7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C1D7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C1D7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C1D7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C1D7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C1D7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C1D7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C1D7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C1D7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C1D70"/>
    <w:rPr>
      <w:sz w:val="16"/>
    </w:rPr>
  </w:style>
  <w:style w:type="paragraph" w:customStyle="1" w:styleId="House">
    <w:name w:val="House"/>
    <w:basedOn w:val="OPCParaBase"/>
    <w:rsid w:val="00CC1D7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C1D7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C1D7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C1D7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C1D7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C1D7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C1D7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C1D7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C1D70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CC1D7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C1D7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C1D7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C1D70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CC1D7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C1D7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C1D7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C1D7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C1D7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C1D7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C1D7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C1D7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C1D7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C1D7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C1D7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C1D7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C1D7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C1D7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C1D70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C1D7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C1D70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CC1D7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C1D7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C1D7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C1D7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C1D7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C1D70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C1D70"/>
    <w:rPr>
      <w:sz w:val="22"/>
      <w:szCs w:val="24"/>
    </w:rPr>
  </w:style>
  <w:style w:type="table" w:customStyle="1" w:styleId="CFlag">
    <w:name w:val="CFlag"/>
    <w:basedOn w:val="TableNormal"/>
    <w:uiPriority w:val="99"/>
    <w:rsid w:val="00CC1D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CC1D7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CC1D7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C1D7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C1D70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CC1D70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CC1D7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C1D7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C1D70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C1D7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C1D70"/>
    <w:rPr>
      <w:b/>
      <w:sz w:val="24"/>
      <w:szCs w:val="24"/>
    </w:rPr>
  </w:style>
  <w:style w:type="paragraph" w:customStyle="1" w:styleId="ENotesText">
    <w:name w:val="ENotesText"/>
    <w:aliases w:val="Ent,ENt"/>
    <w:basedOn w:val="OPCParaBase"/>
    <w:next w:val="Normal"/>
    <w:rsid w:val="00CC1D7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C1D7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C1D7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C1D7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CC1D7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CC1D7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C1D7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C1D7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C1D7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CC1D70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CC1D70"/>
    <w:pPr>
      <w:keepNext/>
      <w:spacing w:before="120" w:line="240" w:lineRule="auto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CC1D7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C1D7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C1D70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C1D7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text">
    <w:name w:val="note(text)"/>
    <w:aliases w:val="n"/>
    <w:basedOn w:val="OPCParaBase"/>
    <w:rsid w:val="00CC1D70"/>
    <w:pPr>
      <w:spacing w:before="122" w:line="240" w:lineRule="auto"/>
      <w:ind w:left="1985" w:hanging="851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2237-FDD8-4266-9321-ADCF3D0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ConsolSLIS_NEW.DOTX</Template>
  <TotalTime>0</TotalTime>
  <Pages>11</Pages>
  <Words>1036</Words>
  <Characters>5335</Characters>
  <Application>Microsoft Office Word</Application>
  <DocSecurity>0</DocSecurity>
  <PresentationFormat/>
  <Lines>252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(Self Managed Superannuation Funds) Supervisory Levy Imposition Regulations 1991</vt:lpstr>
    </vt:vector>
  </TitlesOfParts>
  <Manager/>
  <Company/>
  <LinksUpToDate>false</LinksUpToDate>
  <CharactersWithSpaces>6202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(Self Managed Superannuation Funds) Supervisory Levy Imposition Regulations 1991</dc:title>
  <dc:subject/>
  <dc:creator/>
  <cp:keywords/>
  <dc:description/>
  <cp:lastModifiedBy/>
  <cp:revision>1</cp:revision>
  <cp:lastPrinted>2013-09-03T04:22:00Z</cp:lastPrinted>
  <dcterms:created xsi:type="dcterms:W3CDTF">2013-09-09T06:11:00Z</dcterms:created>
  <dcterms:modified xsi:type="dcterms:W3CDTF">2013-09-09T06:11:00Z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  <property fmtid="{D5CDD505-2E9C-101B-9397-08002B2CF9AE}" pid="4" name="ShortT">
    <vt:lpwstr>Superannuation (Self Managed Superannuation Funds) Supervisory Levy Imposition Regulations 1991</vt:lpwstr>
  </property>
  <property fmtid="{D5CDD505-2E9C-101B-9397-08002B2CF9AE}" pid="5" name="Compilation">
    <vt:lpwstr>Yes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Converted">
    <vt:bool>false</vt:bool>
  </property>
  <property fmtid="{D5CDD505-2E9C-101B-9397-08002B2CF9AE}" pid="9" name="ActNo">
    <vt:lpwstr/>
  </property>
  <property fmtid="{D5CDD505-2E9C-101B-9397-08002B2CF9AE}" pid="10" name="Header">
    <vt:lpwstr>Regulation</vt:lpwstr>
  </property>
  <property fmtid="{D5CDD505-2E9C-101B-9397-08002B2CF9AE}" pid="11" name="Class">
    <vt:lpwstr/>
  </property>
  <property fmtid="{D5CDD505-2E9C-101B-9397-08002B2CF9AE}" pid="12" name="DateMade">
    <vt:lpwstr> </vt:lpwstr>
  </property>
  <property fmtid="{D5CDD505-2E9C-101B-9397-08002B2CF9AE}" pid="13" name="EXCO">
    <vt:lpwstr> </vt:lpwstr>
  </property>
  <property fmtid="{D5CDD505-2E9C-101B-9397-08002B2CF9AE}" pid="14" name="Authority">
    <vt:lpwstr> </vt:lpwstr>
  </property>
  <property fmtid="{D5CDD505-2E9C-101B-9397-08002B2CF9AE}" pid="15" name="DoNotAsk">
    <vt:lpwstr>0</vt:lpwstr>
  </property>
  <property fmtid="{D5CDD505-2E9C-101B-9397-08002B2CF9AE}" pid="16" name="ChangedTitle">
    <vt:lpwstr/>
  </property>
</Properties>
</file>