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0B0CACCE"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(No.</w:t>
      </w:r>
      <w:r w:rsidR="00F96712">
        <w:rPr>
          <w:rFonts w:ascii="Calibri" w:hAnsi="Calibri"/>
          <w:b/>
          <w:sz w:val="28"/>
          <w:szCs w:val="28"/>
          <w:lang w:eastAsia="en-US"/>
        </w:rPr>
        <w:t>10</w:t>
      </w:r>
      <w:r w:rsidRPr="00227691">
        <w:rPr>
          <w:rFonts w:ascii="Calibri" w:hAnsi="Calibri"/>
          <w:b/>
          <w:sz w:val="28"/>
          <w:szCs w:val="28"/>
          <w:lang w:eastAsia="en-US"/>
        </w:rPr>
        <w:t>)</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1747EA">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369460E7" w:rsidR="00A36FDC" w:rsidRPr="00A36FDC" w:rsidRDefault="00A36FDC" w:rsidP="001747EA">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(No.</w:t>
      </w:r>
      <w:r w:rsidR="00F96712">
        <w:rPr>
          <w:rFonts w:ascii="Calibri" w:eastAsia="Calibri" w:hAnsi="Calibri"/>
          <w:i/>
          <w:iCs/>
          <w:kern w:val="2"/>
          <w:sz w:val="22"/>
          <w:szCs w:val="22"/>
          <w:lang w:eastAsia="en-US"/>
          <w14:ligatures w14:val="standardContextual"/>
        </w:rPr>
        <w:t>10</w:t>
      </w:r>
      <w:r w:rsidRPr="00A36FDC">
        <w:rPr>
          <w:rFonts w:ascii="Calibri" w:eastAsia="Calibri" w:hAnsi="Calibri"/>
          <w:i/>
          <w:iCs/>
          <w:kern w:val="2"/>
          <w:sz w:val="22"/>
          <w:szCs w:val="22"/>
          <w:lang w:eastAsia="en-US"/>
          <w14:ligatures w14:val="standardContextual"/>
        </w:rPr>
        <w:t>).</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1747EA">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default" r:id="rId12"/>
          <w:footerReference w:type="default" r:id="rId13"/>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1747EA">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5BDCD8BD"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Dated: </w:t>
      </w:r>
      <w:r w:rsidR="004D6C21">
        <w:rPr>
          <w:rFonts w:ascii="Calibri" w:eastAsia="Calibri" w:hAnsi="Calibri"/>
          <w:kern w:val="2"/>
          <w:sz w:val="22"/>
          <w:szCs w:val="22"/>
          <w:lang w:eastAsia="en-US"/>
          <w14:ligatures w14:val="standardContextual"/>
        </w:rPr>
        <w:t>21</w:t>
      </w:r>
      <w:r w:rsidRPr="00A36FDC">
        <w:rPr>
          <w:rFonts w:ascii="Calibri" w:eastAsia="Calibri" w:hAnsi="Calibri"/>
          <w:kern w:val="2"/>
          <w:sz w:val="22"/>
          <w:szCs w:val="22"/>
          <w:lang w:eastAsia="en-US"/>
          <w14:ligatures w14:val="standardContextual"/>
        </w:rPr>
        <w:t>/</w:t>
      </w:r>
      <w:r w:rsidR="004D6C21">
        <w:rPr>
          <w:rFonts w:ascii="Calibri" w:eastAsia="Calibri" w:hAnsi="Calibri"/>
          <w:kern w:val="2"/>
          <w:sz w:val="22"/>
          <w:szCs w:val="22"/>
          <w:lang w:eastAsia="en-US"/>
          <w14:ligatures w14:val="standardContextual"/>
        </w:rPr>
        <w:t>07</w:t>
      </w:r>
      <w:r w:rsidRPr="00A36FDC">
        <w:rPr>
          <w:rFonts w:ascii="Calibri" w:eastAsia="Calibri" w:hAnsi="Calibri"/>
          <w:kern w:val="2"/>
          <w:sz w:val="22"/>
          <w:szCs w:val="22"/>
          <w:lang w:eastAsia="en-US"/>
          <w14:ligatures w14:val="standardContextual"/>
        </w:rPr>
        <w:t>/2025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4"/>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12"/>
        <w:gridCol w:w="2527"/>
        <w:gridCol w:w="1406"/>
        <w:gridCol w:w="3961"/>
        <w:gridCol w:w="4864"/>
      </w:tblGrid>
      <w:tr w:rsidR="00A36FDC" w:rsidRPr="00A36FDC" w14:paraId="794F4D49" w14:textId="77777777" w:rsidTr="0075155E">
        <w:trPr>
          <w:cantSplit/>
        </w:trPr>
        <w:tc>
          <w:tcPr>
            <w:tcW w:w="1412"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527"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406"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961"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864"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2C6CA7" w:rsidRPr="00A36FDC" w14:paraId="08FC1A8F" w14:textId="77777777" w:rsidTr="0075155E">
        <w:trPr>
          <w:cantSplit/>
        </w:trPr>
        <w:tc>
          <w:tcPr>
            <w:tcW w:w="1412" w:type="dxa"/>
          </w:tcPr>
          <w:p w14:paraId="7254E094" w14:textId="77777777" w:rsidR="002C6CA7" w:rsidRPr="00A36FDC" w:rsidRDefault="002C6CA7"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1C2E9784" w14:textId="344C402E" w:rsidR="002C6CA7" w:rsidRDefault="005464C3" w:rsidP="00A36FDC">
            <w:pPr>
              <w:rPr>
                <w:rFonts w:ascii="Calibri" w:eastAsia="Calibri" w:hAnsi="Calibri"/>
                <w:sz w:val="20"/>
                <w:szCs w:val="20"/>
              </w:rPr>
            </w:pPr>
            <w:r>
              <w:rPr>
                <w:rFonts w:ascii="Calibri" w:eastAsia="Calibri" w:hAnsi="Calibri"/>
                <w:sz w:val="20"/>
                <w:szCs w:val="20"/>
              </w:rPr>
              <w:t xml:space="preserve">Various SA </w:t>
            </w:r>
            <w:r w:rsidR="00BE4DF1">
              <w:rPr>
                <w:rFonts w:ascii="Calibri" w:eastAsia="Calibri" w:hAnsi="Calibri"/>
                <w:sz w:val="20"/>
                <w:szCs w:val="20"/>
              </w:rPr>
              <w:t xml:space="preserve">B </w:t>
            </w:r>
            <w:r>
              <w:rPr>
                <w:rFonts w:ascii="Calibri" w:eastAsia="Calibri" w:hAnsi="Calibri"/>
                <w:sz w:val="20"/>
                <w:szCs w:val="20"/>
              </w:rPr>
              <w:t>Double Networks:</w:t>
            </w:r>
            <w:r>
              <w:rPr>
                <w:rFonts w:ascii="Calibri" w:eastAsia="Calibri" w:hAnsi="Calibri"/>
                <w:sz w:val="20"/>
                <w:szCs w:val="20"/>
              </w:rPr>
              <w:br/>
            </w:r>
            <w:r w:rsidR="005F4809" w:rsidRPr="005F4809">
              <w:rPr>
                <w:rFonts w:ascii="Calibri" w:eastAsia="Calibri" w:hAnsi="Calibri"/>
                <w:sz w:val="20"/>
                <w:szCs w:val="20"/>
              </w:rPr>
              <w:t>26m B Double (GML)</w:t>
            </w:r>
          </w:p>
          <w:p w14:paraId="0551BC86" w14:textId="77777777" w:rsidR="00875130" w:rsidRDefault="00875130" w:rsidP="00A36FDC">
            <w:pPr>
              <w:rPr>
                <w:rFonts w:ascii="Calibri" w:eastAsia="Calibri" w:hAnsi="Calibri"/>
                <w:sz w:val="20"/>
                <w:szCs w:val="20"/>
              </w:rPr>
            </w:pPr>
            <w:r w:rsidRPr="00875130">
              <w:rPr>
                <w:rFonts w:ascii="Calibri" w:eastAsia="Calibri" w:hAnsi="Calibri"/>
                <w:sz w:val="20"/>
                <w:szCs w:val="20"/>
              </w:rPr>
              <w:t>23m B Double (GML)</w:t>
            </w:r>
          </w:p>
          <w:p w14:paraId="2BBA00FA" w14:textId="745B15FC" w:rsidR="00875130" w:rsidRDefault="00875130" w:rsidP="00875130">
            <w:pPr>
              <w:rPr>
                <w:rFonts w:ascii="Calibri" w:eastAsia="Calibri" w:hAnsi="Calibri"/>
                <w:sz w:val="20"/>
                <w:szCs w:val="20"/>
              </w:rPr>
            </w:pPr>
            <w:r w:rsidRPr="005F4809">
              <w:rPr>
                <w:rFonts w:ascii="Calibri" w:eastAsia="Calibri" w:hAnsi="Calibri"/>
                <w:sz w:val="20"/>
                <w:szCs w:val="20"/>
              </w:rPr>
              <w:t>26m B Double (</w:t>
            </w:r>
            <w:r>
              <w:rPr>
                <w:rFonts w:ascii="Calibri" w:eastAsia="Calibri" w:hAnsi="Calibri"/>
                <w:sz w:val="20"/>
                <w:szCs w:val="20"/>
              </w:rPr>
              <w:t>H</w:t>
            </w:r>
            <w:r w:rsidRPr="005F4809">
              <w:rPr>
                <w:rFonts w:ascii="Calibri" w:eastAsia="Calibri" w:hAnsi="Calibri"/>
                <w:sz w:val="20"/>
                <w:szCs w:val="20"/>
              </w:rPr>
              <w:t>ML)</w:t>
            </w:r>
          </w:p>
          <w:p w14:paraId="3D387FBB" w14:textId="48BF4073" w:rsidR="00875130" w:rsidRPr="00A36FDC" w:rsidRDefault="00875130" w:rsidP="00875130">
            <w:pPr>
              <w:rPr>
                <w:rFonts w:ascii="Calibri" w:eastAsia="Calibri" w:hAnsi="Calibri"/>
                <w:sz w:val="20"/>
                <w:szCs w:val="20"/>
              </w:rPr>
            </w:pPr>
            <w:r w:rsidRPr="00875130">
              <w:rPr>
                <w:rFonts w:ascii="Calibri" w:eastAsia="Calibri" w:hAnsi="Calibri"/>
                <w:sz w:val="20"/>
                <w:szCs w:val="20"/>
              </w:rPr>
              <w:t>23m B Double (</w:t>
            </w:r>
            <w:r>
              <w:rPr>
                <w:rFonts w:ascii="Calibri" w:eastAsia="Calibri" w:hAnsi="Calibri"/>
                <w:sz w:val="20"/>
                <w:szCs w:val="20"/>
              </w:rPr>
              <w:t>H</w:t>
            </w:r>
            <w:r w:rsidRPr="00875130">
              <w:rPr>
                <w:rFonts w:ascii="Calibri" w:eastAsia="Calibri" w:hAnsi="Calibri"/>
                <w:sz w:val="20"/>
                <w:szCs w:val="20"/>
              </w:rPr>
              <w:t>ML)</w:t>
            </w:r>
          </w:p>
        </w:tc>
        <w:tc>
          <w:tcPr>
            <w:tcW w:w="1406" w:type="dxa"/>
          </w:tcPr>
          <w:p w14:paraId="3B890D6A" w14:textId="65F8D3DD" w:rsidR="002C6CA7" w:rsidRPr="00A36FDC" w:rsidRDefault="00C14EA9" w:rsidP="00A36FDC">
            <w:pPr>
              <w:rPr>
                <w:rFonts w:ascii="Calibri" w:eastAsia="Calibri" w:hAnsi="Calibri"/>
                <w:sz w:val="20"/>
                <w:szCs w:val="20"/>
              </w:rPr>
            </w:pPr>
            <w:r>
              <w:rPr>
                <w:rFonts w:ascii="Calibri" w:eastAsia="Calibri" w:hAnsi="Calibri"/>
                <w:sz w:val="20"/>
                <w:szCs w:val="20"/>
              </w:rPr>
              <w:t xml:space="preserve">South Australia - </w:t>
            </w:r>
            <w:r w:rsidRPr="00C14EA9">
              <w:rPr>
                <w:rFonts w:ascii="Calibri" w:eastAsia="Calibri" w:hAnsi="Calibri"/>
                <w:sz w:val="20"/>
                <w:szCs w:val="20"/>
              </w:rPr>
              <w:t>Department for Infrastructure and Transport (DIT)</w:t>
            </w:r>
            <w:r w:rsidR="00FA44CC">
              <w:rPr>
                <w:rFonts w:ascii="Calibri" w:eastAsia="Calibri" w:hAnsi="Calibri"/>
                <w:sz w:val="20"/>
                <w:szCs w:val="20"/>
              </w:rPr>
              <w:t xml:space="preserve"> </w:t>
            </w:r>
          </w:p>
        </w:tc>
        <w:tc>
          <w:tcPr>
            <w:tcW w:w="3961" w:type="dxa"/>
          </w:tcPr>
          <w:p w14:paraId="23B2DFD1" w14:textId="3049CC04" w:rsidR="002C6CA7" w:rsidRPr="00A36FDC" w:rsidRDefault="00C14EA9" w:rsidP="002C6CA7">
            <w:pPr>
              <w:contextualSpacing/>
              <w:rPr>
                <w:rFonts w:ascii="Calibri" w:eastAsia="Calibri" w:hAnsi="Calibri"/>
                <w:sz w:val="20"/>
                <w:szCs w:val="20"/>
              </w:rPr>
            </w:pPr>
            <w:r>
              <w:rPr>
                <w:rFonts w:ascii="Calibri" w:eastAsia="Calibri" w:hAnsi="Calibri"/>
                <w:sz w:val="20"/>
                <w:szCs w:val="20"/>
              </w:rPr>
              <w:t xml:space="preserve">Removal of </w:t>
            </w:r>
            <w:r w:rsidR="003A32DD" w:rsidRPr="003A32DD">
              <w:rPr>
                <w:rFonts w:ascii="Calibri" w:eastAsia="Calibri" w:hAnsi="Calibri"/>
                <w:sz w:val="20"/>
                <w:szCs w:val="20"/>
              </w:rPr>
              <w:t>James Congdon</w:t>
            </w:r>
            <w:r w:rsidR="003A32DD">
              <w:rPr>
                <w:rFonts w:ascii="Calibri" w:eastAsia="Calibri" w:hAnsi="Calibri"/>
                <w:sz w:val="20"/>
                <w:szCs w:val="20"/>
              </w:rPr>
              <w:t xml:space="preserve"> Drive</w:t>
            </w:r>
            <w:r w:rsidR="009E3BA8">
              <w:rPr>
                <w:rFonts w:ascii="Calibri" w:eastAsia="Calibri" w:hAnsi="Calibri"/>
                <w:sz w:val="20"/>
                <w:szCs w:val="20"/>
              </w:rPr>
              <w:t xml:space="preserve"> Service Road</w:t>
            </w:r>
            <w:r w:rsidR="00BA75CF">
              <w:rPr>
                <w:rFonts w:ascii="Calibri" w:eastAsia="Calibri" w:hAnsi="Calibri"/>
                <w:sz w:val="20"/>
                <w:szCs w:val="20"/>
              </w:rPr>
              <w:t>, Mil</w:t>
            </w:r>
            <w:r w:rsidR="0007371F">
              <w:rPr>
                <w:rFonts w:ascii="Calibri" w:eastAsia="Calibri" w:hAnsi="Calibri"/>
                <w:sz w:val="20"/>
                <w:szCs w:val="20"/>
              </w:rPr>
              <w:t>e End.</w:t>
            </w:r>
          </w:p>
        </w:tc>
        <w:tc>
          <w:tcPr>
            <w:tcW w:w="4864" w:type="dxa"/>
          </w:tcPr>
          <w:p w14:paraId="7DA39E48" w14:textId="63195079" w:rsidR="002C6CA7" w:rsidRPr="00A36FDC" w:rsidRDefault="0053435D" w:rsidP="00A36FDC">
            <w:pPr>
              <w:rPr>
                <w:rFonts w:ascii="Calibri" w:eastAsia="Calibri" w:hAnsi="Calibri"/>
                <w:sz w:val="20"/>
                <w:szCs w:val="20"/>
              </w:rPr>
            </w:pPr>
            <w:r>
              <w:rPr>
                <w:rFonts w:ascii="Calibri" w:eastAsia="Calibri" w:hAnsi="Calibri"/>
                <w:sz w:val="20"/>
                <w:szCs w:val="20"/>
              </w:rPr>
              <w:t>S</w:t>
            </w:r>
            <w:r w:rsidRPr="003A32DD">
              <w:rPr>
                <w:rFonts w:ascii="Calibri" w:eastAsia="Calibri" w:hAnsi="Calibri"/>
                <w:sz w:val="20"/>
                <w:szCs w:val="20"/>
              </w:rPr>
              <w:t>wept paths</w:t>
            </w:r>
            <w:r>
              <w:rPr>
                <w:rFonts w:ascii="Calibri" w:eastAsia="Calibri" w:hAnsi="Calibri"/>
                <w:sz w:val="20"/>
                <w:szCs w:val="20"/>
              </w:rPr>
              <w:t xml:space="preserve"> analysis</w:t>
            </w:r>
            <w:r w:rsidRPr="003A32DD">
              <w:rPr>
                <w:rFonts w:ascii="Calibri" w:eastAsia="Calibri" w:hAnsi="Calibri"/>
                <w:sz w:val="20"/>
                <w:szCs w:val="20"/>
              </w:rPr>
              <w:t xml:space="preserve"> indicate that </w:t>
            </w:r>
            <w:r>
              <w:rPr>
                <w:rFonts w:ascii="Calibri" w:eastAsia="Calibri" w:hAnsi="Calibri"/>
                <w:sz w:val="20"/>
                <w:szCs w:val="20"/>
              </w:rPr>
              <w:t>a</w:t>
            </w:r>
            <w:r w:rsidR="003A32DD" w:rsidRPr="003A32DD">
              <w:rPr>
                <w:rFonts w:ascii="Calibri" w:eastAsia="Calibri" w:hAnsi="Calibri"/>
                <w:sz w:val="20"/>
                <w:szCs w:val="20"/>
              </w:rPr>
              <w:t>t the intersection of James Congdon Drive and Scotland Road, the combination is likely to hit medians, kerbing, and cross into adjacent lane space in a high-averaged annual daily traffic area</w:t>
            </w:r>
            <w:r w:rsidR="003A32DD">
              <w:rPr>
                <w:rFonts w:ascii="Calibri" w:eastAsia="Calibri" w:hAnsi="Calibri"/>
                <w:sz w:val="20"/>
                <w:szCs w:val="20"/>
              </w:rPr>
              <w:t xml:space="preserve">. Access poses significant risk to </w:t>
            </w:r>
            <w:r>
              <w:rPr>
                <w:rFonts w:ascii="Calibri" w:eastAsia="Calibri" w:hAnsi="Calibri"/>
                <w:sz w:val="20"/>
                <w:szCs w:val="20"/>
              </w:rPr>
              <w:t>public safety and infrastructure.</w:t>
            </w:r>
          </w:p>
        </w:tc>
      </w:tr>
      <w:tr w:rsidR="00E52B5E" w:rsidRPr="00A36FDC" w14:paraId="796B6D4B" w14:textId="77777777" w:rsidTr="0075155E">
        <w:trPr>
          <w:cantSplit/>
        </w:trPr>
        <w:tc>
          <w:tcPr>
            <w:tcW w:w="1412" w:type="dxa"/>
          </w:tcPr>
          <w:p w14:paraId="344B7881" w14:textId="044D25A2" w:rsidR="00E52B5E" w:rsidRPr="00A36FDC" w:rsidRDefault="00E52B5E"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4E5AC1C2" w14:textId="257FFBE7" w:rsidR="00E52B5E" w:rsidRDefault="0052638A" w:rsidP="00A36FDC">
            <w:pPr>
              <w:rPr>
                <w:rFonts w:ascii="Calibri" w:eastAsia="Calibri" w:hAnsi="Calibri"/>
                <w:sz w:val="20"/>
                <w:szCs w:val="20"/>
              </w:rPr>
            </w:pPr>
            <w:r>
              <w:rPr>
                <w:rFonts w:ascii="Calibri" w:eastAsia="Calibri" w:hAnsi="Calibri"/>
                <w:sz w:val="20"/>
                <w:szCs w:val="20"/>
              </w:rPr>
              <w:t>All networks in New South Wales.</w:t>
            </w:r>
          </w:p>
        </w:tc>
        <w:tc>
          <w:tcPr>
            <w:tcW w:w="1406" w:type="dxa"/>
          </w:tcPr>
          <w:p w14:paraId="0AC8019A" w14:textId="1CC7BE0A" w:rsidR="00E52B5E" w:rsidRDefault="00E52B5E" w:rsidP="00A36FDC">
            <w:pPr>
              <w:rPr>
                <w:rFonts w:ascii="Calibri" w:eastAsia="Calibri" w:hAnsi="Calibri"/>
                <w:sz w:val="20"/>
                <w:szCs w:val="20"/>
              </w:rPr>
            </w:pPr>
            <w:r>
              <w:rPr>
                <w:rFonts w:ascii="Calibri" w:eastAsia="Calibri" w:hAnsi="Calibri"/>
                <w:sz w:val="20"/>
                <w:szCs w:val="20"/>
              </w:rPr>
              <w:t>New South Wales -Richmond Valley Council</w:t>
            </w:r>
          </w:p>
        </w:tc>
        <w:tc>
          <w:tcPr>
            <w:tcW w:w="3961" w:type="dxa"/>
          </w:tcPr>
          <w:p w14:paraId="35F2276B" w14:textId="4CFFE040" w:rsidR="00E52B5E" w:rsidRDefault="009E3BA8" w:rsidP="002C6CA7">
            <w:pPr>
              <w:contextualSpacing/>
              <w:rPr>
                <w:rFonts w:ascii="Calibri" w:eastAsia="Calibri" w:hAnsi="Calibri"/>
                <w:sz w:val="20"/>
                <w:szCs w:val="20"/>
              </w:rPr>
            </w:pPr>
            <w:r>
              <w:rPr>
                <w:rFonts w:ascii="Calibri" w:eastAsia="Calibri" w:hAnsi="Calibri"/>
                <w:sz w:val="20"/>
                <w:szCs w:val="20"/>
              </w:rPr>
              <w:t xml:space="preserve">5t mass limit over </w:t>
            </w:r>
            <w:r w:rsidR="00043309">
              <w:rPr>
                <w:rFonts w:ascii="Calibri" w:eastAsia="Calibri" w:hAnsi="Calibri"/>
                <w:sz w:val="20"/>
                <w:szCs w:val="20"/>
              </w:rPr>
              <w:t xml:space="preserve">the </w:t>
            </w:r>
            <w:r>
              <w:rPr>
                <w:rFonts w:ascii="Calibri" w:eastAsia="Calibri" w:hAnsi="Calibri"/>
                <w:sz w:val="20"/>
                <w:szCs w:val="20"/>
              </w:rPr>
              <w:t>T</w:t>
            </w:r>
            <w:r w:rsidR="00C471A6">
              <w:rPr>
                <w:rFonts w:ascii="Calibri" w:eastAsia="Calibri" w:hAnsi="Calibri"/>
                <w:sz w:val="20"/>
                <w:szCs w:val="20"/>
              </w:rPr>
              <w:t>atham Bridge</w:t>
            </w:r>
            <w:r w:rsidR="00043309">
              <w:rPr>
                <w:rFonts w:ascii="Calibri" w:eastAsia="Calibri" w:hAnsi="Calibri"/>
                <w:sz w:val="20"/>
                <w:szCs w:val="20"/>
              </w:rPr>
              <w:t xml:space="preserve">s on Casino-Coraki Road, </w:t>
            </w:r>
            <w:r w:rsidR="0052638A">
              <w:rPr>
                <w:rFonts w:ascii="Calibri" w:eastAsia="Calibri" w:hAnsi="Calibri"/>
                <w:sz w:val="20"/>
                <w:szCs w:val="20"/>
              </w:rPr>
              <w:t>Tatham</w:t>
            </w:r>
            <w:r w:rsidR="00043309">
              <w:rPr>
                <w:rFonts w:ascii="Calibri" w:eastAsia="Calibri" w:hAnsi="Calibri"/>
                <w:sz w:val="20"/>
                <w:szCs w:val="20"/>
              </w:rPr>
              <w:t>.</w:t>
            </w:r>
            <w:r w:rsidR="00C471A6">
              <w:rPr>
                <w:rFonts w:ascii="Calibri" w:eastAsia="Calibri" w:hAnsi="Calibri"/>
                <w:sz w:val="20"/>
                <w:szCs w:val="20"/>
              </w:rPr>
              <w:t xml:space="preserve"> </w:t>
            </w:r>
          </w:p>
        </w:tc>
        <w:tc>
          <w:tcPr>
            <w:tcW w:w="4864" w:type="dxa"/>
          </w:tcPr>
          <w:p w14:paraId="25DF0FBC" w14:textId="48C45AFD" w:rsidR="00E52B5E" w:rsidRDefault="00FF2909" w:rsidP="00A36FDC">
            <w:pPr>
              <w:rPr>
                <w:rFonts w:ascii="Calibri" w:eastAsia="Calibri" w:hAnsi="Calibri"/>
                <w:sz w:val="20"/>
                <w:szCs w:val="20"/>
              </w:rPr>
            </w:pPr>
            <w:r>
              <w:rPr>
                <w:rFonts w:ascii="Calibri" w:eastAsia="Calibri" w:hAnsi="Calibri"/>
                <w:sz w:val="20"/>
                <w:szCs w:val="20"/>
              </w:rPr>
              <w:t xml:space="preserve">The bridges have been limited to 5t while new bridges </w:t>
            </w:r>
            <w:r w:rsidR="0094154D">
              <w:rPr>
                <w:rFonts w:ascii="Calibri" w:eastAsia="Calibri" w:hAnsi="Calibri"/>
                <w:sz w:val="20"/>
                <w:szCs w:val="20"/>
              </w:rPr>
              <w:t xml:space="preserve">are constructed and expected to open December 2025. </w:t>
            </w:r>
          </w:p>
        </w:tc>
      </w:tr>
      <w:tr w:rsidR="00DA29B0" w:rsidRPr="00A36FDC" w14:paraId="57898AB8" w14:textId="77777777" w:rsidTr="0075155E">
        <w:trPr>
          <w:cantSplit/>
        </w:trPr>
        <w:tc>
          <w:tcPr>
            <w:tcW w:w="1412" w:type="dxa"/>
          </w:tcPr>
          <w:p w14:paraId="3976F887" w14:textId="2621C26E" w:rsidR="00DA29B0" w:rsidRPr="00A36FDC" w:rsidRDefault="00DA29B0"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242916DB" w14:textId="30BD5857" w:rsidR="00DA29B0" w:rsidRDefault="00EB589D" w:rsidP="00A36FDC">
            <w:pPr>
              <w:rPr>
                <w:rFonts w:ascii="Calibri" w:eastAsia="Calibri" w:hAnsi="Calibri"/>
                <w:sz w:val="20"/>
                <w:szCs w:val="20"/>
              </w:rPr>
            </w:pPr>
            <w:r>
              <w:rPr>
                <w:rFonts w:ascii="Calibri" w:eastAsia="Calibri" w:hAnsi="Calibri"/>
                <w:sz w:val="20"/>
                <w:szCs w:val="20"/>
              </w:rPr>
              <w:t>All networks in Victoria</w:t>
            </w:r>
            <w:r w:rsidR="005E6039">
              <w:rPr>
                <w:rFonts w:ascii="Calibri" w:eastAsia="Calibri" w:hAnsi="Calibri"/>
                <w:sz w:val="20"/>
                <w:szCs w:val="20"/>
              </w:rPr>
              <w:t>.</w:t>
            </w:r>
          </w:p>
        </w:tc>
        <w:tc>
          <w:tcPr>
            <w:tcW w:w="1406" w:type="dxa"/>
          </w:tcPr>
          <w:p w14:paraId="575E91CB" w14:textId="6CB6829B" w:rsidR="00DA29B0" w:rsidRDefault="005E6039" w:rsidP="00A36FDC">
            <w:pPr>
              <w:rPr>
                <w:rFonts w:ascii="Calibri" w:eastAsia="Calibri" w:hAnsi="Calibri"/>
                <w:sz w:val="20"/>
                <w:szCs w:val="20"/>
              </w:rPr>
            </w:pPr>
            <w:r>
              <w:rPr>
                <w:rFonts w:ascii="Calibri" w:eastAsia="Calibri" w:hAnsi="Calibri"/>
                <w:sz w:val="20"/>
                <w:szCs w:val="20"/>
              </w:rPr>
              <w:t>Victoria -Department of Transport and Planning (DTP)</w:t>
            </w:r>
          </w:p>
        </w:tc>
        <w:tc>
          <w:tcPr>
            <w:tcW w:w="3961" w:type="dxa"/>
          </w:tcPr>
          <w:p w14:paraId="620C0876" w14:textId="67E95095" w:rsidR="00DA29B0" w:rsidRDefault="00F9697A" w:rsidP="002C6CA7">
            <w:pPr>
              <w:contextualSpacing/>
              <w:rPr>
                <w:rFonts w:ascii="Calibri" w:eastAsia="Calibri" w:hAnsi="Calibri"/>
                <w:sz w:val="20"/>
                <w:szCs w:val="20"/>
              </w:rPr>
            </w:pPr>
            <w:r>
              <w:rPr>
                <w:rFonts w:ascii="Calibri" w:eastAsia="Calibri" w:hAnsi="Calibri"/>
                <w:sz w:val="20"/>
                <w:szCs w:val="20"/>
              </w:rPr>
              <w:t>0t load limit over b</w:t>
            </w:r>
            <w:r w:rsidR="005171FA">
              <w:rPr>
                <w:rFonts w:ascii="Calibri" w:eastAsia="Calibri" w:hAnsi="Calibri"/>
                <w:sz w:val="20"/>
                <w:szCs w:val="20"/>
              </w:rPr>
              <w:t>ridge</w:t>
            </w:r>
            <w:r>
              <w:rPr>
                <w:rFonts w:ascii="Calibri" w:eastAsia="Calibri" w:hAnsi="Calibri"/>
                <w:sz w:val="20"/>
                <w:szCs w:val="20"/>
              </w:rPr>
              <w:t xml:space="preserve"> over </w:t>
            </w:r>
            <w:r w:rsidRPr="00F9697A">
              <w:rPr>
                <w:rFonts w:ascii="Calibri" w:eastAsia="Calibri" w:hAnsi="Calibri"/>
                <w:sz w:val="20"/>
                <w:szCs w:val="20"/>
              </w:rPr>
              <w:t xml:space="preserve">Carlisle </w:t>
            </w:r>
            <w:r>
              <w:rPr>
                <w:rFonts w:ascii="Calibri" w:eastAsia="Calibri" w:hAnsi="Calibri"/>
                <w:sz w:val="20"/>
                <w:szCs w:val="20"/>
              </w:rPr>
              <w:t xml:space="preserve">River on </w:t>
            </w:r>
            <w:r w:rsidRPr="00F9697A">
              <w:rPr>
                <w:rFonts w:ascii="Calibri" w:eastAsia="Calibri" w:hAnsi="Calibri"/>
                <w:sz w:val="20"/>
                <w:szCs w:val="20"/>
              </w:rPr>
              <w:t>Carlisle Road</w:t>
            </w:r>
            <w:r>
              <w:rPr>
                <w:rFonts w:ascii="Calibri" w:eastAsia="Calibri" w:hAnsi="Calibri"/>
                <w:sz w:val="20"/>
                <w:szCs w:val="20"/>
              </w:rPr>
              <w:t>.</w:t>
            </w:r>
          </w:p>
        </w:tc>
        <w:tc>
          <w:tcPr>
            <w:tcW w:w="4864" w:type="dxa"/>
          </w:tcPr>
          <w:p w14:paraId="02AD9068" w14:textId="4855A30A" w:rsidR="00DA29B0" w:rsidRDefault="003B068C" w:rsidP="00A36FDC">
            <w:pPr>
              <w:rPr>
                <w:rFonts w:ascii="Calibri" w:eastAsia="Calibri" w:hAnsi="Calibri"/>
                <w:sz w:val="20"/>
                <w:szCs w:val="20"/>
              </w:rPr>
            </w:pPr>
            <w:r w:rsidRPr="003B068C">
              <w:rPr>
                <w:rFonts w:ascii="Calibri" w:eastAsia="Calibri" w:hAnsi="Calibri"/>
                <w:sz w:val="20"/>
                <w:szCs w:val="20"/>
              </w:rPr>
              <w:t xml:space="preserve">Due to the undermining and voids forming under and around </w:t>
            </w:r>
            <w:r>
              <w:rPr>
                <w:rFonts w:ascii="Calibri" w:eastAsia="Calibri" w:hAnsi="Calibri"/>
                <w:sz w:val="20"/>
                <w:szCs w:val="20"/>
              </w:rPr>
              <w:t>the bridge a</w:t>
            </w:r>
            <w:r w:rsidR="00032B9F" w:rsidRPr="00032B9F">
              <w:rPr>
                <w:rFonts w:ascii="Calibri" w:eastAsia="Calibri" w:hAnsi="Calibri"/>
                <w:sz w:val="20"/>
                <w:szCs w:val="20"/>
              </w:rPr>
              <w:t xml:space="preserve"> 0 tonne Load Limit has been applied to the structure until further notice. A Bailey Bridge is currently being deployed to maintain traffic along Carlisle-Colac Road, with contraflow &amp; a speed limit of 5km/h to be enforced.</w:t>
            </w:r>
          </w:p>
        </w:tc>
      </w:tr>
      <w:tr w:rsidR="00A854BF" w:rsidRPr="00A36FDC" w14:paraId="3E372638" w14:textId="77777777" w:rsidTr="0075155E">
        <w:trPr>
          <w:cantSplit/>
        </w:trPr>
        <w:tc>
          <w:tcPr>
            <w:tcW w:w="1412" w:type="dxa"/>
          </w:tcPr>
          <w:p w14:paraId="0252203F" w14:textId="73AB4653" w:rsidR="00A854BF" w:rsidRPr="00A36FDC" w:rsidRDefault="00A854BF"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23ABBDB2" w14:textId="1430894D" w:rsidR="00A854BF" w:rsidRDefault="00DF0799" w:rsidP="00A36FDC">
            <w:pPr>
              <w:rPr>
                <w:rFonts w:ascii="Calibri" w:eastAsia="Calibri" w:hAnsi="Calibri"/>
                <w:sz w:val="20"/>
                <w:szCs w:val="20"/>
              </w:rPr>
            </w:pPr>
            <w:r>
              <w:rPr>
                <w:rFonts w:ascii="Calibri" w:eastAsia="Calibri" w:hAnsi="Calibri"/>
                <w:sz w:val="20"/>
                <w:szCs w:val="20"/>
              </w:rPr>
              <w:t>All Road Train and PBS 3A maps in New South Wales</w:t>
            </w:r>
          </w:p>
        </w:tc>
        <w:tc>
          <w:tcPr>
            <w:tcW w:w="1406" w:type="dxa"/>
          </w:tcPr>
          <w:p w14:paraId="0E9920F9" w14:textId="7809ECA9" w:rsidR="00A854BF" w:rsidRDefault="00DF0799" w:rsidP="00A36FDC">
            <w:pPr>
              <w:rPr>
                <w:rFonts w:ascii="Calibri" w:eastAsia="Calibri" w:hAnsi="Calibri"/>
                <w:sz w:val="20"/>
                <w:szCs w:val="20"/>
              </w:rPr>
            </w:pPr>
            <w:r>
              <w:rPr>
                <w:rFonts w:ascii="Calibri" w:eastAsia="Calibri" w:hAnsi="Calibri"/>
                <w:sz w:val="20"/>
                <w:szCs w:val="20"/>
              </w:rPr>
              <w:t>New South Wales – Transport for New South Wales (TfNSW)</w:t>
            </w:r>
          </w:p>
        </w:tc>
        <w:tc>
          <w:tcPr>
            <w:tcW w:w="3961" w:type="dxa"/>
          </w:tcPr>
          <w:p w14:paraId="2392A9A1" w14:textId="7720D26B" w:rsidR="00A854BF" w:rsidRDefault="0025751E" w:rsidP="002C6CA7">
            <w:pPr>
              <w:contextualSpacing/>
              <w:rPr>
                <w:rFonts w:ascii="Calibri" w:eastAsia="Calibri" w:hAnsi="Calibri"/>
                <w:sz w:val="20"/>
                <w:szCs w:val="20"/>
              </w:rPr>
            </w:pPr>
            <w:r>
              <w:rPr>
                <w:rFonts w:ascii="Calibri" w:eastAsia="Calibri" w:hAnsi="Calibri"/>
                <w:sz w:val="20"/>
                <w:szCs w:val="20"/>
              </w:rPr>
              <w:t>No left or right turn into Hope Street from Queen Street, Barmedman – Through fare access only.</w:t>
            </w:r>
          </w:p>
        </w:tc>
        <w:tc>
          <w:tcPr>
            <w:tcW w:w="4864" w:type="dxa"/>
          </w:tcPr>
          <w:p w14:paraId="4C824FAB" w14:textId="61FA1C81" w:rsidR="00A854BF" w:rsidRPr="003B068C" w:rsidRDefault="0025751E" w:rsidP="00A36FDC">
            <w:pPr>
              <w:rPr>
                <w:rFonts w:ascii="Calibri" w:eastAsia="Calibri" w:hAnsi="Calibri"/>
                <w:sz w:val="20"/>
                <w:szCs w:val="20"/>
              </w:rPr>
            </w:pPr>
            <w:r>
              <w:rPr>
                <w:rFonts w:ascii="Calibri" w:eastAsia="Calibri" w:hAnsi="Calibri"/>
                <w:sz w:val="20"/>
                <w:szCs w:val="20"/>
              </w:rPr>
              <w:t xml:space="preserve">Swept path analysis indicates </w:t>
            </w:r>
            <w:r w:rsidR="002D1664">
              <w:rPr>
                <w:rFonts w:ascii="Calibri" w:eastAsia="Calibri" w:hAnsi="Calibri"/>
                <w:sz w:val="20"/>
                <w:szCs w:val="20"/>
              </w:rPr>
              <w:t xml:space="preserve">potential risk to public safety and </w:t>
            </w:r>
            <w:r w:rsidR="00932622">
              <w:rPr>
                <w:rFonts w:ascii="Calibri" w:eastAsia="Calibri" w:hAnsi="Calibri"/>
                <w:sz w:val="20"/>
                <w:szCs w:val="20"/>
              </w:rPr>
              <w:t xml:space="preserve">infrastructure. </w:t>
            </w:r>
          </w:p>
        </w:tc>
      </w:tr>
    </w:tbl>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5"/>
      <w:footerReference w:type="default" r:id="rId16"/>
      <w:headerReference w:type="first" r:id="rId17"/>
      <w:footerReference w:type="first" r:id="rId18"/>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FBB87" w14:textId="77777777" w:rsidR="002E7B5B" w:rsidRDefault="002E7B5B" w:rsidP="00FF2DF9">
      <w:r>
        <w:separator/>
      </w:r>
    </w:p>
  </w:endnote>
  <w:endnote w:type="continuationSeparator" w:id="0">
    <w:p w14:paraId="5E856158" w14:textId="77777777" w:rsidR="002E7B5B" w:rsidRDefault="002E7B5B" w:rsidP="00FF2DF9">
      <w:r>
        <w:continuationSeparator/>
      </w:r>
    </w:p>
  </w:endnote>
  <w:endnote w:type="continuationNotice" w:id="1">
    <w:p w14:paraId="5F6723B5" w14:textId="77777777" w:rsidR="002E7B5B" w:rsidRDefault="002E7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537155">
    <w:pPr>
      <w:pStyle w:val="Footer"/>
      <w:jc w:val="right"/>
      <w:rPr>
        <w:i/>
        <w:iCs/>
      </w:rPr>
    </w:pPr>
  </w:p>
  <w:p w14:paraId="56C72650" w14:textId="644C6C6D"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w:t>
    </w:r>
    <w:proofErr w:type="spellStart"/>
    <w:r w:rsidRPr="007A53C0">
      <w:rPr>
        <w:rFonts w:asciiTheme="minorHAnsi" w:hAnsiTheme="minorHAnsi" w:cstheme="minorHAnsi"/>
        <w:sz w:val="22"/>
        <w:szCs w:val="22"/>
      </w:rPr>
      <w:t>No.</w:t>
    </w:r>
    <w:r w:rsidR="00F96712">
      <w:rPr>
        <w:rFonts w:asciiTheme="minorHAnsi" w:hAnsiTheme="minorHAnsi" w:cstheme="minorHAnsi"/>
        <w:sz w:val="22"/>
        <w:szCs w:val="22"/>
      </w:rPr>
      <w:t>10</w:t>
    </w:r>
    <w:proofErr w:type="spellEnd"/>
    <w:r w:rsidRPr="007A53C0">
      <w:rPr>
        <w:rFonts w:asciiTheme="minorHAnsi" w:hAnsiTheme="minorHAnsi" w:cstheme="minorHAnsi"/>
        <w:sz w:val="22"/>
        <w:szCs w:val="22"/>
      </w:rPr>
      <w:t>)</w:t>
    </w:r>
  </w:p>
  <w:sdt>
    <w:sdtPr>
      <w:rPr>
        <w:rFonts w:asciiTheme="minorHAnsi" w:hAnsiTheme="minorHAnsi" w:cstheme="minorHAnsi"/>
        <w:sz w:val="22"/>
        <w:szCs w:val="22"/>
      </w:rPr>
      <w:id w:val="752395455"/>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3115B4CA" w14:textId="77777777" w:rsidR="00A36FDC" w:rsidRPr="001747EA" w:rsidRDefault="00A36FDC" w:rsidP="00537155">
            <w:pPr>
              <w:pStyle w:val="Footer"/>
              <w:jc w:val="right"/>
              <w:rPr>
                <w:rFonts w:asciiTheme="minorHAnsi" w:hAnsiTheme="minorHAnsi" w:cstheme="minorHAnsi"/>
                <w:sz w:val="22"/>
                <w:szCs w:val="22"/>
              </w:rPr>
            </w:pPr>
            <w:r w:rsidRPr="001747EA">
              <w:rPr>
                <w:rFonts w:asciiTheme="minorHAnsi" w:hAnsiTheme="minorHAnsi" w:cstheme="minorHAnsi"/>
                <w:sz w:val="22"/>
                <w:szCs w:val="22"/>
              </w:rPr>
              <w:t xml:space="preserve">Page </w:t>
            </w:r>
            <w:r w:rsidRPr="001747EA">
              <w:rPr>
                <w:rFonts w:asciiTheme="minorHAnsi" w:hAnsiTheme="minorHAnsi" w:cstheme="minorHAnsi"/>
                <w:sz w:val="22"/>
                <w:szCs w:val="22"/>
              </w:rPr>
              <w:fldChar w:fldCharType="begin"/>
            </w:r>
            <w:r w:rsidRPr="001747EA">
              <w:rPr>
                <w:rFonts w:asciiTheme="minorHAnsi" w:hAnsiTheme="minorHAnsi" w:cstheme="minorHAnsi"/>
                <w:sz w:val="22"/>
                <w:szCs w:val="22"/>
              </w:rPr>
              <w:instrText xml:space="preserve"> PAGE </w:instrText>
            </w:r>
            <w:r w:rsidRPr="001747EA">
              <w:rPr>
                <w:rFonts w:asciiTheme="minorHAnsi" w:hAnsiTheme="minorHAnsi" w:cstheme="minorHAnsi"/>
                <w:sz w:val="22"/>
                <w:szCs w:val="22"/>
              </w:rPr>
              <w:fldChar w:fldCharType="separate"/>
            </w:r>
            <w:r w:rsidRPr="001747EA">
              <w:rPr>
                <w:rFonts w:asciiTheme="minorHAnsi" w:hAnsiTheme="minorHAnsi" w:cstheme="minorHAnsi"/>
                <w:noProof/>
                <w:sz w:val="22"/>
                <w:szCs w:val="22"/>
              </w:rPr>
              <w:t>2</w:t>
            </w:r>
            <w:r w:rsidRPr="001747EA">
              <w:rPr>
                <w:rFonts w:asciiTheme="minorHAnsi" w:hAnsiTheme="minorHAnsi" w:cstheme="minorHAnsi"/>
                <w:sz w:val="22"/>
                <w:szCs w:val="22"/>
              </w:rPr>
              <w:fldChar w:fldCharType="end"/>
            </w:r>
            <w:r w:rsidRPr="001747EA">
              <w:rPr>
                <w:rFonts w:asciiTheme="minorHAnsi" w:hAnsiTheme="minorHAnsi" w:cstheme="minorHAnsi"/>
                <w:sz w:val="22"/>
                <w:szCs w:val="22"/>
              </w:rPr>
              <w:t xml:space="preserve"> of </w:t>
            </w:r>
            <w:r w:rsidRPr="001747EA">
              <w:rPr>
                <w:rFonts w:asciiTheme="minorHAnsi" w:hAnsiTheme="minorHAnsi" w:cstheme="minorHAnsi"/>
                <w:sz w:val="22"/>
                <w:szCs w:val="22"/>
              </w:rPr>
              <w:fldChar w:fldCharType="begin"/>
            </w:r>
            <w:r w:rsidRPr="001747EA">
              <w:rPr>
                <w:rFonts w:asciiTheme="minorHAnsi" w:hAnsiTheme="minorHAnsi" w:cstheme="minorHAnsi"/>
                <w:sz w:val="22"/>
                <w:szCs w:val="22"/>
              </w:rPr>
              <w:instrText xml:space="preserve"> NUMPAGES  </w:instrText>
            </w:r>
            <w:r w:rsidRPr="001747EA">
              <w:rPr>
                <w:rFonts w:asciiTheme="minorHAnsi" w:hAnsiTheme="minorHAnsi" w:cstheme="minorHAnsi"/>
                <w:sz w:val="22"/>
                <w:szCs w:val="22"/>
              </w:rPr>
              <w:fldChar w:fldCharType="separate"/>
            </w:r>
            <w:r w:rsidRPr="001747EA">
              <w:rPr>
                <w:rFonts w:asciiTheme="minorHAnsi" w:hAnsiTheme="minorHAnsi" w:cstheme="minorHAnsi"/>
                <w:noProof/>
                <w:sz w:val="22"/>
                <w:szCs w:val="22"/>
              </w:rPr>
              <w:t>2</w:t>
            </w:r>
            <w:r w:rsidRPr="001747EA">
              <w:rPr>
                <w:rFonts w:asciiTheme="minorHAnsi" w:hAnsiTheme="minorHAnsi" w:cstheme="minorHAnsi"/>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5058506D"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(No.1)</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976421" w:rsidRDefault="009764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54B9308C"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w:t>
    </w:r>
    <w:proofErr w:type="spellStart"/>
    <w:r w:rsidRPr="00A36FDC">
      <w:rPr>
        <w:rFonts w:ascii="Calibri" w:hAnsi="Calibri"/>
        <w:sz w:val="22"/>
        <w:szCs w:val="22"/>
      </w:rPr>
      <w:t>No.</w:t>
    </w:r>
    <w:r w:rsidR="00F96712">
      <w:rPr>
        <w:rFonts w:ascii="Calibri" w:hAnsi="Calibri"/>
        <w:sz w:val="22"/>
        <w:szCs w:val="22"/>
      </w:rPr>
      <w:t>10</w:t>
    </w:r>
    <w:proofErr w:type="spellEnd"/>
    <w:r w:rsidRPr="00A36FDC">
      <w:rPr>
        <w:rFonts w:ascii="Calibri" w:hAnsi="Calibr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976421" w:rsidRDefault="00976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5D1D" w14:textId="77777777" w:rsidR="002E7B5B" w:rsidRDefault="002E7B5B" w:rsidP="00FF2DF9">
      <w:r>
        <w:separator/>
      </w:r>
    </w:p>
  </w:footnote>
  <w:footnote w:type="continuationSeparator" w:id="0">
    <w:p w14:paraId="0DA4617B" w14:textId="77777777" w:rsidR="002E7B5B" w:rsidRDefault="002E7B5B" w:rsidP="00FF2DF9">
      <w:r>
        <w:continuationSeparator/>
      </w:r>
    </w:p>
  </w:footnote>
  <w:footnote w:type="continuationNotice" w:id="1">
    <w:p w14:paraId="06ADE777" w14:textId="77777777" w:rsidR="002E7B5B" w:rsidRDefault="002E7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76079B" w:rsidRPr="0076079B" w14:paraId="0CC68087" w14:textId="77777777" w:rsidTr="0076079B">
      <w:trPr>
        <w:trHeight w:val="984"/>
        <w:jc w:val="center"/>
      </w:trPr>
      <w:tc>
        <w:tcPr>
          <w:tcW w:w="1263" w:type="dxa"/>
          <w:tcBorders>
            <w:top w:val="single" w:sz="4" w:space="0" w:color="auto"/>
            <w:left w:val="nil"/>
            <w:bottom w:val="single" w:sz="4" w:space="0" w:color="auto"/>
            <w:right w:val="nil"/>
            <w:tl2br w:val="nil"/>
            <w:tr2bl w:val="nil"/>
          </w:tcBorders>
        </w:tcPr>
        <w:p w14:paraId="529BBE01" w14:textId="77777777" w:rsidR="0076079B" w:rsidRPr="0076079B" w:rsidRDefault="0076079B" w:rsidP="0076079B">
          <w:pPr>
            <w:spacing w:before="60" w:line="276" w:lineRule="auto"/>
            <w:ind w:left="-51"/>
            <w:rPr>
              <w:rFonts w:ascii="Arial" w:eastAsia="Calibri" w:hAnsi="Arial"/>
              <w:sz w:val="12"/>
              <w:szCs w:val="22"/>
              <w:lang w:eastAsia="en-US"/>
            </w:rPr>
          </w:pPr>
          <w:bookmarkStart w:id="1" w:name="OLE_LINK2"/>
          <w:r w:rsidRPr="0076079B">
            <w:rPr>
              <w:rFonts w:ascii="Arial" w:eastAsia="Calibri" w:hAnsi="Arial"/>
              <w:noProof/>
              <w:sz w:val="12"/>
              <w:szCs w:val="22"/>
            </w:rPr>
            <w:drawing>
              <wp:inline distT="0" distB="0" distL="0" distR="0" wp14:anchorId="322A5459" wp14:editId="1CF2A6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tcPr>
        <w:p w14:paraId="3BD51616" w14:textId="77777777" w:rsidR="0076079B" w:rsidRPr="0076079B" w:rsidRDefault="0076079B" w:rsidP="0076079B">
          <w:pPr>
            <w:spacing w:before="60" w:line="460" w:lineRule="exact"/>
            <w:rPr>
              <w:rFonts w:ascii="Arial" w:eastAsia="Calibri" w:hAnsi="Arial" w:cs="Arial"/>
              <w:b/>
              <w:spacing w:val="-2"/>
              <w:sz w:val="44"/>
              <w:szCs w:val="44"/>
              <w:lang w:eastAsia="en-US"/>
            </w:rPr>
          </w:pPr>
          <w:r w:rsidRPr="0076079B">
            <w:rPr>
              <w:rFonts w:ascii="Arial" w:eastAsia="Calibri" w:hAnsi="Arial" w:cs="Arial"/>
              <w:b/>
              <w:spacing w:val="-2"/>
              <w:sz w:val="44"/>
              <w:szCs w:val="44"/>
              <w:lang w:eastAsia="en-US"/>
            </w:rPr>
            <w:t>Commonwealth</w:t>
          </w:r>
          <w:r w:rsidRPr="0076079B">
            <w:rPr>
              <w:rFonts w:ascii="Arial" w:eastAsia="Calibri" w:hAnsi="Arial" w:cs="Arial"/>
              <w:b/>
              <w:spacing w:val="-2"/>
              <w:sz w:val="44"/>
              <w:szCs w:val="44"/>
              <w:lang w:eastAsia="en-US"/>
            </w:rPr>
            <w:br/>
            <w:t>of Australia</w:t>
          </w:r>
        </w:p>
      </w:tc>
      <w:tc>
        <w:tcPr>
          <w:tcW w:w="3979" w:type="dxa"/>
          <w:tcBorders>
            <w:top w:val="single" w:sz="4" w:space="0" w:color="auto"/>
            <w:left w:val="nil"/>
            <w:bottom w:val="single" w:sz="4" w:space="0" w:color="auto"/>
            <w:right w:val="nil"/>
            <w:tl2br w:val="nil"/>
            <w:tr2bl w:val="nil"/>
          </w:tcBorders>
        </w:tcPr>
        <w:p w14:paraId="78BD2F24" w14:textId="77777777" w:rsidR="0076079B" w:rsidRPr="0076079B" w:rsidRDefault="0076079B" w:rsidP="0076079B">
          <w:pPr>
            <w:spacing w:before="180" w:line="800" w:lineRule="exact"/>
            <w:jc w:val="right"/>
            <w:rPr>
              <w:rFonts w:ascii="Arial" w:eastAsia="Calibri" w:hAnsi="Arial" w:cs="Arial"/>
              <w:b/>
              <w:sz w:val="100"/>
              <w:szCs w:val="100"/>
              <w:lang w:eastAsia="en-US"/>
            </w:rPr>
          </w:pPr>
          <w:r w:rsidRPr="0076079B">
            <w:rPr>
              <w:rFonts w:ascii="Arial" w:eastAsia="Calibri" w:hAnsi="Arial" w:cs="Arial"/>
              <w:b/>
              <w:sz w:val="100"/>
              <w:szCs w:val="100"/>
              <w:lang w:eastAsia="en-US"/>
            </w:rPr>
            <w:t>Gazette</w:t>
          </w:r>
        </w:p>
      </w:tc>
    </w:tr>
    <w:tr w:rsidR="0076079B" w:rsidRPr="0076079B" w14:paraId="006EB535" w14:textId="77777777" w:rsidTr="0076079B">
      <w:trPr>
        <w:trHeight w:val="340"/>
        <w:jc w:val="center"/>
      </w:trPr>
      <w:tc>
        <w:tcPr>
          <w:tcW w:w="5698" w:type="dxa"/>
          <w:gridSpan w:val="2"/>
          <w:tcBorders>
            <w:top w:val="single" w:sz="4" w:space="0" w:color="auto"/>
            <w:left w:val="nil"/>
            <w:bottom w:val="single" w:sz="4" w:space="0" w:color="auto"/>
            <w:right w:val="nil"/>
            <w:tl2br w:val="nil"/>
            <w:tr2bl w:val="nil"/>
          </w:tcBorders>
          <w:vAlign w:val="bottom"/>
        </w:tcPr>
        <w:p w14:paraId="363D65AE" w14:textId="77777777" w:rsidR="0076079B" w:rsidRPr="0076079B" w:rsidRDefault="0076079B" w:rsidP="0076079B">
          <w:pPr>
            <w:spacing w:line="276" w:lineRule="auto"/>
            <w:ind w:left="-51"/>
            <w:rPr>
              <w:rFonts w:ascii="Arial" w:eastAsia="Calibri" w:hAnsi="Arial" w:cs="Arial"/>
              <w:sz w:val="14"/>
              <w:szCs w:val="14"/>
              <w:lang w:eastAsia="en-US"/>
            </w:rPr>
          </w:pPr>
          <w:bookmarkStart w:id="2" w:name="GazNo"/>
          <w:bookmarkEnd w:id="2"/>
          <w:r w:rsidRPr="0076079B">
            <w:rPr>
              <w:rFonts w:ascii="Arial" w:eastAsia="Calibri" w:hAnsi="Arial" w:cs="Arial"/>
              <w:sz w:val="14"/>
              <w:szCs w:val="14"/>
              <w:lang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C72853F" w14:textId="77777777" w:rsidR="0076079B" w:rsidRPr="0076079B" w:rsidRDefault="0076079B" w:rsidP="0076079B">
          <w:pPr>
            <w:spacing w:line="276" w:lineRule="auto"/>
            <w:jc w:val="right"/>
            <w:rPr>
              <w:rFonts w:ascii="Arial" w:eastAsia="Calibri" w:hAnsi="Arial" w:cs="Arial"/>
              <w:b/>
              <w:lang w:eastAsia="en-US"/>
            </w:rPr>
          </w:pPr>
          <w:r w:rsidRPr="0076079B">
            <w:rPr>
              <w:rFonts w:ascii="Arial" w:eastAsia="Calibri" w:hAnsi="Arial" w:cs="Arial"/>
              <w:b/>
              <w:lang w:eastAsia="en-US"/>
            </w:rPr>
            <w:t>GOVERNMENT NOTICES</w:t>
          </w:r>
        </w:p>
      </w:tc>
    </w:tr>
    <w:bookmarkEnd w:id="1"/>
  </w:tbl>
  <w:p w14:paraId="69749B34" w14:textId="77777777" w:rsidR="00FA44CC" w:rsidRDefault="00FA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976421" w:rsidRDefault="009764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976421" w:rsidRDefault="00976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3"/>
  </w:num>
  <w:num w:numId="3" w16cid:durableId="1640382221">
    <w:abstractNumId w:val="29"/>
  </w:num>
  <w:num w:numId="4" w16cid:durableId="1646085348">
    <w:abstractNumId w:val="30"/>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4"/>
  </w:num>
  <w:num w:numId="21" w16cid:durableId="694502769">
    <w:abstractNumId w:val="35"/>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1"/>
  </w:num>
  <w:num w:numId="31" w16cid:durableId="345405356">
    <w:abstractNumId w:val="20"/>
  </w:num>
  <w:num w:numId="32" w16cid:durableId="1822841721">
    <w:abstractNumId w:val="3"/>
  </w:num>
  <w:num w:numId="33" w16cid:durableId="908922788">
    <w:abstractNumId w:val="10"/>
  </w:num>
  <w:num w:numId="34" w16cid:durableId="2111317100">
    <w:abstractNumId w:val="32"/>
  </w:num>
  <w:num w:numId="35" w16cid:durableId="906765288">
    <w:abstractNumId w:val="12"/>
  </w:num>
  <w:num w:numId="36" w16cid:durableId="4899103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13461"/>
    <w:rsid w:val="00020797"/>
    <w:rsid w:val="00022016"/>
    <w:rsid w:val="000246DB"/>
    <w:rsid w:val="000305FD"/>
    <w:rsid w:val="00032B9F"/>
    <w:rsid w:val="000355AC"/>
    <w:rsid w:val="000365B5"/>
    <w:rsid w:val="00043309"/>
    <w:rsid w:val="00050812"/>
    <w:rsid w:val="00063BFE"/>
    <w:rsid w:val="00064148"/>
    <w:rsid w:val="00070056"/>
    <w:rsid w:val="0007371F"/>
    <w:rsid w:val="00073FB7"/>
    <w:rsid w:val="00077BB6"/>
    <w:rsid w:val="00081470"/>
    <w:rsid w:val="00083127"/>
    <w:rsid w:val="00090BF2"/>
    <w:rsid w:val="000943D6"/>
    <w:rsid w:val="0009472A"/>
    <w:rsid w:val="00097E4C"/>
    <w:rsid w:val="000A116A"/>
    <w:rsid w:val="000A40B8"/>
    <w:rsid w:val="000B05AF"/>
    <w:rsid w:val="000B1815"/>
    <w:rsid w:val="000B3D1E"/>
    <w:rsid w:val="000B5683"/>
    <w:rsid w:val="000B5E26"/>
    <w:rsid w:val="000C0AA6"/>
    <w:rsid w:val="000C2CB0"/>
    <w:rsid w:val="000C6696"/>
    <w:rsid w:val="000D65B1"/>
    <w:rsid w:val="000F2293"/>
    <w:rsid w:val="001011F8"/>
    <w:rsid w:val="00103B80"/>
    <w:rsid w:val="001044E8"/>
    <w:rsid w:val="00115B49"/>
    <w:rsid w:val="00120C41"/>
    <w:rsid w:val="00134092"/>
    <w:rsid w:val="00134B82"/>
    <w:rsid w:val="00136DD2"/>
    <w:rsid w:val="0015037F"/>
    <w:rsid w:val="00152497"/>
    <w:rsid w:val="0015523C"/>
    <w:rsid w:val="001720C4"/>
    <w:rsid w:val="00172901"/>
    <w:rsid w:val="001747EA"/>
    <w:rsid w:val="00176DC9"/>
    <w:rsid w:val="0018615E"/>
    <w:rsid w:val="001A065E"/>
    <w:rsid w:val="001A6287"/>
    <w:rsid w:val="001A7D65"/>
    <w:rsid w:val="001B2648"/>
    <w:rsid w:val="001C2E57"/>
    <w:rsid w:val="001C37D9"/>
    <w:rsid w:val="001C45C7"/>
    <w:rsid w:val="001C4F71"/>
    <w:rsid w:val="001C65FD"/>
    <w:rsid w:val="001D2726"/>
    <w:rsid w:val="001D6E06"/>
    <w:rsid w:val="001E2114"/>
    <w:rsid w:val="001E6A94"/>
    <w:rsid w:val="001F688B"/>
    <w:rsid w:val="001F7963"/>
    <w:rsid w:val="002116D9"/>
    <w:rsid w:val="00213132"/>
    <w:rsid w:val="00217681"/>
    <w:rsid w:val="00217847"/>
    <w:rsid w:val="002179A3"/>
    <w:rsid w:val="002238D8"/>
    <w:rsid w:val="00227691"/>
    <w:rsid w:val="0023467F"/>
    <w:rsid w:val="00237E20"/>
    <w:rsid w:val="00241589"/>
    <w:rsid w:val="002543B6"/>
    <w:rsid w:val="0025751E"/>
    <w:rsid w:val="00260DED"/>
    <w:rsid w:val="0026510B"/>
    <w:rsid w:val="00271D59"/>
    <w:rsid w:val="002735F6"/>
    <w:rsid w:val="00281554"/>
    <w:rsid w:val="0029492F"/>
    <w:rsid w:val="0029616B"/>
    <w:rsid w:val="002A3A2B"/>
    <w:rsid w:val="002A7AC7"/>
    <w:rsid w:val="002B0E7F"/>
    <w:rsid w:val="002B1D4C"/>
    <w:rsid w:val="002C1AF2"/>
    <w:rsid w:val="002C64FD"/>
    <w:rsid w:val="002C6CA7"/>
    <w:rsid w:val="002D1664"/>
    <w:rsid w:val="002D4B84"/>
    <w:rsid w:val="002D6A50"/>
    <w:rsid w:val="002E248D"/>
    <w:rsid w:val="002E7B5B"/>
    <w:rsid w:val="002E7BC9"/>
    <w:rsid w:val="002F7BBF"/>
    <w:rsid w:val="00306A51"/>
    <w:rsid w:val="003127AC"/>
    <w:rsid w:val="003134D7"/>
    <w:rsid w:val="0031403A"/>
    <w:rsid w:val="003146D2"/>
    <w:rsid w:val="00314FF3"/>
    <w:rsid w:val="00320412"/>
    <w:rsid w:val="00323167"/>
    <w:rsid w:val="00325015"/>
    <w:rsid w:val="0033277E"/>
    <w:rsid w:val="003327E2"/>
    <w:rsid w:val="003333AC"/>
    <w:rsid w:val="00333467"/>
    <w:rsid w:val="00353065"/>
    <w:rsid w:val="00353798"/>
    <w:rsid w:val="00362B04"/>
    <w:rsid w:val="00365186"/>
    <w:rsid w:val="00365C0A"/>
    <w:rsid w:val="0037340D"/>
    <w:rsid w:val="00390401"/>
    <w:rsid w:val="00394023"/>
    <w:rsid w:val="003A32DD"/>
    <w:rsid w:val="003A3FE1"/>
    <w:rsid w:val="003A7ECB"/>
    <w:rsid w:val="003B068C"/>
    <w:rsid w:val="003B7564"/>
    <w:rsid w:val="003C4403"/>
    <w:rsid w:val="003C4ADE"/>
    <w:rsid w:val="003C5E0A"/>
    <w:rsid w:val="003D3953"/>
    <w:rsid w:val="003E1A39"/>
    <w:rsid w:val="003E2AB1"/>
    <w:rsid w:val="003F1440"/>
    <w:rsid w:val="00403992"/>
    <w:rsid w:val="00405E46"/>
    <w:rsid w:val="0040737E"/>
    <w:rsid w:val="0041006D"/>
    <w:rsid w:val="00413F9A"/>
    <w:rsid w:val="00427A27"/>
    <w:rsid w:val="00427B79"/>
    <w:rsid w:val="00430F01"/>
    <w:rsid w:val="00451F64"/>
    <w:rsid w:val="004528D0"/>
    <w:rsid w:val="00452B5E"/>
    <w:rsid w:val="00463B40"/>
    <w:rsid w:val="00466352"/>
    <w:rsid w:val="004816AF"/>
    <w:rsid w:val="004922E9"/>
    <w:rsid w:val="004C3F9B"/>
    <w:rsid w:val="004D2703"/>
    <w:rsid w:val="004D4F6B"/>
    <w:rsid w:val="004D6C21"/>
    <w:rsid w:val="004E2231"/>
    <w:rsid w:val="004E389F"/>
    <w:rsid w:val="004F5F15"/>
    <w:rsid w:val="00501A2A"/>
    <w:rsid w:val="0050304A"/>
    <w:rsid w:val="00504519"/>
    <w:rsid w:val="0050475A"/>
    <w:rsid w:val="005064B3"/>
    <w:rsid w:val="005171FA"/>
    <w:rsid w:val="00517481"/>
    <w:rsid w:val="00522856"/>
    <w:rsid w:val="005247EE"/>
    <w:rsid w:val="005257D1"/>
    <w:rsid w:val="0052638A"/>
    <w:rsid w:val="00531DCB"/>
    <w:rsid w:val="0053435D"/>
    <w:rsid w:val="00543E56"/>
    <w:rsid w:val="005464C3"/>
    <w:rsid w:val="005467C7"/>
    <w:rsid w:val="00547BA3"/>
    <w:rsid w:val="005507A5"/>
    <w:rsid w:val="00556049"/>
    <w:rsid w:val="005567AD"/>
    <w:rsid w:val="00557754"/>
    <w:rsid w:val="00562B46"/>
    <w:rsid w:val="005632E1"/>
    <w:rsid w:val="00571624"/>
    <w:rsid w:val="005718B9"/>
    <w:rsid w:val="00576B9F"/>
    <w:rsid w:val="00595061"/>
    <w:rsid w:val="00596662"/>
    <w:rsid w:val="005A0B53"/>
    <w:rsid w:val="005A0D07"/>
    <w:rsid w:val="005B0389"/>
    <w:rsid w:val="005B3328"/>
    <w:rsid w:val="005B37E9"/>
    <w:rsid w:val="005D34B2"/>
    <w:rsid w:val="005E182E"/>
    <w:rsid w:val="005E1840"/>
    <w:rsid w:val="005E203F"/>
    <w:rsid w:val="005E31BE"/>
    <w:rsid w:val="005E4B30"/>
    <w:rsid w:val="005E4BE5"/>
    <w:rsid w:val="005E6039"/>
    <w:rsid w:val="005E6334"/>
    <w:rsid w:val="005F4809"/>
    <w:rsid w:val="00617127"/>
    <w:rsid w:val="00620F04"/>
    <w:rsid w:val="006216CE"/>
    <w:rsid w:val="0062260A"/>
    <w:rsid w:val="00623949"/>
    <w:rsid w:val="00626BA6"/>
    <w:rsid w:val="00642146"/>
    <w:rsid w:val="00651A73"/>
    <w:rsid w:val="00672761"/>
    <w:rsid w:val="006770C9"/>
    <w:rsid w:val="00680B43"/>
    <w:rsid w:val="00681C2B"/>
    <w:rsid w:val="00681F10"/>
    <w:rsid w:val="00682FA0"/>
    <w:rsid w:val="0069184E"/>
    <w:rsid w:val="006A2144"/>
    <w:rsid w:val="006A48A7"/>
    <w:rsid w:val="006B7D83"/>
    <w:rsid w:val="006C061A"/>
    <w:rsid w:val="006C506A"/>
    <w:rsid w:val="006D3B62"/>
    <w:rsid w:val="006D3C4E"/>
    <w:rsid w:val="006D4D83"/>
    <w:rsid w:val="006E138B"/>
    <w:rsid w:val="006E65BD"/>
    <w:rsid w:val="007064AF"/>
    <w:rsid w:val="00714B42"/>
    <w:rsid w:val="00716D95"/>
    <w:rsid w:val="0072261E"/>
    <w:rsid w:val="0073186D"/>
    <w:rsid w:val="00731E04"/>
    <w:rsid w:val="00733E80"/>
    <w:rsid w:val="007352FC"/>
    <w:rsid w:val="00740F1E"/>
    <w:rsid w:val="007461E3"/>
    <w:rsid w:val="0075155E"/>
    <w:rsid w:val="007524BA"/>
    <w:rsid w:val="00755B44"/>
    <w:rsid w:val="00755EEF"/>
    <w:rsid w:val="0076079B"/>
    <w:rsid w:val="00761815"/>
    <w:rsid w:val="00764E6C"/>
    <w:rsid w:val="007709AC"/>
    <w:rsid w:val="007716C3"/>
    <w:rsid w:val="00774BE7"/>
    <w:rsid w:val="00775CC8"/>
    <w:rsid w:val="00782449"/>
    <w:rsid w:val="00786237"/>
    <w:rsid w:val="007A0963"/>
    <w:rsid w:val="007A3216"/>
    <w:rsid w:val="007A3915"/>
    <w:rsid w:val="007A53C0"/>
    <w:rsid w:val="007A7BF2"/>
    <w:rsid w:val="007C074A"/>
    <w:rsid w:val="007D1D06"/>
    <w:rsid w:val="007D79A3"/>
    <w:rsid w:val="007E2994"/>
    <w:rsid w:val="007E39F6"/>
    <w:rsid w:val="007F5E4F"/>
    <w:rsid w:val="008009F1"/>
    <w:rsid w:val="00800D4F"/>
    <w:rsid w:val="00803014"/>
    <w:rsid w:val="008064A4"/>
    <w:rsid w:val="00807D8F"/>
    <w:rsid w:val="008130C0"/>
    <w:rsid w:val="00821B16"/>
    <w:rsid w:val="008257A4"/>
    <w:rsid w:val="00831ABC"/>
    <w:rsid w:val="008337D0"/>
    <w:rsid w:val="008414A5"/>
    <w:rsid w:val="00846613"/>
    <w:rsid w:val="0084681F"/>
    <w:rsid w:val="00850AA5"/>
    <w:rsid w:val="00852245"/>
    <w:rsid w:val="00854161"/>
    <w:rsid w:val="0085794E"/>
    <w:rsid w:val="008703B9"/>
    <w:rsid w:val="00870541"/>
    <w:rsid w:val="00875130"/>
    <w:rsid w:val="00883E1B"/>
    <w:rsid w:val="0088769D"/>
    <w:rsid w:val="00892963"/>
    <w:rsid w:val="00893CA9"/>
    <w:rsid w:val="008A67A3"/>
    <w:rsid w:val="008B28D9"/>
    <w:rsid w:val="008B54AF"/>
    <w:rsid w:val="008C345C"/>
    <w:rsid w:val="008C3AA1"/>
    <w:rsid w:val="008C4A4E"/>
    <w:rsid w:val="008C57E2"/>
    <w:rsid w:val="008C72D6"/>
    <w:rsid w:val="008F56DF"/>
    <w:rsid w:val="009022DC"/>
    <w:rsid w:val="00903132"/>
    <w:rsid w:val="00910C9E"/>
    <w:rsid w:val="00915761"/>
    <w:rsid w:val="00916C49"/>
    <w:rsid w:val="00930157"/>
    <w:rsid w:val="00930E10"/>
    <w:rsid w:val="009312D6"/>
    <w:rsid w:val="00932622"/>
    <w:rsid w:val="0094154D"/>
    <w:rsid w:val="00943144"/>
    <w:rsid w:val="00944106"/>
    <w:rsid w:val="00945752"/>
    <w:rsid w:val="0094752B"/>
    <w:rsid w:val="00950819"/>
    <w:rsid w:val="0095195E"/>
    <w:rsid w:val="00966177"/>
    <w:rsid w:val="009700AD"/>
    <w:rsid w:val="0097084A"/>
    <w:rsid w:val="00976421"/>
    <w:rsid w:val="0098558A"/>
    <w:rsid w:val="00985E16"/>
    <w:rsid w:val="009908F1"/>
    <w:rsid w:val="00991574"/>
    <w:rsid w:val="009958F4"/>
    <w:rsid w:val="009A148C"/>
    <w:rsid w:val="009B4997"/>
    <w:rsid w:val="009C3354"/>
    <w:rsid w:val="009C42F5"/>
    <w:rsid w:val="009D2E33"/>
    <w:rsid w:val="009E0227"/>
    <w:rsid w:val="009E1607"/>
    <w:rsid w:val="009E376E"/>
    <w:rsid w:val="009E3BA8"/>
    <w:rsid w:val="009E7C7B"/>
    <w:rsid w:val="00A00A03"/>
    <w:rsid w:val="00A02536"/>
    <w:rsid w:val="00A03F9E"/>
    <w:rsid w:val="00A36FDC"/>
    <w:rsid w:val="00A42E20"/>
    <w:rsid w:val="00A4373F"/>
    <w:rsid w:val="00A4380D"/>
    <w:rsid w:val="00A451C2"/>
    <w:rsid w:val="00A45A93"/>
    <w:rsid w:val="00A52CAE"/>
    <w:rsid w:val="00A7070C"/>
    <w:rsid w:val="00A754B4"/>
    <w:rsid w:val="00A8080D"/>
    <w:rsid w:val="00A854BF"/>
    <w:rsid w:val="00A8712C"/>
    <w:rsid w:val="00A9028D"/>
    <w:rsid w:val="00A905F8"/>
    <w:rsid w:val="00AA52C5"/>
    <w:rsid w:val="00AC2410"/>
    <w:rsid w:val="00AC7175"/>
    <w:rsid w:val="00AD0C25"/>
    <w:rsid w:val="00AE0A5C"/>
    <w:rsid w:val="00AF07BA"/>
    <w:rsid w:val="00AF3A87"/>
    <w:rsid w:val="00B02F19"/>
    <w:rsid w:val="00B06C90"/>
    <w:rsid w:val="00B1562B"/>
    <w:rsid w:val="00B16C73"/>
    <w:rsid w:val="00B16D67"/>
    <w:rsid w:val="00B17F82"/>
    <w:rsid w:val="00B30186"/>
    <w:rsid w:val="00B34799"/>
    <w:rsid w:val="00B353F1"/>
    <w:rsid w:val="00B43C85"/>
    <w:rsid w:val="00B43FAD"/>
    <w:rsid w:val="00B44805"/>
    <w:rsid w:val="00B47307"/>
    <w:rsid w:val="00B56B02"/>
    <w:rsid w:val="00B65A11"/>
    <w:rsid w:val="00B73A81"/>
    <w:rsid w:val="00B905D5"/>
    <w:rsid w:val="00B96243"/>
    <w:rsid w:val="00BA1D33"/>
    <w:rsid w:val="00BA35D2"/>
    <w:rsid w:val="00BA6028"/>
    <w:rsid w:val="00BA75CF"/>
    <w:rsid w:val="00BB0E5F"/>
    <w:rsid w:val="00BB6726"/>
    <w:rsid w:val="00BC0F9E"/>
    <w:rsid w:val="00BC5611"/>
    <w:rsid w:val="00BC6100"/>
    <w:rsid w:val="00BC74E2"/>
    <w:rsid w:val="00BD0576"/>
    <w:rsid w:val="00BD06E4"/>
    <w:rsid w:val="00BE1206"/>
    <w:rsid w:val="00BE16E5"/>
    <w:rsid w:val="00BE4DF1"/>
    <w:rsid w:val="00C02730"/>
    <w:rsid w:val="00C02A7B"/>
    <w:rsid w:val="00C03442"/>
    <w:rsid w:val="00C042F5"/>
    <w:rsid w:val="00C07C00"/>
    <w:rsid w:val="00C14EA9"/>
    <w:rsid w:val="00C1583D"/>
    <w:rsid w:val="00C376FD"/>
    <w:rsid w:val="00C3778A"/>
    <w:rsid w:val="00C45C6E"/>
    <w:rsid w:val="00C471A6"/>
    <w:rsid w:val="00C479AA"/>
    <w:rsid w:val="00C47A88"/>
    <w:rsid w:val="00C5168B"/>
    <w:rsid w:val="00C5391B"/>
    <w:rsid w:val="00C56711"/>
    <w:rsid w:val="00C65603"/>
    <w:rsid w:val="00C656CA"/>
    <w:rsid w:val="00C6671F"/>
    <w:rsid w:val="00C84E40"/>
    <w:rsid w:val="00C976D8"/>
    <w:rsid w:val="00CA1786"/>
    <w:rsid w:val="00CA2ABF"/>
    <w:rsid w:val="00CA3831"/>
    <w:rsid w:val="00CA3F4F"/>
    <w:rsid w:val="00CA579E"/>
    <w:rsid w:val="00CD3584"/>
    <w:rsid w:val="00CD3CA8"/>
    <w:rsid w:val="00CD5C01"/>
    <w:rsid w:val="00CD60C7"/>
    <w:rsid w:val="00CD739C"/>
    <w:rsid w:val="00CE218F"/>
    <w:rsid w:val="00CE6395"/>
    <w:rsid w:val="00CE7D3A"/>
    <w:rsid w:val="00CF2315"/>
    <w:rsid w:val="00CF6F63"/>
    <w:rsid w:val="00D04B92"/>
    <w:rsid w:val="00D074E5"/>
    <w:rsid w:val="00D2135B"/>
    <w:rsid w:val="00D26B81"/>
    <w:rsid w:val="00D33E2D"/>
    <w:rsid w:val="00D43CB7"/>
    <w:rsid w:val="00D51F5D"/>
    <w:rsid w:val="00D52753"/>
    <w:rsid w:val="00D5287B"/>
    <w:rsid w:val="00D60CD2"/>
    <w:rsid w:val="00D65E52"/>
    <w:rsid w:val="00D663B6"/>
    <w:rsid w:val="00D67BBD"/>
    <w:rsid w:val="00D67FD3"/>
    <w:rsid w:val="00D71646"/>
    <w:rsid w:val="00D755BA"/>
    <w:rsid w:val="00D75739"/>
    <w:rsid w:val="00D75E9E"/>
    <w:rsid w:val="00D83117"/>
    <w:rsid w:val="00D84C4E"/>
    <w:rsid w:val="00D908EA"/>
    <w:rsid w:val="00D92817"/>
    <w:rsid w:val="00D92939"/>
    <w:rsid w:val="00D92F4F"/>
    <w:rsid w:val="00DA0EB1"/>
    <w:rsid w:val="00DA29B0"/>
    <w:rsid w:val="00DD0E7C"/>
    <w:rsid w:val="00DD4A49"/>
    <w:rsid w:val="00DD54F0"/>
    <w:rsid w:val="00DD69AA"/>
    <w:rsid w:val="00DF0799"/>
    <w:rsid w:val="00E0076F"/>
    <w:rsid w:val="00E02973"/>
    <w:rsid w:val="00E05453"/>
    <w:rsid w:val="00E06DAD"/>
    <w:rsid w:val="00E122E6"/>
    <w:rsid w:val="00E12626"/>
    <w:rsid w:val="00E13889"/>
    <w:rsid w:val="00E15A14"/>
    <w:rsid w:val="00E16DC5"/>
    <w:rsid w:val="00E23943"/>
    <w:rsid w:val="00E3243C"/>
    <w:rsid w:val="00E324C7"/>
    <w:rsid w:val="00E32553"/>
    <w:rsid w:val="00E376C0"/>
    <w:rsid w:val="00E4024A"/>
    <w:rsid w:val="00E41140"/>
    <w:rsid w:val="00E436A1"/>
    <w:rsid w:val="00E52B5E"/>
    <w:rsid w:val="00E54EEA"/>
    <w:rsid w:val="00E569C0"/>
    <w:rsid w:val="00E6071E"/>
    <w:rsid w:val="00E62CA0"/>
    <w:rsid w:val="00E71812"/>
    <w:rsid w:val="00E73B90"/>
    <w:rsid w:val="00E9121E"/>
    <w:rsid w:val="00E975B1"/>
    <w:rsid w:val="00EA41ED"/>
    <w:rsid w:val="00EA719E"/>
    <w:rsid w:val="00EB589D"/>
    <w:rsid w:val="00EB61A6"/>
    <w:rsid w:val="00EB656C"/>
    <w:rsid w:val="00EC5068"/>
    <w:rsid w:val="00ED054D"/>
    <w:rsid w:val="00ED7E54"/>
    <w:rsid w:val="00EE2AA9"/>
    <w:rsid w:val="00EE340E"/>
    <w:rsid w:val="00EF5E64"/>
    <w:rsid w:val="00F00F66"/>
    <w:rsid w:val="00F02A02"/>
    <w:rsid w:val="00F10080"/>
    <w:rsid w:val="00F20F89"/>
    <w:rsid w:val="00F21655"/>
    <w:rsid w:val="00F26E17"/>
    <w:rsid w:val="00F27B73"/>
    <w:rsid w:val="00F3207A"/>
    <w:rsid w:val="00F339EC"/>
    <w:rsid w:val="00F340B5"/>
    <w:rsid w:val="00F4304C"/>
    <w:rsid w:val="00F557F5"/>
    <w:rsid w:val="00F61D8C"/>
    <w:rsid w:val="00F61E45"/>
    <w:rsid w:val="00F800C1"/>
    <w:rsid w:val="00F864B2"/>
    <w:rsid w:val="00F9326E"/>
    <w:rsid w:val="00F94555"/>
    <w:rsid w:val="00F95246"/>
    <w:rsid w:val="00F96712"/>
    <w:rsid w:val="00F9697A"/>
    <w:rsid w:val="00FA0C46"/>
    <w:rsid w:val="00FA44CC"/>
    <w:rsid w:val="00FA5E36"/>
    <w:rsid w:val="00FB0A0F"/>
    <w:rsid w:val="00FB1A2D"/>
    <w:rsid w:val="00FB7617"/>
    <w:rsid w:val="00FC4A10"/>
    <w:rsid w:val="00FC57E6"/>
    <w:rsid w:val="00FD06A4"/>
    <w:rsid w:val="00FD0BA5"/>
    <w:rsid w:val="00FF2909"/>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paragraph" w:styleId="Heading5">
    <w:name w:val="heading 5"/>
    <w:basedOn w:val="Normal"/>
    <w:next w:val="Normal"/>
    <w:link w:val="Heading5Char"/>
    <w:semiHidden/>
    <w:unhideWhenUsed/>
    <w:qFormat/>
    <w:locked/>
    <w:rsid w:val="005F480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5F480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6539">
      <w:bodyDiv w:val="1"/>
      <w:marLeft w:val="0"/>
      <w:marRight w:val="0"/>
      <w:marTop w:val="0"/>
      <w:marBottom w:val="0"/>
      <w:divBdr>
        <w:top w:val="none" w:sz="0" w:space="0" w:color="auto"/>
        <w:left w:val="none" w:sz="0" w:space="0" w:color="auto"/>
        <w:bottom w:val="none" w:sz="0" w:space="0" w:color="auto"/>
        <w:right w:val="none" w:sz="0" w:space="0" w:color="auto"/>
      </w:divBdr>
    </w:div>
    <w:div w:id="214661379">
      <w:bodyDiv w:val="1"/>
      <w:marLeft w:val="0"/>
      <w:marRight w:val="0"/>
      <w:marTop w:val="0"/>
      <w:marBottom w:val="0"/>
      <w:divBdr>
        <w:top w:val="none" w:sz="0" w:space="0" w:color="auto"/>
        <w:left w:val="none" w:sz="0" w:space="0" w:color="auto"/>
        <w:bottom w:val="none" w:sz="0" w:space="0" w:color="auto"/>
        <w:right w:val="none" w:sz="0" w:space="0" w:color="auto"/>
      </w:divBdr>
    </w:div>
    <w:div w:id="234517798">
      <w:bodyDiv w:val="1"/>
      <w:marLeft w:val="0"/>
      <w:marRight w:val="0"/>
      <w:marTop w:val="0"/>
      <w:marBottom w:val="0"/>
      <w:divBdr>
        <w:top w:val="none" w:sz="0" w:space="0" w:color="auto"/>
        <w:left w:val="none" w:sz="0" w:space="0" w:color="auto"/>
        <w:bottom w:val="none" w:sz="0" w:space="0" w:color="auto"/>
        <w:right w:val="none" w:sz="0" w:space="0" w:color="auto"/>
      </w:divBdr>
      <w:divsChild>
        <w:div w:id="679429818">
          <w:marLeft w:val="0"/>
          <w:marRight w:val="0"/>
          <w:marTop w:val="0"/>
          <w:marBottom w:val="0"/>
          <w:divBdr>
            <w:top w:val="none" w:sz="0" w:space="0" w:color="E0E0E0"/>
            <w:left w:val="none" w:sz="0" w:space="8" w:color="E0E0E0"/>
            <w:bottom w:val="single" w:sz="6" w:space="0" w:color="E0E0E0"/>
            <w:right w:val="none" w:sz="0" w:space="8" w:color="E0E0E0"/>
          </w:divBdr>
          <w:divsChild>
            <w:div w:id="11741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6764">
      <w:bodyDiv w:val="1"/>
      <w:marLeft w:val="0"/>
      <w:marRight w:val="0"/>
      <w:marTop w:val="0"/>
      <w:marBottom w:val="0"/>
      <w:divBdr>
        <w:top w:val="none" w:sz="0" w:space="0" w:color="auto"/>
        <w:left w:val="none" w:sz="0" w:space="0" w:color="auto"/>
        <w:bottom w:val="none" w:sz="0" w:space="0" w:color="auto"/>
        <w:right w:val="none" w:sz="0" w:space="0" w:color="auto"/>
      </w:divBdr>
    </w:div>
    <w:div w:id="301467567">
      <w:marLeft w:val="0"/>
      <w:marRight w:val="0"/>
      <w:marTop w:val="0"/>
      <w:marBottom w:val="0"/>
      <w:divBdr>
        <w:top w:val="none" w:sz="0" w:space="0" w:color="auto"/>
        <w:left w:val="none" w:sz="0" w:space="0" w:color="auto"/>
        <w:bottom w:val="none" w:sz="0" w:space="0" w:color="auto"/>
        <w:right w:val="none" w:sz="0" w:space="0" w:color="auto"/>
      </w:divBdr>
    </w:div>
    <w:div w:id="628705911">
      <w:bodyDiv w:val="1"/>
      <w:marLeft w:val="0"/>
      <w:marRight w:val="0"/>
      <w:marTop w:val="0"/>
      <w:marBottom w:val="0"/>
      <w:divBdr>
        <w:top w:val="none" w:sz="0" w:space="0" w:color="auto"/>
        <w:left w:val="none" w:sz="0" w:space="0" w:color="auto"/>
        <w:bottom w:val="none" w:sz="0" w:space="0" w:color="auto"/>
        <w:right w:val="none" w:sz="0" w:space="0" w:color="auto"/>
      </w:divBdr>
    </w:div>
    <w:div w:id="1251158905">
      <w:bodyDiv w:val="1"/>
      <w:marLeft w:val="0"/>
      <w:marRight w:val="0"/>
      <w:marTop w:val="0"/>
      <w:marBottom w:val="0"/>
      <w:divBdr>
        <w:top w:val="none" w:sz="0" w:space="0" w:color="auto"/>
        <w:left w:val="none" w:sz="0" w:space="0" w:color="auto"/>
        <w:bottom w:val="none" w:sz="0" w:space="0" w:color="auto"/>
        <w:right w:val="none" w:sz="0" w:space="0" w:color="auto"/>
      </w:divBdr>
      <w:divsChild>
        <w:div w:id="1192066113">
          <w:marLeft w:val="0"/>
          <w:marRight w:val="0"/>
          <w:marTop w:val="0"/>
          <w:marBottom w:val="0"/>
          <w:divBdr>
            <w:top w:val="none" w:sz="0" w:space="0" w:color="E0E0E0"/>
            <w:left w:val="none" w:sz="0" w:space="8" w:color="E0E0E0"/>
            <w:bottom w:val="single" w:sz="6" w:space="0" w:color="E0E0E0"/>
            <w:right w:val="none" w:sz="0" w:space="8" w:color="E0E0E0"/>
          </w:divBdr>
          <w:divsChild>
            <w:div w:id="16789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d = " h t t p : / / w w w . w 3 . o r g / 2 0 0 1 / X M L S c h e m a "   x m l n s : x s i = " h t t p : / / w w w . w 3 . o r g / 2 0 0 1 / X M L S c h e m a - i n s t a n c 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802E4-0997-4DB1-B76E-BE4F1AE3AEB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2.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4.xml><?xml version="1.0" encoding="utf-8"?>
<ds:datastoreItem xmlns:ds="http://schemas.openxmlformats.org/officeDocument/2006/customXml" ds:itemID="{C10DF1CC-EF6B-415F-9F1B-F243E2A039CA}">
  <ds:schemaRefs>
    <ds:schemaRef ds:uri="http://www.w3.org/2001/XMLSchema"/>
  </ds:schemaRefs>
</ds:datastoreItem>
</file>

<file path=customXml/itemProps5.xml><?xml version="1.0" encoding="utf-8"?>
<ds:datastoreItem xmlns:ds="http://schemas.openxmlformats.org/officeDocument/2006/customXml" ds:itemID="{40FECFA9-238A-468A-926E-DEE928F9A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6093</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63</cp:revision>
  <cp:lastPrinted>2024-06-20T08:08:00Z</cp:lastPrinted>
  <dcterms:created xsi:type="dcterms:W3CDTF">2025-01-06T23:11:00Z</dcterms:created>
  <dcterms:modified xsi:type="dcterms:W3CDTF">2025-07-22T02:40:00Z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GrammarlyDocumentId">
    <vt:lpwstr>eac2ffd3-25b0-4b1d-8fef-8a7e9cefd000</vt:lpwstr>
  </property>
</Properties>
</file>