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6524834" w14:textId="1DD25385" w:rsidR="002116D9" w:rsidRDefault="00227691"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bookmarkStart w:id="0" w:name="_Hlk184719269"/>
      <w:r w:rsidRPr="00227691">
        <w:rPr>
          <w:rFonts w:ascii="Calibri" w:hAnsi="Calibri"/>
          <w:b/>
          <w:sz w:val="28"/>
          <w:szCs w:val="28"/>
          <w:lang w:eastAsia="en-US"/>
        </w:rPr>
        <w:t>Heavy Vehicle Stated Maps – Network Suspension and Amendment Notice 2025 (</w:t>
      </w:r>
      <w:proofErr w:type="spellStart"/>
      <w:r w:rsidRPr="00227691">
        <w:rPr>
          <w:rFonts w:ascii="Calibri" w:hAnsi="Calibri"/>
          <w:b/>
          <w:sz w:val="28"/>
          <w:szCs w:val="28"/>
          <w:lang w:eastAsia="en-US"/>
        </w:rPr>
        <w:t>No.</w:t>
      </w:r>
      <w:r w:rsidR="00AC77FE">
        <w:rPr>
          <w:rFonts w:ascii="Calibri" w:hAnsi="Calibri"/>
          <w:b/>
          <w:sz w:val="28"/>
          <w:szCs w:val="28"/>
          <w:lang w:eastAsia="en-US"/>
        </w:rPr>
        <w:t>4</w:t>
      </w:r>
      <w:proofErr w:type="spellEnd"/>
      <w:r w:rsidRPr="00227691">
        <w:rPr>
          <w:rFonts w:ascii="Calibri" w:hAnsi="Calibri"/>
          <w:b/>
          <w:sz w:val="28"/>
          <w:szCs w:val="28"/>
          <w:lang w:eastAsia="en-US"/>
        </w:rPr>
        <w:t>)</w:t>
      </w:r>
    </w:p>
    <w:bookmarkEnd w:id="0"/>
    <w:p w14:paraId="75318D64"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090A241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Purpose</w:t>
      </w:r>
    </w:p>
    <w:p w14:paraId="6516B25C"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32C55BDF" w14:textId="77777777" w:rsidR="00A36FDC" w:rsidRPr="00A36FDC" w:rsidRDefault="00A36FDC" w:rsidP="00DC7E5B">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The purpose of this notice is to amend stated networks for vehicles on the Regulator’s initiative.    </w:t>
      </w:r>
    </w:p>
    <w:p w14:paraId="58625BCB"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068562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Commencement date</w:t>
      </w:r>
    </w:p>
    <w:p w14:paraId="4DBE2D73"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3E2645B"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Suspension or amendment of the routes in Schedule 1 under section 4(1)(a) below commences immediately upon publication of this notice; and</w:t>
      </w:r>
    </w:p>
    <w:p w14:paraId="6F30A6C9"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87B61E9"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Cancellation or amendment of the routes in Schedule 1 under section 4(1)(b) below commences 28 days after publication of this notice.</w:t>
      </w:r>
    </w:p>
    <w:p w14:paraId="7067E8E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D5EEE2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Title</w:t>
      </w:r>
    </w:p>
    <w:p w14:paraId="1DE2973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8D12042" w14:textId="380E4DA1" w:rsidR="00A36FDC" w:rsidRPr="00A36FDC" w:rsidRDefault="00A36FDC" w:rsidP="00DC7E5B">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may be cited as the </w:t>
      </w:r>
      <w:r w:rsidRPr="00A36FDC">
        <w:rPr>
          <w:rFonts w:ascii="Calibri" w:eastAsia="Calibri" w:hAnsi="Calibri"/>
          <w:i/>
          <w:iCs/>
          <w:kern w:val="2"/>
          <w:sz w:val="22"/>
          <w:szCs w:val="22"/>
          <w:lang w:eastAsia="en-US"/>
          <w14:ligatures w14:val="standardContextual"/>
        </w:rPr>
        <w:t xml:space="preserve">Heavy Vehicle Stated Maps – </w:t>
      </w:r>
      <w:r w:rsidR="00EF5E64">
        <w:rPr>
          <w:rFonts w:ascii="Calibri" w:eastAsia="Calibri" w:hAnsi="Calibri"/>
          <w:i/>
          <w:iCs/>
          <w:kern w:val="2"/>
          <w:sz w:val="22"/>
          <w:szCs w:val="22"/>
          <w:lang w:eastAsia="en-US"/>
          <w14:ligatures w14:val="standardContextual"/>
        </w:rPr>
        <w:t xml:space="preserve">Network </w:t>
      </w:r>
      <w:r w:rsidRPr="00A36FDC">
        <w:rPr>
          <w:rFonts w:ascii="Calibri" w:eastAsia="Calibri" w:hAnsi="Calibri"/>
          <w:i/>
          <w:iCs/>
          <w:kern w:val="2"/>
          <w:sz w:val="22"/>
          <w:szCs w:val="22"/>
          <w:lang w:eastAsia="en-US"/>
          <w14:ligatures w14:val="standardContextual"/>
        </w:rPr>
        <w:t>Suspension and Amendment Notice 2025 (</w:t>
      </w:r>
      <w:proofErr w:type="spellStart"/>
      <w:r w:rsidRPr="00A36FDC">
        <w:rPr>
          <w:rFonts w:ascii="Calibri" w:eastAsia="Calibri" w:hAnsi="Calibri"/>
          <w:i/>
          <w:iCs/>
          <w:kern w:val="2"/>
          <w:sz w:val="22"/>
          <w:szCs w:val="22"/>
          <w:lang w:eastAsia="en-US"/>
          <w14:ligatures w14:val="standardContextual"/>
        </w:rPr>
        <w:t>No.</w:t>
      </w:r>
      <w:r w:rsidR="007978EE">
        <w:rPr>
          <w:rFonts w:ascii="Calibri" w:eastAsia="Calibri" w:hAnsi="Calibri"/>
          <w:i/>
          <w:iCs/>
          <w:kern w:val="2"/>
          <w:sz w:val="22"/>
          <w:szCs w:val="22"/>
          <w:lang w:eastAsia="en-US"/>
          <w14:ligatures w14:val="standardContextual"/>
        </w:rPr>
        <w:t>4</w:t>
      </w:r>
      <w:proofErr w:type="spellEnd"/>
      <w:r w:rsidRPr="00A36FDC">
        <w:rPr>
          <w:rFonts w:ascii="Calibri" w:eastAsia="Calibri" w:hAnsi="Calibri"/>
          <w:i/>
          <w:iCs/>
          <w:kern w:val="2"/>
          <w:sz w:val="22"/>
          <w:szCs w:val="22"/>
          <w:lang w:eastAsia="en-US"/>
          <w14:ligatures w14:val="standardContextual"/>
        </w:rPr>
        <w:t>).</w:t>
      </w:r>
    </w:p>
    <w:p w14:paraId="29CF4BA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10974BE6"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Authorising provision</w:t>
      </w:r>
    </w:p>
    <w:p w14:paraId="1747696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29A4879D" w14:textId="77777777" w:rsidR="00A36FDC" w:rsidRPr="00A36FDC" w:rsidRDefault="00A36FDC" w:rsidP="00A36FDC">
      <w:pPr>
        <w:numPr>
          <w:ilvl w:val="0"/>
          <w:numId w:val="34"/>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is made under: </w:t>
      </w:r>
    </w:p>
    <w:p w14:paraId="27F3660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F9E0C22"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175, immediately suspending or amending the routes listed in Schedule 1 of this notice to prevent or minimise serious harm to public safety or significant damage to road infrastructure; and</w:t>
      </w:r>
    </w:p>
    <w:p w14:paraId="2D445C47"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173, cancelling or amending the routes listed in Schedule 1 of this notice on the Regulator’s initiative.</w:t>
      </w:r>
    </w:p>
    <w:p w14:paraId="3294E729" w14:textId="77777777" w:rsidR="00A36FDC" w:rsidRPr="00A36FDC" w:rsidRDefault="00A36FDC" w:rsidP="00A36FDC">
      <w:pPr>
        <w:spacing w:after="160" w:line="259" w:lineRule="auto"/>
        <w:ind w:left="1440"/>
        <w:contextualSpacing/>
        <w:jc w:val="both"/>
        <w:rPr>
          <w:rFonts w:ascii="Calibri" w:eastAsia="Calibri" w:hAnsi="Calibri"/>
          <w:kern w:val="2"/>
          <w:sz w:val="22"/>
          <w:szCs w:val="22"/>
          <w:lang w:eastAsia="en-US"/>
          <w14:ligatures w14:val="standardContextual"/>
        </w:rPr>
      </w:pPr>
    </w:p>
    <w:p w14:paraId="1574E1CB"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Application</w:t>
      </w:r>
    </w:p>
    <w:p w14:paraId="4006F0A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654C0512" w14:textId="77777777" w:rsidR="00A36FDC" w:rsidRPr="00A36FDC" w:rsidRDefault="00A36FDC" w:rsidP="00DC7E5B">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applies in all participating jurisdictions.  </w:t>
      </w:r>
    </w:p>
    <w:p w14:paraId="306B76C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25B89812"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Amendments</w:t>
      </w:r>
    </w:p>
    <w:p w14:paraId="35AEB3F8"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0A3B0B3C"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The specified networks in Column 2 of Schedule 1 to this notice are amended as specified in Column 4 for the Road Manager’s reasons shown in Column 5.</w:t>
      </w:r>
    </w:p>
    <w:p w14:paraId="162AC3FB"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p>
    <w:p w14:paraId="01AD3D1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sectPr w:rsidR="00A36FDC" w:rsidRPr="00A36FDC" w:rsidSect="00A36FDC">
          <w:headerReference w:type="default" r:id="rId12"/>
          <w:footerReference w:type="default" r:id="rId13"/>
          <w:pgSz w:w="11906" w:h="16838"/>
          <w:pgMar w:top="1440" w:right="1440" w:bottom="1440" w:left="1440" w:header="708" w:footer="708" w:gutter="0"/>
          <w:cols w:space="708"/>
          <w:docGrid w:linePitch="360"/>
        </w:sectPr>
      </w:pPr>
    </w:p>
    <w:p w14:paraId="6E0D6B14"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 xml:space="preserve">Public notice of amendment </w:t>
      </w:r>
    </w:p>
    <w:p w14:paraId="13D1C24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7117BAE4" w14:textId="77777777" w:rsidR="00A36FDC" w:rsidRPr="00A36FDC" w:rsidRDefault="00A36FDC" w:rsidP="00DC7E5B">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Any person affected by the purpose of the action they make written representation to the Regulator within 14 days of the publication of the notice about why the amendment should not be made. </w:t>
      </w:r>
    </w:p>
    <w:p w14:paraId="3669C280" w14:textId="77777777" w:rsid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7086A064" w14:textId="77777777" w:rsidR="00742115" w:rsidRPr="00A36FDC" w:rsidRDefault="00742115" w:rsidP="00A36FDC">
      <w:pPr>
        <w:spacing w:after="160" w:line="259" w:lineRule="auto"/>
        <w:contextualSpacing/>
        <w:jc w:val="both"/>
        <w:rPr>
          <w:rFonts w:ascii="Calibri" w:eastAsia="Calibri" w:hAnsi="Calibri"/>
          <w:kern w:val="2"/>
          <w:sz w:val="22"/>
          <w:szCs w:val="22"/>
          <w:lang w:eastAsia="en-US"/>
          <w14:ligatures w14:val="standardContextual"/>
        </w:rPr>
      </w:pPr>
    </w:p>
    <w:p w14:paraId="12578424" w14:textId="13839086"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Dated: </w:t>
      </w:r>
      <w:r w:rsidR="00BA2134">
        <w:rPr>
          <w:rFonts w:ascii="Calibri" w:eastAsia="Calibri" w:hAnsi="Calibri"/>
          <w:kern w:val="2"/>
          <w:sz w:val="22"/>
          <w:szCs w:val="22"/>
          <w:lang w:eastAsia="en-US"/>
          <w14:ligatures w14:val="standardContextual"/>
        </w:rPr>
        <w:t>11</w:t>
      </w:r>
      <w:r w:rsidRPr="00A36FDC">
        <w:rPr>
          <w:rFonts w:ascii="Calibri" w:eastAsia="Calibri" w:hAnsi="Calibri"/>
          <w:kern w:val="2"/>
          <w:sz w:val="22"/>
          <w:szCs w:val="22"/>
          <w:lang w:eastAsia="en-US"/>
          <w14:ligatures w14:val="standardContextual"/>
        </w:rPr>
        <w:t>/</w:t>
      </w:r>
      <w:r w:rsidR="00BA2134">
        <w:rPr>
          <w:rFonts w:ascii="Calibri" w:eastAsia="Calibri" w:hAnsi="Calibri"/>
          <w:kern w:val="2"/>
          <w:sz w:val="22"/>
          <w:szCs w:val="22"/>
          <w:lang w:eastAsia="en-US"/>
          <w14:ligatures w14:val="standardContextual"/>
        </w:rPr>
        <w:t>4</w:t>
      </w:r>
      <w:r w:rsidRPr="00A36FDC">
        <w:rPr>
          <w:rFonts w:ascii="Calibri" w:eastAsia="Calibri" w:hAnsi="Calibri"/>
          <w:kern w:val="2"/>
          <w:sz w:val="22"/>
          <w:szCs w:val="22"/>
          <w:lang w:eastAsia="en-US"/>
          <w14:ligatures w14:val="standardContextual"/>
        </w:rPr>
        <w:t>/2025</w:t>
      </w:r>
    </w:p>
    <w:p w14:paraId="4275122C"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Jose Arredondo</w:t>
      </w:r>
    </w:p>
    <w:p w14:paraId="20470B90" w14:textId="77777777" w:rsidR="00A36FDC" w:rsidRPr="00A36FDC" w:rsidRDefault="00A36FDC" w:rsidP="00A36FDC">
      <w:pPr>
        <w:spacing w:after="160" w:line="259" w:lineRule="auto"/>
        <w:ind w:firstLine="720"/>
        <w:contextualSpacing/>
        <w:jc w:val="both"/>
        <w:rPr>
          <w:rFonts w:ascii="Calibri" w:eastAsia="Calibri" w:hAnsi="Calibri"/>
          <w:i/>
          <w:iCs/>
          <w:kern w:val="2"/>
          <w:sz w:val="22"/>
          <w:szCs w:val="22"/>
          <w:lang w:eastAsia="en-US"/>
          <w14:ligatures w14:val="standardContextual"/>
        </w:rPr>
      </w:pPr>
      <w:r w:rsidRPr="00A36FDC">
        <w:rPr>
          <w:rFonts w:ascii="Calibri" w:eastAsia="Calibri" w:hAnsi="Calibri"/>
          <w:i/>
          <w:iCs/>
          <w:kern w:val="2"/>
          <w:sz w:val="22"/>
          <w:szCs w:val="22"/>
          <w:lang w:eastAsia="en-US"/>
          <w14:ligatures w14:val="standardContextual"/>
        </w:rPr>
        <w:t>Manager Network Access Policy</w:t>
      </w:r>
    </w:p>
    <w:p w14:paraId="6093442A" w14:textId="77777777" w:rsidR="00A36FDC" w:rsidRPr="00A36FDC" w:rsidRDefault="00A36FDC" w:rsidP="00A36FDC">
      <w:pPr>
        <w:spacing w:after="160" w:line="259" w:lineRule="auto"/>
        <w:ind w:firstLine="720"/>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National Heavy Vehicle Regulator</w:t>
      </w:r>
    </w:p>
    <w:p w14:paraId="0CAAE996"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13CFC94E"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56A7673"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004EEDB4"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6F01B049"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ED4CC92"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sectPr w:rsidR="00A36FDC" w:rsidRPr="00A36FDC" w:rsidSect="00A36FDC">
          <w:headerReference w:type="default" r:id="rId14"/>
          <w:pgSz w:w="11906" w:h="16838"/>
          <w:pgMar w:top="1440" w:right="1440" w:bottom="1440" w:left="1440" w:header="708" w:footer="708" w:gutter="0"/>
          <w:cols w:space="708"/>
          <w:docGrid w:linePitch="360"/>
        </w:sectPr>
      </w:pPr>
    </w:p>
    <w:p w14:paraId="34B8BC0E" w14:textId="77777777" w:rsidR="00A36FDC" w:rsidRPr="00A36FDC" w:rsidRDefault="00A36FDC" w:rsidP="00A36FDC">
      <w:pPr>
        <w:spacing w:after="160" w:line="259" w:lineRule="auto"/>
        <w:contextualSpacing/>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Schedule 1 Table of Amended Routes</w:t>
      </w:r>
    </w:p>
    <w:tbl>
      <w:tblPr>
        <w:tblStyle w:val="TableGrid3"/>
        <w:tblW w:w="14170" w:type="dxa"/>
        <w:tblLook w:val="04A0" w:firstRow="1" w:lastRow="0" w:firstColumn="1" w:lastColumn="0" w:noHBand="0" w:noVBand="1"/>
        <w:tblCaption w:val="Schedule 1 Table of Amended Routes"/>
        <w:tblDescription w:val="A table of route amendments made under this notice, stating the route, the loacal area, the amendment, and the reason."/>
      </w:tblPr>
      <w:tblGrid>
        <w:gridCol w:w="1411"/>
        <w:gridCol w:w="2520"/>
        <w:gridCol w:w="1442"/>
        <w:gridCol w:w="3951"/>
        <w:gridCol w:w="4846"/>
      </w:tblGrid>
      <w:tr w:rsidR="00A36FDC" w:rsidRPr="00A36FDC" w14:paraId="794F4D49" w14:textId="77777777" w:rsidTr="73377674">
        <w:trPr>
          <w:cantSplit/>
        </w:trPr>
        <w:tc>
          <w:tcPr>
            <w:tcW w:w="1412" w:type="dxa"/>
            <w:vAlign w:val="center"/>
          </w:tcPr>
          <w:p w14:paraId="2E1335B6"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1</w:t>
            </w:r>
          </w:p>
          <w:p w14:paraId="32004BA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Authorising Provision</w:t>
            </w:r>
          </w:p>
        </w:tc>
        <w:tc>
          <w:tcPr>
            <w:tcW w:w="2527" w:type="dxa"/>
            <w:vAlign w:val="center"/>
          </w:tcPr>
          <w:p w14:paraId="50640D67"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2</w:t>
            </w:r>
          </w:p>
          <w:p w14:paraId="2963154A"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Network</w:t>
            </w:r>
          </w:p>
        </w:tc>
        <w:tc>
          <w:tcPr>
            <w:tcW w:w="1406" w:type="dxa"/>
            <w:vAlign w:val="center"/>
          </w:tcPr>
          <w:p w14:paraId="59348EC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3</w:t>
            </w:r>
          </w:p>
          <w:p w14:paraId="50571CE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Locality</w:t>
            </w:r>
          </w:p>
        </w:tc>
        <w:tc>
          <w:tcPr>
            <w:tcW w:w="3961" w:type="dxa"/>
            <w:vAlign w:val="center"/>
          </w:tcPr>
          <w:p w14:paraId="38FD6A65"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4</w:t>
            </w:r>
          </w:p>
          <w:p w14:paraId="6CE7644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Changes to Route</w:t>
            </w:r>
          </w:p>
        </w:tc>
        <w:tc>
          <w:tcPr>
            <w:tcW w:w="4864" w:type="dxa"/>
            <w:vAlign w:val="center"/>
          </w:tcPr>
          <w:p w14:paraId="03FFE659"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5</w:t>
            </w:r>
          </w:p>
          <w:p w14:paraId="0B3487ED"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Road manager Reasons for Change</w:t>
            </w:r>
          </w:p>
        </w:tc>
      </w:tr>
      <w:tr w:rsidR="00A36FDC" w:rsidRPr="00A36FDC" w14:paraId="08FC1A8F" w14:textId="77777777" w:rsidTr="73377674">
        <w:trPr>
          <w:cantSplit/>
        </w:trPr>
        <w:tc>
          <w:tcPr>
            <w:tcW w:w="1412" w:type="dxa"/>
          </w:tcPr>
          <w:p w14:paraId="7254E094" w14:textId="4EF1E298" w:rsidR="00A36FDC" w:rsidRPr="00A36FDC" w:rsidRDefault="004D7EA6"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3D387FBB" w14:textId="42E6BBF0" w:rsidR="00A36FDC" w:rsidRPr="00A36FDC" w:rsidRDefault="00783CF2" w:rsidP="00A36FDC">
            <w:pPr>
              <w:rPr>
                <w:rFonts w:ascii="Calibri" w:eastAsia="Calibri" w:hAnsi="Calibri"/>
                <w:sz w:val="20"/>
                <w:szCs w:val="20"/>
              </w:rPr>
            </w:pPr>
            <w:r w:rsidRPr="00783CF2">
              <w:rPr>
                <w:rFonts w:ascii="Calibri" w:eastAsia="Calibri" w:hAnsi="Calibri"/>
                <w:sz w:val="20"/>
                <w:szCs w:val="20"/>
              </w:rPr>
              <w:t>NSW Oversize Overmass Load Carrying Vehicles Network Approved Roads</w:t>
            </w:r>
          </w:p>
        </w:tc>
        <w:tc>
          <w:tcPr>
            <w:tcW w:w="1406" w:type="dxa"/>
          </w:tcPr>
          <w:p w14:paraId="3B890D6A" w14:textId="1181BC46" w:rsidR="00A36FDC" w:rsidRPr="00A36FDC" w:rsidRDefault="0084444C" w:rsidP="00A36FDC">
            <w:pPr>
              <w:rPr>
                <w:rFonts w:ascii="Calibri" w:eastAsia="Calibri" w:hAnsi="Calibri"/>
                <w:sz w:val="20"/>
                <w:szCs w:val="20"/>
              </w:rPr>
            </w:pPr>
            <w:r w:rsidRPr="0084444C">
              <w:rPr>
                <w:rFonts w:ascii="Calibri" w:eastAsia="Calibri" w:hAnsi="Calibri"/>
                <w:sz w:val="20"/>
                <w:szCs w:val="20"/>
              </w:rPr>
              <w:t>Balranald Shire Council</w:t>
            </w:r>
          </w:p>
        </w:tc>
        <w:tc>
          <w:tcPr>
            <w:tcW w:w="3961" w:type="dxa"/>
          </w:tcPr>
          <w:p w14:paraId="23B2DFD1" w14:textId="62C1A876" w:rsidR="00A36FDC" w:rsidRPr="00A36FDC" w:rsidRDefault="00DE6C5F" w:rsidP="0084444C">
            <w:pPr>
              <w:contextualSpacing/>
              <w:rPr>
                <w:rFonts w:ascii="Calibri" w:eastAsia="Calibri" w:hAnsi="Calibri"/>
                <w:sz w:val="20"/>
                <w:szCs w:val="20"/>
              </w:rPr>
            </w:pPr>
            <w:r>
              <w:rPr>
                <w:rFonts w:ascii="Calibri" w:eastAsia="Calibri" w:hAnsi="Calibri"/>
                <w:sz w:val="20"/>
                <w:szCs w:val="20"/>
              </w:rPr>
              <w:t>Altering heavy vehicle route in Balranald from</w:t>
            </w:r>
            <w:r w:rsidR="00FA6173">
              <w:rPr>
                <w:rFonts w:ascii="Calibri" w:eastAsia="Calibri" w:hAnsi="Calibri"/>
                <w:sz w:val="20"/>
                <w:szCs w:val="20"/>
              </w:rPr>
              <w:t xml:space="preserve"> O’Connor Street West and Piper West to instead use a larger stretch of Moa Street.</w:t>
            </w:r>
          </w:p>
        </w:tc>
        <w:tc>
          <w:tcPr>
            <w:tcW w:w="4864" w:type="dxa"/>
          </w:tcPr>
          <w:p w14:paraId="20412134" w14:textId="636B02B5" w:rsidR="00A36FDC" w:rsidRPr="00A36FDC" w:rsidRDefault="00FA6173" w:rsidP="00A36FDC">
            <w:pPr>
              <w:rPr>
                <w:rFonts w:ascii="Calibri" w:eastAsia="Calibri" w:hAnsi="Calibri"/>
                <w:sz w:val="20"/>
                <w:szCs w:val="20"/>
              </w:rPr>
            </w:pPr>
            <w:r>
              <w:rPr>
                <w:rFonts w:ascii="Calibri" w:eastAsia="Calibri" w:hAnsi="Calibri"/>
                <w:sz w:val="20"/>
                <w:szCs w:val="20"/>
              </w:rPr>
              <w:t xml:space="preserve">Due to request from residents </w:t>
            </w:r>
            <w:r w:rsidR="003A5F87">
              <w:rPr>
                <w:rFonts w:ascii="Calibri" w:eastAsia="Calibri" w:hAnsi="Calibri"/>
                <w:sz w:val="20"/>
                <w:szCs w:val="20"/>
              </w:rPr>
              <w:t>due to</w:t>
            </w:r>
            <w:r>
              <w:rPr>
                <w:rFonts w:ascii="Calibri" w:eastAsia="Calibri" w:hAnsi="Calibri"/>
                <w:sz w:val="20"/>
                <w:szCs w:val="20"/>
              </w:rPr>
              <w:t xml:space="preserve"> safety concerns.</w:t>
            </w:r>
          </w:p>
          <w:p w14:paraId="5FFDDFAB" w14:textId="77777777" w:rsidR="00A36FDC" w:rsidRDefault="00A36FDC" w:rsidP="00A36FDC">
            <w:pPr>
              <w:rPr>
                <w:rFonts w:ascii="Calibri" w:eastAsia="Calibri" w:hAnsi="Calibri"/>
                <w:sz w:val="20"/>
                <w:szCs w:val="20"/>
              </w:rPr>
            </w:pPr>
          </w:p>
          <w:p w14:paraId="7DA39E48" w14:textId="1C729D87" w:rsidR="00BB4EA4" w:rsidRPr="00A36FDC" w:rsidRDefault="00BB4EA4" w:rsidP="00A36FDC">
            <w:pPr>
              <w:rPr>
                <w:rFonts w:ascii="Calibri" w:eastAsia="Calibri" w:hAnsi="Calibri"/>
                <w:sz w:val="20"/>
                <w:szCs w:val="20"/>
              </w:rPr>
            </w:pPr>
          </w:p>
        </w:tc>
      </w:tr>
      <w:tr w:rsidR="00E50F6C" w:rsidRPr="00A36FDC" w14:paraId="61A748C7" w14:textId="77777777" w:rsidTr="73377674">
        <w:trPr>
          <w:cantSplit/>
        </w:trPr>
        <w:tc>
          <w:tcPr>
            <w:tcW w:w="1412" w:type="dxa"/>
          </w:tcPr>
          <w:p w14:paraId="5F2418A3" w14:textId="68362D1C" w:rsidR="00E50F6C" w:rsidRPr="00A36FDC" w:rsidRDefault="001E5294"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06D21623" w14:textId="68F889BB" w:rsidR="00E50F6C" w:rsidRPr="00783CF2" w:rsidRDefault="00D3419C" w:rsidP="00A36FDC">
            <w:pPr>
              <w:rPr>
                <w:rFonts w:ascii="Calibri" w:eastAsia="Calibri" w:hAnsi="Calibri"/>
                <w:sz w:val="20"/>
                <w:szCs w:val="20"/>
              </w:rPr>
            </w:pPr>
            <w:r w:rsidRPr="00D3419C">
              <w:rPr>
                <w:rFonts w:ascii="Calibri" w:eastAsia="Calibri" w:hAnsi="Calibri"/>
                <w:sz w:val="20"/>
                <w:szCs w:val="20"/>
              </w:rPr>
              <w:t>NSW Oversize Overmass Load Carrying Vehicles Network Approved Roads</w:t>
            </w:r>
          </w:p>
        </w:tc>
        <w:tc>
          <w:tcPr>
            <w:tcW w:w="1406" w:type="dxa"/>
          </w:tcPr>
          <w:p w14:paraId="44A7E5ED" w14:textId="4E7147BF" w:rsidR="00E50F6C" w:rsidRPr="0084444C" w:rsidRDefault="00D3419C" w:rsidP="00A36FDC">
            <w:pPr>
              <w:rPr>
                <w:rFonts w:ascii="Calibri" w:eastAsia="Calibri" w:hAnsi="Calibri"/>
                <w:sz w:val="20"/>
                <w:szCs w:val="20"/>
              </w:rPr>
            </w:pPr>
            <w:r>
              <w:rPr>
                <w:rFonts w:ascii="Calibri" w:eastAsia="Calibri" w:hAnsi="Calibri"/>
                <w:sz w:val="20"/>
                <w:szCs w:val="20"/>
              </w:rPr>
              <w:t>Transport for New South Wales (TfNSW)</w:t>
            </w:r>
          </w:p>
        </w:tc>
        <w:tc>
          <w:tcPr>
            <w:tcW w:w="3961" w:type="dxa"/>
          </w:tcPr>
          <w:p w14:paraId="782C8B30" w14:textId="5E235D85" w:rsidR="00E50F6C" w:rsidRDefault="00D3419C" w:rsidP="0084444C">
            <w:pPr>
              <w:contextualSpacing/>
              <w:rPr>
                <w:rFonts w:ascii="Calibri" w:eastAsia="Calibri" w:hAnsi="Calibri"/>
                <w:sz w:val="20"/>
                <w:szCs w:val="20"/>
              </w:rPr>
            </w:pPr>
            <w:r>
              <w:rPr>
                <w:rFonts w:ascii="Calibri" w:eastAsia="Calibri" w:hAnsi="Calibri"/>
                <w:sz w:val="20"/>
                <w:szCs w:val="20"/>
              </w:rPr>
              <w:t>Condition added to portions of Hunter Expressway, Newcastle</w:t>
            </w:r>
            <w:r w:rsidR="00B03629">
              <w:rPr>
                <w:rFonts w:ascii="Calibri" w:eastAsia="Calibri" w:hAnsi="Calibri"/>
                <w:sz w:val="20"/>
                <w:szCs w:val="20"/>
              </w:rPr>
              <w:t xml:space="preserve"> Link Road, Newcastle Inner City Bypass, </w:t>
            </w:r>
            <w:r w:rsidR="00D62506">
              <w:rPr>
                <w:rFonts w:ascii="Calibri" w:eastAsia="Calibri" w:hAnsi="Calibri"/>
                <w:sz w:val="20"/>
                <w:szCs w:val="20"/>
              </w:rPr>
              <w:t>Newcastle Road and Thomas Street requiring operators to notify</w:t>
            </w:r>
            <w:r w:rsidR="002B6A20">
              <w:rPr>
                <w:rFonts w:ascii="Calibri" w:eastAsia="Calibri" w:hAnsi="Calibri"/>
                <w:sz w:val="20"/>
                <w:szCs w:val="20"/>
              </w:rPr>
              <w:t xml:space="preserve"> </w:t>
            </w:r>
            <w:r w:rsidR="002B6A20" w:rsidRPr="002B6A20">
              <w:rPr>
                <w:rFonts w:ascii="Calibri" w:eastAsia="Calibri" w:hAnsi="Calibri"/>
                <w:sz w:val="20"/>
                <w:szCs w:val="20"/>
              </w:rPr>
              <w:t>Rankin Park to Jesmond Project </w:t>
            </w:r>
            <w:r w:rsidR="002B6A20">
              <w:rPr>
                <w:rFonts w:ascii="Calibri" w:eastAsia="Calibri" w:hAnsi="Calibri"/>
                <w:sz w:val="20"/>
                <w:szCs w:val="20"/>
              </w:rPr>
              <w:t>five days prior to travel.</w:t>
            </w:r>
            <w:r w:rsidR="00D62506">
              <w:rPr>
                <w:rFonts w:ascii="Calibri" w:eastAsia="Calibri" w:hAnsi="Calibri"/>
                <w:sz w:val="20"/>
                <w:szCs w:val="20"/>
              </w:rPr>
              <w:t xml:space="preserve"> </w:t>
            </w:r>
          </w:p>
        </w:tc>
        <w:tc>
          <w:tcPr>
            <w:tcW w:w="4864" w:type="dxa"/>
          </w:tcPr>
          <w:p w14:paraId="5FE4A553" w14:textId="66082953" w:rsidR="00E50F6C" w:rsidRDefault="00EF6AEF" w:rsidP="00A36FDC">
            <w:pPr>
              <w:rPr>
                <w:rFonts w:ascii="Calibri" w:eastAsia="Calibri" w:hAnsi="Calibri"/>
                <w:sz w:val="20"/>
                <w:szCs w:val="20"/>
              </w:rPr>
            </w:pPr>
            <w:r>
              <w:rPr>
                <w:rFonts w:ascii="Calibri" w:eastAsia="Calibri" w:hAnsi="Calibri"/>
                <w:sz w:val="20"/>
                <w:szCs w:val="20"/>
              </w:rPr>
              <w:t xml:space="preserve">Safety concerns due to the </w:t>
            </w:r>
            <w:r w:rsidRPr="002B6A20">
              <w:rPr>
                <w:rFonts w:ascii="Calibri" w:eastAsia="Calibri" w:hAnsi="Calibri"/>
                <w:sz w:val="20"/>
                <w:szCs w:val="20"/>
              </w:rPr>
              <w:t xml:space="preserve">Rankin Park to Jesmond </w:t>
            </w:r>
            <w:r>
              <w:rPr>
                <w:rFonts w:ascii="Calibri" w:eastAsia="Calibri" w:hAnsi="Calibri"/>
                <w:sz w:val="20"/>
                <w:szCs w:val="20"/>
              </w:rPr>
              <w:t>construction project.</w:t>
            </w:r>
            <w:r w:rsidRPr="002B6A20">
              <w:rPr>
                <w:rFonts w:ascii="Calibri" w:eastAsia="Calibri" w:hAnsi="Calibri"/>
                <w:sz w:val="20"/>
                <w:szCs w:val="20"/>
              </w:rPr>
              <w:t> </w:t>
            </w:r>
          </w:p>
        </w:tc>
      </w:tr>
      <w:tr w:rsidR="00006DB9" w:rsidRPr="00A36FDC" w14:paraId="40C4D04C" w14:textId="77777777" w:rsidTr="73377674">
        <w:trPr>
          <w:cantSplit/>
        </w:trPr>
        <w:tc>
          <w:tcPr>
            <w:tcW w:w="1412" w:type="dxa"/>
          </w:tcPr>
          <w:p w14:paraId="7E4455AC" w14:textId="37BD0D25" w:rsidR="00006DB9" w:rsidRPr="00A36FDC" w:rsidRDefault="001E5294"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05C3C55D" w14:textId="77777777" w:rsidR="00006DB9" w:rsidRDefault="00634840" w:rsidP="00A36FDC">
            <w:pPr>
              <w:rPr>
                <w:rFonts w:ascii="Calibri" w:eastAsia="Calibri" w:hAnsi="Calibri"/>
                <w:sz w:val="20"/>
                <w:szCs w:val="20"/>
              </w:rPr>
            </w:pPr>
            <w:r>
              <w:rPr>
                <w:rFonts w:ascii="Calibri" w:eastAsia="Calibri" w:hAnsi="Calibri"/>
                <w:sz w:val="20"/>
                <w:szCs w:val="20"/>
              </w:rPr>
              <w:t>Multiple Networks:</w:t>
            </w:r>
          </w:p>
          <w:p w14:paraId="1E97B5A0" w14:textId="11467C20" w:rsidR="00634840" w:rsidRPr="00D3419C" w:rsidRDefault="00634840" w:rsidP="00A36FDC">
            <w:pPr>
              <w:rPr>
                <w:rFonts w:ascii="Calibri" w:eastAsia="Calibri" w:hAnsi="Calibri"/>
                <w:sz w:val="20"/>
                <w:szCs w:val="20"/>
              </w:rPr>
            </w:pPr>
            <w:r>
              <w:rPr>
                <w:rFonts w:ascii="Calibri" w:eastAsia="Calibri" w:hAnsi="Calibri"/>
                <w:sz w:val="20"/>
                <w:szCs w:val="20"/>
              </w:rPr>
              <w:t>NSW</w:t>
            </w:r>
            <w:r w:rsidR="001C64FC">
              <w:rPr>
                <w:rFonts w:ascii="Calibri" w:eastAsia="Calibri" w:hAnsi="Calibri"/>
                <w:sz w:val="20"/>
                <w:szCs w:val="20"/>
              </w:rPr>
              <w:t xml:space="preserve"> Type 1 A Double</w:t>
            </w:r>
            <w:r w:rsidR="008D6F3A">
              <w:rPr>
                <w:rFonts w:ascii="Calibri" w:eastAsia="Calibri" w:hAnsi="Calibri"/>
                <w:sz w:val="20"/>
                <w:szCs w:val="20"/>
              </w:rPr>
              <w:t xml:space="preserve"> Network, PBS Level 1, </w:t>
            </w:r>
            <w:proofErr w:type="spellStart"/>
            <w:r w:rsidR="008D6F3A">
              <w:rPr>
                <w:rFonts w:ascii="Calibri" w:eastAsia="Calibri" w:hAnsi="Calibri"/>
                <w:sz w:val="20"/>
                <w:szCs w:val="20"/>
              </w:rPr>
              <w:t>2A</w:t>
            </w:r>
            <w:proofErr w:type="spellEnd"/>
            <w:r w:rsidR="008D6F3A">
              <w:rPr>
                <w:rFonts w:ascii="Calibri" w:eastAsia="Calibri" w:hAnsi="Calibri"/>
                <w:sz w:val="20"/>
                <w:szCs w:val="20"/>
              </w:rPr>
              <w:t xml:space="preserve">, </w:t>
            </w:r>
            <w:proofErr w:type="spellStart"/>
            <w:r w:rsidR="008D6F3A">
              <w:rPr>
                <w:rFonts w:ascii="Calibri" w:eastAsia="Calibri" w:hAnsi="Calibri"/>
                <w:sz w:val="20"/>
                <w:szCs w:val="20"/>
              </w:rPr>
              <w:t>2B</w:t>
            </w:r>
            <w:proofErr w:type="spellEnd"/>
            <w:r w:rsidR="008D6F3A">
              <w:rPr>
                <w:rFonts w:ascii="Calibri" w:eastAsia="Calibri" w:hAnsi="Calibri"/>
                <w:sz w:val="20"/>
                <w:szCs w:val="20"/>
              </w:rPr>
              <w:t xml:space="preserve"> &amp; </w:t>
            </w:r>
            <w:proofErr w:type="spellStart"/>
            <w:r w:rsidR="008D6F3A">
              <w:rPr>
                <w:rFonts w:ascii="Calibri" w:eastAsia="Calibri" w:hAnsi="Calibri"/>
                <w:sz w:val="20"/>
                <w:szCs w:val="20"/>
              </w:rPr>
              <w:t>3A</w:t>
            </w:r>
            <w:proofErr w:type="spellEnd"/>
          </w:p>
        </w:tc>
        <w:tc>
          <w:tcPr>
            <w:tcW w:w="1406" w:type="dxa"/>
          </w:tcPr>
          <w:p w14:paraId="3D1F84A1" w14:textId="3E9AF6D2" w:rsidR="00006DB9" w:rsidRDefault="00F714A1" w:rsidP="00A36FDC">
            <w:pPr>
              <w:rPr>
                <w:rFonts w:ascii="Calibri" w:eastAsia="Calibri" w:hAnsi="Calibri"/>
                <w:sz w:val="20"/>
                <w:szCs w:val="20"/>
              </w:rPr>
            </w:pPr>
            <w:r>
              <w:rPr>
                <w:rFonts w:ascii="Calibri" w:eastAsia="Calibri" w:hAnsi="Calibri"/>
                <w:sz w:val="20"/>
                <w:szCs w:val="20"/>
              </w:rPr>
              <w:t>Warrumbungle Shire Council</w:t>
            </w:r>
          </w:p>
        </w:tc>
        <w:tc>
          <w:tcPr>
            <w:tcW w:w="3961" w:type="dxa"/>
          </w:tcPr>
          <w:p w14:paraId="7D2FF598" w14:textId="1AD4549B" w:rsidR="00006DB9" w:rsidRDefault="00006DB9" w:rsidP="0084444C">
            <w:pPr>
              <w:contextualSpacing/>
              <w:rPr>
                <w:rFonts w:ascii="Calibri" w:eastAsia="Calibri" w:hAnsi="Calibri"/>
                <w:sz w:val="20"/>
                <w:szCs w:val="20"/>
              </w:rPr>
            </w:pPr>
            <w:r>
              <w:rPr>
                <w:rFonts w:ascii="Calibri" w:eastAsia="Calibri" w:hAnsi="Calibri"/>
                <w:sz w:val="20"/>
                <w:szCs w:val="20"/>
              </w:rPr>
              <w:t xml:space="preserve">Remove Edwards St and Namoi St from </w:t>
            </w:r>
            <w:r w:rsidR="008D6F3A">
              <w:rPr>
                <w:rFonts w:ascii="Calibri" w:eastAsia="Calibri" w:hAnsi="Calibri"/>
                <w:sz w:val="20"/>
                <w:szCs w:val="20"/>
              </w:rPr>
              <w:t>Class 2 and PBS Networks</w:t>
            </w:r>
          </w:p>
        </w:tc>
        <w:tc>
          <w:tcPr>
            <w:tcW w:w="4864" w:type="dxa"/>
          </w:tcPr>
          <w:p w14:paraId="23D57061" w14:textId="77777777" w:rsidR="00006DB9" w:rsidRPr="00006DB9" w:rsidRDefault="00006DB9" w:rsidP="00006DB9">
            <w:pPr>
              <w:rPr>
                <w:rFonts w:ascii="Calibri" w:eastAsia="Calibri" w:hAnsi="Calibri"/>
                <w:sz w:val="20"/>
                <w:szCs w:val="20"/>
              </w:rPr>
            </w:pPr>
            <w:r w:rsidRPr="00006DB9">
              <w:rPr>
                <w:rFonts w:ascii="Calibri" w:eastAsia="Calibri" w:hAnsi="Calibri"/>
                <w:sz w:val="20"/>
                <w:szCs w:val="20"/>
              </w:rPr>
              <w:t>Edward Street and Namoi Street are primarily residential roads, surrounded by dense housing, schools, and a church. These roads should only be used as alternate routes for OSOM (Over-Sized Over-Mass) vehicles since there is no reasonable alternative. The use of these streets by other heavy vehicles is prohibited to ensure the safety of residents and to protect the road infrastructure.</w:t>
            </w:r>
          </w:p>
          <w:p w14:paraId="4E44F04F" w14:textId="77777777" w:rsidR="00006DB9" w:rsidRPr="00006DB9" w:rsidRDefault="00006DB9" w:rsidP="00006DB9">
            <w:pPr>
              <w:rPr>
                <w:rFonts w:ascii="Calibri" w:eastAsia="Calibri" w:hAnsi="Calibri"/>
                <w:sz w:val="20"/>
                <w:szCs w:val="20"/>
              </w:rPr>
            </w:pPr>
            <w:r w:rsidRPr="00006DB9">
              <w:rPr>
                <w:rFonts w:ascii="Calibri" w:eastAsia="Calibri" w:hAnsi="Calibri"/>
                <w:sz w:val="20"/>
                <w:szCs w:val="20"/>
              </w:rPr>
              <w:t>All other heavy vehicles should utilise the industrial area roads, specifically Saleyards Road and Gardener Street, to access Newell Highway from Baradine Road</w:t>
            </w:r>
          </w:p>
          <w:p w14:paraId="33EDB1A5" w14:textId="77777777" w:rsidR="00006DB9" w:rsidRDefault="00006DB9" w:rsidP="00A36FDC">
            <w:pPr>
              <w:rPr>
                <w:rFonts w:ascii="Calibri" w:eastAsia="Calibri" w:hAnsi="Calibri"/>
                <w:sz w:val="20"/>
                <w:szCs w:val="20"/>
              </w:rPr>
            </w:pPr>
          </w:p>
        </w:tc>
      </w:tr>
      <w:tr w:rsidR="00170F96" w:rsidRPr="00A36FDC" w14:paraId="0C9409CE" w14:textId="77777777" w:rsidTr="73377674">
        <w:trPr>
          <w:cantSplit/>
        </w:trPr>
        <w:tc>
          <w:tcPr>
            <w:tcW w:w="1412" w:type="dxa"/>
          </w:tcPr>
          <w:p w14:paraId="3BFA79E1" w14:textId="219646DB" w:rsidR="00170F96" w:rsidRPr="00A36FDC" w:rsidRDefault="00170F96" w:rsidP="00170F96">
            <w:pPr>
              <w:rPr>
                <w:rFonts w:ascii="Calibri" w:eastAsia="Calibri" w:hAnsi="Calibri"/>
                <w:sz w:val="20"/>
                <w:szCs w:val="20"/>
              </w:rPr>
            </w:pPr>
            <w:proofErr w:type="spellStart"/>
            <w:r w:rsidRPr="00A36FDC">
              <w:rPr>
                <w:rFonts w:ascii="Calibri" w:eastAsia="Calibri" w:hAnsi="Calibri"/>
                <w:sz w:val="20"/>
                <w:szCs w:val="20"/>
              </w:rPr>
              <w:lastRenderedPageBreak/>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751E7B6B" w14:textId="77777777" w:rsidR="00170F96" w:rsidRDefault="00170F96" w:rsidP="00170F96">
            <w:pPr>
              <w:rPr>
                <w:rFonts w:ascii="Calibri" w:eastAsia="Calibri" w:hAnsi="Calibri"/>
                <w:sz w:val="20"/>
                <w:szCs w:val="20"/>
              </w:rPr>
            </w:pPr>
            <w:r>
              <w:rPr>
                <w:rFonts w:ascii="Calibri" w:eastAsia="Calibri" w:hAnsi="Calibri"/>
                <w:sz w:val="20"/>
                <w:szCs w:val="20"/>
              </w:rPr>
              <w:t>Multiple Networks:</w:t>
            </w:r>
          </w:p>
          <w:p w14:paraId="1322738C" w14:textId="054E515B" w:rsidR="00170F96" w:rsidRDefault="00170F96" w:rsidP="00170F96">
            <w:pPr>
              <w:rPr>
                <w:rFonts w:ascii="Calibri" w:eastAsia="Calibri" w:hAnsi="Calibri"/>
                <w:sz w:val="20"/>
                <w:szCs w:val="20"/>
              </w:rPr>
            </w:pPr>
            <w:r>
              <w:rPr>
                <w:rFonts w:ascii="Calibri" w:eastAsia="Calibri" w:hAnsi="Calibri"/>
                <w:sz w:val="20"/>
                <w:szCs w:val="20"/>
              </w:rPr>
              <w:t>All relevant Class 1, 2 and 3 NSW Networks</w:t>
            </w:r>
          </w:p>
        </w:tc>
        <w:tc>
          <w:tcPr>
            <w:tcW w:w="1406" w:type="dxa"/>
          </w:tcPr>
          <w:p w14:paraId="2BB78E4A" w14:textId="1ACB720E" w:rsidR="00170F96" w:rsidRDefault="00170F96" w:rsidP="00170F96">
            <w:pPr>
              <w:rPr>
                <w:rFonts w:ascii="Calibri" w:eastAsia="Calibri" w:hAnsi="Calibri"/>
                <w:sz w:val="20"/>
                <w:szCs w:val="20"/>
              </w:rPr>
            </w:pPr>
            <w:r>
              <w:rPr>
                <w:rFonts w:ascii="Calibri" w:eastAsia="Calibri" w:hAnsi="Calibri"/>
                <w:sz w:val="20"/>
                <w:szCs w:val="20"/>
              </w:rPr>
              <w:t>Transport for New South Wales (TfNSW)</w:t>
            </w:r>
          </w:p>
        </w:tc>
        <w:tc>
          <w:tcPr>
            <w:tcW w:w="3961" w:type="dxa"/>
          </w:tcPr>
          <w:p w14:paraId="18648F14" w14:textId="2FC25E29" w:rsidR="00603D35" w:rsidRPr="00603D35" w:rsidRDefault="00603D35" w:rsidP="00603D35">
            <w:pPr>
              <w:contextualSpacing/>
              <w:rPr>
                <w:rFonts w:ascii="Calibri" w:eastAsia="Calibri" w:hAnsi="Calibri"/>
                <w:sz w:val="20"/>
                <w:szCs w:val="20"/>
              </w:rPr>
            </w:pPr>
            <w:r w:rsidRPr="00603D35">
              <w:rPr>
                <w:rFonts w:ascii="Calibri" w:eastAsia="Calibri" w:hAnsi="Calibri"/>
                <w:sz w:val="20"/>
                <w:szCs w:val="20"/>
              </w:rPr>
              <w:t xml:space="preserve">No access for the heavy vehicle due to roadworks on Hume Freeway/Craigieburn Bypass between Metropolitan Ring Road and Kalkallo </w:t>
            </w:r>
            <w:r>
              <w:rPr>
                <w:rFonts w:ascii="Calibri" w:eastAsia="Calibri" w:hAnsi="Calibri"/>
                <w:sz w:val="20"/>
                <w:szCs w:val="20"/>
              </w:rPr>
              <w:t>b</w:t>
            </w:r>
            <w:r w:rsidRPr="00603D35">
              <w:rPr>
                <w:rFonts w:ascii="Calibri" w:eastAsia="Calibri" w:hAnsi="Calibri"/>
                <w:sz w:val="20"/>
                <w:szCs w:val="20"/>
              </w:rPr>
              <w:t>etween:</w:t>
            </w:r>
          </w:p>
          <w:p w14:paraId="64D1C2E3" w14:textId="77777777" w:rsidR="00603D35" w:rsidRPr="00603D35" w:rsidRDefault="00603D35" w:rsidP="00603D35">
            <w:pPr>
              <w:contextualSpacing/>
              <w:rPr>
                <w:rFonts w:ascii="Calibri" w:eastAsia="Calibri" w:hAnsi="Calibri"/>
                <w:sz w:val="20"/>
                <w:szCs w:val="20"/>
              </w:rPr>
            </w:pPr>
            <w:r w:rsidRPr="00603D35">
              <w:rPr>
                <w:rFonts w:ascii="Calibri" w:eastAsia="Calibri" w:hAnsi="Calibri"/>
                <w:sz w:val="20"/>
                <w:szCs w:val="20"/>
              </w:rPr>
              <w:t>22/04/2025 and 23/04/2025.</w:t>
            </w:r>
            <w:r w:rsidRPr="00603D35">
              <w:rPr>
                <w:rFonts w:ascii="Calibri" w:eastAsia="Calibri" w:hAnsi="Calibri"/>
                <w:sz w:val="20"/>
                <w:szCs w:val="20"/>
              </w:rPr>
              <w:br/>
              <w:t>28/04/2025 and 1/05/2025.</w:t>
            </w:r>
            <w:r w:rsidRPr="00603D35">
              <w:rPr>
                <w:rFonts w:ascii="Calibri" w:eastAsia="Calibri" w:hAnsi="Calibri"/>
                <w:sz w:val="20"/>
                <w:szCs w:val="20"/>
              </w:rPr>
              <w:br/>
              <w:t>4/05/2025 and 8/05/2025.</w:t>
            </w:r>
            <w:r w:rsidRPr="00603D35">
              <w:rPr>
                <w:rFonts w:ascii="Calibri" w:eastAsia="Calibri" w:hAnsi="Calibri"/>
                <w:sz w:val="20"/>
                <w:szCs w:val="20"/>
              </w:rPr>
              <w:br/>
              <w:t>11/05/2025 and 15/05/2025.</w:t>
            </w:r>
          </w:p>
          <w:p w14:paraId="3BDA6AD9" w14:textId="77777777" w:rsidR="00170F96" w:rsidRDefault="00170F96" w:rsidP="00170F96">
            <w:pPr>
              <w:contextualSpacing/>
              <w:rPr>
                <w:rFonts w:ascii="Calibri" w:eastAsia="Calibri" w:hAnsi="Calibri"/>
                <w:sz w:val="20"/>
                <w:szCs w:val="20"/>
              </w:rPr>
            </w:pPr>
          </w:p>
        </w:tc>
        <w:tc>
          <w:tcPr>
            <w:tcW w:w="4864" w:type="dxa"/>
          </w:tcPr>
          <w:p w14:paraId="4541E8FD" w14:textId="0824C2B5" w:rsidR="00170F96" w:rsidRPr="00006DB9" w:rsidRDefault="00603D35" w:rsidP="00170F96">
            <w:pPr>
              <w:rPr>
                <w:rFonts w:ascii="Calibri" w:eastAsia="Calibri" w:hAnsi="Calibri"/>
                <w:sz w:val="20"/>
                <w:szCs w:val="20"/>
              </w:rPr>
            </w:pPr>
            <w:r>
              <w:rPr>
                <w:rFonts w:ascii="Calibri" w:eastAsia="Calibri" w:hAnsi="Calibri"/>
                <w:sz w:val="20"/>
                <w:szCs w:val="20"/>
              </w:rPr>
              <w:t>Safety concerns during works.</w:t>
            </w:r>
          </w:p>
        </w:tc>
      </w:tr>
      <w:tr w:rsidR="00CC0092" w:rsidRPr="00A36FDC" w14:paraId="7A1E8C0A" w14:textId="77777777" w:rsidTr="73377674">
        <w:trPr>
          <w:cantSplit/>
        </w:trPr>
        <w:tc>
          <w:tcPr>
            <w:tcW w:w="1412" w:type="dxa"/>
          </w:tcPr>
          <w:p w14:paraId="5CE8AE58" w14:textId="124A3DFB" w:rsidR="00CC0092" w:rsidRPr="00A36FDC" w:rsidRDefault="00CC0092" w:rsidP="00170F96">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31D0AA47" w14:textId="77777777" w:rsidR="00CC0092" w:rsidRDefault="00CC0092" w:rsidP="00CC0092">
            <w:pPr>
              <w:rPr>
                <w:rFonts w:ascii="Calibri" w:eastAsia="Calibri" w:hAnsi="Calibri"/>
                <w:sz w:val="20"/>
                <w:szCs w:val="20"/>
              </w:rPr>
            </w:pPr>
            <w:r>
              <w:rPr>
                <w:rFonts w:ascii="Calibri" w:eastAsia="Calibri" w:hAnsi="Calibri"/>
                <w:sz w:val="20"/>
                <w:szCs w:val="20"/>
              </w:rPr>
              <w:t>Multiple Networks:</w:t>
            </w:r>
          </w:p>
          <w:p w14:paraId="65755157" w14:textId="6D824B44" w:rsidR="00CC0092" w:rsidRDefault="00CC0092" w:rsidP="00170F96">
            <w:pPr>
              <w:rPr>
                <w:rFonts w:ascii="Calibri" w:eastAsia="Calibri" w:hAnsi="Calibri"/>
                <w:sz w:val="20"/>
                <w:szCs w:val="20"/>
              </w:rPr>
            </w:pPr>
            <w:r>
              <w:rPr>
                <w:rFonts w:ascii="Calibri" w:eastAsia="Calibri" w:hAnsi="Calibri"/>
                <w:sz w:val="20"/>
                <w:szCs w:val="20"/>
              </w:rPr>
              <w:t>All Relevant Class 1, 2 and 3 NSW Networks</w:t>
            </w:r>
          </w:p>
        </w:tc>
        <w:tc>
          <w:tcPr>
            <w:tcW w:w="1406" w:type="dxa"/>
          </w:tcPr>
          <w:p w14:paraId="60BE5B9B" w14:textId="3C7AB312" w:rsidR="00CC0092" w:rsidRDefault="00CC0092" w:rsidP="00170F96">
            <w:pPr>
              <w:rPr>
                <w:rFonts w:ascii="Calibri" w:eastAsia="Calibri" w:hAnsi="Calibri"/>
                <w:sz w:val="20"/>
                <w:szCs w:val="20"/>
              </w:rPr>
            </w:pPr>
            <w:r>
              <w:rPr>
                <w:rFonts w:ascii="Calibri" w:eastAsia="Calibri" w:hAnsi="Calibri"/>
                <w:sz w:val="20"/>
                <w:szCs w:val="20"/>
              </w:rPr>
              <w:t>Transport for New South Wales (TfNSW)</w:t>
            </w:r>
          </w:p>
        </w:tc>
        <w:tc>
          <w:tcPr>
            <w:tcW w:w="3961" w:type="dxa"/>
          </w:tcPr>
          <w:p w14:paraId="28B13B2C" w14:textId="1A805E05" w:rsidR="00C67BAB" w:rsidRPr="00C67BAB" w:rsidRDefault="009A2F2D" w:rsidP="00C67BAB">
            <w:pPr>
              <w:contextualSpacing/>
              <w:rPr>
                <w:rFonts w:ascii="Calibri" w:eastAsia="Calibri" w:hAnsi="Calibri"/>
                <w:sz w:val="20"/>
                <w:szCs w:val="20"/>
              </w:rPr>
            </w:pPr>
            <w:r>
              <w:rPr>
                <w:rFonts w:ascii="Calibri" w:eastAsia="Calibri" w:hAnsi="Calibri"/>
                <w:sz w:val="20"/>
                <w:szCs w:val="20"/>
              </w:rPr>
              <w:t>R</w:t>
            </w:r>
            <w:r w:rsidR="00C67BAB" w:rsidRPr="00C67BAB">
              <w:rPr>
                <w:rFonts w:ascii="Calibri" w:eastAsia="Calibri" w:hAnsi="Calibri"/>
                <w:sz w:val="20"/>
                <w:szCs w:val="20"/>
              </w:rPr>
              <w:t>emove access from the Newell Highway south of Saleyards Road to the intersection with the bypass.</w:t>
            </w:r>
          </w:p>
          <w:p w14:paraId="3747A36D" w14:textId="6F9A4D57" w:rsidR="00A644B3" w:rsidRPr="00C67BAB" w:rsidRDefault="00A644B3" w:rsidP="00C67BAB">
            <w:pPr>
              <w:contextualSpacing/>
              <w:rPr>
                <w:rFonts w:ascii="Calibri" w:eastAsia="Calibri" w:hAnsi="Calibri"/>
                <w:sz w:val="20"/>
                <w:szCs w:val="20"/>
              </w:rPr>
            </w:pPr>
            <w:r>
              <w:rPr>
                <w:rFonts w:ascii="Calibri" w:eastAsia="Calibri" w:hAnsi="Calibri"/>
                <w:sz w:val="20"/>
                <w:szCs w:val="20"/>
              </w:rPr>
              <w:t>And North of Bogan Rd Intersection to the intersection with the Bypass</w:t>
            </w:r>
          </w:p>
          <w:p w14:paraId="01CD43D2" w14:textId="77777777" w:rsidR="00CC0092" w:rsidRPr="00603D35" w:rsidRDefault="00CC0092" w:rsidP="00603D35">
            <w:pPr>
              <w:contextualSpacing/>
              <w:rPr>
                <w:rFonts w:ascii="Calibri" w:eastAsia="Calibri" w:hAnsi="Calibri"/>
                <w:sz w:val="20"/>
                <w:szCs w:val="20"/>
              </w:rPr>
            </w:pPr>
          </w:p>
        </w:tc>
        <w:tc>
          <w:tcPr>
            <w:tcW w:w="4864" w:type="dxa"/>
          </w:tcPr>
          <w:p w14:paraId="0C7F3A2B" w14:textId="78FA814B" w:rsidR="009E4087" w:rsidRPr="009E4087" w:rsidRDefault="009E4087" w:rsidP="009E4087">
            <w:pPr>
              <w:rPr>
                <w:rFonts w:ascii="Calibri" w:eastAsia="Calibri" w:hAnsi="Calibri"/>
                <w:sz w:val="20"/>
                <w:szCs w:val="20"/>
              </w:rPr>
            </w:pPr>
            <w:r w:rsidRPr="009E4087">
              <w:rPr>
                <w:rFonts w:ascii="Calibri" w:eastAsia="Calibri" w:hAnsi="Calibri"/>
                <w:sz w:val="20"/>
                <w:szCs w:val="20"/>
              </w:rPr>
              <w:t>The bypass will open to traffic on the 1</w:t>
            </w:r>
            <w:r>
              <w:rPr>
                <w:rFonts w:ascii="Calibri" w:eastAsia="Calibri" w:hAnsi="Calibri"/>
                <w:sz w:val="20"/>
                <w:szCs w:val="20"/>
              </w:rPr>
              <w:t>5</w:t>
            </w:r>
            <w:r w:rsidRPr="009E4087">
              <w:rPr>
                <w:rFonts w:ascii="Calibri" w:eastAsia="Calibri" w:hAnsi="Calibri"/>
                <w:sz w:val="20"/>
                <w:szCs w:val="20"/>
                <w:vertAlign w:val="superscript"/>
              </w:rPr>
              <w:t>th</w:t>
            </w:r>
            <w:r>
              <w:rPr>
                <w:rFonts w:ascii="Calibri" w:eastAsia="Calibri" w:hAnsi="Calibri"/>
                <w:sz w:val="20"/>
                <w:szCs w:val="20"/>
              </w:rPr>
              <w:t xml:space="preserve"> of April</w:t>
            </w:r>
            <w:r w:rsidRPr="009E4087">
              <w:rPr>
                <w:rFonts w:ascii="Calibri" w:eastAsia="Calibri" w:hAnsi="Calibri"/>
                <w:sz w:val="20"/>
                <w:szCs w:val="20"/>
              </w:rPr>
              <w:t>, and as part of the opening, the Newell Highway intersection will be physically closed as it will be a new works site. No traffic will be accessing the Newell Highway from this intersection, from the 10</w:t>
            </w:r>
            <w:r w:rsidRPr="009E4087">
              <w:rPr>
                <w:rFonts w:ascii="Calibri" w:eastAsia="Calibri" w:hAnsi="Calibri"/>
                <w:sz w:val="20"/>
                <w:szCs w:val="20"/>
                <w:vertAlign w:val="superscript"/>
              </w:rPr>
              <w:t>th</w:t>
            </w:r>
            <w:r w:rsidRPr="009E4087">
              <w:rPr>
                <w:rFonts w:ascii="Calibri" w:eastAsia="Calibri" w:hAnsi="Calibri"/>
                <w:sz w:val="20"/>
                <w:szCs w:val="20"/>
              </w:rPr>
              <w:t> of April.</w:t>
            </w:r>
          </w:p>
          <w:p w14:paraId="07E72B7D" w14:textId="77777777" w:rsidR="009E4087" w:rsidRPr="009E4087" w:rsidRDefault="009E4087" w:rsidP="009E4087">
            <w:pPr>
              <w:rPr>
                <w:rFonts w:ascii="Calibri" w:eastAsia="Calibri" w:hAnsi="Calibri"/>
                <w:sz w:val="20"/>
                <w:szCs w:val="20"/>
              </w:rPr>
            </w:pPr>
          </w:p>
          <w:p w14:paraId="4A7BFFCD" w14:textId="77777777" w:rsidR="009E4087" w:rsidRPr="009E4087" w:rsidRDefault="009E4087" w:rsidP="009E4087">
            <w:pPr>
              <w:rPr>
                <w:rFonts w:ascii="Calibri" w:eastAsia="Calibri" w:hAnsi="Calibri"/>
                <w:sz w:val="20"/>
                <w:szCs w:val="20"/>
              </w:rPr>
            </w:pPr>
            <w:r w:rsidRPr="009E4087">
              <w:rPr>
                <w:rFonts w:ascii="Calibri" w:eastAsia="Calibri" w:hAnsi="Calibri"/>
                <w:sz w:val="20"/>
                <w:szCs w:val="20"/>
              </w:rPr>
              <w:t>Traffic management plans have been agreed with Council, with VMS and barriers in place at points across Parkes.</w:t>
            </w:r>
          </w:p>
          <w:p w14:paraId="12112774" w14:textId="77777777" w:rsidR="009E4087" w:rsidRPr="009E4087" w:rsidRDefault="009E4087" w:rsidP="009E4087">
            <w:pPr>
              <w:rPr>
                <w:rFonts w:ascii="Calibri" w:eastAsia="Calibri" w:hAnsi="Calibri"/>
                <w:sz w:val="20"/>
                <w:szCs w:val="20"/>
              </w:rPr>
            </w:pPr>
          </w:p>
          <w:p w14:paraId="372347A9" w14:textId="77777777" w:rsidR="009E4087" w:rsidRPr="009E4087" w:rsidRDefault="009E4087" w:rsidP="009E4087">
            <w:pPr>
              <w:rPr>
                <w:rFonts w:ascii="Calibri" w:eastAsia="Calibri" w:hAnsi="Calibri"/>
                <w:sz w:val="20"/>
                <w:szCs w:val="20"/>
              </w:rPr>
            </w:pPr>
            <w:r w:rsidRPr="009E4087">
              <w:rPr>
                <w:rFonts w:ascii="Calibri" w:eastAsia="Calibri" w:hAnsi="Calibri"/>
                <w:sz w:val="20"/>
                <w:szCs w:val="20"/>
              </w:rPr>
              <w:t>If the access was to remain on the map, it would create confusion and a potential safety risk for drivers, expecting to be able to access the area when they will not physically be able to.</w:t>
            </w:r>
          </w:p>
          <w:p w14:paraId="3AAF8217" w14:textId="77777777" w:rsidR="00CC0092" w:rsidRDefault="00CC0092" w:rsidP="00170F96">
            <w:pPr>
              <w:rPr>
                <w:rFonts w:ascii="Calibri" w:eastAsia="Calibri" w:hAnsi="Calibri"/>
                <w:sz w:val="20"/>
                <w:szCs w:val="20"/>
              </w:rPr>
            </w:pPr>
          </w:p>
        </w:tc>
      </w:tr>
    </w:tbl>
    <w:p w14:paraId="72DB5036" w14:textId="5C573AD6" w:rsidR="73377674" w:rsidRDefault="73377674"/>
    <w:p w14:paraId="50E64E46" w14:textId="5DC1BCF8" w:rsidR="00E3243C" w:rsidRDefault="00E3243C" w:rsidP="003134D7">
      <w:pPr>
        <w:spacing w:after="200" w:line="276" w:lineRule="auto"/>
        <w:ind w:left="714"/>
        <w:contextualSpacing/>
        <w:jc w:val="both"/>
        <w:rPr>
          <w:rFonts w:ascii="Calibri" w:eastAsia="Arial" w:hAnsi="Calibri" w:cs="Calibri"/>
          <w:b/>
          <w:sz w:val="22"/>
          <w:szCs w:val="22"/>
          <w:lang w:eastAsia="en-US"/>
        </w:rPr>
      </w:pPr>
    </w:p>
    <w:sectPr w:rsidR="00E3243C" w:rsidSect="00A36FDC">
      <w:headerReference w:type="default" r:id="rId15"/>
      <w:footerReference w:type="default" r:id="rId16"/>
      <w:headerReference w:type="first" r:id="rId17"/>
      <w:footerReference w:type="first" r:id="rId18"/>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2587" w14:textId="77777777" w:rsidR="00A849AF" w:rsidRDefault="00A849AF" w:rsidP="00FF2DF9">
      <w:r>
        <w:separator/>
      </w:r>
    </w:p>
  </w:endnote>
  <w:endnote w:type="continuationSeparator" w:id="0">
    <w:p w14:paraId="54BDEBF8" w14:textId="77777777" w:rsidR="00A849AF" w:rsidRDefault="00A849AF" w:rsidP="00FF2DF9">
      <w:r>
        <w:continuationSeparator/>
      </w:r>
    </w:p>
  </w:endnote>
  <w:endnote w:type="continuationNotice" w:id="1">
    <w:p w14:paraId="7CA6C549" w14:textId="77777777" w:rsidR="00A849AF" w:rsidRDefault="00A84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C076" w14:textId="77777777" w:rsidR="00A36FDC" w:rsidRDefault="00A36FDC" w:rsidP="00EA7F66">
    <w:pPr>
      <w:pStyle w:val="Footer"/>
      <w:jc w:val="right"/>
      <w:rPr>
        <w:i/>
        <w:iCs/>
      </w:rPr>
    </w:pPr>
  </w:p>
  <w:p w14:paraId="56C72650" w14:textId="554D3DEB" w:rsidR="00A36FDC" w:rsidRPr="007A53C0" w:rsidRDefault="00A36FDC" w:rsidP="00EA7F66">
    <w:pPr>
      <w:pStyle w:val="Footer"/>
      <w:jc w:val="right"/>
      <w:rPr>
        <w:rFonts w:asciiTheme="minorHAnsi" w:hAnsiTheme="minorHAnsi" w:cstheme="minorHAnsi"/>
        <w:sz w:val="22"/>
        <w:szCs w:val="22"/>
      </w:rPr>
    </w:pPr>
    <w:r w:rsidRPr="007A53C0">
      <w:rPr>
        <w:rFonts w:asciiTheme="minorHAnsi" w:hAnsiTheme="minorHAnsi" w:cstheme="minorHAnsi"/>
        <w:sz w:val="22"/>
        <w:szCs w:val="22"/>
      </w:rPr>
      <w:t>Heavy Vehicle Stated Maps – Network Suspension and Amendment Notice 2025 (</w:t>
    </w:r>
    <w:proofErr w:type="spellStart"/>
    <w:r w:rsidRPr="007A53C0">
      <w:rPr>
        <w:rFonts w:asciiTheme="minorHAnsi" w:hAnsiTheme="minorHAnsi" w:cstheme="minorHAnsi"/>
        <w:sz w:val="22"/>
        <w:szCs w:val="22"/>
      </w:rPr>
      <w:t>No.</w:t>
    </w:r>
    <w:r w:rsidR="007978EE">
      <w:rPr>
        <w:rFonts w:asciiTheme="minorHAnsi" w:hAnsiTheme="minorHAnsi" w:cstheme="minorHAnsi"/>
        <w:sz w:val="22"/>
        <w:szCs w:val="22"/>
      </w:rPr>
      <w:t>4</w:t>
    </w:r>
    <w:proofErr w:type="spellEnd"/>
    <w:r w:rsidRPr="007A53C0">
      <w:rPr>
        <w:rFonts w:asciiTheme="minorHAnsi" w:hAnsiTheme="minorHAnsi" w:cstheme="minorHAnsi"/>
        <w:sz w:val="22"/>
        <w:szCs w:val="22"/>
      </w:rPr>
      <w:t>)</w:t>
    </w:r>
  </w:p>
  <w:sdt>
    <w:sdtPr>
      <w:rPr>
        <w:rFonts w:asciiTheme="minorHAnsi" w:hAnsiTheme="minorHAnsi" w:cstheme="minorBidi"/>
        <w:sz w:val="22"/>
        <w:szCs w:val="22"/>
      </w:rPr>
      <w:id w:val="752395455"/>
      <w:docPartObj>
        <w:docPartGallery w:val="Page Numbers (Bottom of Page)"/>
        <w:docPartUnique/>
      </w:docPartObj>
    </w:sdtPr>
    <w:sdtContent>
      <w:sdt>
        <w:sdtPr>
          <w:rPr>
            <w:rFonts w:asciiTheme="minorHAnsi" w:hAnsiTheme="minorHAnsi" w:cstheme="minorBidi"/>
            <w:sz w:val="22"/>
            <w:szCs w:val="22"/>
          </w:rPr>
          <w:id w:val="-1769616900"/>
          <w:docPartObj>
            <w:docPartGallery w:val="Page Numbers (Top of Page)"/>
            <w:docPartUnique/>
          </w:docPartObj>
        </w:sdtPr>
        <w:sdtContent>
          <w:p w14:paraId="3115B4CA" w14:textId="77777777" w:rsidR="00A36FDC" w:rsidRPr="007A53C0" w:rsidRDefault="00A36FDC" w:rsidP="00EA7F66">
            <w:pPr>
              <w:pStyle w:val="Footer"/>
              <w:jc w:val="right"/>
              <w:rPr>
                <w:rFonts w:asciiTheme="minorHAnsi" w:hAnsiTheme="minorHAnsi" w:cstheme="minorHAnsi"/>
                <w:sz w:val="22"/>
                <w:szCs w:val="22"/>
              </w:rPr>
            </w:pPr>
            <w:r w:rsidRPr="007A53C0">
              <w:rPr>
                <w:rFonts w:asciiTheme="minorHAnsi" w:hAnsiTheme="minorHAnsi" w:cstheme="minorHAnsi"/>
                <w:sz w:val="22"/>
                <w:szCs w:val="22"/>
              </w:rPr>
              <w:t xml:space="preserve">Page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PAGE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r w:rsidRPr="007A53C0">
              <w:rPr>
                <w:rFonts w:asciiTheme="minorHAnsi" w:hAnsiTheme="minorHAnsi" w:cstheme="minorHAnsi"/>
                <w:sz w:val="22"/>
                <w:szCs w:val="22"/>
              </w:rPr>
              <w:t xml:space="preserve"> of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NUMPAGES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Pr="00A36FDC" w:rsidRDefault="009E1607">
    <w:pPr>
      <w:pStyle w:val="Footer"/>
      <w:rPr>
        <w:rFonts w:ascii="Calibri" w:hAnsi="Calibri"/>
        <w:sz w:val="22"/>
        <w:szCs w:val="22"/>
      </w:rPr>
    </w:pPr>
  </w:p>
  <w:p w14:paraId="3F7E6B86" w14:textId="5058506D" w:rsidR="009E1607" w:rsidRPr="00A36FDC" w:rsidRDefault="000B1815" w:rsidP="009E1607">
    <w:pPr>
      <w:pStyle w:val="Footer"/>
      <w:jc w:val="right"/>
      <w:rPr>
        <w:rFonts w:ascii="Calibri" w:hAnsi="Calibri"/>
        <w:sz w:val="22"/>
        <w:szCs w:val="22"/>
      </w:rPr>
    </w:pPr>
    <w:r w:rsidRPr="00A36FDC">
      <w:rPr>
        <w:rFonts w:ascii="Calibri" w:hAnsi="Calibri"/>
        <w:sz w:val="22"/>
        <w:szCs w:val="22"/>
      </w:rPr>
      <w:t>Heavy Vehicle Stated Maps – Network Suspension and Amendment Notice 2025 (No.1)</w:t>
    </w:r>
  </w:p>
  <w:p w14:paraId="747CC1F9" w14:textId="7D6BB347" w:rsidR="00B56B02" w:rsidRPr="009E1607" w:rsidRDefault="006E65BD" w:rsidP="009E1607">
    <w:pPr>
      <w:pStyle w:val="Footer"/>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p w14:paraId="6595B537" w14:textId="77777777" w:rsidR="002204D7" w:rsidRDefault="002204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A36FDC" w:rsidRDefault="002735F6" w:rsidP="002735F6">
    <w:pPr>
      <w:tabs>
        <w:tab w:val="center" w:pos="4153"/>
        <w:tab w:val="right" w:pos="8306"/>
      </w:tabs>
      <w:rPr>
        <w:rFonts w:ascii="Calibri" w:hAnsi="Calibri"/>
        <w:sz w:val="22"/>
        <w:szCs w:val="22"/>
      </w:rPr>
    </w:pPr>
  </w:p>
  <w:p w14:paraId="655E942E" w14:textId="5F665515" w:rsidR="002735F6" w:rsidRPr="00A36FDC" w:rsidRDefault="000B1815" w:rsidP="002735F6">
    <w:pPr>
      <w:tabs>
        <w:tab w:val="center" w:pos="4153"/>
        <w:tab w:val="right" w:pos="8306"/>
      </w:tabs>
      <w:jc w:val="right"/>
      <w:rPr>
        <w:rFonts w:ascii="Calibri" w:hAnsi="Calibri"/>
        <w:sz w:val="22"/>
        <w:szCs w:val="22"/>
      </w:rPr>
    </w:pPr>
    <w:r w:rsidRPr="00A36FDC">
      <w:rPr>
        <w:rFonts w:ascii="Calibri" w:hAnsi="Calibri"/>
        <w:sz w:val="22"/>
        <w:szCs w:val="22"/>
      </w:rPr>
      <w:t>Heavy Vehicle Stated Maps – Network Suspension and Amendment Notice 2025 (</w:t>
    </w:r>
    <w:proofErr w:type="spellStart"/>
    <w:r w:rsidRPr="00A36FDC">
      <w:rPr>
        <w:rFonts w:ascii="Calibri" w:hAnsi="Calibri"/>
        <w:sz w:val="22"/>
        <w:szCs w:val="22"/>
      </w:rPr>
      <w:t>No.</w:t>
    </w:r>
    <w:r w:rsidR="007978EE">
      <w:rPr>
        <w:rFonts w:ascii="Calibri" w:hAnsi="Calibri"/>
        <w:sz w:val="22"/>
        <w:szCs w:val="22"/>
      </w:rPr>
      <w:t>4</w:t>
    </w:r>
    <w:proofErr w:type="spellEnd"/>
    <w:r w:rsidRPr="00A36FDC">
      <w:rPr>
        <w:rFonts w:ascii="Calibri" w:hAnsi="Calibr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p w14:paraId="62C0E8A7" w14:textId="77777777" w:rsidR="002204D7" w:rsidRDefault="002204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EA8A" w14:textId="77777777" w:rsidR="00A849AF" w:rsidRDefault="00A849AF" w:rsidP="00FF2DF9">
      <w:r>
        <w:separator/>
      </w:r>
    </w:p>
  </w:footnote>
  <w:footnote w:type="continuationSeparator" w:id="0">
    <w:p w14:paraId="533ABB73" w14:textId="77777777" w:rsidR="00A849AF" w:rsidRDefault="00A849AF" w:rsidP="00FF2DF9">
      <w:r>
        <w:continuationSeparator/>
      </w:r>
    </w:p>
  </w:footnote>
  <w:footnote w:type="continuationNotice" w:id="1">
    <w:p w14:paraId="26843143" w14:textId="77777777" w:rsidR="00A849AF" w:rsidRDefault="00A84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FD6C7C" w:rsidRPr="00CE796A" w14:paraId="474DEDC8" w14:textId="77777777" w:rsidTr="00FD6C7C">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717EA07E" w14:textId="77777777" w:rsidR="00FD6C7C" w:rsidRPr="00CE796A" w:rsidRDefault="00FD6C7C" w:rsidP="00FD6C7C">
          <w:pPr>
            <w:spacing w:before="60"/>
            <w:ind w:left="-51"/>
            <w:rPr>
              <w:rFonts w:ascii="Arial" w:hAnsi="Arial"/>
              <w:sz w:val="12"/>
            </w:rPr>
          </w:pPr>
          <w:bookmarkStart w:id="1" w:name="OLE_LINK2"/>
          <w:r>
            <w:rPr>
              <w:rFonts w:ascii="Arial" w:hAnsi="Arial"/>
              <w:noProof/>
              <w:sz w:val="12"/>
            </w:rPr>
            <w:drawing>
              <wp:inline distT="0" distB="0" distL="0" distR="0" wp14:anchorId="524A9A18" wp14:editId="13066E4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1E000C7" w14:textId="77777777" w:rsidR="00FD6C7C" w:rsidRPr="00CE796A" w:rsidRDefault="00FD6C7C" w:rsidP="00FD6C7C">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98AA7A3" w14:textId="77777777" w:rsidR="00FD6C7C" w:rsidRPr="00CE796A" w:rsidRDefault="00FD6C7C" w:rsidP="00FD6C7C">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FD6C7C" w:rsidRPr="00CE796A" w14:paraId="0D5A0A52" w14:textId="77777777" w:rsidTr="00FD6C7C">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3A7FC22" w14:textId="77777777" w:rsidR="00FD6C7C" w:rsidRPr="00CE796A" w:rsidRDefault="00FD6C7C" w:rsidP="00FD6C7C">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E805C19" w14:textId="77777777" w:rsidR="00FD6C7C" w:rsidRPr="00840A06" w:rsidRDefault="00FD6C7C" w:rsidP="00FD6C7C">
          <w:pPr>
            <w:jc w:val="right"/>
            <w:rPr>
              <w:rFonts w:ascii="Arial" w:hAnsi="Arial" w:cs="Arial"/>
              <w:b/>
            </w:rPr>
          </w:pPr>
          <w:r w:rsidRPr="00840A06">
            <w:rPr>
              <w:rFonts w:ascii="Arial" w:hAnsi="Arial" w:cs="Arial"/>
              <w:b/>
            </w:rPr>
            <w:t>GOVERNMENT NOTICES</w:t>
          </w:r>
        </w:p>
      </w:tc>
    </w:tr>
    <w:bookmarkEnd w:id="1"/>
  </w:tbl>
  <w:p w14:paraId="5084D71F" w14:textId="77777777" w:rsidR="00FD6C7C" w:rsidRDefault="00FD6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211" w14:textId="77777777" w:rsidR="00A36FDC" w:rsidRDefault="00A3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0AF" w14:textId="77777777" w:rsidR="002204D7" w:rsidRDefault="002204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16A" w14:textId="77777777" w:rsidR="002204D7" w:rsidRDefault="002204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3F00"/>
    <w:multiLevelType w:val="hybridMultilevel"/>
    <w:tmpl w:val="7A54832A"/>
    <w:lvl w:ilvl="0" w:tplc="859E5D4E">
      <w:start w:val="2"/>
      <w:numFmt w:val="decimal"/>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2800E1F6"/>
    <w:lvl w:ilvl="0" w:tplc="0FCC510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155253"/>
    <w:multiLevelType w:val="hybridMultilevel"/>
    <w:tmpl w:val="E0500E40"/>
    <w:lvl w:ilvl="0" w:tplc="751E893A">
      <w:start w:val="15"/>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9A4965"/>
    <w:multiLevelType w:val="hybridMultilevel"/>
    <w:tmpl w:val="0418855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FE20B0"/>
    <w:multiLevelType w:val="hybridMultilevel"/>
    <w:tmpl w:val="FFF040E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F055BA"/>
    <w:multiLevelType w:val="hybridMultilevel"/>
    <w:tmpl w:val="F3A21836"/>
    <w:lvl w:ilvl="0" w:tplc="68D2D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103F7"/>
    <w:multiLevelType w:val="hybridMultilevel"/>
    <w:tmpl w:val="68A2A332"/>
    <w:lvl w:ilvl="0" w:tplc="74486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C7539"/>
    <w:multiLevelType w:val="hybridMultilevel"/>
    <w:tmpl w:val="A3BCEEBA"/>
    <w:lvl w:ilvl="0" w:tplc="08090017">
      <w:start w:val="1"/>
      <w:numFmt w:val="lowerLetter"/>
      <w:lvlText w:val="%1)"/>
      <w:lvlJc w:val="left"/>
      <w:pPr>
        <w:ind w:left="1786" w:hanging="360"/>
      </w:p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21"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47928"/>
    <w:multiLevelType w:val="hybridMultilevel"/>
    <w:tmpl w:val="AA922A9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3"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A049E3"/>
    <w:multiLevelType w:val="hybridMultilevel"/>
    <w:tmpl w:val="AD8074B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BA0F91"/>
    <w:multiLevelType w:val="hybridMultilevel"/>
    <w:tmpl w:val="C1DA66B4"/>
    <w:lvl w:ilvl="0" w:tplc="9172558C">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10152"/>
    <w:multiLevelType w:val="hybridMultilevel"/>
    <w:tmpl w:val="D0E22314"/>
    <w:lvl w:ilvl="0" w:tplc="4482A542">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31F5C"/>
    <w:multiLevelType w:val="hybridMultilevel"/>
    <w:tmpl w:val="FFF040E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7A087D"/>
    <w:multiLevelType w:val="hybridMultilevel"/>
    <w:tmpl w:val="345E5C5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F3F6F7D"/>
    <w:multiLevelType w:val="hybridMultilevel"/>
    <w:tmpl w:val="15C8FD7A"/>
    <w:lvl w:ilvl="0" w:tplc="FFFFFFFF">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57219128">
    <w:abstractNumId w:val="21"/>
  </w:num>
  <w:num w:numId="2" w16cid:durableId="281349243">
    <w:abstractNumId w:val="33"/>
  </w:num>
  <w:num w:numId="3" w16cid:durableId="1640382221">
    <w:abstractNumId w:val="29"/>
  </w:num>
  <w:num w:numId="4" w16cid:durableId="1646085348">
    <w:abstractNumId w:val="30"/>
  </w:num>
  <w:num w:numId="5" w16cid:durableId="79565815">
    <w:abstractNumId w:val="14"/>
  </w:num>
  <w:num w:numId="6" w16cid:durableId="728189885">
    <w:abstractNumId w:val="6"/>
  </w:num>
  <w:num w:numId="7" w16cid:durableId="1561943495">
    <w:abstractNumId w:val="24"/>
  </w:num>
  <w:num w:numId="8" w16cid:durableId="1520049894">
    <w:abstractNumId w:val="23"/>
  </w:num>
  <w:num w:numId="9" w16cid:durableId="367796558">
    <w:abstractNumId w:val="9"/>
  </w:num>
  <w:num w:numId="10" w16cid:durableId="1926837876">
    <w:abstractNumId w:val="26"/>
  </w:num>
  <w:num w:numId="11" w16cid:durableId="488138697">
    <w:abstractNumId w:val="13"/>
  </w:num>
  <w:num w:numId="12" w16cid:durableId="85078968">
    <w:abstractNumId w:val="7"/>
  </w:num>
  <w:num w:numId="13" w16cid:durableId="299120052">
    <w:abstractNumId w:val="0"/>
  </w:num>
  <w:num w:numId="14" w16cid:durableId="2053922392">
    <w:abstractNumId w:val="5"/>
  </w:num>
  <w:num w:numId="15" w16cid:durableId="183790040">
    <w:abstractNumId w:val="16"/>
  </w:num>
  <w:num w:numId="16" w16cid:durableId="830826582">
    <w:abstractNumId w:val="2"/>
  </w:num>
  <w:num w:numId="17" w16cid:durableId="1485319466">
    <w:abstractNumId w:val="4"/>
  </w:num>
  <w:num w:numId="18" w16cid:durableId="1986203439">
    <w:abstractNumId w:val="17"/>
  </w:num>
  <w:num w:numId="19" w16cid:durableId="2089380026">
    <w:abstractNumId w:val="25"/>
  </w:num>
  <w:num w:numId="20" w16cid:durableId="1702515382">
    <w:abstractNumId w:val="34"/>
  </w:num>
  <w:num w:numId="21" w16cid:durableId="694502769">
    <w:abstractNumId w:val="35"/>
  </w:num>
  <w:num w:numId="22" w16cid:durableId="72436170">
    <w:abstractNumId w:val="1"/>
  </w:num>
  <w:num w:numId="23" w16cid:durableId="970406567">
    <w:abstractNumId w:val="18"/>
  </w:num>
  <w:num w:numId="24" w16cid:durableId="1751000414">
    <w:abstractNumId w:val="15"/>
  </w:num>
  <w:num w:numId="25" w16cid:durableId="594290562">
    <w:abstractNumId w:val="22"/>
  </w:num>
  <w:num w:numId="26" w16cid:durableId="2078550345">
    <w:abstractNumId w:val="11"/>
  </w:num>
  <w:num w:numId="27" w16cid:durableId="520515637">
    <w:abstractNumId w:val="28"/>
  </w:num>
  <w:num w:numId="28" w16cid:durableId="223102237">
    <w:abstractNumId w:val="8"/>
  </w:num>
  <w:num w:numId="29" w16cid:durableId="482476698">
    <w:abstractNumId w:val="27"/>
  </w:num>
  <w:num w:numId="30" w16cid:durableId="832599248">
    <w:abstractNumId w:val="31"/>
  </w:num>
  <w:num w:numId="31" w16cid:durableId="345405356">
    <w:abstractNumId w:val="20"/>
  </w:num>
  <w:num w:numId="32" w16cid:durableId="1822841721">
    <w:abstractNumId w:val="3"/>
  </w:num>
  <w:num w:numId="33" w16cid:durableId="908922788">
    <w:abstractNumId w:val="10"/>
  </w:num>
  <w:num w:numId="34" w16cid:durableId="2111317100">
    <w:abstractNumId w:val="32"/>
  </w:num>
  <w:num w:numId="35" w16cid:durableId="906765288">
    <w:abstractNumId w:val="12"/>
  </w:num>
  <w:num w:numId="36" w16cid:durableId="4899103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012A"/>
    <w:rsid w:val="0000519A"/>
    <w:rsid w:val="00006DB9"/>
    <w:rsid w:val="0000738B"/>
    <w:rsid w:val="00012046"/>
    <w:rsid w:val="00012F30"/>
    <w:rsid w:val="00013461"/>
    <w:rsid w:val="00020797"/>
    <w:rsid w:val="00022016"/>
    <w:rsid w:val="000246DB"/>
    <w:rsid w:val="000305FD"/>
    <w:rsid w:val="000355AC"/>
    <w:rsid w:val="000365B5"/>
    <w:rsid w:val="000469FE"/>
    <w:rsid w:val="00050812"/>
    <w:rsid w:val="00063BFE"/>
    <w:rsid w:val="00064148"/>
    <w:rsid w:val="00077BB6"/>
    <w:rsid w:val="00081470"/>
    <w:rsid w:val="00083127"/>
    <w:rsid w:val="00090BF2"/>
    <w:rsid w:val="000943D6"/>
    <w:rsid w:val="00094640"/>
    <w:rsid w:val="0009472A"/>
    <w:rsid w:val="00097E4C"/>
    <w:rsid w:val="000A116A"/>
    <w:rsid w:val="000A40B8"/>
    <w:rsid w:val="000B05AF"/>
    <w:rsid w:val="000B1815"/>
    <w:rsid w:val="000B3D1E"/>
    <w:rsid w:val="000B5683"/>
    <w:rsid w:val="000B5E26"/>
    <w:rsid w:val="000C0AA6"/>
    <w:rsid w:val="000C2CB0"/>
    <w:rsid w:val="000D65B1"/>
    <w:rsid w:val="000F2293"/>
    <w:rsid w:val="001011F8"/>
    <w:rsid w:val="00103B80"/>
    <w:rsid w:val="001044E8"/>
    <w:rsid w:val="00115B49"/>
    <w:rsid w:val="00120C41"/>
    <w:rsid w:val="00133999"/>
    <w:rsid w:val="00134092"/>
    <w:rsid w:val="00134B82"/>
    <w:rsid w:val="00136DD2"/>
    <w:rsid w:val="00137B12"/>
    <w:rsid w:val="0015037F"/>
    <w:rsid w:val="00152497"/>
    <w:rsid w:val="0015523C"/>
    <w:rsid w:val="00170F96"/>
    <w:rsid w:val="00176DC9"/>
    <w:rsid w:val="0018615E"/>
    <w:rsid w:val="001A065E"/>
    <w:rsid w:val="001A6287"/>
    <w:rsid w:val="001B2648"/>
    <w:rsid w:val="001C2E57"/>
    <w:rsid w:val="001C37D9"/>
    <w:rsid w:val="001C45C7"/>
    <w:rsid w:val="001C4F71"/>
    <w:rsid w:val="001C64FC"/>
    <w:rsid w:val="001C65FD"/>
    <w:rsid w:val="001D2726"/>
    <w:rsid w:val="001D6E06"/>
    <w:rsid w:val="001E2114"/>
    <w:rsid w:val="001E5294"/>
    <w:rsid w:val="001E6A94"/>
    <w:rsid w:val="001F688B"/>
    <w:rsid w:val="001F7963"/>
    <w:rsid w:val="002116D9"/>
    <w:rsid w:val="00213132"/>
    <w:rsid w:val="00217681"/>
    <w:rsid w:val="00217847"/>
    <w:rsid w:val="002179A3"/>
    <w:rsid w:val="002204D7"/>
    <w:rsid w:val="002238D8"/>
    <w:rsid w:val="00225149"/>
    <w:rsid w:val="00227691"/>
    <w:rsid w:val="0023467F"/>
    <w:rsid w:val="00237E20"/>
    <w:rsid w:val="00241589"/>
    <w:rsid w:val="002543B6"/>
    <w:rsid w:val="00260DED"/>
    <w:rsid w:val="00271D59"/>
    <w:rsid w:val="002735F6"/>
    <w:rsid w:val="00281554"/>
    <w:rsid w:val="0029492F"/>
    <w:rsid w:val="0029616B"/>
    <w:rsid w:val="00296536"/>
    <w:rsid w:val="002A3A2B"/>
    <w:rsid w:val="002A7AC7"/>
    <w:rsid w:val="002B0E7F"/>
    <w:rsid w:val="002B1D4C"/>
    <w:rsid w:val="002B6A20"/>
    <w:rsid w:val="002C04E5"/>
    <w:rsid w:val="002C1AF2"/>
    <w:rsid w:val="002C3DF8"/>
    <w:rsid w:val="002D4B84"/>
    <w:rsid w:val="002D6A50"/>
    <w:rsid w:val="002E248D"/>
    <w:rsid w:val="002E7BC9"/>
    <w:rsid w:val="002F7BBF"/>
    <w:rsid w:val="00306A51"/>
    <w:rsid w:val="003127AC"/>
    <w:rsid w:val="003134D7"/>
    <w:rsid w:val="0031403A"/>
    <w:rsid w:val="003146D2"/>
    <w:rsid w:val="00314FF3"/>
    <w:rsid w:val="00320412"/>
    <w:rsid w:val="003233AA"/>
    <w:rsid w:val="00325015"/>
    <w:rsid w:val="0033277E"/>
    <w:rsid w:val="003327E2"/>
    <w:rsid w:val="003333AC"/>
    <w:rsid w:val="00333467"/>
    <w:rsid w:val="00353065"/>
    <w:rsid w:val="00353798"/>
    <w:rsid w:val="00362B04"/>
    <w:rsid w:val="00365186"/>
    <w:rsid w:val="00365C0A"/>
    <w:rsid w:val="0037340D"/>
    <w:rsid w:val="00383BD0"/>
    <w:rsid w:val="00394023"/>
    <w:rsid w:val="00396712"/>
    <w:rsid w:val="003A05B9"/>
    <w:rsid w:val="003A3FE1"/>
    <w:rsid w:val="003A5F87"/>
    <w:rsid w:val="003A7ECB"/>
    <w:rsid w:val="003B7564"/>
    <w:rsid w:val="003C4403"/>
    <w:rsid w:val="003C4ADE"/>
    <w:rsid w:val="003C5E0A"/>
    <w:rsid w:val="003D3953"/>
    <w:rsid w:val="003E1A39"/>
    <w:rsid w:val="003E2AB1"/>
    <w:rsid w:val="003F1440"/>
    <w:rsid w:val="00403992"/>
    <w:rsid w:val="00405E46"/>
    <w:rsid w:val="0040737E"/>
    <w:rsid w:val="0041006D"/>
    <w:rsid w:val="00427A27"/>
    <w:rsid w:val="00427B79"/>
    <w:rsid w:val="00430F01"/>
    <w:rsid w:val="00436CC4"/>
    <w:rsid w:val="00451F64"/>
    <w:rsid w:val="004528D0"/>
    <w:rsid w:val="00452B5E"/>
    <w:rsid w:val="00466352"/>
    <w:rsid w:val="004816AF"/>
    <w:rsid w:val="004922E9"/>
    <w:rsid w:val="004939FD"/>
    <w:rsid w:val="004D2703"/>
    <w:rsid w:val="004D7EA6"/>
    <w:rsid w:val="004E389F"/>
    <w:rsid w:val="00501A2A"/>
    <w:rsid w:val="0050304A"/>
    <w:rsid w:val="00504519"/>
    <w:rsid w:val="0050475A"/>
    <w:rsid w:val="005064B3"/>
    <w:rsid w:val="00506DC0"/>
    <w:rsid w:val="00522856"/>
    <w:rsid w:val="005247EE"/>
    <w:rsid w:val="005257D1"/>
    <w:rsid w:val="00531DCB"/>
    <w:rsid w:val="00540313"/>
    <w:rsid w:val="00543E56"/>
    <w:rsid w:val="005467C7"/>
    <w:rsid w:val="00547BA3"/>
    <w:rsid w:val="005507A5"/>
    <w:rsid w:val="00552BB3"/>
    <w:rsid w:val="00556049"/>
    <w:rsid w:val="005567AD"/>
    <w:rsid w:val="00557754"/>
    <w:rsid w:val="00562B46"/>
    <w:rsid w:val="005632E1"/>
    <w:rsid w:val="00571624"/>
    <w:rsid w:val="005718B9"/>
    <w:rsid w:val="00576B9F"/>
    <w:rsid w:val="00595061"/>
    <w:rsid w:val="00596662"/>
    <w:rsid w:val="005A0B53"/>
    <w:rsid w:val="005A0D07"/>
    <w:rsid w:val="005B0389"/>
    <w:rsid w:val="005B3328"/>
    <w:rsid w:val="005B37E9"/>
    <w:rsid w:val="005D34B2"/>
    <w:rsid w:val="005E182E"/>
    <w:rsid w:val="005E1840"/>
    <w:rsid w:val="005E203F"/>
    <w:rsid w:val="005E2ECA"/>
    <w:rsid w:val="005E31BE"/>
    <w:rsid w:val="005E4B30"/>
    <w:rsid w:val="005E4BE5"/>
    <w:rsid w:val="005E6334"/>
    <w:rsid w:val="006016C6"/>
    <w:rsid w:val="00603D35"/>
    <w:rsid w:val="00617127"/>
    <w:rsid w:val="00620F04"/>
    <w:rsid w:val="006216CE"/>
    <w:rsid w:val="0062260A"/>
    <w:rsid w:val="00623949"/>
    <w:rsid w:val="00626BA6"/>
    <w:rsid w:val="00634840"/>
    <w:rsid w:val="00642146"/>
    <w:rsid w:val="00651A73"/>
    <w:rsid w:val="00672761"/>
    <w:rsid w:val="006770C9"/>
    <w:rsid w:val="00680B43"/>
    <w:rsid w:val="00681C2B"/>
    <w:rsid w:val="00681F10"/>
    <w:rsid w:val="00682FA0"/>
    <w:rsid w:val="00690A27"/>
    <w:rsid w:val="0069184E"/>
    <w:rsid w:val="006A13FC"/>
    <w:rsid w:val="006A2144"/>
    <w:rsid w:val="006A27C8"/>
    <w:rsid w:val="006A48A7"/>
    <w:rsid w:val="006B7D83"/>
    <w:rsid w:val="006C061A"/>
    <w:rsid w:val="006C2162"/>
    <w:rsid w:val="006C506A"/>
    <w:rsid w:val="006D3B62"/>
    <w:rsid w:val="006D3C4E"/>
    <w:rsid w:val="006D4D83"/>
    <w:rsid w:val="006E1064"/>
    <w:rsid w:val="006E138B"/>
    <w:rsid w:val="006E31AB"/>
    <w:rsid w:val="006E65BD"/>
    <w:rsid w:val="007064AF"/>
    <w:rsid w:val="00714B42"/>
    <w:rsid w:val="00716D95"/>
    <w:rsid w:val="0072261E"/>
    <w:rsid w:val="0073186D"/>
    <w:rsid w:val="00733E80"/>
    <w:rsid w:val="007352FC"/>
    <w:rsid w:val="00740F1E"/>
    <w:rsid w:val="00742115"/>
    <w:rsid w:val="0075155E"/>
    <w:rsid w:val="007524BA"/>
    <w:rsid w:val="00755B44"/>
    <w:rsid w:val="00755EEF"/>
    <w:rsid w:val="00761815"/>
    <w:rsid w:val="00764E6C"/>
    <w:rsid w:val="007709AC"/>
    <w:rsid w:val="007716C3"/>
    <w:rsid w:val="00774BE7"/>
    <w:rsid w:val="00775CC8"/>
    <w:rsid w:val="00782449"/>
    <w:rsid w:val="00783CF2"/>
    <w:rsid w:val="00786237"/>
    <w:rsid w:val="007978EE"/>
    <w:rsid w:val="007A0963"/>
    <w:rsid w:val="007A3216"/>
    <w:rsid w:val="007A3915"/>
    <w:rsid w:val="007A53C0"/>
    <w:rsid w:val="007A7BF2"/>
    <w:rsid w:val="007B6F38"/>
    <w:rsid w:val="007C074A"/>
    <w:rsid w:val="007D14D0"/>
    <w:rsid w:val="007D1D06"/>
    <w:rsid w:val="007D79A3"/>
    <w:rsid w:val="007E2994"/>
    <w:rsid w:val="007E39F6"/>
    <w:rsid w:val="007F5E4F"/>
    <w:rsid w:val="008009F1"/>
    <w:rsid w:val="00800D4F"/>
    <w:rsid w:val="00803014"/>
    <w:rsid w:val="008064A4"/>
    <w:rsid w:val="00807D8F"/>
    <w:rsid w:val="00811F78"/>
    <w:rsid w:val="008130C0"/>
    <w:rsid w:val="00821B16"/>
    <w:rsid w:val="008257A4"/>
    <w:rsid w:val="00831ABC"/>
    <w:rsid w:val="008337D0"/>
    <w:rsid w:val="008366A6"/>
    <w:rsid w:val="008414A5"/>
    <w:rsid w:val="0084444C"/>
    <w:rsid w:val="00846613"/>
    <w:rsid w:val="0084681F"/>
    <w:rsid w:val="00850AA5"/>
    <w:rsid w:val="00852245"/>
    <w:rsid w:val="00854161"/>
    <w:rsid w:val="0085794E"/>
    <w:rsid w:val="00867F3E"/>
    <w:rsid w:val="008703B9"/>
    <w:rsid w:val="00870541"/>
    <w:rsid w:val="00883E1B"/>
    <w:rsid w:val="0088769D"/>
    <w:rsid w:val="00892963"/>
    <w:rsid w:val="008A67A3"/>
    <w:rsid w:val="008B28D9"/>
    <w:rsid w:val="008B54AF"/>
    <w:rsid w:val="008C345C"/>
    <w:rsid w:val="008C4A4E"/>
    <w:rsid w:val="008C57E2"/>
    <w:rsid w:val="008C72D6"/>
    <w:rsid w:val="008D6F3A"/>
    <w:rsid w:val="008F18B0"/>
    <w:rsid w:val="008F7065"/>
    <w:rsid w:val="009022DC"/>
    <w:rsid w:val="00903132"/>
    <w:rsid w:val="00910C9E"/>
    <w:rsid w:val="00915761"/>
    <w:rsid w:val="00915911"/>
    <w:rsid w:val="00916C49"/>
    <w:rsid w:val="00930157"/>
    <w:rsid w:val="00930E10"/>
    <w:rsid w:val="009312D6"/>
    <w:rsid w:val="009416D5"/>
    <w:rsid w:val="00943144"/>
    <w:rsid w:val="00944106"/>
    <w:rsid w:val="00945752"/>
    <w:rsid w:val="0094752B"/>
    <w:rsid w:val="009503F1"/>
    <w:rsid w:val="0095195E"/>
    <w:rsid w:val="0096607B"/>
    <w:rsid w:val="00966177"/>
    <w:rsid w:val="009700AD"/>
    <w:rsid w:val="0097084A"/>
    <w:rsid w:val="0098558A"/>
    <w:rsid w:val="009908F1"/>
    <w:rsid w:val="00991574"/>
    <w:rsid w:val="009A148C"/>
    <w:rsid w:val="009A2F2D"/>
    <w:rsid w:val="009B4997"/>
    <w:rsid w:val="009B761E"/>
    <w:rsid w:val="009C3354"/>
    <w:rsid w:val="009C42F5"/>
    <w:rsid w:val="009D2E33"/>
    <w:rsid w:val="009E0227"/>
    <w:rsid w:val="009E1607"/>
    <w:rsid w:val="009E376E"/>
    <w:rsid w:val="009E4087"/>
    <w:rsid w:val="009E7C7B"/>
    <w:rsid w:val="00A0086A"/>
    <w:rsid w:val="00A00A03"/>
    <w:rsid w:val="00A02536"/>
    <w:rsid w:val="00A03F9E"/>
    <w:rsid w:val="00A36FDC"/>
    <w:rsid w:val="00A42E20"/>
    <w:rsid w:val="00A4373F"/>
    <w:rsid w:val="00A4380D"/>
    <w:rsid w:val="00A451C2"/>
    <w:rsid w:val="00A45A93"/>
    <w:rsid w:val="00A52CAE"/>
    <w:rsid w:val="00A54F09"/>
    <w:rsid w:val="00A644B3"/>
    <w:rsid w:val="00A754B4"/>
    <w:rsid w:val="00A8080D"/>
    <w:rsid w:val="00A83AEA"/>
    <w:rsid w:val="00A849AF"/>
    <w:rsid w:val="00A8712C"/>
    <w:rsid w:val="00A9028D"/>
    <w:rsid w:val="00A905F8"/>
    <w:rsid w:val="00AA52C5"/>
    <w:rsid w:val="00AC2410"/>
    <w:rsid w:val="00AC7175"/>
    <w:rsid w:val="00AC77FE"/>
    <w:rsid w:val="00AD0C25"/>
    <w:rsid w:val="00AD5468"/>
    <w:rsid w:val="00AE0A5C"/>
    <w:rsid w:val="00AF07BA"/>
    <w:rsid w:val="00B02F19"/>
    <w:rsid w:val="00B03629"/>
    <w:rsid w:val="00B06C90"/>
    <w:rsid w:val="00B1562B"/>
    <w:rsid w:val="00B16C73"/>
    <w:rsid w:val="00B16D67"/>
    <w:rsid w:val="00B17F82"/>
    <w:rsid w:val="00B30186"/>
    <w:rsid w:val="00B34799"/>
    <w:rsid w:val="00B353F1"/>
    <w:rsid w:val="00B43C85"/>
    <w:rsid w:val="00B43FAD"/>
    <w:rsid w:val="00B47307"/>
    <w:rsid w:val="00B56B02"/>
    <w:rsid w:val="00B65A11"/>
    <w:rsid w:val="00B67C2E"/>
    <w:rsid w:val="00B73A81"/>
    <w:rsid w:val="00B73D44"/>
    <w:rsid w:val="00B905D5"/>
    <w:rsid w:val="00B96243"/>
    <w:rsid w:val="00BA1D33"/>
    <w:rsid w:val="00BA2134"/>
    <w:rsid w:val="00BA35D2"/>
    <w:rsid w:val="00BA3C23"/>
    <w:rsid w:val="00BA6028"/>
    <w:rsid w:val="00BA7A03"/>
    <w:rsid w:val="00BB0E5F"/>
    <w:rsid w:val="00BB4EA4"/>
    <w:rsid w:val="00BB6659"/>
    <w:rsid w:val="00BB6726"/>
    <w:rsid w:val="00BC5611"/>
    <w:rsid w:val="00BC6100"/>
    <w:rsid w:val="00BC6E83"/>
    <w:rsid w:val="00BC74E2"/>
    <w:rsid w:val="00BD0576"/>
    <w:rsid w:val="00BD06E4"/>
    <w:rsid w:val="00BD2E1E"/>
    <w:rsid w:val="00BE1206"/>
    <w:rsid w:val="00BE16E5"/>
    <w:rsid w:val="00BE18BA"/>
    <w:rsid w:val="00BF469F"/>
    <w:rsid w:val="00C02730"/>
    <w:rsid w:val="00C02A7B"/>
    <w:rsid w:val="00C03442"/>
    <w:rsid w:val="00C03D91"/>
    <w:rsid w:val="00C042F5"/>
    <w:rsid w:val="00C07C00"/>
    <w:rsid w:val="00C1583D"/>
    <w:rsid w:val="00C376FD"/>
    <w:rsid w:val="00C3778A"/>
    <w:rsid w:val="00C45C6E"/>
    <w:rsid w:val="00C479AA"/>
    <w:rsid w:val="00C47A88"/>
    <w:rsid w:val="00C5168B"/>
    <w:rsid w:val="00C5391B"/>
    <w:rsid w:val="00C56711"/>
    <w:rsid w:val="00C65603"/>
    <w:rsid w:val="00C656CA"/>
    <w:rsid w:val="00C6671F"/>
    <w:rsid w:val="00C67BAB"/>
    <w:rsid w:val="00C70FAB"/>
    <w:rsid w:val="00C84E40"/>
    <w:rsid w:val="00C92064"/>
    <w:rsid w:val="00C962C2"/>
    <w:rsid w:val="00C976D8"/>
    <w:rsid w:val="00CA1786"/>
    <w:rsid w:val="00CA2ABF"/>
    <w:rsid w:val="00CA3F4F"/>
    <w:rsid w:val="00CA579E"/>
    <w:rsid w:val="00CA7307"/>
    <w:rsid w:val="00CC0092"/>
    <w:rsid w:val="00CC00E7"/>
    <w:rsid w:val="00CC3B05"/>
    <w:rsid w:val="00CD24BE"/>
    <w:rsid w:val="00CD3584"/>
    <w:rsid w:val="00CD3CA8"/>
    <w:rsid w:val="00CD5C01"/>
    <w:rsid w:val="00CD60C7"/>
    <w:rsid w:val="00CD739C"/>
    <w:rsid w:val="00CE218F"/>
    <w:rsid w:val="00CE6395"/>
    <w:rsid w:val="00CE7D3A"/>
    <w:rsid w:val="00CF2315"/>
    <w:rsid w:val="00CF6F63"/>
    <w:rsid w:val="00D04B92"/>
    <w:rsid w:val="00D074E5"/>
    <w:rsid w:val="00D2135B"/>
    <w:rsid w:val="00D26B81"/>
    <w:rsid w:val="00D33E2D"/>
    <w:rsid w:val="00D3419C"/>
    <w:rsid w:val="00D42A8B"/>
    <w:rsid w:val="00D43CB7"/>
    <w:rsid w:val="00D51F5D"/>
    <w:rsid w:val="00D52753"/>
    <w:rsid w:val="00D60CD2"/>
    <w:rsid w:val="00D62506"/>
    <w:rsid w:val="00D637C4"/>
    <w:rsid w:val="00D65E52"/>
    <w:rsid w:val="00D663B6"/>
    <w:rsid w:val="00D67BBD"/>
    <w:rsid w:val="00D71646"/>
    <w:rsid w:val="00D755BA"/>
    <w:rsid w:val="00D75E9E"/>
    <w:rsid w:val="00D77868"/>
    <w:rsid w:val="00D83117"/>
    <w:rsid w:val="00D84C4E"/>
    <w:rsid w:val="00D908EA"/>
    <w:rsid w:val="00D92817"/>
    <w:rsid w:val="00D92939"/>
    <w:rsid w:val="00D92F4F"/>
    <w:rsid w:val="00DA0EB1"/>
    <w:rsid w:val="00DC7E5B"/>
    <w:rsid w:val="00DD0E7C"/>
    <w:rsid w:val="00DD0EBA"/>
    <w:rsid w:val="00DD4A49"/>
    <w:rsid w:val="00DD54F0"/>
    <w:rsid w:val="00DD69AA"/>
    <w:rsid w:val="00DE6C5F"/>
    <w:rsid w:val="00E0076F"/>
    <w:rsid w:val="00E02973"/>
    <w:rsid w:val="00E05453"/>
    <w:rsid w:val="00E0618E"/>
    <w:rsid w:val="00E06DAD"/>
    <w:rsid w:val="00E122E6"/>
    <w:rsid w:val="00E12626"/>
    <w:rsid w:val="00E13889"/>
    <w:rsid w:val="00E15A14"/>
    <w:rsid w:val="00E16DC5"/>
    <w:rsid w:val="00E23943"/>
    <w:rsid w:val="00E3243C"/>
    <w:rsid w:val="00E324C7"/>
    <w:rsid w:val="00E32553"/>
    <w:rsid w:val="00E376C0"/>
    <w:rsid w:val="00E4024A"/>
    <w:rsid w:val="00E41140"/>
    <w:rsid w:val="00E436A1"/>
    <w:rsid w:val="00E50F6C"/>
    <w:rsid w:val="00E54EEA"/>
    <w:rsid w:val="00E569C0"/>
    <w:rsid w:val="00E6071E"/>
    <w:rsid w:val="00E62CA0"/>
    <w:rsid w:val="00E6472F"/>
    <w:rsid w:val="00E71812"/>
    <w:rsid w:val="00E73B90"/>
    <w:rsid w:val="00E9121E"/>
    <w:rsid w:val="00E975B1"/>
    <w:rsid w:val="00EA41ED"/>
    <w:rsid w:val="00EA719E"/>
    <w:rsid w:val="00EA7F66"/>
    <w:rsid w:val="00EB656C"/>
    <w:rsid w:val="00EC5068"/>
    <w:rsid w:val="00ED054D"/>
    <w:rsid w:val="00ED7E54"/>
    <w:rsid w:val="00EE2AA9"/>
    <w:rsid w:val="00EE340E"/>
    <w:rsid w:val="00EF5E64"/>
    <w:rsid w:val="00EF6AEF"/>
    <w:rsid w:val="00F00F66"/>
    <w:rsid w:val="00F02A02"/>
    <w:rsid w:val="00F10080"/>
    <w:rsid w:val="00F14C32"/>
    <w:rsid w:val="00F20F89"/>
    <w:rsid w:val="00F21655"/>
    <w:rsid w:val="00F26E17"/>
    <w:rsid w:val="00F27B73"/>
    <w:rsid w:val="00F3207A"/>
    <w:rsid w:val="00F340B5"/>
    <w:rsid w:val="00F4304C"/>
    <w:rsid w:val="00F5310D"/>
    <w:rsid w:val="00F557F5"/>
    <w:rsid w:val="00F61E45"/>
    <w:rsid w:val="00F714A1"/>
    <w:rsid w:val="00F800C1"/>
    <w:rsid w:val="00F80488"/>
    <w:rsid w:val="00F864B2"/>
    <w:rsid w:val="00F8789A"/>
    <w:rsid w:val="00F9326E"/>
    <w:rsid w:val="00F94555"/>
    <w:rsid w:val="00F95246"/>
    <w:rsid w:val="00FA0C46"/>
    <w:rsid w:val="00FA5E36"/>
    <w:rsid w:val="00FA6173"/>
    <w:rsid w:val="00FB0A0F"/>
    <w:rsid w:val="00FB1A2D"/>
    <w:rsid w:val="00FB2D40"/>
    <w:rsid w:val="00FB7617"/>
    <w:rsid w:val="00FC4A10"/>
    <w:rsid w:val="00FC57E6"/>
    <w:rsid w:val="00FD06A4"/>
    <w:rsid w:val="00FD0BA5"/>
    <w:rsid w:val="00FD6C7C"/>
    <w:rsid w:val="00FF2DF9"/>
    <w:rsid w:val="4D6BF284"/>
    <w:rsid w:val="733776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B9CA04BF-8164-4BC8-9A99-692743A9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paragraph" w:styleId="Heading5">
    <w:name w:val="heading 5"/>
    <w:basedOn w:val="Normal"/>
    <w:next w:val="Normal"/>
    <w:link w:val="Heading5Char"/>
    <w:semiHidden/>
    <w:unhideWhenUsed/>
    <w:qFormat/>
    <w:locked/>
    <w:rsid w:val="00783CF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4D2703"/>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FDC"/>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783CF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7159">
      <w:bodyDiv w:val="1"/>
      <w:marLeft w:val="0"/>
      <w:marRight w:val="0"/>
      <w:marTop w:val="0"/>
      <w:marBottom w:val="0"/>
      <w:divBdr>
        <w:top w:val="none" w:sz="0" w:space="0" w:color="auto"/>
        <w:left w:val="none" w:sz="0" w:space="0" w:color="auto"/>
        <w:bottom w:val="none" w:sz="0" w:space="0" w:color="auto"/>
        <w:right w:val="none" w:sz="0" w:space="0" w:color="auto"/>
      </w:divBdr>
    </w:div>
    <w:div w:id="146630055">
      <w:bodyDiv w:val="1"/>
      <w:marLeft w:val="0"/>
      <w:marRight w:val="0"/>
      <w:marTop w:val="0"/>
      <w:marBottom w:val="0"/>
      <w:divBdr>
        <w:top w:val="none" w:sz="0" w:space="0" w:color="auto"/>
        <w:left w:val="none" w:sz="0" w:space="0" w:color="auto"/>
        <w:bottom w:val="none" w:sz="0" w:space="0" w:color="auto"/>
        <w:right w:val="none" w:sz="0" w:space="0" w:color="auto"/>
      </w:divBdr>
    </w:div>
    <w:div w:id="301467567">
      <w:marLeft w:val="0"/>
      <w:marRight w:val="0"/>
      <w:marTop w:val="0"/>
      <w:marBottom w:val="0"/>
      <w:divBdr>
        <w:top w:val="none" w:sz="0" w:space="0" w:color="auto"/>
        <w:left w:val="none" w:sz="0" w:space="0" w:color="auto"/>
        <w:bottom w:val="none" w:sz="0" w:space="0" w:color="auto"/>
        <w:right w:val="none" w:sz="0" w:space="0" w:color="auto"/>
      </w:divBdr>
    </w:div>
    <w:div w:id="514227497">
      <w:bodyDiv w:val="1"/>
      <w:marLeft w:val="0"/>
      <w:marRight w:val="0"/>
      <w:marTop w:val="0"/>
      <w:marBottom w:val="0"/>
      <w:divBdr>
        <w:top w:val="none" w:sz="0" w:space="0" w:color="auto"/>
        <w:left w:val="none" w:sz="0" w:space="0" w:color="auto"/>
        <w:bottom w:val="none" w:sz="0" w:space="0" w:color="auto"/>
        <w:right w:val="none" w:sz="0" w:space="0" w:color="auto"/>
      </w:divBdr>
      <w:divsChild>
        <w:div w:id="232397681">
          <w:marLeft w:val="0"/>
          <w:marRight w:val="0"/>
          <w:marTop w:val="0"/>
          <w:marBottom w:val="0"/>
          <w:divBdr>
            <w:top w:val="none" w:sz="0" w:space="0" w:color="auto"/>
            <w:left w:val="none" w:sz="0" w:space="0" w:color="auto"/>
            <w:bottom w:val="none" w:sz="0" w:space="0" w:color="auto"/>
            <w:right w:val="none" w:sz="0" w:space="0" w:color="auto"/>
          </w:divBdr>
        </w:div>
        <w:div w:id="1029909627">
          <w:marLeft w:val="0"/>
          <w:marRight w:val="0"/>
          <w:marTop w:val="0"/>
          <w:marBottom w:val="0"/>
          <w:divBdr>
            <w:top w:val="none" w:sz="0" w:space="0" w:color="auto"/>
            <w:left w:val="none" w:sz="0" w:space="0" w:color="auto"/>
            <w:bottom w:val="none" w:sz="0" w:space="0" w:color="auto"/>
            <w:right w:val="none" w:sz="0" w:space="0" w:color="auto"/>
          </w:divBdr>
        </w:div>
        <w:div w:id="1511993094">
          <w:marLeft w:val="0"/>
          <w:marRight w:val="0"/>
          <w:marTop w:val="0"/>
          <w:marBottom w:val="0"/>
          <w:divBdr>
            <w:top w:val="none" w:sz="0" w:space="0" w:color="auto"/>
            <w:left w:val="none" w:sz="0" w:space="0" w:color="auto"/>
            <w:bottom w:val="none" w:sz="0" w:space="0" w:color="auto"/>
            <w:right w:val="none" w:sz="0" w:space="0" w:color="auto"/>
          </w:divBdr>
        </w:div>
        <w:div w:id="1538932975">
          <w:marLeft w:val="0"/>
          <w:marRight w:val="0"/>
          <w:marTop w:val="0"/>
          <w:marBottom w:val="0"/>
          <w:divBdr>
            <w:top w:val="none" w:sz="0" w:space="0" w:color="auto"/>
            <w:left w:val="none" w:sz="0" w:space="0" w:color="auto"/>
            <w:bottom w:val="none" w:sz="0" w:space="0" w:color="auto"/>
            <w:right w:val="none" w:sz="0" w:space="0" w:color="auto"/>
          </w:divBdr>
        </w:div>
        <w:div w:id="1934851775">
          <w:marLeft w:val="0"/>
          <w:marRight w:val="0"/>
          <w:marTop w:val="0"/>
          <w:marBottom w:val="0"/>
          <w:divBdr>
            <w:top w:val="none" w:sz="0" w:space="0" w:color="auto"/>
            <w:left w:val="none" w:sz="0" w:space="0" w:color="auto"/>
            <w:bottom w:val="none" w:sz="0" w:space="0" w:color="auto"/>
            <w:right w:val="none" w:sz="0" w:space="0" w:color="auto"/>
          </w:divBdr>
        </w:div>
      </w:divsChild>
    </w:div>
    <w:div w:id="556936257">
      <w:bodyDiv w:val="1"/>
      <w:marLeft w:val="0"/>
      <w:marRight w:val="0"/>
      <w:marTop w:val="0"/>
      <w:marBottom w:val="0"/>
      <w:divBdr>
        <w:top w:val="none" w:sz="0" w:space="0" w:color="auto"/>
        <w:left w:val="none" w:sz="0" w:space="0" w:color="auto"/>
        <w:bottom w:val="none" w:sz="0" w:space="0" w:color="auto"/>
        <w:right w:val="none" w:sz="0" w:space="0" w:color="auto"/>
      </w:divBdr>
    </w:div>
    <w:div w:id="965894980">
      <w:bodyDiv w:val="1"/>
      <w:marLeft w:val="0"/>
      <w:marRight w:val="0"/>
      <w:marTop w:val="0"/>
      <w:marBottom w:val="0"/>
      <w:divBdr>
        <w:top w:val="none" w:sz="0" w:space="0" w:color="auto"/>
        <w:left w:val="none" w:sz="0" w:space="0" w:color="auto"/>
        <w:bottom w:val="none" w:sz="0" w:space="0" w:color="auto"/>
        <w:right w:val="none" w:sz="0" w:space="0" w:color="auto"/>
      </w:divBdr>
      <w:divsChild>
        <w:div w:id="294528745">
          <w:marLeft w:val="0"/>
          <w:marRight w:val="0"/>
          <w:marTop w:val="0"/>
          <w:marBottom w:val="0"/>
          <w:divBdr>
            <w:top w:val="none" w:sz="0" w:space="0" w:color="auto"/>
            <w:left w:val="none" w:sz="0" w:space="0" w:color="auto"/>
            <w:bottom w:val="none" w:sz="0" w:space="0" w:color="auto"/>
            <w:right w:val="none" w:sz="0" w:space="0" w:color="auto"/>
          </w:divBdr>
        </w:div>
        <w:div w:id="378435374">
          <w:marLeft w:val="0"/>
          <w:marRight w:val="0"/>
          <w:marTop w:val="0"/>
          <w:marBottom w:val="0"/>
          <w:divBdr>
            <w:top w:val="none" w:sz="0" w:space="0" w:color="auto"/>
            <w:left w:val="none" w:sz="0" w:space="0" w:color="auto"/>
            <w:bottom w:val="none" w:sz="0" w:space="0" w:color="auto"/>
            <w:right w:val="none" w:sz="0" w:space="0" w:color="auto"/>
          </w:divBdr>
        </w:div>
        <w:div w:id="824587929">
          <w:marLeft w:val="0"/>
          <w:marRight w:val="0"/>
          <w:marTop w:val="0"/>
          <w:marBottom w:val="0"/>
          <w:divBdr>
            <w:top w:val="none" w:sz="0" w:space="0" w:color="auto"/>
            <w:left w:val="none" w:sz="0" w:space="0" w:color="auto"/>
            <w:bottom w:val="none" w:sz="0" w:space="0" w:color="auto"/>
            <w:right w:val="none" w:sz="0" w:space="0" w:color="auto"/>
          </w:divBdr>
        </w:div>
        <w:div w:id="1015033867">
          <w:marLeft w:val="0"/>
          <w:marRight w:val="0"/>
          <w:marTop w:val="0"/>
          <w:marBottom w:val="0"/>
          <w:divBdr>
            <w:top w:val="none" w:sz="0" w:space="0" w:color="auto"/>
            <w:left w:val="none" w:sz="0" w:space="0" w:color="auto"/>
            <w:bottom w:val="none" w:sz="0" w:space="0" w:color="auto"/>
            <w:right w:val="none" w:sz="0" w:space="0" w:color="auto"/>
          </w:divBdr>
        </w:div>
        <w:div w:id="1050226031">
          <w:marLeft w:val="0"/>
          <w:marRight w:val="0"/>
          <w:marTop w:val="0"/>
          <w:marBottom w:val="0"/>
          <w:divBdr>
            <w:top w:val="none" w:sz="0" w:space="0" w:color="auto"/>
            <w:left w:val="none" w:sz="0" w:space="0" w:color="auto"/>
            <w:bottom w:val="none" w:sz="0" w:space="0" w:color="auto"/>
            <w:right w:val="none" w:sz="0" w:space="0" w:color="auto"/>
          </w:divBdr>
        </w:div>
      </w:divsChild>
    </w:div>
    <w:div w:id="1017537426">
      <w:bodyDiv w:val="1"/>
      <w:marLeft w:val="0"/>
      <w:marRight w:val="0"/>
      <w:marTop w:val="0"/>
      <w:marBottom w:val="0"/>
      <w:divBdr>
        <w:top w:val="none" w:sz="0" w:space="0" w:color="auto"/>
        <w:left w:val="none" w:sz="0" w:space="0" w:color="auto"/>
        <w:bottom w:val="none" w:sz="0" w:space="0" w:color="auto"/>
        <w:right w:val="none" w:sz="0" w:space="0" w:color="auto"/>
      </w:divBdr>
    </w:div>
    <w:div w:id="1065644668">
      <w:bodyDiv w:val="1"/>
      <w:marLeft w:val="0"/>
      <w:marRight w:val="0"/>
      <w:marTop w:val="0"/>
      <w:marBottom w:val="0"/>
      <w:divBdr>
        <w:top w:val="none" w:sz="0" w:space="0" w:color="auto"/>
        <w:left w:val="none" w:sz="0" w:space="0" w:color="auto"/>
        <w:bottom w:val="none" w:sz="0" w:space="0" w:color="auto"/>
        <w:right w:val="none" w:sz="0" w:space="0" w:color="auto"/>
      </w:divBdr>
    </w:div>
    <w:div w:id="1086347202">
      <w:bodyDiv w:val="1"/>
      <w:marLeft w:val="0"/>
      <w:marRight w:val="0"/>
      <w:marTop w:val="0"/>
      <w:marBottom w:val="0"/>
      <w:divBdr>
        <w:top w:val="none" w:sz="0" w:space="0" w:color="auto"/>
        <w:left w:val="none" w:sz="0" w:space="0" w:color="auto"/>
        <w:bottom w:val="none" w:sz="0" w:space="0" w:color="auto"/>
        <w:right w:val="none" w:sz="0" w:space="0" w:color="auto"/>
      </w:divBdr>
    </w:div>
    <w:div w:id="1088578308">
      <w:bodyDiv w:val="1"/>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512991890">
      <w:bodyDiv w:val="1"/>
      <w:marLeft w:val="0"/>
      <w:marRight w:val="0"/>
      <w:marTop w:val="0"/>
      <w:marBottom w:val="0"/>
      <w:divBdr>
        <w:top w:val="none" w:sz="0" w:space="0" w:color="auto"/>
        <w:left w:val="none" w:sz="0" w:space="0" w:color="auto"/>
        <w:bottom w:val="none" w:sz="0" w:space="0" w:color="auto"/>
        <w:right w:val="none" w:sz="0" w:space="0" w:color="auto"/>
      </w:divBdr>
    </w:div>
    <w:div w:id="1515920870">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850095837">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3.xml><?xml version="1.0" encoding="utf-8"?>
<ds:datastoreItem xmlns:ds="http://schemas.openxmlformats.org/officeDocument/2006/customXml" ds:itemID="{D5D802E4-0997-4DB1-B76E-BE4F1AE3AEB4}">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customXml/itemProps4.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5.xml><?xml version="1.0" encoding="utf-8"?>
<ds:datastoreItem xmlns:ds="http://schemas.openxmlformats.org/officeDocument/2006/customXml" ds:itemID="{4987ABCB-9887-4F3C-9A3F-599BDB1D47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662</Words>
  <Characters>3777</Characters>
  <Application>Microsoft Office Word</Application>
  <DocSecurity>0</DocSecurity>
  <Lines>31</Lines>
  <Paragraphs>8</Paragraphs>
  <ScaleCrop>false</ScaleCrop>
  <Company>DIER</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subject/>
  <dc:creator>Rachel Nash</dc:creator>
  <cp:keywords/>
  <cp:lastModifiedBy>Cristian Pardo</cp:lastModifiedBy>
  <cp:revision>51</cp:revision>
  <cp:lastPrinted>2024-06-20T08:08:00Z</cp:lastPrinted>
  <dcterms:created xsi:type="dcterms:W3CDTF">2025-01-06T23:11:00Z</dcterms:created>
  <dcterms:modified xsi:type="dcterms:W3CDTF">2025-04-11T03:42:00Z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