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B1EA9" w14:textId="13F81E35" w:rsidR="00DD1752" w:rsidRPr="00B431FC" w:rsidRDefault="00DD1752" w:rsidP="00F945ED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2E940B25" w14:textId="5908FB12" w:rsidR="00DD1752" w:rsidRPr="001D73C9" w:rsidRDefault="00D75AD2" w:rsidP="00F945ED">
      <w:pPr>
        <w:contextualSpacing/>
        <w:jc w:val="both"/>
        <w:rPr>
          <w:b/>
          <w:bCs/>
          <w:sz w:val="28"/>
          <w:szCs w:val="28"/>
        </w:rPr>
      </w:pPr>
      <w:bookmarkStart w:id="0" w:name="_Hlk182473931"/>
      <w:r w:rsidRPr="00D75AD2">
        <w:rPr>
          <w:b/>
          <w:bCs/>
          <w:sz w:val="28"/>
          <w:szCs w:val="28"/>
        </w:rPr>
        <w:t xml:space="preserve">South </w:t>
      </w:r>
      <w:r w:rsidR="009A3556" w:rsidRPr="009A3556">
        <w:rPr>
          <w:b/>
          <w:bCs/>
          <w:sz w:val="28"/>
          <w:szCs w:val="28"/>
        </w:rPr>
        <w:t>Australia Class 1 Load Carrying Vehicle Dimension Exemption</w:t>
      </w:r>
      <w:r w:rsidR="006407E6">
        <w:rPr>
          <w:b/>
          <w:bCs/>
          <w:sz w:val="28"/>
          <w:szCs w:val="28"/>
        </w:rPr>
        <w:t xml:space="preserve"> Trial</w:t>
      </w:r>
      <w:r w:rsidR="009A3556" w:rsidRPr="009A3556">
        <w:rPr>
          <w:b/>
          <w:bCs/>
          <w:sz w:val="28"/>
          <w:szCs w:val="28"/>
        </w:rPr>
        <w:t xml:space="preserve"> Notice </w:t>
      </w:r>
      <w:r w:rsidR="000F037A">
        <w:rPr>
          <w:b/>
          <w:bCs/>
          <w:sz w:val="28"/>
          <w:szCs w:val="28"/>
        </w:rPr>
        <w:t>202</w:t>
      </w:r>
      <w:r w:rsidR="00DD0277">
        <w:rPr>
          <w:b/>
          <w:bCs/>
          <w:sz w:val="28"/>
          <w:szCs w:val="28"/>
        </w:rPr>
        <w:t>5</w:t>
      </w:r>
      <w:r w:rsidR="000F037A">
        <w:rPr>
          <w:b/>
          <w:bCs/>
          <w:sz w:val="28"/>
          <w:szCs w:val="28"/>
        </w:rPr>
        <w:t xml:space="preserve"> (No.1)</w:t>
      </w:r>
    </w:p>
    <w:bookmarkEnd w:id="0"/>
    <w:p w14:paraId="007C4471" w14:textId="77777777" w:rsidR="00DD1752" w:rsidRPr="00B431FC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3A5A46CB" w14:textId="77777777" w:rsidR="00DD1752" w:rsidRDefault="00DD1752" w:rsidP="00F945ED">
      <w:pPr>
        <w:pStyle w:val="ListParagraph"/>
        <w:ind w:left="1080"/>
        <w:jc w:val="both"/>
      </w:pPr>
    </w:p>
    <w:p w14:paraId="345AA5E0" w14:textId="6EEC88C8" w:rsidR="00DD1752" w:rsidRDefault="00DD1752" w:rsidP="00AF148F">
      <w:pPr>
        <w:pStyle w:val="ListParagraph"/>
        <w:ind w:left="709"/>
        <w:jc w:val="both"/>
      </w:pPr>
      <w:r>
        <w:t xml:space="preserve">This </w:t>
      </w:r>
      <w:r w:rsidR="003A49B1">
        <w:t>notice</w:t>
      </w:r>
      <w:r>
        <w:t xml:space="preserve"> grants exemptions</w:t>
      </w:r>
      <w:r w:rsidR="0013550E">
        <w:t xml:space="preserve"> from dimension requirements</w:t>
      </w:r>
      <w:r>
        <w:t xml:space="preserve"> </w:t>
      </w:r>
      <w:r w:rsidR="0013550E">
        <w:t>for</w:t>
      </w:r>
      <w:r w:rsidR="0067599A">
        <w:t xml:space="preserve"> </w:t>
      </w:r>
      <w:r w:rsidR="00F945ED">
        <w:t xml:space="preserve">class 1 heavy </w:t>
      </w:r>
      <w:r w:rsidR="00CB413F">
        <w:t>vehicle</w:t>
      </w:r>
      <w:r w:rsidR="000D03C0">
        <w:t>s</w:t>
      </w:r>
      <w:r w:rsidR="00CB413F">
        <w:t xml:space="preserve"> that </w:t>
      </w:r>
      <w:r w:rsidR="000D03C0">
        <w:t xml:space="preserve">are </w:t>
      </w:r>
      <w:r w:rsidR="006604FF">
        <w:t>transporting a large indivisible item and that do not exceed prescribed mass requirements</w:t>
      </w:r>
      <w:r w:rsidR="00774099">
        <w:t>.</w:t>
      </w:r>
    </w:p>
    <w:p w14:paraId="149A564C" w14:textId="77777777" w:rsidR="00DD1752" w:rsidRDefault="00DD1752" w:rsidP="00F945ED">
      <w:pPr>
        <w:pStyle w:val="ListParagraph"/>
        <w:ind w:left="1080"/>
        <w:jc w:val="both"/>
      </w:pPr>
    </w:p>
    <w:p w14:paraId="7FED65DE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5169E1B2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660440CE" w14:textId="021F6F14" w:rsidR="00DD1752" w:rsidRDefault="00DD1752" w:rsidP="00A64416">
      <w:pPr>
        <w:pStyle w:val="ListParagraph"/>
        <w:numPr>
          <w:ilvl w:val="0"/>
          <w:numId w:val="8"/>
        </w:numPr>
        <w:ind w:left="851"/>
        <w:jc w:val="both"/>
      </w:pPr>
      <w:r>
        <w:t xml:space="preserve">This </w:t>
      </w:r>
      <w:r w:rsidR="003A49B1">
        <w:t>notice</w:t>
      </w:r>
      <w:r>
        <w:t xml:space="preserve"> is made under the following provision of the Heavy Vehicle National Law (HVNL):</w:t>
      </w:r>
    </w:p>
    <w:p w14:paraId="4C370231" w14:textId="77777777" w:rsidR="00DD1752" w:rsidRDefault="00DD1752" w:rsidP="00F945ED">
      <w:pPr>
        <w:pStyle w:val="ListParagraph"/>
        <w:ind w:left="1080"/>
        <w:jc w:val="both"/>
      </w:pPr>
    </w:p>
    <w:p w14:paraId="755BE618" w14:textId="24AFE701" w:rsidR="00DD1752" w:rsidRDefault="00DD1752" w:rsidP="002C30FF">
      <w:pPr>
        <w:pStyle w:val="ListParagraph"/>
        <w:numPr>
          <w:ilvl w:val="0"/>
          <w:numId w:val="2"/>
        </w:numPr>
        <w:jc w:val="both"/>
        <w:rPr>
          <w:i/>
          <w:iCs/>
        </w:rPr>
      </w:pPr>
      <w:r>
        <w:t xml:space="preserve">section 117 – </w:t>
      </w:r>
      <w:r w:rsidRPr="009B156C">
        <w:rPr>
          <w:i/>
          <w:iCs/>
        </w:rPr>
        <w:t>Regulator’s power to exempt category of class 1 or 3 heavy vehicles from compliance with mass or dimension requirement</w:t>
      </w:r>
      <w:r>
        <w:rPr>
          <w:i/>
          <w:iCs/>
        </w:rPr>
        <w:t>.</w:t>
      </w:r>
    </w:p>
    <w:p w14:paraId="61970DD1" w14:textId="77777777" w:rsidR="00DD1752" w:rsidRPr="00CB694B" w:rsidRDefault="00DD1752" w:rsidP="00F945ED">
      <w:pPr>
        <w:pStyle w:val="ListParagraph"/>
        <w:ind w:left="1440"/>
        <w:jc w:val="both"/>
        <w:rPr>
          <w:i/>
          <w:iCs/>
        </w:rPr>
      </w:pPr>
    </w:p>
    <w:p w14:paraId="7AFA08BA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652DC6CC" w14:textId="77777777" w:rsidR="00DD1752" w:rsidRDefault="00DD1752" w:rsidP="00F945ED">
      <w:pPr>
        <w:pStyle w:val="ListParagraph"/>
        <w:ind w:left="1080"/>
        <w:jc w:val="both"/>
      </w:pPr>
    </w:p>
    <w:p w14:paraId="28306A6F" w14:textId="5F1CEB4E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3A49B1">
        <w:t>notice</w:t>
      </w:r>
      <w:r>
        <w:t xml:space="preserve"> may be cited as the</w:t>
      </w:r>
      <w:r w:rsidR="00373E4D" w:rsidRPr="00373E4D">
        <w:t xml:space="preserve"> </w:t>
      </w:r>
      <w:r w:rsidR="002E3518" w:rsidRPr="002E3518">
        <w:rPr>
          <w:i/>
          <w:iCs/>
        </w:rPr>
        <w:t xml:space="preserve">South Australia Class 1 Load Carrying Vehicle Dimension Exemption </w:t>
      </w:r>
      <w:r w:rsidR="00B56F5A">
        <w:rPr>
          <w:i/>
          <w:iCs/>
        </w:rPr>
        <w:t xml:space="preserve">Trial </w:t>
      </w:r>
      <w:r w:rsidR="002E3518" w:rsidRPr="002E3518">
        <w:rPr>
          <w:i/>
          <w:iCs/>
        </w:rPr>
        <w:t>Notice 202</w:t>
      </w:r>
      <w:r w:rsidR="00A6159D">
        <w:rPr>
          <w:i/>
          <w:iCs/>
        </w:rPr>
        <w:t>5</w:t>
      </w:r>
      <w:r w:rsidR="002E3518" w:rsidRPr="002E3518">
        <w:rPr>
          <w:i/>
          <w:iCs/>
        </w:rPr>
        <w:t xml:space="preserve"> </w:t>
      </w:r>
      <w:r w:rsidR="006F5696">
        <w:rPr>
          <w:i/>
          <w:iCs/>
        </w:rPr>
        <w:t>(No.1)</w:t>
      </w:r>
      <w:r w:rsidRPr="00373E4D">
        <w:rPr>
          <w:i/>
          <w:iCs/>
        </w:rPr>
        <w:t>.</w:t>
      </w:r>
    </w:p>
    <w:p w14:paraId="646FF47F" w14:textId="77777777" w:rsidR="00DD1752" w:rsidRDefault="00DD1752" w:rsidP="00F945ED">
      <w:pPr>
        <w:pStyle w:val="ListParagraph"/>
        <w:ind w:left="1440"/>
        <w:jc w:val="both"/>
      </w:pPr>
    </w:p>
    <w:p w14:paraId="3603939D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4242C1F4" w14:textId="77777777" w:rsidR="00DD1752" w:rsidRPr="00811BF4" w:rsidRDefault="00DD1752" w:rsidP="00F945ED">
      <w:pPr>
        <w:pStyle w:val="ListParagraph"/>
        <w:jc w:val="both"/>
        <w:rPr>
          <w:b/>
          <w:bCs/>
        </w:rPr>
      </w:pPr>
    </w:p>
    <w:p w14:paraId="16179844" w14:textId="36E387F5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3A49B1">
        <w:t>notice</w:t>
      </w:r>
      <w:r>
        <w:t xml:space="preserve"> commences on </w:t>
      </w:r>
      <w:r w:rsidR="00DD0277">
        <w:t>23 January 2025</w:t>
      </w:r>
      <w:r w:rsidR="00B14F34">
        <w:t>.</w:t>
      </w:r>
    </w:p>
    <w:p w14:paraId="22392E63" w14:textId="77777777" w:rsidR="00DD1752" w:rsidRDefault="00DD1752" w:rsidP="00F945ED">
      <w:pPr>
        <w:pStyle w:val="ListParagraph"/>
        <w:ind w:left="1080"/>
        <w:jc w:val="both"/>
      </w:pPr>
    </w:p>
    <w:p w14:paraId="06B562F6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77A2266B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22A8D9C6" w14:textId="78E4DDD2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3A49B1">
        <w:t>notice</w:t>
      </w:r>
      <w:r>
        <w:t xml:space="preserve"> expires on </w:t>
      </w:r>
      <w:r w:rsidR="00DD0277">
        <w:t>22 January 2030</w:t>
      </w:r>
      <w:r w:rsidR="00B14F34">
        <w:t>.</w:t>
      </w:r>
    </w:p>
    <w:p w14:paraId="42B740FE" w14:textId="77777777" w:rsidR="00DD1752" w:rsidRDefault="00DD1752" w:rsidP="00F945ED">
      <w:pPr>
        <w:pStyle w:val="ListParagraph"/>
        <w:ind w:left="1080"/>
        <w:jc w:val="both"/>
      </w:pPr>
    </w:p>
    <w:p w14:paraId="0B4535BB" w14:textId="1C48BDDF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Definitions</w:t>
      </w:r>
    </w:p>
    <w:p w14:paraId="792AF829" w14:textId="77777777" w:rsidR="00DD1752" w:rsidRDefault="00DD1752" w:rsidP="00F945ED">
      <w:pPr>
        <w:pStyle w:val="ListParagraph"/>
        <w:ind w:left="1080"/>
        <w:jc w:val="both"/>
      </w:pPr>
    </w:p>
    <w:p w14:paraId="28894599" w14:textId="3312D6AC" w:rsidR="00DD1752" w:rsidRDefault="00DD1752" w:rsidP="002C30FF">
      <w:pPr>
        <w:pStyle w:val="ListParagraph"/>
        <w:numPr>
          <w:ilvl w:val="0"/>
          <w:numId w:val="3"/>
        </w:numPr>
        <w:jc w:val="both"/>
      </w:pPr>
      <w:r>
        <w:t xml:space="preserve">Unless otherwise stated, words and expressions used in this </w:t>
      </w:r>
      <w:r w:rsidR="003A49B1">
        <w:t>notice</w:t>
      </w:r>
      <w:r>
        <w:t xml:space="preserve"> have the same meanings as those in the HVNL and its regulations.</w:t>
      </w:r>
    </w:p>
    <w:p w14:paraId="0FC75E3F" w14:textId="77777777" w:rsidR="009614B8" w:rsidRDefault="009614B8" w:rsidP="009614B8">
      <w:pPr>
        <w:pStyle w:val="ListParagraph"/>
        <w:ind w:left="1080"/>
        <w:jc w:val="both"/>
      </w:pPr>
    </w:p>
    <w:p w14:paraId="0128EEFF" w14:textId="6B68BA01" w:rsidR="0026188C" w:rsidRPr="00A64416" w:rsidRDefault="00DD1752" w:rsidP="00A64416">
      <w:pPr>
        <w:pStyle w:val="ListParagraph"/>
        <w:numPr>
          <w:ilvl w:val="0"/>
          <w:numId w:val="3"/>
        </w:numPr>
        <w:ind w:left="1077" w:hanging="357"/>
        <w:contextualSpacing w:val="0"/>
        <w:jc w:val="both"/>
      </w:pPr>
      <w:r>
        <w:t xml:space="preserve">In this </w:t>
      </w:r>
      <w:r w:rsidR="003A49B1">
        <w:t>notice</w:t>
      </w:r>
      <w:r>
        <w:t>:</w:t>
      </w:r>
    </w:p>
    <w:p w14:paraId="105CA66F" w14:textId="479188F1" w:rsidR="00AD09D7" w:rsidRDefault="0026188C" w:rsidP="00CF3272">
      <w:pPr>
        <w:pStyle w:val="ListParagraph"/>
        <w:ind w:left="1440"/>
        <w:jc w:val="both"/>
      </w:pPr>
      <w:r w:rsidRPr="0026188C">
        <w:rPr>
          <w:b/>
          <w:bCs/>
          <w:i/>
          <w:iCs/>
        </w:rPr>
        <w:t xml:space="preserve">Guide </w:t>
      </w:r>
      <w:r w:rsidRPr="00110123">
        <w:t xml:space="preserve">means the </w:t>
      </w:r>
      <w:r w:rsidR="002E3518" w:rsidRPr="002E3518">
        <w:t xml:space="preserve">South Australia Class 1 Load Carrying Vehicle Dimension Exemption </w:t>
      </w:r>
      <w:r w:rsidR="00752025">
        <w:t xml:space="preserve">Trial </w:t>
      </w:r>
      <w:r w:rsidR="002E3518" w:rsidRPr="002E3518">
        <w:t xml:space="preserve">Notice </w:t>
      </w:r>
      <w:r w:rsidRPr="00110123">
        <w:t>Operator’s Guide published by the National Heavy Vehicle Regulator</w:t>
      </w:r>
      <w:r>
        <w:t>, and as amended from time to time</w:t>
      </w:r>
      <w:r w:rsidR="00F2172C">
        <w:t>.</w:t>
      </w:r>
    </w:p>
    <w:p w14:paraId="6C5B5780" w14:textId="4BFA2B1B" w:rsidR="00AD09D7" w:rsidRDefault="006A2F07" w:rsidP="00A64416">
      <w:pPr>
        <w:spacing w:line="240" w:lineRule="auto"/>
        <w:ind w:left="1440"/>
        <w:contextualSpacing/>
        <w:jc w:val="both"/>
      </w:pPr>
      <w:r>
        <w:rPr>
          <w:b/>
          <w:bCs/>
          <w:i/>
          <w:iCs/>
        </w:rPr>
        <w:t>Extendable trailer</w:t>
      </w:r>
      <w:r w:rsidR="00AD09D7" w:rsidRPr="000938AF">
        <w:rPr>
          <w:b/>
          <w:bCs/>
          <w:i/>
          <w:iCs/>
        </w:rPr>
        <w:t xml:space="preserve"> </w:t>
      </w:r>
      <w:r w:rsidR="00820367" w:rsidRPr="00CC6418">
        <w:t xml:space="preserve">means a trailer the main deck of which can be lengthened to provide a greater load </w:t>
      </w:r>
      <w:r w:rsidR="00CC6418">
        <w:t>supporting area</w:t>
      </w:r>
      <w:r w:rsidR="00820367">
        <w:t>.</w:t>
      </w:r>
      <w:r w:rsidR="00820367" w:rsidRPr="00820367" w:rsidDel="00820367">
        <w:rPr>
          <w:b/>
          <w:bCs/>
          <w:i/>
          <w:iCs/>
        </w:rPr>
        <w:t xml:space="preserve"> </w:t>
      </w:r>
    </w:p>
    <w:p w14:paraId="7FC1F9BF" w14:textId="77777777" w:rsidR="00AD09D7" w:rsidRDefault="00AD09D7" w:rsidP="00AD09D7">
      <w:pPr>
        <w:ind w:left="1440"/>
        <w:contextualSpacing/>
        <w:jc w:val="both"/>
      </w:pPr>
    </w:p>
    <w:p w14:paraId="1816767E" w14:textId="52C5BC32" w:rsidR="00900BC7" w:rsidRPr="00900BC7" w:rsidRDefault="00900BC7" w:rsidP="00DD0277">
      <w:pPr>
        <w:keepNext/>
        <w:ind w:left="1440"/>
        <w:jc w:val="both"/>
      </w:pPr>
      <w:r w:rsidRPr="00900BC7">
        <w:rPr>
          <w:b/>
          <w:bCs/>
          <w:i/>
          <w:iCs/>
        </w:rPr>
        <w:lastRenderedPageBreak/>
        <w:t>Tyre ground contact width</w:t>
      </w:r>
      <w:r w:rsidRPr="00900BC7">
        <w:t xml:space="preserve"> means:</w:t>
      </w:r>
    </w:p>
    <w:p w14:paraId="30CC8CCD" w14:textId="77777777" w:rsidR="00900BC7" w:rsidRPr="00900BC7" w:rsidRDefault="00900BC7" w:rsidP="00BB41C7">
      <w:pPr>
        <w:pStyle w:val="ListParagraph"/>
        <w:numPr>
          <w:ilvl w:val="0"/>
          <w:numId w:val="11"/>
        </w:numPr>
        <w:jc w:val="both"/>
      </w:pPr>
      <w:r w:rsidRPr="00900BC7">
        <w:t>in relation to an axle, the distance between the outermost point of ground contact of the outside tyres on each end of the axle; OR</w:t>
      </w:r>
    </w:p>
    <w:p w14:paraId="0C28F014" w14:textId="234B850B" w:rsidR="00900BC7" w:rsidRPr="00900BC7" w:rsidRDefault="00900BC7" w:rsidP="00BB41C7">
      <w:pPr>
        <w:pStyle w:val="ListParagraph"/>
        <w:numPr>
          <w:ilvl w:val="0"/>
          <w:numId w:val="11"/>
        </w:numPr>
        <w:jc w:val="both"/>
      </w:pPr>
      <w:r w:rsidRPr="00900BC7">
        <w:t xml:space="preserve">in relation to an axle group, the minimum ground contact width, as defined in a), of </w:t>
      </w:r>
      <w:r w:rsidR="00872D22">
        <w:t xml:space="preserve">all </w:t>
      </w:r>
      <w:r w:rsidRPr="00900BC7">
        <w:t>axles in the group.</w:t>
      </w:r>
    </w:p>
    <w:p w14:paraId="1B00D72D" w14:textId="4B1B4297" w:rsidR="00520FC4" w:rsidRDefault="00DD1752" w:rsidP="0003427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Application</w:t>
      </w:r>
    </w:p>
    <w:p w14:paraId="10E026FF" w14:textId="77777777" w:rsidR="0003427F" w:rsidRPr="0003427F" w:rsidRDefault="0003427F" w:rsidP="0003427F">
      <w:pPr>
        <w:pStyle w:val="ListParagraph"/>
        <w:jc w:val="both"/>
        <w:rPr>
          <w:b/>
          <w:bCs/>
        </w:rPr>
      </w:pPr>
    </w:p>
    <w:p w14:paraId="0509C1A3" w14:textId="4D9500D2" w:rsidR="00DD7263" w:rsidRDefault="00DD7263" w:rsidP="002C30FF">
      <w:pPr>
        <w:pStyle w:val="ListParagraph"/>
        <w:numPr>
          <w:ilvl w:val="0"/>
          <w:numId w:val="4"/>
        </w:numPr>
        <w:jc w:val="both"/>
      </w:pPr>
      <w:r>
        <w:t xml:space="preserve">This </w:t>
      </w:r>
      <w:r w:rsidR="003A49B1">
        <w:t>notice</w:t>
      </w:r>
      <w:r>
        <w:t xml:space="preserve"> applies to a </w:t>
      </w:r>
      <w:r w:rsidR="006317FE">
        <w:t>c</w:t>
      </w:r>
      <w:r w:rsidR="006317FE" w:rsidRPr="00B779F0">
        <w:t xml:space="preserve">lass </w:t>
      </w:r>
      <w:r w:rsidR="006317FE">
        <w:t>1</w:t>
      </w:r>
      <w:r w:rsidR="006317FE" w:rsidRPr="00B779F0">
        <w:t xml:space="preserve"> </w:t>
      </w:r>
      <w:r>
        <w:t xml:space="preserve">heavy </w:t>
      </w:r>
      <w:r w:rsidR="006317FE">
        <w:t>combination</w:t>
      </w:r>
      <w:r>
        <w:t xml:space="preserve"> </w:t>
      </w:r>
      <w:r w:rsidR="0003427F">
        <w:t>consisting of a</w:t>
      </w:r>
      <w:r>
        <w:t>:</w:t>
      </w:r>
    </w:p>
    <w:p w14:paraId="5B156452" w14:textId="77777777" w:rsidR="00520FC4" w:rsidRDefault="00520FC4" w:rsidP="00520FC4">
      <w:pPr>
        <w:pStyle w:val="ListParagraph"/>
        <w:ind w:left="1080"/>
        <w:jc w:val="both"/>
      </w:pPr>
    </w:p>
    <w:p w14:paraId="074CB105" w14:textId="632590CD" w:rsidR="00520FC4" w:rsidRDefault="001D690F" w:rsidP="00BB41C7">
      <w:pPr>
        <w:pStyle w:val="ListParagraph"/>
        <w:numPr>
          <w:ilvl w:val="0"/>
          <w:numId w:val="7"/>
        </w:numPr>
        <w:jc w:val="both"/>
      </w:pPr>
      <w:r>
        <w:t>rigid truck</w:t>
      </w:r>
      <w:r w:rsidR="00520FC4">
        <w:t>; or</w:t>
      </w:r>
    </w:p>
    <w:p w14:paraId="1D8CFB08" w14:textId="3330E22A" w:rsidR="004F0AB0" w:rsidRDefault="00AC4358" w:rsidP="00BB41C7">
      <w:pPr>
        <w:pStyle w:val="ListParagraph"/>
        <w:numPr>
          <w:ilvl w:val="0"/>
          <w:numId w:val="7"/>
        </w:numPr>
        <w:jc w:val="both"/>
      </w:pPr>
      <w:r>
        <w:t>rigid truck towing one trailer</w:t>
      </w:r>
      <w:r w:rsidR="004F0AB0">
        <w:t>; or</w:t>
      </w:r>
    </w:p>
    <w:p w14:paraId="3AE5A9CF" w14:textId="77777777" w:rsidR="00AB0DC9" w:rsidRDefault="00DF786A" w:rsidP="00BB41C7">
      <w:pPr>
        <w:pStyle w:val="ListParagraph"/>
        <w:numPr>
          <w:ilvl w:val="0"/>
          <w:numId w:val="7"/>
        </w:numPr>
        <w:jc w:val="both"/>
      </w:pPr>
      <w:r>
        <w:t xml:space="preserve">prime mover towing a </w:t>
      </w:r>
      <w:r w:rsidR="00922860">
        <w:t>semi</w:t>
      </w:r>
      <w:r>
        <w:t>trailer</w:t>
      </w:r>
      <w:r w:rsidR="00AB0DC9">
        <w:t>; or</w:t>
      </w:r>
    </w:p>
    <w:p w14:paraId="25C136A5" w14:textId="546BCD48" w:rsidR="00DF786A" w:rsidRDefault="00AB0DC9" w:rsidP="00BB41C7">
      <w:pPr>
        <w:pStyle w:val="ListParagraph"/>
        <w:numPr>
          <w:ilvl w:val="0"/>
          <w:numId w:val="7"/>
        </w:numPr>
        <w:jc w:val="both"/>
      </w:pPr>
      <w:r>
        <w:t xml:space="preserve">prime mover towing an extendable </w:t>
      </w:r>
      <w:r w:rsidR="00860E9A">
        <w:t>semi</w:t>
      </w:r>
      <w:r>
        <w:t>trailer</w:t>
      </w:r>
      <w:r w:rsidR="00C94E77">
        <w:t>.</w:t>
      </w:r>
    </w:p>
    <w:p w14:paraId="4438625B" w14:textId="77777777" w:rsidR="00520FC4" w:rsidRDefault="00520FC4" w:rsidP="00520FC4">
      <w:pPr>
        <w:pStyle w:val="ListParagraph"/>
        <w:ind w:left="1080"/>
        <w:jc w:val="both"/>
      </w:pPr>
    </w:p>
    <w:p w14:paraId="48256B88" w14:textId="67ED3926" w:rsidR="00A7318C" w:rsidRDefault="00A7318C" w:rsidP="002C30FF">
      <w:pPr>
        <w:pStyle w:val="ListParagraph"/>
        <w:numPr>
          <w:ilvl w:val="0"/>
          <w:numId w:val="4"/>
        </w:numPr>
        <w:jc w:val="both"/>
      </w:pPr>
      <w:r>
        <w:t xml:space="preserve">A prime mover mentioned in subsection 1) must be fitted with a single steer axle and a dual-drive tandem axle group. </w:t>
      </w:r>
    </w:p>
    <w:p w14:paraId="1EAB892D" w14:textId="77777777" w:rsidR="00A7318C" w:rsidRDefault="00A7318C" w:rsidP="00877DAE">
      <w:pPr>
        <w:pStyle w:val="ListParagraph"/>
        <w:ind w:left="1080"/>
        <w:jc w:val="both"/>
      </w:pPr>
    </w:p>
    <w:p w14:paraId="4BC9FF63" w14:textId="3142AA81" w:rsidR="0045065C" w:rsidRDefault="0045065C" w:rsidP="0045065C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vehicle to which this section applies must be </w:t>
      </w:r>
      <w:proofErr w:type="gramStart"/>
      <w:r>
        <w:rPr>
          <w:rFonts w:ascii="Calibri" w:hAnsi="Calibri" w:cs="Calibri"/>
          <w:color w:val="000000"/>
        </w:rPr>
        <w:t>carrying, or</w:t>
      </w:r>
      <w:proofErr w:type="gramEnd"/>
      <w:r>
        <w:rPr>
          <w:rFonts w:ascii="Calibri" w:hAnsi="Calibri" w:cs="Calibri"/>
          <w:color w:val="000000"/>
        </w:rPr>
        <w:t xml:space="preserve"> designed for the purpose of carrying</w:t>
      </w:r>
      <w:r w:rsidR="00BE2AE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a large indivisible item. </w:t>
      </w:r>
    </w:p>
    <w:p w14:paraId="1F574372" w14:textId="77777777" w:rsidR="0045065C" w:rsidRPr="00EB6F43" w:rsidRDefault="0045065C" w:rsidP="0045065C">
      <w:pPr>
        <w:spacing w:after="0" w:line="240" w:lineRule="auto"/>
        <w:ind w:left="720"/>
        <w:jc w:val="both"/>
        <w:rPr>
          <w:rFonts w:ascii="Calibri" w:hAnsi="Calibri" w:cs="Calibri"/>
          <w:color w:val="000000"/>
        </w:rPr>
      </w:pPr>
    </w:p>
    <w:p w14:paraId="330C8CC2" w14:textId="33185945" w:rsidR="00853F53" w:rsidRDefault="00BA5AD0" w:rsidP="002C30FF">
      <w:pPr>
        <w:pStyle w:val="ListParagraph"/>
        <w:numPr>
          <w:ilvl w:val="0"/>
          <w:numId w:val="4"/>
        </w:numPr>
        <w:jc w:val="both"/>
      </w:pPr>
      <w:r>
        <w:t xml:space="preserve">This </w:t>
      </w:r>
      <w:r w:rsidR="003A49B1">
        <w:t>notice</w:t>
      </w:r>
      <w:r>
        <w:t xml:space="preserve"> applies in </w:t>
      </w:r>
      <w:r w:rsidR="00F06D3F">
        <w:t>South Australia</w:t>
      </w:r>
      <w:r w:rsidR="00EC440F">
        <w:t>.</w:t>
      </w:r>
    </w:p>
    <w:p w14:paraId="767E8FC9" w14:textId="77777777" w:rsidR="00DD1752" w:rsidRDefault="00DD1752" w:rsidP="00F945ED">
      <w:pPr>
        <w:pStyle w:val="ListParagraph"/>
        <w:ind w:left="1080"/>
        <w:jc w:val="both"/>
      </w:pPr>
    </w:p>
    <w:p w14:paraId="47CB9048" w14:textId="03E0F3D5" w:rsidR="00581C6C" w:rsidRPr="007078B3" w:rsidRDefault="005A6499" w:rsidP="007078B3">
      <w:pPr>
        <w:pStyle w:val="ListParagraph"/>
        <w:numPr>
          <w:ilvl w:val="0"/>
          <w:numId w:val="4"/>
        </w:numPr>
        <w:jc w:val="both"/>
      </w:pPr>
      <w:r>
        <w:t xml:space="preserve">A heavy vehicle to which this section applies and that complies with the conditions of this </w:t>
      </w:r>
      <w:r w:rsidR="003A49B1">
        <w:t>notice</w:t>
      </w:r>
      <w:r>
        <w:t xml:space="preserve"> is an eligible vehicle.</w:t>
      </w:r>
    </w:p>
    <w:p w14:paraId="67072DB8" w14:textId="77777777" w:rsidR="00F71332" w:rsidRPr="0061554F" w:rsidRDefault="00F71332" w:rsidP="00F71332">
      <w:pPr>
        <w:pStyle w:val="ListParagraph"/>
        <w:ind w:left="1440"/>
        <w:jc w:val="both"/>
      </w:pPr>
    </w:p>
    <w:p w14:paraId="33340983" w14:textId="40753A25" w:rsidR="001C4AC6" w:rsidRPr="00DE5AD7" w:rsidRDefault="001C4AC6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dimension requirements</w:t>
      </w:r>
    </w:p>
    <w:p w14:paraId="6E5DC66C" w14:textId="77777777" w:rsidR="001C4AC6" w:rsidRDefault="001C4AC6" w:rsidP="00F945ED">
      <w:pPr>
        <w:pStyle w:val="ListParagraph"/>
        <w:ind w:left="1080"/>
        <w:jc w:val="both"/>
      </w:pPr>
    </w:p>
    <w:p w14:paraId="1E92034A" w14:textId="6AC9787D" w:rsidR="001C4AC6" w:rsidRDefault="001C4AC6" w:rsidP="00BB41C7">
      <w:pPr>
        <w:pStyle w:val="ListParagraph"/>
        <w:numPr>
          <w:ilvl w:val="0"/>
          <w:numId w:val="9"/>
        </w:numPr>
        <w:jc w:val="both"/>
      </w:pPr>
      <w:r>
        <w:t xml:space="preserve">An eligible vehicle is exempt from the following </w:t>
      </w:r>
      <w:r w:rsidR="006E362A">
        <w:t>dimension</w:t>
      </w:r>
      <w:r>
        <w:t xml:space="preserve"> requirements under Schedule </w:t>
      </w:r>
      <w:r w:rsidR="00C71F77">
        <w:t>6</w:t>
      </w:r>
      <w:r>
        <w:t xml:space="preserve"> of 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6294F0A4" w14:textId="77777777" w:rsidR="001C4AC6" w:rsidRDefault="001C4AC6" w:rsidP="00F945ED">
      <w:pPr>
        <w:pStyle w:val="ListParagraph"/>
        <w:ind w:left="1080"/>
        <w:jc w:val="both"/>
      </w:pPr>
    </w:p>
    <w:p w14:paraId="06E0BDB7" w14:textId="1E6FF89E" w:rsidR="001C4AC6" w:rsidRDefault="001C4AC6" w:rsidP="002C30FF">
      <w:pPr>
        <w:pStyle w:val="ListParagraph"/>
        <w:numPr>
          <w:ilvl w:val="0"/>
          <w:numId w:val="5"/>
        </w:numPr>
        <w:jc w:val="both"/>
      </w:pPr>
      <w:r>
        <w:t xml:space="preserve">section </w:t>
      </w:r>
      <w:r w:rsidR="00C71F77">
        <w:t>3</w:t>
      </w:r>
      <w:r>
        <w:t xml:space="preserve"> – </w:t>
      </w:r>
      <w:r w:rsidR="00C71F77">
        <w:t>Length</w:t>
      </w:r>
      <w:r w:rsidR="00731CB5">
        <w:t xml:space="preserve"> </w:t>
      </w:r>
      <w:r w:rsidR="00DC5B21">
        <w:t>–</w:t>
      </w:r>
      <w:r w:rsidR="00731CB5">
        <w:t xml:space="preserve"> </w:t>
      </w:r>
      <w:r w:rsidR="00C71F77">
        <w:t>combination or single vehicle</w:t>
      </w:r>
      <w:r>
        <w:t xml:space="preserve"> </w:t>
      </w:r>
    </w:p>
    <w:p w14:paraId="42C96BC3" w14:textId="006D8C99" w:rsidR="001C4AC6" w:rsidRDefault="001C4AC6" w:rsidP="002C30FF">
      <w:pPr>
        <w:pStyle w:val="ListParagraph"/>
        <w:numPr>
          <w:ilvl w:val="0"/>
          <w:numId w:val="5"/>
        </w:numPr>
        <w:jc w:val="both"/>
      </w:pPr>
      <w:r>
        <w:t xml:space="preserve">section </w:t>
      </w:r>
      <w:r w:rsidR="003535F6">
        <w:t>5</w:t>
      </w:r>
      <w:r>
        <w:t xml:space="preserve"> – </w:t>
      </w:r>
      <w:r w:rsidR="003535F6">
        <w:t>Length</w:t>
      </w:r>
      <w:r w:rsidR="00731CB5">
        <w:t xml:space="preserve"> </w:t>
      </w:r>
      <w:r w:rsidR="00DC5B21">
        <w:t>–</w:t>
      </w:r>
      <w:r w:rsidR="00731CB5">
        <w:t xml:space="preserve"> </w:t>
      </w:r>
      <w:r w:rsidR="004C45CE">
        <w:t>rear overhang</w:t>
      </w:r>
    </w:p>
    <w:p w14:paraId="03C537E2" w14:textId="1F1D4675" w:rsidR="00E35608" w:rsidRDefault="00E35608" w:rsidP="002C30FF">
      <w:pPr>
        <w:pStyle w:val="ListParagraph"/>
        <w:numPr>
          <w:ilvl w:val="0"/>
          <w:numId w:val="5"/>
        </w:numPr>
        <w:jc w:val="both"/>
      </w:pPr>
      <w:r>
        <w:t>section 7 – Width</w:t>
      </w:r>
    </w:p>
    <w:p w14:paraId="4124B332" w14:textId="29969AB6" w:rsidR="00E35608" w:rsidRDefault="00E35608" w:rsidP="002C30FF">
      <w:pPr>
        <w:pStyle w:val="ListParagraph"/>
        <w:numPr>
          <w:ilvl w:val="0"/>
          <w:numId w:val="5"/>
        </w:numPr>
        <w:jc w:val="both"/>
      </w:pPr>
      <w:r>
        <w:t>section 8 – Height</w:t>
      </w:r>
    </w:p>
    <w:p w14:paraId="30B57817" w14:textId="77777777" w:rsidR="001C4AC6" w:rsidRDefault="001C4AC6" w:rsidP="00F945ED">
      <w:pPr>
        <w:pStyle w:val="ListParagraph"/>
        <w:ind w:left="1440"/>
        <w:jc w:val="both"/>
      </w:pPr>
    </w:p>
    <w:p w14:paraId="6B8BF355" w14:textId="1AF625DD" w:rsidR="00246C86" w:rsidRDefault="001C4AC6" w:rsidP="00BB41C7">
      <w:pPr>
        <w:pStyle w:val="ListParagraph"/>
        <w:numPr>
          <w:ilvl w:val="0"/>
          <w:numId w:val="9"/>
        </w:numPr>
        <w:jc w:val="both"/>
      </w:pPr>
      <w:r>
        <w:t xml:space="preserve">An exemption in 1) only applies to the extent that specific conditional </w:t>
      </w:r>
      <w:r w:rsidR="00935A22">
        <w:t>dimension</w:t>
      </w:r>
      <w:r>
        <w:t xml:space="preserve"> limits are provided in section</w:t>
      </w:r>
      <w:r w:rsidR="00B05075">
        <w:t xml:space="preserve"> </w:t>
      </w:r>
      <w:r w:rsidR="00616418">
        <w:t>9</w:t>
      </w:r>
      <w:r w:rsidR="00862249">
        <w:t xml:space="preserve"> and 1</w:t>
      </w:r>
      <w:r w:rsidR="00616418">
        <w:t>0</w:t>
      </w:r>
      <w:r w:rsidR="008F6813">
        <w:t xml:space="preserve"> of this notice.</w:t>
      </w:r>
    </w:p>
    <w:p w14:paraId="70697E29" w14:textId="77777777" w:rsidR="00AF148F" w:rsidRPr="00EB6941" w:rsidRDefault="00AF148F" w:rsidP="00EB6941">
      <w:pPr>
        <w:jc w:val="both"/>
        <w:rPr>
          <w:b/>
          <w:bCs/>
        </w:rPr>
      </w:pPr>
      <w:r w:rsidRPr="00EB6941">
        <w:rPr>
          <w:b/>
          <w:bCs/>
        </w:rPr>
        <w:br w:type="page"/>
      </w:r>
    </w:p>
    <w:p w14:paraId="0D2736DE" w14:textId="383F5340" w:rsidR="00B12546" w:rsidRPr="00B12546" w:rsidRDefault="00B12546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12546">
        <w:rPr>
          <w:b/>
          <w:bCs/>
        </w:rPr>
        <w:lastRenderedPageBreak/>
        <w:t>Condition – Dimension limit</w:t>
      </w:r>
      <w:r w:rsidR="00896D18">
        <w:rPr>
          <w:b/>
          <w:bCs/>
        </w:rPr>
        <w:t>s</w:t>
      </w:r>
    </w:p>
    <w:p w14:paraId="08A0859A" w14:textId="77777777" w:rsidR="00B12546" w:rsidRDefault="00B12546" w:rsidP="00F945ED">
      <w:pPr>
        <w:pStyle w:val="ListParagraph"/>
        <w:ind w:left="1080"/>
        <w:jc w:val="both"/>
      </w:pPr>
    </w:p>
    <w:p w14:paraId="6EA10B1B" w14:textId="5367B2BC" w:rsidR="001C4AC6" w:rsidRDefault="00633CF4" w:rsidP="002C30FF">
      <w:pPr>
        <w:pStyle w:val="ListParagraph"/>
        <w:numPr>
          <w:ilvl w:val="0"/>
          <w:numId w:val="6"/>
        </w:numPr>
        <w:jc w:val="both"/>
      </w:pPr>
      <w:r>
        <w:t xml:space="preserve">An eligible vehicle of a category stated in column 1 of </w:t>
      </w:r>
      <w:r w:rsidR="00356D31">
        <w:t>T</w:t>
      </w:r>
      <w:r>
        <w:t xml:space="preserve">able </w:t>
      </w:r>
      <w:r w:rsidR="00356D31">
        <w:t>1 must not exceed a dimension</w:t>
      </w:r>
      <w:r w:rsidR="006A2F07">
        <w:t xml:space="preserve"> stated in columns 2 to </w:t>
      </w:r>
      <w:r w:rsidR="00D74154">
        <w:t>3</w:t>
      </w:r>
      <w:r w:rsidR="008C03DE">
        <w:t>.</w:t>
      </w:r>
    </w:p>
    <w:p w14:paraId="1910FF5D" w14:textId="5A338AD7" w:rsidR="003E5940" w:rsidRPr="00356D31" w:rsidRDefault="001210B9" w:rsidP="001210B9">
      <w:pPr>
        <w:ind w:left="1080"/>
        <w:jc w:val="both"/>
        <w:rPr>
          <w:b/>
          <w:bCs/>
        </w:rPr>
      </w:pPr>
      <w:r w:rsidRPr="00356D31">
        <w:rPr>
          <w:b/>
          <w:bCs/>
        </w:rPr>
        <w:t>Table 1: Maximum dimensions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4665"/>
        <w:gridCol w:w="1068"/>
        <w:gridCol w:w="1069"/>
      </w:tblGrid>
      <w:tr w:rsidR="00D74154" w:rsidRPr="00000663" w14:paraId="3271DB05" w14:textId="77777777" w:rsidTr="00D74154">
        <w:tc>
          <w:tcPr>
            <w:tcW w:w="4665" w:type="dxa"/>
            <w:vAlign w:val="center"/>
          </w:tcPr>
          <w:p w14:paraId="16EA7AC5" w14:textId="5B705CDE" w:rsidR="00D74154" w:rsidRPr="00000663" w:rsidRDefault="00D74154" w:rsidP="00E9571D">
            <w:pPr>
              <w:jc w:val="center"/>
              <w:rPr>
                <w:b/>
                <w:bCs/>
                <w:sz w:val="18"/>
                <w:szCs w:val="18"/>
              </w:rPr>
            </w:pPr>
            <w:r w:rsidRPr="00000663">
              <w:rPr>
                <w:b/>
                <w:bCs/>
                <w:sz w:val="18"/>
                <w:szCs w:val="18"/>
              </w:rPr>
              <w:t>Column 1</w:t>
            </w:r>
          </w:p>
        </w:tc>
        <w:tc>
          <w:tcPr>
            <w:tcW w:w="1068" w:type="dxa"/>
            <w:vAlign w:val="center"/>
          </w:tcPr>
          <w:p w14:paraId="3C748B1E" w14:textId="1694782C" w:rsidR="00D74154" w:rsidRPr="00000663" w:rsidRDefault="00D74154" w:rsidP="00E9571D">
            <w:pPr>
              <w:jc w:val="center"/>
              <w:rPr>
                <w:b/>
                <w:bCs/>
                <w:sz w:val="18"/>
                <w:szCs w:val="18"/>
              </w:rPr>
            </w:pPr>
            <w:r w:rsidRPr="00000663">
              <w:rPr>
                <w:b/>
                <w:bCs/>
                <w:sz w:val="18"/>
                <w:szCs w:val="18"/>
              </w:rPr>
              <w:t>Column 2</w:t>
            </w:r>
          </w:p>
        </w:tc>
        <w:tc>
          <w:tcPr>
            <w:tcW w:w="1069" w:type="dxa"/>
            <w:vAlign w:val="center"/>
          </w:tcPr>
          <w:p w14:paraId="5E09D689" w14:textId="5EA5F7CB" w:rsidR="00D74154" w:rsidRPr="00000663" w:rsidRDefault="00D74154" w:rsidP="00E9571D">
            <w:pPr>
              <w:jc w:val="center"/>
              <w:rPr>
                <w:b/>
                <w:bCs/>
                <w:sz w:val="18"/>
                <w:szCs w:val="18"/>
              </w:rPr>
            </w:pPr>
            <w:r w:rsidRPr="00000663">
              <w:rPr>
                <w:b/>
                <w:bCs/>
                <w:sz w:val="18"/>
                <w:szCs w:val="18"/>
              </w:rPr>
              <w:t>Column 3</w:t>
            </w:r>
          </w:p>
        </w:tc>
      </w:tr>
      <w:tr w:rsidR="00D74154" w:rsidRPr="00000663" w14:paraId="0CD77288" w14:textId="77777777" w:rsidTr="00D74154">
        <w:tc>
          <w:tcPr>
            <w:tcW w:w="4665" w:type="dxa"/>
            <w:vAlign w:val="center"/>
          </w:tcPr>
          <w:p w14:paraId="54EC170C" w14:textId="7671E982" w:rsidR="00D74154" w:rsidRPr="00000663" w:rsidRDefault="00D74154" w:rsidP="00E9571D">
            <w:pPr>
              <w:jc w:val="center"/>
              <w:rPr>
                <w:b/>
                <w:bCs/>
                <w:sz w:val="18"/>
                <w:szCs w:val="18"/>
              </w:rPr>
            </w:pPr>
            <w:r w:rsidRPr="00000663">
              <w:rPr>
                <w:b/>
                <w:bCs/>
                <w:sz w:val="18"/>
                <w:szCs w:val="18"/>
              </w:rPr>
              <w:t>Eligible Vehicle</w:t>
            </w:r>
          </w:p>
        </w:tc>
        <w:tc>
          <w:tcPr>
            <w:tcW w:w="1068" w:type="dxa"/>
            <w:vAlign w:val="center"/>
          </w:tcPr>
          <w:p w14:paraId="003D0519" w14:textId="3B0D2470" w:rsidR="00D74154" w:rsidRPr="00000663" w:rsidRDefault="00D74154" w:rsidP="00E9571D">
            <w:pPr>
              <w:jc w:val="center"/>
              <w:rPr>
                <w:b/>
                <w:bCs/>
                <w:sz w:val="18"/>
                <w:szCs w:val="18"/>
              </w:rPr>
            </w:pPr>
            <w:r w:rsidRPr="00000663">
              <w:rPr>
                <w:b/>
                <w:bCs/>
                <w:sz w:val="18"/>
                <w:szCs w:val="18"/>
              </w:rPr>
              <w:t>Width (m)</w:t>
            </w:r>
          </w:p>
        </w:tc>
        <w:tc>
          <w:tcPr>
            <w:tcW w:w="1069" w:type="dxa"/>
            <w:vAlign w:val="center"/>
          </w:tcPr>
          <w:p w14:paraId="3FF94C79" w14:textId="648C48DE" w:rsidR="00D74154" w:rsidRPr="00000663" w:rsidRDefault="00D74154" w:rsidP="00E9571D">
            <w:pPr>
              <w:jc w:val="center"/>
              <w:rPr>
                <w:b/>
                <w:bCs/>
                <w:sz w:val="18"/>
                <w:szCs w:val="18"/>
              </w:rPr>
            </w:pPr>
            <w:r w:rsidRPr="00000663">
              <w:rPr>
                <w:b/>
                <w:bCs/>
                <w:sz w:val="18"/>
                <w:szCs w:val="18"/>
              </w:rPr>
              <w:t>Length (m)</w:t>
            </w:r>
          </w:p>
        </w:tc>
      </w:tr>
      <w:tr w:rsidR="00D74154" w:rsidRPr="00000663" w14:paraId="64B76905" w14:textId="77777777" w:rsidTr="00D74154">
        <w:trPr>
          <w:trHeight w:val="439"/>
        </w:trPr>
        <w:tc>
          <w:tcPr>
            <w:tcW w:w="4665" w:type="dxa"/>
            <w:vAlign w:val="center"/>
          </w:tcPr>
          <w:p w14:paraId="405174B1" w14:textId="24D1DD68" w:rsidR="00D74154" w:rsidRPr="00000663" w:rsidRDefault="00D74154" w:rsidP="00E9571D">
            <w:pPr>
              <w:jc w:val="center"/>
              <w:rPr>
                <w:sz w:val="18"/>
                <w:szCs w:val="18"/>
              </w:rPr>
            </w:pPr>
            <w:r w:rsidRPr="00000663">
              <w:rPr>
                <w:sz w:val="18"/>
                <w:szCs w:val="18"/>
              </w:rPr>
              <w:t>Truck</w:t>
            </w:r>
          </w:p>
        </w:tc>
        <w:tc>
          <w:tcPr>
            <w:tcW w:w="1068" w:type="dxa"/>
            <w:vMerge w:val="restart"/>
            <w:vAlign w:val="center"/>
          </w:tcPr>
          <w:p w14:paraId="0FF6875D" w14:textId="4C40A918" w:rsidR="00D74154" w:rsidRPr="00000663" w:rsidRDefault="00D74154" w:rsidP="00E9571D">
            <w:pPr>
              <w:jc w:val="center"/>
              <w:rPr>
                <w:sz w:val="18"/>
                <w:szCs w:val="18"/>
              </w:rPr>
            </w:pPr>
            <w:r w:rsidRPr="00000663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14:paraId="7FB3C52F" w14:textId="78DF95D2" w:rsidR="00D74154" w:rsidRPr="00000663" w:rsidRDefault="00D74154" w:rsidP="00E9571D">
            <w:pPr>
              <w:jc w:val="center"/>
              <w:rPr>
                <w:sz w:val="18"/>
                <w:szCs w:val="18"/>
              </w:rPr>
            </w:pPr>
            <w:r w:rsidRPr="00000663">
              <w:rPr>
                <w:sz w:val="18"/>
                <w:szCs w:val="18"/>
              </w:rPr>
              <w:t>12.5</w:t>
            </w:r>
          </w:p>
        </w:tc>
      </w:tr>
      <w:tr w:rsidR="00D74154" w:rsidRPr="00000663" w14:paraId="49F74243" w14:textId="77777777" w:rsidTr="00D74154">
        <w:trPr>
          <w:trHeight w:val="439"/>
        </w:trPr>
        <w:tc>
          <w:tcPr>
            <w:tcW w:w="4665" w:type="dxa"/>
            <w:vAlign w:val="center"/>
          </w:tcPr>
          <w:p w14:paraId="6B44D8F4" w14:textId="52531556" w:rsidR="00D74154" w:rsidRPr="00000663" w:rsidRDefault="00D74154" w:rsidP="00E9571D">
            <w:pPr>
              <w:jc w:val="center"/>
              <w:rPr>
                <w:sz w:val="18"/>
                <w:szCs w:val="18"/>
              </w:rPr>
            </w:pPr>
            <w:r w:rsidRPr="00000663">
              <w:rPr>
                <w:sz w:val="18"/>
                <w:szCs w:val="18"/>
              </w:rPr>
              <w:t xml:space="preserve">Truck </w:t>
            </w:r>
            <w:r>
              <w:rPr>
                <w:sz w:val="18"/>
                <w:szCs w:val="18"/>
              </w:rPr>
              <w:t>towing a</w:t>
            </w:r>
            <w:r w:rsidRPr="00000663">
              <w:rPr>
                <w:sz w:val="18"/>
                <w:szCs w:val="18"/>
              </w:rPr>
              <w:t xml:space="preserve"> trailer</w:t>
            </w:r>
          </w:p>
        </w:tc>
        <w:tc>
          <w:tcPr>
            <w:tcW w:w="1068" w:type="dxa"/>
            <w:vMerge/>
            <w:vAlign w:val="center"/>
          </w:tcPr>
          <w:p w14:paraId="4B43F74F" w14:textId="77777777" w:rsidR="00D74154" w:rsidRPr="00000663" w:rsidRDefault="00D74154" w:rsidP="00E957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0973767B" w14:textId="20282BDB" w:rsidR="00D74154" w:rsidRPr="00000663" w:rsidRDefault="00D74154" w:rsidP="00E9571D">
            <w:pPr>
              <w:jc w:val="center"/>
              <w:rPr>
                <w:sz w:val="18"/>
                <w:szCs w:val="18"/>
              </w:rPr>
            </w:pPr>
            <w:r w:rsidRPr="00000663">
              <w:rPr>
                <w:sz w:val="18"/>
                <w:szCs w:val="18"/>
              </w:rPr>
              <w:t>19.0</w:t>
            </w:r>
          </w:p>
        </w:tc>
      </w:tr>
      <w:tr w:rsidR="00D74154" w:rsidRPr="00000663" w14:paraId="6C88347F" w14:textId="77777777" w:rsidTr="00D74154">
        <w:trPr>
          <w:trHeight w:val="439"/>
        </w:trPr>
        <w:tc>
          <w:tcPr>
            <w:tcW w:w="4665" w:type="dxa"/>
            <w:vAlign w:val="center"/>
          </w:tcPr>
          <w:p w14:paraId="2DB5E2E7" w14:textId="28E34904" w:rsidR="00D74154" w:rsidRPr="00000663" w:rsidRDefault="00D74154" w:rsidP="00E9571D">
            <w:pPr>
              <w:jc w:val="center"/>
              <w:rPr>
                <w:sz w:val="18"/>
                <w:szCs w:val="18"/>
              </w:rPr>
            </w:pPr>
            <w:r w:rsidRPr="00000663">
              <w:rPr>
                <w:sz w:val="18"/>
                <w:szCs w:val="18"/>
              </w:rPr>
              <w:t xml:space="preserve">Prime mover </w:t>
            </w:r>
            <w:r>
              <w:rPr>
                <w:sz w:val="18"/>
                <w:szCs w:val="18"/>
              </w:rPr>
              <w:t>towing</w:t>
            </w:r>
            <w:r w:rsidRPr="00000663">
              <w:rPr>
                <w:sz w:val="18"/>
                <w:szCs w:val="18"/>
              </w:rPr>
              <w:t xml:space="preserve"> any semitrailer except an extend</w:t>
            </w:r>
            <w:r>
              <w:rPr>
                <w:sz w:val="18"/>
                <w:szCs w:val="18"/>
              </w:rPr>
              <w:t>a</w:t>
            </w:r>
            <w:r w:rsidRPr="00000663">
              <w:rPr>
                <w:sz w:val="18"/>
                <w:szCs w:val="18"/>
              </w:rPr>
              <w:t>ble trailer</w:t>
            </w:r>
          </w:p>
        </w:tc>
        <w:tc>
          <w:tcPr>
            <w:tcW w:w="1068" w:type="dxa"/>
            <w:vMerge/>
            <w:vAlign w:val="center"/>
          </w:tcPr>
          <w:p w14:paraId="35CE743C" w14:textId="77777777" w:rsidR="00D74154" w:rsidRPr="00000663" w:rsidRDefault="00D74154" w:rsidP="00E957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4C4E041A" w14:textId="3481FD83" w:rsidR="00D74154" w:rsidRPr="00000663" w:rsidRDefault="00D74154" w:rsidP="00E9571D">
            <w:pPr>
              <w:jc w:val="center"/>
              <w:rPr>
                <w:sz w:val="18"/>
                <w:szCs w:val="18"/>
              </w:rPr>
            </w:pPr>
            <w:r w:rsidRPr="00000663">
              <w:rPr>
                <w:sz w:val="18"/>
                <w:szCs w:val="18"/>
              </w:rPr>
              <w:t>26.0</w:t>
            </w:r>
          </w:p>
        </w:tc>
      </w:tr>
      <w:tr w:rsidR="00D74154" w:rsidRPr="00000663" w14:paraId="3EB4C34A" w14:textId="77777777" w:rsidTr="00D74154">
        <w:trPr>
          <w:trHeight w:val="439"/>
        </w:trPr>
        <w:tc>
          <w:tcPr>
            <w:tcW w:w="4665" w:type="dxa"/>
            <w:vAlign w:val="center"/>
          </w:tcPr>
          <w:p w14:paraId="4052E4B2" w14:textId="38D1A8DB" w:rsidR="00D74154" w:rsidRPr="00000663" w:rsidRDefault="00D74154" w:rsidP="00E9571D">
            <w:pPr>
              <w:jc w:val="center"/>
              <w:rPr>
                <w:sz w:val="18"/>
                <w:szCs w:val="18"/>
              </w:rPr>
            </w:pPr>
            <w:r w:rsidRPr="00000663">
              <w:rPr>
                <w:sz w:val="18"/>
                <w:szCs w:val="18"/>
              </w:rPr>
              <w:t xml:space="preserve">Prime mover </w:t>
            </w:r>
            <w:r>
              <w:rPr>
                <w:sz w:val="18"/>
                <w:szCs w:val="18"/>
              </w:rPr>
              <w:t>towing an</w:t>
            </w:r>
            <w:r w:rsidRPr="00000663">
              <w:rPr>
                <w:sz w:val="18"/>
                <w:szCs w:val="18"/>
              </w:rPr>
              <w:t xml:space="preserve"> extend</w:t>
            </w:r>
            <w:r>
              <w:rPr>
                <w:sz w:val="18"/>
                <w:szCs w:val="18"/>
              </w:rPr>
              <w:t>a</w:t>
            </w:r>
            <w:r w:rsidRPr="00000663">
              <w:rPr>
                <w:sz w:val="18"/>
                <w:szCs w:val="18"/>
              </w:rPr>
              <w:t>ble trailer</w:t>
            </w:r>
          </w:p>
        </w:tc>
        <w:tc>
          <w:tcPr>
            <w:tcW w:w="1068" w:type="dxa"/>
            <w:vMerge/>
            <w:vAlign w:val="center"/>
          </w:tcPr>
          <w:p w14:paraId="471C648B" w14:textId="77777777" w:rsidR="00D74154" w:rsidRPr="00000663" w:rsidRDefault="00D74154" w:rsidP="00E957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274A0735" w14:textId="5A01C9A3" w:rsidR="00D74154" w:rsidRPr="00000663" w:rsidRDefault="00D74154" w:rsidP="00E9571D">
            <w:pPr>
              <w:jc w:val="center"/>
              <w:rPr>
                <w:sz w:val="18"/>
                <w:szCs w:val="18"/>
              </w:rPr>
            </w:pPr>
            <w:r w:rsidRPr="00000663">
              <w:rPr>
                <w:sz w:val="18"/>
                <w:szCs w:val="18"/>
              </w:rPr>
              <w:t>30.0</w:t>
            </w:r>
          </w:p>
        </w:tc>
      </w:tr>
    </w:tbl>
    <w:p w14:paraId="51F0E232" w14:textId="06377BD5" w:rsidR="00AA1A87" w:rsidRPr="00C22181" w:rsidRDefault="00532FC8" w:rsidP="00BB41C7">
      <w:pPr>
        <w:pStyle w:val="ListParagraph"/>
        <w:numPr>
          <w:ilvl w:val="0"/>
          <w:numId w:val="13"/>
        </w:numPr>
        <w:spacing w:before="120"/>
        <w:ind w:left="1077" w:hanging="357"/>
        <w:jc w:val="both"/>
      </w:pPr>
      <w:r>
        <w:t xml:space="preserve">An eligible vehicle must not exceed a </w:t>
      </w:r>
      <w:r w:rsidR="00C23257">
        <w:t>height limit</w:t>
      </w:r>
      <w:r>
        <w:t xml:space="preserve"> stated in column 2 </w:t>
      </w:r>
      <w:r w:rsidR="00C23257">
        <w:t xml:space="preserve">of Table 2 while operating within </w:t>
      </w:r>
      <w:r w:rsidR="00C22181">
        <w:t>the corresponding area of</w:t>
      </w:r>
      <w:r w:rsidR="00C23257">
        <w:t xml:space="preserve"> column 1</w:t>
      </w:r>
      <w:r>
        <w:t>.</w:t>
      </w:r>
    </w:p>
    <w:p w14:paraId="7005A819" w14:textId="4BA02992" w:rsidR="007F2073" w:rsidRPr="007F2073" w:rsidRDefault="007F2073" w:rsidP="007F2073">
      <w:pPr>
        <w:ind w:left="1080"/>
        <w:jc w:val="both"/>
        <w:rPr>
          <w:b/>
          <w:bCs/>
        </w:rPr>
      </w:pPr>
      <w:r w:rsidRPr="00356D31">
        <w:rPr>
          <w:b/>
          <w:bCs/>
        </w:rPr>
        <w:t xml:space="preserve">Table </w:t>
      </w:r>
      <w:r w:rsidR="00C23257">
        <w:rPr>
          <w:b/>
          <w:bCs/>
        </w:rPr>
        <w:t>2</w:t>
      </w:r>
      <w:r w:rsidRPr="00356D31">
        <w:rPr>
          <w:b/>
          <w:bCs/>
        </w:rPr>
        <w:t xml:space="preserve">: Maximum </w:t>
      </w:r>
      <w:r w:rsidR="00C23257">
        <w:rPr>
          <w:b/>
          <w:bCs/>
        </w:rPr>
        <w:t>height</w:t>
      </w:r>
      <w:r w:rsidR="0081549A">
        <w:rPr>
          <w:b/>
          <w:bCs/>
        </w:rPr>
        <w:t>s</w:t>
      </w:r>
      <w:r w:rsidR="00C23257">
        <w:rPr>
          <w:b/>
          <w:bCs/>
        </w:rPr>
        <w:t xml:space="preserve"> </w:t>
      </w:r>
    </w:p>
    <w:tbl>
      <w:tblPr>
        <w:tblW w:w="5415" w:type="dxa"/>
        <w:tblInd w:w="11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871"/>
      </w:tblGrid>
      <w:tr w:rsidR="00532FC8" w:rsidRPr="007F2073" w14:paraId="2907A64A" w14:textId="77777777" w:rsidTr="00532FC8"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154E7" w14:textId="11586EAC" w:rsidR="00532FC8" w:rsidRPr="007F2073" w:rsidRDefault="00532FC8" w:rsidP="00532FC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AU"/>
              </w:rPr>
            </w:pPr>
            <w:r w:rsidRPr="00000663">
              <w:rPr>
                <w:b/>
                <w:bCs/>
                <w:sz w:val="18"/>
                <w:szCs w:val="18"/>
              </w:rPr>
              <w:t>Column 1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2F0AB" w14:textId="089A646D" w:rsidR="00532FC8" w:rsidRPr="007F2073" w:rsidRDefault="00532FC8" w:rsidP="00532FC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AU"/>
              </w:rPr>
            </w:pPr>
            <w:r w:rsidRPr="00000663">
              <w:rPr>
                <w:b/>
                <w:bCs/>
                <w:sz w:val="18"/>
                <w:szCs w:val="18"/>
              </w:rPr>
              <w:t>Column 2</w:t>
            </w:r>
          </w:p>
        </w:tc>
      </w:tr>
      <w:tr w:rsidR="00532FC8" w:rsidRPr="007F2073" w14:paraId="14EB14FC" w14:textId="77777777" w:rsidTr="007F2073"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1335E" w14:textId="77777777" w:rsidR="00532FC8" w:rsidRPr="007F2073" w:rsidRDefault="00532FC8" w:rsidP="00532FC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AU"/>
              </w:rPr>
            </w:pPr>
            <w:r w:rsidRPr="007F2073">
              <w:rPr>
                <w:b/>
                <w:bCs/>
                <w:sz w:val="18"/>
                <w:szCs w:val="18"/>
                <w:lang w:val="en-AU"/>
              </w:rPr>
              <w:t>Area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C8C30" w14:textId="77777777" w:rsidR="00532FC8" w:rsidRPr="007F2073" w:rsidRDefault="00532FC8" w:rsidP="00532FC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AU"/>
              </w:rPr>
            </w:pPr>
            <w:r w:rsidRPr="007F2073">
              <w:rPr>
                <w:b/>
                <w:bCs/>
                <w:sz w:val="18"/>
                <w:szCs w:val="18"/>
                <w:lang w:val="en-AU"/>
              </w:rPr>
              <w:t>Maximum height</w:t>
            </w:r>
          </w:p>
        </w:tc>
      </w:tr>
      <w:tr w:rsidR="00532FC8" w:rsidRPr="007F2073" w14:paraId="0115BD92" w14:textId="77777777" w:rsidTr="007F2073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0D1A7" w14:textId="77777777" w:rsidR="00532FC8" w:rsidRPr="007F2073" w:rsidRDefault="00532FC8" w:rsidP="00532FC8">
            <w:pPr>
              <w:spacing w:after="0" w:line="240" w:lineRule="auto"/>
              <w:jc w:val="center"/>
              <w:rPr>
                <w:sz w:val="18"/>
                <w:szCs w:val="18"/>
                <w:lang w:val="en-AU"/>
              </w:rPr>
            </w:pPr>
            <w:r w:rsidRPr="007F2073">
              <w:rPr>
                <w:sz w:val="18"/>
                <w:szCs w:val="18"/>
                <w:lang w:val="en-AU"/>
              </w:rPr>
              <w:t>Adelaide Metropolitan Zone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7BFCB" w14:textId="77777777" w:rsidR="00532FC8" w:rsidRPr="007F2073" w:rsidRDefault="00532FC8" w:rsidP="00532FC8">
            <w:pPr>
              <w:spacing w:after="0" w:line="240" w:lineRule="auto"/>
              <w:jc w:val="center"/>
              <w:rPr>
                <w:sz w:val="18"/>
                <w:szCs w:val="18"/>
                <w:lang w:val="en-AU"/>
              </w:rPr>
            </w:pPr>
            <w:r w:rsidRPr="007F2073">
              <w:rPr>
                <w:sz w:val="18"/>
                <w:szCs w:val="18"/>
                <w:lang w:val="en-AU"/>
              </w:rPr>
              <w:t>4.6m</w:t>
            </w:r>
          </w:p>
        </w:tc>
      </w:tr>
      <w:tr w:rsidR="00532FC8" w:rsidRPr="007F2073" w14:paraId="5E687AC4" w14:textId="77777777" w:rsidTr="007F2073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62FF4" w14:textId="77777777" w:rsidR="00532FC8" w:rsidRPr="007F2073" w:rsidRDefault="00532FC8" w:rsidP="00532FC8">
            <w:pPr>
              <w:spacing w:after="0" w:line="240" w:lineRule="auto"/>
              <w:jc w:val="center"/>
              <w:rPr>
                <w:sz w:val="18"/>
                <w:szCs w:val="18"/>
                <w:lang w:val="en-AU"/>
              </w:rPr>
            </w:pPr>
            <w:r w:rsidRPr="007F2073">
              <w:rPr>
                <w:sz w:val="18"/>
                <w:szCs w:val="18"/>
                <w:lang w:val="en-AU"/>
              </w:rPr>
              <w:t>Adelaide Hills Zone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A7A0A" w14:textId="77777777" w:rsidR="00532FC8" w:rsidRPr="007F2073" w:rsidRDefault="00532FC8" w:rsidP="00532FC8">
            <w:pPr>
              <w:spacing w:after="0" w:line="240" w:lineRule="auto"/>
              <w:jc w:val="center"/>
              <w:rPr>
                <w:sz w:val="18"/>
                <w:szCs w:val="18"/>
                <w:lang w:val="en-AU"/>
              </w:rPr>
            </w:pPr>
            <w:r w:rsidRPr="007F2073">
              <w:rPr>
                <w:sz w:val="18"/>
                <w:szCs w:val="18"/>
                <w:lang w:val="en-AU"/>
              </w:rPr>
              <w:t>4.6m</w:t>
            </w:r>
          </w:p>
        </w:tc>
      </w:tr>
      <w:tr w:rsidR="00532FC8" w:rsidRPr="007F2073" w14:paraId="174E6056" w14:textId="77777777" w:rsidTr="007F2073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AA6B1" w14:textId="77777777" w:rsidR="00532FC8" w:rsidRPr="007F2073" w:rsidRDefault="00532FC8" w:rsidP="00532FC8">
            <w:pPr>
              <w:spacing w:after="0" w:line="240" w:lineRule="auto"/>
              <w:jc w:val="center"/>
              <w:rPr>
                <w:sz w:val="18"/>
                <w:szCs w:val="18"/>
                <w:lang w:val="en-AU"/>
              </w:rPr>
            </w:pPr>
            <w:r w:rsidRPr="007F2073">
              <w:rPr>
                <w:sz w:val="18"/>
                <w:szCs w:val="18"/>
                <w:lang w:val="en-AU"/>
              </w:rPr>
              <w:t>Country Zone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9B556" w14:textId="77777777" w:rsidR="00532FC8" w:rsidRPr="007F2073" w:rsidRDefault="00532FC8" w:rsidP="00532FC8">
            <w:pPr>
              <w:spacing w:after="0" w:line="240" w:lineRule="auto"/>
              <w:jc w:val="center"/>
              <w:rPr>
                <w:sz w:val="18"/>
                <w:szCs w:val="18"/>
                <w:lang w:val="en-AU"/>
              </w:rPr>
            </w:pPr>
            <w:r w:rsidRPr="007F2073">
              <w:rPr>
                <w:sz w:val="18"/>
                <w:szCs w:val="18"/>
                <w:lang w:val="en-AU"/>
              </w:rPr>
              <w:t>5.0m</w:t>
            </w:r>
          </w:p>
        </w:tc>
      </w:tr>
    </w:tbl>
    <w:p w14:paraId="4FABE32C" w14:textId="77777777" w:rsidR="00DC717A" w:rsidRDefault="00DC717A" w:rsidP="00C7791F">
      <w:pPr>
        <w:spacing w:after="0" w:line="240" w:lineRule="auto"/>
        <w:rPr>
          <w:sz w:val="18"/>
          <w:szCs w:val="18"/>
          <w:lang w:val="en-AU"/>
        </w:rPr>
      </w:pPr>
    </w:p>
    <w:p w14:paraId="534161F9" w14:textId="0D497B18" w:rsidR="00917B65" w:rsidRDefault="00917B65" w:rsidP="00917B6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lang w:val="en-AU"/>
        </w:rPr>
      </w:pPr>
      <w:r w:rsidRPr="0085189C">
        <w:rPr>
          <w:lang w:val="en-AU"/>
        </w:rPr>
        <w:t>A</w:t>
      </w:r>
      <w:r>
        <w:rPr>
          <w:lang w:val="en-AU"/>
        </w:rPr>
        <w:t xml:space="preserve"> </w:t>
      </w:r>
      <w:r w:rsidR="00DD05AE">
        <w:rPr>
          <w:lang w:val="en-AU"/>
        </w:rPr>
        <w:t>trailer</w:t>
      </w:r>
      <w:r>
        <w:rPr>
          <w:lang w:val="en-AU"/>
        </w:rPr>
        <w:t xml:space="preserve"> </w:t>
      </w:r>
      <w:r w:rsidRPr="0085189C">
        <w:rPr>
          <w:lang w:val="en-AU"/>
        </w:rPr>
        <w:t>must not be wider than 2.5 m</w:t>
      </w:r>
      <w:r>
        <w:rPr>
          <w:lang w:val="en-AU"/>
        </w:rPr>
        <w:t xml:space="preserve"> as constructed</w:t>
      </w:r>
      <w:r w:rsidRPr="0085189C">
        <w:rPr>
          <w:lang w:val="en-AU"/>
        </w:rPr>
        <w:t xml:space="preserve">. </w:t>
      </w:r>
    </w:p>
    <w:p w14:paraId="03A96DCF" w14:textId="77777777" w:rsidR="00B84D3A" w:rsidRDefault="00B84D3A" w:rsidP="00B84D3A">
      <w:pPr>
        <w:pStyle w:val="ListParagraph"/>
        <w:spacing w:after="0" w:line="240" w:lineRule="auto"/>
        <w:ind w:left="1080"/>
        <w:jc w:val="both"/>
        <w:rPr>
          <w:lang w:val="en-AU"/>
        </w:rPr>
      </w:pPr>
    </w:p>
    <w:p w14:paraId="30955520" w14:textId="233BC54C" w:rsidR="00F966AA" w:rsidRDefault="00BD32A8" w:rsidP="00BB41C7">
      <w:pPr>
        <w:pStyle w:val="ListParagraph"/>
        <w:numPr>
          <w:ilvl w:val="0"/>
          <w:numId w:val="9"/>
        </w:numPr>
        <w:jc w:val="both"/>
      </w:pPr>
      <w:r>
        <w:t>An eligible vehicle must be loaded and operated to the</w:t>
      </w:r>
      <w:r w:rsidR="00501BC2" w:rsidRPr="00501BC2">
        <w:t xml:space="preserve"> smallest practic</w:t>
      </w:r>
      <w:r w:rsidR="005451CA">
        <w:t>able</w:t>
      </w:r>
      <w:r w:rsidR="00501BC2" w:rsidRPr="00501BC2">
        <w:t xml:space="preserve"> dimension</w:t>
      </w:r>
      <w:r>
        <w:t xml:space="preserve">. </w:t>
      </w:r>
      <w:r w:rsidR="00F966AA">
        <w:t xml:space="preserve"> </w:t>
      </w:r>
    </w:p>
    <w:p w14:paraId="6BEF7DEB" w14:textId="77777777" w:rsidR="00CA76F5" w:rsidRDefault="00CA76F5" w:rsidP="00CA76F5">
      <w:pPr>
        <w:spacing w:after="0" w:line="240" w:lineRule="auto"/>
        <w:ind w:left="720"/>
        <w:jc w:val="both"/>
      </w:pPr>
    </w:p>
    <w:p w14:paraId="5DBEA3A5" w14:textId="28F14968" w:rsidR="00CA76F5" w:rsidRDefault="00CA76F5" w:rsidP="00BB41C7">
      <w:pPr>
        <w:pStyle w:val="ListParagraph"/>
        <w:numPr>
          <w:ilvl w:val="0"/>
          <w:numId w:val="9"/>
        </w:numPr>
        <w:jc w:val="both"/>
      </w:pPr>
      <w:r w:rsidRPr="001C2165">
        <w:t>If an eligible vehicle is higher than 4.</w:t>
      </w:r>
      <w:r>
        <w:t>6</w:t>
      </w:r>
      <w:r w:rsidRPr="001C2165">
        <w:t xml:space="preserve">m, the operator must, before starting a journey consult with </w:t>
      </w:r>
      <w:r>
        <w:t xml:space="preserve">the </w:t>
      </w:r>
      <w:r w:rsidR="00D5228D">
        <w:t xml:space="preserve">third parties </w:t>
      </w:r>
      <w:r w:rsidRPr="001C2165">
        <w:t>as stated in the Guide.</w:t>
      </w:r>
    </w:p>
    <w:p w14:paraId="44634D32" w14:textId="77777777" w:rsidR="00F16D66" w:rsidRPr="007F2073" w:rsidRDefault="00F16D66" w:rsidP="00F16D66">
      <w:pPr>
        <w:spacing w:after="0" w:line="240" w:lineRule="auto"/>
        <w:rPr>
          <w:sz w:val="18"/>
          <w:szCs w:val="18"/>
          <w:lang w:val="en-AU"/>
        </w:rPr>
      </w:pPr>
    </w:p>
    <w:p w14:paraId="6814F705" w14:textId="479C6EB6" w:rsidR="009B265F" w:rsidRDefault="006347F6" w:rsidP="007E73B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E73B8">
        <w:rPr>
          <w:b/>
          <w:bCs/>
        </w:rPr>
        <w:t>Condition – Dimension (rear overhang)</w:t>
      </w:r>
    </w:p>
    <w:p w14:paraId="5CF6FC18" w14:textId="77777777" w:rsidR="00AA1A87" w:rsidRPr="007E73B8" w:rsidRDefault="00AA1A87" w:rsidP="00AA1A87">
      <w:pPr>
        <w:pStyle w:val="ListParagraph"/>
        <w:jc w:val="both"/>
        <w:rPr>
          <w:b/>
          <w:bCs/>
        </w:rPr>
      </w:pPr>
    </w:p>
    <w:p w14:paraId="7288E113" w14:textId="67A3CC8B" w:rsidR="009B265F" w:rsidRDefault="009B265F" w:rsidP="00EB6941">
      <w:pPr>
        <w:pStyle w:val="ListParagraph"/>
        <w:numPr>
          <w:ilvl w:val="0"/>
          <w:numId w:val="10"/>
        </w:numPr>
        <w:jc w:val="both"/>
      </w:pPr>
      <w:r w:rsidRPr="009B265F">
        <w:t>The rear overhang of a</w:t>
      </w:r>
      <w:r w:rsidR="00246C86">
        <w:t>n eligible vehicle</w:t>
      </w:r>
      <w:r w:rsidRPr="009B265F">
        <w:t xml:space="preserve"> must not exceed the limits in Table </w:t>
      </w:r>
      <w:r w:rsidR="00D951D3">
        <w:t>3</w:t>
      </w:r>
      <w:r w:rsidRPr="009B265F">
        <w:t xml:space="preserve"> below, or 25% of the length of the combination, whichever is lesser.</w:t>
      </w:r>
    </w:p>
    <w:p w14:paraId="095D3462" w14:textId="77777777" w:rsidR="00862249" w:rsidRDefault="00862249" w:rsidP="00AA1A87">
      <w:pPr>
        <w:pStyle w:val="ListParagraph"/>
        <w:ind w:left="1080"/>
        <w:jc w:val="both"/>
      </w:pPr>
    </w:p>
    <w:p w14:paraId="3CF0CF40" w14:textId="11EACDA3" w:rsidR="00AA1A87" w:rsidRPr="0039283F" w:rsidRDefault="00862249" w:rsidP="00AA1A87">
      <w:pPr>
        <w:pStyle w:val="ListParagraph"/>
        <w:ind w:left="1080"/>
        <w:jc w:val="both"/>
        <w:rPr>
          <w:b/>
          <w:bCs/>
        </w:rPr>
      </w:pPr>
      <w:r w:rsidRPr="0039283F">
        <w:rPr>
          <w:b/>
          <w:bCs/>
        </w:rPr>
        <w:t xml:space="preserve">Table </w:t>
      </w:r>
      <w:r w:rsidR="00D951D3">
        <w:rPr>
          <w:b/>
          <w:bCs/>
        </w:rPr>
        <w:t>3</w:t>
      </w:r>
      <w:r w:rsidRPr="0039283F">
        <w:rPr>
          <w:b/>
          <w:bCs/>
        </w:rPr>
        <w:t>: Maximum rear overhang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2552"/>
        <w:gridCol w:w="2329"/>
        <w:gridCol w:w="2490"/>
      </w:tblGrid>
      <w:tr w:rsidR="00AA1A87" w14:paraId="325CDC87" w14:textId="77777777" w:rsidTr="00AA1A87">
        <w:tc>
          <w:tcPr>
            <w:tcW w:w="4881" w:type="dxa"/>
            <w:gridSpan w:val="2"/>
            <w:vAlign w:val="center"/>
          </w:tcPr>
          <w:p w14:paraId="6B43C3E3" w14:textId="588CF5D8" w:rsidR="00AA1A87" w:rsidRDefault="00AA1A87" w:rsidP="00AA1A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Length of Combination (m)</w:t>
            </w:r>
          </w:p>
        </w:tc>
        <w:tc>
          <w:tcPr>
            <w:tcW w:w="2490" w:type="dxa"/>
            <w:vMerge w:val="restart"/>
            <w:vAlign w:val="center"/>
          </w:tcPr>
          <w:p w14:paraId="21BEDE24" w14:textId="3F585F1A" w:rsidR="00AA1A87" w:rsidRDefault="00AA1A87" w:rsidP="00AA1A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Maximum rear Overhang (m)</w:t>
            </w:r>
          </w:p>
        </w:tc>
      </w:tr>
      <w:tr w:rsidR="00AA1A87" w14:paraId="52C7863A" w14:textId="77777777" w:rsidTr="00AA1A87">
        <w:tc>
          <w:tcPr>
            <w:tcW w:w="2552" w:type="dxa"/>
            <w:vAlign w:val="center"/>
          </w:tcPr>
          <w:p w14:paraId="2F84EB87" w14:textId="533989F4" w:rsidR="00AA1A87" w:rsidRPr="007E73B8" w:rsidRDefault="00AA1A87" w:rsidP="00AA1A8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7E73B8">
              <w:rPr>
                <w:b/>
                <w:bCs/>
              </w:rPr>
              <w:t>Over</w:t>
            </w:r>
          </w:p>
        </w:tc>
        <w:tc>
          <w:tcPr>
            <w:tcW w:w="2329" w:type="dxa"/>
            <w:vAlign w:val="center"/>
          </w:tcPr>
          <w:p w14:paraId="194C74A2" w14:textId="220157E1" w:rsidR="00AA1A87" w:rsidRPr="007E73B8" w:rsidRDefault="00AA1A87" w:rsidP="00AA1A8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7E73B8">
              <w:rPr>
                <w:b/>
                <w:bCs/>
              </w:rPr>
              <w:t>Up to and including</w:t>
            </w:r>
          </w:p>
        </w:tc>
        <w:tc>
          <w:tcPr>
            <w:tcW w:w="2490" w:type="dxa"/>
            <w:vMerge/>
            <w:vAlign w:val="center"/>
          </w:tcPr>
          <w:p w14:paraId="2523357B" w14:textId="77777777" w:rsidR="00AA1A87" w:rsidRPr="00DC76AB" w:rsidRDefault="00AA1A87" w:rsidP="00AA1A87">
            <w:pPr>
              <w:pStyle w:val="ListParagraph"/>
              <w:ind w:left="0"/>
              <w:jc w:val="center"/>
            </w:pPr>
          </w:p>
        </w:tc>
      </w:tr>
      <w:tr w:rsidR="00101577" w14:paraId="5DAB7ADC" w14:textId="77777777" w:rsidTr="00AA1A87">
        <w:tc>
          <w:tcPr>
            <w:tcW w:w="2552" w:type="dxa"/>
            <w:vAlign w:val="center"/>
          </w:tcPr>
          <w:p w14:paraId="4B75310B" w14:textId="02FCE98B" w:rsidR="00101577" w:rsidRPr="00DC76AB" w:rsidRDefault="00101577" w:rsidP="00AA1A87">
            <w:pPr>
              <w:pStyle w:val="ListParagraph"/>
              <w:ind w:left="0"/>
              <w:jc w:val="center"/>
            </w:pPr>
            <w:r>
              <w:t>-</w:t>
            </w:r>
          </w:p>
        </w:tc>
        <w:tc>
          <w:tcPr>
            <w:tcW w:w="2329" w:type="dxa"/>
            <w:vAlign w:val="center"/>
          </w:tcPr>
          <w:p w14:paraId="69E741E5" w14:textId="4159F111" w:rsidR="00101577" w:rsidRPr="00DC76AB" w:rsidRDefault="00101577" w:rsidP="00AA1A87">
            <w:pPr>
              <w:pStyle w:val="ListParagraph"/>
              <w:ind w:left="0"/>
              <w:jc w:val="center"/>
            </w:pPr>
            <w:r>
              <w:t>25.0</w:t>
            </w:r>
          </w:p>
        </w:tc>
        <w:tc>
          <w:tcPr>
            <w:tcW w:w="2490" w:type="dxa"/>
            <w:vAlign w:val="center"/>
          </w:tcPr>
          <w:p w14:paraId="67D7D24B" w14:textId="1B551FE2" w:rsidR="00101577" w:rsidRPr="00DC76AB" w:rsidRDefault="007E73B8" w:rsidP="00AA1A87">
            <w:pPr>
              <w:pStyle w:val="ListParagraph"/>
              <w:ind w:left="0"/>
              <w:jc w:val="center"/>
            </w:pPr>
            <w:r>
              <w:t>5.5</w:t>
            </w:r>
          </w:p>
        </w:tc>
      </w:tr>
      <w:tr w:rsidR="00101577" w:rsidRPr="00883D62" w14:paraId="332FD298" w14:textId="77777777" w:rsidTr="00AA1A87">
        <w:tc>
          <w:tcPr>
            <w:tcW w:w="2552" w:type="dxa"/>
            <w:vAlign w:val="center"/>
          </w:tcPr>
          <w:p w14:paraId="16952E2E" w14:textId="4145703E" w:rsidR="00101577" w:rsidRPr="00883D62" w:rsidRDefault="00101577" w:rsidP="00AA1A87">
            <w:pPr>
              <w:pStyle w:val="ListParagraph"/>
              <w:ind w:left="0"/>
              <w:jc w:val="center"/>
            </w:pPr>
            <w:r w:rsidRPr="00883D62">
              <w:t>25.0</w:t>
            </w:r>
          </w:p>
        </w:tc>
        <w:tc>
          <w:tcPr>
            <w:tcW w:w="2329" w:type="dxa"/>
            <w:vAlign w:val="center"/>
          </w:tcPr>
          <w:p w14:paraId="74194F88" w14:textId="3281F018" w:rsidR="00101577" w:rsidRPr="00883D62" w:rsidRDefault="00101577" w:rsidP="00AA1A87">
            <w:pPr>
              <w:pStyle w:val="ListParagraph"/>
              <w:ind w:left="0"/>
              <w:jc w:val="center"/>
            </w:pPr>
            <w:r w:rsidRPr="00883D62">
              <w:t>26.0</w:t>
            </w:r>
          </w:p>
        </w:tc>
        <w:tc>
          <w:tcPr>
            <w:tcW w:w="2490" w:type="dxa"/>
            <w:vAlign w:val="center"/>
          </w:tcPr>
          <w:p w14:paraId="0A0D16C9" w14:textId="17E393C7" w:rsidR="00101577" w:rsidRPr="00883D62" w:rsidRDefault="007E73B8" w:rsidP="00AA1A87">
            <w:pPr>
              <w:pStyle w:val="ListParagraph"/>
              <w:ind w:left="0"/>
              <w:jc w:val="center"/>
            </w:pPr>
            <w:r w:rsidRPr="00883D62">
              <w:t>6.4</w:t>
            </w:r>
          </w:p>
        </w:tc>
      </w:tr>
      <w:tr w:rsidR="00101577" w:rsidRPr="00883D62" w14:paraId="18382DB7" w14:textId="77777777" w:rsidTr="00AA1A87">
        <w:tc>
          <w:tcPr>
            <w:tcW w:w="2552" w:type="dxa"/>
            <w:vAlign w:val="center"/>
          </w:tcPr>
          <w:p w14:paraId="4CAEE630" w14:textId="42F131EF" w:rsidR="00101577" w:rsidRPr="00883D62" w:rsidRDefault="00101577" w:rsidP="00AA1A87">
            <w:pPr>
              <w:pStyle w:val="ListParagraph"/>
              <w:ind w:left="0"/>
              <w:jc w:val="center"/>
            </w:pPr>
            <w:r w:rsidRPr="00883D62">
              <w:t>26.0</w:t>
            </w:r>
          </w:p>
        </w:tc>
        <w:tc>
          <w:tcPr>
            <w:tcW w:w="2329" w:type="dxa"/>
            <w:vAlign w:val="center"/>
          </w:tcPr>
          <w:p w14:paraId="6CC19886" w14:textId="3DE4972B" w:rsidR="00101577" w:rsidRPr="00883D62" w:rsidRDefault="00101577" w:rsidP="00AA1A87">
            <w:pPr>
              <w:pStyle w:val="ListParagraph"/>
              <w:ind w:left="0"/>
              <w:jc w:val="center"/>
            </w:pPr>
            <w:r w:rsidRPr="00883D62">
              <w:t>27.0</w:t>
            </w:r>
          </w:p>
        </w:tc>
        <w:tc>
          <w:tcPr>
            <w:tcW w:w="2490" w:type="dxa"/>
            <w:vAlign w:val="center"/>
          </w:tcPr>
          <w:p w14:paraId="5A054BC2" w14:textId="7B877CF1" w:rsidR="00101577" w:rsidRPr="00883D62" w:rsidRDefault="007E73B8" w:rsidP="00AA1A87">
            <w:pPr>
              <w:pStyle w:val="ListParagraph"/>
              <w:ind w:left="0"/>
              <w:jc w:val="center"/>
            </w:pPr>
            <w:r w:rsidRPr="00883D62">
              <w:t>6.7</w:t>
            </w:r>
          </w:p>
        </w:tc>
      </w:tr>
      <w:tr w:rsidR="00101577" w:rsidRPr="00883D62" w14:paraId="7E582EA2" w14:textId="77777777" w:rsidTr="00AA1A87">
        <w:tc>
          <w:tcPr>
            <w:tcW w:w="2552" w:type="dxa"/>
            <w:vAlign w:val="center"/>
          </w:tcPr>
          <w:p w14:paraId="3E3E8FF6" w14:textId="4A223C37" w:rsidR="00101577" w:rsidRPr="00883D62" w:rsidRDefault="00101577" w:rsidP="00AA1A87">
            <w:pPr>
              <w:pStyle w:val="ListParagraph"/>
              <w:ind w:left="0"/>
              <w:jc w:val="center"/>
            </w:pPr>
            <w:r w:rsidRPr="00883D62">
              <w:t>27.0</w:t>
            </w:r>
          </w:p>
        </w:tc>
        <w:tc>
          <w:tcPr>
            <w:tcW w:w="2329" w:type="dxa"/>
            <w:vAlign w:val="center"/>
          </w:tcPr>
          <w:p w14:paraId="012598FA" w14:textId="76C1B2F3" w:rsidR="00101577" w:rsidRPr="00883D62" w:rsidRDefault="00A54DFB" w:rsidP="00AA1A87">
            <w:pPr>
              <w:pStyle w:val="ListParagraph"/>
              <w:ind w:left="0"/>
              <w:jc w:val="center"/>
            </w:pPr>
            <w:r w:rsidRPr="00883D62">
              <w:t>28.0</w:t>
            </w:r>
          </w:p>
        </w:tc>
        <w:tc>
          <w:tcPr>
            <w:tcW w:w="2490" w:type="dxa"/>
            <w:vAlign w:val="center"/>
          </w:tcPr>
          <w:p w14:paraId="1A6A62AC" w14:textId="52D8C731" w:rsidR="00101577" w:rsidRPr="00883D62" w:rsidRDefault="007E73B8" w:rsidP="00AA1A87">
            <w:pPr>
              <w:pStyle w:val="ListParagraph"/>
              <w:ind w:left="0"/>
              <w:jc w:val="center"/>
            </w:pPr>
            <w:r w:rsidRPr="00883D62">
              <w:t>7.0</w:t>
            </w:r>
          </w:p>
        </w:tc>
      </w:tr>
      <w:tr w:rsidR="00A54DFB" w:rsidRPr="00883D62" w14:paraId="69155FF7" w14:textId="77777777" w:rsidTr="007B469A">
        <w:trPr>
          <w:trHeight w:val="173"/>
        </w:trPr>
        <w:tc>
          <w:tcPr>
            <w:tcW w:w="2552" w:type="dxa"/>
            <w:vAlign w:val="center"/>
          </w:tcPr>
          <w:p w14:paraId="1801F381" w14:textId="1743741B" w:rsidR="00A54DFB" w:rsidRPr="00883D62" w:rsidRDefault="00A54DFB" w:rsidP="00AA1A87">
            <w:pPr>
              <w:pStyle w:val="ListParagraph"/>
              <w:ind w:left="0"/>
              <w:jc w:val="center"/>
            </w:pPr>
            <w:r w:rsidRPr="00883D62">
              <w:t>28.0</w:t>
            </w:r>
          </w:p>
        </w:tc>
        <w:tc>
          <w:tcPr>
            <w:tcW w:w="2329" w:type="dxa"/>
            <w:vAlign w:val="center"/>
          </w:tcPr>
          <w:p w14:paraId="1DE75449" w14:textId="0CB14221" w:rsidR="00A54DFB" w:rsidRPr="00883D62" w:rsidRDefault="00A54DFB" w:rsidP="00AA1A87">
            <w:pPr>
              <w:pStyle w:val="ListParagraph"/>
              <w:ind w:left="0"/>
              <w:jc w:val="center"/>
            </w:pPr>
            <w:r w:rsidRPr="00883D62">
              <w:t>29.0</w:t>
            </w:r>
          </w:p>
        </w:tc>
        <w:tc>
          <w:tcPr>
            <w:tcW w:w="2490" w:type="dxa"/>
            <w:vAlign w:val="center"/>
          </w:tcPr>
          <w:p w14:paraId="4E9945BE" w14:textId="74984123" w:rsidR="00A54DFB" w:rsidRPr="00883D62" w:rsidRDefault="007E73B8" w:rsidP="00AA1A87">
            <w:pPr>
              <w:pStyle w:val="ListParagraph"/>
              <w:ind w:left="0"/>
              <w:jc w:val="center"/>
            </w:pPr>
            <w:r w:rsidRPr="00883D62">
              <w:t>7.3</w:t>
            </w:r>
          </w:p>
        </w:tc>
      </w:tr>
      <w:tr w:rsidR="00A54DFB" w:rsidRPr="00883D62" w14:paraId="555C1FF9" w14:textId="77777777" w:rsidTr="00AA1A87">
        <w:tc>
          <w:tcPr>
            <w:tcW w:w="2552" w:type="dxa"/>
            <w:vAlign w:val="center"/>
          </w:tcPr>
          <w:p w14:paraId="09C79F1F" w14:textId="4E70AB70" w:rsidR="00A54DFB" w:rsidRPr="00883D62" w:rsidRDefault="00A54DFB" w:rsidP="00AA1A87">
            <w:pPr>
              <w:pStyle w:val="ListParagraph"/>
              <w:ind w:left="0"/>
              <w:jc w:val="center"/>
            </w:pPr>
            <w:r w:rsidRPr="00883D62">
              <w:t>29.0</w:t>
            </w:r>
          </w:p>
        </w:tc>
        <w:tc>
          <w:tcPr>
            <w:tcW w:w="2329" w:type="dxa"/>
            <w:vAlign w:val="center"/>
          </w:tcPr>
          <w:p w14:paraId="4A3015F8" w14:textId="0742B62C" w:rsidR="00A54DFB" w:rsidRPr="00883D62" w:rsidRDefault="00A54DFB" w:rsidP="00AA1A87">
            <w:pPr>
              <w:pStyle w:val="ListParagraph"/>
              <w:ind w:left="0"/>
              <w:jc w:val="center"/>
            </w:pPr>
            <w:r w:rsidRPr="00883D62">
              <w:t>30.0</w:t>
            </w:r>
          </w:p>
        </w:tc>
        <w:tc>
          <w:tcPr>
            <w:tcW w:w="2490" w:type="dxa"/>
            <w:vAlign w:val="center"/>
          </w:tcPr>
          <w:p w14:paraId="31C7B449" w14:textId="77DF9138" w:rsidR="00A54DFB" w:rsidRPr="00883D62" w:rsidRDefault="007B469A" w:rsidP="00AA1A87">
            <w:pPr>
              <w:pStyle w:val="ListParagraph"/>
              <w:ind w:left="0"/>
              <w:jc w:val="center"/>
            </w:pPr>
            <w:r w:rsidRPr="00883D62">
              <w:t>7.</w:t>
            </w:r>
            <w:r w:rsidR="00C62482">
              <w:t>6</w:t>
            </w:r>
          </w:p>
        </w:tc>
      </w:tr>
    </w:tbl>
    <w:p w14:paraId="6DF5B3CD" w14:textId="77777777" w:rsidR="00FF1386" w:rsidRDefault="00FF1386" w:rsidP="006746CF">
      <w:pPr>
        <w:jc w:val="both"/>
        <w:rPr>
          <w:lang w:val="en-US"/>
        </w:rPr>
      </w:pPr>
    </w:p>
    <w:p w14:paraId="133B4039" w14:textId="77777777" w:rsidR="009C720B" w:rsidRPr="006746CF" w:rsidRDefault="009C720B" w:rsidP="006746CF">
      <w:pPr>
        <w:jc w:val="both"/>
        <w:rPr>
          <w:lang w:val="en-US"/>
        </w:rPr>
      </w:pPr>
    </w:p>
    <w:p w14:paraId="13312281" w14:textId="67FC63D6" w:rsidR="005E062F" w:rsidRDefault="00FF1386" w:rsidP="00FF138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Conditions – </w:t>
      </w:r>
      <w:r w:rsidR="00B327CC">
        <w:rPr>
          <w:b/>
          <w:bCs/>
        </w:rPr>
        <w:t>P</w:t>
      </w:r>
      <w:r>
        <w:rPr>
          <w:b/>
          <w:bCs/>
        </w:rPr>
        <w:t>ilots and escorts</w:t>
      </w:r>
    </w:p>
    <w:p w14:paraId="7DD32B11" w14:textId="77777777" w:rsidR="00FF1386" w:rsidRDefault="00FF1386" w:rsidP="00FF1386">
      <w:pPr>
        <w:pStyle w:val="ListParagraph"/>
        <w:ind w:left="1080"/>
        <w:jc w:val="both"/>
        <w:rPr>
          <w:lang w:val="en-US"/>
        </w:rPr>
      </w:pPr>
    </w:p>
    <w:p w14:paraId="144CA808" w14:textId="33D45BF6" w:rsidR="00246C86" w:rsidRDefault="00FF1386" w:rsidP="00EB6941">
      <w:pPr>
        <w:pStyle w:val="ListParagraph"/>
        <w:numPr>
          <w:ilvl w:val="0"/>
          <w:numId w:val="18"/>
        </w:numPr>
        <w:jc w:val="both"/>
        <w:rPr>
          <w:lang w:val="en-US"/>
        </w:rPr>
      </w:pPr>
      <w:r w:rsidRPr="00FF1386">
        <w:rPr>
          <w:lang w:val="en-US"/>
        </w:rPr>
        <w:t xml:space="preserve">An eligible vehicle must comply with any relevant conditions in the </w:t>
      </w:r>
      <w:r w:rsidRPr="001E7D6E">
        <w:rPr>
          <w:i/>
          <w:iCs/>
          <w:lang w:val="en-US"/>
        </w:rPr>
        <w:t xml:space="preserve">Escorting Guidelines for Oversize and </w:t>
      </w:r>
      <w:proofErr w:type="spellStart"/>
      <w:r w:rsidRPr="001E7D6E">
        <w:rPr>
          <w:i/>
          <w:iCs/>
          <w:lang w:val="en-US"/>
        </w:rPr>
        <w:t>Overmass</w:t>
      </w:r>
      <w:proofErr w:type="spellEnd"/>
      <w:r w:rsidRPr="001E7D6E">
        <w:rPr>
          <w:i/>
          <w:iCs/>
          <w:lang w:val="en-US"/>
        </w:rPr>
        <w:t xml:space="preserve"> Vehicles and Loads in South Australia</w:t>
      </w:r>
      <w:r w:rsidR="001E7D6E">
        <w:rPr>
          <w:lang w:val="en-US"/>
        </w:rPr>
        <w:t>.</w:t>
      </w:r>
    </w:p>
    <w:p w14:paraId="6C46E563" w14:textId="77777777" w:rsidR="00690927" w:rsidRPr="00690927" w:rsidRDefault="00690927" w:rsidP="00690927">
      <w:pPr>
        <w:pStyle w:val="ListParagraph"/>
        <w:ind w:left="1080"/>
        <w:jc w:val="both"/>
        <w:rPr>
          <w:lang w:val="en-US"/>
        </w:rPr>
      </w:pPr>
    </w:p>
    <w:p w14:paraId="1291B878" w14:textId="4610226B" w:rsidR="005C6B24" w:rsidRDefault="005C6B24" w:rsidP="0069092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Condition – </w:t>
      </w:r>
      <w:r w:rsidR="00B327CC">
        <w:rPr>
          <w:b/>
          <w:bCs/>
        </w:rPr>
        <w:t>D</w:t>
      </w:r>
      <w:r>
        <w:rPr>
          <w:b/>
          <w:bCs/>
        </w:rPr>
        <w:t>eck height limit</w:t>
      </w:r>
      <w:r w:rsidR="00690927">
        <w:rPr>
          <w:b/>
          <w:bCs/>
        </w:rPr>
        <w:t xml:space="preserve"> for loads over 4.8m high</w:t>
      </w:r>
    </w:p>
    <w:p w14:paraId="2B653249" w14:textId="6EC23FE0" w:rsidR="00690927" w:rsidRDefault="00690927" w:rsidP="00690927">
      <w:pPr>
        <w:pStyle w:val="ListParagraph"/>
        <w:jc w:val="both"/>
        <w:rPr>
          <w:b/>
          <w:bCs/>
        </w:rPr>
      </w:pPr>
    </w:p>
    <w:p w14:paraId="00FB493B" w14:textId="5DE34C26" w:rsidR="006746CF" w:rsidRDefault="005C6B24" w:rsidP="00EB788C">
      <w:pPr>
        <w:pStyle w:val="ListParagraph"/>
        <w:numPr>
          <w:ilvl w:val="0"/>
          <w:numId w:val="19"/>
        </w:numPr>
        <w:jc w:val="both"/>
        <w:rPr>
          <w:b/>
          <w:bCs/>
        </w:rPr>
      </w:pPr>
      <w:r w:rsidRPr="005C6B24">
        <w:t>A loaded vehicle higher than 4.8m must carry its load on an eligible vehicle or trailer with a deck height no more than 1.2m above the ground</w:t>
      </w:r>
      <w:r w:rsidR="00BE352B">
        <w:t>.</w:t>
      </w:r>
      <w:r w:rsidRPr="005C6B24">
        <w:rPr>
          <w:b/>
          <w:bCs/>
        </w:rPr>
        <w:t xml:space="preserve"> </w:t>
      </w:r>
    </w:p>
    <w:p w14:paraId="701BC850" w14:textId="77777777" w:rsidR="00A24B75" w:rsidRDefault="00A24B75" w:rsidP="005C6B24">
      <w:pPr>
        <w:pStyle w:val="ListParagraph"/>
        <w:ind w:left="1080"/>
        <w:jc w:val="both"/>
        <w:rPr>
          <w:b/>
          <w:bCs/>
        </w:rPr>
      </w:pPr>
    </w:p>
    <w:p w14:paraId="7BE53D84" w14:textId="77777777" w:rsidR="001A1829" w:rsidRDefault="001A1829" w:rsidP="001A182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Condition – Carriage of notice</w:t>
      </w:r>
    </w:p>
    <w:p w14:paraId="2475D908" w14:textId="77777777" w:rsidR="001A1829" w:rsidRDefault="001A1829" w:rsidP="001A1829">
      <w:pPr>
        <w:pStyle w:val="ListParagraph"/>
        <w:ind w:left="1080"/>
        <w:jc w:val="both"/>
        <w:rPr>
          <w:lang w:val="en-US"/>
        </w:rPr>
      </w:pPr>
    </w:p>
    <w:p w14:paraId="5633595A" w14:textId="3BD708FB" w:rsidR="004564B1" w:rsidRDefault="001A1829" w:rsidP="00EB788C">
      <w:pPr>
        <w:pStyle w:val="ListParagraph"/>
        <w:numPr>
          <w:ilvl w:val="0"/>
          <w:numId w:val="20"/>
        </w:numPr>
        <w:jc w:val="both"/>
        <w:rPr>
          <w:lang w:val="en-US"/>
        </w:rPr>
      </w:pPr>
      <w:r w:rsidRPr="00435EB3">
        <w:rPr>
          <w:lang w:val="en-US"/>
        </w:rPr>
        <w:t xml:space="preserve">A copy of this notice must be </w:t>
      </w:r>
      <w:proofErr w:type="gramStart"/>
      <w:r w:rsidRPr="00435EB3">
        <w:rPr>
          <w:lang w:val="en-US"/>
        </w:rPr>
        <w:t>carried at all times</w:t>
      </w:r>
      <w:proofErr w:type="gramEnd"/>
      <w:r w:rsidRPr="00435EB3">
        <w:rPr>
          <w:lang w:val="en-US"/>
        </w:rPr>
        <w:t xml:space="preserve"> by a driver of an eligible vehicle operating under this notice</w:t>
      </w:r>
      <w:r>
        <w:rPr>
          <w:lang w:val="en-US"/>
        </w:rPr>
        <w:t>,</w:t>
      </w:r>
      <w:r w:rsidRPr="00435EB3">
        <w:rPr>
          <w:lang w:val="en-US"/>
        </w:rPr>
        <w:t xml:space="preserve"> and the driver must produce </w:t>
      </w:r>
      <w:r>
        <w:rPr>
          <w:lang w:val="en-US"/>
        </w:rPr>
        <w:t xml:space="preserve">it upon request of </w:t>
      </w:r>
      <w:r w:rsidRPr="00435EB3">
        <w:rPr>
          <w:lang w:val="en-US"/>
        </w:rPr>
        <w:t xml:space="preserve">an </w:t>
      </w:r>
      <w:proofErr w:type="spellStart"/>
      <w:r w:rsidRPr="00435EB3">
        <w:rPr>
          <w:lang w:val="en-US"/>
        </w:rPr>
        <w:t>authorised</w:t>
      </w:r>
      <w:proofErr w:type="spellEnd"/>
      <w:r w:rsidRPr="00435EB3">
        <w:rPr>
          <w:lang w:val="en-US"/>
        </w:rPr>
        <w:t xml:space="preserve"> officer</w:t>
      </w:r>
      <w:r w:rsidR="00EA576E">
        <w:rPr>
          <w:lang w:val="en-US"/>
        </w:rPr>
        <w:t xml:space="preserve"> or a police officer</w:t>
      </w:r>
      <w:r>
        <w:rPr>
          <w:lang w:val="en-US"/>
        </w:rPr>
        <w:t>.</w:t>
      </w:r>
    </w:p>
    <w:p w14:paraId="7481F2CD" w14:textId="77777777" w:rsidR="001A1829" w:rsidRDefault="001A1829" w:rsidP="00D93C3E">
      <w:pPr>
        <w:pStyle w:val="ListParagraph"/>
        <w:jc w:val="both"/>
        <w:rPr>
          <w:b/>
          <w:bCs/>
        </w:rPr>
      </w:pPr>
    </w:p>
    <w:p w14:paraId="7B1F26D7" w14:textId="2B78171B" w:rsidR="00790826" w:rsidRDefault="006D4D2E" w:rsidP="00924CE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E448B">
        <w:rPr>
          <w:b/>
          <w:bCs/>
        </w:rPr>
        <w:t xml:space="preserve">Condition – </w:t>
      </w:r>
      <w:r w:rsidR="00B327CC">
        <w:rPr>
          <w:b/>
          <w:bCs/>
        </w:rPr>
        <w:t>S</w:t>
      </w:r>
      <w:r w:rsidRPr="00DE448B">
        <w:rPr>
          <w:b/>
          <w:bCs/>
        </w:rPr>
        <w:t>tated areas or routes</w:t>
      </w:r>
    </w:p>
    <w:p w14:paraId="555CCEA5" w14:textId="77777777" w:rsidR="00924CE5" w:rsidRDefault="00924CE5" w:rsidP="00924CE5">
      <w:pPr>
        <w:pStyle w:val="ListParagraph"/>
        <w:jc w:val="both"/>
        <w:rPr>
          <w:b/>
          <w:bCs/>
        </w:rPr>
      </w:pPr>
    </w:p>
    <w:p w14:paraId="368E3B37" w14:textId="7FCFA147" w:rsidR="00BD3D48" w:rsidRDefault="00BD3D48" w:rsidP="00EB6941">
      <w:pPr>
        <w:pStyle w:val="ListParagraph"/>
        <w:numPr>
          <w:ilvl w:val="0"/>
          <w:numId w:val="17"/>
        </w:numPr>
        <w:jc w:val="both"/>
      </w:pPr>
      <w:r w:rsidRPr="00B526B5">
        <w:t>Pursuant to s1</w:t>
      </w:r>
      <w:r w:rsidR="003D54EB">
        <w:t>19</w:t>
      </w:r>
      <w:r w:rsidRPr="00B526B5">
        <w:t>(</w:t>
      </w:r>
      <w:r>
        <w:t>1</w:t>
      </w:r>
      <w:r w:rsidRPr="00B526B5">
        <w:t>)</w:t>
      </w:r>
      <w:r>
        <w:t>(</w:t>
      </w:r>
      <w:r w:rsidR="003D54EB">
        <w:t>a</w:t>
      </w:r>
      <w:r>
        <w:t xml:space="preserve">) </w:t>
      </w:r>
      <w:r w:rsidRPr="00B526B5">
        <w:t xml:space="preserve">of the HVNL, </w:t>
      </w:r>
      <w:r w:rsidR="0044395B" w:rsidRPr="00B526B5">
        <w:t xml:space="preserve">an </w:t>
      </w:r>
      <w:r w:rsidR="0044395B">
        <w:t>area or route stated</w:t>
      </w:r>
      <w:r w:rsidR="0044395B" w:rsidRPr="00B526B5">
        <w:t xml:space="preserve"> in </w:t>
      </w:r>
      <w:r w:rsidR="0044395B">
        <w:t>this section is an area or route to which this notice applies</w:t>
      </w:r>
      <w:r w:rsidR="0044395B" w:rsidRPr="00B526B5">
        <w:t>.</w:t>
      </w:r>
    </w:p>
    <w:p w14:paraId="098276CA" w14:textId="77777777" w:rsidR="00BD3D48" w:rsidRDefault="00BD3D48" w:rsidP="00BD3D48">
      <w:pPr>
        <w:pStyle w:val="ListParagraph"/>
        <w:ind w:left="1080"/>
        <w:jc w:val="both"/>
      </w:pPr>
    </w:p>
    <w:p w14:paraId="6D13D3A2" w14:textId="4680B60E" w:rsidR="00BD3D48" w:rsidRDefault="00BD3D48" w:rsidP="00EB6941">
      <w:pPr>
        <w:pStyle w:val="ListParagraph"/>
        <w:numPr>
          <w:ilvl w:val="0"/>
          <w:numId w:val="17"/>
        </w:numPr>
        <w:jc w:val="both"/>
      </w:pPr>
      <w:r>
        <w:t>Pursuant to section 1</w:t>
      </w:r>
      <w:r w:rsidR="00C535C2">
        <w:t>19</w:t>
      </w:r>
      <w:r>
        <w:t xml:space="preserve">(2) of the HVNL, </w:t>
      </w:r>
      <w:r w:rsidR="00DC1F2C">
        <w:t>a stated map or stated list referred to in a schedule of this notice is an area or route to which this notice applies.</w:t>
      </w:r>
    </w:p>
    <w:p w14:paraId="6BF08392" w14:textId="77777777" w:rsidR="00EB3736" w:rsidRDefault="00EB3736" w:rsidP="00EB3736">
      <w:pPr>
        <w:pStyle w:val="ListParagraph"/>
      </w:pPr>
    </w:p>
    <w:p w14:paraId="74507AC2" w14:textId="1CC31D96" w:rsidR="00EB3736" w:rsidRDefault="00EB3736" w:rsidP="00EB6941">
      <w:pPr>
        <w:pStyle w:val="ListParagraph"/>
        <w:numPr>
          <w:ilvl w:val="0"/>
          <w:numId w:val="17"/>
        </w:numPr>
        <w:jc w:val="both"/>
      </w:pPr>
      <w:r>
        <w:t xml:space="preserve">In this section, </w:t>
      </w:r>
      <w:r w:rsidR="00DC1F2C">
        <w:t xml:space="preserve">a </w:t>
      </w:r>
      <w:r w:rsidRPr="006850B6">
        <w:rPr>
          <w:b/>
          <w:bCs/>
          <w:i/>
          <w:iCs/>
        </w:rPr>
        <w:t>network</w:t>
      </w:r>
      <w:r>
        <w:t xml:space="preserve"> </w:t>
      </w:r>
      <w:r w:rsidR="00DC1F2C">
        <w:t>is</w:t>
      </w:r>
      <w:r>
        <w:t xml:space="preserve"> a </w:t>
      </w:r>
      <w:r w:rsidR="00E57A05">
        <w:t xml:space="preserve">stated </w:t>
      </w:r>
      <w:r>
        <w:t xml:space="preserve">map or </w:t>
      </w:r>
      <w:r w:rsidR="00E57A05">
        <w:t xml:space="preserve">stated </w:t>
      </w:r>
      <w:r>
        <w:t xml:space="preserve">list </w:t>
      </w:r>
      <w:r w:rsidR="00536816">
        <w:t>referred to under 2)</w:t>
      </w:r>
      <w:r w:rsidR="00E57A05">
        <w:t>.</w:t>
      </w:r>
    </w:p>
    <w:p w14:paraId="7618CD6D" w14:textId="77777777" w:rsidR="00AC3C27" w:rsidRDefault="00AC3C27" w:rsidP="00AC3C27">
      <w:pPr>
        <w:pStyle w:val="ListParagraph"/>
      </w:pPr>
    </w:p>
    <w:p w14:paraId="5409A8F2" w14:textId="0B528DBA" w:rsidR="00DF530D" w:rsidRDefault="00AC3C27" w:rsidP="006E606D">
      <w:pPr>
        <w:pStyle w:val="ListParagraph"/>
        <w:numPr>
          <w:ilvl w:val="0"/>
          <w:numId w:val="17"/>
        </w:numPr>
        <w:jc w:val="both"/>
      </w:pPr>
      <w:r>
        <w:t xml:space="preserve">An eligible vehicle </w:t>
      </w:r>
      <w:r w:rsidR="0019721B">
        <w:t xml:space="preserve">complying with the conditions of this notice may </w:t>
      </w:r>
      <w:r w:rsidR="00DF530D">
        <w:t>operate on the following network:</w:t>
      </w:r>
    </w:p>
    <w:p w14:paraId="661282A8" w14:textId="61D3FD03" w:rsidR="00355725" w:rsidRPr="00DC4C28" w:rsidRDefault="004F4ED6" w:rsidP="00DC4C28">
      <w:pPr>
        <w:pStyle w:val="ListParagraph"/>
        <w:ind w:left="1080"/>
        <w:jc w:val="center"/>
        <w:rPr>
          <w:i/>
          <w:iCs/>
        </w:rPr>
      </w:pPr>
      <w:r w:rsidRPr="00DC4C28">
        <w:rPr>
          <w:i/>
          <w:iCs/>
        </w:rPr>
        <w:t>5.</w:t>
      </w:r>
      <w:r w:rsidR="00C12B09">
        <w:rPr>
          <w:i/>
          <w:iCs/>
        </w:rPr>
        <w:t>0</w:t>
      </w:r>
      <w:r w:rsidRPr="00DC4C28">
        <w:rPr>
          <w:i/>
          <w:iCs/>
        </w:rPr>
        <w:t>m wide OS combinations (</w:t>
      </w:r>
      <w:r w:rsidR="00F52CFA">
        <w:rPr>
          <w:i/>
          <w:iCs/>
        </w:rPr>
        <w:t>Up to 42.5t</w:t>
      </w:r>
      <w:r w:rsidRPr="00DC4C28">
        <w:rPr>
          <w:i/>
          <w:iCs/>
        </w:rPr>
        <w:t>)</w:t>
      </w:r>
    </w:p>
    <w:p w14:paraId="2A61B833" w14:textId="77777777" w:rsidR="0005355F" w:rsidRPr="00355725" w:rsidRDefault="0005355F" w:rsidP="00355725">
      <w:pPr>
        <w:pStyle w:val="ListParagraph"/>
        <w:ind w:left="3600"/>
        <w:jc w:val="both"/>
      </w:pPr>
    </w:p>
    <w:p w14:paraId="3BC65475" w14:textId="2F934E5E" w:rsidR="00BD3D48" w:rsidRPr="00F230DA" w:rsidRDefault="00BD3D48" w:rsidP="00EB6941">
      <w:pPr>
        <w:pStyle w:val="ListParagraph"/>
        <w:numPr>
          <w:ilvl w:val="0"/>
          <w:numId w:val="17"/>
        </w:numPr>
        <w:jc w:val="both"/>
      </w:pPr>
      <w:r w:rsidRPr="00F230DA">
        <w:t>Pursuant to section 1</w:t>
      </w:r>
      <w:r w:rsidR="004574BB">
        <w:t>19</w:t>
      </w:r>
      <w:r w:rsidRPr="00F230DA">
        <w:t>(</w:t>
      </w:r>
      <w:r w:rsidR="000B0EF7">
        <w:t>1</w:t>
      </w:r>
      <w:r w:rsidRPr="00F230DA">
        <w:t>)</w:t>
      </w:r>
      <w:r w:rsidR="000B0EF7">
        <w:t>(c)</w:t>
      </w:r>
      <w:r w:rsidRPr="00F230DA">
        <w:t xml:space="preserve"> of the HVNL, an eligible vehicle operating on an area or route stated in </w:t>
      </w:r>
      <w:r w:rsidR="004A1397" w:rsidRPr="00F230DA">
        <w:t xml:space="preserve">this </w:t>
      </w:r>
      <w:r w:rsidR="005306DC" w:rsidRPr="00F230DA">
        <w:t xml:space="preserve">notice </w:t>
      </w:r>
      <w:r w:rsidRPr="00F230DA">
        <w:t xml:space="preserve">must comply with any of the following conditions prescribed for </w:t>
      </w:r>
      <w:r w:rsidR="00E62D8B">
        <w:t xml:space="preserve">or by </w:t>
      </w:r>
      <w:r w:rsidRPr="00F230DA">
        <w:t>that area or route:</w:t>
      </w:r>
    </w:p>
    <w:p w14:paraId="42A2E8AA" w14:textId="77777777" w:rsidR="00BD3D48" w:rsidRPr="00F230DA" w:rsidRDefault="00BD3D48" w:rsidP="00BD3D48">
      <w:pPr>
        <w:pStyle w:val="ListParagraph"/>
        <w:ind w:left="1440"/>
        <w:jc w:val="both"/>
      </w:pPr>
    </w:p>
    <w:p w14:paraId="7EC4ABA1" w14:textId="77777777" w:rsidR="00BD3D48" w:rsidRPr="00F230DA" w:rsidRDefault="00BD3D48" w:rsidP="00BB41C7">
      <w:pPr>
        <w:pStyle w:val="ListParagraph"/>
        <w:numPr>
          <w:ilvl w:val="0"/>
          <w:numId w:val="12"/>
        </w:numPr>
        <w:jc w:val="both"/>
      </w:pPr>
      <w:r w:rsidRPr="00F230DA">
        <w:t>Road conditions pursuant to section 160 of the HVNL; and</w:t>
      </w:r>
    </w:p>
    <w:p w14:paraId="59F93294" w14:textId="77777777" w:rsidR="00BD3D48" w:rsidRPr="00F230DA" w:rsidRDefault="00BD3D48" w:rsidP="00BB41C7">
      <w:pPr>
        <w:pStyle w:val="ListParagraph"/>
        <w:numPr>
          <w:ilvl w:val="0"/>
          <w:numId w:val="12"/>
        </w:numPr>
        <w:jc w:val="both"/>
      </w:pPr>
      <w:r w:rsidRPr="00F230DA">
        <w:t>Travel conditions pursuant to section 161 of the HVNL; and</w:t>
      </w:r>
    </w:p>
    <w:p w14:paraId="4816319B" w14:textId="77777777" w:rsidR="00BD3D48" w:rsidRPr="00F230DA" w:rsidRDefault="00BD3D48" w:rsidP="00BB41C7">
      <w:pPr>
        <w:pStyle w:val="ListParagraph"/>
        <w:numPr>
          <w:ilvl w:val="0"/>
          <w:numId w:val="12"/>
        </w:numPr>
        <w:jc w:val="both"/>
      </w:pPr>
      <w:r w:rsidRPr="00F230DA">
        <w:t>Vehicle conditions pursuant to section 162 of the HVNL.</w:t>
      </w:r>
    </w:p>
    <w:p w14:paraId="4BABABC4" w14:textId="77777777" w:rsidR="00BD3D48" w:rsidRPr="00F230DA" w:rsidRDefault="00BD3D48" w:rsidP="00924CE5">
      <w:pPr>
        <w:pStyle w:val="ListParagraph"/>
        <w:jc w:val="both"/>
        <w:rPr>
          <w:b/>
          <w:bCs/>
        </w:rPr>
      </w:pPr>
    </w:p>
    <w:p w14:paraId="6F2B558C" w14:textId="7FA68127" w:rsidR="00355725" w:rsidRPr="00F230DA" w:rsidRDefault="00355725" w:rsidP="00EB6941">
      <w:pPr>
        <w:pStyle w:val="ListParagraph"/>
        <w:numPr>
          <w:ilvl w:val="0"/>
          <w:numId w:val="17"/>
        </w:numPr>
        <w:jc w:val="both"/>
      </w:pPr>
      <w:bookmarkStart w:id="1" w:name="_Hlk168577531"/>
      <w:r w:rsidRPr="00F230DA">
        <w:t>Pursuant to section 1</w:t>
      </w:r>
      <w:r w:rsidR="00D95F13">
        <w:t>19</w:t>
      </w:r>
      <w:r w:rsidRPr="00F230DA">
        <w:t>(3), an</w:t>
      </w:r>
      <w:r w:rsidR="0049716E">
        <w:t xml:space="preserve"> eligible vehicle </w:t>
      </w:r>
      <w:r w:rsidR="00F230DA" w:rsidRPr="00F230DA">
        <w:t xml:space="preserve">operating </w:t>
      </w:r>
      <w:r w:rsidR="0049716E">
        <w:t>i</w:t>
      </w:r>
      <w:r w:rsidR="00F230DA" w:rsidRPr="00F230DA">
        <w:t xml:space="preserve">n an area or route stated in this notice </w:t>
      </w:r>
      <w:r w:rsidRPr="00F230DA">
        <w:t xml:space="preserve">must comply with any conditions or restrictions </w:t>
      </w:r>
      <w:r w:rsidR="00834007" w:rsidRPr="0064333A">
        <w:t>set out in the </w:t>
      </w:r>
      <w:r w:rsidR="006B78F8">
        <w:rPr>
          <w:i/>
          <w:iCs/>
        </w:rPr>
        <w:t>Network and Mapping</w:t>
      </w:r>
      <w:r w:rsidR="00834007">
        <w:rPr>
          <w:i/>
          <w:iCs/>
        </w:rPr>
        <w:t xml:space="preserve"> </w:t>
      </w:r>
      <w:r w:rsidR="00834007" w:rsidRPr="0064333A">
        <w:t>section of the Guide</w:t>
      </w:r>
      <w:r w:rsidR="00834007">
        <w:t>.</w:t>
      </w:r>
    </w:p>
    <w:p w14:paraId="6C7DD8FD" w14:textId="77777777" w:rsidR="00355725" w:rsidRDefault="00355725" w:rsidP="00355725">
      <w:pPr>
        <w:pStyle w:val="ListParagraph"/>
        <w:jc w:val="both"/>
        <w:rPr>
          <w:lang w:val="en-US"/>
        </w:rPr>
      </w:pPr>
    </w:p>
    <w:p w14:paraId="1F8D32C7" w14:textId="6DF60A1A" w:rsidR="00A6159D" w:rsidRPr="008F3389" w:rsidRDefault="00E659C0" w:rsidP="00A6159D">
      <w:pPr>
        <w:spacing w:after="200" w:line="276" w:lineRule="auto"/>
        <w:ind w:firstLine="720"/>
        <w:contextualSpacing/>
        <w:rPr>
          <w:rFonts w:eastAsia="Calibri" w:cs="Calibri"/>
        </w:rPr>
      </w:pPr>
      <w:r w:rsidRPr="00E659C0">
        <w:rPr>
          <w:rFonts w:eastAsia="Calibri" w:cs="Calibri"/>
        </w:rPr>
        <w:t>Jose Arredondo</w:t>
      </w:r>
    </w:p>
    <w:p w14:paraId="06E1C2CE" w14:textId="18361299" w:rsidR="00A6159D" w:rsidRPr="008F3389" w:rsidRDefault="008B7C4A" w:rsidP="00A6159D">
      <w:pPr>
        <w:spacing w:after="60" w:line="240" w:lineRule="auto"/>
        <w:ind w:firstLine="720"/>
        <w:contextualSpacing/>
        <w:rPr>
          <w:rFonts w:eastAsia="Calibri" w:cs="Calibri"/>
          <w:i/>
        </w:rPr>
      </w:pPr>
      <w:r w:rsidRPr="008B7C4A">
        <w:rPr>
          <w:rFonts w:eastAsia="Calibri" w:cs="Calibri"/>
          <w:i/>
        </w:rPr>
        <w:t>Manager – Network Access Policy</w:t>
      </w:r>
    </w:p>
    <w:p w14:paraId="067AD5C2" w14:textId="18F3C141" w:rsidR="00972339" w:rsidRPr="00A6159D" w:rsidRDefault="00A6159D" w:rsidP="00A6159D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National Heavy Vehicle Regulator</w:t>
      </w:r>
      <w:bookmarkEnd w:id="1"/>
    </w:p>
    <w:sectPr w:rsidR="00972339" w:rsidRPr="00A6159D" w:rsidSect="00DD02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526F5" w14:textId="77777777" w:rsidR="003B09C7" w:rsidRDefault="003B09C7" w:rsidP="00FF165E">
      <w:pPr>
        <w:spacing w:after="0" w:line="240" w:lineRule="auto"/>
      </w:pPr>
      <w:r>
        <w:separator/>
      </w:r>
    </w:p>
  </w:endnote>
  <w:endnote w:type="continuationSeparator" w:id="0">
    <w:p w14:paraId="1D3BEB77" w14:textId="77777777" w:rsidR="003B09C7" w:rsidRDefault="003B09C7" w:rsidP="00FF165E">
      <w:pPr>
        <w:spacing w:after="0" w:line="240" w:lineRule="auto"/>
      </w:pPr>
      <w:r>
        <w:continuationSeparator/>
      </w:r>
    </w:p>
  </w:endnote>
  <w:endnote w:type="continuationNotice" w:id="1">
    <w:p w14:paraId="061338BC" w14:textId="77777777" w:rsidR="003B09C7" w:rsidRDefault="003B09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0A966" w14:textId="77818FA1" w:rsidR="00BB41C7" w:rsidRDefault="006D5F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221D61D" wp14:editId="0EA867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390311258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077C63" w14:textId="723BA878" w:rsidR="006D5FFB" w:rsidRPr="006D5FFB" w:rsidRDefault="006D5FFB" w:rsidP="006D5FF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D5FF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21D61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0;width:54.05pt;height:29.9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" filled="f" stroked="f">
              <v:textbox style="mso-fit-shape-to-text:t" inset="0,0,0,15pt">
                <w:txbxContent>
                  <w:p w14:paraId="18077C63" w14:textId="723BA878" w:rsidR="006D5FFB" w:rsidRPr="006D5FFB" w:rsidRDefault="006D5FFB" w:rsidP="006D5FF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D5FF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C92B3" w14:textId="6ECF08C9" w:rsidR="00FF165E" w:rsidRDefault="00FF165E">
    <w:pPr>
      <w:pStyle w:val="Footer"/>
      <w:jc w:val="right"/>
    </w:pPr>
  </w:p>
  <w:p w14:paraId="1C8E25BA" w14:textId="410B6515" w:rsidR="00FF165E" w:rsidRDefault="002E3518">
    <w:pPr>
      <w:pStyle w:val="Footer"/>
      <w:jc w:val="right"/>
    </w:pPr>
    <w:r w:rsidRPr="002E3518">
      <w:t xml:space="preserve">South Australia Class 1 Load Carrying Vehicle Dimension Exemption </w:t>
    </w:r>
    <w:r w:rsidR="00752025">
      <w:t xml:space="preserve">Trial </w:t>
    </w:r>
    <w:r w:rsidRPr="002E3518">
      <w:t>Notice 202</w:t>
    </w:r>
    <w:r w:rsidR="00A6159D">
      <w:t>5</w:t>
    </w:r>
    <w:r w:rsidRPr="002E3518">
      <w:t xml:space="preserve"> </w:t>
    </w:r>
    <w:r w:rsidR="00FA264F" w:rsidRPr="00FA264F">
      <w:t>(No.1)</w:t>
    </w:r>
  </w:p>
  <w:sdt>
    <w:sdtPr>
      <w:id w:val="-4561807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4797CB" w14:textId="3CD87F8D" w:rsidR="00FF165E" w:rsidRDefault="00FF165E" w:rsidP="00FF16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9EF7E" w14:textId="7BCCF8DF" w:rsidR="00BA461D" w:rsidRDefault="00BA461D" w:rsidP="00BA461D">
    <w:pPr>
      <w:pStyle w:val="Footer"/>
      <w:jc w:val="right"/>
    </w:pPr>
    <w:r w:rsidRPr="002E3518">
      <w:t xml:space="preserve">South Australia Class 1 Load Carrying Vehicle Dimension Exemption </w:t>
    </w:r>
    <w:r>
      <w:t xml:space="preserve">Trial </w:t>
    </w:r>
    <w:r w:rsidRPr="002E3518">
      <w:t>Notice 202</w:t>
    </w:r>
    <w:r w:rsidR="00A6159D">
      <w:t>5</w:t>
    </w:r>
    <w:r w:rsidRPr="002E3518">
      <w:t xml:space="preserve"> </w:t>
    </w:r>
    <w:r w:rsidRPr="00FA264F">
      <w:t>(No.1)</w:t>
    </w:r>
  </w:p>
  <w:sdt>
    <w:sdtPr>
      <w:id w:val="-1056543075"/>
      <w:docPartObj>
        <w:docPartGallery w:val="Page Numbers (Bottom of Page)"/>
        <w:docPartUnique/>
      </w:docPartObj>
    </w:sdtPr>
    <w:sdtContent>
      <w:sdt>
        <w:sdtPr>
          <w:id w:val="-998577836"/>
          <w:docPartObj>
            <w:docPartGallery w:val="Page Numbers (Top of Page)"/>
            <w:docPartUnique/>
          </w:docPartObj>
        </w:sdtPr>
        <w:sdtContent>
          <w:p w14:paraId="385944FE" w14:textId="7C6582EC" w:rsidR="00BB41C7" w:rsidRDefault="00BA461D" w:rsidP="00BA461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2DFC3" w14:textId="77777777" w:rsidR="003B09C7" w:rsidRDefault="003B09C7" w:rsidP="00FF165E">
      <w:pPr>
        <w:spacing w:after="0" w:line="240" w:lineRule="auto"/>
      </w:pPr>
      <w:r>
        <w:separator/>
      </w:r>
    </w:p>
  </w:footnote>
  <w:footnote w:type="continuationSeparator" w:id="0">
    <w:p w14:paraId="70C6AA34" w14:textId="77777777" w:rsidR="003B09C7" w:rsidRDefault="003B09C7" w:rsidP="00FF165E">
      <w:pPr>
        <w:spacing w:after="0" w:line="240" w:lineRule="auto"/>
      </w:pPr>
      <w:r>
        <w:continuationSeparator/>
      </w:r>
    </w:p>
  </w:footnote>
  <w:footnote w:type="continuationNotice" w:id="1">
    <w:p w14:paraId="153DA378" w14:textId="77777777" w:rsidR="003B09C7" w:rsidRDefault="003B09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DECF0" w14:textId="149A1E1A" w:rsidR="00BB41C7" w:rsidRDefault="006D5F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32BF635" wp14:editId="2A35690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66755109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3B9E16" w14:textId="032C894A" w:rsidR="006D5FFB" w:rsidRPr="006D5FFB" w:rsidRDefault="006D5FFB" w:rsidP="006D5FF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D5FF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BF6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9.9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" filled="f" stroked="f">
              <v:textbox style="mso-fit-shape-to-text:t" inset="0,15pt,0,0">
                <w:txbxContent>
                  <w:p w14:paraId="4D3B9E16" w14:textId="032C894A" w:rsidR="006D5FFB" w:rsidRPr="006D5FFB" w:rsidRDefault="006D5FFB" w:rsidP="006D5FF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D5FF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ECCC" w14:textId="7896FBB9" w:rsidR="00EE3B29" w:rsidRDefault="00EE3B29">
    <w:pPr>
      <w:pStyle w:val="Header"/>
    </w:pPr>
  </w:p>
  <w:p w14:paraId="2E393163" w14:textId="13E2A314" w:rsidR="00EE3B29" w:rsidRDefault="00EE3B29">
    <w:pPr>
      <w:pStyle w:val="Header"/>
    </w:pPr>
  </w:p>
  <w:p w14:paraId="6BD5144F" w14:textId="74D2CB0D" w:rsidR="00BB41C7" w:rsidRDefault="00BB41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-284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BA461D" w:rsidRPr="00CE796A" w14:paraId="0EFC9A13" w14:textId="77777777" w:rsidTr="00D177F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6DEE48F" w14:textId="77777777" w:rsidR="00BA461D" w:rsidRPr="00CE796A" w:rsidRDefault="00BA461D" w:rsidP="00BA461D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CDF625F" wp14:editId="30CDA749">
                <wp:extent cx="702945" cy="544195"/>
                <wp:effectExtent l="0" t="0" r="0" b="8255"/>
                <wp:docPr id="1949251" name="Picture 194925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F31D70" w14:textId="77777777" w:rsidR="00BA461D" w:rsidRPr="00CE796A" w:rsidRDefault="00BA461D" w:rsidP="00BA46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CBD2336" w14:textId="77777777" w:rsidR="00BA461D" w:rsidRPr="00CE796A" w:rsidRDefault="00BA461D" w:rsidP="00BA461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BA461D" w:rsidRPr="00CE796A" w14:paraId="5FEAC6F4" w14:textId="77777777" w:rsidTr="00D177F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BAF7B03" w14:textId="77777777" w:rsidR="00BA461D" w:rsidRPr="00CE796A" w:rsidRDefault="00BA461D" w:rsidP="00BA461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60EC6BA" w14:textId="77777777" w:rsidR="00BA461D" w:rsidRPr="00840A06" w:rsidRDefault="00BA461D" w:rsidP="00BA461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282CAB7C" w14:textId="05736463" w:rsidR="00BB41C7" w:rsidRDefault="00BB4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054E"/>
    <w:multiLevelType w:val="hybridMultilevel"/>
    <w:tmpl w:val="8B7A290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C7F39"/>
    <w:multiLevelType w:val="hybridMultilevel"/>
    <w:tmpl w:val="54162B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E70B7C"/>
    <w:multiLevelType w:val="hybridMultilevel"/>
    <w:tmpl w:val="88BAC3F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402FC"/>
    <w:multiLevelType w:val="hybridMultilevel"/>
    <w:tmpl w:val="58BED800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201A11"/>
    <w:multiLevelType w:val="hybridMultilevel"/>
    <w:tmpl w:val="8B9C6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2B9B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C35A29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8F41D9"/>
    <w:multiLevelType w:val="hybridMultilevel"/>
    <w:tmpl w:val="B8320C0C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28722D"/>
    <w:multiLevelType w:val="hybridMultilevel"/>
    <w:tmpl w:val="D98C6382"/>
    <w:lvl w:ilvl="0" w:tplc="CFF0A5A6">
      <w:start w:val="1"/>
      <w:numFmt w:val="decimal"/>
      <w:lvlText w:val="%1)"/>
      <w:lvlJc w:val="left"/>
      <w:pPr>
        <w:ind w:left="1080" w:hanging="360"/>
      </w:pPr>
    </w:lvl>
    <w:lvl w:ilvl="1" w:tplc="549A1064">
      <w:start w:val="1"/>
      <w:numFmt w:val="decimal"/>
      <w:lvlText w:val="%2)"/>
      <w:lvlJc w:val="left"/>
      <w:pPr>
        <w:ind w:left="1080" w:hanging="360"/>
      </w:pPr>
    </w:lvl>
    <w:lvl w:ilvl="2" w:tplc="53CC2926">
      <w:start w:val="1"/>
      <w:numFmt w:val="decimal"/>
      <w:lvlText w:val="%3)"/>
      <w:lvlJc w:val="left"/>
      <w:pPr>
        <w:ind w:left="1080" w:hanging="360"/>
      </w:pPr>
    </w:lvl>
    <w:lvl w:ilvl="3" w:tplc="E552FA54">
      <w:start w:val="1"/>
      <w:numFmt w:val="decimal"/>
      <w:lvlText w:val="%4)"/>
      <w:lvlJc w:val="left"/>
      <w:pPr>
        <w:ind w:left="1080" w:hanging="360"/>
      </w:pPr>
    </w:lvl>
    <w:lvl w:ilvl="4" w:tplc="FC9EF71C">
      <w:start w:val="1"/>
      <w:numFmt w:val="decimal"/>
      <w:lvlText w:val="%5)"/>
      <w:lvlJc w:val="left"/>
      <w:pPr>
        <w:ind w:left="1080" w:hanging="360"/>
      </w:pPr>
    </w:lvl>
    <w:lvl w:ilvl="5" w:tplc="B404A8F4">
      <w:start w:val="1"/>
      <w:numFmt w:val="decimal"/>
      <w:lvlText w:val="%6)"/>
      <w:lvlJc w:val="left"/>
      <w:pPr>
        <w:ind w:left="1080" w:hanging="360"/>
      </w:pPr>
    </w:lvl>
    <w:lvl w:ilvl="6" w:tplc="18280D9A">
      <w:start w:val="1"/>
      <w:numFmt w:val="decimal"/>
      <w:lvlText w:val="%7)"/>
      <w:lvlJc w:val="left"/>
      <w:pPr>
        <w:ind w:left="1080" w:hanging="360"/>
      </w:pPr>
    </w:lvl>
    <w:lvl w:ilvl="7" w:tplc="1B76BCAA">
      <w:start w:val="1"/>
      <w:numFmt w:val="decimal"/>
      <w:lvlText w:val="%8)"/>
      <w:lvlJc w:val="left"/>
      <w:pPr>
        <w:ind w:left="1080" w:hanging="360"/>
      </w:pPr>
    </w:lvl>
    <w:lvl w:ilvl="8" w:tplc="4CEEDCF0">
      <w:start w:val="1"/>
      <w:numFmt w:val="decimal"/>
      <w:lvlText w:val="%9)"/>
      <w:lvlJc w:val="left"/>
      <w:pPr>
        <w:ind w:left="1080" w:hanging="360"/>
      </w:pPr>
    </w:lvl>
  </w:abstractNum>
  <w:abstractNum w:abstractNumId="9" w15:restartNumberingAfterBreak="0">
    <w:nsid w:val="36447F0D"/>
    <w:multiLevelType w:val="hybridMultilevel"/>
    <w:tmpl w:val="ED9C054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70FD1"/>
    <w:multiLevelType w:val="hybridMultilevel"/>
    <w:tmpl w:val="071AED82"/>
    <w:lvl w:ilvl="0" w:tplc="2A648690">
      <w:start w:val="1"/>
      <w:numFmt w:val="decimal"/>
      <w:lvlText w:val="%1)"/>
      <w:lvlJc w:val="left"/>
      <w:pPr>
        <w:ind w:left="1080" w:hanging="360"/>
      </w:pPr>
    </w:lvl>
    <w:lvl w:ilvl="1" w:tplc="C4849AD2">
      <w:start w:val="1"/>
      <w:numFmt w:val="decimal"/>
      <w:lvlText w:val="%2)"/>
      <w:lvlJc w:val="left"/>
      <w:pPr>
        <w:ind w:left="1080" w:hanging="360"/>
      </w:pPr>
    </w:lvl>
    <w:lvl w:ilvl="2" w:tplc="107254A8">
      <w:start w:val="1"/>
      <w:numFmt w:val="decimal"/>
      <w:lvlText w:val="%3)"/>
      <w:lvlJc w:val="left"/>
      <w:pPr>
        <w:ind w:left="1080" w:hanging="360"/>
      </w:pPr>
    </w:lvl>
    <w:lvl w:ilvl="3" w:tplc="4726DB08">
      <w:start w:val="1"/>
      <w:numFmt w:val="decimal"/>
      <w:lvlText w:val="%4)"/>
      <w:lvlJc w:val="left"/>
      <w:pPr>
        <w:ind w:left="1080" w:hanging="360"/>
      </w:pPr>
    </w:lvl>
    <w:lvl w:ilvl="4" w:tplc="86226BF8">
      <w:start w:val="1"/>
      <w:numFmt w:val="decimal"/>
      <w:lvlText w:val="%5)"/>
      <w:lvlJc w:val="left"/>
      <w:pPr>
        <w:ind w:left="1080" w:hanging="360"/>
      </w:pPr>
    </w:lvl>
    <w:lvl w:ilvl="5" w:tplc="99224200">
      <w:start w:val="1"/>
      <w:numFmt w:val="decimal"/>
      <w:lvlText w:val="%6)"/>
      <w:lvlJc w:val="left"/>
      <w:pPr>
        <w:ind w:left="1080" w:hanging="360"/>
      </w:pPr>
    </w:lvl>
    <w:lvl w:ilvl="6" w:tplc="7932071A">
      <w:start w:val="1"/>
      <w:numFmt w:val="decimal"/>
      <w:lvlText w:val="%7)"/>
      <w:lvlJc w:val="left"/>
      <w:pPr>
        <w:ind w:left="1080" w:hanging="360"/>
      </w:pPr>
    </w:lvl>
    <w:lvl w:ilvl="7" w:tplc="F08EFBCC">
      <w:start w:val="1"/>
      <w:numFmt w:val="decimal"/>
      <w:lvlText w:val="%8)"/>
      <w:lvlJc w:val="left"/>
      <w:pPr>
        <w:ind w:left="1080" w:hanging="360"/>
      </w:pPr>
    </w:lvl>
    <w:lvl w:ilvl="8" w:tplc="4DAC3BEE">
      <w:start w:val="1"/>
      <w:numFmt w:val="decimal"/>
      <w:lvlText w:val="%9)"/>
      <w:lvlJc w:val="left"/>
      <w:pPr>
        <w:ind w:left="1080" w:hanging="360"/>
      </w:pPr>
    </w:lvl>
  </w:abstractNum>
  <w:abstractNum w:abstractNumId="11" w15:restartNumberingAfterBreak="0">
    <w:nsid w:val="3FAF6910"/>
    <w:multiLevelType w:val="hybridMultilevel"/>
    <w:tmpl w:val="A282D544"/>
    <w:lvl w:ilvl="0" w:tplc="4BA45B56">
      <w:start w:val="1"/>
      <w:numFmt w:val="decimal"/>
      <w:lvlText w:val="%1)"/>
      <w:lvlJc w:val="left"/>
      <w:pPr>
        <w:ind w:left="1080" w:hanging="360"/>
      </w:pPr>
    </w:lvl>
    <w:lvl w:ilvl="1" w:tplc="4B707A9E">
      <w:start w:val="1"/>
      <w:numFmt w:val="decimal"/>
      <w:lvlText w:val="%2)"/>
      <w:lvlJc w:val="left"/>
      <w:pPr>
        <w:ind w:left="1080" w:hanging="360"/>
      </w:pPr>
    </w:lvl>
    <w:lvl w:ilvl="2" w:tplc="6B168BE2">
      <w:start w:val="1"/>
      <w:numFmt w:val="decimal"/>
      <w:lvlText w:val="%3)"/>
      <w:lvlJc w:val="left"/>
      <w:pPr>
        <w:ind w:left="1080" w:hanging="360"/>
      </w:pPr>
    </w:lvl>
    <w:lvl w:ilvl="3" w:tplc="00669C50">
      <w:start w:val="1"/>
      <w:numFmt w:val="decimal"/>
      <w:lvlText w:val="%4)"/>
      <w:lvlJc w:val="left"/>
      <w:pPr>
        <w:ind w:left="1080" w:hanging="360"/>
      </w:pPr>
    </w:lvl>
    <w:lvl w:ilvl="4" w:tplc="2004BB74">
      <w:start w:val="1"/>
      <w:numFmt w:val="decimal"/>
      <w:lvlText w:val="%5)"/>
      <w:lvlJc w:val="left"/>
      <w:pPr>
        <w:ind w:left="1080" w:hanging="360"/>
      </w:pPr>
    </w:lvl>
    <w:lvl w:ilvl="5" w:tplc="EEC46A64">
      <w:start w:val="1"/>
      <w:numFmt w:val="decimal"/>
      <w:lvlText w:val="%6)"/>
      <w:lvlJc w:val="left"/>
      <w:pPr>
        <w:ind w:left="1080" w:hanging="360"/>
      </w:pPr>
    </w:lvl>
    <w:lvl w:ilvl="6" w:tplc="FC24A698">
      <w:start w:val="1"/>
      <w:numFmt w:val="decimal"/>
      <w:lvlText w:val="%7)"/>
      <w:lvlJc w:val="left"/>
      <w:pPr>
        <w:ind w:left="1080" w:hanging="360"/>
      </w:pPr>
    </w:lvl>
    <w:lvl w:ilvl="7" w:tplc="9E98CB6A">
      <w:start w:val="1"/>
      <w:numFmt w:val="decimal"/>
      <w:lvlText w:val="%8)"/>
      <w:lvlJc w:val="left"/>
      <w:pPr>
        <w:ind w:left="1080" w:hanging="360"/>
      </w:pPr>
    </w:lvl>
    <w:lvl w:ilvl="8" w:tplc="1BAAA8B0">
      <w:start w:val="1"/>
      <w:numFmt w:val="decimal"/>
      <w:lvlText w:val="%9)"/>
      <w:lvlJc w:val="left"/>
      <w:pPr>
        <w:ind w:left="1080" w:hanging="360"/>
      </w:pPr>
    </w:lvl>
  </w:abstractNum>
  <w:abstractNum w:abstractNumId="12" w15:restartNumberingAfterBreak="0">
    <w:nsid w:val="459777E5"/>
    <w:multiLevelType w:val="hybridMultilevel"/>
    <w:tmpl w:val="9A44A208"/>
    <w:lvl w:ilvl="0" w:tplc="BAC6E08A">
      <w:start w:val="1"/>
      <w:numFmt w:val="decimal"/>
      <w:lvlText w:val="%1)"/>
      <w:lvlJc w:val="left"/>
      <w:pPr>
        <w:ind w:left="1080" w:hanging="360"/>
      </w:pPr>
    </w:lvl>
    <w:lvl w:ilvl="1" w:tplc="BA447436">
      <w:start w:val="1"/>
      <w:numFmt w:val="decimal"/>
      <w:lvlText w:val="%2)"/>
      <w:lvlJc w:val="left"/>
      <w:pPr>
        <w:ind w:left="1080" w:hanging="360"/>
      </w:pPr>
    </w:lvl>
    <w:lvl w:ilvl="2" w:tplc="C8062BCC">
      <w:start w:val="1"/>
      <w:numFmt w:val="decimal"/>
      <w:lvlText w:val="%3)"/>
      <w:lvlJc w:val="left"/>
      <w:pPr>
        <w:ind w:left="1080" w:hanging="360"/>
      </w:pPr>
    </w:lvl>
    <w:lvl w:ilvl="3" w:tplc="81366B28">
      <w:start w:val="1"/>
      <w:numFmt w:val="decimal"/>
      <w:lvlText w:val="%4)"/>
      <w:lvlJc w:val="left"/>
      <w:pPr>
        <w:ind w:left="1080" w:hanging="360"/>
      </w:pPr>
    </w:lvl>
    <w:lvl w:ilvl="4" w:tplc="5AA8624A">
      <w:start w:val="1"/>
      <w:numFmt w:val="decimal"/>
      <w:lvlText w:val="%5)"/>
      <w:lvlJc w:val="left"/>
      <w:pPr>
        <w:ind w:left="1080" w:hanging="360"/>
      </w:pPr>
    </w:lvl>
    <w:lvl w:ilvl="5" w:tplc="0BB6A9C6">
      <w:start w:val="1"/>
      <w:numFmt w:val="decimal"/>
      <w:lvlText w:val="%6)"/>
      <w:lvlJc w:val="left"/>
      <w:pPr>
        <w:ind w:left="1080" w:hanging="360"/>
      </w:pPr>
    </w:lvl>
    <w:lvl w:ilvl="6" w:tplc="968C04BA">
      <w:start w:val="1"/>
      <w:numFmt w:val="decimal"/>
      <w:lvlText w:val="%7)"/>
      <w:lvlJc w:val="left"/>
      <w:pPr>
        <w:ind w:left="1080" w:hanging="360"/>
      </w:pPr>
    </w:lvl>
    <w:lvl w:ilvl="7" w:tplc="B9DCA090">
      <w:start w:val="1"/>
      <w:numFmt w:val="decimal"/>
      <w:lvlText w:val="%8)"/>
      <w:lvlJc w:val="left"/>
      <w:pPr>
        <w:ind w:left="1080" w:hanging="360"/>
      </w:pPr>
    </w:lvl>
    <w:lvl w:ilvl="8" w:tplc="43BC0848">
      <w:start w:val="1"/>
      <w:numFmt w:val="decimal"/>
      <w:lvlText w:val="%9)"/>
      <w:lvlJc w:val="left"/>
      <w:pPr>
        <w:ind w:left="1080" w:hanging="360"/>
      </w:pPr>
    </w:lvl>
  </w:abstractNum>
  <w:abstractNum w:abstractNumId="13" w15:restartNumberingAfterBreak="0">
    <w:nsid w:val="45EE0034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152AB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EF78E8"/>
    <w:multiLevelType w:val="hybridMultilevel"/>
    <w:tmpl w:val="5F107544"/>
    <w:lvl w:ilvl="0" w:tplc="E90AD96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049E3"/>
    <w:multiLevelType w:val="hybridMultilevel"/>
    <w:tmpl w:val="6006410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291E59"/>
    <w:multiLevelType w:val="hybridMultilevel"/>
    <w:tmpl w:val="8B7A290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576069"/>
    <w:multiLevelType w:val="hybridMultilevel"/>
    <w:tmpl w:val="8B7A290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AD670F"/>
    <w:multiLevelType w:val="hybridMultilevel"/>
    <w:tmpl w:val="E91434F0"/>
    <w:lvl w:ilvl="0" w:tplc="425EA00E">
      <w:start w:val="1"/>
      <w:numFmt w:val="decimal"/>
      <w:lvlText w:val="%1)"/>
      <w:lvlJc w:val="left"/>
      <w:pPr>
        <w:ind w:left="1080" w:hanging="360"/>
      </w:pPr>
    </w:lvl>
    <w:lvl w:ilvl="1" w:tplc="B3765648">
      <w:start w:val="1"/>
      <w:numFmt w:val="decimal"/>
      <w:lvlText w:val="%2)"/>
      <w:lvlJc w:val="left"/>
      <w:pPr>
        <w:ind w:left="1080" w:hanging="360"/>
      </w:pPr>
    </w:lvl>
    <w:lvl w:ilvl="2" w:tplc="647A0E8E">
      <w:start w:val="1"/>
      <w:numFmt w:val="decimal"/>
      <w:lvlText w:val="%3)"/>
      <w:lvlJc w:val="left"/>
      <w:pPr>
        <w:ind w:left="1080" w:hanging="360"/>
      </w:pPr>
    </w:lvl>
    <w:lvl w:ilvl="3" w:tplc="A2566074">
      <w:start w:val="1"/>
      <w:numFmt w:val="decimal"/>
      <w:lvlText w:val="%4)"/>
      <w:lvlJc w:val="left"/>
      <w:pPr>
        <w:ind w:left="1080" w:hanging="360"/>
      </w:pPr>
    </w:lvl>
    <w:lvl w:ilvl="4" w:tplc="D1C62CDE">
      <w:start w:val="1"/>
      <w:numFmt w:val="decimal"/>
      <w:lvlText w:val="%5)"/>
      <w:lvlJc w:val="left"/>
      <w:pPr>
        <w:ind w:left="1080" w:hanging="360"/>
      </w:pPr>
    </w:lvl>
    <w:lvl w:ilvl="5" w:tplc="A470F500">
      <w:start w:val="1"/>
      <w:numFmt w:val="decimal"/>
      <w:lvlText w:val="%6)"/>
      <w:lvlJc w:val="left"/>
      <w:pPr>
        <w:ind w:left="1080" w:hanging="360"/>
      </w:pPr>
    </w:lvl>
    <w:lvl w:ilvl="6" w:tplc="ACB2A062">
      <w:start w:val="1"/>
      <w:numFmt w:val="decimal"/>
      <w:lvlText w:val="%7)"/>
      <w:lvlJc w:val="left"/>
      <w:pPr>
        <w:ind w:left="1080" w:hanging="360"/>
      </w:pPr>
    </w:lvl>
    <w:lvl w:ilvl="7" w:tplc="4F024F14">
      <w:start w:val="1"/>
      <w:numFmt w:val="decimal"/>
      <w:lvlText w:val="%8)"/>
      <w:lvlJc w:val="left"/>
      <w:pPr>
        <w:ind w:left="1080" w:hanging="360"/>
      </w:pPr>
    </w:lvl>
    <w:lvl w:ilvl="8" w:tplc="1AACAD0E">
      <w:start w:val="1"/>
      <w:numFmt w:val="decimal"/>
      <w:lvlText w:val="%9)"/>
      <w:lvlJc w:val="left"/>
      <w:pPr>
        <w:ind w:left="1080" w:hanging="360"/>
      </w:pPr>
    </w:lvl>
  </w:abstractNum>
  <w:abstractNum w:abstractNumId="21" w15:restartNumberingAfterBreak="0">
    <w:nsid w:val="7B1C2EE1"/>
    <w:multiLevelType w:val="hybridMultilevel"/>
    <w:tmpl w:val="B8320C0C"/>
    <w:lvl w:ilvl="0" w:tplc="AA865B3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5319466">
    <w:abstractNumId w:val="4"/>
  </w:num>
  <w:num w:numId="2" w16cid:durableId="25251383">
    <w:abstractNumId w:val="17"/>
  </w:num>
  <w:num w:numId="3" w16cid:durableId="1986203439">
    <w:abstractNumId w:val="14"/>
  </w:num>
  <w:num w:numId="4" w16cid:durableId="2089380026">
    <w:abstractNumId w:val="16"/>
  </w:num>
  <w:num w:numId="5" w16cid:durableId="2040620951">
    <w:abstractNumId w:val="5"/>
  </w:num>
  <w:num w:numId="6" w16cid:durableId="1102188626">
    <w:abstractNumId w:val="2"/>
  </w:num>
  <w:num w:numId="7" w16cid:durableId="317419518">
    <w:abstractNumId w:val="13"/>
  </w:num>
  <w:num w:numId="8" w16cid:durableId="788937709">
    <w:abstractNumId w:val="6"/>
  </w:num>
  <w:num w:numId="9" w16cid:durableId="1967463069">
    <w:abstractNumId w:val="9"/>
  </w:num>
  <w:num w:numId="10" w16cid:durableId="1926837876">
    <w:abstractNumId w:val="18"/>
  </w:num>
  <w:num w:numId="11" w16cid:durableId="1451628231">
    <w:abstractNumId w:val="3"/>
  </w:num>
  <w:num w:numId="12" w16cid:durableId="227619785">
    <w:abstractNumId w:val="1"/>
  </w:num>
  <w:num w:numId="13" w16cid:durableId="77488539">
    <w:abstractNumId w:val="15"/>
  </w:num>
  <w:num w:numId="14" w16cid:durableId="801918878">
    <w:abstractNumId w:val="8"/>
  </w:num>
  <w:num w:numId="15" w16cid:durableId="1111783418">
    <w:abstractNumId w:val="10"/>
  </w:num>
  <w:num w:numId="16" w16cid:durableId="915474184">
    <w:abstractNumId w:val="20"/>
  </w:num>
  <w:num w:numId="17" w16cid:durableId="1671252392">
    <w:abstractNumId w:val="19"/>
  </w:num>
  <w:num w:numId="18" w16cid:durableId="822357398">
    <w:abstractNumId w:val="0"/>
  </w:num>
  <w:num w:numId="19" w16cid:durableId="463426364">
    <w:abstractNumId w:val="21"/>
  </w:num>
  <w:num w:numId="20" w16cid:durableId="1848447192">
    <w:abstractNumId w:val="7"/>
  </w:num>
  <w:num w:numId="21" w16cid:durableId="305283169">
    <w:abstractNumId w:val="12"/>
  </w:num>
  <w:num w:numId="22" w16cid:durableId="214723964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05E6"/>
    <w:rsid w:val="00000663"/>
    <w:rsid w:val="00003AEC"/>
    <w:rsid w:val="00006287"/>
    <w:rsid w:val="00006E84"/>
    <w:rsid w:val="000079F5"/>
    <w:rsid w:val="000119A9"/>
    <w:rsid w:val="00016A76"/>
    <w:rsid w:val="000202A4"/>
    <w:rsid w:val="00024776"/>
    <w:rsid w:val="0002513E"/>
    <w:rsid w:val="000312CB"/>
    <w:rsid w:val="00031358"/>
    <w:rsid w:val="00032FFB"/>
    <w:rsid w:val="000337AC"/>
    <w:rsid w:val="0003427F"/>
    <w:rsid w:val="00040E9F"/>
    <w:rsid w:val="00042A7F"/>
    <w:rsid w:val="00043DBF"/>
    <w:rsid w:val="0004474D"/>
    <w:rsid w:val="00045AA9"/>
    <w:rsid w:val="00046888"/>
    <w:rsid w:val="00047B4C"/>
    <w:rsid w:val="0005281B"/>
    <w:rsid w:val="0005355F"/>
    <w:rsid w:val="00053C44"/>
    <w:rsid w:val="0005677C"/>
    <w:rsid w:val="000569C0"/>
    <w:rsid w:val="00056C83"/>
    <w:rsid w:val="00056FFA"/>
    <w:rsid w:val="00060707"/>
    <w:rsid w:val="000634F8"/>
    <w:rsid w:val="00066965"/>
    <w:rsid w:val="000677E7"/>
    <w:rsid w:val="00070BD2"/>
    <w:rsid w:val="00071B39"/>
    <w:rsid w:val="0007212C"/>
    <w:rsid w:val="00072713"/>
    <w:rsid w:val="00074E88"/>
    <w:rsid w:val="000759DD"/>
    <w:rsid w:val="00076873"/>
    <w:rsid w:val="00077780"/>
    <w:rsid w:val="000805E0"/>
    <w:rsid w:val="00081E0C"/>
    <w:rsid w:val="00082BA6"/>
    <w:rsid w:val="00083821"/>
    <w:rsid w:val="00084506"/>
    <w:rsid w:val="00087914"/>
    <w:rsid w:val="0009075B"/>
    <w:rsid w:val="0009188E"/>
    <w:rsid w:val="0009211A"/>
    <w:rsid w:val="00095262"/>
    <w:rsid w:val="00095979"/>
    <w:rsid w:val="0009766F"/>
    <w:rsid w:val="000A25A8"/>
    <w:rsid w:val="000A39E1"/>
    <w:rsid w:val="000A524C"/>
    <w:rsid w:val="000B0EF7"/>
    <w:rsid w:val="000B1F3E"/>
    <w:rsid w:val="000B2987"/>
    <w:rsid w:val="000B4737"/>
    <w:rsid w:val="000B4781"/>
    <w:rsid w:val="000B4787"/>
    <w:rsid w:val="000B4854"/>
    <w:rsid w:val="000B54E8"/>
    <w:rsid w:val="000B7FD6"/>
    <w:rsid w:val="000C6EBA"/>
    <w:rsid w:val="000D03C0"/>
    <w:rsid w:val="000D25F4"/>
    <w:rsid w:val="000D281C"/>
    <w:rsid w:val="000E1232"/>
    <w:rsid w:val="000E2F26"/>
    <w:rsid w:val="000F037A"/>
    <w:rsid w:val="000F148B"/>
    <w:rsid w:val="000F35D5"/>
    <w:rsid w:val="000F4C6F"/>
    <w:rsid w:val="000F4EC3"/>
    <w:rsid w:val="000F4EF3"/>
    <w:rsid w:val="00101577"/>
    <w:rsid w:val="0010241D"/>
    <w:rsid w:val="00103F54"/>
    <w:rsid w:val="00105FC1"/>
    <w:rsid w:val="00107A7E"/>
    <w:rsid w:val="00114BA9"/>
    <w:rsid w:val="00115D90"/>
    <w:rsid w:val="00115E2B"/>
    <w:rsid w:val="001175CF"/>
    <w:rsid w:val="001210B9"/>
    <w:rsid w:val="0012180E"/>
    <w:rsid w:val="00125B7B"/>
    <w:rsid w:val="00127107"/>
    <w:rsid w:val="001271D6"/>
    <w:rsid w:val="0013550E"/>
    <w:rsid w:val="001404B3"/>
    <w:rsid w:val="00141151"/>
    <w:rsid w:val="001447ED"/>
    <w:rsid w:val="00145226"/>
    <w:rsid w:val="00150D9A"/>
    <w:rsid w:val="00152601"/>
    <w:rsid w:val="00152EBF"/>
    <w:rsid w:val="00154E5A"/>
    <w:rsid w:val="00162FCC"/>
    <w:rsid w:val="00166AEE"/>
    <w:rsid w:val="00170208"/>
    <w:rsid w:val="00172BD7"/>
    <w:rsid w:val="00172D56"/>
    <w:rsid w:val="00177830"/>
    <w:rsid w:val="0018158C"/>
    <w:rsid w:val="001830E8"/>
    <w:rsid w:val="0018328D"/>
    <w:rsid w:val="00185DCB"/>
    <w:rsid w:val="00185FD0"/>
    <w:rsid w:val="00186F5C"/>
    <w:rsid w:val="00190743"/>
    <w:rsid w:val="001912F8"/>
    <w:rsid w:val="001945F9"/>
    <w:rsid w:val="00196050"/>
    <w:rsid w:val="00196209"/>
    <w:rsid w:val="00197186"/>
    <w:rsid w:val="0019721B"/>
    <w:rsid w:val="001A1829"/>
    <w:rsid w:val="001A2D23"/>
    <w:rsid w:val="001A4E52"/>
    <w:rsid w:val="001A63EE"/>
    <w:rsid w:val="001A66B3"/>
    <w:rsid w:val="001A6F78"/>
    <w:rsid w:val="001B00A4"/>
    <w:rsid w:val="001B09F9"/>
    <w:rsid w:val="001B636D"/>
    <w:rsid w:val="001C2C75"/>
    <w:rsid w:val="001C4AC6"/>
    <w:rsid w:val="001C6D3A"/>
    <w:rsid w:val="001C6FC0"/>
    <w:rsid w:val="001D43DF"/>
    <w:rsid w:val="001D60DB"/>
    <w:rsid w:val="001D690F"/>
    <w:rsid w:val="001D7E9E"/>
    <w:rsid w:val="001E124A"/>
    <w:rsid w:val="001E13F3"/>
    <w:rsid w:val="001E3EFC"/>
    <w:rsid w:val="001E4266"/>
    <w:rsid w:val="001E5E16"/>
    <w:rsid w:val="001E7D63"/>
    <w:rsid w:val="001E7D6E"/>
    <w:rsid w:val="001F3F6C"/>
    <w:rsid w:val="001F7150"/>
    <w:rsid w:val="002005AE"/>
    <w:rsid w:val="00202530"/>
    <w:rsid w:val="00203990"/>
    <w:rsid w:val="00205C52"/>
    <w:rsid w:val="00207DFE"/>
    <w:rsid w:val="0021229E"/>
    <w:rsid w:val="00213EEB"/>
    <w:rsid w:val="00213FD1"/>
    <w:rsid w:val="002154C2"/>
    <w:rsid w:val="002177D4"/>
    <w:rsid w:val="002225E5"/>
    <w:rsid w:val="002236D8"/>
    <w:rsid w:val="00223EDF"/>
    <w:rsid w:val="0022624C"/>
    <w:rsid w:val="0023388D"/>
    <w:rsid w:val="002404C1"/>
    <w:rsid w:val="002423CF"/>
    <w:rsid w:val="0024249B"/>
    <w:rsid w:val="0024346A"/>
    <w:rsid w:val="00243690"/>
    <w:rsid w:val="002444A6"/>
    <w:rsid w:val="00245719"/>
    <w:rsid w:val="00246C86"/>
    <w:rsid w:val="00250F33"/>
    <w:rsid w:val="0025566E"/>
    <w:rsid w:val="00256054"/>
    <w:rsid w:val="002604C7"/>
    <w:rsid w:val="00260CE6"/>
    <w:rsid w:val="0026188C"/>
    <w:rsid w:val="002758F4"/>
    <w:rsid w:val="00275DD1"/>
    <w:rsid w:val="0027616E"/>
    <w:rsid w:val="002776DB"/>
    <w:rsid w:val="00277B89"/>
    <w:rsid w:val="002820BF"/>
    <w:rsid w:val="0028396A"/>
    <w:rsid w:val="00283D0F"/>
    <w:rsid w:val="00284041"/>
    <w:rsid w:val="00291109"/>
    <w:rsid w:val="00291384"/>
    <w:rsid w:val="00292894"/>
    <w:rsid w:val="00293049"/>
    <w:rsid w:val="00293FEB"/>
    <w:rsid w:val="00295207"/>
    <w:rsid w:val="002969FF"/>
    <w:rsid w:val="00296A93"/>
    <w:rsid w:val="0029735E"/>
    <w:rsid w:val="002A057C"/>
    <w:rsid w:val="002A10E9"/>
    <w:rsid w:val="002A347A"/>
    <w:rsid w:val="002A4337"/>
    <w:rsid w:val="002A662C"/>
    <w:rsid w:val="002A7271"/>
    <w:rsid w:val="002A7C8F"/>
    <w:rsid w:val="002B045C"/>
    <w:rsid w:val="002B12FF"/>
    <w:rsid w:val="002B748F"/>
    <w:rsid w:val="002B7C8D"/>
    <w:rsid w:val="002C0360"/>
    <w:rsid w:val="002C30FF"/>
    <w:rsid w:val="002C4E3F"/>
    <w:rsid w:val="002C56B1"/>
    <w:rsid w:val="002C7057"/>
    <w:rsid w:val="002C7759"/>
    <w:rsid w:val="002D25B3"/>
    <w:rsid w:val="002D425D"/>
    <w:rsid w:val="002D719A"/>
    <w:rsid w:val="002E2D8D"/>
    <w:rsid w:val="002E3518"/>
    <w:rsid w:val="002E505B"/>
    <w:rsid w:val="002E5A20"/>
    <w:rsid w:val="002E5CB2"/>
    <w:rsid w:val="002F0315"/>
    <w:rsid w:val="002F52FD"/>
    <w:rsid w:val="0030509C"/>
    <w:rsid w:val="00305617"/>
    <w:rsid w:val="00312F56"/>
    <w:rsid w:val="00320710"/>
    <w:rsid w:val="00322B57"/>
    <w:rsid w:val="00325A52"/>
    <w:rsid w:val="00326D32"/>
    <w:rsid w:val="00327912"/>
    <w:rsid w:val="00330D46"/>
    <w:rsid w:val="00343193"/>
    <w:rsid w:val="00347078"/>
    <w:rsid w:val="00350744"/>
    <w:rsid w:val="00350D5D"/>
    <w:rsid w:val="00352311"/>
    <w:rsid w:val="00352F89"/>
    <w:rsid w:val="003535F6"/>
    <w:rsid w:val="00353AC6"/>
    <w:rsid w:val="00355725"/>
    <w:rsid w:val="00355D3C"/>
    <w:rsid w:val="00355D69"/>
    <w:rsid w:val="00356D31"/>
    <w:rsid w:val="00361EEA"/>
    <w:rsid w:val="003640FC"/>
    <w:rsid w:val="003710AB"/>
    <w:rsid w:val="0037159B"/>
    <w:rsid w:val="00371D42"/>
    <w:rsid w:val="00373E4D"/>
    <w:rsid w:val="00375DE3"/>
    <w:rsid w:val="00377D6B"/>
    <w:rsid w:val="00377DAC"/>
    <w:rsid w:val="00382DB2"/>
    <w:rsid w:val="00383392"/>
    <w:rsid w:val="0038513C"/>
    <w:rsid w:val="00385B76"/>
    <w:rsid w:val="00386823"/>
    <w:rsid w:val="0039283F"/>
    <w:rsid w:val="0039288C"/>
    <w:rsid w:val="0039388B"/>
    <w:rsid w:val="00395BAA"/>
    <w:rsid w:val="00396269"/>
    <w:rsid w:val="003A3765"/>
    <w:rsid w:val="003A4105"/>
    <w:rsid w:val="003A49B1"/>
    <w:rsid w:val="003A5720"/>
    <w:rsid w:val="003A783F"/>
    <w:rsid w:val="003A78D8"/>
    <w:rsid w:val="003B09C7"/>
    <w:rsid w:val="003B1289"/>
    <w:rsid w:val="003B218F"/>
    <w:rsid w:val="003B4B89"/>
    <w:rsid w:val="003B5443"/>
    <w:rsid w:val="003B6758"/>
    <w:rsid w:val="003C4705"/>
    <w:rsid w:val="003D1A6E"/>
    <w:rsid w:val="003D54EB"/>
    <w:rsid w:val="003D71E6"/>
    <w:rsid w:val="003E5940"/>
    <w:rsid w:val="003F015A"/>
    <w:rsid w:val="003F53FA"/>
    <w:rsid w:val="003F6913"/>
    <w:rsid w:val="00400570"/>
    <w:rsid w:val="00401224"/>
    <w:rsid w:val="00401D76"/>
    <w:rsid w:val="00405869"/>
    <w:rsid w:val="0040679A"/>
    <w:rsid w:val="00406841"/>
    <w:rsid w:val="00406877"/>
    <w:rsid w:val="00407B57"/>
    <w:rsid w:val="004102AB"/>
    <w:rsid w:val="004111ED"/>
    <w:rsid w:val="00420610"/>
    <w:rsid w:val="00420B6D"/>
    <w:rsid w:val="00424BE9"/>
    <w:rsid w:val="0042584C"/>
    <w:rsid w:val="00426C54"/>
    <w:rsid w:val="004305C4"/>
    <w:rsid w:val="00435A42"/>
    <w:rsid w:val="00437582"/>
    <w:rsid w:val="00437606"/>
    <w:rsid w:val="00440A97"/>
    <w:rsid w:val="00441588"/>
    <w:rsid w:val="0044395B"/>
    <w:rsid w:val="00445FC5"/>
    <w:rsid w:val="00446F73"/>
    <w:rsid w:val="00447FD8"/>
    <w:rsid w:val="0045065C"/>
    <w:rsid w:val="00450A99"/>
    <w:rsid w:val="0045208A"/>
    <w:rsid w:val="00453154"/>
    <w:rsid w:val="00456268"/>
    <w:rsid w:val="004564B1"/>
    <w:rsid w:val="00457037"/>
    <w:rsid w:val="004574BB"/>
    <w:rsid w:val="00461691"/>
    <w:rsid w:val="0046505A"/>
    <w:rsid w:val="00466047"/>
    <w:rsid w:val="004668CF"/>
    <w:rsid w:val="004669A1"/>
    <w:rsid w:val="00466EEA"/>
    <w:rsid w:val="00467DFA"/>
    <w:rsid w:val="004709F7"/>
    <w:rsid w:val="00474C13"/>
    <w:rsid w:val="00475772"/>
    <w:rsid w:val="00480AFC"/>
    <w:rsid w:val="004824C4"/>
    <w:rsid w:val="0048383D"/>
    <w:rsid w:val="004856EB"/>
    <w:rsid w:val="00486C6E"/>
    <w:rsid w:val="00487C74"/>
    <w:rsid w:val="00490EBC"/>
    <w:rsid w:val="00491876"/>
    <w:rsid w:val="004921D3"/>
    <w:rsid w:val="0049355E"/>
    <w:rsid w:val="0049716E"/>
    <w:rsid w:val="004A1397"/>
    <w:rsid w:val="004A4DE8"/>
    <w:rsid w:val="004A56F3"/>
    <w:rsid w:val="004A6E4F"/>
    <w:rsid w:val="004B046A"/>
    <w:rsid w:val="004B0E5E"/>
    <w:rsid w:val="004B6AF7"/>
    <w:rsid w:val="004C29D0"/>
    <w:rsid w:val="004C2DDB"/>
    <w:rsid w:val="004C45CE"/>
    <w:rsid w:val="004D2423"/>
    <w:rsid w:val="004D71B3"/>
    <w:rsid w:val="004D75DF"/>
    <w:rsid w:val="004E1C4B"/>
    <w:rsid w:val="004E24DA"/>
    <w:rsid w:val="004E2EA4"/>
    <w:rsid w:val="004E606B"/>
    <w:rsid w:val="004F0AB0"/>
    <w:rsid w:val="004F3F2B"/>
    <w:rsid w:val="004F49C2"/>
    <w:rsid w:val="004F4ED6"/>
    <w:rsid w:val="00501900"/>
    <w:rsid w:val="00501BC2"/>
    <w:rsid w:val="00503897"/>
    <w:rsid w:val="005054A8"/>
    <w:rsid w:val="00506E5A"/>
    <w:rsid w:val="0050770F"/>
    <w:rsid w:val="00510650"/>
    <w:rsid w:val="00513199"/>
    <w:rsid w:val="00514A9C"/>
    <w:rsid w:val="0051505E"/>
    <w:rsid w:val="00515CAC"/>
    <w:rsid w:val="00517B22"/>
    <w:rsid w:val="00520FC4"/>
    <w:rsid w:val="005222B1"/>
    <w:rsid w:val="00523EE6"/>
    <w:rsid w:val="00525A02"/>
    <w:rsid w:val="005271C4"/>
    <w:rsid w:val="00530242"/>
    <w:rsid w:val="005306DC"/>
    <w:rsid w:val="005328BF"/>
    <w:rsid w:val="00532FC8"/>
    <w:rsid w:val="00535A3F"/>
    <w:rsid w:val="00536816"/>
    <w:rsid w:val="00542A02"/>
    <w:rsid w:val="00543CEB"/>
    <w:rsid w:val="005451CA"/>
    <w:rsid w:val="00545EA6"/>
    <w:rsid w:val="00546484"/>
    <w:rsid w:val="00553471"/>
    <w:rsid w:val="005535C3"/>
    <w:rsid w:val="00554B50"/>
    <w:rsid w:val="00554B71"/>
    <w:rsid w:val="00556E46"/>
    <w:rsid w:val="0055794E"/>
    <w:rsid w:val="00565E39"/>
    <w:rsid w:val="0056609A"/>
    <w:rsid w:val="005708C5"/>
    <w:rsid w:val="00576926"/>
    <w:rsid w:val="005779B1"/>
    <w:rsid w:val="0058031D"/>
    <w:rsid w:val="00581C6C"/>
    <w:rsid w:val="00581E9C"/>
    <w:rsid w:val="00582EC5"/>
    <w:rsid w:val="00587E36"/>
    <w:rsid w:val="00591133"/>
    <w:rsid w:val="00591949"/>
    <w:rsid w:val="00592910"/>
    <w:rsid w:val="00592F89"/>
    <w:rsid w:val="0059312C"/>
    <w:rsid w:val="005931FD"/>
    <w:rsid w:val="00594E45"/>
    <w:rsid w:val="00595439"/>
    <w:rsid w:val="00596881"/>
    <w:rsid w:val="005A32EB"/>
    <w:rsid w:val="005A4B22"/>
    <w:rsid w:val="005A588C"/>
    <w:rsid w:val="005A58C2"/>
    <w:rsid w:val="005A642D"/>
    <w:rsid w:val="005A6499"/>
    <w:rsid w:val="005B38F3"/>
    <w:rsid w:val="005B3E1E"/>
    <w:rsid w:val="005C1132"/>
    <w:rsid w:val="005C160B"/>
    <w:rsid w:val="005C2F36"/>
    <w:rsid w:val="005C3E3E"/>
    <w:rsid w:val="005C6B24"/>
    <w:rsid w:val="005C74FB"/>
    <w:rsid w:val="005D2D1C"/>
    <w:rsid w:val="005D3358"/>
    <w:rsid w:val="005D52CB"/>
    <w:rsid w:val="005E062F"/>
    <w:rsid w:val="005F2969"/>
    <w:rsid w:val="005F4F69"/>
    <w:rsid w:val="0060008E"/>
    <w:rsid w:val="00600FAB"/>
    <w:rsid w:val="00601570"/>
    <w:rsid w:val="00604398"/>
    <w:rsid w:val="00604542"/>
    <w:rsid w:val="006053F3"/>
    <w:rsid w:val="00605BDA"/>
    <w:rsid w:val="00606E7B"/>
    <w:rsid w:val="00607349"/>
    <w:rsid w:val="00611295"/>
    <w:rsid w:val="00612541"/>
    <w:rsid w:val="00612E8C"/>
    <w:rsid w:val="00613347"/>
    <w:rsid w:val="0061554F"/>
    <w:rsid w:val="00615F00"/>
    <w:rsid w:val="00616418"/>
    <w:rsid w:val="006171AF"/>
    <w:rsid w:val="0062426F"/>
    <w:rsid w:val="00631378"/>
    <w:rsid w:val="006317FE"/>
    <w:rsid w:val="006318B6"/>
    <w:rsid w:val="00633CF4"/>
    <w:rsid w:val="006347F6"/>
    <w:rsid w:val="00635A71"/>
    <w:rsid w:val="0063763E"/>
    <w:rsid w:val="006407E6"/>
    <w:rsid w:val="00641514"/>
    <w:rsid w:val="00641E43"/>
    <w:rsid w:val="00644600"/>
    <w:rsid w:val="006459A2"/>
    <w:rsid w:val="0065663B"/>
    <w:rsid w:val="006604FF"/>
    <w:rsid w:val="00661892"/>
    <w:rsid w:val="0066334E"/>
    <w:rsid w:val="00664738"/>
    <w:rsid w:val="00666769"/>
    <w:rsid w:val="00667CD4"/>
    <w:rsid w:val="00673531"/>
    <w:rsid w:val="006746CF"/>
    <w:rsid w:val="00675921"/>
    <w:rsid w:val="0067599A"/>
    <w:rsid w:val="006871EF"/>
    <w:rsid w:val="00690927"/>
    <w:rsid w:val="00690AA3"/>
    <w:rsid w:val="00692D93"/>
    <w:rsid w:val="006944E7"/>
    <w:rsid w:val="006A2F07"/>
    <w:rsid w:val="006A4278"/>
    <w:rsid w:val="006A55D5"/>
    <w:rsid w:val="006A58F8"/>
    <w:rsid w:val="006A5B66"/>
    <w:rsid w:val="006A74FD"/>
    <w:rsid w:val="006B5947"/>
    <w:rsid w:val="006B78F8"/>
    <w:rsid w:val="006C018E"/>
    <w:rsid w:val="006C2F8F"/>
    <w:rsid w:val="006C66D7"/>
    <w:rsid w:val="006C6A22"/>
    <w:rsid w:val="006D0235"/>
    <w:rsid w:val="006D34F8"/>
    <w:rsid w:val="006D4D2E"/>
    <w:rsid w:val="006D5FFB"/>
    <w:rsid w:val="006E362A"/>
    <w:rsid w:val="006E3C5A"/>
    <w:rsid w:val="006E4E35"/>
    <w:rsid w:val="006E583D"/>
    <w:rsid w:val="006E78B3"/>
    <w:rsid w:val="006F0117"/>
    <w:rsid w:val="006F1664"/>
    <w:rsid w:val="006F18D1"/>
    <w:rsid w:val="006F2A12"/>
    <w:rsid w:val="006F3882"/>
    <w:rsid w:val="006F5696"/>
    <w:rsid w:val="006F6A8C"/>
    <w:rsid w:val="006F785C"/>
    <w:rsid w:val="007008D7"/>
    <w:rsid w:val="00705D3A"/>
    <w:rsid w:val="0070658C"/>
    <w:rsid w:val="007078B3"/>
    <w:rsid w:val="00710040"/>
    <w:rsid w:val="00712407"/>
    <w:rsid w:val="00713B28"/>
    <w:rsid w:val="00716596"/>
    <w:rsid w:val="00717262"/>
    <w:rsid w:val="00721F26"/>
    <w:rsid w:val="00724050"/>
    <w:rsid w:val="0073004D"/>
    <w:rsid w:val="00730B15"/>
    <w:rsid w:val="00731591"/>
    <w:rsid w:val="00731CB5"/>
    <w:rsid w:val="00732807"/>
    <w:rsid w:val="00732C7E"/>
    <w:rsid w:val="007365B6"/>
    <w:rsid w:val="00736A0C"/>
    <w:rsid w:val="007408C3"/>
    <w:rsid w:val="007428B8"/>
    <w:rsid w:val="00742CE7"/>
    <w:rsid w:val="00744E68"/>
    <w:rsid w:val="00745E6F"/>
    <w:rsid w:val="007505FB"/>
    <w:rsid w:val="00750BFA"/>
    <w:rsid w:val="00751DBD"/>
    <w:rsid w:val="00752025"/>
    <w:rsid w:val="00754773"/>
    <w:rsid w:val="00754793"/>
    <w:rsid w:val="00756056"/>
    <w:rsid w:val="0075762C"/>
    <w:rsid w:val="00765095"/>
    <w:rsid w:val="00766CFE"/>
    <w:rsid w:val="00767255"/>
    <w:rsid w:val="007736D2"/>
    <w:rsid w:val="00774099"/>
    <w:rsid w:val="007745BC"/>
    <w:rsid w:val="00777326"/>
    <w:rsid w:val="007814EC"/>
    <w:rsid w:val="00781B60"/>
    <w:rsid w:val="00786201"/>
    <w:rsid w:val="00786B9C"/>
    <w:rsid w:val="0078723F"/>
    <w:rsid w:val="00787E3B"/>
    <w:rsid w:val="00790826"/>
    <w:rsid w:val="00791808"/>
    <w:rsid w:val="0079212B"/>
    <w:rsid w:val="00795844"/>
    <w:rsid w:val="00795B62"/>
    <w:rsid w:val="00797222"/>
    <w:rsid w:val="007A22A2"/>
    <w:rsid w:val="007A72F7"/>
    <w:rsid w:val="007B0CB2"/>
    <w:rsid w:val="007B0E2A"/>
    <w:rsid w:val="007B26F3"/>
    <w:rsid w:val="007B469A"/>
    <w:rsid w:val="007B55F9"/>
    <w:rsid w:val="007B5B47"/>
    <w:rsid w:val="007B5F7B"/>
    <w:rsid w:val="007B74CB"/>
    <w:rsid w:val="007B7D13"/>
    <w:rsid w:val="007C0C1F"/>
    <w:rsid w:val="007C0E22"/>
    <w:rsid w:val="007C47A7"/>
    <w:rsid w:val="007C66C4"/>
    <w:rsid w:val="007D1958"/>
    <w:rsid w:val="007D6131"/>
    <w:rsid w:val="007E11A7"/>
    <w:rsid w:val="007E39FD"/>
    <w:rsid w:val="007E4105"/>
    <w:rsid w:val="007E4790"/>
    <w:rsid w:val="007E613A"/>
    <w:rsid w:val="007E73B8"/>
    <w:rsid w:val="007F2073"/>
    <w:rsid w:val="007F2919"/>
    <w:rsid w:val="007F3BA3"/>
    <w:rsid w:val="00800ADA"/>
    <w:rsid w:val="0080292F"/>
    <w:rsid w:val="00802D1C"/>
    <w:rsid w:val="00803B88"/>
    <w:rsid w:val="0080436D"/>
    <w:rsid w:val="0080537E"/>
    <w:rsid w:val="008066A8"/>
    <w:rsid w:val="008115D4"/>
    <w:rsid w:val="0081549A"/>
    <w:rsid w:val="00820367"/>
    <w:rsid w:val="00820B79"/>
    <w:rsid w:val="008222FD"/>
    <w:rsid w:val="008235C7"/>
    <w:rsid w:val="008235D8"/>
    <w:rsid w:val="008250FE"/>
    <w:rsid w:val="00834007"/>
    <w:rsid w:val="00836944"/>
    <w:rsid w:val="0084411E"/>
    <w:rsid w:val="00850AB1"/>
    <w:rsid w:val="00853F53"/>
    <w:rsid w:val="00854A58"/>
    <w:rsid w:val="008556EF"/>
    <w:rsid w:val="00855A77"/>
    <w:rsid w:val="00860E9A"/>
    <w:rsid w:val="00862249"/>
    <w:rsid w:val="00872D22"/>
    <w:rsid w:val="00874905"/>
    <w:rsid w:val="00874927"/>
    <w:rsid w:val="00874B08"/>
    <w:rsid w:val="00874F37"/>
    <w:rsid w:val="008772C2"/>
    <w:rsid w:val="00877DAE"/>
    <w:rsid w:val="00883D62"/>
    <w:rsid w:val="008934A1"/>
    <w:rsid w:val="00893A9D"/>
    <w:rsid w:val="00896D18"/>
    <w:rsid w:val="008972DC"/>
    <w:rsid w:val="00897614"/>
    <w:rsid w:val="008A1CC8"/>
    <w:rsid w:val="008A1FFB"/>
    <w:rsid w:val="008A2506"/>
    <w:rsid w:val="008A446B"/>
    <w:rsid w:val="008A510D"/>
    <w:rsid w:val="008B55B2"/>
    <w:rsid w:val="008B66B5"/>
    <w:rsid w:val="008B7C4A"/>
    <w:rsid w:val="008C03DE"/>
    <w:rsid w:val="008C33B7"/>
    <w:rsid w:val="008C56BD"/>
    <w:rsid w:val="008C7695"/>
    <w:rsid w:val="008D195A"/>
    <w:rsid w:val="008D2E6F"/>
    <w:rsid w:val="008D30FC"/>
    <w:rsid w:val="008E1E63"/>
    <w:rsid w:val="008E2C3C"/>
    <w:rsid w:val="008E3408"/>
    <w:rsid w:val="008E3780"/>
    <w:rsid w:val="008E4A92"/>
    <w:rsid w:val="008F4654"/>
    <w:rsid w:val="008F4BF5"/>
    <w:rsid w:val="008F4C2F"/>
    <w:rsid w:val="008F637D"/>
    <w:rsid w:val="008F6813"/>
    <w:rsid w:val="00900BC7"/>
    <w:rsid w:val="00906E63"/>
    <w:rsid w:val="00907962"/>
    <w:rsid w:val="009121D1"/>
    <w:rsid w:val="009128B2"/>
    <w:rsid w:val="00912A03"/>
    <w:rsid w:val="00914825"/>
    <w:rsid w:val="00917297"/>
    <w:rsid w:val="00917B65"/>
    <w:rsid w:val="00917D1D"/>
    <w:rsid w:val="0092117F"/>
    <w:rsid w:val="009222C1"/>
    <w:rsid w:val="00922860"/>
    <w:rsid w:val="00924CE5"/>
    <w:rsid w:val="00925913"/>
    <w:rsid w:val="00930540"/>
    <w:rsid w:val="0093065C"/>
    <w:rsid w:val="00931A69"/>
    <w:rsid w:val="00932AAC"/>
    <w:rsid w:val="00933DF3"/>
    <w:rsid w:val="00935A22"/>
    <w:rsid w:val="00936839"/>
    <w:rsid w:val="0094483F"/>
    <w:rsid w:val="0095292F"/>
    <w:rsid w:val="00952C4B"/>
    <w:rsid w:val="00953485"/>
    <w:rsid w:val="00956438"/>
    <w:rsid w:val="009602FC"/>
    <w:rsid w:val="009609B0"/>
    <w:rsid w:val="009614B8"/>
    <w:rsid w:val="00962541"/>
    <w:rsid w:val="00962A81"/>
    <w:rsid w:val="00964AF6"/>
    <w:rsid w:val="009657F6"/>
    <w:rsid w:val="00971756"/>
    <w:rsid w:val="00972339"/>
    <w:rsid w:val="009756DF"/>
    <w:rsid w:val="00977BB8"/>
    <w:rsid w:val="00987B33"/>
    <w:rsid w:val="00990375"/>
    <w:rsid w:val="009905E0"/>
    <w:rsid w:val="00990669"/>
    <w:rsid w:val="0099118B"/>
    <w:rsid w:val="00992ACE"/>
    <w:rsid w:val="00992B9B"/>
    <w:rsid w:val="00994722"/>
    <w:rsid w:val="009953F9"/>
    <w:rsid w:val="00995673"/>
    <w:rsid w:val="009A2419"/>
    <w:rsid w:val="009A306F"/>
    <w:rsid w:val="009A3556"/>
    <w:rsid w:val="009A64A5"/>
    <w:rsid w:val="009B265F"/>
    <w:rsid w:val="009B4B0C"/>
    <w:rsid w:val="009B4F65"/>
    <w:rsid w:val="009B50A4"/>
    <w:rsid w:val="009B7ADA"/>
    <w:rsid w:val="009C2680"/>
    <w:rsid w:val="009C3534"/>
    <w:rsid w:val="009C720B"/>
    <w:rsid w:val="009C7530"/>
    <w:rsid w:val="009D03FF"/>
    <w:rsid w:val="009E07A3"/>
    <w:rsid w:val="009E64D7"/>
    <w:rsid w:val="009E7C5B"/>
    <w:rsid w:val="009E7C8E"/>
    <w:rsid w:val="009F20DC"/>
    <w:rsid w:val="009F2F81"/>
    <w:rsid w:val="009F5B3D"/>
    <w:rsid w:val="009F6D4D"/>
    <w:rsid w:val="009F746F"/>
    <w:rsid w:val="009F7BA8"/>
    <w:rsid w:val="00A013D5"/>
    <w:rsid w:val="00A0267C"/>
    <w:rsid w:val="00A03384"/>
    <w:rsid w:val="00A03EC8"/>
    <w:rsid w:val="00A124E2"/>
    <w:rsid w:val="00A1628F"/>
    <w:rsid w:val="00A16C40"/>
    <w:rsid w:val="00A17838"/>
    <w:rsid w:val="00A22AA7"/>
    <w:rsid w:val="00A23F88"/>
    <w:rsid w:val="00A24B75"/>
    <w:rsid w:val="00A276ED"/>
    <w:rsid w:val="00A304F5"/>
    <w:rsid w:val="00A32158"/>
    <w:rsid w:val="00A338BA"/>
    <w:rsid w:val="00A369C8"/>
    <w:rsid w:val="00A37253"/>
    <w:rsid w:val="00A4038E"/>
    <w:rsid w:val="00A4455B"/>
    <w:rsid w:val="00A45197"/>
    <w:rsid w:val="00A5080C"/>
    <w:rsid w:val="00A50BBF"/>
    <w:rsid w:val="00A52A10"/>
    <w:rsid w:val="00A544D8"/>
    <w:rsid w:val="00A54B51"/>
    <w:rsid w:val="00A54DFB"/>
    <w:rsid w:val="00A5606F"/>
    <w:rsid w:val="00A5736C"/>
    <w:rsid w:val="00A5737A"/>
    <w:rsid w:val="00A60A7A"/>
    <w:rsid w:val="00A6159D"/>
    <w:rsid w:val="00A61E43"/>
    <w:rsid w:val="00A64212"/>
    <w:rsid w:val="00A64416"/>
    <w:rsid w:val="00A65932"/>
    <w:rsid w:val="00A71032"/>
    <w:rsid w:val="00A717DA"/>
    <w:rsid w:val="00A7223A"/>
    <w:rsid w:val="00A72F0D"/>
    <w:rsid w:val="00A7318C"/>
    <w:rsid w:val="00A73810"/>
    <w:rsid w:val="00A744CA"/>
    <w:rsid w:val="00A75118"/>
    <w:rsid w:val="00A82F46"/>
    <w:rsid w:val="00A83CAC"/>
    <w:rsid w:val="00A84FE1"/>
    <w:rsid w:val="00A85F19"/>
    <w:rsid w:val="00A8780E"/>
    <w:rsid w:val="00A87924"/>
    <w:rsid w:val="00A90CA8"/>
    <w:rsid w:val="00A93D03"/>
    <w:rsid w:val="00A95BD3"/>
    <w:rsid w:val="00A95BE1"/>
    <w:rsid w:val="00A9623F"/>
    <w:rsid w:val="00AA1A87"/>
    <w:rsid w:val="00AA4E1D"/>
    <w:rsid w:val="00AA5425"/>
    <w:rsid w:val="00AB0DC9"/>
    <w:rsid w:val="00AB52C7"/>
    <w:rsid w:val="00AC3C27"/>
    <w:rsid w:val="00AC4358"/>
    <w:rsid w:val="00AC5F59"/>
    <w:rsid w:val="00AC663B"/>
    <w:rsid w:val="00AC6DE5"/>
    <w:rsid w:val="00AD09D7"/>
    <w:rsid w:val="00AD4748"/>
    <w:rsid w:val="00AD60AD"/>
    <w:rsid w:val="00AD7511"/>
    <w:rsid w:val="00AE0F58"/>
    <w:rsid w:val="00AE1573"/>
    <w:rsid w:val="00AE19B6"/>
    <w:rsid w:val="00AE500B"/>
    <w:rsid w:val="00AE5E27"/>
    <w:rsid w:val="00AE6DD6"/>
    <w:rsid w:val="00AF148F"/>
    <w:rsid w:val="00AF229A"/>
    <w:rsid w:val="00AF25C4"/>
    <w:rsid w:val="00AF27CF"/>
    <w:rsid w:val="00B029CE"/>
    <w:rsid w:val="00B03719"/>
    <w:rsid w:val="00B05075"/>
    <w:rsid w:val="00B05751"/>
    <w:rsid w:val="00B06152"/>
    <w:rsid w:val="00B06794"/>
    <w:rsid w:val="00B06A2F"/>
    <w:rsid w:val="00B06D58"/>
    <w:rsid w:val="00B06E46"/>
    <w:rsid w:val="00B109E5"/>
    <w:rsid w:val="00B110AA"/>
    <w:rsid w:val="00B12546"/>
    <w:rsid w:val="00B13130"/>
    <w:rsid w:val="00B14D11"/>
    <w:rsid w:val="00B14F34"/>
    <w:rsid w:val="00B160DC"/>
    <w:rsid w:val="00B253C6"/>
    <w:rsid w:val="00B327CC"/>
    <w:rsid w:val="00B3361A"/>
    <w:rsid w:val="00B35BCB"/>
    <w:rsid w:val="00B35C61"/>
    <w:rsid w:val="00B374A7"/>
    <w:rsid w:val="00B40337"/>
    <w:rsid w:val="00B40BC6"/>
    <w:rsid w:val="00B41747"/>
    <w:rsid w:val="00B41FCC"/>
    <w:rsid w:val="00B4224D"/>
    <w:rsid w:val="00B42572"/>
    <w:rsid w:val="00B444C3"/>
    <w:rsid w:val="00B44658"/>
    <w:rsid w:val="00B46A23"/>
    <w:rsid w:val="00B5081E"/>
    <w:rsid w:val="00B52F3D"/>
    <w:rsid w:val="00B56222"/>
    <w:rsid w:val="00B56F5A"/>
    <w:rsid w:val="00B57536"/>
    <w:rsid w:val="00B62F1D"/>
    <w:rsid w:val="00B63082"/>
    <w:rsid w:val="00B645B0"/>
    <w:rsid w:val="00B65620"/>
    <w:rsid w:val="00B73C62"/>
    <w:rsid w:val="00B74139"/>
    <w:rsid w:val="00B75503"/>
    <w:rsid w:val="00B75BC0"/>
    <w:rsid w:val="00B82584"/>
    <w:rsid w:val="00B83714"/>
    <w:rsid w:val="00B84D3A"/>
    <w:rsid w:val="00B8548B"/>
    <w:rsid w:val="00B87D29"/>
    <w:rsid w:val="00B92D0D"/>
    <w:rsid w:val="00B950A9"/>
    <w:rsid w:val="00B9747F"/>
    <w:rsid w:val="00B97775"/>
    <w:rsid w:val="00BA169F"/>
    <w:rsid w:val="00BA1A1D"/>
    <w:rsid w:val="00BA2A49"/>
    <w:rsid w:val="00BA2D18"/>
    <w:rsid w:val="00BA461D"/>
    <w:rsid w:val="00BA556D"/>
    <w:rsid w:val="00BA5AD0"/>
    <w:rsid w:val="00BA6F8B"/>
    <w:rsid w:val="00BB3B4B"/>
    <w:rsid w:val="00BB41C7"/>
    <w:rsid w:val="00BB58A5"/>
    <w:rsid w:val="00BC07FA"/>
    <w:rsid w:val="00BC1C88"/>
    <w:rsid w:val="00BC563D"/>
    <w:rsid w:val="00BC642D"/>
    <w:rsid w:val="00BD061C"/>
    <w:rsid w:val="00BD0CBF"/>
    <w:rsid w:val="00BD0E50"/>
    <w:rsid w:val="00BD2F3D"/>
    <w:rsid w:val="00BD32A8"/>
    <w:rsid w:val="00BD3D48"/>
    <w:rsid w:val="00BD4856"/>
    <w:rsid w:val="00BE07A0"/>
    <w:rsid w:val="00BE1FC5"/>
    <w:rsid w:val="00BE296E"/>
    <w:rsid w:val="00BE2AEA"/>
    <w:rsid w:val="00BE352B"/>
    <w:rsid w:val="00BE46C0"/>
    <w:rsid w:val="00BE51F7"/>
    <w:rsid w:val="00BE6322"/>
    <w:rsid w:val="00BE6A59"/>
    <w:rsid w:val="00BF0270"/>
    <w:rsid w:val="00BF0BE9"/>
    <w:rsid w:val="00BF2C6F"/>
    <w:rsid w:val="00BF475C"/>
    <w:rsid w:val="00C02B48"/>
    <w:rsid w:val="00C10868"/>
    <w:rsid w:val="00C12B09"/>
    <w:rsid w:val="00C13728"/>
    <w:rsid w:val="00C156A6"/>
    <w:rsid w:val="00C2107F"/>
    <w:rsid w:val="00C22181"/>
    <w:rsid w:val="00C23257"/>
    <w:rsid w:val="00C25C51"/>
    <w:rsid w:val="00C31DE2"/>
    <w:rsid w:val="00C34259"/>
    <w:rsid w:val="00C35C78"/>
    <w:rsid w:val="00C3785C"/>
    <w:rsid w:val="00C41C84"/>
    <w:rsid w:val="00C4241A"/>
    <w:rsid w:val="00C44237"/>
    <w:rsid w:val="00C46149"/>
    <w:rsid w:val="00C46EF9"/>
    <w:rsid w:val="00C4730D"/>
    <w:rsid w:val="00C50B49"/>
    <w:rsid w:val="00C535C2"/>
    <w:rsid w:val="00C5437B"/>
    <w:rsid w:val="00C548ED"/>
    <w:rsid w:val="00C60491"/>
    <w:rsid w:val="00C62482"/>
    <w:rsid w:val="00C6347D"/>
    <w:rsid w:val="00C6359C"/>
    <w:rsid w:val="00C659F6"/>
    <w:rsid w:val="00C66235"/>
    <w:rsid w:val="00C66344"/>
    <w:rsid w:val="00C70F4A"/>
    <w:rsid w:val="00C71F77"/>
    <w:rsid w:val="00C729AF"/>
    <w:rsid w:val="00C7396A"/>
    <w:rsid w:val="00C76C89"/>
    <w:rsid w:val="00C773AC"/>
    <w:rsid w:val="00C7791F"/>
    <w:rsid w:val="00C816CA"/>
    <w:rsid w:val="00C839BE"/>
    <w:rsid w:val="00C92A48"/>
    <w:rsid w:val="00C94E77"/>
    <w:rsid w:val="00C962AB"/>
    <w:rsid w:val="00C963C0"/>
    <w:rsid w:val="00C96CEE"/>
    <w:rsid w:val="00C97089"/>
    <w:rsid w:val="00CA1494"/>
    <w:rsid w:val="00CA35FB"/>
    <w:rsid w:val="00CA3A31"/>
    <w:rsid w:val="00CA3CC3"/>
    <w:rsid w:val="00CA764B"/>
    <w:rsid w:val="00CA76F5"/>
    <w:rsid w:val="00CA7F4C"/>
    <w:rsid w:val="00CB25F3"/>
    <w:rsid w:val="00CB413F"/>
    <w:rsid w:val="00CB4275"/>
    <w:rsid w:val="00CB43F8"/>
    <w:rsid w:val="00CB4CE5"/>
    <w:rsid w:val="00CC1359"/>
    <w:rsid w:val="00CC3880"/>
    <w:rsid w:val="00CC5ED4"/>
    <w:rsid w:val="00CC6418"/>
    <w:rsid w:val="00CC7746"/>
    <w:rsid w:val="00CD0260"/>
    <w:rsid w:val="00CD1907"/>
    <w:rsid w:val="00CD1B62"/>
    <w:rsid w:val="00CD4D21"/>
    <w:rsid w:val="00CE30DA"/>
    <w:rsid w:val="00CE48EC"/>
    <w:rsid w:val="00CF00A6"/>
    <w:rsid w:val="00CF05A7"/>
    <w:rsid w:val="00CF07FD"/>
    <w:rsid w:val="00CF112A"/>
    <w:rsid w:val="00CF158A"/>
    <w:rsid w:val="00CF27F6"/>
    <w:rsid w:val="00CF3272"/>
    <w:rsid w:val="00CF3BF2"/>
    <w:rsid w:val="00CF3D38"/>
    <w:rsid w:val="00CF6A7A"/>
    <w:rsid w:val="00D03333"/>
    <w:rsid w:val="00D11309"/>
    <w:rsid w:val="00D116AF"/>
    <w:rsid w:val="00D121B8"/>
    <w:rsid w:val="00D13FBF"/>
    <w:rsid w:val="00D15D44"/>
    <w:rsid w:val="00D16C6B"/>
    <w:rsid w:val="00D177F9"/>
    <w:rsid w:val="00D17879"/>
    <w:rsid w:val="00D23538"/>
    <w:rsid w:val="00D251F2"/>
    <w:rsid w:val="00D25D3E"/>
    <w:rsid w:val="00D2716B"/>
    <w:rsid w:val="00D27F76"/>
    <w:rsid w:val="00D33AFC"/>
    <w:rsid w:val="00D34AD0"/>
    <w:rsid w:val="00D363BE"/>
    <w:rsid w:val="00D42C95"/>
    <w:rsid w:val="00D452C9"/>
    <w:rsid w:val="00D46C1D"/>
    <w:rsid w:val="00D5228D"/>
    <w:rsid w:val="00D52E24"/>
    <w:rsid w:val="00D57CF2"/>
    <w:rsid w:val="00D6095A"/>
    <w:rsid w:val="00D61F9E"/>
    <w:rsid w:val="00D62E73"/>
    <w:rsid w:val="00D631EB"/>
    <w:rsid w:val="00D63EB8"/>
    <w:rsid w:val="00D64E75"/>
    <w:rsid w:val="00D64F82"/>
    <w:rsid w:val="00D66632"/>
    <w:rsid w:val="00D720B6"/>
    <w:rsid w:val="00D74154"/>
    <w:rsid w:val="00D75AD2"/>
    <w:rsid w:val="00D77CE9"/>
    <w:rsid w:val="00D824D7"/>
    <w:rsid w:val="00D83EFD"/>
    <w:rsid w:val="00D8531A"/>
    <w:rsid w:val="00D8733D"/>
    <w:rsid w:val="00D902D7"/>
    <w:rsid w:val="00D905EA"/>
    <w:rsid w:val="00D918B9"/>
    <w:rsid w:val="00D92E4E"/>
    <w:rsid w:val="00D93C3E"/>
    <w:rsid w:val="00D945E6"/>
    <w:rsid w:val="00D951D3"/>
    <w:rsid w:val="00D95F13"/>
    <w:rsid w:val="00D9786F"/>
    <w:rsid w:val="00DA0478"/>
    <w:rsid w:val="00DA13A1"/>
    <w:rsid w:val="00DA5AF8"/>
    <w:rsid w:val="00DA6716"/>
    <w:rsid w:val="00DB04B3"/>
    <w:rsid w:val="00DB052F"/>
    <w:rsid w:val="00DB2583"/>
    <w:rsid w:val="00DB316C"/>
    <w:rsid w:val="00DB3C4C"/>
    <w:rsid w:val="00DB797B"/>
    <w:rsid w:val="00DC19FA"/>
    <w:rsid w:val="00DC1F2C"/>
    <w:rsid w:val="00DC2FD9"/>
    <w:rsid w:val="00DC399E"/>
    <w:rsid w:val="00DC4C28"/>
    <w:rsid w:val="00DC5B21"/>
    <w:rsid w:val="00DC6DBF"/>
    <w:rsid w:val="00DC717A"/>
    <w:rsid w:val="00DC76AB"/>
    <w:rsid w:val="00DD0277"/>
    <w:rsid w:val="00DD05AE"/>
    <w:rsid w:val="00DD1374"/>
    <w:rsid w:val="00DD1752"/>
    <w:rsid w:val="00DD264B"/>
    <w:rsid w:val="00DD6131"/>
    <w:rsid w:val="00DD687B"/>
    <w:rsid w:val="00DD7263"/>
    <w:rsid w:val="00DE2902"/>
    <w:rsid w:val="00DE3271"/>
    <w:rsid w:val="00DE448B"/>
    <w:rsid w:val="00DF0E04"/>
    <w:rsid w:val="00DF1C90"/>
    <w:rsid w:val="00DF493D"/>
    <w:rsid w:val="00DF530D"/>
    <w:rsid w:val="00DF572B"/>
    <w:rsid w:val="00DF6D2B"/>
    <w:rsid w:val="00DF786A"/>
    <w:rsid w:val="00DF7DBD"/>
    <w:rsid w:val="00E003B6"/>
    <w:rsid w:val="00E016AC"/>
    <w:rsid w:val="00E02F08"/>
    <w:rsid w:val="00E04923"/>
    <w:rsid w:val="00E056C8"/>
    <w:rsid w:val="00E05B73"/>
    <w:rsid w:val="00E06C03"/>
    <w:rsid w:val="00E127EF"/>
    <w:rsid w:val="00E12AC6"/>
    <w:rsid w:val="00E16415"/>
    <w:rsid w:val="00E1703B"/>
    <w:rsid w:val="00E214FE"/>
    <w:rsid w:val="00E221C7"/>
    <w:rsid w:val="00E24E73"/>
    <w:rsid w:val="00E254C1"/>
    <w:rsid w:val="00E307F6"/>
    <w:rsid w:val="00E313D1"/>
    <w:rsid w:val="00E317F6"/>
    <w:rsid w:val="00E328C8"/>
    <w:rsid w:val="00E3345D"/>
    <w:rsid w:val="00E33956"/>
    <w:rsid w:val="00E35608"/>
    <w:rsid w:val="00E40937"/>
    <w:rsid w:val="00E43330"/>
    <w:rsid w:val="00E43AE2"/>
    <w:rsid w:val="00E45F7F"/>
    <w:rsid w:val="00E47129"/>
    <w:rsid w:val="00E52BB0"/>
    <w:rsid w:val="00E52E55"/>
    <w:rsid w:val="00E5390A"/>
    <w:rsid w:val="00E565CC"/>
    <w:rsid w:val="00E57A05"/>
    <w:rsid w:val="00E62D8B"/>
    <w:rsid w:val="00E659C0"/>
    <w:rsid w:val="00E8142C"/>
    <w:rsid w:val="00E821C6"/>
    <w:rsid w:val="00E82C70"/>
    <w:rsid w:val="00E83919"/>
    <w:rsid w:val="00E84515"/>
    <w:rsid w:val="00E868CD"/>
    <w:rsid w:val="00E87B58"/>
    <w:rsid w:val="00E923A1"/>
    <w:rsid w:val="00E93C96"/>
    <w:rsid w:val="00E94C0E"/>
    <w:rsid w:val="00E95220"/>
    <w:rsid w:val="00E9571D"/>
    <w:rsid w:val="00EA009A"/>
    <w:rsid w:val="00EA0308"/>
    <w:rsid w:val="00EA09E9"/>
    <w:rsid w:val="00EA36BE"/>
    <w:rsid w:val="00EA5211"/>
    <w:rsid w:val="00EA576E"/>
    <w:rsid w:val="00EB0B63"/>
    <w:rsid w:val="00EB1D58"/>
    <w:rsid w:val="00EB1FC7"/>
    <w:rsid w:val="00EB3736"/>
    <w:rsid w:val="00EB6941"/>
    <w:rsid w:val="00EB788C"/>
    <w:rsid w:val="00EC07DB"/>
    <w:rsid w:val="00EC440F"/>
    <w:rsid w:val="00EC6D9D"/>
    <w:rsid w:val="00EC70F6"/>
    <w:rsid w:val="00EC7A7C"/>
    <w:rsid w:val="00ED050F"/>
    <w:rsid w:val="00ED12AB"/>
    <w:rsid w:val="00ED2B84"/>
    <w:rsid w:val="00ED2D4F"/>
    <w:rsid w:val="00ED459E"/>
    <w:rsid w:val="00ED48A6"/>
    <w:rsid w:val="00ED60A9"/>
    <w:rsid w:val="00ED621F"/>
    <w:rsid w:val="00EE0EEE"/>
    <w:rsid w:val="00EE230E"/>
    <w:rsid w:val="00EE3B29"/>
    <w:rsid w:val="00EE3E70"/>
    <w:rsid w:val="00EE6072"/>
    <w:rsid w:val="00EF51BA"/>
    <w:rsid w:val="00F01E72"/>
    <w:rsid w:val="00F024BB"/>
    <w:rsid w:val="00F03162"/>
    <w:rsid w:val="00F05006"/>
    <w:rsid w:val="00F0512E"/>
    <w:rsid w:val="00F055C8"/>
    <w:rsid w:val="00F06D07"/>
    <w:rsid w:val="00F06D3F"/>
    <w:rsid w:val="00F11C8D"/>
    <w:rsid w:val="00F124F0"/>
    <w:rsid w:val="00F12FCE"/>
    <w:rsid w:val="00F14E8A"/>
    <w:rsid w:val="00F16D66"/>
    <w:rsid w:val="00F20D06"/>
    <w:rsid w:val="00F2172C"/>
    <w:rsid w:val="00F230DA"/>
    <w:rsid w:val="00F26528"/>
    <w:rsid w:val="00F31027"/>
    <w:rsid w:val="00F350EF"/>
    <w:rsid w:val="00F4435D"/>
    <w:rsid w:val="00F47A8C"/>
    <w:rsid w:val="00F52CFA"/>
    <w:rsid w:val="00F53D6F"/>
    <w:rsid w:val="00F57358"/>
    <w:rsid w:val="00F624CC"/>
    <w:rsid w:val="00F661C9"/>
    <w:rsid w:val="00F66893"/>
    <w:rsid w:val="00F67621"/>
    <w:rsid w:val="00F71332"/>
    <w:rsid w:val="00F75578"/>
    <w:rsid w:val="00F768EC"/>
    <w:rsid w:val="00F83593"/>
    <w:rsid w:val="00F910A2"/>
    <w:rsid w:val="00F945ED"/>
    <w:rsid w:val="00F94DB3"/>
    <w:rsid w:val="00F962FA"/>
    <w:rsid w:val="00F966AA"/>
    <w:rsid w:val="00FA0DB6"/>
    <w:rsid w:val="00FA192A"/>
    <w:rsid w:val="00FA1F8E"/>
    <w:rsid w:val="00FA264F"/>
    <w:rsid w:val="00FA4814"/>
    <w:rsid w:val="00FA4817"/>
    <w:rsid w:val="00FB14AC"/>
    <w:rsid w:val="00FB22CC"/>
    <w:rsid w:val="00FB24CD"/>
    <w:rsid w:val="00FB2ED3"/>
    <w:rsid w:val="00FB2FB0"/>
    <w:rsid w:val="00FC0934"/>
    <w:rsid w:val="00FC1C70"/>
    <w:rsid w:val="00FC1E1C"/>
    <w:rsid w:val="00FC682C"/>
    <w:rsid w:val="00FC6B47"/>
    <w:rsid w:val="00FC73C7"/>
    <w:rsid w:val="00FD2649"/>
    <w:rsid w:val="00FD3953"/>
    <w:rsid w:val="00FD654C"/>
    <w:rsid w:val="00FE21BA"/>
    <w:rsid w:val="00FE30F4"/>
    <w:rsid w:val="00FE3F86"/>
    <w:rsid w:val="00FE5995"/>
    <w:rsid w:val="00FE64BE"/>
    <w:rsid w:val="00FF12CC"/>
    <w:rsid w:val="00FF1386"/>
    <w:rsid w:val="00FF165E"/>
    <w:rsid w:val="00FF4A12"/>
    <w:rsid w:val="00FF4F26"/>
    <w:rsid w:val="00FF5154"/>
    <w:rsid w:val="00FF56ED"/>
    <w:rsid w:val="00FF6315"/>
    <w:rsid w:val="34FB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C7767CA4-6778-43E6-BE5C-943AD9A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5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  <w:style w:type="paragraph" w:styleId="Revision">
    <w:name w:val="Revision"/>
    <w:hidden/>
    <w:uiPriority w:val="99"/>
    <w:semiHidden/>
    <w:rsid w:val="00CB43F8"/>
    <w:pPr>
      <w:spacing w:after="0" w:line="240" w:lineRule="auto"/>
    </w:pPr>
  </w:style>
  <w:style w:type="character" w:customStyle="1" w:styleId="cf01">
    <w:name w:val="cf01"/>
    <w:basedOn w:val="DefaultParagraphFont"/>
    <w:rsid w:val="004F4ED6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1A1829"/>
  </w:style>
  <w:style w:type="character" w:styleId="Hyperlink">
    <w:name w:val="Hyperlink"/>
    <w:basedOn w:val="DefaultParagraphFont"/>
    <w:uiPriority w:val="99"/>
    <w:unhideWhenUsed/>
    <w:rsid w:val="005B3E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E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61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D275C1F361F4CAD4CDE680C24111D" ma:contentTypeVersion="25" ma:contentTypeDescription="Create a new document." ma:contentTypeScope="" ma:versionID="cf6f3ef2a26f368dca30e964766925eb">
  <xsd:schema xmlns:xsd="http://www.w3.org/2001/XMLSchema" xmlns:xs="http://www.w3.org/2001/XMLSchema" xmlns:p="http://schemas.microsoft.com/office/2006/metadata/properties" xmlns:ns2="4a29e63b-ef62-44d2-be79-d78a942fda43" xmlns:ns3="3a93995c-2f59-466d-9065-fa6c9c5410b5" xmlns:ns4="45ab7314-6ee2-4801-b2cf-a27306d55ce5" targetNamespace="http://schemas.microsoft.com/office/2006/metadata/properties" ma:root="true" ma:fieldsID="6115bfac155476b6fd8051bfd0cee6ce" ns2:_="" ns3:_="" ns4:_="">
    <xsd:import namespace="4a29e63b-ef62-44d2-be79-d78a942fda43"/>
    <xsd:import namespace="3a93995c-2f59-466d-9065-fa6c9c5410b5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_Flow_SignoffStatus" minOccurs="0"/>
                <xsd:element ref="ns2:Audiences" minOccurs="0"/>
                <xsd:element ref="ns2:DocumentType" minOccurs="0"/>
                <xsd:element ref="ns2:ProjectLead" minOccurs="0"/>
                <xsd:element ref="ns2:Renewalyear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9e63b-ef62-44d2-be79-d78a942fda43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description="This notice was sent to Dit on 19AUG23&#10;" ma:format="Dropdown" ma:internalName="Notes0">
      <xsd:simpleType>
        <xsd:restriction base="dms:Note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udiences" ma:index="5" nillable="true" ma:displayName="Audiences " ma:description="To whom the documents are targeted too" ma:format="Dropdown" ma:internalName="Audiences" ma:readOnly="false">
      <xsd:simpleType>
        <xsd:union memberTypes="dms:Text">
          <xsd:simpleType>
            <xsd:restriction base="dms:Choice">
              <xsd:enumeration value="Comms"/>
              <xsd:enumeration value="NAP"/>
              <xsd:enumeration value="Legal"/>
            </xsd:restriction>
          </xsd:simpleType>
        </xsd:union>
      </xsd:simpleType>
    </xsd:element>
    <xsd:element name="DocumentType" ma:index="6" nillable="true" ma:displayName="Document Type" ma:description="Single line of text describing the document" ma:format="Dropdown" ma:indexed="true" ma:internalName="DocumentType" ma:readOnly="false">
      <xsd:simpleType>
        <xsd:restriction base="dms:Text">
          <xsd:maxLength value="255"/>
        </xsd:restriction>
      </xsd:simpleType>
    </xsd:element>
    <xsd:element name="ProjectLead" ma:index="7" nillable="true" ma:displayName="Project Lead" ma:description="Lead of the Project" ma:format="Dropdown" ma:list="UserInfo" ma:SharePointGroup="0" ma:internalName="Project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ewalyear" ma:index="8" nillable="true" ma:displayName="Renewal year" ma:description="Year notice is due for renewal " ma:format="Dropdown" ma:indexed="true" ma:internalName="Renewalyear" ma:readOnly="false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Revoked"/>
          <xsd:enumeration value="Awaiting publication"/>
          <xsd:enumeration value="Project Phase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3995c-2f59-466d-9065-fa6c9c541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aa7e35-57e2-442c-83e6-dc733534ef78}" ma:internalName="TaxCatchAll" ma:readOnly="false" ma:showField="CatchAllData" ma:web="3a93995c-2f59-466d-9065-fa6c9c541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4a29e63b-ef62-44d2-be79-d78a942fda43">
      <Terms xmlns="http://schemas.microsoft.com/office/infopath/2007/PartnerControls"/>
    </lcf76f155ced4ddcb4097134ff3c332f>
    <ProjectLead xmlns="4a29e63b-ef62-44d2-be79-d78a942fda43">
      <UserInfo>
        <DisplayName/>
        <AccountId xsi:nil="true"/>
        <AccountType/>
      </UserInfo>
    </ProjectLead>
    <Renewalyear xmlns="4a29e63b-ef62-44d2-be79-d78a942fda43" xsi:nil="true"/>
    <Audiences xmlns="4a29e63b-ef62-44d2-be79-d78a942fda43" xsi:nil="true"/>
    <DocumentType xmlns="4a29e63b-ef62-44d2-be79-d78a942fda43" xsi:nil="true"/>
    <_Flow_SignoffStatus xmlns="4a29e63b-ef62-44d2-be79-d78a942fda43" xsi:nil="true"/>
    <Notes0 xmlns="4a29e63b-ef62-44d2-be79-d78a942fda43" xsi:nil="true"/>
  </documentManagement>
</p:properties>
</file>

<file path=customXml/itemProps1.xml><?xml version="1.0" encoding="utf-8"?>
<ds:datastoreItem xmlns:ds="http://schemas.openxmlformats.org/officeDocument/2006/customXml" ds:itemID="{50C64CEA-3984-4AD5-AE5C-7D4F9D2A8AE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DEE41FC-E2B9-445E-95F1-0A3A0FAE58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B2822C-FA42-4588-8B63-55E742D27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9e63b-ef62-44d2-be79-d78a942fda43"/>
    <ds:schemaRef ds:uri="3a93995c-2f59-466d-9065-fa6c9c5410b5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FEAE40-20A7-41EA-85E8-2893D57B1AEC}">
  <ds:schemaRefs>
    <ds:schemaRef ds:uri="http://schemas.microsoft.com/office/2006/metadata/properties"/>
    <ds:schemaRef ds:uri="http://schemas.microsoft.com/office/infopath/2007/PartnerControls"/>
    <ds:schemaRef ds:uri="45ab7314-6ee2-4801-b2cf-a27306d55ce5"/>
    <ds:schemaRef ds:uri="4a29e63b-ef62-44d2-be79-d78a942fda43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Julian Del Beato</cp:lastModifiedBy>
  <cp:revision>23</cp:revision>
  <cp:lastPrinted>2024-12-06T05:30:00Z</cp:lastPrinted>
  <dcterms:created xsi:type="dcterms:W3CDTF">2024-12-04T01:23:00Z</dcterms:created>
  <dcterms:modified xsi:type="dcterms:W3CDTF">2025-01-15T06:49:00Z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0x010100107D275C1F361F4CAD4CDE680C24111D</vt:lpwstr>
  </property>
  <property fmtid="{D5CDD505-2E9C-101B-9397-08002B2CF9AE}" pid="3" name="MediaServiceImageTags">
    <vt:lpwstr/>
  </property>
  <property fmtid="{D5CDD505-2E9C-101B-9397-08002B2CF9AE}" pid="4" name="GrammarlyDocumentId">
    <vt:lpwstr>e37d568ba32e77c42bcaf07048d7feaf4830c60348a47421ece4ff1599ae7305</vt:lpwstr>
  </property>
  <property fmtid="{D5CDD505-2E9C-101B-9397-08002B2CF9AE}" pid="5" name="ClassificationContentMarkingHeaderShapeIds">
    <vt:lpwstr>48bb77f9,27ca0575,1ebc71bc</vt:lpwstr>
  </property>
  <property fmtid="{D5CDD505-2E9C-101B-9397-08002B2CF9AE}" pid="6" name="ClassificationContentMarkingHeaderFontProps">
    <vt:lpwstr>#a80000,12,Arial</vt:lpwstr>
  </property>
  <property fmtid="{D5CDD505-2E9C-101B-9397-08002B2CF9AE}" pid="7" name="ClassificationContentMarkingHeaderText">
    <vt:lpwstr>OFFICIAL</vt:lpwstr>
  </property>
  <property fmtid="{D5CDD505-2E9C-101B-9397-08002B2CF9AE}" pid="8" name="ClassificationContentMarkingFooterShapeIds">
    <vt:lpwstr>27290d4f,1743ad5a,52b1e3fa</vt:lpwstr>
  </property>
  <property fmtid="{D5CDD505-2E9C-101B-9397-08002B2CF9AE}" pid="9" name="ClassificationContentMarkingFooterFontProps">
    <vt:lpwstr>#a80000,12,arial</vt:lpwstr>
  </property>
  <property fmtid="{D5CDD505-2E9C-101B-9397-08002B2CF9AE}" pid="10" name="ClassificationContentMarkingFooterText">
    <vt:lpwstr>OFFICIAL </vt:lpwstr>
  </property>
</Properties>
</file>