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B54987" w14:textId="77777777" w:rsidR="003A2FAA" w:rsidRPr="003A2FAA" w:rsidRDefault="003A2FAA" w:rsidP="003A2FAA">
      <w:pPr>
        <w:spacing w:before="120"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r w:rsidRPr="003A2FAA">
        <w:rPr>
          <w:rFonts w:ascii="Calibri" w:eastAsia="Calibri" w:hAnsi="Calibri" w:cs="Times New Roman"/>
          <w:b/>
          <w:sz w:val="28"/>
          <w:szCs w:val="28"/>
        </w:rPr>
        <w:t xml:space="preserve">HEAVY VEHICLE NATIONAL LAW </w:t>
      </w:r>
    </w:p>
    <w:p w14:paraId="7ED2881F" w14:textId="77777777" w:rsidR="003A2FAA" w:rsidRPr="003A2FAA" w:rsidRDefault="003A2FAA" w:rsidP="003A2FAA">
      <w:pPr>
        <w:spacing w:after="0" w:line="24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  <w:bookmarkStart w:id="0" w:name="_Hlk183673456"/>
      <w:r w:rsidRPr="003A2FAA">
        <w:rPr>
          <w:rFonts w:ascii="Calibri" w:eastAsia="Calibri" w:hAnsi="Calibri" w:cs="Times New Roman"/>
          <w:b/>
          <w:sz w:val="28"/>
          <w:szCs w:val="28"/>
        </w:rPr>
        <w:t>National Heavy Vehicle Standards (Dual Control Waste Collection Vehicles) Exemption Notice 2024 (No.1)</w:t>
      </w:r>
      <w:bookmarkEnd w:id="0"/>
    </w:p>
    <w:p w14:paraId="6DBD036C" w14:textId="77777777" w:rsidR="003A2FAA" w:rsidRPr="003A2FAA" w:rsidRDefault="003A2FAA" w:rsidP="003A2FAA">
      <w:pPr>
        <w:spacing w:after="0" w:line="240" w:lineRule="auto"/>
        <w:ind w:left="851" w:hanging="709"/>
        <w:rPr>
          <w:rFonts w:ascii="Calibri" w:eastAsia="Times New Roman" w:hAnsi="Calibri" w:cs="Times New Roman"/>
          <w:b/>
          <w:sz w:val="24"/>
          <w:szCs w:val="24"/>
          <w:lang w:eastAsia="en-AU"/>
        </w:rPr>
      </w:pPr>
    </w:p>
    <w:p w14:paraId="07393150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Purpose</w:t>
      </w:r>
    </w:p>
    <w:p w14:paraId="3BF149A3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38256CE8" w14:textId="77777777" w:rsidR="003A2FAA" w:rsidRPr="003A2FAA" w:rsidRDefault="003A2FAA" w:rsidP="003A2FAA">
      <w:pPr>
        <w:numPr>
          <w:ilvl w:val="0"/>
          <w:numId w:val="3"/>
        </w:numPr>
        <w:spacing w:before="120" w:after="0" w:line="240" w:lineRule="auto"/>
        <w:ind w:left="782" w:hanging="357"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 xml:space="preserve">The purpose of this notice is to exempt a heavy vehicle that is fitted with dual steering controls and used for waste or recycling collection, or street sweeping, from the requirements of the </w:t>
      </w:r>
      <w:r w:rsidRPr="003A2FAA">
        <w:rPr>
          <w:rFonts w:ascii="Calibri" w:eastAsia="Times New Roman" w:hAnsi="Calibri" w:cs="Helvetica"/>
          <w:i/>
          <w:iCs/>
          <w:lang w:eastAsia="en-AU"/>
        </w:rPr>
        <w:t>Heavy Vehicle (Vehicle Standards) National Regulation</w:t>
      </w:r>
      <w:r w:rsidRPr="003A2FAA">
        <w:rPr>
          <w:rFonts w:ascii="Calibri" w:eastAsia="Times New Roman" w:hAnsi="Calibri" w:cs="Helvetica"/>
          <w:lang w:eastAsia="en-AU"/>
        </w:rPr>
        <w:t xml:space="preserve"> (the National Regulation) specified in this notice.</w:t>
      </w:r>
    </w:p>
    <w:p w14:paraId="0ECFC585" w14:textId="77777777" w:rsidR="003A2FAA" w:rsidRDefault="003A2FAA" w:rsidP="003A2FAA">
      <w:pPr>
        <w:numPr>
          <w:ilvl w:val="0"/>
          <w:numId w:val="3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 xml:space="preserve">This notice revokes and replaces the </w:t>
      </w:r>
      <w:r w:rsidRPr="003A2FAA">
        <w:rPr>
          <w:rFonts w:ascii="Calibri" w:eastAsia="Times New Roman" w:hAnsi="Calibri" w:cs="Helvetica"/>
          <w:i/>
          <w:iCs/>
          <w:lang w:eastAsia="en-AU"/>
        </w:rPr>
        <w:t>National Heavy Vehicle Standards (Dual Control Waste Collection Vehicles) Exemption Notice 2020 (No. 1)</w:t>
      </w:r>
      <w:r w:rsidRPr="003A2FAA">
        <w:rPr>
          <w:rFonts w:ascii="Calibri" w:eastAsia="Times New Roman" w:hAnsi="Calibri" w:cs="Helvetica"/>
          <w:lang w:eastAsia="en-AU"/>
        </w:rPr>
        <w:t>.</w:t>
      </w:r>
    </w:p>
    <w:p w14:paraId="3CDE1F4A" w14:textId="77777777" w:rsidR="003A2FAA" w:rsidRPr="003A2FAA" w:rsidRDefault="003A2FAA" w:rsidP="003A2FAA">
      <w:pPr>
        <w:spacing w:before="120" w:after="120" w:line="240" w:lineRule="auto"/>
        <w:ind w:left="786"/>
        <w:contextualSpacing/>
        <w:outlineLvl w:val="1"/>
        <w:rPr>
          <w:rFonts w:ascii="Calibri" w:eastAsia="Times New Roman" w:hAnsi="Calibri" w:cs="Helvetica"/>
          <w:lang w:eastAsia="en-AU"/>
        </w:rPr>
      </w:pPr>
    </w:p>
    <w:p w14:paraId="53D92C7F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Authorising Provision</w:t>
      </w:r>
    </w:p>
    <w:p w14:paraId="2B49FD73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4D8CF248" w14:textId="77777777" w:rsidR="003A2FAA" w:rsidRDefault="003A2FAA" w:rsidP="003A2FAA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A2FAA">
        <w:rPr>
          <w:rFonts w:ascii="Calibri" w:eastAsia="Calibri" w:hAnsi="Calibri" w:cs="Times New Roman"/>
        </w:rPr>
        <w:t xml:space="preserve">This notice is made under section 61 of the </w:t>
      </w:r>
      <w:r w:rsidRPr="003A2FAA">
        <w:rPr>
          <w:rFonts w:ascii="Calibri" w:eastAsia="Calibri" w:hAnsi="Calibri" w:cs="Times New Roman"/>
          <w:i/>
          <w:iCs/>
        </w:rPr>
        <w:t>Heavy Vehicle National Law</w:t>
      </w:r>
      <w:r w:rsidRPr="003A2FAA">
        <w:rPr>
          <w:rFonts w:ascii="Calibri" w:eastAsia="Calibri" w:hAnsi="Calibri" w:cs="Times New Roman"/>
        </w:rPr>
        <w:t xml:space="preserve"> (HVNL)</w:t>
      </w:r>
      <w:r w:rsidRPr="003A2FAA">
        <w:rPr>
          <w:rFonts w:ascii="Calibri" w:eastAsia="Times New Roman" w:hAnsi="Calibri" w:cs="Calibri"/>
          <w:color w:val="000000"/>
          <w:lang w:eastAsia="en-AU"/>
        </w:rPr>
        <w:t xml:space="preserve"> </w:t>
      </w:r>
      <w:r w:rsidRPr="003A2FAA">
        <w:rPr>
          <w:rFonts w:ascii="Calibri" w:eastAsia="Calibri" w:hAnsi="Calibri" w:cs="Times New Roman"/>
        </w:rPr>
        <w:t>as in force in each participating jurisdiction.</w:t>
      </w:r>
    </w:p>
    <w:p w14:paraId="687C351C" w14:textId="77777777" w:rsidR="003A2FAA" w:rsidRPr="003A2FAA" w:rsidRDefault="003A2FAA" w:rsidP="003A2FAA">
      <w:pPr>
        <w:spacing w:before="120" w:after="1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3378E72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Commencement</w:t>
      </w:r>
    </w:p>
    <w:p w14:paraId="47C6B679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75608088" w14:textId="77777777" w:rsidR="003A2FAA" w:rsidRDefault="003A2FAA" w:rsidP="003A2FAA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A2FAA">
        <w:rPr>
          <w:rFonts w:ascii="Calibri" w:eastAsia="Calibri" w:hAnsi="Calibri" w:cs="Times New Roman"/>
        </w:rPr>
        <w:t>This notice commences on 9 December 2024.</w:t>
      </w:r>
    </w:p>
    <w:p w14:paraId="438CF125" w14:textId="77777777" w:rsidR="003A2FAA" w:rsidRPr="003A2FAA" w:rsidRDefault="003A2FAA" w:rsidP="003A2FAA">
      <w:pPr>
        <w:spacing w:before="120" w:after="12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22FC870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Expiry</w:t>
      </w:r>
    </w:p>
    <w:p w14:paraId="6833F73A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4E291ADF" w14:textId="77777777" w:rsidR="003A2FAA" w:rsidRDefault="003A2FAA" w:rsidP="003A2FAA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A2FAA">
        <w:rPr>
          <w:rFonts w:ascii="Calibri" w:eastAsia="Calibri" w:hAnsi="Calibri" w:cs="Times New Roman"/>
        </w:rPr>
        <w:t>This notice expires on 8 December 2029.</w:t>
      </w:r>
    </w:p>
    <w:p w14:paraId="11F03841" w14:textId="77777777" w:rsidR="003A2FAA" w:rsidRPr="003A2FAA" w:rsidRDefault="003A2FAA" w:rsidP="003A2FAA">
      <w:pPr>
        <w:spacing w:before="120" w:after="12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9F8C0F8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Definitions</w:t>
      </w:r>
    </w:p>
    <w:p w14:paraId="1FABDF05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770FA968" w14:textId="77777777" w:rsidR="003A2FAA" w:rsidRPr="003A2FAA" w:rsidRDefault="003A2FAA" w:rsidP="003A2FAA">
      <w:pPr>
        <w:numPr>
          <w:ilvl w:val="0"/>
          <w:numId w:val="4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Unless otherwise stated, words and expressions used in this notice have the same meanings as those defined in the HVNL.</w:t>
      </w:r>
    </w:p>
    <w:p w14:paraId="2EE2E747" w14:textId="77777777" w:rsidR="003A2FAA" w:rsidRPr="003A2FAA" w:rsidRDefault="003A2FAA" w:rsidP="003A2FAA">
      <w:pPr>
        <w:numPr>
          <w:ilvl w:val="0"/>
          <w:numId w:val="3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In this notice—</w:t>
      </w:r>
    </w:p>
    <w:p w14:paraId="51CF693B" w14:textId="77777777" w:rsidR="003A2FAA" w:rsidRPr="003A2FAA" w:rsidRDefault="003A2FAA" w:rsidP="003A2FAA">
      <w:pPr>
        <w:tabs>
          <w:tab w:val="left" w:pos="720"/>
        </w:tabs>
        <w:spacing w:before="120" w:after="120" w:line="240" w:lineRule="auto"/>
        <w:ind w:left="426" w:firstLine="294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i/>
          <w:iCs/>
          <w:lang w:eastAsia="en-AU"/>
        </w:rPr>
        <w:t>waste collection vehicle</w:t>
      </w:r>
      <w:r w:rsidRPr="003A2FAA">
        <w:rPr>
          <w:rFonts w:ascii="Calibri" w:eastAsia="Times New Roman" w:hAnsi="Calibri" w:cs="Helvetica"/>
          <w:lang w:eastAsia="en-AU"/>
        </w:rPr>
        <w:t xml:space="preserve"> means a heavy vehicle that is—</w:t>
      </w:r>
    </w:p>
    <w:p w14:paraId="1D04DF7E" w14:textId="77777777" w:rsidR="003A2FAA" w:rsidRPr="003A2FAA" w:rsidRDefault="003A2FAA" w:rsidP="003A2FAA">
      <w:pPr>
        <w:numPr>
          <w:ilvl w:val="0"/>
          <w:numId w:val="5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designed and used for:</w:t>
      </w:r>
    </w:p>
    <w:p w14:paraId="5EFE9D31" w14:textId="77777777" w:rsidR="003A2FAA" w:rsidRPr="003A2FAA" w:rsidRDefault="003A2FAA" w:rsidP="003A2FAA">
      <w:pPr>
        <w:tabs>
          <w:tab w:val="left" w:pos="720"/>
        </w:tabs>
        <w:spacing w:before="120" w:after="120" w:line="240" w:lineRule="auto"/>
        <w:ind w:left="786" w:firstLine="425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(</w:t>
      </w:r>
      <w:proofErr w:type="spellStart"/>
      <w:r w:rsidRPr="003A2FAA">
        <w:rPr>
          <w:rFonts w:ascii="Calibri" w:eastAsia="Times New Roman" w:hAnsi="Calibri" w:cs="Helvetica"/>
          <w:lang w:eastAsia="en-AU"/>
        </w:rPr>
        <w:t>i</w:t>
      </w:r>
      <w:proofErr w:type="spellEnd"/>
      <w:r w:rsidRPr="003A2FAA">
        <w:rPr>
          <w:rFonts w:ascii="Calibri" w:eastAsia="Times New Roman" w:hAnsi="Calibri" w:cs="Helvetica"/>
          <w:lang w:eastAsia="en-AU"/>
        </w:rPr>
        <w:t>) the roadside collection of waste or recycling material; or</w:t>
      </w:r>
    </w:p>
    <w:p w14:paraId="68E15862" w14:textId="77777777" w:rsidR="003A2FAA" w:rsidRPr="003A2FAA" w:rsidRDefault="003A2FAA" w:rsidP="003A2FAA">
      <w:pPr>
        <w:tabs>
          <w:tab w:val="left" w:pos="720"/>
        </w:tabs>
        <w:spacing w:before="120" w:after="120" w:line="240" w:lineRule="auto"/>
        <w:ind w:left="786" w:firstLine="425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(ii) street sweeping; and</w:t>
      </w:r>
    </w:p>
    <w:p w14:paraId="2808A3E9" w14:textId="77777777" w:rsidR="003A2FAA" w:rsidRPr="003A2FAA" w:rsidRDefault="003A2FAA" w:rsidP="003A2FAA">
      <w:pPr>
        <w:numPr>
          <w:ilvl w:val="0"/>
          <w:numId w:val="5"/>
        </w:numPr>
        <w:tabs>
          <w:tab w:val="left" w:pos="720"/>
        </w:tabs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is fitted with both left-hand and right-hand steering controls.</w:t>
      </w:r>
    </w:p>
    <w:p w14:paraId="6E84E23B" w14:textId="77777777" w:rsidR="003A2FAA" w:rsidRDefault="003A2FAA" w:rsidP="003A2FAA">
      <w:pPr>
        <w:tabs>
          <w:tab w:val="left" w:pos="720"/>
        </w:tabs>
        <w:spacing w:before="120" w:after="120" w:line="240" w:lineRule="auto"/>
        <w:ind w:left="714" w:firstLine="6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i/>
          <w:iCs/>
          <w:lang w:eastAsia="en-AU"/>
        </w:rPr>
        <w:t xml:space="preserve">safe place </w:t>
      </w:r>
      <w:r w:rsidRPr="003A2FAA">
        <w:rPr>
          <w:rFonts w:ascii="Calibri" w:eastAsia="Times New Roman" w:hAnsi="Calibri" w:cs="Helvetica"/>
          <w:lang w:eastAsia="en-AU"/>
        </w:rPr>
        <w:t>means an area where the vehicle can be parked where it will not interfere or impede other road users and that is safe for the driver to change steering positions.</w:t>
      </w:r>
    </w:p>
    <w:p w14:paraId="6991F7BA" w14:textId="77777777" w:rsidR="003A2FAA" w:rsidRPr="003A2FAA" w:rsidRDefault="003A2FAA" w:rsidP="003A2FAA">
      <w:pPr>
        <w:tabs>
          <w:tab w:val="left" w:pos="720"/>
        </w:tabs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i/>
          <w:iCs/>
          <w:lang w:eastAsia="en-AU"/>
        </w:rPr>
      </w:pPr>
    </w:p>
    <w:p w14:paraId="2CBB2828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Title</w:t>
      </w:r>
    </w:p>
    <w:p w14:paraId="13AFC9BF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230050A3" w14:textId="77777777" w:rsidR="003A2FAA" w:rsidRDefault="003A2FAA" w:rsidP="003A2FAA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  <w:r w:rsidRPr="003A2FAA">
        <w:rPr>
          <w:rFonts w:ascii="Calibri" w:eastAsia="Calibri" w:hAnsi="Calibri" w:cs="Times New Roman"/>
        </w:rPr>
        <w:t xml:space="preserve">This notice may be cited as the </w:t>
      </w:r>
      <w:r w:rsidRPr="003A2FAA">
        <w:rPr>
          <w:rFonts w:ascii="Calibri" w:eastAsia="Calibri" w:hAnsi="Calibri" w:cs="Times New Roman"/>
          <w:i/>
          <w:iCs/>
        </w:rPr>
        <w:t>National Heavy Vehicle Standards (Dual Control Waste Collection Vehicles) Exemption Notice 2024 (No.1)</w:t>
      </w:r>
      <w:r w:rsidRPr="003A2FAA">
        <w:rPr>
          <w:rFonts w:ascii="Calibri" w:eastAsia="Calibri" w:hAnsi="Calibri" w:cs="Times New Roman"/>
        </w:rPr>
        <w:t>.</w:t>
      </w:r>
    </w:p>
    <w:p w14:paraId="78F3FC88" w14:textId="77777777" w:rsidR="003A2FAA" w:rsidRPr="003A2FAA" w:rsidRDefault="003A2FAA" w:rsidP="003A2FAA">
      <w:pPr>
        <w:spacing w:before="120" w:after="120"/>
        <w:ind w:left="709"/>
        <w:contextualSpacing/>
        <w:jc w:val="both"/>
        <w:rPr>
          <w:rFonts w:ascii="Calibri" w:eastAsia="Calibri" w:hAnsi="Calibri" w:cs="Times New Roman"/>
        </w:rPr>
      </w:pPr>
    </w:p>
    <w:p w14:paraId="5E224957" w14:textId="77777777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Application</w:t>
      </w:r>
    </w:p>
    <w:p w14:paraId="4D735A38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64647D6C" w14:textId="77777777" w:rsidR="003A2FAA" w:rsidRDefault="003A2FAA" w:rsidP="003A2FAA">
      <w:pPr>
        <w:tabs>
          <w:tab w:val="left" w:pos="720"/>
        </w:tabs>
        <w:spacing w:after="120" w:line="240" w:lineRule="auto"/>
        <w:ind w:left="789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This notice applies to waste collection vehicles operating in all participating jurisdictions.</w:t>
      </w:r>
    </w:p>
    <w:p w14:paraId="3614A2FE" w14:textId="77777777" w:rsidR="00E74A5D" w:rsidRDefault="00E74A5D">
      <w:pPr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br w:type="page"/>
      </w:r>
    </w:p>
    <w:p w14:paraId="7E2C8ADF" w14:textId="5D58E34B" w:rsidR="003A2FAA" w:rsidRDefault="003A2FAA" w:rsidP="003A2FAA">
      <w:pPr>
        <w:numPr>
          <w:ilvl w:val="0"/>
          <w:numId w:val="1"/>
        </w:numPr>
        <w:spacing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lastRenderedPageBreak/>
        <w:t xml:space="preserve">Exemption from Prescribed Vehicle Standards </w:t>
      </w:r>
    </w:p>
    <w:p w14:paraId="1805C1A5" w14:textId="77777777" w:rsidR="00E74A5D" w:rsidRPr="003A2FAA" w:rsidRDefault="00E74A5D" w:rsidP="00E74A5D">
      <w:pPr>
        <w:spacing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0DD889C5" w14:textId="77777777" w:rsidR="003A2FAA" w:rsidRPr="003A2FAA" w:rsidRDefault="003A2FAA" w:rsidP="003A2FAA">
      <w:pPr>
        <w:numPr>
          <w:ilvl w:val="0"/>
          <w:numId w:val="6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 waste collection vehicle is exempt from complying with the following vehicle standards, as required by section 2(1) of Schedule 1 of the National Regulation:</w:t>
      </w:r>
    </w:p>
    <w:p w14:paraId="472A0EAD" w14:textId="77777777" w:rsidR="003A2FAA" w:rsidRPr="003A2FAA" w:rsidRDefault="003A2FAA" w:rsidP="003A2FAA">
      <w:pPr>
        <w:numPr>
          <w:ilvl w:val="0"/>
          <w:numId w:val="7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clause 5.1 of Australian Design Rule 42/05 – General Safety Requirements; and </w:t>
      </w:r>
    </w:p>
    <w:p w14:paraId="3381E0F5" w14:textId="77777777" w:rsidR="003A2FAA" w:rsidRPr="003A2FAA" w:rsidRDefault="003A2FAA" w:rsidP="003A2FAA">
      <w:pPr>
        <w:numPr>
          <w:ilvl w:val="0"/>
          <w:numId w:val="7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clause 5.3 of Australian Design Rule ADR 93/00. </w:t>
      </w:r>
    </w:p>
    <w:p w14:paraId="189FF63E" w14:textId="77777777" w:rsidR="003A2FAA" w:rsidRPr="003A2FAA" w:rsidRDefault="003A2FAA" w:rsidP="003A2FAA">
      <w:pPr>
        <w:numPr>
          <w:ilvl w:val="0"/>
          <w:numId w:val="6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 reference in clause (1) to a clause of an ADR is a reference to—</w:t>
      </w:r>
    </w:p>
    <w:p w14:paraId="4BB656D4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the version of the clause applying to the heavy vehicle as a vehicle standard; and</w:t>
      </w:r>
    </w:p>
    <w:p w14:paraId="2D2DE699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if another clause was superseded by the clause (including with modification or because of a renumbering of the ADR) and a version of the superseded clause applies to the heavy vehicle as a vehicle standard—the version of the superseded clause applying to the heavy vehicle as a vehicle standard; and</w:t>
      </w:r>
    </w:p>
    <w:p w14:paraId="54F43E6B" w14:textId="77777777" w:rsid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if the clause is omitted and remade (with or without modification) or renumbered and a version of the clause as remade or renumbered applies to the heavy vehicle as a vehicle standard—the version of the clause as remade or renumbered applying to the heavy vehicle as a vehicle standard.</w:t>
      </w:r>
    </w:p>
    <w:p w14:paraId="4661ED8E" w14:textId="77777777" w:rsidR="003A2FAA" w:rsidRPr="003A2FAA" w:rsidRDefault="003A2FAA" w:rsidP="003A2FAA">
      <w:pPr>
        <w:spacing w:after="120" w:line="240" w:lineRule="auto"/>
        <w:ind w:left="1069"/>
        <w:contextualSpacing/>
        <w:rPr>
          <w:rFonts w:ascii="Calibri" w:eastAsia="Times New Roman" w:hAnsi="Calibri" w:cs="Times New Roman"/>
          <w:lang w:eastAsia="en-AU"/>
        </w:rPr>
      </w:pPr>
    </w:p>
    <w:p w14:paraId="390B699C" w14:textId="77777777" w:rsidR="003A2FAA" w:rsidRDefault="003A2FAA" w:rsidP="003A2FAA">
      <w:pPr>
        <w:numPr>
          <w:ilvl w:val="0"/>
          <w:numId w:val="1"/>
        </w:numPr>
        <w:spacing w:before="120" w:after="120" w:line="240" w:lineRule="auto"/>
        <w:ind w:left="714" w:hanging="357"/>
        <w:contextualSpacing/>
        <w:jc w:val="both"/>
        <w:rPr>
          <w:rFonts w:ascii="Calibri" w:eastAsia="Calibri" w:hAnsi="Calibri" w:cs="Times New Roman"/>
          <w:b/>
        </w:rPr>
      </w:pPr>
      <w:r w:rsidRPr="003A2FAA">
        <w:rPr>
          <w:rFonts w:ascii="Calibri" w:eastAsia="Calibri" w:hAnsi="Calibri" w:cs="Times New Roman"/>
          <w:b/>
        </w:rPr>
        <w:t>Conditions</w:t>
      </w:r>
    </w:p>
    <w:p w14:paraId="2351E09C" w14:textId="77777777" w:rsidR="00E74A5D" w:rsidRPr="003A2FAA" w:rsidRDefault="00E74A5D" w:rsidP="00E74A5D">
      <w:pPr>
        <w:spacing w:before="120" w:after="120" w:line="240" w:lineRule="auto"/>
        <w:ind w:left="714"/>
        <w:contextualSpacing/>
        <w:jc w:val="both"/>
        <w:rPr>
          <w:rFonts w:ascii="Calibri" w:eastAsia="Calibri" w:hAnsi="Calibri" w:cs="Times New Roman"/>
          <w:b/>
        </w:rPr>
      </w:pPr>
    </w:p>
    <w:p w14:paraId="05DF5E3E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 waste collection vehicle must only be operated from the left-hand steering control:</w:t>
      </w:r>
    </w:p>
    <w:p w14:paraId="652F1875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from the nearest safe place to the first point of collection or sweeping </w:t>
      </w:r>
    </w:p>
    <w:p w14:paraId="5ACA3996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while actively collecting waste or recycling, or street sweeping on the left-hand side of a road, relative to the direction of travel</w:t>
      </w:r>
    </w:p>
    <w:p w14:paraId="1B101DB7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during short transits between one collection or sweeping point and the next</w:t>
      </w:r>
    </w:p>
    <w:p w14:paraId="5450B060" w14:textId="77777777" w:rsidR="003A2FAA" w:rsidRPr="003A2FAA" w:rsidRDefault="003A2FAA" w:rsidP="003A2FAA">
      <w:pPr>
        <w:numPr>
          <w:ilvl w:val="0"/>
          <w:numId w:val="8"/>
        </w:numPr>
        <w:spacing w:after="120" w:line="240" w:lineRule="auto"/>
        <w:contextualSpacing/>
        <w:rPr>
          <w:rFonts w:ascii="Calibri" w:eastAsia="Calibri" w:hAnsi="Calibri" w:cs="Times New Roman"/>
        </w:rPr>
      </w:pPr>
      <w:r w:rsidRPr="003A2FAA">
        <w:rPr>
          <w:rFonts w:ascii="Calibri" w:eastAsia="Times New Roman" w:hAnsi="Calibri" w:cs="Times New Roman"/>
          <w:lang w:eastAsia="en-AU"/>
        </w:rPr>
        <w:t>from the last point of collection or sweeping to the nearest safe place.</w:t>
      </w:r>
    </w:p>
    <w:p w14:paraId="368B23E0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Additionally, a waste collection vehicle may be operated from the left-hand steering control:</w:t>
      </w:r>
    </w:p>
    <w:p w14:paraId="12EC096A" w14:textId="77777777" w:rsidR="003A2FAA" w:rsidRPr="003A2FAA" w:rsidRDefault="003A2FAA" w:rsidP="003A2FAA">
      <w:pPr>
        <w:numPr>
          <w:ilvl w:val="0"/>
          <w:numId w:val="10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while the driver is being trained under supervision</w:t>
      </w:r>
    </w:p>
    <w:p w14:paraId="0431F477" w14:textId="77777777" w:rsidR="003A2FAA" w:rsidRPr="003A2FAA" w:rsidRDefault="003A2FAA" w:rsidP="003A2FAA">
      <w:pPr>
        <w:numPr>
          <w:ilvl w:val="0"/>
          <w:numId w:val="10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a supervising driver is seated in the right-hand driver’s position; and</w:t>
      </w:r>
    </w:p>
    <w:p w14:paraId="0B7C1B40" w14:textId="77777777" w:rsidR="003A2FAA" w:rsidRPr="003A2FAA" w:rsidRDefault="003A2FAA" w:rsidP="003A2FAA">
      <w:pPr>
        <w:numPr>
          <w:ilvl w:val="0"/>
          <w:numId w:val="10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on an established route, provided that the route does not include a road with a posted speed limit greater than </w:t>
      </w:r>
      <w:proofErr w:type="spellStart"/>
      <w:r w:rsidRPr="003A2FAA">
        <w:rPr>
          <w:rFonts w:ascii="Calibri" w:eastAsia="Times New Roman" w:hAnsi="Calibri" w:cs="Times New Roman"/>
          <w:lang w:eastAsia="en-AU"/>
        </w:rPr>
        <w:t>60km</w:t>
      </w:r>
      <w:proofErr w:type="spellEnd"/>
      <w:r w:rsidRPr="003A2FAA">
        <w:rPr>
          <w:rFonts w:ascii="Calibri" w:eastAsia="Times New Roman" w:hAnsi="Calibri" w:cs="Times New Roman"/>
          <w:lang w:eastAsia="en-AU"/>
        </w:rPr>
        <w:t>/h</w:t>
      </w:r>
    </w:p>
    <w:p w14:paraId="332E2B8F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 waste collection vehicle must have the words "DUAL CONTROL" displayed clearly on its rear in letters at least 75 mm high and in a colour in a clear contrast with the background.</w:t>
      </w:r>
    </w:p>
    <w:p w14:paraId="0D49E777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A waste collection vehicle must be configured to ensure the driver can view traffic in all directions from both steering controls.</w:t>
      </w:r>
    </w:p>
    <w:p w14:paraId="674183E3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 xml:space="preserve">The waste collection vehicle must be fitted with a warning light that must be </w:t>
      </w:r>
      <w:proofErr w:type="gramStart"/>
      <w:r w:rsidRPr="003A2FAA">
        <w:rPr>
          <w:rFonts w:ascii="Calibri" w:eastAsia="Times New Roman" w:hAnsi="Calibri" w:cs="Helvetica"/>
          <w:lang w:eastAsia="en-AU"/>
        </w:rPr>
        <w:t>lit at all times</w:t>
      </w:r>
      <w:proofErr w:type="gramEnd"/>
      <w:r w:rsidRPr="003A2FAA">
        <w:rPr>
          <w:rFonts w:ascii="Calibri" w:eastAsia="Times New Roman" w:hAnsi="Calibri" w:cs="Helvetica"/>
          <w:lang w:eastAsia="en-AU"/>
        </w:rPr>
        <w:t xml:space="preserve"> when the vehicle is being operated from the left hand steering control that must:</w:t>
      </w:r>
    </w:p>
    <w:p w14:paraId="576D9C7E" w14:textId="77777777" w:rsidR="003A2FAA" w:rsidRPr="003A2FAA" w:rsidRDefault="003A2FAA" w:rsidP="003A2FAA">
      <w:pPr>
        <w:numPr>
          <w:ilvl w:val="0"/>
          <w:numId w:val="11"/>
        </w:numPr>
        <w:spacing w:after="120" w:line="240" w:lineRule="auto"/>
        <w:ind w:left="1276" w:hanging="567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be clearly visible at </w:t>
      </w:r>
      <w:proofErr w:type="gramStart"/>
      <w:r w:rsidRPr="003A2FAA">
        <w:rPr>
          <w:rFonts w:ascii="Calibri" w:eastAsia="Times New Roman" w:hAnsi="Calibri" w:cs="Times New Roman"/>
          <w:lang w:eastAsia="en-AU"/>
        </w:rPr>
        <w:t>a distance of 500</w:t>
      </w:r>
      <w:proofErr w:type="gramEnd"/>
      <w:r w:rsidRPr="003A2FAA">
        <w:rPr>
          <w:rFonts w:ascii="Calibri" w:eastAsia="Times New Roman" w:hAnsi="Calibri" w:cs="Times New Roman"/>
          <w:lang w:eastAsia="en-AU"/>
        </w:rPr>
        <w:t xml:space="preserve"> metres in all directions; or</w:t>
      </w:r>
    </w:p>
    <w:p w14:paraId="23195F5F" w14:textId="77777777" w:rsidR="003A2FAA" w:rsidRPr="003A2FAA" w:rsidRDefault="003A2FAA" w:rsidP="003A2FAA">
      <w:pPr>
        <w:numPr>
          <w:ilvl w:val="0"/>
          <w:numId w:val="11"/>
        </w:numPr>
        <w:spacing w:after="120" w:line="240" w:lineRule="auto"/>
        <w:ind w:left="1276" w:hanging="567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 xml:space="preserve">be supplemented by 1 or more additional warning lights so that the light emanating from at least 1 of them is clearly visible at </w:t>
      </w:r>
      <w:proofErr w:type="gramStart"/>
      <w:r w:rsidRPr="003A2FAA">
        <w:rPr>
          <w:rFonts w:ascii="Calibri" w:eastAsia="Times New Roman" w:hAnsi="Calibri" w:cs="Times New Roman"/>
          <w:lang w:eastAsia="en-AU"/>
        </w:rPr>
        <w:t>a distance of 500</w:t>
      </w:r>
      <w:proofErr w:type="gramEnd"/>
      <w:r w:rsidRPr="003A2FAA">
        <w:rPr>
          <w:rFonts w:ascii="Calibri" w:eastAsia="Times New Roman" w:hAnsi="Calibri" w:cs="Times New Roman"/>
          <w:lang w:eastAsia="en-AU"/>
        </w:rPr>
        <w:t xml:space="preserve"> metres in any direction.</w:t>
      </w:r>
    </w:p>
    <w:p w14:paraId="1F6C91EF" w14:textId="77777777" w:rsidR="003A2FAA" w:rsidRPr="003A2FAA" w:rsidRDefault="003A2FAA" w:rsidP="003A2FAA">
      <w:pPr>
        <w:numPr>
          <w:ilvl w:val="0"/>
          <w:numId w:val="9"/>
        </w:numPr>
        <w:spacing w:before="120" w:after="120" w:line="240" w:lineRule="auto"/>
        <w:contextualSpacing/>
        <w:outlineLvl w:val="1"/>
        <w:rPr>
          <w:rFonts w:ascii="Calibri" w:eastAsia="Times New Roman" w:hAnsi="Calibri" w:cs="Helvetica"/>
          <w:lang w:eastAsia="en-AU"/>
        </w:rPr>
      </w:pPr>
      <w:r w:rsidRPr="003A2FAA">
        <w:rPr>
          <w:rFonts w:ascii="Calibri" w:eastAsia="Times New Roman" w:hAnsi="Calibri" w:cs="Helvetica"/>
          <w:lang w:eastAsia="en-AU"/>
        </w:rPr>
        <w:t>When switched on a warning light mentioned under (5) must:</w:t>
      </w:r>
    </w:p>
    <w:p w14:paraId="2327502C" w14:textId="77777777" w:rsidR="003A2FAA" w:rsidRPr="003A2FAA" w:rsidRDefault="003A2FAA" w:rsidP="003A2FAA">
      <w:pPr>
        <w:numPr>
          <w:ilvl w:val="0"/>
          <w:numId w:val="12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not be a strobe light; and</w:t>
      </w:r>
    </w:p>
    <w:p w14:paraId="363B735D" w14:textId="77777777" w:rsidR="003A2FAA" w:rsidRPr="003A2FAA" w:rsidRDefault="003A2FAA" w:rsidP="003A2FAA">
      <w:pPr>
        <w:numPr>
          <w:ilvl w:val="0"/>
          <w:numId w:val="12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emit a yellow coloured light of rotating and flashing effect; and</w:t>
      </w:r>
    </w:p>
    <w:p w14:paraId="21C58649" w14:textId="77777777" w:rsidR="003A2FAA" w:rsidRPr="003A2FAA" w:rsidRDefault="003A2FAA" w:rsidP="003A2FAA">
      <w:pPr>
        <w:numPr>
          <w:ilvl w:val="0"/>
          <w:numId w:val="12"/>
        </w:numPr>
        <w:spacing w:after="120" w:line="240" w:lineRule="auto"/>
        <w:contextualSpacing/>
        <w:rPr>
          <w:rFonts w:ascii="Calibri" w:eastAsia="Times New Roman" w:hAnsi="Calibri" w:cs="Times New Roman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flash between 120 and 240 times a minute; and</w:t>
      </w:r>
    </w:p>
    <w:p w14:paraId="31BD6DA5" w14:textId="77777777" w:rsidR="003A2FAA" w:rsidRPr="003A2FAA" w:rsidRDefault="003A2FAA" w:rsidP="003A2FAA">
      <w:pPr>
        <w:numPr>
          <w:ilvl w:val="0"/>
          <w:numId w:val="12"/>
        </w:numPr>
        <w:spacing w:after="120" w:line="240" w:lineRule="auto"/>
        <w:contextualSpacing/>
        <w:rPr>
          <w:rFonts w:ascii="Calibri" w:eastAsia="Times New Roman" w:hAnsi="Calibri" w:cs="Times New Roman"/>
          <w:sz w:val="24"/>
          <w:szCs w:val="24"/>
          <w:lang w:eastAsia="en-AU"/>
        </w:rPr>
      </w:pPr>
      <w:r w:rsidRPr="003A2FAA">
        <w:rPr>
          <w:rFonts w:ascii="Calibri" w:eastAsia="Times New Roman" w:hAnsi="Calibri" w:cs="Times New Roman"/>
          <w:lang w:eastAsia="en-AU"/>
        </w:rPr>
        <w:t>must not be of an intensity that is likely to dazzle another road user.</w:t>
      </w:r>
    </w:p>
    <w:p w14:paraId="4B242596" w14:textId="77777777" w:rsidR="003A2FAA" w:rsidRPr="003A2FAA" w:rsidRDefault="003A2FAA" w:rsidP="003A2FAA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14:paraId="44C2D2BE" w14:textId="77777777" w:rsidR="003A2FAA" w:rsidRPr="003A2FAA" w:rsidRDefault="003A2FAA" w:rsidP="003A2FAA">
      <w:pPr>
        <w:spacing w:after="0" w:line="240" w:lineRule="auto"/>
        <w:rPr>
          <w:rFonts w:ascii="Calibri" w:eastAsia="Times New Roman" w:hAnsi="Calibri" w:cs="Times New Roman"/>
          <w:lang w:eastAsia="en-AU"/>
        </w:rPr>
      </w:pPr>
    </w:p>
    <w:p w14:paraId="011BA868" w14:textId="77777777" w:rsidR="003A2FAA" w:rsidRPr="003A2FAA" w:rsidRDefault="003A2FAA" w:rsidP="002A373F">
      <w:pPr>
        <w:spacing w:after="0" w:line="240" w:lineRule="auto"/>
        <w:ind w:left="709"/>
        <w:jc w:val="both"/>
        <w:rPr>
          <w:rFonts w:ascii="Calibri" w:eastAsia="Times New Roman" w:hAnsi="Calibri" w:cs="Times New Roman"/>
          <w:lang w:eastAsia="en-AU"/>
        </w:rPr>
      </w:pPr>
      <w:bookmarkStart w:id="1" w:name="_Hlk157668658"/>
      <w:r w:rsidRPr="003A2FAA">
        <w:rPr>
          <w:rFonts w:ascii="Calibri" w:eastAsia="Times New Roman" w:hAnsi="Calibri" w:cs="Times New Roman"/>
          <w:lang w:eastAsia="en-AU"/>
        </w:rPr>
        <w:t>Peter Austin</w:t>
      </w:r>
    </w:p>
    <w:p w14:paraId="1D18480B" w14:textId="77777777" w:rsidR="003A2FAA" w:rsidRPr="003A2FAA" w:rsidRDefault="003A2FAA" w:rsidP="002A373F">
      <w:pPr>
        <w:spacing w:after="0" w:line="240" w:lineRule="auto"/>
        <w:ind w:left="709"/>
        <w:jc w:val="both"/>
        <w:rPr>
          <w:rFonts w:ascii="Calibri" w:eastAsia="Times New Roman" w:hAnsi="Calibri" w:cs="Times New Roman"/>
          <w:bCs/>
          <w:lang w:eastAsia="en-AU"/>
        </w:rPr>
      </w:pPr>
      <w:r w:rsidRPr="003A2FAA">
        <w:rPr>
          <w:rFonts w:ascii="Calibri" w:eastAsia="Times New Roman" w:hAnsi="Calibri" w:cs="Times New Roman"/>
          <w:bCs/>
          <w:lang w:eastAsia="en-AU"/>
        </w:rPr>
        <w:t>Director Policy Implementation</w:t>
      </w:r>
    </w:p>
    <w:p w14:paraId="4790928E" w14:textId="77777777" w:rsidR="003A2FAA" w:rsidRPr="003A2FAA" w:rsidRDefault="003A2FAA" w:rsidP="002A37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lang w:eastAsia="en-AU"/>
        </w:rPr>
      </w:pPr>
      <w:r w:rsidRPr="003A2FAA">
        <w:rPr>
          <w:rFonts w:ascii="Calibri" w:eastAsia="Times New Roman" w:hAnsi="Calibri" w:cs="Times New Roman"/>
          <w:b/>
          <w:lang w:eastAsia="en-AU"/>
        </w:rPr>
        <w:t>National Heavy Vehicle Regulator</w:t>
      </w:r>
    </w:p>
    <w:bookmarkEnd w:id="1"/>
    <w:p w14:paraId="10533EA6" w14:textId="77777777" w:rsidR="003A2FAA" w:rsidRPr="003A2FAA" w:rsidRDefault="003A2FAA" w:rsidP="003A2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A2FAA">
        <w:rPr>
          <w:rFonts w:ascii="Times New Roman" w:eastAsia="Times New Roman" w:hAnsi="Times New Roman" w:cs="Times New Roman"/>
          <w:sz w:val="24"/>
          <w:szCs w:val="24"/>
          <w:lang w:eastAsia="en-AU"/>
        </w:rPr>
        <w:tab/>
      </w:r>
    </w:p>
    <w:p w14:paraId="01E19DD5" w14:textId="77777777" w:rsidR="003A2FAA" w:rsidRPr="00424B97" w:rsidRDefault="003A2FAA" w:rsidP="00424B97"/>
    <w:sectPr w:rsidR="003A2FAA" w:rsidRPr="00424B97" w:rsidSect="008E4F6C"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0F381E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50DEF128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AE351-4EB8-4A88-BFE5-DAA29A2DE324}"/>
    <w:embedBold r:id="rId2" w:fontKey="{605E9D7F-29FC-439C-9C19-F7B9033F7172}"/>
    <w:embedItalic r:id="rId3" w:fontKey="{AC10640D-1935-4BDE-B3B9-7E678C592D9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7AAD2" w14:textId="77777777" w:rsidR="00BA5CEB" w:rsidRDefault="00BA5CEB" w:rsidP="00BA5CEB">
    <w:pPr>
      <w:pStyle w:val="Footer"/>
      <w:jc w:val="right"/>
      <w:rPr>
        <w:rFonts w:ascii="Calibri" w:hAnsi="Calibri"/>
        <w:sz w:val="20"/>
        <w:szCs w:val="20"/>
        <w:lang w:val="en-US"/>
      </w:rPr>
    </w:pPr>
  </w:p>
  <w:p w14:paraId="63C12FED" w14:textId="77777777" w:rsidR="00BA5CEB" w:rsidRPr="00CD253A" w:rsidRDefault="00BA5CEB" w:rsidP="00BA5CEB">
    <w:pPr>
      <w:pStyle w:val="Footer"/>
      <w:jc w:val="right"/>
      <w:rPr>
        <w:rFonts w:ascii="Calibri" w:hAnsi="Calibri"/>
        <w:lang w:val="en-US"/>
      </w:rPr>
    </w:pPr>
    <w:r w:rsidRPr="00CD253A">
      <w:rPr>
        <w:rFonts w:ascii="Calibri" w:hAnsi="Calibri"/>
        <w:lang w:val="en-US"/>
      </w:rPr>
      <w:t>National Heavy Vehicle Standards (Dual Control Waste Collection Vehicles) Exemption Notice 2024 (No.1)</w:t>
    </w:r>
    <w:r w:rsidRPr="00CD253A" w:rsidDel="004528D0">
      <w:rPr>
        <w:rFonts w:ascii="Calibri" w:hAnsi="Calibri"/>
        <w:lang w:val="en-US"/>
      </w:rPr>
      <w:t xml:space="preserve"> </w:t>
    </w:r>
  </w:p>
  <w:p w14:paraId="5ECC0BFF" w14:textId="68F8D319" w:rsidR="00BA5CEB" w:rsidRPr="00BA5CEB" w:rsidRDefault="00BA5CEB" w:rsidP="00BA5CEB">
    <w:pPr>
      <w:pStyle w:val="Footer"/>
      <w:jc w:val="right"/>
      <w:rPr>
        <w:rFonts w:ascii="Calibri" w:hAnsi="Calibri"/>
        <w:lang w:val="en-US"/>
      </w:rPr>
    </w:pPr>
    <w:r w:rsidRPr="00CD253A">
      <w:rPr>
        <w:rFonts w:ascii="Calibri" w:hAnsi="Calibri"/>
        <w:lang w:val="en-US"/>
      </w:rPr>
      <w:t xml:space="preserve">Page </w:t>
    </w:r>
    <w:r w:rsidRPr="00CD253A">
      <w:rPr>
        <w:rFonts w:ascii="Calibri" w:hAnsi="Calibri"/>
        <w:lang w:val="en-US"/>
      </w:rPr>
      <w:fldChar w:fldCharType="begin"/>
    </w:r>
    <w:r w:rsidRPr="00CD253A">
      <w:rPr>
        <w:rFonts w:ascii="Calibri" w:hAnsi="Calibri"/>
        <w:lang w:val="en-US"/>
      </w:rPr>
      <w:instrText xml:space="preserve"> PAGE </w:instrText>
    </w:r>
    <w:r w:rsidRPr="00CD253A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1</w:t>
    </w:r>
    <w:r w:rsidRPr="00CD253A">
      <w:rPr>
        <w:rFonts w:ascii="Calibri" w:hAnsi="Calibri"/>
        <w:lang w:val="en-US"/>
      </w:rPr>
      <w:fldChar w:fldCharType="end"/>
    </w:r>
    <w:r w:rsidRPr="00CD253A">
      <w:rPr>
        <w:rFonts w:ascii="Calibri" w:hAnsi="Calibri"/>
        <w:lang w:val="en-US"/>
      </w:rPr>
      <w:t xml:space="preserve"> of </w:t>
    </w:r>
    <w:r w:rsidRPr="00CD253A">
      <w:rPr>
        <w:rFonts w:ascii="Calibri" w:hAnsi="Calibri"/>
        <w:lang w:val="en-US"/>
      </w:rPr>
      <w:fldChar w:fldCharType="begin"/>
    </w:r>
    <w:r w:rsidRPr="00CD253A">
      <w:rPr>
        <w:rFonts w:ascii="Calibri" w:hAnsi="Calibri"/>
        <w:lang w:val="en-US"/>
      </w:rPr>
      <w:instrText xml:space="preserve"> NUMPAGES </w:instrText>
    </w:r>
    <w:r w:rsidRPr="00CD253A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3</w:t>
    </w:r>
    <w:r w:rsidRPr="00CD253A">
      <w:rPr>
        <w:rFonts w:ascii="Calibri" w:hAnsi="Calibri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6F60D" w14:textId="77777777" w:rsidR="00BA5CEB" w:rsidRDefault="00BA5CEB" w:rsidP="00BA5CEB">
    <w:pPr>
      <w:pStyle w:val="Footer"/>
      <w:jc w:val="right"/>
      <w:rPr>
        <w:rFonts w:ascii="Calibri" w:hAnsi="Calibri"/>
        <w:sz w:val="20"/>
        <w:szCs w:val="20"/>
        <w:lang w:val="en-US"/>
      </w:rPr>
    </w:pPr>
  </w:p>
  <w:p w14:paraId="4FDA2C49" w14:textId="77777777" w:rsidR="00BA5CEB" w:rsidRPr="00CD253A" w:rsidRDefault="00BA5CEB" w:rsidP="00BA5CEB">
    <w:pPr>
      <w:pStyle w:val="Footer"/>
      <w:jc w:val="right"/>
      <w:rPr>
        <w:rFonts w:ascii="Calibri" w:hAnsi="Calibri"/>
        <w:lang w:val="en-US"/>
      </w:rPr>
    </w:pPr>
    <w:r w:rsidRPr="00CD253A">
      <w:rPr>
        <w:rFonts w:ascii="Calibri" w:hAnsi="Calibri"/>
        <w:lang w:val="en-US"/>
      </w:rPr>
      <w:t>National Heavy Vehicle Standards (Dual Control Waste Collection Vehicles) Exemption Notice 2024 (No.1)</w:t>
    </w:r>
    <w:r w:rsidRPr="00CD253A" w:rsidDel="004528D0">
      <w:rPr>
        <w:rFonts w:ascii="Calibri" w:hAnsi="Calibri"/>
        <w:lang w:val="en-US"/>
      </w:rPr>
      <w:t xml:space="preserve"> </w:t>
    </w:r>
  </w:p>
  <w:p w14:paraId="5C591F36" w14:textId="3CC16F4D" w:rsidR="00BA5CEB" w:rsidRPr="00BA5CEB" w:rsidRDefault="00BA5CEB" w:rsidP="00BA5CEB">
    <w:pPr>
      <w:pStyle w:val="Footer"/>
      <w:jc w:val="right"/>
      <w:rPr>
        <w:rFonts w:ascii="Calibri" w:hAnsi="Calibri"/>
        <w:lang w:val="en-US"/>
      </w:rPr>
    </w:pPr>
    <w:r w:rsidRPr="00CD253A">
      <w:rPr>
        <w:rFonts w:ascii="Calibri" w:hAnsi="Calibri"/>
        <w:lang w:val="en-US"/>
      </w:rPr>
      <w:t xml:space="preserve">Page </w:t>
    </w:r>
    <w:r w:rsidRPr="00CD253A">
      <w:rPr>
        <w:rFonts w:ascii="Calibri" w:hAnsi="Calibri"/>
        <w:lang w:val="en-US"/>
      </w:rPr>
      <w:fldChar w:fldCharType="begin"/>
    </w:r>
    <w:r w:rsidRPr="00CD253A">
      <w:rPr>
        <w:rFonts w:ascii="Calibri" w:hAnsi="Calibri"/>
        <w:lang w:val="en-US"/>
      </w:rPr>
      <w:instrText xml:space="preserve"> PAGE </w:instrText>
    </w:r>
    <w:r w:rsidRPr="00CD253A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1</w:t>
    </w:r>
    <w:r w:rsidRPr="00CD253A">
      <w:rPr>
        <w:rFonts w:ascii="Calibri" w:hAnsi="Calibri"/>
        <w:lang w:val="en-US"/>
      </w:rPr>
      <w:fldChar w:fldCharType="end"/>
    </w:r>
    <w:r w:rsidRPr="00CD253A">
      <w:rPr>
        <w:rFonts w:ascii="Calibri" w:hAnsi="Calibri"/>
        <w:lang w:val="en-US"/>
      </w:rPr>
      <w:t xml:space="preserve"> of </w:t>
    </w:r>
    <w:r w:rsidRPr="00CD253A">
      <w:rPr>
        <w:rFonts w:ascii="Calibri" w:hAnsi="Calibri"/>
        <w:lang w:val="en-US"/>
      </w:rPr>
      <w:fldChar w:fldCharType="begin"/>
    </w:r>
    <w:r w:rsidRPr="00CD253A">
      <w:rPr>
        <w:rFonts w:ascii="Calibri" w:hAnsi="Calibri"/>
        <w:lang w:val="en-US"/>
      </w:rPr>
      <w:instrText xml:space="preserve"> NUMPAGES </w:instrText>
    </w:r>
    <w:r w:rsidRPr="00CD253A">
      <w:rPr>
        <w:rFonts w:ascii="Calibri" w:hAnsi="Calibri"/>
        <w:lang w:val="en-US"/>
      </w:rPr>
      <w:fldChar w:fldCharType="separate"/>
    </w:r>
    <w:r>
      <w:rPr>
        <w:rFonts w:ascii="Calibri" w:hAnsi="Calibri"/>
        <w:lang w:val="en-US"/>
      </w:rPr>
      <w:t>3</w:t>
    </w:r>
    <w:r w:rsidRPr="00CD253A">
      <w:rPr>
        <w:rFonts w:ascii="Calibri" w:hAnsi="Calibri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9FE74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9F10C84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  <w:tblCaption w:val="Commonwealth Coat of Arms of Australia"/>
      <w:tblDescription w:val="Commonwealth Coat of Arms of Australia"/>
    </w:tblPr>
    <w:tblGrid>
      <w:gridCol w:w="1263"/>
      <w:gridCol w:w="4435"/>
      <w:gridCol w:w="3979"/>
    </w:tblGrid>
    <w:tr w:rsidR="00F40885" w:rsidRPr="00CE796A" w14:paraId="4A6304B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1A88E7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8B1D762" wp14:editId="19A0935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A6D785D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4AF768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71151A4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53B8BAF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0EA8C4B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519DC12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C08BBC8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979B7"/>
    <w:multiLevelType w:val="hybridMultilevel"/>
    <w:tmpl w:val="82100134"/>
    <w:lvl w:ilvl="0" w:tplc="CE5EA3A2">
      <w:start w:val="1"/>
      <w:numFmt w:val="decimal"/>
      <w:pStyle w:val="Heading2"/>
      <w:lvlText w:val="(%1)"/>
      <w:lvlJc w:val="left"/>
      <w:pPr>
        <w:tabs>
          <w:tab w:val="num" w:pos="786"/>
        </w:tabs>
        <w:ind w:left="786" w:hanging="360"/>
      </w:pPr>
      <w:rPr>
        <w:b w:val="0"/>
        <w:sz w:val="22"/>
        <w:szCs w:val="22"/>
      </w:rPr>
    </w:lvl>
    <w:lvl w:ilvl="1" w:tplc="0C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7E8882A">
      <w:start w:val="1"/>
      <w:numFmt w:val="lowerRoman"/>
      <w:lvlText w:val="(%4)"/>
      <w:lvlJc w:val="left"/>
      <w:pPr>
        <w:ind w:left="3240" w:hanging="720"/>
      </w:pPr>
    </w:lvl>
    <w:lvl w:ilvl="4" w:tplc="0C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7516B29"/>
    <w:multiLevelType w:val="hybridMultilevel"/>
    <w:tmpl w:val="0964A8AA"/>
    <w:lvl w:ilvl="0" w:tplc="FFFFFFFF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EBF3837"/>
    <w:multiLevelType w:val="hybridMultilevel"/>
    <w:tmpl w:val="0964A8AA"/>
    <w:lvl w:ilvl="0" w:tplc="FFFFFFFF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BAE7C14"/>
    <w:multiLevelType w:val="hybridMultilevel"/>
    <w:tmpl w:val="89E82D5E"/>
    <w:lvl w:ilvl="0" w:tplc="4F92FC66">
      <w:start w:val="1"/>
      <w:numFmt w:val="lowerLetter"/>
      <w:lvlText w:val="(%1)"/>
      <w:lvlJc w:val="left"/>
      <w:pPr>
        <w:ind w:left="1211" w:hanging="360"/>
      </w:pPr>
    </w:lvl>
    <w:lvl w:ilvl="1" w:tplc="0C090019">
      <w:start w:val="1"/>
      <w:numFmt w:val="lowerLetter"/>
      <w:lvlText w:val="%2."/>
      <w:lvlJc w:val="left"/>
      <w:pPr>
        <w:ind w:left="1931" w:hanging="360"/>
      </w:pPr>
    </w:lvl>
    <w:lvl w:ilvl="2" w:tplc="0C09001B">
      <w:start w:val="1"/>
      <w:numFmt w:val="lowerRoman"/>
      <w:lvlText w:val="%3."/>
      <w:lvlJc w:val="right"/>
      <w:pPr>
        <w:ind w:left="2651" w:hanging="180"/>
      </w:pPr>
    </w:lvl>
    <w:lvl w:ilvl="3" w:tplc="0C09000F">
      <w:start w:val="1"/>
      <w:numFmt w:val="decimal"/>
      <w:lvlText w:val="%4."/>
      <w:lvlJc w:val="left"/>
      <w:pPr>
        <w:ind w:left="3371" w:hanging="360"/>
      </w:pPr>
    </w:lvl>
    <w:lvl w:ilvl="4" w:tplc="0C090019">
      <w:start w:val="1"/>
      <w:numFmt w:val="lowerLetter"/>
      <w:lvlText w:val="%5."/>
      <w:lvlJc w:val="left"/>
      <w:pPr>
        <w:ind w:left="4091" w:hanging="360"/>
      </w:pPr>
    </w:lvl>
    <w:lvl w:ilvl="5" w:tplc="0C09001B">
      <w:start w:val="1"/>
      <w:numFmt w:val="lowerRoman"/>
      <w:lvlText w:val="%6."/>
      <w:lvlJc w:val="right"/>
      <w:pPr>
        <w:ind w:left="4811" w:hanging="180"/>
      </w:pPr>
    </w:lvl>
    <w:lvl w:ilvl="6" w:tplc="0C09000F">
      <w:start w:val="1"/>
      <w:numFmt w:val="decimal"/>
      <w:lvlText w:val="%7."/>
      <w:lvlJc w:val="left"/>
      <w:pPr>
        <w:ind w:left="5531" w:hanging="360"/>
      </w:pPr>
    </w:lvl>
    <w:lvl w:ilvl="7" w:tplc="0C090019">
      <w:start w:val="1"/>
      <w:numFmt w:val="lowerLetter"/>
      <w:lvlText w:val="%8."/>
      <w:lvlJc w:val="left"/>
      <w:pPr>
        <w:ind w:left="6251" w:hanging="360"/>
      </w:pPr>
    </w:lvl>
    <w:lvl w:ilvl="8" w:tplc="0C0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663F48D3"/>
    <w:multiLevelType w:val="hybridMultilevel"/>
    <w:tmpl w:val="3F4A89BC"/>
    <w:lvl w:ilvl="0" w:tplc="853CDC8E">
      <w:start w:val="1"/>
      <w:numFmt w:val="decimal"/>
      <w:pStyle w:val="Heading1"/>
      <w:lvlText w:val="%1."/>
      <w:lvlJc w:val="left"/>
      <w:pPr>
        <w:ind w:left="72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D5155"/>
    <w:multiLevelType w:val="hybridMultilevel"/>
    <w:tmpl w:val="0964A8AA"/>
    <w:lvl w:ilvl="0" w:tplc="FFFFFFFF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ABE580B"/>
    <w:multiLevelType w:val="hybridMultilevel"/>
    <w:tmpl w:val="0964A8AA"/>
    <w:lvl w:ilvl="0" w:tplc="FFFFFFFF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EB40A5E"/>
    <w:multiLevelType w:val="hybridMultilevel"/>
    <w:tmpl w:val="0964A8AA"/>
    <w:lvl w:ilvl="0" w:tplc="02328896">
      <w:start w:val="1"/>
      <w:numFmt w:val="lowerLetter"/>
      <w:lvlText w:val="(%1)"/>
      <w:lvlJc w:val="left"/>
      <w:pPr>
        <w:ind w:left="1069" w:hanging="360"/>
      </w:pPr>
      <w:rPr>
        <w:b w:val="0"/>
      </w:rPr>
    </w:lvl>
    <w:lvl w:ilvl="1" w:tplc="0C090019">
      <w:start w:val="1"/>
      <w:numFmt w:val="lowerLetter"/>
      <w:lvlText w:val="%2."/>
      <w:lvlJc w:val="left"/>
      <w:pPr>
        <w:ind w:left="1789" w:hanging="360"/>
      </w:pPr>
    </w:lvl>
    <w:lvl w:ilvl="2" w:tplc="0C09001B">
      <w:start w:val="1"/>
      <w:numFmt w:val="lowerRoman"/>
      <w:lvlText w:val="%3."/>
      <w:lvlJc w:val="right"/>
      <w:pPr>
        <w:ind w:left="2509" w:hanging="180"/>
      </w:pPr>
    </w:lvl>
    <w:lvl w:ilvl="3" w:tplc="0C09000F">
      <w:start w:val="1"/>
      <w:numFmt w:val="decimal"/>
      <w:lvlText w:val="%4."/>
      <w:lvlJc w:val="left"/>
      <w:pPr>
        <w:ind w:left="3229" w:hanging="360"/>
      </w:pPr>
    </w:lvl>
    <w:lvl w:ilvl="4" w:tplc="0C090019">
      <w:start w:val="1"/>
      <w:numFmt w:val="lowerLetter"/>
      <w:lvlText w:val="%5."/>
      <w:lvlJc w:val="left"/>
      <w:pPr>
        <w:ind w:left="3949" w:hanging="360"/>
      </w:pPr>
    </w:lvl>
    <w:lvl w:ilvl="5" w:tplc="0C09001B">
      <w:start w:val="1"/>
      <w:numFmt w:val="lowerRoman"/>
      <w:lvlText w:val="%6."/>
      <w:lvlJc w:val="right"/>
      <w:pPr>
        <w:ind w:left="4669" w:hanging="180"/>
      </w:pPr>
    </w:lvl>
    <w:lvl w:ilvl="6" w:tplc="0C09000F">
      <w:start w:val="1"/>
      <w:numFmt w:val="decimal"/>
      <w:lvlText w:val="%7."/>
      <w:lvlJc w:val="left"/>
      <w:pPr>
        <w:ind w:left="5389" w:hanging="360"/>
      </w:pPr>
    </w:lvl>
    <w:lvl w:ilvl="7" w:tplc="0C090019">
      <w:start w:val="1"/>
      <w:numFmt w:val="lowerLetter"/>
      <w:lvlText w:val="%8."/>
      <w:lvlJc w:val="left"/>
      <w:pPr>
        <w:ind w:left="6109" w:hanging="360"/>
      </w:pPr>
    </w:lvl>
    <w:lvl w:ilvl="8" w:tplc="0C09001B">
      <w:start w:val="1"/>
      <w:numFmt w:val="lowerRoman"/>
      <w:lvlText w:val="%9."/>
      <w:lvlJc w:val="right"/>
      <w:pPr>
        <w:ind w:left="6829" w:hanging="180"/>
      </w:pPr>
    </w:lvl>
  </w:abstractNum>
  <w:num w:numId="1" w16cid:durableId="13221993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81384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78082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74922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37714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55683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63968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368313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617148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530200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267422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24723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409FF"/>
    <w:rsid w:val="000E1F2B"/>
    <w:rsid w:val="001C2AAD"/>
    <w:rsid w:val="001F6E54"/>
    <w:rsid w:val="00204559"/>
    <w:rsid w:val="00280BCD"/>
    <w:rsid w:val="002A373F"/>
    <w:rsid w:val="003A2FAA"/>
    <w:rsid w:val="003A707F"/>
    <w:rsid w:val="003B0EC1"/>
    <w:rsid w:val="003B573B"/>
    <w:rsid w:val="003F2CBD"/>
    <w:rsid w:val="00424B97"/>
    <w:rsid w:val="004470CB"/>
    <w:rsid w:val="004B2753"/>
    <w:rsid w:val="00520873"/>
    <w:rsid w:val="00573D44"/>
    <w:rsid w:val="00840A06"/>
    <w:rsid w:val="008439B7"/>
    <w:rsid w:val="0087253F"/>
    <w:rsid w:val="008E4F6C"/>
    <w:rsid w:val="009539C7"/>
    <w:rsid w:val="00970CA6"/>
    <w:rsid w:val="009C0D50"/>
    <w:rsid w:val="00A00F21"/>
    <w:rsid w:val="00B36FBB"/>
    <w:rsid w:val="00B84226"/>
    <w:rsid w:val="00BA5CEB"/>
    <w:rsid w:val="00BE7780"/>
    <w:rsid w:val="00C63C4E"/>
    <w:rsid w:val="00C72C30"/>
    <w:rsid w:val="00D2068F"/>
    <w:rsid w:val="00D229E5"/>
    <w:rsid w:val="00D77A88"/>
    <w:rsid w:val="00E74A5D"/>
    <w:rsid w:val="00F03910"/>
    <w:rsid w:val="00F40885"/>
    <w:rsid w:val="00FA2560"/>
    <w:rsid w:val="00FD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CF5C7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3A2FAA"/>
    <w:pPr>
      <w:numPr>
        <w:numId w:val="1"/>
      </w:numPr>
      <w:spacing w:after="0" w:line="240" w:lineRule="auto"/>
      <w:ind w:left="567" w:hanging="567"/>
      <w:outlineLvl w:val="0"/>
    </w:pPr>
    <w:rPr>
      <w:rFonts w:ascii="Calibri" w:eastAsia="Times New Roman" w:hAnsi="Calibri" w:cs="Times New Roman"/>
      <w:b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FAA"/>
    <w:pPr>
      <w:numPr>
        <w:numId w:val="2"/>
      </w:numPr>
      <w:spacing w:after="120" w:line="240" w:lineRule="auto"/>
      <w:contextualSpacing/>
      <w:outlineLvl w:val="1"/>
    </w:pPr>
    <w:rPr>
      <w:rFonts w:ascii="Calibri" w:eastAsia="Times New Roman" w:hAnsi="Calibri" w:cs="Helvetic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nhideWhenUsed/>
    <w:qFormat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A707F"/>
  </w:style>
  <w:style w:type="character" w:customStyle="1" w:styleId="Heading1Char">
    <w:name w:val="Heading 1 Char"/>
    <w:basedOn w:val="DefaultParagraphFont"/>
    <w:link w:val="Heading1"/>
    <w:uiPriority w:val="9"/>
    <w:rsid w:val="003A2FAA"/>
    <w:rPr>
      <w:rFonts w:ascii="Calibri" w:eastAsia="Times New Roman" w:hAnsi="Calibri" w:cs="Times New Roman"/>
      <w:b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FAA"/>
    <w:rPr>
      <w:rFonts w:ascii="Calibri" w:eastAsia="Times New Roman" w:hAnsi="Calibri" w:cs="Helvetica"/>
      <w:lang w:eastAsia="en-AU"/>
    </w:rPr>
  </w:style>
  <w:style w:type="paragraph" w:styleId="ListParagraph">
    <w:name w:val="List Paragraph"/>
    <w:basedOn w:val="Normal"/>
    <w:uiPriority w:val="34"/>
    <w:qFormat/>
    <w:rsid w:val="003A2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4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3908</Characters>
  <Application>Microsoft Office Word</Application>
  <DocSecurity>0</DocSecurity>
  <PresentationFormat/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2024-12-01T21:40:00Z</dcterms:created>
  <dcterms:modified xsi:type="dcterms:W3CDTF">2024-12-01T21:50:00Z</dcterms:modified>
  <cp:category/>
  <cp:contentStatus/>
  <dc:language/>
  <cp:version/>
</cp:coreProperties>
</file>