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2A274" w14:textId="77777777" w:rsidR="003B5B64" w:rsidRDefault="003B5B64" w:rsidP="00636C4A">
      <w:pPr>
        <w:jc w:val="center"/>
        <w:rPr>
          <w:rFonts w:ascii="Arial" w:hAnsi="Arial" w:cs="Arial"/>
          <w:b/>
          <w:bCs/>
        </w:rPr>
      </w:pPr>
    </w:p>
    <w:p w14:paraId="3EF36D2C" w14:textId="41F31111" w:rsidR="00636C4A" w:rsidRPr="0074543A" w:rsidRDefault="00636C4A" w:rsidP="00636C4A">
      <w:pPr>
        <w:jc w:val="center"/>
        <w:rPr>
          <w:rFonts w:ascii="Arial" w:hAnsi="Arial" w:cs="Arial"/>
          <w:b/>
          <w:bCs/>
        </w:rPr>
      </w:pPr>
      <w:r w:rsidRPr="7813E1C0">
        <w:rPr>
          <w:rFonts w:ascii="Arial" w:hAnsi="Arial" w:cs="Arial"/>
          <w:b/>
          <w:bCs/>
        </w:rPr>
        <w:t xml:space="preserve">BRANCH HEAD, LIQUID FUELS BRANCH </w:t>
      </w:r>
    </w:p>
    <w:p w14:paraId="1BB019D0" w14:textId="77777777" w:rsidR="00636C4A" w:rsidRPr="0074543A" w:rsidRDefault="00636C4A" w:rsidP="00636C4A">
      <w:pPr>
        <w:spacing w:after="0"/>
        <w:jc w:val="center"/>
        <w:rPr>
          <w:rFonts w:ascii="Arial" w:hAnsi="Arial" w:cs="Arial"/>
          <w:b/>
          <w:bCs/>
        </w:rPr>
      </w:pPr>
      <w:r w:rsidRPr="0074543A">
        <w:rPr>
          <w:rFonts w:ascii="Arial" w:hAnsi="Arial" w:cs="Arial"/>
          <w:b/>
          <w:bCs/>
        </w:rPr>
        <w:t xml:space="preserve">DEPARTMENT OF </w:t>
      </w:r>
      <w:r>
        <w:rPr>
          <w:rFonts w:ascii="Arial" w:hAnsi="Arial" w:cs="Arial"/>
          <w:b/>
          <w:bCs/>
        </w:rPr>
        <w:t>CLIMATE CHANGE, ENERGY, THE ENVIRONMENT AND WATER</w:t>
      </w:r>
      <w:r w:rsidRPr="0074543A">
        <w:rPr>
          <w:rFonts w:ascii="Arial" w:hAnsi="Arial" w:cs="Arial"/>
          <w:b/>
          <w:bCs/>
        </w:rPr>
        <w:t xml:space="preserve"> </w:t>
      </w:r>
    </w:p>
    <w:p w14:paraId="4DDAF875" w14:textId="77777777" w:rsidR="00636C4A" w:rsidRPr="005E2CA5" w:rsidRDefault="00636C4A" w:rsidP="00636C4A">
      <w:pPr>
        <w:spacing w:after="0"/>
        <w:jc w:val="center"/>
        <w:rPr>
          <w:rFonts w:ascii="Arial" w:hAnsi="Arial" w:cs="Arial"/>
          <w:b/>
          <w:bCs/>
        </w:rPr>
      </w:pPr>
      <w:r>
        <w:br/>
      </w:r>
      <w:r w:rsidRPr="5574D19F">
        <w:rPr>
          <w:rFonts w:ascii="Arial" w:hAnsi="Arial" w:cs="Arial"/>
          <w:b/>
          <w:bCs/>
        </w:rPr>
        <w:t>NOTICE UNDER SECTION 17</w:t>
      </w:r>
      <w:proofErr w:type="gramStart"/>
      <w:r w:rsidRPr="5574D19F">
        <w:rPr>
          <w:rFonts w:ascii="Arial" w:hAnsi="Arial" w:cs="Arial"/>
          <w:b/>
          <w:bCs/>
        </w:rPr>
        <w:t>E(</w:t>
      </w:r>
      <w:proofErr w:type="gramEnd"/>
      <w:r w:rsidRPr="5574D19F">
        <w:rPr>
          <w:rFonts w:ascii="Arial" w:hAnsi="Arial" w:cs="Arial"/>
          <w:b/>
          <w:bCs/>
        </w:rPr>
        <w:t xml:space="preserve">3) OF THE </w:t>
      </w:r>
      <w:r w:rsidRPr="5574D19F">
        <w:rPr>
          <w:rFonts w:ascii="Arial" w:hAnsi="Arial" w:cs="Arial"/>
          <w:b/>
          <w:bCs/>
          <w:i/>
          <w:iCs/>
        </w:rPr>
        <w:t>FUEL QUALITY STANDARDS ACT 2000</w:t>
      </w:r>
      <w:r w:rsidRPr="5574D19F">
        <w:rPr>
          <w:rFonts w:ascii="Arial" w:hAnsi="Arial" w:cs="Arial"/>
          <w:b/>
          <w:bCs/>
        </w:rPr>
        <w:t xml:space="preserve"> FOR A VARIATION OF A SECTION 13 APPROVAL TO ADD REGULATED PERSONS  – VIVA ENERGY AUSTRALIA PTY LTD (EXPIRY 31 AUGUST 2025)</w:t>
      </w:r>
    </w:p>
    <w:p w14:paraId="647A8DAC" w14:textId="77777777" w:rsidR="00636C4A" w:rsidRPr="005E2CA5" w:rsidRDefault="00636C4A" w:rsidP="00636C4A">
      <w:pPr>
        <w:spacing w:after="0"/>
        <w:jc w:val="center"/>
        <w:rPr>
          <w:rFonts w:ascii="Arial" w:hAnsi="Arial" w:cs="Arial"/>
          <w:b/>
          <w:bCs/>
          <w:iCs/>
          <w:sz w:val="20"/>
          <w:szCs w:val="20"/>
        </w:rPr>
      </w:pPr>
    </w:p>
    <w:p w14:paraId="4C99F246" w14:textId="77777777" w:rsidR="00636C4A" w:rsidRPr="005E2CA5" w:rsidRDefault="00636C4A" w:rsidP="00636C4A">
      <w:pPr>
        <w:rPr>
          <w:rFonts w:ascii="Arial" w:hAnsi="Arial" w:cs="Arial"/>
        </w:rPr>
      </w:pPr>
      <w:r w:rsidRPr="60AE72F9">
        <w:rPr>
          <w:rFonts w:ascii="Arial" w:hAnsi="Arial" w:cs="Arial"/>
        </w:rPr>
        <w:t xml:space="preserve">I, Jennifer Anne, Branch Head, Liquid Fuels Branch, delegate of the Minister for Climate Change and Energy, provide the following information concerning my decision to amend an existing approval under section 13 of the </w:t>
      </w:r>
      <w:r w:rsidRPr="60AE72F9">
        <w:rPr>
          <w:rFonts w:ascii="Arial" w:hAnsi="Arial" w:cs="Arial"/>
          <w:i/>
          <w:iCs/>
        </w:rPr>
        <w:t>Fuel Quality Standards Act 2000</w:t>
      </w:r>
      <w:r w:rsidRPr="60AE72F9">
        <w:rPr>
          <w:rFonts w:ascii="Arial" w:hAnsi="Arial" w:cs="Arial"/>
        </w:rPr>
        <w:t xml:space="preserve"> (the Act).  </w:t>
      </w:r>
    </w:p>
    <w:p w14:paraId="48F04BC2" w14:textId="77777777" w:rsidR="00636C4A" w:rsidRPr="005E2CA5" w:rsidRDefault="00636C4A" w:rsidP="00636C4A">
      <w:pPr>
        <w:rPr>
          <w:rFonts w:ascii="Arial" w:hAnsi="Arial" w:cs="Arial"/>
          <w:b/>
        </w:rPr>
      </w:pPr>
      <w:r w:rsidRPr="005E2CA5">
        <w:rPr>
          <w:rFonts w:ascii="Arial" w:hAnsi="Arial" w:cs="Arial"/>
          <w:b/>
        </w:rPr>
        <w:t>Name of approval holder</w:t>
      </w:r>
    </w:p>
    <w:p w14:paraId="459733A2" w14:textId="77777777" w:rsidR="00636C4A" w:rsidRDefault="00636C4A" w:rsidP="00636C4A">
      <w:pPr>
        <w:rPr>
          <w:rFonts w:ascii="Arial" w:hAnsi="Arial" w:cs="Arial"/>
        </w:rPr>
      </w:pPr>
      <w:r w:rsidRPr="7B003673">
        <w:rPr>
          <w:rFonts w:ascii="Arial" w:hAnsi="Arial" w:cs="Arial"/>
        </w:rPr>
        <w:t>Viva Energy Australia Pty Ltd (ABN 46 004 610 549)</w:t>
      </w:r>
    </w:p>
    <w:p w14:paraId="54A4A5BE" w14:textId="77777777" w:rsidR="00636C4A" w:rsidRDefault="00636C4A" w:rsidP="00636C4A">
      <w:pPr>
        <w:rPr>
          <w:rFonts w:ascii="Arial" w:eastAsia="Calibri" w:hAnsi="Arial"/>
          <w:b/>
          <w:bCs/>
        </w:rPr>
      </w:pPr>
      <w:r w:rsidRPr="7B003673">
        <w:rPr>
          <w:rFonts w:ascii="Arial" w:eastAsia="Calibri" w:hAnsi="Arial"/>
          <w:b/>
          <w:bCs/>
        </w:rPr>
        <w:t>Details of the variation</w:t>
      </w:r>
    </w:p>
    <w:p w14:paraId="4B774656" w14:textId="77777777" w:rsidR="00636C4A" w:rsidRDefault="00636C4A" w:rsidP="00636C4A">
      <w:pPr>
        <w:ind w:right="84"/>
        <w:rPr>
          <w:rFonts w:ascii="Arial" w:eastAsia="Arial" w:hAnsi="Arial" w:cs="Arial"/>
        </w:rPr>
      </w:pPr>
      <w:r w:rsidRPr="23F23009">
        <w:rPr>
          <w:rFonts w:ascii="Arial" w:eastAsia="Calibri" w:hAnsi="Arial"/>
        </w:rPr>
        <w:t xml:space="preserve">Pursuant to section 17E of the Act, the period of effect of the listed approval has been varied in respect of the supply of renewable diesel until 31 August 2025. </w:t>
      </w:r>
    </w:p>
    <w:p w14:paraId="39D222B1" w14:textId="77777777" w:rsidR="00636C4A" w:rsidRDefault="00636C4A" w:rsidP="00636C4A">
      <w:pPr>
        <w:ind w:right="84"/>
        <w:rPr>
          <w:rFonts w:ascii="Arial" w:eastAsia="Arial" w:hAnsi="Arial" w:cs="Arial"/>
        </w:rPr>
      </w:pPr>
      <w:r w:rsidRPr="5E306B15">
        <w:rPr>
          <w:rFonts w:ascii="Arial" w:eastAsia="Arial" w:hAnsi="Arial" w:cs="Arial"/>
          <w:color w:val="000000" w:themeColor="text1"/>
        </w:rPr>
        <w:t>Pursuant to subsection 17E of the Act, this variation adds the following regulated persons to the approval:</w:t>
      </w:r>
    </w:p>
    <w:tbl>
      <w:tblPr>
        <w:tblStyle w:val="TableGrid"/>
        <w:tblW w:w="0" w:type="auto"/>
        <w:tblInd w:w="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910"/>
        <w:gridCol w:w="3510"/>
      </w:tblGrid>
      <w:tr w:rsidR="00636C4A" w14:paraId="6300B483" w14:textId="77777777" w:rsidTr="00B54153">
        <w:trPr>
          <w:trHeight w:val="300"/>
        </w:trPr>
        <w:tc>
          <w:tcPr>
            <w:tcW w:w="2970" w:type="dxa"/>
            <w:tcMar>
              <w:left w:w="105" w:type="dxa"/>
              <w:right w:w="105" w:type="dxa"/>
            </w:tcMar>
            <w:vAlign w:val="center"/>
          </w:tcPr>
          <w:p w14:paraId="4D89A4C9" w14:textId="77777777" w:rsidR="00636C4A" w:rsidRDefault="00636C4A" w:rsidP="00B54153">
            <w:pPr>
              <w:spacing w:after="200" w:line="276" w:lineRule="auto"/>
              <w:ind w:right="84"/>
              <w:rPr>
                <w:rFonts w:ascii="Arial" w:eastAsia="Arial" w:hAnsi="Arial" w:cs="Arial"/>
              </w:rPr>
            </w:pPr>
            <w:r w:rsidRPr="7B003673">
              <w:rPr>
                <w:rFonts w:ascii="Arial" w:eastAsia="Arial" w:hAnsi="Arial" w:cs="Arial"/>
                <w:b/>
                <w:bCs/>
              </w:rPr>
              <w:t>Name</w:t>
            </w:r>
          </w:p>
        </w:tc>
        <w:tc>
          <w:tcPr>
            <w:tcW w:w="2910" w:type="dxa"/>
            <w:tcMar>
              <w:left w:w="105" w:type="dxa"/>
              <w:right w:w="105" w:type="dxa"/>
            </w:tcMar>
            <w:vAlign w:val="center"/>
          </w:tcPr>
          <w:p w14:paraId="34838D9C" w14:textId="77777777" w:rsidR="00636C4A" w:rsidRDefault="00636C4A" w:rsidP="00B54153">
            <w:pPr>
              <w:spacing w:after="200" w:line="276" w:lineRule="auto"/>
              <w:ind w:right="84"/>
              <w:rPr>
                <w:rFonts w:ascii="Arial" w:eastAsia="Arial" w:hAnsi="Arial" w:cs="Arial"/>
              </w:rPr>
            </w:pPr>
            <w:r w:rsidRPr="7B003673">
              <w:rPr>
                <w:rFonts w:ascii="Arial" w:eastAsia="Arial" w:hAnsi="Arial" w:cs="Arial"/>
                <w:b/>
                <w:bCs/>
              </w:rPr>
              <w:t>ABN</w:t>
            </w:r>
          </w:p>
        </w:tc>
        <w:tc>
          <w:tcPr>
            <w:tcW w:w="3510" w:type="dxa"/>
            <w:tcMar>
              <w:left w:w="105" w:type="dxa"/>
              <w:right w:w="105" w:type="dxa"/>
            </w:tcMar>
            <w:vAlign w:val="center"/>
          </w:tcPr>
          <w:p w14:paraId="35DC644D" w14:textId="77777777" w:rsidR="00636C4A" w:rsidRDefault="00636C4A" w:rsidP="00B54153">
            <w:pPr>
              <w:spacing w:after="200" w:line="276" w:lineRule="auto"/>
              <w:ind w:right="84"/>
              <w:rPr>
                <w:rFonts w:ascii="Arial" w:eastAsia="Arial" w:hAnsi="Arial" w:cs="Arial"/>
                <w:b/>
                <w:bCs/>
              </w:rPr>
            </w:pPr>
            <w:r w:rsidRPr="09C00A88">
              <w:rPr>
                <w:rFonts w:ascii="Arial" w:eastAsia="Arial" w:hAnsi="Arial" w:cs="Arial"/>
                <w:b/>
                <w:bCs/>
              </w:rPr>
              <w:t>Street Address</w:t>
            </w:r>
          </w:p>
        </w:tc>
      </w:tr>
      <w:tr w:rsidR="00636C4A" w14:paraId="7C3A0B45" w14:textId="77777777" w:rsidTr="00B54153">
        <w:trPr>
          <w:trHeight w:val="300"/>
        </w:trPr>
        <w:tc>
          <w:tcPr>
            <w:tcW w:w="2970" w:type="dxa"/>
            <w:tcMar>
              <w:left w:w="105" w:type="dxa"/>
              <w:right w:w="105" w:type="dxa"/>
            </w:tcMar>
          </w:tcPr>
          <w:p w14:paraId="2D19FDED"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Team Global Express</w:t>
            </w:r>
          </w:p>
        </w:tc>
        <w:tc>
          <w:tcPr>
            <w:tcW w:w="2910" w:type="dxa"/>
            <w:tcMar>
              <w:left w:w="105" w:type="dxa"/>
              <w:right w:w="105" w:type="dxa"/>
            </w:tcMar>
          </w:tcPr>
          <w:p w14:paraId="592F3BFF"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15 084 157 666</w:t>
            </w:r>
          </w:p>
        </w:tc>
        <w:tc>
          <w:tcPr>
            <w:tcW w:w="3510" w:type="dxa"/>
            <w:tcMar>
              <w:left w:w="105" w:type="dxa"/>
              <w:right w:w="105" w:type="dxa"/>
            </w:tcMar>
          </w:tcPr>
          <w:p w14:paraId="041D89BF"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Level 15, 380 St Kilda Road, Melbourne, Victoria 3004</w:t>
            </w:r>
          </w:p>
        </w:tc>
      </w:tr>
      <w:tr w:rsidR="00636C4A" w14:paraId="107B32EB" w14:textId="77777777" w:rsidTr="00B54153">
        <w:trPr>
          <w:trHeight w:val="300"/>
        </w:trPr>
        <w:tc>
          <w:tcPr>
            <w:tcW w:w="2970" w:type="dxa"/>
            <w:tcMar>
              <w:left w:w="105" w:type="dxa"/>
              <w:right w:w="105" w:type="dxa"/>
            </w:tcMar>
          </w:tcPr>
          <w:p w14:paraId="59CF60AF"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UON Pty Ltd</w:t>
            </w:r>
          </w:p>
        </w:tc>
        <w:tc>
          <w:tcPr>
            <w:tcW w:w="2910" w:type="dxa"/>
            <w:tcMar>
              <w:left w:w="105" w:type="dxa"/>
              <w:right w:w="105" w:type="dxa"/>
            </w:tcMar>
          </w:tcPr>
          <w:p w14:paraId="03BCF4EA"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44 099 963 354</w:t>
            </w:r>
          </w:p>
        </w:tc>
        <w:tc>
          <w:tcPr>
            <w:tcW w:w="3510" w:type="dxa"/>
            <w:tcMar>
              <w:left w:w="105" w:type="dxa"/>
              <w:right w:w="105" w:type="dxa"/>
            </w:tcMar>
          </w:tcPr>
          <w:p w14:paraId="030C7899" w14:textId="77777777" w:rsidR="00636C4A" w:rsidRDefault="00636C4A" w:rsidP="00B54153">
            <w:pPr>
              <w:spacing w:after="200" w:line="276" w:lineRule="auto"/>
              <w:ind w:right="84"/>
              <w:rPr>
                <w:rFonts w:ascii="Arial" w:eastAsia="Arial" w:hAnsi="Arial" w:cs="Arial"/>
              </w:rPr>
            </w:pPr>
            <w:r w:rsidRPr="7C7244B0">
              <w:rPr>
                <w:rFonts w:ascii="Arial Nova" w:eastAsia="Arial Nova" w:hAnsi="Arial Nova" w:cs="Arial Nova"/>
                <w:color w:val="000000" w:themeColor="text1"/>
              </w:rPr>
              <w:t>407 Victoria Rd, Malaga WA 6090</w:t>
            </w:r>
            <w:r w:rsidRPr="7C7244B0">
              <w:rPr>
                <w:rFonts w:ascii="Calibri" w:eastAsia="Calibri" w:hAnsi="Calibri" w:cs="Calibri"/>
                <w:color w:val="000000" w:themeColor="text1"/>
              </w:rPr>
              <w:t xml:space="preserve">  </w:t>
            </w:r>
          </w:p>
        </w:tc>
      </w:tr>
      <w:tr w:rsidR="00636C4A" w14:paraId="592EED1E" w14:textId="77777777" w:rsidTr="00B54153">
        <w:trPr>
          <w:trHeight w:val="300"/>
        </w:trPr>
        <w:tc>
          <w:tcPr>
            <w:tcW w:w="2970" w:type="dxa"/>
            <w:tcMar>
              <w:left w:w="105" w:type="dxa"/>
              <w:right w:w="105" w:type="dxa"/>
            </w:tcMar>
          </w:tcPr>
          <w:p w14:paraId="615D10BA"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B.M.D. Constructions Pty. Limited</w:t>
            </w:r>
          </w:p>
        </w:tc>
        <w:tc>
          <w:tcPr>
            <w:tcW w:w="2910" w:type="dxa"/>
            <w:tcMar>
              <w:left w:w="105" w:type="dxa"/>
              <w:right w:w="105" w:type="dxa"/>
            </w:tcMar>
          </w:tcPr>
          <w:p w14:paraId="4A57989F"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59 010 126 100</w:t>
            </w:r>
          </w:p>
        </w:tc>
        <w:tc>
          <w:tcPr>
            <w:tcW w:w="3510" w:type="dxa"/>
            <w:tcMar>
              <w:left w:w="105" w:type="dxa"/>
              <w:right w:w="105" w:type="dxa"/>
            </w:tcMar>
          </w:tcPr>
          <w:p w14:paraId="1D86D891"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QLD 4178</w:t>
            </w:r>
          </w:p>
        </w:tc>
      </w:tr>
      <w:tr w:rsidR="00636C4A" w14:paraId="370BE299" w14:textId="77777777" w:rsidTr="00B54153">
        <w:trPr>
          <w:trHeight w:val="300"/>
        </w:trPr>
        <w:tc>
          <w:tcPr>
            <w:tcW w:w="2970" w:type="dxa"/>
            <w:tcMar>
              <w:left w:w="105" w:type="dxa"/>
              <w:right w:w="105" w:type="dxa"/>
            </w:tcMar>
          </w:tcPr>
          <w:p w14:paraId="784B8BCF" w14:textId="77777777" w:rsidR="00636C4A" w:rsidRDefault="00636C4A" w:rsidP="00B54153">
            <w:pPr>
              <w:spacing w:after="200" w:line="276" w:lineRule="auto"/>
              <w:ind w:right="84"/>
              <w:rPr>
                <w:rFonts w:ascii="Arial" w:eastAsia="Arial" w:hAnsi="Arial" w:cs="Arial"/>
              </w:rPr>
            </w:pPr>
            <w:r w:rsidRPr="7813E1C0">
              <w:rPr>
                <w:rFonts w:ascii="Arial" w:eastAsia="Arial" w:hAnsi="Arial" w:cs="Arial"/>
              </w:rPr>
              <w:t>Multiplex Pty Ltd</w:t>
            </w:r>
          </w:p>
        </w:tc>
        <w:tc>
          <w:tcPr>
            <w:tcW w:w="2910" w:type="dxa"/>
            <w:tcMar>
              <w:left w:w="105" w:type="dxa"/>
              <w:right w:w="105" w:type="dxa"/>
            </w:tcMar>
          </w:tcPr>
          <w:p w14:paraId="053F8455"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66 147 631 472</w:t>
            </w:r>
          </w:p>
        </w:tc>
        <w:tc>
          <w:tcPr>
            <w:tcW w:w="3510" w:type="dxa"/>
            <w:tcMar>
              <w:left w:w="105" w:type="dxa"/>
              <w:right w:w="105" w:type="dxa"/>
            </w:tcMar>
          </w:tcPr>
          <w:p w14:paraId="70C4555E" w14:textId="77777777" w:rsidR="00636C4A" w:rsidRDefault="00636C4A" w:rsidP="00B54153">
            <w:pPr>
              <w:spacing w:after="200" w:line="276" w:lineRule="auto"/>
              <w:ind w:right="84"/>
              <w:rPr>
                <w:rFonts w:ascii="Arial" w:eastAsia="Arial" w:hAnsi="Arial" w:cs="Arial"/>
              </w:rPr>
            </w:pPr>
            <w:r w:rsidRPr="7C7244B0">
              <w:rPr>
                <w:rFonts w:ascii="Arial" w:eastAsia="Arial" w:hAnsi="Arial" w:cs="Arial"/>
              </w:rPr>
              <w:t>NSW 2000</w:t>
            </w:r>
          </w:p>
        </w:tc>
      </w:tr>
    </w:tbl>
    <w:p w14:paraId="5E00CD57" w14:textId="77777777" w:rsidR="00636C4A" w:rsidRDefault="00636C4A" w:rsidP="00636C4A"/>
    <w:p w14:paraId="5FD26090" w14:textId="77777777" w:rsidR="00636C4A" w:rsidRDefault="00636C4A" w:rsidP="00636C4A">
      <w:pPr>
        <w:spacing w:line="253" w:lineRule="exact"/>
        <w:rPr>
          <w:rFonts w:ascii="Arial" w:eastAsia="Arial" w:hAnsi="Arial" w:cs="Arial"/>
          <w:b/>
          <w:bCs/>
          <w:color w:val="000000" w:themeColor="text1"/>
        </w:rPr>
      </w:pPr>
      <w:r w:rsidRPr="7B003673">
        <w:rPr>
          <w:rFonts w:ascii="Arial" w:eastAsia="Arial" w:hAnsi="Arial" w:cs="Arial"/>
          <w:b/>
          <w:bCs/>
          <w:color w:val="000000" w:themeColor="text1"/>
        </w:rPr>
        <w:t>Period of operation</w:t>
      </w:r>
    </w:p>
    <w:p w14:paraId="24CF6BFA" w14:textId="77777777" w:rsidR="00636C4A" w:rsidRDefault="00636C4A" w:rsidP="00636C4A">
      <w:pPr>
        <w:spacing w:line="253" w:lineRule="exact"/>
        <w:rPr>
          <w:rFonts w:ascii="Arial" w:eastAsia="Arial" w:hAnsi="Arial" w:cs="Arial"/>
          <w:color w:val="000000" w:themeColor="text1"/>
        </w:rPr>
      </w:pPr>
      <w:r w:rsidRPr="09C00A88">
        <w:rPr>
          <w:rFonts w:ascii="Arial" w:eastAsia="Arial" w:hAnsi="Arial" w:cs="Arial"/>
          <w:color w:val="000000" w:themeColor="text1"/>
        </w:rPr>
        <w:t>The variation comes into force</w:t>
      </w:r>
      <w:r w:rsidRPr="482F17E1">
        <w:rPr>
          <w:rFonts w:eastAsiaTheme="minorEastAsia"/>
          <w:color w:val="000000" w:themeColor="text1"/>
        </w:rPr>
        <w:t xml:space="preserve"> from 19 J</w:t>
      </w:r>
      <w:r w:rsidRPr="09C00A88">
        <w:rPr>
          <w:rFonts w:ascii="Arial" w:eastAsia="Arial" w:hAnsi="Arial" w:cs="Arial"/>
          <w:color w:val="000000" w:themeColor="text1"/>
        </w:rPr>
        <w:t>une 2024 and remains in force until 31 August 2025.</w:t>
      </w:r>
    </w:p>
    <w:p w14:paraId="446E0C5E" w14:textId="77777777" w:rsidR="00636C4A" w:rsidRDefault="00636C4A" w:rsidP="00636C4A">
      <w:pPr>
        <w:spacing w:line="253" w:lineRule="exact"/>
        <w:rPr>
          <w:rFonts w:ascii="Arial" w:eastAsia="Arial" w:hAnsi="Arial" w:cs="Arial"/>
          <w:color w:val="000000" w:themeColor="text1"/>
        </w:rPr>
      </w:pPr>
    </w:p>
    <w:p w14:paraId="4CDD54FA" w14:textId="77777777" w:rsidR="00636C4A" w:rsidRDefault="00636C4A" w:rsidP="00636C4A">
      <w:pPr>
        <w:spacing w:line="253" w:lineRule="exact"/>
        <w:rPr>
          <w:rFonts w:ascii="Arial" w:eastAsia="Arial" w:hAnsi="Arial" w:cs="Arial"/>
          <w:color w:val="000000" w:themeColor="text1"/>
        </w:rPr>
      </w:pPr>
    </w:p>
    <w:p w14:paraId="6211EB10" w14:textId="77777777" w:rsidR="00636C4A" w:rsidRDefault="00636C4A" w:rsidP="00636C4A">
      <w:pPr>
        <w:spacing w:line="253" w:lineRule="exact"/>
        <w:rPr>
          <w:rFonts w:ascii="Arial" w:eastAsia="Arial" w:hAnsi="Arial" w:cs="Arial"/>
          <w:color w:val="000000" w:themeColor="text1"/>
        </w:rPr>
      </w:pPr>
    </w:p>
    <w:p w14:paraId="6473A265" w14:textId="77777777" w:rsidR="00636C4A" w:rsidRDefault="00636C4A" w:rsidP="00636C4A">
      <w:pPr>
        <w:spacing w:line="253" w:lineRule="exact"/>
        <w:rPr>
          <w:rFonts w:ascii="Arial" w:eastAsia="Arial" w:hAnsi="Arial" w:cs="Arial"/>
          <w:color w:val="000000" w:themeColor="text1"/>
        </w:rPr>
      </w:pPr>
    </w:p>
    <w:p w14:paraId="4329F7E0" w14:textId="77777777" w:rsidR="00636C4A" w:rsidRDefault="00636C4A" w:rsidP="00636C4A">
      <w:pPr>
        <w:ind w:right="84"/>
        <w:rPr>
          <w:rFonts w:ascii="Arial" w:hAnsi="Arial" w:cs="Arial"/>
          <w:b/>
        </w:rPr>
      </w:pPr>
      <w:r w:rsidRPr="00A01728">
        <w:rPr>
          <w:rFonts w:ascii="Arial" w:hAnsi="Arial" w:cs="Arial"/>
          <w:b/>
        </w:rPr>
        <w:lastRenderedPageBreak/>
        <w:t>Summary of reasons for the approval</w:t>
      </w:r>
    </w:p>
    <w:p w14:paraId="3C171787" w14:textId="77777777" w:rsidR="00636C4A" w:rsidRPr="005A4D78" w:rsidRDefault="00636C4A" w:rsidP="00636C4A">
      <w:pPr>
        <w:pStyle w:val="ListParagraph"/>
        <w:numPr>
          <w:ilvl w:val="0"/>
          <w:numId w:val="1"/>
        </w:numPr>
        <w:rPr>
          <w:rFonts w:ascii="Arial" w:eastAsia="Arial" w:hAnsi="Arial" w:cs="Arial"/>
          <w:color w:val="000000" w:themeColor="text1"/>
        </w:rPr>
      </w:pPr>
      <w:r w:rsidRPr="60974FFC">
        <w:rPr>
          <w:rFonts w:ascii="Arial" w:eastAsia="Arial" w:hAnsi="Arial" w:cs="Arial"/>
        </w:rPr>
        <w:t xml:space="preserve">The addition of 4 regulated persons is not expected to significantly impact the volumes of renewable diesel supplied by Viva under </w:t>
      </w:r>
      <w:r>
        <w:rPr>
          <w:rFonts w:ascii="Arial" w:eastAsia="Arial" w:hAnsi="Arial" w:cs="Arial"/>
        </w:rPr>
        <w:t>its</w:t>
      </w:r>
      <w:r w:rsidRPr="60974FFC">
        <w:rPr>
          <w:rFonts w:ascii="Arial" w:eastAsia="Arial" w:hAnsi="Arial" w:cs="Arial"/>
        </w:rPr>
        <w:t xml:space="preserve"> section 13 approval. </w:t>
      </w:r>
    </w:p>
    <w:p w14:paraId="5CEE7700" w14:textId="77777777" w:rsidR="00636C4A" w:rsidRPr="005A4D78" w:rsidRDefault="00636C4A" w:rsidP="00636C4A">
      <w:pPr>
        <w:pStyle w:val="ListNumber2"/>
        <w:numPr>
          <w:ilvl w:val="0"/>
          <w:numId w:val="1"/>
        </w:numPr>
        <w:rPr>
          <w:rFonts w:eastAsia="Arial" w:cs="Arial"/>
          <w:color w:val="000000" w:themeColor="text1"/>
          <w:sz w:val="22"/>
          <w:szCs w:val="22"/>
        </w:rPr>
      </w:pPr>
      <w:r w:rsidRPr="60974FFC">
        <w:rPr>
          <w:rFonts w:eastAsia="Arial" w:cs="Arial"/>
          <w:color w:val="000000" w:themeColor="text1"/>
          <w:sz w:val="22"/>
          <w:szCs w:val="22"/>
        </w:rPr>
        <w:t xml:space="preserve">Renewable diesel does not pose a higher risk of adverse impacts on the environment or to human health compared to mineral diesel. </w:t>
      </w:r>
    </w:p>
    <w:p w14:paraId="4358167D" w14:textId="77777777" w:rsidR="00636C4A" w:rsidRPr="005A4D78" w:rsidRDefault="00636C4A" w:rsidP="00636C4A">
      <w:pPr>
        <w:pStyle w:val="ListNumber2"/>
        <w:numPr>
          <w:ilvl w:val="0"/>
          <w:numId w:val="1"/>
        </w:numPr>
        <w:rPr>
          <w:rFonts w:eastAsia="Arial" w:cs="Arial"/>
          <w:color w:val="000000" w:themeColor="text1"/>
          <w:sz w:val="22"/>
          <w:szCs w:val="22"/>
        </w:rPr>
      </w:pPr>
      <w:r w:rsidRPr="60974FFC">
        <w:rPr>
          <w:rFonts w:eastAsia="Arial" w:cs="Arial"/>
          <w:color w:val="000000" w:themeColor="text1"/>
          <w:sz w:val="22"/>
          <w:szCs w:val="22"/>
        </w:rPr>
        <w:t>The import of renewable diesel will help grow the Australian market and ensure secure supply of the product.</w:t>
      </w:r>
    </w:p>
    <w:p w14:paraId="25638AEF" w14:textId="77777777" w:rsidR="00636C4A" w:rsidRPr="005B7AB4" w:rsidRDefault="00636C4A" w:rsidP="00636C4A">
      <w:pPr>
        <w:pStyle w:val="BodyText"/>
        <w:tabs>
          <w:tab w:val="left" w:pos="851"/>
        </w:tabs>
        <w:ind w:left="851"/>
        <w:rPr>
          <w:rFonts w:ascii="Arial" w:hAnsi="Arial" w:cs="Arial"/>
        </w:rPr>
      </w:pPr>
    </w:p>
    <w:p w14:paraId="76D5BE46" w14:textId="77777777" w:rsidR="00636C4A" w:rsidRDefault="00636C4A" w:rsidP="00636C4A">
      <w:pPr>
        <w:spacing w:after="0"/>
        <w:rPr>
          <w:rFonts w:ascii="Arial" w:hAnsi="Arial" w:cs="Arial"/>
          <w:b/>
          <w:bCs/>
        </w:rPr>
      </w:pPr>
    </w:p>
    <w:p w14:paraId="00F18044" w14:textId="77777777" w:rsidR="00636C4A" w:rsidRDefault="00636C4A" w:rsidP="00636C4A">
      <w:pPr>
        <w:spacing w:after="0"/>
        <w:rPr>
          <w:rFonts w:ascii="Arial" w:hAnsi="Arial" w:cs="Arial"/>
          <w:b/>
          <w:bCs/>
        </w:rPr>
      </w:pPr>
    </w:p>
    <w:p w14:paraId="4BD2557E" w14:textId="77777777" w:rsidR="00636C4A" w:rsidRDefault="00636C4A" w:rsidP="00636C4A">
      <w:pPr>
        <w:spacing w:after="0"/>
        <w:rPr>
          <w:rFonts w:ascii="Arial" w:hAnsi="Arial" w:cs="Arial"/>
          <w:b/>
          <w:bCs/>
        </w:rPr>
      </w:pPr>
    </w:p>
    <w:p w14:paraId="5F26A3BB" w14:textId="77777777" w:rsidR="00636C4A" w:rsidRDefault="00636C4A" w:rsidP="00636C4A">
      <w:pPr>
        <w:spacing w:after="0"/>
        <w:rPr>
          <w:rFonts w:ascii="Arial" w:hAnsi="Arial" w:cs="Arial"/>
          <w:b/>
          <w:bCs/>
        </w:rPr>
      </w:pPr>
    </w:p>
    <w:p w14:paraId="686423E2" w14:textId="77777777" w:rsidR="00636C4A" w:rsidRDefault="00636C4A" w:rsidP="00636C4A">
      <w:pPr>
        <w:spacing w:after="0"/>
        <w:rPr>
          <w:rFonts w:ascii="Arial" w:hAnsi="Arial" w:cs="Arial"/>
          <w:b/>
          <w:bCs/>
        </w:rPr>
      </w:pPr>
    </w:p>
    <w:p w14:paraId="64C184F8" w14:textId="77777777" w:rsidR="00636C4A" w:rsidRPr="00E74AA9" w:rsidRDefault="00636C4A" w:rsidP="00636C4A">
      <w:pPr>
        <w:spacing w:after="0"/>
        <w:rPr>
          <w:rFonts w:ascii="Arial" w:hAnsi="Arial" w:cs="Arial"/>
          <w:b/>
        </w:rPr>
      </w:pPr>
      <w:r w:rsidRPr="00E74AA9">
        <w:rPr>
          <w:rFonts w:ascii="Arial" w:hAnsi="Arial" w:cs="Arial"/>
          <w:b/>
        </w:rPr>
        <w:t>………………………………………………………………………….</w:t>
      </w:r>
    </w:p>
    <w:p w14:paraId="6F16FF33" w14:textId="77777777" w:rsidR="00636C4A" w:rsidRPr="00E74AA9" w:rsidRDefault="00636C4A" w:rsidP="00636C4A">
      <w:pPr>
        <w:spacing w:after="0"/>
        <w:rPr>
          <w:rFonts w:ascii="Arial" w:hAnsi="Arial" w:cs="Arial"/>
          <w:b/>
        </w:rPr>
      </w:pPr>
    </w:p>
    <w:p w14:paraId="604930F3" w14:textId="77777777" w:rsidR="00636C4A" w:rsidRPr="00E74AA9" w:rsidRDefault="00636C4A" w:rsidP="00636C4A">
      <w:pPr>
        <w:spacing w:after="0"/>
        <w:rPr>
          <w:rFonts w:ascii="Arial" w:hAnsi="Arial" w:cs="Arial"/>
          <w:b/>
          <w:bCs/>
        </w:rPr>
      </w:pPr>
      <w:r w:rsidRPr="7C7244B0">
        <w:rPr>
          <w:rFonts w:ascii="Arial" w:hAnsi="Arial" w:cs="Arial"/>
          <w:b/>
          <w:bCs/>
        </w:rPr>
        <w:t>Jennifer Anne</w:t>
      </w:r>
    </w:p>
    <w:p w14:paraId="72E7C9FE" w14:textId="77777777" w:rsidR="00636C4A" w:rsidRPr="00E74AA9" w:rsidRDefault="00636C4A" w:rsidP="00636C4A">
      <w:pPr>
        <w:spacing w:after="0"/>
        <w:rPr>
          <w:rFonts w:ascii="Arial" w:hAnsi="Arial" w:cs="Arial"/>
          <w:b/>
          <w:bCs/>
        </w:rPr>
      </w:pPr>
      <w:r w:rsidRPr="7C7244B0">
        <w:rPr>
          <w:rFonts w:ascii="Arial" w:hAnsi="Arial" w:cs="Arial"/>
          <w:b/>
          <w:bCs/>
        </w:rPr>
        <w:t xml:space="preserve">Branch Head, Liquid Fuels Branch </w:t>
      </w:r>
    </w:p>
    <w:p w14:paraId="413D0ECF" w14:textId="77777777" w:rsidR="00636C4A" w:rsidRPr="00611973" w:rsidRDefault="00636C4A" w:rsidP="00636C4A">
      <w:pPr>
        <w:spacing w:after="0"/>
        <w:rPr>
          <w:rFonts w:ascii="Arial" w:hAnsi="Arial" w:cs="Arial"/>
          <w:b/>
          <w:bCs/>
        </w:rPr>
      </w:pPr>
      <w:r w:rsidRPr="6EF19825">
        <w:rPr>
          <w:rFonts w:ascii="Arial" w:hAnsi="Arial" w:cs="Arial"/>
          <w:b/>
          <w:bCs/>
        </w:rPr>
        <w:t xml:space="preserve">19 </w:t>
      </w:r>
      <w:r w:rsidRPr="6EF19825">
        <w:rPr>
          <w:rFonts w:ascii="Arial" w:eastAsia="Arial" w:hAnsi="Arial" w:cs="Arial"/>
          <w:b/>
          <w:bCs/>
        </w:rPr>
        <w:t>June 2024</w:t>
      </w:r>
    </w:p>
    <w:p w14:paraId="3946D65D" w14:textId="77777777" w:rsidR="004B2753" w:rsidRPr="00424B97" w:rsidRDefault="004B2753" w:rsidP="00424B97"/>
    <w:sectPr w:rsidR="004B2753" w:rsidRPr="00424B97" w:rsidSect="008E4F6C">
      <w:headerReference w:type="even" r:id="rId8"/>
      <w:footerReference w:type="even" r:id="rId9"/>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530BF" w14:textId="77777777" w:rsidR="008E4F6C" w:rsidRDefault="008E4F6C" w:rsidP="003A707F">
      <w:pPr>
        <w:spacing w:after="0" w:line="240" w:lineRule="auto"/>
      </w:pPr>
      <w:r>
        <w:separator/>
      </w:r>
    </w:p>
  </w:endnote>
  <w:endnote w:type="continuationSeparator" w:id="0">
    <w:p w14:paraId="330A4BF4"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BB8ABBA0-459B-495A-8D7E-7BF2E845449D}"/>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embedRegular r:id="rId2" w:subsetted="1" w:fontKey="{8BC6EF24-983A-4BF8-97F8-6AC4F849567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6130" w14:textId="2F964A4E" w:rsidR="00636C4A" w:rsidRDefault="00636C4A">
    <w:pPr>
      <w:pStyle w:val="Footer"/>
    </w:pPr>
    <w:r>
      <w:rPr>
        <w:noProof/>
      </w:rPr>
      <mc:AlternateContent>
        <mc:Choice Requires="wps">
          <w:drawing>
            <wp:anchor distT="0" distB="0" distL="0" distR="0" simplePos="0" relativeHeight="251662336" behindDoc="0" locked="0" layoutInCell="1" allowOverlap="1" wp14:anchorId="33AD6E46" wp14:editId="2AC7FFDB">
              <wp:simplePos x="635" y="635"/>
              <wp:positionH relativeFrom="page">
                <wp:align>center</wp:align>
              </wp:positionH>
              <wp:positionV relativeFrom="page">
                <wp:align>bottom</wp:align>
              </wp:positionV>
              <wp:extent cx="551815" cy="404495"/>
              <wp:effectExtent l="0" t="0" r="635" b="0"/>
              <wp:wrapNone/>
              <wp:docPr id="960053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834627" w14:textId="252748C5" w:rsidR="00636C4A" w:rsidRPr="00636C4A" w:rsidRDefault="00636C4A" w:rsidP="00636C4A">
                          <w:pPr>
                            <w:spacing w:after="0"/>
                            <w:rPr>
                              <w:rFonts w:ascii="Calibri" w:eastAsia="Calibri" w:hAnsi="Calibri" w:cs="Calibri"/>
                              <w:noProof/>
                              <w:color w:val="FF0000"/>
                              <w:sz w:val="24"/>
                              <w:szCs w:val="24"/>
                            </w:rPr>
                          </w:pPr>
                          <w:r w:rsidRPr="00636C4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D6E46"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fill o:detectmouseclick="t"/>
              <v:textbox style="mso-fit-shape-to-text:t" inset="0,0,0,15pt">
                <w:txbxContent>
                  <w:p w14:paraId="76834627" w14:textId="252748C5" w:rsidR="00636C4A" w:rsidRPr="00636C4A" w:rsidRDefault="00636C4A" w:rsidP="00636C4A">
                    <w:pPr>
                      <w:spacing w:after="0"/>
                      <w:rPr>
                        <w:rFonts w:ascii="Calibri" w:eastAsia="Calibri" w:hAnsi="Calibri" w:cs="Calibri"/>
                        <w:noProof/>
                        <w:color w:val="FF0000"/>
                        <w:sz w:val="24"/>
                        <w:szCs w:val="24"/>
                      </w:rPr>
                    </w:pPr>
                    <w:r w:rsidRPr="00636C4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4F2BB" w14:textId="77777777" w:rsidR="008E4F6C" w:rsidRDefault="008E4F6C" w:rsidP="003A707F">
      <w:pPr>
        <w:spacing w:after="0" w:line="240" w:lineRule="auto"/>
      </w:pPr>
      <w:r>
        <w:separator/>
      </w:r>
    </w:p>
  </w:footnote>
  <w:footnote w:type="continuationSeparator" w:id="0">
    <w:p w14:paraId="34A8F5AC"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3F27" w14:textId="716A4555" w:rsidR="00636C4A" w:rsidRDefault="00636C4A">
    <w:pPr>
      <w:pStyle w:val="Header"/>
    </w:pPr>
    <w:r>
      <w:rPr>
        <w:noProof/>
      </w:rPr>
      <mc:AlternateContent>
        <mc:Choice Requires="wps">
          <w:drawing>
            <wp:anchor distT="0" distB="0" distL="0" distR="0" simplePos="0" relativeHeight="251659264" behindDoc="0" locked="0" layoutInCell="1" allowOverlap="1" wp14:anchorId="14F2CC23" wp14:editId="4896CA95">
              <wp:simplePos x="635" y="635"/>
              <wp:positionH relativeFrom="page">
                <wp:align>center</wp:align>
              </wp:positionH>
              <wp:positionV relativeFrom="page">
                <wp:align>top</wp:align>
              </wp:positionV>
              <wp:extent cx="551815" cy="404495"/>
              <wp:effectExtent l="0" t="0" r="635" b="14605"/>
              <wp:wrapNone/>
              <wp:docPr id="5197638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C0EEA1" w14:textId="078F7175" w:rsidR="00636C4A" w:rsidRPr="00636C4A" w:rsidRDefault="00636C4A" w:rsidP="00636C4A">
                          <w:pPr>
                            <w:spacing w:after="0"/>
                            <w:rPr>
                              <w:rFonts w:ascii="Calibri" w:eastAsia="Calibri" w:hAnsi="Calibri" w:cs="Calibri"/>
                              <w:noProof/>
                              <w:color w:val="FF0000"/>
                              <w:sz w:val="24"/>
                              <w:szCs w:val="24"/>
                            </w:rPr>
                          </w:pPr>
                          <w:r w:rsidRPr="00636C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F2CC23"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5FC0EEA1" w14:textId="078F7175" w:rsidR="00636C4A" w:rsidRPr="00636C4A" w:rsidRDefault="00636C4A" w:rsidP="00636C4A">
                    <w:pPr>
                      <w:spacing w:after="0"/>
                      <w:rPr>
                        <w:rFonts w:ascii="Calibri" w:eastAsia="Calibri" w:hAnsi="Calibri" w:cs="Calibri"/>
                        <w:noProof/>
                        <w:color w:val="FF0000"/>
                        <w:sz w:val="24"/>
                        <w:szCs w:val="24"/>
                      </w:rPr>
                    </w:pPr>
                    <w:r w:rsidRPr="00636C4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55EA388"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3A460F5" w14:textId="5CAB045F"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206F51E" wp14:editId="27D3907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4287DB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06C49F9"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FD3B820"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AB47C96"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91C5ACA"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84B54B5" w14:textId="77777777" w:rsidR="00F40885" w:rsidRPr="003A707F" w:rsidRDefault="00F40885" w:rsidP="00F40885">
    <w:pPr>
      <w:pStyle w:val="Header"/>
      <w:rPr>
        <w:sz w:val="2"/>
        <w:szCs w:val="2"/>
      </w:rPr>
    </w:pPr>
  </w:p>
  <w:p w14:paraId="1CFD564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63A86"/>
    <w:multiLevelType w:val="hybridMultilevel"/>
    <w:tmpl w:val="EAC63BB6"/>
    <w:lvl w:ilvl="0" w:tplc="4440E262">
      <w:start w:val="1"/>
      <w:numFmt w:val="lowerLetter"/>
      <w:lvlText w:val="%1."/>
      <w:lvlJc w:val="left"/>
      <w:pPr>
        <w:ind w:left="720" w:hanging="360"/>
      </w:pPr>
    </w:lvl>
    <w:lvl w:ilvl="1" w:tplc="4B740ACA">
      <w:start w:val="1"/>
      <w:numFmt w:val="lowerLetter"/>
      <w:lvlText w:val="%2."/>
      <w:lvlJc w:val="left"/>
      <w:pPr>
        <w:ind w:left="1440" w:hanging="360"/>
      </w:pPr>
    </w:lvl>
    <w:lvl w:ilvl="2" w:tplc="66961314">
      <w:start w:val="1"/>
      <w:numFmt w:val="lowerRoman"/>
      <w:lvlText w:val="%3."/>
      <w:lvlJc w:val="right"/>
      <w:pPr>
        <w:ind w:left="2160" w:hanging="180"/>
      </w:pPr>
    </w:lvl>
    <w:lvl w:ilvl="3" w:tplc="3ED27B4E">
      <w:start w:val="1"/>
      <w:numFmt w:val="decimal"/>
      <w:lvlText w:val="%4."/>
      <w:lvlJc w:val="left"/>
      <w:pPr>
        <w:ind w:left="2880" w:hanging="360"/>
      </w:pPr>
    </w:lvl>
    <w:lvl w:ilvl="4" w:tplc="E264D462">
      <w:start w:val="1"/>
      <w:numFmt w:val="lowerLetter"/>
      <w:lvlText w:val="%5."/>
      <w:lvlJc w:val="left"/>
      <w:pPr>
        <w:ind w:left="3600" w:hanging="360"/>
      </w:pPr>
    </w:lvl>
    <w:lvl w:ilvl="5" w:tplc="2CE00346">
      <w:start w:val="1"/>
      <w:numFmt w:val="lowerRoman"/>
      <w:lvlText w:val="%6."/>
      <w:lvlJc w:val="right"/>
      <w:pPr>
        <w:ind w:left="4320" w:hanging="180"/>
      </w:pPr>
    </w:lvl>
    <w:lvl w:ilvl="6" w:tplc="CFE411B4">
      <w:start w:val="1"/>
      <w:numFmt w:val="decimal"/>
      <w:lvlText w:val="%7."/>
      <w:lvlJc w:val="left"/>
      <w:pPr>
        <w:ind w:left="5040" w:hanging="360"/>
      </w:pPr>
    </w:lvl>
    <w:lvl w:ilvl="7" w:tplc="82E650C2">
      <w:start w:val="1"/>
      <w:numFmt w:val="lowerLetter"/>
      <w:lvlText w:val="%8."/>
      <w:lvlJc w:val="left"/>
      <w:pPr>
        <w:ind w:left="5760" w:hanging="360"/>
      </w:pPr>
    </w:lvl>
    <w:lvl w:ilvl="8" w:tplc="88F23ED2">
      <w:start w:val="1"/>
      <w:numFmt w:val="lowerRoman"/>
      <w:lvlText w:val="%9."/>
      <w:lvlJc w:val="right"/>
      <w:pPr>
        <w:ind w:left="6480" w:hanging="180"/>
      </w:pPr>
    </w:lvl>
  </w:abstractNum>
  <w:abstractNum w:abstractNumId="1" w15:restartNumberingAfterBreak="0">
    <w:nsid w:val="65456429"/>
    <w:multiLevelType w:val="multilevel"/>
    <w:tmpl w:val="E898CC72"/>
    <w:numStyleLink w:val="KeyPoints"/>
  </w:abstractNum>
  <w:abstractNum w:abstractNumId="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754714346">
    <w:abstractNumId w:val="0"/>
  </w:num>
  <w:num w:numId="2" w16cid:durableId="159582133">
    <w:abstractNumId w:val="2"/>
  </w:num>
  <w:num w:numId="3" w16cid:durableId="144843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E1F2B"/>
    <w:rsid w:val="0015450B"/>
    <w:rsid w:val="001812CA"/>
    <w:rsid w:val="001C2AAD"/>
    <w:rsid w:val="001F6E54"/>
    <w:rsid w:val="00280BCD"/>
    <w:rsid w:val="003A707F"/>
    <w:rsid w:val="003B0EC1"/>
    <w:rsid w:val="003B573B"/>
    <w:rsid w:val="003B5B64"/>
    <w:rsid w:val="003F2CBD"/>
    <w:rsid w:val="00424B97"/>
    <w:rsid w:val="00462BF7"/>
    <w:rsid w:val="004B2753"/>
    <w:rsid w:val="00520873"/>
    <w:rsid w:val="00573D44"/>
    <w:rsid w:val="00636C4A"/>
    <w:rsid w:val="00840A06"/>
    <w:rsid w:val="008439B7"/>
    <w:rsid w:val="0087253F"/>
    <w:rsid w:val="008E4F6C"/>
    <w:rsid w:val="009539C7"/>
    <w:rsid w:val="00A00F21"/>
    <w:rsid w:val="00B84226"/>
    <w:rsid w:val="00BE7780"/>
    <w:rsid w:val="00C63C4E"/>
    <w:rsid w:val="00C66151"/>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09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636C4A"/>
    <w:pPr>
      <w:numPr>
        <w:numId w:val="2"/>
      </w:numPr>
    </w:pPr>
  </w:style>
  <w:style w:type="paragraph" w:styleId="ListNumber">
    <w:name w:val="List Number"/>
    <w:basedOn w:val="Normal"/>
    <w:uiPriority w:val="99"/>
    <w:qFormat/>
    <w:rsid w:val="00636C4A"/>
    <w:pPr>
      <w:numPr>
        <w:numId w:val="3"/>
      </w:numPr>
    </w:pPr>
    <w:rPr>
      <w:rFonts w:ascii="Arial" w:eastAsia="Calibri" w:hAnsi="Arial" w:cs="Times New Roman"/>
    </w:rPr>
  </w:style>
  <w:style w:type="paragraph" w:styleId="ListNumber2">
    <w:name w:val="List Number 2"/>
    <w:basedOn w:val="Normal"/>
    <w:uiPriority w:val="99"/>
    <w:rsid w:val="00636C4A"/>
    <w:pPr>
      <w:numPr>
        <w:ilvl w:val="1"/>
        <w:numId w:val="3"/>
      </w:numPr>
    </w:pPr>
    <w:rPr>
      <w:rFonts w:ascii="Arial" w:eastAsia="Calibri" w:hAnsi="Arial" w:cs="Times New Roman"/>
      <w:sz w:val="20"/>
      <w:szCs w:val="20"/>
    </w:rPr>
  </w:style>
  <w:style w:type="paragraph" w:styleId="ListNumber3">
    <w:name w:val="List Number 3"/>
    <w:basedOn w:val="Normal"/>
    <w:uiPriority w:val="99"/>
    <w:rsid w:val="00636C4A"/>
    <w:pPr>
      <w:numPr>
        <w:ilvl w:val="2"/>
        <w:numId w:val="3"/>
      </w:numPr>
    </w:pPr>
    <w:rPr>
      <w:rFonts w:ascii="Arial" w:eastAsia="Calibri" w:hAnsi="Arial" w:cs="Times New Roman"/>
      <w:sz w:val="20"/>
      <w:szCs w:val="20"/>
    </w:rPr>
  </w:style>
  <w:style w:type="paragraph" w:styleId="ListNumber4">
    <w:name w:val="List Number 4"/>
    <w:basedOn w:val="Normal"/>
    <w:uiPriority w:val="99"/>
    <w:rsid w:val="00636C4A"/>
    <w:pPr>
      <w:numPr>
        <w:ilvl w:val="3"/>
        <w:numId w:val="3"/>
      </w:numPr>
    </w:pPr>
    <w:rPr>
      <w:rFonts w:ascii="Arial" w:eastAsia="Calibri" w:hAnsi="Arial" w:cs="Times New Roman"/>
      <w:sz w:val="20"/>
      <w:szCs w:val="20"/>
    </w:rPr>
  </w:style>
  <w:style w:type="paragraph" w:styleId="ListNumber5">
    <w:name w:val="List Number 5"/>
    <w:basedOn w:val="Normal"/>
    <w:uiPriority w:val="99"/>
    <w:rsid w:val="00636C4A"/>
    <w:pPr>
      <w:numPr>
        <w:ilvl w:val="4"/>
        <w:numId w:val="3"/>
      </w:numPr>
    </w:pPr>
    <w:rPr>
      <w:rFonts w:ascii="Arial" w:eastAsia="Calibri" w:hAnsi="Arial" w:cs="Times New Roman"/>
      <w:sz w:val="20"/>
      <w:szCs w:val="20"/>
    </w:rPr>
  </w:style>
  <w:style w:type="paragraph" w:styleId="ListParagraph">
    <w:name w:val="List Paragraph"/>
    <w:basedOn w:val="Normal"/>
    <w:uiPriority w:val="34"/>
    <w:qFormat/>
    <w:rsid w:val="00636C4A"/>
    <w:pPr>
      <w:ind w:left="720"/>
      <w:contextualSpacing/>
    </w:pPr>
  </w:style>
  <w:style w:type="paragraph" w:styleId="BodyText">
    <w:name w:val="Body Text"/>
    <w:basedOn w:val="Normal"/>
    <w:link w:val="BodyTextChar"/>
    <w:uiPriority w:val="99"/>
    <w:unhideWhenUsed/>
    <w:rsid w:val="00636C4A"/>
    <w:pPr>
      <w:spacing w:after="120"/>
    </w:pPr>
  </w:style>
  <w:style w:type="character" w:customStyle="1" w:styleId="BodyTextChar">
    <w:name w:val="Body Text Char"/>
    <w:basedOn w:val="DefaultParagraphFont"/>
    <w:link w:val="BodyText"/>
    <w:uiPriority w:val="99"/>
    <w:rsid w:val="00636C4A"/>
  </w:style>
  <w:style w:type="table" w:styleId="TableGrid">
    <w:name w:val="Table Grid"/>
    <w:basedOn w:val="TableNormal"/>
    <w:uiPriority w:val="59"/>
    <w:rsid w:val="00636C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2024-07-08T05:08:00Z</dcterms:created>
  <dcterms:modified xsi:type="dcterms:W3CDTF">2024-07-08T05:09:00Z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19187af4,1efaf76c,1152afa9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4cd12eaa,5b8ecbf,2df6f5c3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