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27C1B" w14:textId="77777777" w:rsidR="00EF238D" w:rsidRPr="00BB5235" w:rsidRDefault="00EF238D" w:rsidP="00BF0923">
      <w:pPr>
        <w:spacing w:after="120"/>
        <w:rPr>
          <w:b/>
          <w:iCs/>
          <w:color w:val="000000" w:themeColor="text1"/>
          <w:sz w:val="26"/>
          <w:szCs w:val="26"/>
        </w:rPr>
      </w:pPr>
    </w:p>
    <w:p w14:paraId="1B398149" w14:textId="77777777" w:rsidR="00EA5986" w:rsidRPr="00BF2F01" w:rsidRDefault="00EA5986" w:rsidP="00EA5986">
      <w:pPr>
        <w:spacing w:after="120"/>
        <w:jc w:val="center"/>
        <w:rPr>
          <w:color w:val="000000" w:themeColor="text1"/>
        </w:rPr>
      </w:pPr>
      <w:r w:rsidRPr="00BF2F01">
        <w:rPr>
          <w:b/>
          <w:i/>
          <w:color w:val="000000" w:themeColor="text1"/>
          <w:sz w:val="26"/>
          <w:szCs w:val="26"/>
        </w:rPr>
        <w:t xml:space="preserve">Aboriginal and Torres Strait Islander Heritage Protection Act 1984 </w:t>
      </w:r>
      <w:r w:rsidRPr="00BF2F01">
        <w:rPr>
          <w:b/>
          <w:color w:val="000000" w:themeColor="text1"/>
          <w:sz w:val="26"/>
          <w:szCs w:val="26"/>
        </w:rPr>
        <w:t>(</w:t>
      </w:r>
      <w:proofErr w:type="spellStart"/>
      <w:r w:rsidRPr="00BF2F01">
        <w:rPr>
          <w:b/>
          <w:color w:val="000000" w:themeColor="text1"/>
          <w:sz w:val="26"/>
          <w:szCs w:val="26"/>
        </w:rPr>
        <w:t>Cth</w:t>
      </w:r>
      <w:proofErr w:type="spellEnd"/>
      <w:r w:rsidRPr="00BF2F01">
        <w:rPr>
          <w:b/>
          <w:color w:val="000000" w:themeColor="text1"/>
          <w:sz w:val="26"/>
          <w:szCs w:val="26"/>
        </w:rPr>
        <w:t>)</w:t>
      </w:r>
    </w:p>
    <w:p w14:paraId="08219933" w14:textId="77777777" w:rsidR="00EA5986" w:rsidRPr="00BF2F01" w:rsidRDefault="00EA5986" w:rsidP="00EA5986">
      <w:pPr>
        <w:spacing w:after="120"/>
        <w:jc w:val="center"/>
        <w:rPr>
          <w:b/>
          <w:color w:val="000000" w:themeColor="text1"/>
          <w:sz w:val="26"/>
          <w:szCs w:val="26"/>
        </w:rPr>
      </w:pPr>
      <w:r w:rsidRPr="00BF2F01">
        <w:rPr>
          <w:b/>
          <w:color w:val="000000" w:themeColor="text1"/>
          <w:sz w:val="26"/>
          <w:szCs w:val="26"/>
        </w:rPr>
        <w:t>Notice of an application for the protection of</w:t>
      </w:r>
      <w:r>
        <w:rPr>
          <w:b/>
          <w:color w:val="000000" w:themeColor="text1"/>
          <w:sz w:val="26"/>
          <w:szCs w:val="26"/>
        </w:rPr>
        <w:t xml:space="preserve"> a specified </w:t>
      </w:r>
      <w:r w:rsidRPr="00237FF1">
        <w:rPr>
          <w:b/>
          <w:color w:val="000000" w:themeColor="text1"/>
          <w:sz w:val="26"/>
          <w:szCs w:val="26"/>
        </w:rPr>
        <w:t>area</w:t>
      </w:r>
      <w:r>
        <w:rPr>
          <w:b/>
          <w:color w:val="000000" w:themeColor="text1"/>
          <w:sz w:val="26"/>
          <w:szCs w:val="26"/>
        </w:rPr>
        <w:t xml:space="preserve">, being the area known as area known as </w:t>
      </w:r>
      <w:proofErr w:type="spellStart"/>
      <w:r>
        <w:rPr>
          <w:b/>
          <w:color w:val="000000" w:themeColor="text1"/>
          <w:sz w:val="26"/>
          <w:szCs w:val="26"/>
        </w:rPr>
        <w:t>Pulyku</w:t>
      </w:r>
      <w:proofErr w:type="spellEnd"/>
      <w:r>
        <w:rPr>
          <w:b/>
          <w:color w:val="000000" w:themeColor="text1"/>
          <w:sz w:val="26"/>
          <w:szCs w:val="26"/>
        </w:rPr>
        <w:t xml:space="preserve"> (</w:t>
      </w:r>
      <w:proofErr w:type="spellStart"/>
      <w:r>
        <w:rPr>
          <w:b/>
          <w:color w:val="000000" w:themeColor="text1"/>
          <w:sz w:val="26"/>
          <w:szCs w:val="26"/>
        </w:rPr>
        <w:t>Booylgoo</w:t>
      </w:r>
      <w:proofErr w:type="spellEnd"/>
      <w:r>
        <w:rPr>
          <w:b/>
          <w:color w:val="000000" w:themeColor="text1"/>
          <w:sz w:val="26"/>
          <w:szCs w:val="26"/>
        </w:rPr>
        <w:t xml:space="preserve"> Range), near Sandstone, Western Australia</w:t>
      </w:r>
    </w:p>
    <w:p w14:paraId="0BFEFE8A" w14:textId="77777777" w:rsidR="00EA5986" w:rsidRPr="00BF2F01" w:rsidRDefault="00EA5986" w:rsidP="00EA5986">
      <w:pPr>
        <w:spacing w:after="120"/>
        <w:jc w:val="center"/>
        <w:rPr>
          <w:b/>
          <w:color w:val="000000" w:themeColor="text1"/>
          <w:sz w:val="26"/>
          <w:szCs w:val="26"/>
        </w:rPr>
      </w:pPr>
      <w:r w:rsidRPr="00BF2F01">
        <w:rPr>
          <w:b/>
          <w:color w:val="000000" w:themeColor="text1"/>
          <w:sz w:val="26"/>
          <w:szCs w:val="26"/>
        </w:rPr>
        <w:t xml:space="preserve">Invitation to make </w:t>
      </w:r>
      <w:proofErr w:type="gramStart"/>
      <w:r w:rsidRPr="00BF2F01">
        <w:rPr>
          <w:b/>
          <w:color w:val="000000" w:themeColor="text1"/>
          <w:sz w:val="26"/>
          <w:szCs w:val="26"/>
        </w:rPr>
        <w:t>representations</w:t>
      </w:r>
      <w:proofErr w:type="gramEnd"/>
    </w:p>
    <w:p w14:paraId="5077B2C6" w14:textId="77777777" w:rsidR="00EA5986" w:rsidRPr="00BF4F14" w:rsidRDefault="00EA5986" w:rsidP="00EA5986">
      <w:pPr>
        <w:jc w:val="both"/>
        <w:rPr>
          <w:color w:val="000000" w:themeColor="text1"/>
        </w:rPr>
      </w:pPr>
      <w:r w:rsidRPr="00BF4F14">
        <w:rPr>
          <w:color w:val="000000" w:themeColor="text1"/>
        </w:rPr>
        <w:t xml:space="preserve">I, </w:t>
      </w:r>
      <w:r>
        <w:rPr>
          <w:color w:val="000000" w:themeColor="text1"/>
        </w:rPr>
        <w:t>Andrew Cawthorn</w:t>
      </w:r>
      <w:r w:rsidRPr="00BF4F14">
        <w:rPr>
          <w:color w:val="000000" w:themeColor="text1"/>
        </w:rPr>
        <w:t>, hereby give notice as follows:</w:t>
      </w:r>
    </w:p>
    <w:p w14:paraId="1B122A14" w14:textId="77777777" w:rsidR="00EA5986" w:rsidRPr="00BF4F14" w:rsidRDefault="00EA5986" w:rsidP="00EA5986">
      <w:pPr>
        <w:jc w:val="both"/>
        <w:rPr>
          <w:color w:val="FF0000"/>
        </w:rPr>
      </w:pPr>
      <w:r w:rsidRPr="00BF4F14">
        <w:rPr>
          <w:color w:val="000000" w:themeColor="text1"/>
        </w:rPr>
        <w:t xml:space="preserve">The </w:t>
      </w:r>
      <w:r w:rsidRPr="00195123">
        <w:rPr>
          <w:color w:val="000000" w:themeColor="text1"/>
        </w:rPr>
        <w:t>Minister for the Environment and Water (</w:t>
      </w:r>
      <w:r w:rsidRPr="00195123">
        <w:rPr>
          <w:b/>
          <w:bCs/>
          <w:color w:val="000000" w:themeColor="text1"/>
        </w:rPr>
        <w:t>minister</w:t>
      </w:r>
      <w:r w:rsidRPr="00195123">
        <w:rPr>
          <w:color w:val="000000" w:themeColor="text1"/>
        </w:rPr>
        <w:t>),</w:t>
      </w:r>
      <w:r w:rsidRPr="00BF4F14">
        <w:rPr>
          <w:color w:val="000000" w:themeColor="text1"/>
        </w:rPr>
        <w:t xml:space="preserve"> responsible for the </w:t>
      </w:r>
      <w:r w:rsidRPr="00BF4F14">
        <w:rPr>
          <w:i/>
          <w:color w:val="000000" w:themeColor="text1"/>
        </w:rPr>
        <w:t xml:space="preserve">Aboriginal and Torres Strait Islander Heritage Protection Act 1984 </w:t>
      </w:r>
      <w:r w:rsidRPr="00BF4F14">
        <w:rPr>
          <w:color w:val="000000" w:themeColor="text1"/>
        </w:rPr>
        <w:t>(</w:t>
      </w:r>
      <w:proofErr w:type="spellStart"/>
      <w:r w:rsidRPr="00BF4F14">
        <w:rPr>
          <w:color w:val="000000" w:themeColor="text1"/>
        </w:rPr>
        <w:t>Cth</w:t>
      </w:r>
      <w:proofErr w:type="spellEnd"/>
      <w:r w:rsidRPr="00BF4F14">
        <w:rPr>
          <w:color w:val="000000" w:themeColor="text1"/>
        </w:rPr>
        <w:t>)</w:t>
      </w:r>
      <w:r w:rsidRPr="00BF4F14">
        <w:rPr>
          <w:i/>
          <w:color w:val="000000" w:themeColor="text1"/>
        </w:rPr>
        <w:t xml:space="preserve"> </w:t>
      </w:r>
      <w:r w:rsidRPr="00BF4F14">
        <w:rPr>
          <w:color w:val="000000" w:themeColor="text1"/>
        </w:rPr>
        <w:t>(</w:t>
      </w:r>
      <w:r w:rsidRPr="00BF4F14">
        <w:rPr>
          <w:b/>
          <w:color w:val="000000" w:themeColor="text1"/>
        </w:rPr>
        <w:t>Act</w:t>
      </w:r>
      <w:r w:rsidRPr="00BF4F14">
        <w:rPr>
          <w:color w:val="000000" w:themeColor="text1"/>
        </w:rPr>
        <w:t>), has received an application made under section 10 of the Act</w:t>
      </w:r>
      <w:r>
        <w:rPr>
          <w:color w:val="000000" w:themeColor="text1"/>
        </w:rPr>
        <w:t xml:space="preserve">. The application is </w:t>
      </w:r>
      <w:r w:rsidRPr="00BF4F14">
        <w:rPr>
          <w:color w:val="000000" w:themeColor="text1"/>
        </w:rPr>
        <w:t xml:space="preserve">seeking </w:t>
      </w:r>
      <w:r>
        <w:rPr>
          <w:color w:val="000000" w:themeColor="text1"/>
        </w:rPr>
        <w:t xml:space="preserve">long term preservation and </w:t>
      </w:r>
      <w:r w:rsidRPr="00BF4F14">
        <w:rPr>
          <w:color w:val="000000" w:themeColor="text1"/>
        </w:rPr>
        <w:t>protect</w:t>
      </w:r>
      <w:r>
        <w:rPr>
          <w:color w:val="000000" w:themeColor="text1"/>
        </w:rPr>
        <w:t>ion of a significant Aboriginal area</w:t>
      </w:r>
      <w:r w:rsidRPr="00BF4F14">
        <w:rPr>
          <w:color w:val="000000" w:themeColor="text1"/>
        </w:rPr>
        <w:t xml:space="preserve"> being the area known as</w:t>
      </w:r>
      <w:r w:rsidRPr="002611C7">
        <w:rPr>
          <w:color w:val="000000" w:themeColor="text1"/>
        </w:rPr>
        <w:t xml:space="preserve"> </w:t>
      </w:r>
      <w:proofErr w:type="spellStart"/>
      <w:r w:rsidRPr="002611C7">
        <w:rPr>
          <w:color w:val="000000" w:themeColor="text1"/>
        </w:rPr>
        <w:t>Pulyku</w:t>
      </w:r>
      <w:proofErr w:type="spellEnd"/>
      <w:r w:rsidRPr="002611C7">
        <w:rPr>
          <w:color w:val="000000" w:themeColor="text1"/>
        </w:rPr>
        <w:t xml:space="preserve"> (</w:t>
      </w:r>
      <w:proofErr w:type="spellStart"/>
      <w:r w:rsidRPr="002611C7">
        <w:rPr>
          <w:color w:val="000000" w:themeColor="text1"/>
        </w:rPr>
        <w:t>Booylgoo</w:t>
      </w:r>
      <w:proofErr w:type="spellEnd"/>
      <w:r w:rsidRPr="002611C7">
        <w:rPr>
          <w:color w:val="000000" w:themeColor="text1"/>
        </w:rPr>
        <w:t xml:space="preserve"> Range), near Sandstone, Western Australia</w:t>
      </w:r>
      <w:r w:rsidRPr="00BF4F14">
        <w:rPr>
          <w:color w:val="000000" w:themeColor="text1"/>
        </w:rPr>
        <w:t xml:space="preserve">. The </w:t>
      </w:r>
      <w:r>
        <w:rPr>
          <w:color w:val="000000" w:themeColor="text1"/>
        </w:rPr>
        <w:t>m</w:t>
      </w:r>
      <w:r w:rsidRPr="00BF4F14">
        <w:rPr>
          <w:color w:val="000000" w:themeColor="text1"/>
        </w:rPr>
        <w:t xml:space="preserve">inister has appointed me to provide a report to </w:t>
      </w:r>
      <w:r>
        <w:rPr>
          <w:color w:val="000000" w:themeColor="text1"/>
        </w:rPr>
        <w:t>the minister</w:t>
      </w:r>
      <w:r w:rsidRPr="00BF4F14">
        <w:rPr>
          <w:color w:val="000000" w:themeColor="text1"/>
        </w:rPr>
        <w:t xml:space="preserve"> under </w:t>
      </w:r>
      <w:r>
        <w:rPr>
          <w:color w:val="000000" w:themeColor="text1"/>
        </w:rPr>
        <w:t>paragraph</w:t>
      </w:r>
      <w:r w:rsidRPr="00BF4F14">
        <w:rPr>
          <w:color w:val="000000" w:themeColor="text1"/>
        </w:rPr>
        <w:t xml:space="preserve"> 10(1)(c) of the Act.</w:t>
      </w:r>
      <w:r w:rsidRPr="00BF4F14">
        <w:rPr>
          <w:color w:val="FF0000"/>
        </w:rPr>
        <w:t xml:space="preserve"> </w:t>
      </w:r>
    </w:p>
    <w:p w14:paraId="22E4F412" w14:textId="77777777" w:rsidR="00EA5986" w:rsidRPr="00BF4F14" w:rsidRDefault="00EA5986" w:rsidP="00EA5986">
      <w:pPr>
        <w:pStyle w:val="Heading3"/>
        <w:spacing w:before="0" w:after="200"/>
        <w:jc w:val="both"/>
        <w:rPr>
          <w:rFonts w:asciiTheme="minorHAnsi" w:hAnsiTheme="minorHAnsi"/>
          <w:color w:val="000000" w:themeColor="text1"/>
        </w:rPr>
      </w:pPr>
      <w:r w:rsidRPr="00BF4F14">
        <w:rPr>
          <w:rFonts w:asciiTheme="minorHAnsi" w:hAnsiTheme="minorHAnsi"/>
          <w:color w:val="000000" w:themeColor="text1"/>
        </w:rPr>
        <w:t>The Applicant</w:t>
      </w:r>
      <w:r>
        <w:rPr>
          <w:rFonts w:asciiTheme="minorHAnsi" w:hAnsiTheme="minorHAnsi"/>
          <w:color w:val="000000" w:themeColor="text1"/>
        </w:rPr>
        <w:t>s</w:t>
      </w:r>
    </w:p>
    <w:p w14:paraId="44740FDC" w14:textId="77777777" w:rsidR="00EA5986" w:rsidRPr="007953FB" w:rsidRDefault="00EA5986" w:rsidP="00EA5986">
      <w:pPr>
        <w:jc w:val="both"/>
      </w:pPr>
      <w:r w:rsidRPr="01F8DFFD">
        <w:rPr>
          <w:color w:val="000000" w:themeColor="text1"/>
        </w:rPr>
        <w:t>The application is made by</w:t>
      </w:r>
      <w:r>
        <w:t xml:space="preserve"> </w:t>
      </w:r>
      <w:proofErr w:type="spellStart"/>
      <w:r>
        <w:t>Tjiwarl</w:t>
      </w:r>
      <w:proofErr w:type="spellEnd"/>
      <w:r>
        <w:t xml:space="preserve"> Traditional Owners, Mr Kado Muir, Mr Michael Tullock and Mr Brett Lewis </w:t>
      </w:r>
      <w:r w:rsidRPr="01F8DFFD">
        <w:rPr>
          <w:color w:val="000000" w:themeColor="text1"/>
        </w:rPr>
        <w:t>(</w:t>
      </w:r>
      <w:r w:rsidRPr="01F8DFFD">
        <w:rPr>
          <w:b/>
          <w:bCs/>
          <w:color w:val="000000" w:themeColor="text1"/>
        </w:rPr>
        <w:t>applicants</w:t>
      </w:r>
      <w:r w:rsidRPr="01F8DFFD">
        <w:rPr>
          <w:color w:val="000000" w:themeColor="text1"/>
        </w:rPr>
        <w:t xml:space="preserve">). </w:t>
      </w:r>
    </w:p>
    <w:p w14:paraId="3391430A" w14:textId="77777777" w:rsidR="00EA5986" w:rsidRPr="00BF4F14" w:rsidRDefault="00EA5986" w:rsidP="00EA5986">
      <w:pPr>
        <w:pStyle w:val="Heading3"/>
        <w:spacing w:before="0" w:after="200"/>
        <w:jc w:val="both"/>
        <w:rPr>
          <w:rFonts w:asciiTheme="minorHAnsi" w:hAnsiTheme="minorHAnsi"/>
          <w:color w:val="000000" w:themeColor="text1"/>
        </w:rPr>
      </w:pPr>
      <w:r w:rsidRPr="00BF4F14">
        <w:rPr>
          <w:rFonts w:asciiTheme="minorHAnsi" w:hAnsiTheme="minorHAnsi"/>
          <w:color w:val="000000" w:themeColor="text1"/>
        </w:rPr>
        <w:t>The purpose of the application</w:t>
      </w:r>
    </w:p>
    <w:p w14:paraId="66C5A17C" w14:textId="77777777" w:rsidR="00EA5986" w:rsidRDefault="00EA5986" w:rsidP="00EA5986">
      <w:pPr>
        <w:jc w:val="both"/>
        <w:rPr>
          <w:color w:val="000000" w:themeColor="text1"/>
        </w:rPr>
      </w:pPr>
      <w:r w:rsidRPr="00BF4F14">
        <w:rPr>
          <w:color w:val="000000" w:themeColor="text1"/>
        </w:rPr>
        <w:t xml:space="preserve">The application seeks the </w:t>
      </w:r>
      <w:r>
        <w:rPr>
          <w:color w:val="000000" w:themeColor="text1"/>
        </w:rPr>
        <w:t xml:space="preserve">long-term </w:t>
      </w:r>
      <w:r w:rsidRPr="00BF4F14">
        <w:rPr>
          <w:color w:val="000000" w:themeColor="text1"/>
        </w:rPr>
        <w:t>preservation or protection of the area specified in the application</w:t>
      </w:r>
      <w:r>
        <w:rPr>
          <w:color w:val="000000" w:themeColor="text1"/>
        </w:rPr>
        <w:t xml:space="preserve"> (the </w:t>
      </w:r>
      <w:r w:rsidRPr="002A4CD6">
        <w:rPr>
          <w:b/>
          <w:bCs/>
          <w:color w:val="000000" w:themeColor="text1"/>
        </w:rPr>
        <w:t>specified area</w:t>
      </w:r>
      <w:r>
        <w:rPr>
          <w:color w:val="000000" w:themeColor="text1"/>
        </w:rPr>
        <w:t xml:space="preserve">). This area is </w:t>
      </w:r>
      <w:r w:rsidRPr="00BF4F14">
        <w:rPr>
          <w:color w:val="000000" w:themeColor="text1"/>
        </w:rPr>
        <w:t>depicted in Figure 1</w:t>
      </w:r>
      <w:r>
        <w:rPr>
          <w:color w:val="000000" w:themeColor="text1"/>
        </w:rPr>
        <w:t xml:space="preserve">. </w:t>
      </w:r>
      <w:r w:rsidRPr="00BF4F14">
        <w:rPr>
          <w:color w:val="000000" w:themeColor="text1"/>
        </w:rPr>
        <w:t xml:space="preserve">Section 10 of the Act </w:t>
      </w:r>
      <w:r>
        <w:rPr>
          <w:color w:val="000000" w:themeColor="text1"/>
        </w:rPr>
        <w:t>confers power on</w:t>
      </w:r>
      <w:r w:rsidRPr="00BF4F14">
        <w:rPr>
          <w:color w:val="000000" w:themeColor="text1"/>
        </w:rPr>
        <w:t xml:space="preserve"> the </w:t>
      </w:r>
      <w:r>
        <w:rPr>
          <w:color w:val="000000" w:themeColor="text1"/>
        </w:rPr>
        <w:t>m</w:t>
      </w:r>
      <w:r w:rsidRPr="00BF4F14">
        <w:rPr>
          <w:color w:val="000000" w:themeColor="text1"/>
        </w:rPr>
        <w:t xml:space="preserve">inister to make a declaration to preserve and protect </w:t>
      </w:r>
      <w:r>
        <w:rPr>
          <w:color w:val="000000" w:themeColor="text1"/>
        </w:rPr>
        <w:t xml:space="preserve">an </w:t>
      </w:r>
      <w:r w:rsidRPr="00BF4F14">
        <w:rPr>
          <w:color w:val="000000" w:themeColor="text1"/>
        </w:rPr>
        <w:t>area</w:t>
      </w:r>
      <w:r>
        <w:rPr>
          <w:color w:val="000000" w:themeColor="text1"/>
        </w:rPr>
        <w:t xml:space="preserve"> where the m</w:t>
      </w:r>
      <w:r w:rsidRPr="00BF4F14">
        <w:rPr>
          <w:color w:val="000000" w:themeColor="text1"/>
        </w:rPr>
        <w:t xml:space="preserve">inister is satisfied that </w:t>
      </w:r>
      <w:r>
        <w:rPr>
          <w:color w:val="000000" w:themeColor="text1"/>
        </w:rPr>
        <w:t>it is a ‘</w:t>
      </w:r>
      <w:r w:rsidRPr="00BF4F14">
        <w:rPr>
          <w:color w:val="000000" w:themeColor="text1"/>
        </w:rPr>
        <w:t>significant Aboriginal area</w:t>
      </w:r>
      <w:r>
        <w:rPr>
          <w:color w:val="000000" w:themeColor="text1"/>
        </w:rPr>
        <w:t>’</w:t>
      </w:r>
      <w:r w:rsidRPr="00BF4F14">
        <w:rPr>
          <w:color w:val="000000" w:themeColor="text1"/>
        </w:rPr>
        <w:t xml:space="preserve"> under threat of injury or desecration. </w:t>
      </w:r>
      <w:r>
        <w:rPr>
          <w:color w:val="000000" w:themeColor="text1"/>
        </w:rPr>
        <w:t>A</w:t>
      </w:r>
      <w:r w:rsidRPr="00BF4F14">
        <w:rPr>
          <w:color w:val="000000" w:themeColor="text1"/>
        </w:rPr>
        <w:t xml:space="preserve"> ‘significant Aboriginal area’ </w:t>
      </w:r>
      <w:r>
        <w:rPr>
          <w:color w:val="000000" w:themeColor="text1"/>
        </w:rPr>
        <w:t xml:space="preserve">is </w:t>
      </w:r>
      <w:r w:rsidRPr="00BF4F14">
        <w:rPr>
          <w:color w:val="000000" w:themeColor="text1"/>
        </w:rPr>
        <w:t xml:space="preserve">an area </w:t>
      </w:r>
      <w:r>
        <w:rPr>
          <w:color w:val="000000" w:themeColor="text1"/>
        </w:rPr>
        <w:t xml:space="preserve">of land or water in Australia </w:t>
      </w:r>
      <w:r w:rsidRPr="00BF4F14">
        <w:rPr>
          <w:color w:val="000000" w:themeColor="text1"/>
        </w:rPr>
        <w:t xml:space="preserve">that is </w:t>
      </w:r>
      <w:r>
        <w:rPr>
          <w:color w:val="000000" w:themeColor="text1"/>
        </w:rPr>
        <w:t>‘</w:t>
      </w:r>
      <w:r w:rsidRPr="00BF4F14">
        <w:rPr>
          <w:color w:val="000000" w:themeColor="text1"/>
        </w:rPr>
        <w:t>of particular significance to Aboriginal</w:t>
      </w:r>
      <w:r>
        <w:rPr>
          <w:color w:val="000000" w:themeColor="text1"/>
        </w:rPr>
        <w:t>s</w:t>
      </w:r>
      <w:r w:rsidRPr="00BF4F14">
        <w:rPr>
          <w:color w:val="000000" w:themeColor="text1"/>
        </w:rPr>
        <w:t xml:space="preserve"> in accordance with Aboriginal tradition</w:t>
      </w:r>
      <w:r>
        <w:rPr>
          <w:color w:val="000000" w:themeColor="text1"/>
        </w:rPr>
        <w:t>’</w:t>
      </w:r>
      <w:r w:rsidRPr="00BF4F14">
        <w:rPr>
          <w:color w:val="000000" w:themeColor="text1"/>
        </w:rPr>
        <w:t xml:space="preserve">. </w:t>
      </w:r>
      <w:r w:rsidRPr="009F1D02">
        <w:t>‘</w:t>
      </w:r>
      <w:r w:rsidRPr="00B102D3">
        <w:t>Aboriginal tradition</w:t>
      </w:r>
      <w:r w:rsidRPr="009F1D02">
        <w:t>’</w:t>
      </w:r>
      <w:r>
        <w:t xml:space="preserve"> is the ‘</w:t>
      </w:r>
      <w:r w:rsidRPr="009F1D02">
        <w:t>body of traditions, observances, customs and beliefs of Aboriginals generally or of a particular community or group of Aboriginals, and includes any such traditions,</w:t>
      </w:r>
      <w:r>
        <w:t xml:space="preserve"> </w:t>
      </w:r>
      <w:r w:rsidRPr="009F1D02">
        <w:t>observances,</w:t>
      </w:r>
      <w:r>
        <w:t xml:space="preserve"> </w:t>
      </w:r>
      <w:r w:rsidRPr="009F1D02">
        <w:t xml:space="preserve">customs or beliefs relating to particular persons, areas, objects or </w:t>
      </w:r>
      <w:proofErr w:type="gramStart"/>
      <w:r w:rsidRPr="009F1D02">
        <w:t>relationships</w:t>
      </w:r>
      <w:r>
        <w:t>’</w:t>
      </w:r>
      <w:proofErr w:type="gramEnd"/>
      <w:r>
        <w:t>.</w:t>
      </w:r>
    </w:p>
    <w:p w14:paraId="46D0FD7E" w14:textId="77777777" w:rsidR="00EA5986" w:rsidRPr="00BF4F14" w:rsidRDefault="00EA5986" w:rsidP="00EA5986">
      <w:pPr>
        <w:pStyle w:val="Heading3"/>
        <w:spacing w:before="0" w:after="200"/>
        <w:jc w:val="both"/>
        <w:rPr>
          <w:rFonts w:asciiTheme="minorHAnsi" w:hAnsiTheme="minorHAnsi"/>
          <w:color w:val="000000" w:themeColor="text1"/>
        </w:rPr>
      </w:pPr>
      <w:r w:rsidRPr="00BF4F14">
        <w:rPr>
          <w:rFonts w:asciiTheme="minorHAnsi" w:hAnsiTheme="minorHAnsi"/>
          <w:color w:val="000000" w:themeColor="text1"/>
        </w:rPr>
        <w:t>Matters the report is required to deal with</w:t>
      </w:r>
    </w:p>
    <w:p w14:paraId="5A99B6BE" w14:textId="77777777" w:rsidR="00EA5986" w:rsidRPr="00BF4F14" w:rsidRDefault="00EA5986" w:rsidP="00EA5986">
      <w:pPr>
        <w:jc w:val="both"/>
        <w:rPr>
          <w:color w:val="000000" w:themeColor="text1"/>
        </w:rPr>
      </w:pPr>
      <w:r w:rsidRPr="00BF4F14">
        <w:rPr>
          <w:color w:val="000000" w:themeColor="text1"/>
        </w:rPr>
        <w:t xml:space="preserve">The </w:t>
      </w:r>
      <w:r>
        <w:rPr>
          <w:color w:val="000000" w:themeColor="text1"/>
        </w:rPr>
        <w:t>m</w:t>
      </w:r>
      <w:r w:rsidRPr="00BF4F14">
        <w:rPr>
          <w:color w:val="000000" w:themeColor="text1"/>
        </w:rPr>
        <w:t xml:space="preserve">inister </w:t>
      </w:r>
      <w:r>
        <w:rPr>
          <w:color w:val="000000" w:themeColor="text1"/>
        </w:rPr>
        <w:t>must</w:t>
      </w:r>
      <w:r w:rsidRPr="00BF4F14">
        <w:rPr>
          <w:color w:val="000000" w:themeColor="text1"/>
        </w:rPr>
        <w:t xml:space="preserve"> consider my report </w:t>
      </w:r>
      <w:r>
        <w:rPr>
          <w:color w:val="000000" w:themeColor="text1"/>
        </w:rPr>
        <w:t xml:space="preserve">pursuant to </w:t>
      </w:r>
      <w:r w:rsidRPr="00BF4F14">
        <w:rPr>
          <w:color w:val="000000" w:themeColor="text1"/>
        </w:rPr>
        <w:t xml:space="preserve">section 10 of the Act in relation to the </w:t>
      </w:r>
      <w:r>
        <w:rPr>
          <w:color w:val="000000" w:themeColor="text1"/>
        </w:rPr>
        <w:t>specified area</w:t>
      </w:r>
      <w:r w:rsidRPr="00BF4F14">
        <w:rPr>
          <w:color w:val="000000" w:themeColor="text1"/>
        </w:rPr>
        <w:t xml:space="preserve"> before deciding whether to make a declaration under section 10 of the Act. Under </w:t>
      </w:r>
      <w:r>
        <w:rPr>
          <w:color w:val="000000" w:themeColor="text1"/>
        </w:rPr>
        <w:t>sub</w:t>
      </w:r>
      <w:r w:rsidRPr="00BF4F14">
        <w:rPr>
          <w:color w:val="000000" w:themeColor="text1"/>
        </w:rPr>
        <w:t>section 10(4) of the Act, the report is required to deal with the following matters:</w:t>
      </w:r>
    </w:p>
    <w:p w14:paraId="56048D69" w14:textId="77777777" w:rsidR="00EA5986" w:rsidRPr="00BF4F14" w:rsidRDefault="00EA5986" w:rsidP="00EA5986">
      <w:pPr>
        <w:numPr>
          <w:ilvl w:val="0"/>
          <w:numId w:val="5"/>
        </w:numPr>
        <w:spacing w:after="200" w:line="276" w:lineRule="auto"/>
        <w:ind w:hanging="573"/>
        <w:jc w:val="both"/>
        <w:rPr>
          <w:color w:val="000000" w:themeColor="text1"/>
          <w:lang w:val="en-US"/>
        </w:rPr>
      </w:pPr>
      <w:r w:rsidRPr="00BF4F14">
        <w:rPr>
          <w:color w:val="000000" w:themeColor="text1"/>
          <w:lang w:val="en-US"/>
        </w:rPr>
        <w:t xml:space="preserve">the particular significance of the area to </w:t>
      </w:r>
      <w:proofErr w:type="gramStart"/>
      <w:r w:rsidRPr="00BF4F14">
        <w:rPr>
          <w:color w:val="000000" w:themeColor="text1"/>
          <w:lang w:val="en-US"/>
        </w:rPr>
        <w:t>Aboriginal</w:t>
      </w:r>
      <w:r>
        <w:rPr>
          <w:color w:val="000000" w:themeColor="text1"/>
          <w:lang w:val="en-US"/>
        </w:rPr>
        <w:t>s</w:t>
      </w:r>
      <w:r w:rsidRPr="00BF4F14">
        <w:rPr>
          <w:color w:val="000000" w:themeColor="text1"/>
          <w:lang w:val="en-US"/>
        </w:rPr>
        <w:t>;</w:t>
      </w:r>
      <w:proofErr w:type="gramEnd"/>
    </w:p>
    <w:p w14:paraId="07B1CEB0" w14:textId="77777777" w:rsidR="00EA5986" w:rsidRPr="00BF4F14" w:rsidRDefault="00EA5986" w:rsidP="00EA5986">
      <w:pPr>
        <w:numPr>
          <w:ilvl w:val="0"/>
          <w:numId w:val="5"/>
        </w:numPr>
        <w:spacing w:after="200" w:line="276" w:lineRule="auto"/>
        <w:ind w:hanging="573"/>
        <w:jc w:val="both"/>
        <w:rPr>
          <w:color w:val="000000" w:themeColor="text1"/>
          <w:lang w:val="en-US"/>
        </w:rPr>
      </w:pPr>
      <w:r w:rsidRPr="00BF4F14">
        <w:rPr>
          <w:color w:val="000000" w:themeColor="text1"/>
          <w:lang w:val="en-US"/>
        </w:rPr>
        <w:t xml:space="preserve">the nature and extent of the threat of injury to, or desecration of, the </w:t>
      </w:r>
      <w:proofErr w:type="gramStart"/>
      <w:r w:rsidRPr="00BF4F14">
        <w:rPr>
          <w:color w:val="000000" w:themeColor="text1"/>
          <w:lang w:val="en-US"/>
        </w:rPr>
        <w:t>area;</w:t>
      </w:r>
      <w:proofErr w:type="gramEnd"/>
    </w:p>
    <w:p w14:paraId="4B52EBBC" w14:textId="77777777" w:rsidR="00EA5986" w:rsidRPr="00BF4F14" w:rsidRDefault="00EA5986" w:rsidP="00EA5986">
      <w:pPr>
        <w:numPr>
          <w:ilvl w:val="0"/>
          <w:numId w:val="4"/>
        </w:numPr>
        <w:spacing w:after="200" w:line="276" w:lineRule="auto"/>
        <w:ind w:hanging="573"/>
        <w:jc w:val="both"/>
        <w:rPr>
          <w:color w:val="000000" w:themeColor="text1"/>
          <w:lang w:val="en-US"/>
        </w:rPr>
      </w:pPr>
      <w:r w:rsidRPr="00BF4F14">
        <w:rPr>
          <w:color w:val="000000" w:themeColor="text1"/>
          <w:lang w:val="en-US"/>
        </w:rPr>
        <w:t xml:space="preserve">the extent of the area that should be </w:t>
      </w:r>
      <w:proofErr w:type="gramStart"/>
      <w:r w:rsidRPr="00BF4F14">
        <w:rPr>
          <w:color w:val="000000" w:themeColor="text1"/>
          <w:lang w:val="en-US"/>
        </w:rPr>
        <w:t>protected;</w:t>
      </w:r>
      <w:proofErr w:type="gramEnd"/>
    </w:p>
    <w:p w14:paraId="472A752C" w14:textId="77777777" w:rsidR="00EA5986" w:rsidRPr="00BF4F14" w:rsidRDefault="00EA5986" w:rsidP="00EA5986">
      <w:pPr>
        <w:numPr>
          <w:ilvl w:val="0"/>
          <w:numId w:val="4"/>
        </w:numPr>
        <w:spacing w:after="200" w:line="276" w:lineRule="auto"/>
        <w:ind w:hanging="573"/>
        <w:jc w:val="both"/>
        <w:rPr>
          <w:color w:val="000000" w:themeColor="text1"/>
          <w:lang w:val="en-US"/>
        </w:rPr>
      </w:pPr>
      <w:r w:rsidRPr="00BF4F14">
        <w:rPr>
          <w:color w:val="000000" w:themeColor="text1"/>
          <w:lang w:val="en-US"/>
        </w:rPr>
        <w:t xml:space="preserve">the prohibitions and restrictions to be made with respect to the </w:t>
      </w:r>
      <w:proofErr w:type="gramStart"/>
      <w:r w:rsidRPr="00BF4F14">
        <w:rPr>
          <w:color w:val="000000" w:themeColor="text1"/>
          <w:lang w:val="en-US"/>
        </w:rPr>
        <w:t>area;</w:t>
      </w:r>
      <w:proofErr w:type="gramEnd"/>
    </w:p>
    <w:p w14:paraId="42DDE5B6" w14:textId="77777777" w:rsidR="00EA5986" w:rsidRPr="00BF4F14" w:rsidRDefault="00EA5986" w:rsidP="00EA5986">
      <w:pPr>
        <w:numPr>
          <w:ilvl w:val="0"/>
          <w:numId w:val="4"/>
        </w:numPr>
        <w:spacing w:after="200" w:line="276" w:lineRule="auto"/>
        <w:ind w:hanging="573"/>
        <w:jc w:val="both"/>
        <w:rPr>
          <w:color w:val="000000" w:themeColor="text1"/>
          <w:lang w:val="en-US"/>
        </w:rPr>
      </w:pPr>
      <w:r w:rsidRPr="00BF4F14">
        <w:rPr>
          <w:color w:val="000000" w:themeColor="text1"/>
          <w:lang w:val="en-US"/>
        </w:rPr>
        <w:lastRenderedPageBreak/>
        <w:t xml:space="preserve">the effects the making of a declaration may have on the proprietary or pecuniary interests of persons other than the </w:t>
      </w:r>
      <w:r>
        <w:rPr>
          <w:color w:val="000000" w:themeColor="text1"/>
          <w:lang w:val="en-US"/>
        </w:rPr>
        <w:t xml:space="preserve">Aboriginal or Aboriginals who made the application, or on whose behalf the application is </w:t>
      </w:r>
      <w:proofErr w:type="gramStart"/>
      <w:r>
        <w:rPr>
          <w:color w:val="000000" w:themeColor="text1"/>
          <w:lang w:val="en-US"/>
        </w:rPr>
        <w:t>made</w:t>
      </w:r>
      <w:r w:rsidRPr="00BF4F14">
        <w:rPr>
          <w:color w:val="000000" w:themeColor="text1"/>
          <w:lang w:val="en-US"/>
        </w:rPr>
        <w:t>;</w:t>
      </w:r>
      <w:proofErr w:type="gramEnd"/>
    </w:p>
    <w:p w14:paraId="55C250F5" w14:textId="77777777" w:rsidR="00EA5986" w:rsidRPr="00BF4F14" w:rsidRDefault="00EA5986" w:rsidP="00EA5986">
      <w:pPr>
        <w:numPr>
          <w:ilvl w:val="0"/>
          <w:numId w:val="4"/>
        </w:numPr>
        <w:spacing w:after="200" w:line="276" w:lineRule="auto"/>
        <w:ind w:hanging="573"/>
        <w:jc w:val="both"/>
        <w:rPr>
          <w:color w:val="000000" w:themeColor="text1"/>
          <w:lang w:val="en-US"/>
        </w:rPr>
      </w:pPr>
      <w:r w:rsidRPr="00BF4F14">
        <w:rPr>
          <w:color w:val="000000" w:themeColor="text1"/>
          <w:lang w:val="en-US"/>
        </w:rPr>
        <w:t xml:space="preserve">the duration of any </w:t>
      </w:r>
      <w:proofErr w:type="gramStart"/>
      <w:r w:rsidRPr="00BF4F14">
        <w:rPr>
          <w:color w:val="000000" w:themeColor="text1"/>
          <w:lang w:val="en-US"/>
        </w:rPr>
        <w:t>declaration;</w:t>
      </w:r>
      <w:proofErr w:type="gramEnd"/>
      <w:r w:rsidRPr="00BF4F14">
        <w:rPr>
          <w:color w:val="000000" w:themeColor="text1"/>
          <w:lang w:val="en-US"/>
        </w:rPr>
        <w:t xml:space="preserve"> </w:t>
      </w:r>
    </w:p>
    <w:p w14:paraId="1AA898AE" w14:textId="77777777" w:rsidR="00EA5986" w:rsidRDefault="00EA5986" w:rsidP="00EA5986">
      <w:pPr>
        <w:numPr>
          <w:ilvl w:val="0"/>
          <w:numId w:val="4"/>
        </w:numPr>
        <w:spacing w:after="200" w:line="276" w:lineRule="auto"/>
        <w:ind w:hanging="573"/>
        <w:jc w:val="both"/>
        <w:rPr>
          <w:color w:val="000000" w:themeColor="text1"/>
          <w:lang w:val="en-US"/>
        </w:rPr>
      </w:pPr>
      <w:r w:rsidRPr="00BF4F14">
        <w:rPr>
          <w:color w:val="000000" w:themeColor="text1"/>
          <w:lang w:val="en-US"/>
        </w:rPr>
        <w:t xml:space="preserve">the extent to which the area is or may be protected by or under a law of </w:t>
      </w:r>
      <w:r>
        <w:rPr>
          <w:color w:val="000000" w:themeColor="text1"/>
          <w:lang w:val="en-US"/>
        </w:rPr>
        <w:t>a</w:t>
      </w:r>
      <w:r w:rsidRPr="00BF4F14">
        <w:rPr>
          <w:color w:val="000000" w:themeColor="text1"/>
          <w:lang w:val="en-US"/>
        </w:rPr>
        <w:t xml:space="preserve"> State o</w:t>
      </w:r>
      <w:r>
        <w:rPr>
          <w:color w:val="000000" w:themeColor="text1"/>
          <w:lang w:val="en-US"/>
        </w:rPr>
        <w:t>r Territory</w:t>
      </w:r>
      <w:r w:rsidRPr="00BF4F14">
        <w:rPr>
          <w:color w:val="000000" w:themeColor="text1"/>
          <w:lang w:val="en-US"/>
        </w:rPr>
        <w:t>, and the effectiveness of any remedies available under any such law</w:t>
      </w:r>
      <w:r>
        <w:rPr>
          <w:color w:val="000000" w:themeColor="text1"/>
          <w:lang w:val="en-US"/>
        </w:rPr>
        <w:t>; and</w:t>
      </w:r>
    </w:p>
    <w:p w14:paraId="50F5FE3D" w14:textId="77777777" w:rsidR="00EA5986" w:rsidRPr="00793B0F" w:rsidRDefault="00EA5986" w:rsidP="00EA5986">
      <w:pPr>
        <w:numPr>
          <w:ilvl w:val="0"/>
          <w:numId w:val="4"/>
        </w:numPr>
        <w:spacing w:after="200" w:line="276" w:lineRule="auto"/>
        <w:ind w:hanging="573"/>
        <w:jc w:val="both"/>
        <w:rPr>
          <w:color w:val="000000" w:themeColor="text1"/>
          <w:lang w:val="en-US"/>
        </w:rPr>
      </w:pPr>
      <w:r>
        <w:rPr>
          <w:color w:val="000000" w:themeColor="text1"/>
          <w:lang w:val="en-US"/>
        </w:rPr>
        <w:t>such other matters (if any) as prescribed.</w:t>
      </w:r>
    </w:p>
    <w:p w14:paraId="08273864" w14:textId="77777777" w:rsidR="00EA5986" w:rsidRPr="00BF4F14" w:rsidRDefault="00EA5986" w:rsidP="00EA5986">
      <w:pPr>
        <w:pStyle w:val="Heading3"/>
        <w:spacing w:before="0" w:after="200"/>
        <w:jc w:val="both"/>
        <w:rPr>
          <w:rFonts w:asciiTheme="minorHAnsi" w:hAnsiTheme="minorHAnsi"/>
          <w:color w:val="000000" w:themeColor="text1"/>
        </w:rPr>
      </w:pPr>
      <w:r w:rsidRPr="00BF4F14">
        <w:rPr>
          <w:rFonts w:asciiTheme="minorHAnsi" w:hAnsiTheme="minorHAnsi"/>
          <w:color w:val="000000" w:themeColor="text1"/>
        </w:rPr>
        <w:t>The specified area</w:t>
      </w:r>
    </w:p>
    <w:p w14:paraId="63AAF9B7" w14:textId="77777777" w:rsidR="00EA5986" w:rsidRDefault="00EA5986" w:rsidP="00EA5986">
      <w:pPr>
        <w:jc w:val="both"/>
        <w:rPr>
          <w:color w:val="000000" w:themeColor="text1"/>
        </w:rPr>
      </w:pPr>
      <w:r>
        <w:t xml:space="preserve">Figure 1 depicts the area for which preservation and protection is sought. This specified area is </w:t>
      </w:r>
      <w:r w:rsidRPr="00D77597">
        <w:t xml:space="preserve">described as the area known as </w:t>
      </w:r>
      <w:proofErr w:type="spellStart"/>
      <w:r w:rsidRPr="00D77597">
        <w:rPr>
          <w:color w:val="000000" w:themeColor="text1"/>
        </w:rPr>
        <w:t>Pulyku</w:t>
      </w:r>
      <w:proofErr w:type="spellEnd"/>
      <w:r w:rsidRPr="00D77597">
        <w:rPr>
          <w:color w:val="000000" w:themeColor="text1"/>
        </w:rPr>
        <w:t xml:space="preserve"> (</w:t>
      </w:r>
      <w:proofErr w:type="spellStart"/>
      <w:r w:rsidRPr="00D77597">
        <w:rPr>
          <w:color w:val="000000" w:themeColor="text1"/>
        </w:rPr>
        <w:t>Booylgoo</w:t>
      </w:r>
      <w:proofErr w:type="spellEnd"/>
      <w:r w:rsidRPr="00D77597">
        <w:rPr>
          <w:color w:val="000000" w:themeColor="text1"/>
        </w:rPr>
        <w:t xml:space="preserve"> Range), near Sandstone, Western Australia.</w:t>
      </w:r>
    </w:p>
    <w:p w14:paraId="3AC4722A" w14:textId="77777777" w:rsidR="00EF238D" w:rsidRPr="0060138A" w:rsidRDefault="00EF238D" w:rsidP="00EF238D">
      <w:pPr>
        <w:spacing w:after="120"/>
        <w:rPr>
          <w:b/>
          <w:color w:val="000000" w:themeColor="text1"/>
          <w:sz w:val="26"/>
          <w:szCs w:val="26"/>
        </w:rPr>
      </w:pPr>
      <w:r>
        <w:rPr>
          <w:b/>
          <w:noProof/>
          <w:color w:val="000000" w:themeColor="text1"/>
          <w:sz w:val="26"/>
          <w:szCs w:val="26"/>
        </w:rPr>
        <w:drawing>
          <wp:inline distT="0" distB="0" distL="0" distR="0" wp14:anchorId="700F751B" wp14:editId="4D5F0C99">
            <wp:extent cx="6120130" cy="6120130"/>
            <wp:effectExtent l="0" t="0" r="0" b="0"/>
            <wp:docPr id="1018270631" name="Picture 1018270631" descr="Map showing the specified area being the area known as Pulyku (Booylgoo Range), near Sandstone, Wester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270631" name="Picture 1018270631" descr="Map showing the specified area being the area known as Pulyku (Booylgoo Range), near Sandstone, Western Australia."/>
                    <pic:cNvPicPr/>
                  </pic:nvPicPr>
                  <pic:blipFill>
                    <a:blip r:embed="rId11">
                      <a:extLst>
                        <a:ext uri="{28A0092B-C50C-407E-A947-70E740481C1C}">
                          <a14:useLocalDpi xmlns:a14="http://schemas.microsoft.com/office/drawing/2010/main" val="0"/>
                        </a:ext>
                      </a:extLst>
                    </a:blip>
                    <a:stretch>
                      <a:fillRect/>
                    </a:stretch>
                  </pic:blipFill>
                  <pic:spPr>
                    <a:xfrm>
                      <a:off x="0" y="0"/>
                      <a:ext cx="6120130" cy="6120130"/>
                    </a:xfrm>
                    <a:prstGeom prst="rect">
                      <a:avLst/>
                    </a:prstGeom>
                  </pic:spPr>
                </pic:pic>
              </a:graphicData>
            </a:graphic>
          </wp:inline>
        </w:drawing>
      </w:r>
    </w:p>
    <w:p w14:paraId="1D5C8822" w14:textId="77777777" w:rsidR="00EF238D" w:rsidRPr="00BF0923" w:rsidRDefault="00EF238D" w:rsidP="00EF238D">
      <w:pPr>
        <w:pStyle w:val="Caption"/>
      </w:pPr>
      <w:r w:rsidRPr="00D77597">
        <w:rPr>
          <w:color w:val="auto"/>
        </w:rPr>
        <w:lastRenderedPageBreak/>
        <w:t xml:space="preserve">Figure </w:t>
      </w:r>
      <w:r w:rsidRPr="00D77597">
        <w:rPr>
          <w:color w:val="auto"/>
        </w:rPr>
        <w:fldChar w:fldCharType="begin" w:fldLock="1"/>
      </w:r>
      <w:r w:rsidRPr="00D77597">
        <w:rPr>
          <w:color w:val="auto"/>
        </w:rPr>
        <w:instrText xml:space="preserve"> SEQ Figure \* ARABIC </w:instrText>
      </w:r>
      <w:r w:rsidRPr="00D77597">
        <w:rPr>
          <w:color w:val="auto"/>
        </w:rPr>
        <w:fldChar w:fldCharType="separate"/>
      </w:r>
      <w:r w:rsidRPr="00D77597">
        <w:rPr>
          <w:noProof/>
          <w:color w:val="auto"/>
        </w:rPr>
        <w:t>1</w:t>
      </w:r>
      <w:r w:rsidRPr="00D77597">
        <w:rPr>
          <w:noProof/>
          <w:color w:val="auto"/>
        </w:rPr>
        <w:fldChar w:fldCharType="end"/>
      </w:r>
      <w:r w:rsidRPr="00D77597">
        <w:rPr>
          <w:color w:val="auto"/>
        </w:rPr>
        <w:t xml:space="preserve"> Map showing the specified area </w:t>
      </w:r>
      <w:r w:rsidRPr="00D77597">
        <w:rPr>
          <w:color w:val="000000" w:themeColor="text1"/>
        </w:rPr>
        <w:t xml:space="preserve">being the area known as </w:t>
      </w:r>
      <w:proofErr w:type="spellStart"/>
      <w:r w:rsidRPr="00D77597">
        <w:rPr>
          <w:color w:val="000000" w:themeColor="text1"/>
        </w:rPr>
        <w:t>Pulyku</w:t>
      </w:r>
      <w:proofErr w:type="spellEnd"/>
      <w:r w:rsidRPr="00D77597">
        <w:rPr>
          <w:color w:val="000000" w:themeColor="text1"/>
        </w:rPr>
        <w:t xml:space="preserve"> (</w:t>
      </w:r>
      <w:proofErr w:type="spellStart"/>
      <w:r w:rsidRPr="00D77597">
        <w:rPr>
          <w:color w:val="000000" w:themeColor="text1"/>
        </w:rPr>
        <w:t>Booylgoo</w:t>
      </w:r>
      <w:proofErr w:type="spellEnd"/>
      <w:r w:rsidRPr="00D77597">
        <w:rPr>
          <w:color w:val="000000" w:themeColor="text1"/>
        </w:rPr>
        <w:t xml:space="preserve"> Range), near Sandstone, Western Australia</w:t>
      </w:r>
      <w:r w:rsidRPr="00BF0923">
        <w:t xml:space="preserve"> </w:t>
      </w:r>
    </w:p>
    <w:p w14:paraId="38019E38" w14:textId="77777777" w:rsidR="00571A3D" w:rsidRPr="00BF4F14" w:rsidRDefault="00571A3D" w:rsidP="00571A3D">
      <w:pPr>
        <w:pStyle w:val="Heading3"/>
        <w:spacing w:before="0" w:after="200"/>
        <w:jc w:val="both"/>
        <w:rPr>
          <w:rFonts w:asciiTheme="minorHAnsi" w:hAnsiTheme="minorHAnsi"/>
          <w:b w:val="0"/>
          <w:color w:val="000000" w:themeColor="text1"/>
        </w:rPr>
      </w:pPr>
      <w:r w:rsidRPr="00BF4F14">
        <w:rPr>
          <w:rFonts w:asciiTheme="minorHAnsi" w:hAnsiTheme="minorHAnsi"/>
          <w:color w:val="000000" w:themeColor="text1"/>
        </w:rPr>
        <w:t>Claim</w:t>
      </w:r>
      <w:r>
        <w:rPr>
          <w:rFonts w:asciiTheme="minorHAnsi" w:hAnsiTheme="minorHAnsi"/>
          <w:color w:val="000000" w:themeColor="text1"/>
        </w:rPr>
        <w:t>s</w:t>
      </w:r>
      <w:r w:rsidRPr="00BF4F14">
        <w:rPr>
          <w:rFonts w:asciiTheme="minorHAnsi" w:hAnsiTheme="minorHAnsi"/>
          <w:color w:val="000000" w:themeColor="text1"/>
        </w:rPr>
        <w:t xml:space="preserve"> </w:t>
      </w:r>
      <w:r>
        <w:rPr>
          <w:rFonts w:asciiTheme="minorHAnsi" w:hAnsiTheme="minorHAnsi"/>
          <w:color w:val="000000" w:themeColor="text1"/>
        </w:rPr>
        <w:t>in relation to ‘significant Aboriginal area’</w:t>
      </w:r>
    </w:p>
    <w:p w14:paraId="311FA5D5" w14:textId="77777777" w:rsidR="00571A3D" w:rsidRDefault="00571A3D" w:rsidP="00571A3D">
      <w:pPr>
        <w:jc w:val="both"/>
        <w:rPr>
          <w:rFonts w:cstheme="minorHAnsi"/>
        </w:rPr>
      </w:pPr>
      <w:r w:rsidRPr="00B35A53">
        <w:rPr>
          <w:rFonts w:cstheme="minorHAnsi"/>
        </w:rPr>
        <w:t xml:space="preserve">The applicants claim the specified area is of particular significance to the </w:t>
      </w:r>
      <w:proofErr w:type="spellStart"/>
      <w:r w:rsidRPr="00B35A53">
        <w:rPr>
          <w:rFonts w:cstheme="minorHAnsi"/>
        </w:rPr>
        <w:t>Tjiwarl</w:t>
      </w:r>
      <w:proofErr w:type="spellEnd"/>
      <w:r w:rsidRPr="00B35A53">
        <w:rPr>
          <w:rFonts w:cstheme="minorHAnsi"/>
        </w:rPr>
        <w:t xml:space="preserve"> Native Title Holders and other Western Desert Aboriginal peoples in accordance with Aboriginal tradition for the following reasons:</w:t>
      </w:r>
    </w:p>
    <w:p w14:paraId="2629ADE7" w14:textId="77777777" w:rsidR="00571A3D" w:rsidRPr="00F3705C" w:rsidRDefault="00571A3D" w:rsidP="00571A3D">
      <w:pPr>
        <w:pStyle w:val="ListParagraph"/>
        <w:numPr>
          <w:ilvl w:val="0"/>
          <w:numId w:val="10"/>
        </w:numPr>
        <w:spacing w:after="120" w:line="276" w:lineRule="auto"/>
        <w:contextualSpacing w:val="0"/>
        <w:jc w:val="both"/>
        <w:rPr>
          <w:rFonts w:cstheme="minorHAnsi"/>
        </w:rPr>
      </w:pPr>
      <w:proofErr w:type="spellStart"/>
      <w:r w:rsidRPr="00F3705C">
        <w:rPr>
          <w:rFonts w:cstheme="minorHAnsi"/>
        </w:rPr>
        <w:t>Pulyku</w:t>
      </w:r>
      <w:proofErr w:type="spellEnd"/>
      <w:r w:rsidRPr="00F3705C">
        <w:rPr>
          <w:rFonts w:cstheme="minorHAnsi"/>
        </w:rPr>
        <w:t xml:space="preserve"> (</w:t>
      </w:r>
      <w:proofErr w:type="spellStart"/>
      <w:r w:rsidRPr="00F3705C">
        <w:rPr>
          <w:rFonts w:cstheme="minorHAnsi"/>
        </w:rPr>
        <w:t>Boolygoo</w:t>
      </w:r>
      <w:proofErr w:type="spellEnd"/>
      <w:r w:rsidRPr="00F3705C">
        <w:rPr>
          <w:rFonts w:cstheme="minorHAnsi"/>
        </w:rPr>
        <w:t xml:space="preserve"> Range) is of extremely high traditional significance to the </w:t>
      </w:r>
      <w:proofErr w:type="spellStart"/>
      <w:r w:rsidRPr="00F3705C">
        <w:rPr>
          <w:rFonts w:cstheme="minorHAnsi"/>
        </w:rPr>
        <w:t>Tjiwarl</w:t>
      </w:r>
      <w:proofErr w:type="spellEnd"/>
      <w:r w:rsidRPr="00F3705C">
        <w:rPr>
          <w:rFonts w:cstheme="minorHAnsi"/>
        </w:rPr>
        <w:t xml:space="preserve"> native title holders and other Western Desert Aboriginal peoples. </w:t>
      </w:r>
    </w:p>
    <w:p w14:paraId="2801425F" w14:textId="77777777" w:rsidR="00571A3D" w:rsidRPr="00F3705C" w:rsidRDefault="00571A3D" w:rsidP="00571A3D">
      <w:pPr>
        <w:pStyle w:val="ListParagraph"/>
        <w:numPr>
          <w:ilvl w:val="0"/>
          <w:numId w:val="10"/>
        </w:numPr>
        <w:spacing w:after="120" w:line="276" w:lineRule="auto"/>
        <w:contextualSpacing w:val="0"/>
        <w:jc w:val="both"/>
        <w:rPr>
          <w:rFonts w:cstheme="minorHAnsi"/>
        </w:rPr>
      </w:pPr>
      <w:r w:rsidRPr="00F3705C">
        <w:rPr>
          <w:rFonts w:cstheme="minorHAnsi"/>
        </w:rPr>
        <w:t xml:space="preserve">The specified area is associated with a </w:t>
      </w:r>
      <w:proofErr w:type="gramStart"/>
      <w:r w:rsidRPr="00F3705C">
        <w:rPr>
          <w:rFonts w:cstheme="minorHAnsi"/>
        </w:rPr>
        <w:t>Husband and Wife</w:t>
      </w:r>
      <w:proofErr w:type="gramEnd"/>
      <w:r w:rsidRPr="00F3705C">
        <w:rPr>
          <w:rFonts w:cstheme="minorHAnsi"/>
        </w:rPr>
        <w:t xml:space="preserve"> </w:t>
      </w:r>
      <w:proofErr w:type="spellStart"/>
      <w:r w:rsidRPr="00F3705C">
        <w:rPr>
          <w:rFonts w:cstheme="minorHAnsi"/>
        </w:rPr>
        <w:t>Tjukurrpa</w:t>
      </w:r>
      <w:proofErr w:type="spellEnd"/>
      <w:r>
        <w:rPr>
          <w:rFonts w:cstheme="minorHAnsi"/>
        </w:rPr>
        <w:t xml:space="preserve"> (dreaming)</w:t>
      </w:r>
      <w:r w:rsidRPr="00F3705C">
        <w:rPr>
          <w:rFonts w:cstheme="minorHAnsi"/>
        </w:rPr>
        <w:t xml:space="preserve"> (a travelling story connecting many sites across </w:t>
      </w:r>
      <w:proofErr w:type="spellStart"/>
      <w:r w:rsidRPr="00F3705C">
        <w:rPr>
          <w:rFonts w:cstheme="minorHAnsi"/>
        </w:rPr>
        <w:t>Tjiwarl</w:t>
      </w:r>
      <w:proofErr w:type="spellEnd"/>
      <w:r w:rsidRPr="00F3705C">
        <w:rPr>
          <w:rFonts w:cstheme="minorHAnsi"/>
        </w:rPr>
        <w:t xml:space="preserve"> country and beyond), Marlu </w:t>
      </w:r>
      <w:proofErr w:type="spellStart"/>
      <w:r>
        <w:rPr>
          <w:rFonts w:cstheme="minorHAnsi"/>
        </w:rPr>
        <w:t>tjunta</w:t>
      </w:r>
      <w:proofErr w:type="spellEnd"/>
      <w:r w:rsidRPr="00F3705C">
        <w:rPr>
          <w:rFonts w:cstheme="minorHAnsi"/>
        </w:rPr>
        <w:t xml:space="preserve"> (</w:t>
      </w:r>
      <w:r>
        <w:rPr>
          <w:rFonts w:cstheme="minorHAnsi"/>
        </w:rPr>
        <w:t>k</w:t>
      </w:r>
      <w:r w:rsidRPr="00F3705C">
        <w:rPr>
          <w:rFonts w:cstheme="minorHAnsi"/>
        </w:rPr>
        <w:t xml:space="preserve">angaroo thigh), </w:t>
      </w:r>
      <w:proofErr w:type="spellStart"/>
      <w:r w:rsidRPr="00F3705C">
        <w:rPr>
          <w:rFonts w:cstheme="minorHAnsi"/>
        </w:rPr>
        <w:t>Karnka</w:t>
      </w:r>
      <w:proofErr w:type="spellEnd"/>
      <w:r w:rsidRPr="00F3705C">
        <w:rPr>
          <w:rFonts w:cstheme="minorHAnsi"/>
        </w:rPr>
        <w:t xml:space="preserve"> (Crow), </w:t>
      </w:r>
      <w:proofErr w:type="spellStart"/>
      <w:r w:rsidRPr="00F3705C">
        <w:rPr>
          <w:rFonts w:cstheme="minorHAnsi"/>
        </w:rPr>
        <w:t>Watja</w:t>
      </w:r>
      <w:proofErr w:type="spellEnd"/>
      <w:r w:rsidRPr="00F3705C">
        <w:rPr>
          <w:rFonts w:cstheme="minorHAnsi"/>
        </w:rPr>
        <w:t xml:space="preserve"> (</w:t>
      </w:r>
      <w:r>
        <w:rPr>
          <w:rFonts w:cstheme="minorHAnsi"/>
        </w:rPr>
        <w:t>b</w:t>
      </w:r>
      <w:r w:rsidRPr="00F3705C">
        <w:rPr>
          <w:rFonts w:cstheme="minorHAnsi"/>
        </w:rPr>
        <w:t xml:space="preserve">ush </w:t>
      </w:r>
      <w:r>
        <w:rPr>
          <w:rFonts w:cstheme="minorHAnsi"/>
        </w:rPr>
        <w:t>p</w:t>
      </w:r>
      <w:r w:rsidRPr="00F3705C">
        <w:rPr>
          <w:rFonts w:cstheme="minorHAnsi"/>
        </w:rPr>
        <w:t xml:space="preserve">otato), </w:t>
      </w:r>
      <w:proofErr w:type="spellStart"/>
      <w:r w:rsidRPr="00F3705C">
        <w:rPr>
          <w:rFonts w:cstheme="minorHAnsi"/>
        </w:rPr>
        <w:t>Tjilkarli</w:t>
      </w:r>
      <w:proofErr w:type="spellEnd"/>
      <w:r w:rsidRPr="00F3705C">
        <w:rPr>
          <w:rFonts w:cstheme="minorHAnsi"/>
        </w:rPr>
        <w:t xml:space="preserve"> (</w:t>
      </w:r>
      <w:r>
        <w:rPr>
          <w:rFonts w:cstheme="minorHAnsi"/>
        </w:rPr>
        <w:t>p</w:t>
      </w:r>
      <w:r w:rsidRPr="00F3705C">
        <w:rPr>
          <w:rFonts w:cstheme="minorHAnsi"/>
        </w:rPr>
        <w:t xml:space="preserve">encil </w:t>
      </w:r>
      <w:r>
        <w:rPr>
          <w:rFonts w:cstheme="minorHAnsi"/>
        </w:rPr>
        <w:t>y</w:t>
      </w:r>
      <w:r w:rsidRPr="00F3705C">
        <w:rPr>
          <w:rFonts w:cstheme="minorHAnsi"/>
        </w:rPr>
        <w:t xml:space="preserve">am) and </w:t>
      </w:r>
      <w:proofErr w:type="spellStart"/>
      <w:r w:rsidRPr="00F3705C">
        <w:rPr>
          <w:rFonts w:cstheme="minorHAnsi"/>
        </w:rPr>
        <w:t>Kakalala</w:t>
      </w:r>
      <w:proofErr w:type="spellEnd"/>
      <w:r w:rsidRPr="00F3705C">
        <w:rPr>
          <w:rFonts w:cstheme="minorHAnsi"/>
        </w:rPr>
        <w:t xml:space="preserve"> (sulphur-crested cockatoo) </w:t>
      </w:r>
      <w:proofErr w:type="spellStart"/>
      <w:r w:rsidRPr="00F3705C">
        <w:rPr>
          <w:rFonts w:cstheme="minorHAnsi"/>
        </w:rPr>
        <w:t>Dreamings</w:t>
      </w:r>
      <w:proofErr w:type="spellEnd"/>
      <w:r w:rsidRPr="00F3705C">
        <w:rPr>
          <w:rFonts w:cstheme="minorHAnsi"/>
        </w:rPr>
        <w:t xml:space="preserve">. </w:t>
      </w:r>
    </w:p>
    <w:p w14:paraId="535C0CFA" w14:textId="77777777" w:rsidR="00571A3D" w:rsidRPr="00F3705C" w:rsidRDefault="00571A3D" w:rsidP="00571A3D">
      <w:pPr>
        <w:pStyle w:val="ListParagraph"/>
        <w:numPr>
          <w:ilvl w:val="0"/>
          <w:numId w:val="10"/>
        </w:numPr>
        <w:spacing w:after="120" w:line="276" w:lineRule="auto"/>
        <w:contextualSpacing w:val="0"/>
        <w:jc w:val="both"/>
        <w:rPr>
          <w:rFonts w:cstheme="minorHAnsi"/>
        </w:rPr>
      </w:pPr>
      <w:r w:rsidRPr="00F3705C">
        <w:rPr>
          <w:rFonts w:cstheme="minorHAnsi"/>
        </w:rPr>
        <w:t xml:space="preserve">There are three levels of interaction with </w:t>
      </w:r>
      <w:proofErr w:type="spellStart"/>
      <w:r w:rsidRPr="00F3705C">
        <w:rPr>
          <w:rFonts w:cstheme="minorHAnsi"/>
        </w:rPr>
        <w:t>Tjukurrpa</w:t>
      </w:r>
      <w:proofErr w:type="spellEnd"/>
      <w:r w:rsidRPr="00F3705C">
        <w:rPr>
          <w:rFonts w:cstheme="minorHAnsi"/>
        </w:rPr>
        <w:t xml:space="preserve"> at </w:t>
      </w:r>
      <w:proofErr w:type="spellStart"/>
      <w:r w:rsidRPr="00F3705C">
        <w:rPr>
          <w:rFonts w:cstheme="minorHAnsi"/>
        </w:rPr>
        <w:t>Pulyku</w:t>
      </w:r>
      <w:proofErr w:type="spellEnd"/>
      <w:r>
        <w:rPr>
          <w:rFonts w:cstheme="minorHAnsi"/>
        </w:rPr>
        <w:t>:</w:t>
      </w:r>
    </w:p>
    <w:p w14:paraId="0D6AC431" w14:textId="77777777" w:rsidR="00571A3D" w:rsidRPr="00F3705C" w:rsidRDefault="00571A3D" w:rsidP="00571A3D">
      <w:pPr>
        <w:pStyle w:val="ListParagraph"/>
        <w:numPr>
          <w:ilvl w:val="1"/>
          <w:numId w:val="10"/>
        </w:numPr>
        <w:spacing w:after="120" w:line="276" w:lineRule="auto"/>
        <w:contextualSpacing w:val="0"/>
        <w:jc w:val="both"/>
        <w:rPr>
          <w:rFonts w:cstheme="minorHAnsi"/>
        </w:rPr>
      </w:pPr>
      <w:r w:rsidRPr="00F3705C">
        <w:rPr>
          <w:rFonts w:cstheme="minorHAnsi"/>
        </w:rPr>
        <w:t xml:space="preserve">The laws of </w:t>
      </w:r>
      <w:proofErr w:type="spellStart"/>
      <w:r w:rsidRPr="00F3705C">
        <w:rPr>
          <w:rFonts w:cstheme="minorHAnsi"/>
        </w:rPr>
        <w:t>Pulyku</w:t>
      </w:r>
      <w:proofErr w:type="spellEnd"/>
      <w:r w:rsidRPr="00F3705C">
        <w:rPr>
          <w:rFonts w:cstheme="minorHAnsi"/>
        </w:rPr>
        <w:t xml:space="preserve"> give precedent to the proper observance and maintenance of respectful relationships. In this situation, the </w:t>
      </w:r>
      <w:proofErr w:type="spellStart"/>
      <w:r w:rsidRPr="00F3705C">
        <w:rPr>
          <w:rFonts w:cstheme="minorHAnsi"/>
        </w:rPr>
        <w:t>K</w:t>
      </w:r>
      <w:r>
        <w:rPr>
          <w:rFonts w:cstheme="minorHAnsi"/>
        </w:rPr>
        <w:t>a</w:t>
      </w:r>
      <w:r w:rsidRPr="00F3705C">
        <w:rPr>
          <w:rFonts w:cstheme="minorHAnsi"/>
        </w:rPr>
        <w:t>rnka</w:t>
      </w:r>
      <w:proofErr w:type="spellEnd"/>
      <w:r w:rsidRPr="00F3705C">
        <w:rPr>
          <w:rFonts w:cstheme="minorHAnsi"/>
        </w:rPr>
        <w:t xml:space="preserve"> offended the laws of respectful relationships between a son-in-law and his in-laws in constantly badgering them to share their food with him. The reaction of </w:t>
      </w:r>
      <w:proofErr w:type="spellStart"/>
      <w:r w:rsidRPr="00F3705C">
        <w:rPr>
          <w:rFonts w:cstheme="minorHAnsi"/>
        </w:rPr>
        <w:t>K</w:t>
      </w:r>
      <w:r>
        <w:rPr>
          <w:rFonts w:cstheme="minorHAnsi"/>
        </w:rPr>
        <w:t>a</w:t>
      </w:r>
      <w:r w:rsidRPr="00F3705C">
        <w:rPr>
          <w:rFonts w:cstheme="minorHAnsi"/>
        </w:rPr>
        <w:t>rnka’s</w:t>
      </w:r>
      <w:proofErr w:type="spellEnd"/>
      <w:r w:rsidRPr="00F3705C">
        <w:rPr>
          <w:rFonts w:cstheme="minorHAnsi"/>
        </w:rPr>
        <w:t xml:space="preserve"> in-laws to his behaviour was to throw all the food on the ground </w:t>
      </w:r>
      <w:r>
        <w:rPr>
          <w:rFonts w:cstheme="minorHAnsi"/>
        </w:rPr>
        <w:t xml:space="preserve">in </w:t>
      </w:r>
      <w:r w:rsidRPr="00F3705C">
        <w:rPr>
          <w:rFonts w:cstheme="minorHAnsi"/>
        </w:rPr>
        <w:t>contempt at his behaviour.</w:t>
      </w:r>
    </w:p>
    <w:p w14:paraId="53F53875" w14:textId="77777777" w:rsidR="00571A3D" w:rsidRPr="00EB48B9" w:rsidRDefault="00571A3D" w:rsidP="00571A3D">
      <w:pPr>
        <w:pStyle w:val="ListParagraph"/>
        <w:numPr>
          <w:ilvl w:val="1"/>
          <w:numId w:val="10"/>
        </w:numPr>
        <w:spacing w:after="120" w:line="276" w:lineRule="auto"/>
        <w:contextualSpacing w:val="0"/>
        <w:jc w:val="both"/>
        <w:rPr>
          <w:rFonts w:cstheme="minorHAnsi"/>
        </w:rPr>
      </w:pPr>
      <w:r w:rsidRPr="00F3705C">
        <w:rPr>
          <w:rFonts w:cstheme="minorHAnsi"/>
        </w:rPr>
        <w:t xml:space="preserve">In the physical domain </w:t>
      </w:r>
      <w:r w:rsidRPr="00EB48B9">
        <w:rPr>
          <w:rFonts w:cstheme="minorHAnsi"/>
        </w:rPr>
        <w:t xml:space="preserve">of today, the remains of this food </w:t>
      </w:r>
      <w:proofErr w:type="gramStart"/>
      <w:r w:rsidRPr="00D91C2E">
        <w:rPr>
          <w:rFonts w:cstheme="minorHAnsi"/>
        </w:rPr>
        <w:t>has</w:t>
      </w:r>
      <w:proofErr w:type="gramEnd"/>
      <w:r w:rsidRPr="00D91C2E">
        <w:rPr>
          <w:rFonts w:cstheme="minorHAnsi"/>
        </w:rPr>
        <w:t xml:space="preserve"> transformed into a cultural landscape that consists of </w:t>
      </w:r>
      <w:proofErr w:type="spellStart"/>
      <w:r w:rsidRPr="00D91C2E">
        <w:rPr>
          <w:rFonts w:cstheme="minorHAnsi"/>
        </w:rPr>
        <w:t>Pulyku</w:t>
      </w:r>
      <w:proofErr w:type="spellEnd"/>
      <w:r w:rsidRPr="00D91C2E">
        <w:rPr>
          <w:rFonts w:cstheme="minorHAnsi"/>
        </w:rPr>
        <w:t xml:space="preserve"> and its surrounds. Marlu </w:t>
      </w:r>
      <w:proofErr w:type="spellStart"/>
      <w:r>
        <w:rPr>
          <w:rFonts w:cstheme="minorHAnsi"/>
        </w:rPr>
        <w:t>tjunta</w:t>
      </w:r>
      <w:proofErr w:type="spellEnd"/>
      <w:r w:rsidRPr="00D91C2E">
        <w:rPr>
          <w:rFonts w:cstheme="minorHAnsi"/>
        </w:rPr>
        <w:t xml:space="preserve"> became the </w:t>
      </w:r>
      <w:proofErr w:type="spellStart"/>
      <w:r w:rsidRPr="00D91C2E">
        <w:rPr>
          <w:rFonts w:cstheme="minorHAnsi"/>
        </w:rPr>
        <w:t>Boolygoo</w:t>
      </w:r>
      <w:proofErr w:type="spellEnd"/>
      <w:r w:rsidRPr="00D91C2E">
        <w:rPr>
          <w:rFonts w:cstheme="minorHAnsi"/>
        </w:rPr>
        <w:t xml:space="preserve"> Range</w:t>
      </w:r>
      <w:r>
        <w:rPr>
          <w:rFonts w:cstheme="minorHAnsi"/>
        </w:rPr>
        <w:t xml:space="preserve">, with three springs representing Murti (the knee), </w:t>
      </w:r>
      <w:proofErr w:type="spellStart"/>
      <w:r>
        <w:rPr>
          <w:rFonts w:cstheme="minorHAnsi"/>
        </w:rPr>
        <w:t>Pulyku</w:t>
      </w:r>
      <w:proofErr w:type="spellEnd"/>
      <w:r>
        <w:rPr>
          <w:rFonts w:cstheme="minorHAnsi"/>
        </w:rPr>
        <w:t xml:space="preserve"> (the sinew), and </w:t>
      </w:r>
      <w:proofErr w:type="spellStart"/>
      <w:r>
        <w:rPr>
          <w:rFonts w:cstheme="minorHAnsi"/>
        </w:rPr>
        <w:t>Mulumulu</w:t>
      </w:r>
      <w:proofErr w:type="spellEnd"/>
      <w:r>
        <w:rPr>
          <w:rFonts w:cstheme="minorHAnsi"/>
        </w:rPr>
        <w:t xml:space="preserve"> (the hip joint).</w:t>
      </w:r>
      <w:r w:rsidRPr="00156758">
        <w:rPr>
          <w:rFonts w:cstheme="minorHAnsi"/>
        </w:rPr>
        <w:t xml:space="preserve"> </w:t>
      </w:r>
      <w:r>
        <w:rPr>
          <w:rFonts w:cstheme="minorHAnsi"/>
        </w:rPr>
        <w:t xml:space="preserve">The </w:t>
      </w:r>
      <w:proofErr w:type="spellStart"/>
      <w:r w:rsidRPr="00EB48B9">
        <w:rPr>
          <w:rFonts w:cstheme="minorHAnsi"/>
        </w:rPr>
        <w:t>Watja</w:t>
      </w:r>
      <w:proofErr w:type="spellEnd"/>
      <w:r w:rsidRPr="00EB48B9">
        <w:rPr>
          <w:rFonts w:cstheme="minorHAnsi"/>
        </w:rPr>
        <w:t xml:space="preserve"> went flying away to fall on what is now the western side of the </w:t>
      </w:r>
      <w:r>
        <w:rPr>
          <w:rFonts w:cstheme="minorHAnsi"/>
        </w:rPr>
        <w:t>r</w:t>
      </w:r>
      <w:r w:rsidRPr="00EB48B9">
        <w:rPr>
          <w:rFonts w:cstheme="minorHAnsi"/>
        </w:rPr>
        <w:t xml:space="preserve">ange, while </w:t>
      </w:r>
      <w:proofErr w:type="spellStart"/>
      <w:r w:rsidRPr="00EB48B9">
        <w:rPr>
          <w:rFonts w:cstheme="minorHAnsi"/>
        </w:rPr>
        <w:t>Tjilkarli</w:t>
      </w:r>
      <w:proofErr w:type="spellEnd"/>
      <w:r w:rsidRPr="00EB48B9">
        <w:rPr>
          <w:rFonts w:cstheme="minorHAnsi"/>
        </w:rPr>
        <w:t xml:space="preserve">, being much lighter in weight, fell on the eastern side of the </w:t>
      </w:r>
      <w:r>
        <w:rPr>
          <w:rFonts w:cstheme="minorHAnsi"/>
        </w:rPr>
        <w:t>r</w:t>
      </w:r>
      <w:r w:rsidRPr="00EB48B9">
        <w:rPr>
          <w:rFonts w:cstheme="minorHAnsi"/>
        </w:rPr>
        <w:t xml:space="preserve">ange. </w:t>
      </w:r>
    </w:p>
    <w:p w14:paraId="0183C43D" w14:textId="77777777" w:rsidR="00571A3D" w:rsidRPr="007A476B" w:rsidRDefault="00571A3D" w:rsidP="00571A3D">
      <w:pPr>
        <w:pStyle w:val="ListParagraph"/>
        <w:numPr>
          <w:ilvl w:val="1"/>
          <w:numId w:val="10"/>
        </w:numPr>
        <w:spacing w:after="120" w:line="276" w:lineRule="auto"/>
        <w:contextualSpacing w:val="0"/>
        <w:jc w:val="both"/>
        <w:rPr>
          <w:rFonts w:cstheme="minorHAnsi"/>
        </w:rPr>
      </w:pPr>
      <w:r w:rsidRPr="00F3705C">
        <w:rPr>
          <w:rFonts w:cstheme="minorHAnsi"/>
        </w:rPr>
        <w:t xml:space="preserve">The third level of the laws of </w:t>
      </w:r>
      <w:proofErr w:type="spellStart"/>
      <w:r w:rsidRPr="005D5726">
        <w:rPr>
          <w:rFonts w:cstheme="minorHAnsi"/>
        </w:rPr>
        <w:t>Pulyku</w:t>
      </w:r>
      <w:proofErr w:type="spellEnd"/>
      <w:r w:rsidRPr="005D5726">
        <w:rPr>
          <w:rFonts w:cstheme="minorHAnsi"/>
        </w:rPr>
        <w:t xml:space="preserve"> pertain to respectful relationships in the taking and using of resources. </w:t>
      </w:r>
      <w:r w:rsidRPr="00F3705C">
        <w:rPr>
          <w:rFonts w:cstheme="minorHAnsi"/>
        </w:rPr>
        <w:t>There are non-human</w:t>
      </w:r>
      <w:r w:rsidRPr="005D5726">
        <w:rPr>
          <w:rFonts w:cstheme="minorHAnsi"/>
        </w:rPr>
        <w:t xml:space="preserve"> </w:t>
      </w:r>
      <w:proofErr w:type="spellStart"/>
      <w:r w:rsidRPr="005D5726">
        <w:rPr>
          <w:rFonts w:cstheme="minorHAnsi"/>
        </w:rPr>
        <w:t>Kukaparr</w:t>
      </w:r>
      <w:proofErr w:type="spellEnd"/>
      <w:r w:rsidRPr="005D5726">
        <w:rPr>
          <w:rFonts w:cstheme="minorHAnsi"/>
        </w:rPr>
        <w:t xml:space="preserve"> (spiritual beings) that reside within the hills of the </w:t>
      </w:r>
      <w:r>
        <w:rPr>
          <w:rFonts w:cstheme="minorHAnsi"/>
        </w:rPr>
        <w:t>r</w:t>
      </w:r>
      <w:r w:rsidRPr="005D5726">
        <w:rPr>
          <w:rFonts w:cstheme="minorHAnsi"/>
        </w:rPr>
        <w:t xml:space="preserve">ange, which are the guardians of the </w:t>
      </w:r>
      <w:proofErr w:type="spellStart"/>
      <w:r w:rsidRPr="005D5726">
        <w:rPr>
          <w:rFonts w:cstheme="minorHAnsi"/>
        </w:rPr>
        <w:t>Tjukurrpa</w:t>
      </w:r>
      <w:proofErr w:type="spellEnd"/>
      <w:r w:rsidRPr="005D5726">
        <w:rPr>
          <w:rFonts w:cstheme="minorHAnsi"/>
        </w:rPr>
        <w:t xml:space="preserve"> as</w:t>
      </w:r>
      <w:r w:rsidRPr="00F3705C">
        <w:rPr>
          <w:rFonts w:cstheme="minorHAnsi"/>
        </w:rPr>
        <w:t xml:space="preserve"> well as guardians of the traditional laws for the appropriate access to, and the taking of and using </w:t>
      </w:r>
      <w:r>
        <w:rPr>
          <w:rFonts w:cstheme="minorHAnsi"/>
        </w:rPr>
        <w:t>of</w:t>
      </w:r>
      <w:r w:rsidRPr="00F3705C">
        <w:rPr>
          <w:rFonts w:cstheme="minorHAnsi"/>
        </w:rPr>
        <w:t xml:space="preserve"> resource</w:t>
      </w:r>
      <w:r>
        <w:rPr>
          <w:rFonts w:cstheme="minorHAnsi"/>
        </w:rPr>
        <w:t>s</w:t>
      </w:r>
      <w:r w:rsidRPr="00F3705C">
        <w:rPr>
          <w:rFonts w:cstheme="minorHAnsi"/>
        </w:rPr>
        <w:t xml:space="preserve"> within the </w:t>
      </w:r>
      <w:proofErr w:type="spellStart"/>
      <w:r w:rsidRPr="005D5726">
        <w:rPr>
          <w:rFonts w:cstheme="minorHAnsi"/>
        </w:rPr>
        <w:t>Pulyku</w:t>
      </w:r>
      <w:proofErr w:type="spellEnd"/>
      <w:r w:rsidRPr="00F3705C">
        <w:rPr>
          <w:rFonts w:cstheme="minorHAnsi"/>
          <w:i/>
          <w:iCs/>
        </w:rPr>
        <w:t xml:space="preserve"> </w:t>
      </w:r>
      <w:r w:rsidRPr="00F3705C">
        <w:rPr>
          <w:rFonts w:cstheme="minorHAnsi"/>
        </w:rPr>
        <w:t>cultural landscape.</w:t>
      </w:r>
      <w:r>
        <w:rPr>
          <w:rFonts w:cstheme="minorHAnsi"/>
        </w:rPr>
        <w:t xml:space="preserve"> </w:t>
      </w:r>
      <w:proofErr w:type="spellStart"/>
      <w:r>
        <w:rPr>
          <w:rFonts w:cstheme="minorHAnsi"/>
        </w:rPr>
        <w:t>Kukaparr</w:t>
      </w:r>
      <w:proofErr w:type="spellEnd"/>
      <w:r>
        <w:rPr>
          <w:rFonts w:cstheme="minorHAnsi"/>
        </w:rPr>
        <w:t xml:space="preserve"> must not be disturbed unless in accordance with specific protocols. </w:t>
      </w:r>
    </w:p>
    <w:p w14:paraId="370C0292" w14:textId="77777777" w:rsidR="00571A3D" w:rsidRPr="00F3705C" w:rsidRDefault="00571A3D" w:rsidP="00571A3D">
      <w:pPr>
        <w:pStyle w:val="ListParagraph"/>
        <w:numPr>
          <w:ilvl w:val="0"/>
          <w:numId w:val="10"/>
        </w:numPr>
        <w:spacing w:after="120" w:line="276" w:lineRule="auto"/>
        <w:contextualSpacing w:val="0"/>
        <w:jc w:val="both"/>
        <w:rPr>
          <w:rFonts w:cstheme="minorHAnsi"/>
        </w:rPr>
      </w:pPr>
      <w:r>
        <w:rPr>
          <w:rFonts w:cstheme="minorHAnsi"/>
        </w:rPr>
        <w:t xml:space="preserve">The specified area is a </w:t>
      </w:r>
      <w:r w:rsidRPr="00F3705C">
        <w:rPr>
          <w:rFonts w:cstheme="minorHAnsi"/>
        </w:rPr>
        <w:t>site complex</w:t>
      </w:r>
      <w:r>
        <w:rPr>
          <w:rFonts w:cstheme="minorHAnsi"/>
        </w:rPr>
        <w:t xml:space="preserve"> containing many</w:t>
      </w:r>
      <w:r w:rsidRPr="00F3705C">
        <w:rPr>
          <w:rFonts w:cstheme="minorHAnsi"/>
        </w:rPr>
        <w:t xml:space="preserve"> features </w:t>
      </w:r>
      <w:r>
        <w:rPr>
          <w:rFonts w:cstheme="minorHAnsi"/>
        </w:rPr>
        <w:t xml:space="preserve">which are associated with numerous </w:t>
      </w:r>
      <w:proofErr w:type="spellStart"/>
      <w:r w:rsidRPr="00F3705C">
        <w:rPr>
          <w:rFonts w:cstheme="minorHAnsi"/>
        </w:rPr>
        <w:t>Tjukurrpa</w:t>
      </w:r>
      <w:proofErr w:type="spellEnd"/>
      <w:r>
        <w:rPr>
          <w:rFonts w:cstheme="minorHAnsi"/>
        </w:rPr>
        <w:t>. Significant sites include</w:t>
      </w:r>
      <w:r w:rsidRPr="00F3705C">
        <w:rPr>
          <w:rFonts w:cstheme="minorHAnsi"/>
        </w:rPr>
        <w:t xml:space="preserve"> three freshwater spring sites, extensive chert and ochre quarry sites, rock formations, caves and gaps</w:t>
      </w:r>
      <w:r>
        <w:rPr>
          <w:rFonts w:cstheme="minorHAnsi"/>
        </w:rPr>
        <w:t xml:space="preserve"> that make up the range and associated topography.</w:t>
      </w:r>
    </w:p>
    <w:p w14:paraId="62CB6D89" w14:textId="77777777" w:rsidR="00571A3D" w:rsidRPr="005D5726" w:rsidRDefault="00571A3D" w:rsidP="00571A3D">
      <w:pPr>
        <w:pStyle w:val="ListParagraph"/>
        <w:numPr>
          <w:ilvl w:val="0"/>
          <w:numId w:val="10"/>
        </w:numPr>
        <w:spacing w:after="120" w:line="276" w:lineRule="auto"/>
        <w:contextualSpacing w:val="0"/>
        <w:jc w:val="both"/>
        <w:rPr>
          <w:rFonts w:cstheme="minorHAnsi"/>
        </w:rPr>
      </w:pPr>
      <w:proofErr w:type="spellStart"/>
      <w:r w:rsidRPr="005D5726">
        <w:rPr>
          <w:rFonts w:cstheme="minorHAnsi"/>
        </w:rPr>
        <w:t>Pulyku</w:t>
      </w:r>
      <w:proofErr w:type="spellEnd"/>
      <w:r w:rsidRPr="005D5726">
        <w:rPr>
          <w:rFonts w:cstheme="minorHAnsi"/>
        </w:rPr>
        <w:t xml:space="preserve"> is home to deceased ancestors whose </w:t>
      </w:r>
      <w:proofErr w:type="spellStart"/>
      <w:r w:rsidRPr="005D5726">
        <w:rPr>
          <w:rFonts w:cstheme="minorHAnsi"/>
        </w:rPr>
        <w:t>kurti</w:t>
      </w:r>
      <w:proofErr w:type="spellEnd"/>
      <w:r w:rsidRPr="005D5726">
        <w:rPr>
          <w:rFonts w:cstheme="minorHAnsi"/>
        </w:rPr>
        <w:t xml:space="preserve"> (spirits) reside there.</w:t>
      </w:r>
    </w:p>
    <w:p w14:paraId="3136058D" w14:textId="77777777" w:rsidR="00571A3D" w:rsidRPr="00F3705C" w:rsidRDefault="00571A3D" w:rsidP="00571A3D">
      <w:pPr>
        <w:pStyle w:val="ListParagraph"/>
        <w:numPr>
          <w:ilvl w:val="0"/>
          <w:numId w:val="10"/>
        </w:numPr>
        <w:spacing w:after="120" w:line="276" w:lineRule="auto"/>
        <w:contextualSpacing w:val="0"/>
        <w:jc w:val="both"/>
        <w:rPr>
          <w:rFonts w:cstheme="minorHAnsi"/>
        </w:rPr>
      </w:pPr>
      <w:r>
        <w:rPr>
          <w:rFonts w:cstheme="minorHAnsi"/>
        </w:rPr>
        <w:t>The specified area contains t</w:t>
      </w:r>
      <w:r w:rsidRPr="00F3705C">
        <w:rPr>
          <w:rFonts w:cstheme="minorHAnsi"/>
        </w:rPr>
        <w:t xml:space="preserve">raditional foods, </w:t>
      </w:r>
      <w:proofErr w:type="spellStart"/>
      <w:r w:rsidRPr="005D5726">
        <w:rPr>
          <w:rFonts w:cstheme="minorHAnsi"/>
        </w:rPr>
        <w:t>Watja</w:t>
      </w:r>
      <w:proofErr w:type="spellEnd"/>
      <w:r w:rsidRPr="005D5726">
        <w:rPr>
          <w:rFonts w:cstheme="minorHAnsi"/>
        </w:rPr>
        <w:t xml:space="preserve"> and </w:t>
      </w:r>
      <w:proofErr w:type="spellStart"/>
      <w:r w:rsidRPr="005D5726">
        <w:rPr>
          <w:rFonts w:cstheme="minorHAnsi"/>
        </w:rPr>
        <w:t>Tjilkarli</w:t>
      </w:r>
      <w:proofErr w:type="spellEnd"/>
      <w:r>
        <w:rPr>
          <w:rFonts w:cstheme="minorHAnsi"/>
        </w:rPr>
        <w:t>,</w:t>
      </w:r>
      <w:r w:rsidRPr="00F3705C">
        <w:rPr>
          <w:rFonts w:cstheme="minorHAnsi"/>
          <w:i/>
          <w:iCs/>
        </w:rPr>
        <w:t xml:space="preserve"> </w:t>
      </w:r>
      <w:r w:rsidRPr="00F3705C">
        <w:rPr>
          <w:rFonts w:cstheme="minorHAnsi"/>
        </w:rPr>
        <w:t>which are not otherwise found for vast distances</w:t>
      </w:r>
      <w:r>
        <w:rPr>
          <w:rFonts w:cstheme="minorHAnsi"/>
        </w:rPr>
        <w:t xml:space="preserve">. These foods are harvested and consumed according to protocol and rituals. </w:t>
      </w:r>
    </w:p>
    <w:p w14:paraId="007FB177" w14:textId="77777777" w:rsidR="00571A3D" w:rsidRPr="00BF4F14" w:rsidRDefault="00571A3D" w:rsidP="00571A3D">
      <w:pPr>
        <w:pStyle w:val="Heading3"/>
        <w:spacing w:before="0" w:after="200"/>
        <w:jc w:val="both"/>
        <w:rPr>
          <w:rFonts w:asciiTheme="minorHAnsi" w:hAnsiTheme="minorHAnsi"/>
          <w:color w:val="000000" w:themeColor="text1"/>
        </w:rPr>
      </w:pPr>
      <w:r w:rsidRPr="00BF4F14">
        <w:rPr>
          <w:rFonts w:asciiTheme="minorHAnsi" w:hAnsiTheme="minorHAnsi"/>
          <w:color w:val="000000" w:themeColor="text1"/>
        </w:rPr>
        <w:lastRenderedPageBreak/>
        <w:t>Claimed threat of injury or desecration</w:t>
      </w:r>
    </w:p>
    <w:p w14:paraId="3DC7E165" w14:textId="77777777" w:rsidR="00571A3D" w:rsidRPr="008473DF" w:rsidRDefault="00571A3D" w:rsidP="00571A3D">
      <w:pPr>
        <w:jc w:val="both"/>
        <w:rPr>
          <w:color w:val="000000" w:themeColor="text1"/>
        </w:rPr>
      </w:pPr>
      <w:r w:rsidRPr="008473DF">
        <w:rPr>
          <w:color w:val="000000" w:themeColor="text1"/>
        </w:rPr>
        <w:t xml:space="preserve">The applicants claim that the specified area is under threat from </w:t>
      </w:r>
      <w:r w:rsidRPr="008473DF">
        <w:rPr>
          <w:rFonts w:cstheme="minorHAnsi"/>
        </w:rPr>
        <w:t>exploratory drilling and associated infrastructure proposed by Mabrouk Minerals Ltd. The applicant’s state:</w:t>
      </w:r>
    </w:p>
    <w:p w14:paraId="381EBE41" w14:textId="77777777" w:rsidR="00571A3D" w:rsidRPr="008473DF" w:rsidRDefault="00571A3D" w:rsidP="00571A3D">
      <w:pPr>
        <w:pStyle w:val="Default"/>
        <w:numPr>
          <w:ilvl w:val="0"/>
          <w:numId w:val="9"/>
        </w:numPr>
        <w:adjustRightInd/>
        <w:spacing w:after="200" w:line="276" w:lineRule="auto"/>
        <w:rPr>
          <w:rFonts w:asciiTheme="minorHAnsi" w:hAnsiTheme="minorHAnsi" w:cstheme="minorHAnsi"/>
          <w:color w:val="auto"/>
          <w:sz w:val="22"/>
          <w:szCs w:val="22"/>
        </w:rPr>
      </w:pPr>
      <w:r w:rsidRPr="008473DF">
        <w:rPr>
          <w:rFonts w:asciiTheme="minorHAnsi" w:hAnsiTheme="minorHAnsi" w:cstheme="minorHAnsi"/>
          <w:color w:val="auto"/>
          <w:sz w:val="22"/>
          <w:szCs w:val="22"/>
        </w:rPr>
        <w:t xml:space="preserve">previous exploration has caused multiple instances of injury and </w:t>
      </w:r>
      <w:proofErr w:type="gramStart"/>
      <w:r w:rsidRPr="008473DF">
        <w:rPr>
          <w:rFonts w:asciiTheme="minorHAnsi" w:hAnsiTheme="minorHAnsi" w:cstheme="minorHAnsi"/>
          <w:color w:val="auto"/>
          <w:sz w:val="22"/>
          <w:szCs w:val="22"/>
        </w:rPr>
        <w:t>desecration;</w:t>
      </w:r>
      <w:proofErr w:type="gramEnd"/>
    </w:p>
    <w:p w14:paraId="0E758B66" w14:textId="77777777" w:rsidR="00571A3D" w:rsidRPr="008473DF" w:rsidRDefault="00571A3D" w:rsidP="00571A3D">
      <w:pPr>
        <w:pStyle w:val="Default"/>
        <w:numPr>
          <w:ilvl w:val="0"/>
          <w:numId w:val="9"/>
        </w:numPr>
        <w:adjustRightInd/>
        <w:spacing w:after="200" w:line="276" w:lineRule="auto"/>
        <w:rPr>
          <w:rFonts w:asciiTheme="minorHAnsi" w:hAnsiTheme="minorHAnsi" w:cstheme="minorHAnsi"/>
          <w:color w:val="auto"/>
          <w:sz w:val="22"/>
          <w:szCs w:val="22"/>
        </w:rPr>
      </w:pPr>
      <w:r w:rsidRPr="008473DF">
        <w:rPr>
          <w:rFonts w:asciiTheme="minorHAnsi" w:hAnsiTheme="minorHAnsi" w:cstheme="minorHAnsi"/>
          <w:color w:val="auto"/>
          <w:sz w:val="22"/>
          <w:szCs w:val="22"/>
        </w:rPr>
        <w:t>the proposed works will result in injury and desecration which cannot be remedied; and</w:t>
      </w:r>
    </w:p>
    <w:p w14:paraId="4E717BFB" w14:textId="77777777" w:rsidR="00571A3D" w:rsidRDefault="00571A3D" w:rsidP="00571A3D">
      <w:pPr>
        <w:pStyle w:val="Default"/>
        <w:numPr>
          <w:ilvl w:val="0"/>
          <w:numId w:val="9"/>
        </w:numPr>
        <w:adjustRightInd/>
        <w:spacing w:after="200" w:line="276" w:lineRule="auto"/>
        <w:rPr>
          <w:rFonts w:asciiTheme="minorHAnsi" w:hAnsiTheme="minorHAnsi" w:cstheme="minorHAnsi"/>
          <w:color w:val="auto"/>
          <w:sz w:val="22"/>
          <w:szCs w:val="22"/>
        </w:rPr>
      </w:pPr>
      <w:r w:rsidRPr="008473DF">
        <w:rPr>
          <w:rFonts w:asciiTheme="minorHAnsi" w:hAnsiTheme="minorHAnsi" w:cstheme="minorHAnsi"/>
          <w:color w:val="auto"/>
          <w:sz w:val="22"/>
          <w:szCs w:val="22"/>
        </w:rPr>
        <w:t xml:space="preserve">as the spiritual essences associated with </w:t>
      </w:r>
      <w:proofErr w:type="spellStart"/>
      <w:r w:rsidRPr="008473DF">
        <w:rPr>
          <w:rFonts w:asciiTheme="minorHAnsi" w:hAnsiTheme="minorHAnsi" w:cstheme="minorHAnsi"/>
          <w:color w:val="auto"/>
          <w:sz w:val="22"/>
          <w:szCs w:val="22"/>
        </w:rPr>
        <w:t>Pulyku</w:t>
      </w:r>
      <w:proofErr w:type="spellEnd"/>
      <w:r w:rsidRPr="008473DF">
        <w:rPr>
          <w:rFonts w:asciiTheme="minorHAnsi" w:hAnsiTheme="minorHAnsi" w:cstheme="minorHAnsi"/>
          <w:color w:val="auto"/>
          <w:sz w:val="22"/>
          <w:szCs w:val="22"/>
        </w:rPr>
        <w:t xml:space="preserve"> is of a dangerous nature, any disturbance and desecration of </w:t>
      </w:r>
      <w:proofErr w:type="spellStart"/>
      <w:r w:rsidRPr="008473DF">
        <w:rPr>
          <w:rFonts w:asciiTheme="minorHAnsi" w:hAnsiTheme="minorHAnsi" w:cstheme="minorHAnsi"/>
          <w:color w:val="auto"/>
          <w:sz w:val="22"/>
          <w:szCs w:val="22"/>
        </w:rPr>
        <w:t>Pulyku</w:t>
      </w:r>
      <w:proofErr w:type="spellEnd"/>
      <w:r w:rsidRPr="008473DF">
        <w:rPr>
          <w:rFonts w:asciiTheme="minorHAnsi" w:hAnsiTheme="minorHAnsi" w:cstheme="minorHAnsi"/>
          <w:color w:val="auto"/>
          <w:sz w:val="22"/>
          <w:szCs w:val="22"/>
        </w:rPr>
        <w:t xml:space="preserve"> will result in spiritual retributions and damaging consequences for </w:t>
      </w:r>
      <w:proofErr w:type="spellStart"/>
      <w:r w:rsidRPr="008473DF">
        <w:rPr>
          <w:rFonts w:asciiTheme="minorHAnsi" w:hAnsiTheme="minorHAnsi" w:cstheme="minorHAnsi"/>
          <w:color w:val="auto"/>
          <w:sz w:val="22"/>
          <w:szCs w:val="22"/>
        </w:rPr>
        <w:t>Tjiwarl</w:t>
      </w:r>
      <w:proofErr w:type="spellEnd"/>
      <w:r w:rsidRPr="008473DF">
        <w:rPr>
          <w:rFonts w:asciiTheme="minorHAnsi" w:hAnsiTheme="minorHAnsi" w:cstheme="minorHAnsi"/>
          <w:color w:val="auto"/>
          <w:sz w:val="22"/>
          <w:szCs w:val="22"/>
        </w:rPr>
        <w:t xml:space="preserve"> Native Title Holders. </w:t>
      </w:r>
    </w:p>
    <w:p w14:paraId="72AE214D" w14:textId="77777777" w:rsidR="00571A3D" w:rsidRPr="008473DF" w:rsidRDefault="00571A3D" w:rsidP="00571A3D">
      <w:pPr>
        <w:pStyle w:val="Default"/>
        <w:adjustRightInd/>
        <w:spacing w:after="200" w:line="276" w:lineRule="auto"/>
        <w:rPr>
          <w:rFonts w:asciiTheme="minorHAnsi" w:hAnsiTheme="minorHAnsi" w:cstheme="minorHAnsi"/>
          <w:color w:val="auto"/>
          <w:sz w:val="22"/>
          <w:szCs w:val="22"/>
        </w:rPr>
      </w:pPr>
      <w:r>
        <w:rPr>
          <w:rFonts w:asciiTheme="minorHAnsi" w:hAnsiTheme="minorHAnsi" w:cstheme="minorHAnsi"/>
          <w:color w:val="auto"/>
          <w:sz w:val="22"/>
          <w:szCs w:val="22"/>
        </w:rPr>
        <w:t>The applicants claim that i</w:t>
      </w:r>
      <w:r w:rsidRPr="00642250">
        <w:rPr>
          <w:rFonts w:asciiTheme="minorHAnsi" w:hAnsiTheme="minorHAnsi" w:cstheme="minorHAnsi"/>
          <w:color w:val="auto"/>
          <w:sz w:val="22"/>
          <w:szCs w:val="22"/>
        </w:rPr>
        <w:t xml:space="preserve">n the making of the section 18 consent decision, the </w:t>
      </w:r>
      <w:r>
        <w:rPr>
          <w:rFonts w:asciiTheme="minorHAnsi" w:hAnsiTheme="minorHAnsi" w:cstheme="minorHAnsi"/>
          <w:color w:val="auto"/>
          <w:sz w:val="22"/>
          <w:szCs w:val="22"/>
        </w:rPr>
        <w:t xml:space="preserve">WA </w:t>
      </w:r>
      <w:r w:rsidRPr="00642250">
        <w:rPr>
          <w:rFonts w:asciiTheme="minorHAnsi" w:hAnsiTheme="minorHAnsi" w:cstheme="minorHAnsi"/>
          <w:color w:val="auto"/>
          <w:sz w:val="22"/>
          <w:szCs w:val="22"/>
        </w:rPr>
        <w:t>Minister caused desecration and injury to the</w:t>
      </w:r>
      <w:r>
        <w:rPr>
          <w:rFonts w:asciiTheme="minorHAnsi" w:hAnsiTheme="minorHAnsi" w:cstheme="minorHAnsi"/>
          <w:color w:val="auto"/>
          <w:sz w:val="22"/>
          <w:szCs w:val="22"/>
        </w:rPr>
        <w:t xml:space="preserve"> </w:t>
      </w:r>
      <w:r w:rsidRPr="00642250">
        <w:rPr>
          <w:rFonts w:asciiTheme="minorHAnsi" w:hAnsiTheme="minorHAnsi" w:cstheme="minorHAnsi"/>
          <w:color w:val="auto"/>
          <w:sz w:val="22"/>
          <w:szCs w:val="22"/>
        </w:rPr>
        <w:t xml:space="preserve">site area of </w:t>
      </w:r>
      <w:proofErr w:type="spellStart"/>
      <w:r w:rsidRPr="00642250">
        <w:rPr>
          <w:rFonts w:asciiTheme="minorHAnsi" w:hAnsiTheme="minorHAnsi" w:cstheme="minorHAnsi"/>
          <w:color w:val="auto"/>
          <w:sz w:val="22"/>
          <w:szCs w:val="22"/>
        </w:rPr>
        <w:t>Pulyku</w:t>
      </w:r>
      <w:proofErr w:type="spellEnd"/>
      <w:r w:rsidRPr="00642250">
        <w:rPr>
          <w:rFonts w:asciiTheme="minorHAnsi" w:hAnsiTheme="minorHAnsi" w:cstheme="minorHAnsi"/>
          <w:color w:val="auto"/>
          <w:sz w:val="22"/>
          <w:szCs w:val="22"/>
        </w:rPr>
        <w:t xml:space="preserve"> and to the </w:t>
      </w:r>
      <w:proofErr w:type="spellStart"/>
      <w:r w:rsidRPr="00642250">
        <w:rPr>
          <w:rFonts w:asciiTheme="minorHAnsi" w:hAnsiTheme="minorHAnsi" w:cstheme="minorHAnsi"/>
          <w:color w:val="auto"/>
          <w:sz w:val="22"/>
          <w:szCs w:val="22"/>
        </w:rPr>
        <w:t>Tjiwarl</w:t>
      </w:r>
      <w:proofErr w:type="spellEnd"/>
      <w:r w:rsidRPr="00642250">
        <w:rPr>
          <w:rFonts w:asciiTheme="minorHAnsi" w:hAnsiTheme="minorHAnsi" w:cstheme="minorHAnsi"/>
          <w:color w:val="auto"/>
          <w:sz w:val="22"/>
          <w:szCs w:val="22"/>
        </w:rPr>
        <w:t xml:space="preserve"> native title holders, as he made that </w:t>
      </w:r>
      <w:r>
        <w:rPr>
          <w:rFonts w:asciiTheme="minorHAnsi" w:hAnsiTheme="minorHAnsi" w:cstheme="minorHAnsi"/>
          <w:color w:val="auto"/>
          <w:sz w:val="22"/>
          <w:szCs w:val="22"/>
        </w:rPr>
        <w:t xml:space="preserve">decision </w:t>
      </w:r>
      <w:r w:rsidRPr="00642250">
        <w:rPr>
          <w:rFonts w:asciiTheme="minorHAnsi" w:hAnsiTheme="minorHAnsi" w:cstheme="minorHAnsi"/>
          <w:color w:val="auto"/>
          <w:sz w:val="22"/>
          <w:szCs w:val="22"/>
        </w:rPr>
        <w:t>against the explicit wishes</w:t>
      </w:r>
      <w:r>
        <w:rPr>
          <w:rFonts w:asciiTheme="minorHAnsi" w:hAnsiTheme="minorHAnsi" w:cstheme="minorHAnsi"/>
          <w:color w:val="auto"/>
          <w:sz w:val="22"/>
          <w:szCs w:val="22"/>
        </w:rPr>
        <w:t xml:space="preserve"> </w:t>
      </w:r>
      <w:r w:rsidRPr="00642250">
        <w:rPr>
          <w:rFonts w:asciiTheme="minorHAnsi" w:hAnsiTheme="minorHAnsi" w:cstheme="minorHAnsi"/>
          <w:color w:val="auto"/>
          <w:sz w:val="22"/>
          <w:szCs w:val="22"/>
        </w:rPr>
        <w:t xml:space="preserve">and active opposition of </w:t>
      </w:r>
      <w:proofErr w:type="spellStart"/>
      <w:r w:rsidRPr="00642250">
        <w:rPr>
          <w:rFonts w:asciiTheme="minorHAnsi" w:hAnsiTheme="minorHAnsi" w:cstheme="minorHAnsi"/>
          <w:color w:val="auto"/>
          <w:sz w:val="22"/>
          <w:szCs w:val="22"/>
        </w:rPr>
        <w:t>Tjiwarl</w:t>
      </w:r>
      <w:proofErr w:type="spellEnd"/>
      <w:r w:rsidRPr="00642250">
        <w:rPr>
          <w:rFonts w:asciiTheme="minorHAnsi" w:hAnsiTheme="minorHAnsi" w:cstheme="minorHAnsi"/>
          <w:color w:val="auto"/>
          <w:sz w:val="22"/>
          <w:szCs w:val="22"/>
        </w:rPr>
        <w:t xml:space="preserve"> people.</w:t>
      </w:r>
    </w:p>
    <w:p w14:paraId="1D406E00" w14:textId="77777777" w:rsidR="00571A3D" w:rsidRPr="00BF4F14" w:rsidRDefault="00571A3D" w:rsidP="00571A3D">
      <w:pPr>
        <w:pStyle w:val="Heading3"/>
        <w:spacing w:before="0" w:after="200"/>
        <w:jc w:val="both"/>
        <w:rPr>
          <w:rFonts w:asciiTheme="minorHAnsi" w:hAnsiTheme="minorHAnsi"/>
          <w:color w:val="000000" w:themeColor="text1"/>
        </w:rPr>
      </w:pPr>
      <w:r w:rsidRPr="00BF4F14">
        <w:rPr>
          <w:rFonts w:asciiTheme="minorHAnsi" w:hAnsiTheme="minorHAnsi"/>
          <w:color w:val="000000" w:themeColor="text1"/>
        </w:rPr>
        <w:t xml:space="preserve">Invitation to make </w:t>
      </w:r>
      <w:proofErr w:type="gramStart"/>
      <w:r w:rsidRPr="00BF4F14">
        <w:rPr>
          <w:rFonts w:asciiTheme="minorHAnsi" w:hAnsiTheme="minorHAnsi"/>
          <w:color w:val="000000" w:themeColor="text1"/>
        </w:rPr>
        <w:t>representations</w:t>
      </w:r>
      <w:proofErr w:type="gramEnd"/>
    </w:p>
    <w:p w14:paraId="4BC8C68C" w14:textId="77777777" w:rsidR="00571A3D" w:rsidRPr="00BF4F14" w:rsidRDefault="00571A3D" w:rsidP="00571A3D">
      <w:pPr>
        <w:jc w:val="both"/>
        <w:rPr>
          <w:color w:val="000000" w:themeColor="text1"/>
        </w:rPr>
      </w:pPr>
      <w:r w:rsidRPr="00BF4F14">
        <w:rPr>
          <w:color w:val="000000" w:themeColor="text1"/>
        </w:rPr>
        <w:t>Interested p</w:t>
      </w:r>
      <w:r>
        <w:rPr>
          <w:color w:val="000000" w:themeColor="text1"/>
        </w:rPr>
        <w:t>arties</w:t>
      </w:r>
      <w:r w:rsidRPr="00BF4F14">
        <w:rPr>
          <w:color w:val="000000" w:themeColor="text1"/>
        </w:rPr>
        <w:t xml:space="preserve"> are invited to furnish representations in connection with my report to:</w:t>
      </w:r>
    </w:p>
    <w:p w14:paraId="7075CCD0" w14:textId="77777777" w:rsidR="00571A3D" w:rsidRPr="0061162A" w:rsidRDefault="00571A3D" w:rsidP="00571A3D">
      <w:pPr>
        <w:spacing w:after="0" w:line="240" w:lineRule="auto"/>
        <w:rPr>
          <w:color w:val="000000" w:themeColor="text1"/>
        </w:rPr>
      </w:pPr>
      <w:r w:rsidRPr="0061162A">
        <w:rPr>
          <w:color w:val="000000" w:themeColor="text1"/>
        </w:rPr>
        <w:t xml:space="preserve">Andrew Cawthorn </w:t>
      </w:r>
    </w:p>
    <w:p w14:paraId="723F2D3D" w14:textId="77777777" w:rsidR="00571A3D" w:rsidRPr="0061162A" w:rsidRDefault="00571A3D" w:rsidP="00571A3D">
      <w:pPr>
        <w:spacing w:after="0" w:line="240" w:lineRule="auto"/>
        <w:rPr>
          <w:color w:val="000000" w:themeColor="text1"/>
        </w:rPr>
      </w:pPr>
      <w:r w:rsidRPr="0061162A">
        <w:rPr>
          <w:color w:val="000000" w:themeColor="text1"/>
        </w:rPr>
        <w:t>PO Box 208, Crafers, South Australia, 5152</w:t>
      </w:r>
    </w:p>
    <w:p w14:paraId="7CB769BA" w14:textId="77777777" w:rsidR="00571A3D" w:rsidRPr="0061162A" w:rsidRDefault="00571A3D" w:rsidP="00571A3D">
      <w:pPr>
        <w:spacing w:after="0" w:line="240" w:lineRule="auto"/>
        <w:jc w:val="both"/>
        <w:rPr>
          <w:rFonts w:cstheme="minorHAnsi"/>
          <w:color w:val="000000" w:themeColor="text1"/>
        </w:rPr>
      </w:pPr>
      <w:r w:rsidRPr="0061162A">
        <w:rPr>
          <w:rFonts w:cstheme="minorHAnsi"/>
          <w:color w:val="000000" w:themeColor="text1"/>
        </w:rPr>
        <w:t xml:space="preserve">Ph: </w:t>
      </w:r>
      <w:r w:rsidRPr="0061162A">
        <w:rPr>
          <w:rFonts w:cstheme="minorHAnsi"/>
        </w:rPr>
        <w:t>+61 401 608 510</w:t>
      </w:r>
    </w:p>
    <w:p w14:paraId="23600C6B" w14:textId="1CC784A6" w:rsidR="00571A3D" w:rsidRPr="006D1616" w:rsidRDefault="00571A3D" w:rsidP="00571A3D">
      <w:pPr>
        <w:spacing w:line="240" w:lineRule="auto"/>
        <w:jc w:val="both"/>
        <w:rPr>
          <w:rFonts w:cstheme="minorHAnsi"/>
          <w:color w:val="000000" w:themeColor="text1"/>
        </w:rPr>
      </w:pPr>
      <w:r w:rsidRPr="0061162A">
        <w:rPr>
          <w:rFonts w:cstheme="minorHAnsi"/>
        </w:rPr>
        <w:t xml:space="preserve">Email: </w:t>
      </w:r>
      <w:hyperlink r:id="rId12" w:history="1">
        <w:r w:rsidR="00BF0923" w:rsidRPr="000F2724">
          <w:rPr>
            <w:rStyle w:val="Hyperlink"/>
            <w:rFonts w:cstheme="minorHAnsi"/>
          </w:rPr>
          <w:t>andrewcawthorn@proton.me</w:t>
        </w:r>
      </w:hyperlink>
      <w:r w:rsidR="00BF0923">
        <w:rPr>
          <w:rFonts w:cstheme="minorHAnsi"/>
        </w:rPr>
        <w:t xml:space="preserve"> </w:t>
      </w:r>
    </w:p>
    <w:p w14:paraId="36C9247C" w14:textId="77777777" w:rsidR="00571A3D" w:rsidRDefault="00571A3D" w:rsidP="00571A3D">
      <w:pPr>
        <w:rPr>
          <w:color w:val="000000" w:themeColor="text1"/>
        </w:rPr>
      </w:pPr>
      <w:r w:rsidRPr="0050734A">
        <w:rPr>
          <w:color w:val="000000" w:themeColor="text1"/>
        </w:rPr>
        <w:t>Interested</w:t>
      </w:r>
      <w:r>
        <w:rPr>
          <w:color w:val="000000" w:themeColor="text1"/>
        </w:rPr>
        <w:t xml:space="preserve"> parties</w:t>
      </w:r>
      <w:r w:rsidRPr="0050734A">
        <w:rPr>
          <w:color w:val="000000" w:themeColor="text1"/>
        </w:rPr>
        <w:t xml:space="preserve"> </w:t>
      </w:r>
      <w:r>
        <w:rPr>
          <w:color w:val="000000" w:themeColor="text1"/>
        </w:rPr>
        <w:t>are urged</w:t>
      </w:r>
      <w:r w:rsidRPr="00A97BB3">
        <w:rPr>
          <w:color w:val="000000" w:themeColor="text1"/>
        </w:rPr>
        <w:t xml:space="preserve"> to </w:t>
      </w:r>
      <w:r w:rsidRPr="00A97BB3">
        <w:rPr>
          <w:b/>
          <w:bCs/>
          <w:color w:val="000000" w:themeColor="text1"/>
        </w:rPr>
        <w:t>contact me</w:t>
      </w:r>
      <w:r>
        <w:rPr>
          <w:color w:val="000000" w:themeColor="text1"/>
        </w:rPr>
        <w:t xml:space="preserve"> as soon as possible to be provided with further information about the submission process, including the provision of the Application, the making of representations in response to the Application, and the making of final comments in response to representations received. </w:t>
      </w:r>
    </w:p>
    <w:p w14:paraId="5D898B0D" w14:textId="77777777" w:rsidR="00571A3D" w:rsidRPr="003D3F81" w:rsidRDefault="00571A3D" w:rsidP="00571A3D">
      <w:pPr>
        <w:jc w:val="both"/>
        <w:rPr>
          <w:color w:val="000000" w:themeColor="text1"/>
        </w:rPr>
      </w:pPr>
      <w:r w:rsidRPr="74E91B1F">
        <w:rPr>
          <w:color w:val="000000" w:themeColor="text1"/>
        </w:rPr>
        <w:t xml:space="preserve">Representations must be made in writing by 5pm [AWST] on Monday 17 June 2024. </w:t>
      </w:r>
      <w:r w:rsidRPr="74E91B1F">
        <w:rPr>
          <w:b/>
          <w:bCs/>
          <w:color w:val="000000" w:themeColor="text1"/>
        </w:rPr>
        <w:t xml:space="preserve">Do not send your representations directly to the minister. </w:t>
      </w:r>
      <w:r w:rsidRPr="74E91B1F">
        <w:rPr>
          <w:color w:val="000000" w:themeColor="text1"/>
        </w:rPr>
        <w:t xml:space="preserve">First Nations people without representatives may provide an oral representation.  </w:t>
      </w:r>
    </w:p>
    <w:p w14:paraId="00A8620B" w14:textId="77777777" w:rsidR="00571A3D" w:rsidRPr="004E0E23" w:rsidRDefault="00571A3D" w:rsidP="00571A3D">
      <w:pPr>
        <w:jc w:val="both"/>
        <w:rPr>
          <w:b/>
          <w:color w:val="000000" w:themeColor="text1"/>
        </w:rPr>
      </w:pPr>
      <w:r>
        <w:rPr>
          <w:bCs/>
          <w:color w:val="000000" w:themeColor="text1"/>
        </w:rPr>
        <w:t>Representations made by, or on behalf of, more than one person should be signed by each of those persons.</w:t>
      </w:r>
    </w:p>
    <w:p w14:paraId="56C5FE2F" w14:textId="77777777" w:rsidR="00571A3D" w:rsidRPr="00793B0F" w:rsidRDefault="00571A3D" w:rsidP="00571A3D">
      <w:pPr>
        <w:pStyle w:val="Heading3"/>
        <w:spacing w:before="0" w:after="200"/>
        <w:jc w:val="both"/>
        <w:rPr>
          <w:rFonts w:asciiTheme="minorHAnsi" w:hAnsiTheme="minorHAnsi" w:cstheme="minorHAnsi"/>
          <w:b w:val="0"/>
          <w:bCs w:val="0"/>
          <w:color w:val="000000" w:themeColor="text1"/>
          <w:sz w:val="22"/>
          <w:szCs w:val="20"/>
        </w:rPr>
      </w:pPr>
      <w:r w:rsidRPr="00793B0F">
        <w:rPr>
          <w:rFonts w:asciiTheme="minorHAnsi" w:hAnsiTheme="minorHAnsi" w:cstheme="minorHAnsi"/>
          <w:b w:val="0"/>
          <w:bCs w:val="0"/>
          <w:color w:val="000000" w:themeColor="text1"/>
          <w:sz w:val="22"/>
          <w:szCs w:val="20"/>
        </w:rPr>
        <w:t xml:space="preserve">Representations received by the due date may subsequently be provided to the </w:t>
      </w:r>
      <w:r>
        <w:rPr>
          <w:rFonts w:asciiTheme="minorHAnsi" w:hAnsiTheme="minorHAnsi" w:cstheme="minorHAnsi"/>
          <w:b w:val="0"/>
          <w:bCs w:val="0"/>
          <w:color w:val="000000" w:themeColor="text1"/>
          <w:sz w:val="22"/>
          <w:szCs w:val="20"/>
        </w:rPr>
        <w:t>a</w:t>
      </w:r>
      <w:r w:rsidRPr="00793B0F">
        <w:rPr>
          <w:rFonts w:asciiTheme="minorHAnsi" w:hAnsiTheme="minorHAnsi" w:cstheme="minorHAnsi"/>
          <w:b w:val="0"/>
          <w:bCs w:val="0"/>
          <w:color w:val="000000" w:themeColor="text1"/>
          <w:sz w:val="22"/>
          <w:szCs w:val="20"/>
        </w:rPr>
        <w:t>pplicant</w:t>
      </w:r>
      <w:r>
        <w:rPr>
          <w:rFonts w:asciiTheme="minorHAnsi" w:hAnsiTheme="minorHAnsi" w:cstheme="minorHAnsi"/>
          <w:b w:val="0"/>
          <w:bCs w:val="0"/>
          <w:color w:val="000000" w:themeColor="text1"/>
          <w:sz w:val="22"/>
          <w:szCs w:val="20"/>
        </w:rPr>
        <w:t>s</w:t>
      </w:r>
      <w:r w:rsidRPr="00793B0F">
        <w:rPr>
          <w:rFonts w:asciiTheme="minorHAnsi" w:hAnsiTheme="minorHAnsi" w:cstheme="minorHAnsi"/>
          <w:b w:val="0"/>
          <w:bCs w:val="0"/>
          <w:color w:val="000000" w:themeColor="text1"/>
          <w:sz w:val="22"/>
          <w:szCs w:val="20"/>
        </w:rPr>
        <w:t xml:space="preserve"> and other interested parties for their review and comment </w:t>
      </w:r>
      <w:proofErr w:type="gramStart"/>
      <w:r w:rsidRPr="00793B0F">
        <w:rPr>
          <w:rFonts w:asciiTheme="minorHAnsi" w:hAnsiTheme="minorHAnsi" w:cstheme="minorHAnsi"/>
          <w:b w:val="0"/>
          <w:bCs w:val="0"/>
          <w:color w:val="000000" w:themeColor="text1"/>
          <w:sz w:val="22"/>
          <w:szCs w:val="20"/>
        </w:rPr>
        <w:t>in order to</w:t>
      </w:r>
      <w:proofErr w:type="gramEnd"/>
      <w:r w:rsidRPr="00793B0F">
        <w:rPr>
          <w:rFonts w:asciiTheme="minorHAnsi" w:hAnsiTheme="minorHAnsi" w:cstheme="minorHAnsi"/>
          <w:b w:val="0"/>
          <w:bCs w:val="0"/>
          <w:color w:val="000000" w:themeColor="text1"/>
          <w:sz w:val="22"/>
          <w:szCs w:val="20"/>
        </w:rPr>
        <w:t xml:space="preserve"> meet procedural fairness requirements.  If representations are circulated to the </w:t>
      </w:r>
      <w:r>
        <w:rPr>
          <w:rFonts w:asciiTheme="minorHAnsi" w:hAnsiTheme="minorHAnsi" w:cstheme="minorHAnsi"/>
          <w:b w:val="0"/>
          <w:bCs w:val="0"/>
          <w:color w:val="000000" w:themeColor="text1"/>
          <w:sz w:val="22"/>
          <w:szCs w:val="20"/>
        </w:rPr>
        <w:t>a</w:t>
      </w:r>
      <w:r w:rsidRPr="00793B0F">
        <w:rPr>
          <w:rFonts w:asciiTheme="minorHAnsi" w:hAnsiTheme="minorHAnsi" w:cstheme="minorHAnsi"/>
          <w:b w:val="0"/>
          <w:bCs w:val="0"/>
          <w:color w:val="000000" w:themeColor="text1"/>
          <w:sz w:val="22"/>
          <w:szCs w:val="20"/>
        </w:rPr>
        <w:t>pplicant</w:t>
      </w:r>
      <w:r>
        <w:rPr>
          <w:rFonts w:asciiTheme="minorHAnsi" w:hAnsiTheme="minorHAnsi" w:cstheme="minorHAnsi"/>
          <w:b w:val="0"/>
          <w:bCs w:val="0"/>
          <w:color w:val="000000" w:themeColor="text1"/>
          <w:sz w:val="22"/>
          <w:szCs w:val="20"/>
        </w:rPr>
        <w:t>s</w:t>
      </w:r>
      <w:r w:rsidRPr="00793B0F">
        <w:rPr>
          <w:rFonts w:asciiTheme="minorHAnsi" w:hAnsiTheme="minorHAnsi" w:cstheme="minorHAnsi"/>
          <w:b w:val="0"/>
          <w:bCs w:val="0"/>
          <w:color w:val="000000" w:themeColor="text1"/>
          <w:sz w:val="22"/>
          <w:szCs w:val="20"/>
        </w:rPr>
        <w:t xml:space="preserve"> and/or other interested parties for comment, an additional period will be allowed for those parties to make any final comments in writing.  Representations will only be circulated to the </w:t>
      </w:r>
      <w:r>
        <w:rPr>
          <w:rFonts w:asciiTheme="minorHAnsi" w:hAnsiTheme="minorHAnsi" w:cstheme="minorHAnsi"/>
          <w:b w:val="0"/>
          <w:bCs w:val="0"/>
          <w:color w:val="000000" w:themeColor="text1"/>
          <w:sz w:val="22"/>
          <w:szCs w:val="20"/>
        </w:rPr>
        <w:t>a</w:t>
      </w:r>
      <w:r w:rsidRPr="00793B0F">
        <w:rPr>
          <w:rFonts w:asciiTheme="minorHAnsi" w:hAnsiTheme="minorHAnsi" w:cstheme="minorHAnsi"/>
          <w:b w:val="0"/>
          <w:bCs w:val="0"/>
          <w:color w:val="000000" w:themeColor="text1"/>
          <w:sz w:val="22"/>
          <w:szCs w:val="20"/>
        </w:rPr>
        <w:t>pplicant</w:t>
      </w:r>
      <w:r>
        <w:rPr>
          <w:rFonts w:asciiTheme="minorHAnsi" w:hAnsiTheme="minorHAnsi" w:cstheme="minorHAnsi"/>
          <w:b w:val="0"/>
          <w:bCs w:val="0"/>
          <w:color w:val="000000" w:themeColor="text1"/>
          <w:sz w:val="22"/>
          <w:szCs w:val="20"/>
        </w:rPr>
        <w:t>s</w:t>
      </w:r>
      <w:r w:rsidRPr="00793B0F">
        <w:rPr>
          <w:rFonts w:asciiTheme="minorHAnsi" w:hAnsiTheme="minorHAnsi" w:cstheme="minorHAnsi"/>
          <w:b w:val="0"/>
          <w:bCs w:val="0"/>
          <w:color w:val="000000" w:themeColor="text1"/>
          <w:sz w:val="22"/>
          <w:szCs w:val="20"/>
        </w:rPr>
        <w:t xml:space="preserve"> and/or other interested parties where the representation may adversely affect the interests of that </w:t>
      </w:r>
      <w:proofErr w:type="gramStart"/>
      <w:r w:rsidRPr="00793B0F">
        <w:rPr>
          <w:rFonts w:asciiTheme="minorHAnsi" w:hAnsiTheme="minorHAnsi" w:cstheme="minorHAnsi"/>
          <w:b w:val="0"/>
          <w:bCs w:val="0"/>
          <w:color w:val="000000" w:themeColor="text1"/>
          <w:sz w:val="22"/>
          <w:szCs w:val="20"/>
        </w:rPr>
        <w:t>particular interested</w:t>
      </w:r>
      <w:proofErr w:type="gramEnd"/>
      <w:r w:rsidRPr="00793B0F">
        <w:rPr>
          <w:rFonts w:asciiTheme="minorHAnsi" w:hAnsiTheme="minorHAnsi" w:cstheme="minorHAnsi"/>
          <w:b w:val="0"/>
          <w:bCs w:val="0"/>
          <w:color w:val="000000" w:themeColor="text1"/>
          <w:sz w:val="22"/>
          <w:szCs w:val="20"/>
        </w:rPr>
        <w:t xml:space="preserve"> party.  Please contact me should you have any questions about this. </w:t>
      </w:r>
    </w:p>
    <w:p w14:paraId="04B54824" w14:textId="77777777" w:rsidR="00571A3D" w:rsidRPr="00452F90" w:rsidRDefault="00571A3D" w:rsidP="00571A3D">
      <w:pPr>
        <w:pStyle w:val="Heading3"/>
        <w:spacing w:before="0" w:after="200"/>
        <w:jc w:val="both"/>
        <w:rPr>
          <w:rFonts w:asciiTheme="minorHAnsi" w:hAnsiTheme="minorHAnsi"/>
          <w:color w:val="000000" w:themeColor="text1"/>
        </w:rPr>
      </w:pPr>
      <w:r w:rsidRPr="00452F90">
        <w:rPr>
          <w:rFonts w:asciiTheme="minorHAnsi" w:hAnsiTheme="minorHAnsi"/>
          <w:color w:val="000000" w:themeColor="text1"/>
        </w:rPr>
        <w:t xml:space="preserve">Claiming confidentiality </w:t>
      </w:r>
    </w:p>
    <w:p w14:paraId="399D3DB5" w14:textId="77777777" w:rsidR="00571A3D" w:rsidRDefault="00571A3D" w:rsidP="00571A3D">
      <w:pPr>
        <w:jc w:val="both"/>
        <w:rPr>
          <w:color w:val="000000" w:themeColor="text1"/>
        </w:rPr>
      </w:pPr>
      <w:r w:rsidRPr="00BF4F14">
        <w:rPr>
          <w:iCs/>
          <w:color w:val="000000" w:themeColor="text1"/>
        </w:rPr>
        <w:t xml:space="preserve">If you wish to claim confidentiality over any part of your representation, please identify why you are claiming confidentiality and how you wish confidentiality to apply. </w:t>
      </w:r>
      <w:r w:rsidRPr="00BF4F14">
        <w:rPr>
          <w:color w:val="000000" w:themeColor="text1"/>
        </w:rPr>
        <w:t xml:space="preserve"> Representations will be provided to the </w:t>
      </w:r>
      <w:r>
        <w:rPr>
          <w:color w:val="000000" w:themeColor="text1"/>
        </w:rPr>
        <w:t>m</w:t>
      </w:r>
      <w:r w:rsidRPr="00BF4F14">
        <w:rPr>
          <w:color w:val="000000" w:themeColor="text1"/>
        </w:rPr>
        <w:t>inister and the Department of</w:t>
      </w:r>
      <w:r>
        <w:rPr>
          <w:color w:val="000000" w:themeColor="text1"/>
        </w:rPr>
        <w:t xml:space="preserve"> Climate Change, Energy, the Environment and Water (</w:t>
      </w:r>
      <w:r>
        <w:rPr>
          <w:b/>
          <w:bCs/>
          <w:color w:val="000000" w:themeColor="text1"/>
        </w:rPr>
        <w:t>department</w:t>
      </w:r>
      <w:r>
        <w:rPr>
          <w:color w:val="000000" w:themeColor="text1"/>
        </w:rPr>
        <w:t>)</w:t>
      </w:r>
      <w:r w:rsidRPr="00BF4F14">
        <w:rPr>
          <w:color w:val="000000" w:themeColor="text1"/>
        </w:rPr>
        <w:t xml:space="preserve">, along with the section 10 report. Representations, even those subject to </w:t>
      </w:r>
      <w:r w:rsidRPr="00BF4F14">
        <w:rPr>
          <w:color w:val="000000" w:themeColor="text1"/>
        </w:rPr>
        <w:lastRenderedPageBreak/>
        <w:t>confidentiality, may be disclosed where it is authorised or required by law, to meet procedural fairness requirements, and in response to a request by a House or Committee of the Parliament of the Commonwealth.</w:t>
      </w:r>
    </w:p>
    <w:p w14:paraId="60551E2C" w14:textId="77777777" w:rsidR="00571A3D" w:rsidRDefault="00571A3D" w:rsidP="00571A3D">
      <w:pPr>
        <w:jc w:val="both"/>
        <w:rPr>
          <w:b/>
          <w:bCs/>
          <w:sz w:val="24"/>
          <w:szCs w:val="24"/>
        </w:rPr>
      </w:pPr>
      <w:r w:rsidRPr="003E4897">
        <w:rPr>
          <w:b/>
          <w:bCs/>
          <w:sz w:val="24"/>
          <w:szCs w:val="24"/>
        </w:rPr>
        <w:t>Privacy notice</w:t>
      </w:r>
    </w:p>
    <w:p w14:paraId="3C735A85" w14:textId="77777777" w:rsidR="00571A3D" w:rsidRPr="00521FBC" w:rsidRDefault="00571A3D" w:rsidP="00571A3D">
      <w:pPr>
        <w:rPr>
          <w:rFonts w:cstheme="minorHAnsi"/>
          <w:color w:val="333333"/>
          <w:u w:val="single"/>
          <w:shd w:val="clear" w:color="auto" w:fill="FFFFFF"/>
        </w:rPr>
      </w:pPr>
      <w:r>
        <w:rPr>
          <w:rFonts w:cstheme="minorHAnsi"/>
          <w:color w:val="333333"/>
          <w:u w:val="single"/>
          <w:shd w:val="clear" w:color="auto" w:fill="FFFFFF"/>
        </w:rPr>
        <w:t>What is personal information and sensitive information?</w:t>
      </w:r>
    </w:p>
    <w:p w14:paraId="306486AB" w14:textId="77777777" w:rsidR="00571A3D" w:rsidRDefault="00571A3D" w:rsidP="00571A3D">
      <w:pPr>
        <w:jc w:val="both"/>
        <w:rPr>
          <w:color w:val="000000"/>
        </w:rPr>
      </w:pPr>
      <w:r>
        <w:rPr>
          <w:color w:val="000000"/>
        </w:rPr>
        <w:t xml:space="preserve">The </w:t>
      </w:r>
      <w:r w:rsidRPr="00154495">
        <w:rPr>
          <w:i/>
          <w:iCs/>
          <w:color w:val="000000"/>
        </w:rPr>
        <w:t>Privacy Act 1988</w:t>
      </w:r>
      <w:r>
        <w:rPr>
          <w:color w:val="000000"/>
        </w:rPr>
        <w:t xml:space="preserve"> (</w:t>
      </w:r>
      <w:proofErr w:type="spellStart"/>
      <w:r>
        <w:rPr>
          <w:color w:val="000000"/>
        </w:rPr>
        <w:t>Cth</w:t>
      </w:r>
      <w:proofErr w:type="spellEnd"/>
      <w:r>
        <w:rPr>
          <w:color w:val="000000"/>
        </w:rPr>
        <w:t xml:space="preserve">) (the </w:t>
      </w:r>
      <w:r>
        <w:rPr>
          <w:b/>
          <w:bCs/>
          <w:color w:val="000000"/>
        </w:rPr>
        <w:t>Privacy Act</w:t>
      </w:r>
      <w:r>
        <w:rPr>
          <w:color w:val="000000"/>
        </w:rPr>
        <w:t>)</w:t>
      </w:r>
      <w:r>
        <w:rPr>
          <w:b/>
          <w:bCs/>
          <w:color w:val="000000"/>
        </w:rPr>
        <w:t xml:space="preserve"> </w:t>
      </w:r>
      <w:r>
        <w:rPr>
          <w:color w:val="000000"/>
        </w:rPr>
        <w:t xml:space="preserve">sets out how the department can collect, </w:t>
      </w:r>
      <w:proofErr w:type="gramStart"/>
      <w:r>
        <w:rPr>
          <w:color w:val="000000"/>
        </w:rPr>
        <w:t>use</w:t>
      </w:r>
      <w:proofErr w:type="gramEnd"/>
      <w:r>
        <w:rPr>
          <w:color w:val="000000"/>
        </w:rPr>
        <w:t xml:space="preserve"> and disclose the personal and sensitive information of individuals.</w:t>
      </w:r>
    </w:p>
    <w:p w14:paraId="1B8F2C9C" w14:textId="77777777" w:rsidR="00571A3D" w:rsidRDefault="00571A3D" w:rsidP="00571A3D">
      <w:pPr>
        <w:jc w:val="both"/>
        <w:rPr>
          <w:color w:val="000000"/>
        </w:rPr>
      </w:pPr>
      <w:r>
        <w:rPr>
          <w:color w:val="000000"/>
        </w:rPr>
        <w:t>‘Personal information’ is any information or opinion about an identified individual, or an individual who is reasonably identifiable (whether true or not).</w:t>
      </w:r>
    </w:p>
    <w:p w14:paraId="5EAF1205" w14:textId="77777777" w:rsidR="00571A3D" w:rsidRDefault="00571A3D" w:rsidP="00571A3D">
      <w:pPr>
        <w:jc w:val="both"/>
        <w:rPr>
          <w:color w:val="000000"/>
        </w:rPr>
      </w:pPr>
      <w:r>
        <w:rPr>
          <w:color w:val="000000"/>
        </w:rPr>
        <w:t>‘Sensitive information’ is a subset of personal information and includes any information or opinion about an individual’s racial or ethnic origin, political opinion or association, religious beliefs or affiliations, philosophical beliefs, sexual orientation or practices, trade or professional associations and memberships, union membership, criminal record, health or genetic information and biometric information or templates.</w:t>
      </w:r>
    </w:p>
    <w:p w14:paraId="7D53303D" w14:textId="77777777" w:rsidR="00571A3D" w:rsidRDefault="00571A3D" w:rsidP="00571A3D">
      <w:pPr>
        <w:jc w:val="both"/>
      </w:pPr>
      <w:r w:rsidRPr="00B54A91">
        <w:t>Your personal information will be used and stored in accordance with the Australian Privacy Principles</w:t>
      </w:r>
      <w:r>
        <w:t xml:space="preserve"> </w:t>
      </w:r>
      <w:r>
        <w:rPr>
          <w:rFonts w:cstheme="minorHAnsi"/>
          <w:color w:val="333333"/>
          <w:shd w:val="clear" w:color="auto" w:fill="FFFFFF"/>
        </w:rPr>
        <w:t>set out in Schedule 1 of the Privacy Act</w:t>
      </w:r>
      <w:r w:rsidRPr="00B54A91">
        <w:t>.</w:t>
      </w:r>
    </w:p>
    <w:p w14:paraId="254E29C2" w14:textId="47999798" w:rsidR="00B67759" w:rsidRPr="00BF0923" w:rsidRDefault="00B67759" w:rsidP="00B67759">
      <w:pPr>
        <w:rPr>
          <w:rFonts w:cstheme="minorHAnsi"/>
          <w:color w:val="333333"/>
          <w:shd w:val="clear" w:color="auto" w:fill="FFFFFF"/>
        </w:rPr>
      </w:pPr>
      <w:r>
        <w:rPr>
          <w:rFonts w:cstheme="minorHAnsi"/>
          <w:color w:val="333333"/>
          <w:u w:val="single"/>
          <w:shd w:val="clear" w:color="auto" w:fill="FFFFFF"/>
        </w:rPr>
        <w:t>Collection and use of personal information</w:t>
      </w:r>
      <w:r>
        <w:rPr>
          <w:color w:val="000000"/>
        </w:rPr>
        <w:br/>
      </w:r>
      <w:r>
        <w:rPr>
          <w:color w:val="000000"/>
        </w:rPr>
        <w:br/>
        <w:t>By submitting a representation in response to the ‘</w:t>
      </w:r>
      <w:r w:rsidRPr="00BD476E">
        <w:rPr>
          <w:color w:val="000000"/>
        </w:rPr>
        <w:t>Notice of an application for the preservation and protection of a specified area, being</w:t>
      </w:r>
      <w:r>
        <w:rPr>
          <w:color w:val="000000"/>
        </w:rPr>
        <w:t xml:space="preserve"> </w:t>
      </w:r>
      <w:proofErr w:type="spellStart"/>
      <w:r w:rsidRPr="00AF068A">
        <w:rPr>
          <w:color w:val="000000"/>
        </w:rPr>
        <w:t>Pulyku</w:t>
      </w:r>
      <w:proofErr w:type="spellEnd"/>
      <w:r w:rsidRPr="00AF068A">
        <w:rPr>
          <w:color w:val="000000"/>
        </w:rPr>
        <w:t xml:space="preserve"> (</w:t>
      </w:r>
      <w:proofErr w:type="spellStart"/>
      <w:r w:rsidRPr="00AF068A">
        <w:rPr>
          <w:color w:val="000000"/>
        </w:rPr>
        <w:t>Booylgoo</w:t>
      </w:r>
      <w:proofErr w:type="spellEnd"/>
      <w:r w:rsidRPr="00AF068A">
        <w:rPr>
          <w:color w:val="000000"/>
        </w:rPr>
        <w:t xml:space="preserve"> Range), near Sandstone, Western Australia</w:t>
      </w:r>
      <w:r>
        <w:rPr>
          <w:color w:val="000000"/>
        </w:rPr>
        <w:t>’ you consent to the collection of all personal information (including sensitive information) contained in your representation, by myself as the section 10 reporter and by the department.  By submitting a representation, you agree that you have read and understood this Privacy Notice.</w:t>
      </w:r>
    </w:p>
    <w:p w14:paraId="42A4CEFE" w14:textId="77777777" w:rsidR="00B67759" w:rsidRDefault="00B67759" w:rsidP="00B67759">
      <w:pPr>
        <w:jc w:val="both"/>
      </w:pPr>
      <w:r>
        <w:t>I, Andrew Cawthorn,</w:t>
      </w:r>
      <w:r w:rsidRPr="005D61CF">
        <w:t xml:space="preserve"> collect your personal information </w:t>
      </w:r>
      <w:r>
        <w:t>contained in your representation</w:t>
      </w:r>
      <w:r w:rsidRPr="005D61CF">
        <w:t xml:space="preserve"> for the purposes of </w:t>
      </w:r>
      <w:r>
        <w:t xml:space="preserve">consideration in drafting a report under section 10 of the </w:t>
      </w:r>
      <w:r w:rsidRPr="00DC0302">
        <w:t>Act</w:t>
      </w:r>
      <w:r>
        <w:t xml:space="preserve"> in relation to the specified area and related purposes</w:t>
      </w:r>
      <w:r w:rsidRPr="005D61CF">
        <w:t xml:space="preserve">. </w:t>
      </w:r>
      <w:r>
        <w:t xml:space="preserve">I will disclose your personal information to the department for the purpose of providing a section 10 report. </w:t>
      </w:r>
    </w:p>
    <w:p w14:paraId="47A5C61B" w14:textId="77777777" w:rsidR="00B67759" w:rsidRDefault="00B67759" w:rsidP="00B67759">
      <w:pPr>
        <w:jc w:val="both"/>
      </w:pPr>
      <w:r>
        <w:t xml:space="preserve">The department </w:t>
      </w:r>
      <w:r w:rsidRPr="005D61CF">
        <w:t xml:space="preserve">collects your personal information </w:t>
      </w:r>
      <w:r>
        <w:t>contained in your representation, and any subsequent correspondence in relation to your representation,</w:t>
      </w:r>
      <w:r w:rsidRPr="005D61CF">
        <w:t xml:space="preserve"> for the purposes of </w:t>
      </w:r>
      <w:r>
        <w:t xml:space="preserve">the minister’s consideration in deciding whether to make a declaration under section 10 of the Act in relation to the specified area </w:t>
      </w:r>
      <w:r w:rsidRPr="005D61CF">
        <w:t xml:space="preserve">and related purposes. </w:t>
      </w:r>
      <w:r>
        <w:t xml:space="preserve"> </w:t>
      </w:r>
    </w:p>
    <w:p w14:paraId="3DADDFDD" w14:textId="77777777" w:rsidR="00B67759" w:rsidRPr="00154495" w:rsidRDefault="00B67759" w:rsidP="00B67759">
      <w:pPr>
        <w:jc w:val="both"/>
        <w:rPr>
          <w:u w:val="single"/>
        </w:rPr>
      </w:pPr>
      <w:r w:rsidRPr="00154495">
        <w:rPr>
          <w:u w:val="single"/>
        </w:rPr>
        <w:t>Disclosure of personal information</w:t>
      </w:r>
    </w:p>
    <w:p w14:paraId="5271E3E5" w14:textId="77777777" w:rsidR="00B67759" w:rsidRDefault="00B67759" w:rsidP="00B67759">
      <w:pPr>
        <w:jc w:val="both"/>
        <w:rPr>
          <w:rFonts w:ascii="Calibri" w:hAnsi="Calibri" w:cs="Calibri"/>
        </w:rPr>
      </w:pPr>
      <w:r>
        <w:t xml:space="preserve">By submitting a representation, you consent to </w:t>
      </w:r>
      <w:r w:rsidRPr="00275675">
        <w:rPr>
          <w:rFonts w:cstheme="minorHAnsi"/>
          <w:szCs w:val="20"/>
        </w:rPr>
        <w:t>the disclosure of all personal information contained in your representation to:</w:t>
      </w:r>
      <w:r>
        <w:rPr>
          <w:rFonts w:cstheme="minorHAnsi"/>
          <w:szCs w:val="20"/>
        </w:rPr>
        <w:t xml:space="preserve"> the department; </w:t>
      </w:r>
      <w:r w:rsidRPr="005D61B7">
        <w:rPr>
          <w:rFonts w:cstheme="minorHAnsi"/>
          <w:szCs w:val="20"/>
        </w:rPr>
        <w:t xml:space="preserve">the </w:t>
      </w:r>
      <w:r>
        <w:rPr>
          <w:rFonts w:cstheme="minorHAnsi"/>
          <w:szCs w:val="20"/>
        </w:rPr>
        <w:t>m</w:t>
      </w:r>
      <w:r w:rsidRPr="005D61B7">
        <w:rPr>
          <w:rFonts w:cstheme="minorHAnsi"/>
          <w:szCs w:val="20"/>
        </w:rPr>
        <w:t>inister;</w:t>
      </w:r>
      <w:r>
        <w:rPr>
          <w:rFonts w:cstheme="minorHAnsi"/>
          <w:szCs w:val="20"/>
        </w:rPr>
        <w:t xml:space="preserve"> </w:t>
      </w:r>
      <w:r w:rsidRPr="004C2AC1">
        <w:rPr>
          <w:rFonts w:cstheme="minorHAnsi"/>
          <w:szCs w:val="20"/>
        </w:rPr>
        <w:t xml:space="preserve">parties that may be affected by the decision of the </w:t>
      </w:r>
      <w:r>
        <w:rPr>
          <w:rFonts w:cstheme="minorHAnsi"/>
          <w:szCs w:val="20"/>
        </w:rPr>
        <w:t>m</w:t>
      </w:r>
      <w:r w:rsidRPr="004C2AC1">
        <w:rPr>
          <w:rFonts w:cstheme="minorHAnsi"/>
          <w:szCs w:val="20"/>
        </w:rPr>
        <w:t>inister under section 10 of the Act, should this be required to meet procedural fairness requirements; and</w:t>
      </w:r>
      <w:r>
        <w:rPr>
          <w:rFonts w:ascii="Calibri" w:hAnsi="Calibri" w:cs="Calibri"/>
        </w:rPr>
        <w:t xml:space="preserve"> </w:t>
      </w:r>
      <w:r w:rsidRPr="004C2AC1">
        <w:rPr>
          <w:rFonts w:ascii="Calibri" w:hAnsi="Calibri" w:cs="Calibri"/>
        </w:rPr>
        <w:t xml:space="preserve">other </w:t>
      </w:r>
      <w:r>
        <w:rPr>
          <w:rFonts w:ascii="Calibri" w:hAnsi="Calibri" w:cs="Calibri"/>
        </w:rPr>
        <w:t>Commonwealth entities</w:t>
      </w:r>
      <w:r w:rsidRPr="004C2AC1">
        <w:rPr>
          <w:rFonts w:ascii="Calibri" w:hAnsi="Calibri" w:cs="Calibri"/>
        </w:rPr>
        <w:t xml:space="preserve">, </w:t>
      </w:r>
      <w:r>
        <w:rPr>
          <w:rFonts w:ascii="Calibri" w:hAnsi="Calibri" w:cs="Calibri"/>
        </w:rPr>
        <w:t xml:space="preserve">State or Territory entities, and/or </w:t>
      </w:r>
      <w:r w:rsidRPr="004C2AC1">
        <w:rPr>
          <w:rFonts w:ascii="Calibri" w:hAnsi="Calibri" w:cs="Calibri"/>
        </w:rPr>
        <w:t xml:space="preserve">persons or organisations </w:t>
      </w:r>
      <w:r>
        <w:rPr>
          <w:rFonts w:ascii="Calibri" w:hAnsi="Calibri" w:cs="Calibri"/>
        </w:rPr>
        <w:t>as</w:t>
      </w:r>
      <w:r w:rsidRPr="004C2AC1">
        <w:rPr>
          <w:rFonts w:ascii="Calibri" w:hAnsi="Calibri" w:cs="Calibri"/>
        </w:rPr>
        <w:t xml:space="preserve"> necessary for the purposes of preparing </w:t>
      </w:r>
      <w:r>
        <w:rPr>
          <w:rFonts w:ascii="Calibri" w:hAnsi="Calibri" w:cs="Calibri"/>
        </w:rPr>
        <w:t xml:space="preserve">and considering a </w:t>
      </w:r>
      <w:r w:rsidRPr="004C2AC1">
        <w:rPr>
          <w:rFonts w:ascii="Calibri" w:hAnsi="Calibri" w:cs="Calibri"/>
        </w:rPr>
        <w:t xml:space="preserve">report </w:t>
      </w:r>
      <w:r>
        <w:rPr>
          <w:rFonts w:ascii="Calibri" w:hAnsi="Calibri" w:cs="Calibri"/>
        </w:rPr>
        <w:t xml:space="preserve">under section 10 of the Act </w:t>
      </w:r>
      <w:r w:rsidRPr="004C2AC1">
        <w:rPr>
          <w:rFonts w:ascii="Calibri" w:hAnsi="Calibri" w:cs="Calibri"/>
        </w:rPr>
        <w:t xml:space="preserve">and </w:t>
      </w:r>
      <w:r>
        <w:rPr>
          <w:rFonts w:ascii="Calibri" w:hAnsi="Calibri" w:cs="Calibri"/>
        </w:rPr>
        <w:t>making a decision</w:t>
      </w:r>
      <w:r w:rsidRPr="004C2AC1">
        <w:rPr>
          <w:rFonts w:ascii="Calibri" w:hAnsi="Calibri" w:cs="Calibri"/>
        </w:rPr>
        <w:t xml:space="preserve">, provided the disclosure is consistent with relevant laws. </w:t>
      </w:r>
    </w:p>
    <w:p w14:paraId="7640B463" w14:textId="77777777" w:rsidR="00B67759" w:rsidRPr="00A563FF" w:rsidRDefault="00B67759" w:rsidP="00B67759">
      <w:pPr>
        <w:jc w:val="both"/>
        <w:rPr>
          <w:rFonts w:ascii="Calibri" w:hAnsi="Calibri" w:cs="Calibri"/>
          <w:color w:val="000000"/>
        </w:rPr>
      </w:pPr>
      <w:r w:rsidRPr="00A563FF">
        <w:rPr>
          <w:rFonts w:ascii="Calibri" w:hAnsi="Calibri" w:cs="Calibri"/>
          <w:color w:val="000000"/>
        </w:rPr>
        <w:t>Your personal information will not be disclosed to overseas recipients unless such disclosure is necessary to consider an application made under section 10 of the ATSHIP Act or for related purposes.</w:t>
      </w:r>
    </w:p>
    <w:p w14:paraId="2B551EE5" w14:textId="77777777" w:rsidR="00B67759" w:rsidRDefault="00B67759" w:rsidP="00B67759">
      <w:pPr>
        <w:jc w:val="both"/>
        <w:rPr>
          <w:rFonts w:ascii="Calibri" w:hAnsi="Calibri" w:cs="Calibri"/>
          <w:color w:val="000000"/>
          <w:u w:val="single"/>
        </w:rPr>
      </w:pPr>
      <w:r>
        <w:rPr>
          <w:rFonts w:ascii="Calibri" w:hAnsi="Calibri" w:cs="Calibri"/>
          <w:color w:val="000000"/>
          <w:u w:val="single"/>
        </w:rPr>
        <w:lastRenderedPageBreak/>
        <w:t>Anonymous representations</w:t>
      </w:r>
    </w:p>
    <w:p w14:paraId="7B8F0470" w14:textId="77777777" w:rsidR="00B67759" w:rsidRPr="00BF0923" w:rsidRDefault="00B67759" w:rsidP="00B67759">
      <w:pPr>
        <w:jc w:val="both"/>
        <w:rPr>
          <w:rFonts w:ascii="Calibri" w:hAnsi="Calibri" w:cs="Calibri"/>
          <w:color w:val="000000"/>
        </w:rPr>
      </w:pPr>
      <w:r>
        <w:t>You can choose to make an anonymous representation and/or to not disclose relevant personal information in your representation. However, this may mean your representation cannot be fully considered under the Act in relation to the specified area.</w:t>
      </w:r>
    </w:p>
    <w:p w14:paraId="38AA474E" w14:textId="77777777" w:rsidR="00B67759" w:rsidRPr="00DC0755" w:rsidRDefault="00B67759" w:rsidP="00B67759">
      <w:pPr>
        <w:jc w:val="both"/>
        <w:rPr>
          <w:rFonts w:ascii="Calibri" w:hAnsi="Calibri" w:cs="Calibri"/>
          <w:color w:val="000000"/>
          <w:u w:val="single"/>
        </w:rPr>
      </w:pPr>
      <w:r w:rsidRPr="00DC0755">
        <w:rPr>
          <w:rFonts w:ascii="Calibri" w:hAnsi="Calibri" w:cs="Calibri"/>
          <w:color w:val="000000"/>
          <w:u w:val="single"/>
        </w:rPr>
        <w:t>Personal and sensitive information of other individuals</w:t>
      </w:r>
    </w:p>
    <w:p w14:paraId="777E56AC" w14:textId="77777777" w:rsidR="00B67759" w:rsidRPr="005D61B7" w:rsidRDefault="00B67759" w:rsidP="00B67759">
      <w:pPr>
        <w:jc w:val="both"/>
      </w:pPr>
      <w:r>
        <w:t xml:space="preserve">If your representation contains the personal information of another person, you are responsible for ensuring the other person has agreed to their personal information being collected, </w:t>
      </w:r>
      <w:proofErr w:type="gramStart"/>
      <w:r>
        <w:t>used</w:t>
      </w:r>
      <w:proofErr w:type="gramEnd"/>
      <w:r>
        <w:t xml:space="preserve"> and disclosed for the purposes set out in this Privacy Notice. </w:t>
      </w:r>
      <w:r w:rsidRPr="00A563FF">
        <w:rPr>
          <w:rFonts w:ascii="Calibri" w:hAnsi="Calibri" w:cs="Calibri"/>
          <w:color w:val="000000"/>
        </w:rPr>
        <w:t xml:space="preserve">This includes </w:t>
      </w:r>
      <w:r>
        <w:rPr>
          <w:rFonts w:ascii="Calibri" w:hAnsi="Calibri" w:cs="Calibri"/>
          <w:color w:val="000000"/>
        </w:rPr>
        <w:t>giving them</w:t>
      </w:r>
      <w:r w:rsidRPr="00A563FF">
        <w:rPr>
          <w:rFonts w:ascii="Calibri" w:hAnsi="Calibri" w:cs="Calibri"/>
          <w:color w:val="000000"/>
        </w:rPr>
        <w:t xml:space="preserve"> a copy of the Gazette Notice and this Privacy Notic</w:t>
      </w:r>
      <w:r>
        <w:rPr>
          <w:rFonts w:ascii="Calibri" w:hAnsi="Calibri" w:cs="Calibri"/>
          <w:color w:val="000000"/>
        </w:rPr>
        <w:t>e</w:t>
      </w:r>
      <w:r w:rsidRPr="00A563FF">
        <w:rPr>
          <w:rFonts w:ascii="Calibri" w:hAnsi="Calibri" w:cs="Calibri"/>
          <w:color w:val="000000"/>
        </w:rPr>
        <w:t>.</w:t>
      </w:r>
    </w:p>
    <w:p w14:paraId="44CFEE6F" w14:textId="77777777" w:rsidR="00B67759" w:rsidRPr="002B43A2" w:rsidRDefault="00B67759" w:rsidP="00B67759">
      <w:pPr>
        <w:keepNext/>
        <w:jc w:val="both"/>
        <w:rPr>
          <w:rFonts w:ascii="Calibri" w:hAnsi="Calibri" w:cs="Calibri"/>
          <w:color w:val="000000"/>
          <w:u w:val="single"/>
        </w:rPr>
      </w:pPr>
      <w:r w:rsidRPr="002B43A2">
        <w:rPr>
          <w:rFonts w:ascii="Calibri" w:hAnsi="Calibri" w:cs="Calibri"/>
          <w:color w:val="000000"/>
          <w:u w:val="single"/>
        </w:rPr>
        <w:t>Privacy Policy</w:t>
      </w:r>
    </w:p>
    <w:p w14:paraId="77FAEC2A" w14:textId="5925EA81" w:rsidR="00B67759" w:rsidRPr="00B67759" w:rsidRDefault="00B67759" w:rsidP="00BF0923">
      <w:pPr>
        <w:rPr>
          <w:rFonts w:ascii="Calibri" w:hAnsi="Calibri" w:cs="Calibri"/>
          <w:color w:val="000000"/>
        </w:rPr>
      </w:pPr>
      <w:r>
        <w:rPr>
          <w:rFonts w:ascii="Calibri" w:hAnsi="Calibri" w:cs="Calibri"/>
          <w:color w:val="000000"/>
        </w:rPr>
        <w:t>T</w:t>
      </w:r>
      <w:r w:rsidRPr="004C2AC1">
        <w:rPr>
          <w:rFonts w:ascii="Calibri" w:hAnsi="Calibri" w:cs="Calibri"/>
          <w:color w:val="000000"/>
        </w:rPr>
        <w:t>he department's </w:t>
      </w:r>
      <w:hyperlink r:id="rId13" w:history="1">
        <w:r w:rsidRPr="00BF0923">
          <w:rPr>
            <w:rStyle w:val="Hyperlink"/>
            <w:rFonts w:ascii="Calibri" w:hAnsi="Calibri" w:cs="Calibri"/>
            <w:color w:val="165788"/>
            <w:u w:val="none"/>
          </w:rPr>
          <w:t>Privacy Policy</w:t>
        </w:r>
      </w:hyperlink>
      <w:r>
        <w:rPr>
          <w:rFonts w:ascii="Calibri" w:hAnsi="Calibri" w:cs="Calibri"/>
          <w:color w:val="000000"/>
        </w:rPr>
        <w:t xml:space="preserve"> is available at </w:t>
      </w:r>
      <w:hyperlink r:id="rId14" w:history="1">
        <w:r w:rsidRPr="006C49B6">
          <w:rPr>
            <w:rStyle w:val="Hyperlink"/>
            <w:rFonts w:ascii="Calibri" w:hAnsi="Calibri" w:cs="Calibri"/>
          </w:rPr>
          <w:t>https://www.dcceew.gov.au/about/commitment/privacy</w:t>
        </w:r>
      </w:hyperlink>
      <w:r>
        <w:rPr>
          <w:rFonts w:ascii="Calibri" w:hAnsi="Calibri" w:cs="Calibri"/>
          <w:color w:val="000000"/>
        </w:rPr>
        <w:t xml:space="preserve">. It contains more information about how personal information is handled, how to </w:t>
      </w:r>
      <w:r w:rsidRPr="004C2AC1">
        <w:rPr>
          <w:rFonts w:ascii="Calibri" w:hAnsi="Calibri" w:cs="Calibri"/>
          <w:color w:val="000000"/>
        </w:rPr>
        <w:t xml:space="preserve">access or correct </w:t>
      </w:r>
      <w:r>
        <w:rPr>
          <w:rFonts w:ascii="Calibri" w:hAnsi="Calibri" w:cs="Calibri"/>
          <w:color w:val="000000"/>
        </w:rPr>
        <w:t xml:space="preserve">your </w:t>
      </w:r>
      <w:r w:rsidRPr="004C2AC1">
        <w:rPr>
          <w:rFonts w:ascii="Calibri" w:hAnsi="Calibri" w:cs="Calibri"/>
          <w:color w:val="000000"/>
        </w:rPr>
        <w:t>personal information</w:t>
      </w:r>
      <w:r>
        <w:rPr>
          <w:rFonts w:ascii="Calibri" w:hAnsi="Calibri" w:cs="Calibri"/>
          <w:color w:val="000000"/>
        </w:rPr>
        <w:t>, and how to</w:t>
      </w:r>
      <w:r w:rsidRPr="004C2AC1">
        <w:rPr>
          <w:rFonts w:ascii="Calibri" w:hAnsi="Calibri" w:cs="Calibri"/>
          <w:color w:val="000000"/>
        </w:rPr>
        <w:t xml:space="preserve"> mak</w:t>
      </w:r>
      <w:r>
        <w:rPr>
          <w:rFonts w:ascii="Calibri" w:hAnsi="Calibri" w:cs="Calibri"/>
          <w:color w:val="000000"/>
        </w:rPr>
        <w:t>e</w:t>
      </w:r>
      <w:r w:rsidRPr="004C2AC1">
        <w:rPr>
          <w:rFonts w:ascii="Calibri" w:hAnsi="Calibri" w:cs="Calibri"/>
          <w:color w:val="000000"/>
        </w:rPr>
        <w:t xml:space="preserve"> a complaint.</w:t>
      </w:r>
    </w:p>
    <w:p w14:paraId="70431146" w14:textId="77777777" w:rsidR="00B67759" w:rsidRPr="00195123" w:rsidRDefault="00B67759" w:rsidP="00B67759"/>
    <w:p w14:paraId="47E3723B" w14:textId="77777777" w:rsidR="003A7A28" w:rsidRPr="00701D97" w:rsidRDefault="003A7A28" w:rsidP="00B67759">
      <w:pPr>
        <w:rPr>
          <w:rFonts w:cstheme="minorHAnsi"/>
          <w:lang w:val="en-US"/>
        </w:rPr>
      </w:pPr>
    </w:p>
    <w:sectPr w:rsidR="003A7A28" w:rsidRPr="00701D97" w:rsidSect="00050CF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31C5" w14:textId="77777777" w:rsidR="006B6615" w:rsidRDefault="006B6615" w:rsidP="003771BD">
      <w:pPr>
        <w:spacing w:after="0" w:line="240" w:lineRule="auto"/>
      </w:pPr>
      <w:r>
        <w:separator/>
      </w:r>
    </w:p>
  </w:endnote>
  <w:endnote w:type="continuationSeparator" w:id="0">
    <w:p w14:paraId="68733AE0" w14:textId="77777777" w:rsidR="006B6615" w:rsidRDefault="006B6615" w:rsidP="00377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BD82" w14:textId="77777777" w:rsidR="0048167B" w:rsidRDefault="004816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5E0F2" w14:textId="77777777" w:rsidR="0048167B" w:rsidRDefault="004816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4FC50" w14:textId="77777777" w:rsidR="0048167B" w:rsidRDefault="00481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87A16" w14:textId="77777777" w:rsidR="006B6615" w:rsidRDefault="006B6615" w:rsidP="003771BD">
      <w:pPr>
        <w:spacing w:after="0" w:line="240" w:lineRule="auto"/>
      </w:pPr>
      <w:r>
        <w:separator/>
      </w:r>
    </w:p>
  </w:footnote>
  <w:footnote w:type="continuationSeparator" w:id="0">
    <w:p w14:paraId="54A7269B" w14:textId="77777777" w:rsidR="006B6615" w:rsidRDefault="006B6615" w:rsidP="003771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37373" w14:textId="77777777" w:rsidR="0048167B" w:rsidRDefault="004816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6A63D" w14:textId="77777777" w:rsidR="0048167B" w:rsidRDefault="004816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7" w:type="dxa"/>
      <w:tblInd w:w="80" w:type="dxa"/>
      <w:tblLayout w:type="fixed"/>
      <w:tblLook w:val="01E0" w:firstRow="1" w:lastRow="1" w:firstColumn="1" w:lastColumn="1" w:noHBand="0" w:noVBand="0"/>
    </w:tblPr>
    <w:tblGrid>
      <w:gridCol w:w="1263"/>
      <w:gridCol w:w="4435"/>
      <w:gridCol w:w="3979"/>
    </w:tblGrid>
    <w:tr w:rsidR="005B62A5" w:rsidRPr="00CE796A" w14:paraId="14587371" w14:textId="77777777" w:rsidTr="00853692">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300FC262" w14:textId="77777777" w:rsidR="005B62A5" w:rsidRPr="00CE796A" w:rsidRDefault="005B62A5" w:rsidP="005B62A5">
          <w:pPr>
            <w:spacing w:before="60" w:after="0"/>
            <w:ind w:left="-51"/>
            <w:rPr>
              <w:rFonts w:ascii="Arial" w:hAnsi="Arial"/>
              <w:sz w:val="12"/>
            </w:rPr>
          </w:pPr>
          <w:bookmarkStart w:id="0" w:name="OLE_LINK2"/>
          <w:r>
            <w:rPr>
              <w:rFonts w:ascii="Arial" w:hAnsi="Arial"/>
              <w:noProof/>
              <w:sz w:val="12"/>
              <w:lang w:eastAsia="en-AU"/>
            </w:rPr>
            <w:drawing>
              <wp:inline distT="0" distB="0" distL="0" distR="0" wp14:anchorId="2DC1A062" wp14:editId="78328998">
                <wp:extent cx="702945" cy="544195"/>
                <wp:effectExtent l="0" t="0" r="0" b="8255"/>
                <wp:docPr id="2" name="Picture 2"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67A0FCB2" w14:textId="77777777" w:rsidR="005B62A5" w:rsidRPr="00CE796A" w:rsidRDefault="005B62A5" w:rsidP="005B62A5">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260B235D" w14:textId="77777777" w:rsidR="005B62A5" w:rsidRPr="00CE796A" w:rsidRDefault="005B62A5" w:rsidP="005B62A5">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5B62A5" w:rsidRPr="00CE796A" w14:paraId="1FCD9B0A" w14:textId="77777777" w:rsidTr="00853692">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2051628F" w14:textId="77777777" w:rsidR="005B62A5" w:rsidRPr="00CE796A" w:rsidRDefault="005B62A5" w:rsidP="005B62A5">
          <w:pPr>
            <w:spacing w:after="0"/>
            <w:ind w:left="-51"/>
            <w:rPr>
              <w:rFonts w:ascii="Arial" w:hAnsi="Arial" w:cs="Arial"/>
              <w:sz w:val="14"/>
              <w:szCs w:val="14"/>
            </w:rPr>
          </w:pPr>
          <w:bookmarkStart w:id="1" w:name="GazNo"/>
          <w:bookmarkEnd w:id="1"/>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6D3EDDBD" w14:textId="77777777" w:rsidR="005B62A5" w:rsidRPr="00840A06" w:rsidRDefault="005B62A5" w:rsidP="005B62A5">
          <w:pPr>
            <w:spacing w:after="0"/>
            <w:jc w:val="right"/>
            <w:rPr>
              <w:rFonts w:ascii="Arial" w:hAnsi="Arial" w:cs="Arial"/>
              <w:b/>
              <w:sz w:val="24"/>
              <w:szCs w:val="24"/>
            </w:rPr>
          </w:pPr>
          <w:r w:rsidRPr="00840A06">
            <w:rPr>
              <w:rFonts w:ascii="Arial" w:hAnsi="Arial" w:cs="Arial"/>
              <w:b/>
              <w:sz w:val="24"/>
              <w:szCs w:val="24"/>
            </w:rPr>
            <w:t>GOVERNMENT NOTICES</w:t>
          </w:r>
        </w:p>
      </w:tc>
    </w:tr>
    <w:bookmarkEnd w:id="0"/>
  </w:tbl>
  <w:p w14:paraId="5E25A729" w14:textId="77777777" w:rsidR="005B62A5" w:rsidRPr="005B62A5" w:rsidRDefault="005B62A5" w:rsidP="005B62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52C71"/>
    <w:multiLevelType w:val="multilevel"/>
    <w:tmpl w:val="2F2A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B474DA"/>
    <w:multiLevelType w:val="hybridMultilevel"/>
    <w:tmpl w:val="A112BCFC"/>
    <w:lvl w:ilvl="0" w:tplc="D3644A16">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DFC7B32"/>
    <w:multiLevelType w:val="hybridMultilevel"/>
    <w:tmpl w:val="16D41AC2"/>
    <w:lvl w:ilvl="0" w:tplc="043A90B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B24A83"/>
    <w:multiLevelType w:val="hybridMultilevel"/>
    <w:tmpl w:val="5B4853C4"/>
    <w:lvl w:ilvl="0" w:tplc="438CE4B2">
      <w:start w:val="1"/>
      <w:numFmt w:val="lowerLetter"/>
      <w:lvlText w:val="(%1)"/>
      <w:lvlJc w:val="left"/>
      <w:pPr>
        <w:tabs>
          <w:tab w:val="num" w:pos="930"/>
        </w:tabs>
        <w:ind w:left="930" w:hanging="570"/>
      </w:pPr>
      <w:rPr>
        <w:rFonts w:cs="Times New Roman" w:hint="default"/>
      </w:rPr>
    </w:lvl>
    <w:lvl w:ilvl="1" w:tplc="36AA8AF2" w:tentative="1">
      <w:start w:val="1"/>
      <w:numFmt w:val="lowerLetter"/>
      <w:lvlText w:val="%2."/>
      <w:lvlJc w:val="left"/>
      <w:pPr>
        <w:tabs>
          <w:tab w:val="num" w:pos="1440"/>
        </w:tabs>
        <w:ind w:left="1440" w:hanging="360"/>
      </w:pPr>
      <w:rPr>
        <w:rFonts w:cs="Times New Roman"/>
      </w:rPr>
    </w:lvl>
    <w:lvl w:ilvl="2" w:tplc="D338930A" w:tentative="1">
      <w:start w:val="1"/>
      <w:numFmt w:val="lowerRoman"/>
      <w:lvlText w:val="%3."/>
      <w:lvlJc w:val="right"/>
      <w:pPr>
        <w:tabs>
          <w:tab w:val="num" w:pos="2160"/>
        </w:tabs>
        <w:ind w:left="2160" w:hanging="180"/>
      </w:pPr>
      <w:rPr>
        <w:rFonts w:cs="Times New Roman"/>
      </w:rPr>
    </w:lvl>
    <w:lvl w:ilvl="3" w:tplc="57C22F86" w:tentative="1">
      <w:start w:val="1"/>
      <w:numFmt w:val="decimal"/>
      <w:lvlText w:val="%4."/>
      <w:lvlJc w:val="left"/>
      <w:pPr>
        <w:tabs>
          <w:tab w:val="num" w:pos="2880"/>
        </w:tabs>
        <w:ind w:left="2880" w:hanging="360"/>
      </w:pPr>
      <w:rPr>
        <w:rFonts w:cs="Times New Roman"/>
      </w:rPr>
    </w:lvl>
    <w:lvl w:ilvl="4" w:tplc="8E7A56EE" w:tentative="1">
      <w:start w:val="1"/>
      <w:numFmt w:val="lowerLetter"/>
      <w:lvlText w:val="%5."/>
      <w:lvlJc w:val="left"/>
      <w:pPr>
        <w:tabs>
          <w:tab w:val="num" w:pos="3600"/>
        </w:tabs>
        <w:ind w:left="3600" w:hanging="360"/>
      </w:pPr>
      <w:rPr>
        <w:rFonts w:cs="Times New Roman"/>
      </w:rPr>
    </w:lvl>
    <w:lvl w:ilvl="5" w:tplc="3A66E4A8" w:tentative="1">
      <w:start w:val="1"/>
      <w:numFmt w:val="lowerRoman"/>
      <w:lvlText w:val="%6."/>
      <w:lvlJc w:val="right"/>
      <w:pPr>
        <w:tabs>
          <w:tab w:val="num" w:pos="4320"/>
        </w:tabs>
        <w:ind w:left="4320" w:hanging="180"/>
      </w:pPr>
      <w:rPr>
        <w:rFonts w:cs="Times New Roman"/>
      </w:rPr>
    </w:lvl>
    <w:lvl w:ilvl="6" w:tplc="8E7004DC" w:tentative="1">
      <w:start w:val="1"/>
      <w:numFmt w:val="decimal"/>
      <w:lvlText w:val="%7."/>
      <w:lvlJc w:val="left"/>
      <w:pPr>
        <w:tabs>
          <w:tab w:val="num" w:pos="5040"/>
        </w:tabs>
        <w:ind w:left="5040" w:hanging="360"/>
      </w:pPr>
      <w:rPr>
        <w:rFonts w:cs="Times New Roman"/>
      </w:rPr>
    </w:lvl>
    <w:lvl w:ilvl="7" w:tplc="EC5C317E" w:tentative="1">
      <w:start w:val="1"/>
      <w:numFmt w:val="lowerLetter"/>
      <w:lvlText w:val="%8."/>
      <w:lvlJc w:val="left"/>
      <w:pPr>
        <w:tabs>
          <w:tab w:val="num" w:pos="5760"/>
        </w:tabs>
        <w:ind w:left="5760" w:hanging="360"/>
      </w:pPr>
      <w:rPr>
        <w:rFonts w:cs="Times New Roman"/>
      </w:rPr>
    </w:lvl>
    <w:lvl w:ilvl="8" w:tplc="1D8A9F00" w:tentative="1">
      <w:start w:val="1"/>
      <w:numFmt w:val="lowerRoman"/>
      <w:lvlText w:val="%9."/>
      <w:lvlJc w:val="right"/>
      <w:pPr>
        <w:tabs>
          <w:tab w:val="num" w:pos="6480"/>
        </w:tabs>
        <w:ind w:left="6480" w:hanging="180"/>
      </w:pPr>
      <w:rPr>
        <w:rFonts w:cs="Times New Roman"/>
      </w:rPr>
    </w:lvl>
  </w:abstractNum>
  <w:abstractNum w:abstractNumId="4" w15:restartNumberingAfterBreak="0">
    <w:nsid w:val="33F86AB7"/>
    <w:multiLevelType w:val="hybridMultilevel"/>
    <w:tmpl w:val="7C38D6EA"/>
    <w:lvl w:ilvl="0" w:tplc="6D969B4E">
      <w:start w:val="3"/>
      <w:numFmt w:val="lowerLetter"/>
      <w:lvlText w:val="(%1)"/>
      <w:lvlJc w:val="left"/>
      <w:pPr>
        <w:tabs>
          <w:tab w:val="num" w:pos="930"/>
        </w:tabs>
        <w:ind w:left="930" w:hanging="570"/>
      </w:pPr>
      <w:rPr>
        <w:rFonts w:cs="Times New Roman" w:hint="default"/>
      </w:rPr>
    </w:lvl>
    <w:lvl w:ilvl="1" w:tplc="9BF0C8C6" w:tentative="1">
      <w:start w:val="1"/>
      <w:numFmt w:val="lowerLetter"/>
      <w:lvlText w:val="%2."/>
      <w:lvlJc w:val="left"/>
      <w:pPr>
        <w:tabs>
          <w:tab w:val="num" w:pos="1440"/>
        </w:tabs>
        <w:ind w:left="1440" w:hanging="360"/>
      </w:pPr>
      <w:rPr>
        <w:rFonts w:cs="Times New Roman"/>
      </w:rPr>
    </w:lvl>
    <w:lvl w:ilvl="2" w:tplc="C9FC62C2" w:tentative="1">
      <w:start w:val="1"/>
      <w:numFmt w:val="lowerRoman"/>
      <w:lvlText w:val="%3."/>
      <w:lvlJc w:val="right"/>
      <w:pPr>
        <w:tabs>
          <w:tab w:val="num" w:pos="2160"/>
        </w:tabs>
        <w:ind w:left="2160" w:hanging="180"/>
      </w:pPr>
      <w:rPr>
        <w:rFonts w:cs="Times New Roman"/>
      </w:rPr>
    </w:lvl>
    <w:lvl w:ilvl="3" w:tplc="37F8B468" w:tentative="1">
      <w:start w:val="1"/>
      <w:numFmt w:val="decimal"/>
      <w:lvlText w:val="%4."/>
      <w:lvlJc w:val="left"/>
      <w:pPr>
        <w:tabs>
          <w:tab w:val="num" w:pos="2880"/>
        </w:tabs>
        <w:ind w:left="2880" w:hanging="360"/>
      </w:pPr>
      <w:rPr>
        <w:rFonts w:cs="Times New Roman"/>
      </w:rPr>
    </w:lvl>
    <w:lvl w:ilvl="4" w:tplc="7AD82C76" w:tentative="1">
      <w:start w:val="1"/>
      <w:numFmt w:val="lowerLetter"/>
      <w:lvlText w:val="%5."/>
      <w:lvlJc w:val="left"/>
      <w:pPr>
        <w:tabs>
          <w:tab w:val="num" w:pos="3600"/>
        </w:tabs>
        <w:ind w:left="3600" w:hanging="360"/>
      </w:pPr>
      <w:rPr>
        <w:rFonts w:cs="Times New Roman"/>
      </w:rPr>
    </w:lvl>
    <w:lvl w:ilvl="5" w:tplc="FD02C070" w:tentative="1">
      <w:start w:val="1"/>
      <w:numFmt w:val="lowerRoman"/>
      <w:lvlText w:val="%6."/>
      <w:lvlJc w:val="right"/>
      <w:pPr>
        <w:tabs>
          <w:tab w:val="num" w:pos="4320"/>
        </w:tabs>
        <w:ind w:left="4320" w:hanging="180"/>
      </w:pPr>
      <w:rPr>
        <w:rFonts w:cs="Times New Roman"/>
      </w:rPr>
    </w:lvl>
    <w:lvl w:ilvl="6" w:tplc="141E3594" w:tentative="1">
      <w:start w:val="1"/>
      <w:numFmt w:val="decimal"/>
      <w:lvlText w:val="%7."/>
      <w:lvlJc w:val="left"/>
      <w:pPr>
        <w:tabs>
          <w:tab w:val="num" w:pos="5040"/>
        </w:tabs>
        <w:ind w:left="5040" w:hanging="360"/>
      </w:pPr>
      <w:rPr>
        <w:rFonts w:cs="Times New Roman"/>
      </w:rPr>
    </w:lvl>
    <w:lvl w:ilvl="7" w:tplc="C5CA897E" w:tentative="1">
      <w:start w:val="1"/>
      <w:numFmt w:val="lowerLetter"/>
      <w:lvlText w:val="%8."/>
      <w:lvlJc w:val="left"/>
      <w:pPr>
        <w:tabs>
          <w:tab w:val="num" w:pos="5760"/>
        </w:tabs>
        <w:ind w:left="5760" w:hanging="360"/>
      </w:pPr>
      <w:rPr>
        <w:rFonts w:cs="Times New Roman"/>
      </w:rPr>
    </w:lvl>
    <w:lvl w:ilvl="8" w:tplc="1312FF04" w:tentative="1">
      <w:start w:val="1"/>
      <w:numFmt w:val="lowerRoman"/>
      <w:lvlText w:val="%9."/>
      <w:lvlJc w:val="right"/>
      <w:pPr>
        <w:tabs>
          <w:tab w:val="num" w:pos="6480"/>
        </w:tabs>
        <w:ind w:left="6480" w:hanging="180"/>
      </w:pPr>
      <w:rPr>
        <w:rFonts w:cs="Times New Roman"/>
      </w:rPr>
    </w:lvl>
  </w:abstractNum>
  <w:abstractNum w:abstractNumId="5" w15:restartNumberingAfterBreak="0">
    <w:nsid w:val="630031BE"/>
    <w:multiLevelType w:val="hybridMultilevel"/>
    <w:tmpl w:val="1570E6E2"/>
    <w:lvl w:ilvl="0" w:tplc="2CB44B24">
      <w:start w:val="1"/>
      <w:numFmt w:val="bullet"/>
      <w:lvlText w:val=""/>
      <w:lvlJc w:val="left"/>
      <w:pPr>
        <w:ind w:left="720" w:hanging="360"/>
      </w:pPr>
      <w:rPr>
        <w:rFonts w:ascii="Symbol" w:hAnsi="Symbol" w:hint="default"/>
      </w:rPr>
    </w:lvl>
    <w:lvl w:ilvl="1" w:tplc="00C6F440">
      <w:start w:val="1"/>
      <w:numFmt w:val="decimal"/>
      <w:lvlText w:val="%2."/>
      <w:lvlJc w:val="left"/>
      <w:pPr>
        <w:tabs>
          <w:tab w:val="num" w:pos="1440"/>
        </w:tabs>
        <w:ind w:left="1440" w:hanging="360"/>
      </w:pPr>
    </w:lvl>
    <w:lvl w:ilvl="2" w:tplc="03F6542E">
      <w:start w:val="1"/>
      <w:numFmt w:val="decimal"/>
      <w:lvlText w:val="%3."/>
      <w:lvlJc w:val="left"/>
      <w:pPr>
        <w:tabs>
          <w:tab w:val="num" w:pos="2160"/>
        </w:tabs>
        <w:ind w:left="2160" w:hanging="360"/>
      </w:pPr>
    </w:lvl>
    <w:lvl w:ilvl="3" w:tplc="CB1EE926">
      <w:start w:val="1"/>
      <w:numFmt w:val="decimal"/>
      <w:lvlText w:val="%4."/>
      <w:lvlJc w:val="left"/>
      <w:pPr>
        <w:tabs>
          <w:tab w:val="num" w:pos="2880"/>
        </w:tabs>
        <w:ind w:left="2880" w:hanging="360"/>
      </w:pPr>
    </w:lvl>
    <w:lvl w:ilvl="4" w:tplc="059232D6">
      <w:start w:val="1"/>
      <w:numFmt w:val="decimal"/>
      <w:lvlText w:val="%5."/>
      <w:lvlJc w:val="left"/>
      <w:pPr>
        <w:tabs>
          <w:tab w:val="num" w:pos="3600"/>
        </w:tabs>
        <w:ind w:left="3600" w:hanging="360"/>
      </w:pPr>
    </w:lvl>
    <w:lvl w:ilvl="5" w:tplc="933A7DC8">
      <w:start w:val="1"/>
      <w:numFmt w:val="decimal"/>
      <w:lvlText w:val="%6."/>
      <w:lvlJc w:val="left"/>
      <w:pPr>
        <w:tabs>
          <w:tab w:val="num" w:pos="4320"/>
        </w:tabs>
        <w:ind w:left="4320" w:hanging="360"/>
      </w:pPr>
    </w:lvl>
    <w:lvl w:ilvl="6" w:tplc="EA80F932">
      <w:start w:val="1"/>
      <w:numFmt w:val="decimal"/>
      <w:lvlText w:val="%7."/>
      <w:lvlJc w:val="left"/>
      <w:pPr>
        <w:tabs>
          <w:tab w:val="num" w:pos="5040"/>
        </w:tabs>
        <w:ind w:left="5040" w:hanging="360"/>
      </w:pPr>
    </w:lvl>
    <w:lvl w:ilvl="7" w:tplc="B340258A">
      <w:start w:val="1"/>
      <w:numFmt w:val="decimal"/>
      <w:lvlText w:val="%8."/>
      <w:lvlJc w:val="left"/>
      <w:pPr>
        <w:tabs>
          <w:tab w:val="num" w:pos="5760"/>
        </w:tabs>
        <w:ind w:left="5760" w:hanging="360"/>
      </w:pPr>
    </w:lvl>
    <w:lvl w:ilvl="8" w:tplc="68FC17F8">
      <w:start w:val="1"/>
      <w:numFmt w:val="decimal"/>
      <w:lvlText w:val="%9."/>
      <w:lvlJc w:val="left"/>
      <w:pPr>
        <w:tabs>
          <w:tab w:val="num" w:pos="6480"/>
        </w:tabs>
        <w:ind w:left="6480" w:hanging="360"/>
      </w:pPr>
    </w:lvl>
  </w:abstractNum>
  <w:abstractNum w:abstractNumId="6" w15:restartNumberingAfterBreak="0">
    <w:nsid w:val="6BA73647"/>
    <w:multiLevelType w:val="hybridMultilevel"/>
    <w:tmpl w:val="0032CA8A"/>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 w15:restartNumberingAfterBreak="0">
    <w:nsid w:val="758957F6"/>
    <w:multiLevelType w:val="hybridMultilevel"/>
    <w:tmpl w:val="4A6A5874"/>
    <w:lvl w:ilvl="0" w:tplc="1BE43DC6">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5C2749E"/>
    <w:multiLevelType w:val="hybridMultilevel"/>
    <w:tmpl w:val="386AC1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94197960">
    <w:abstractNumId w:val="0"/>
  </w:num>
  <w:num w:numId="2" w16cid:durableId="1271350921">
    <w:abstractNumId w:val="7"/>
  </w:num>
  <w:num w:numId="3" w16cid:durableId="417990581">
    <w:abstractNumId w:val="6"/>
  </w:num>
  <w:num w:numId="4" w16cid:durableId="1683972302">
    <w:abstractNumId w:val="4"/>
  </w:num>
  <w:num w:numId="5" w16cid:durableId="1488131600">
    <w:abstractNumId w:val="3"/>
  </w:num>
  <w:num w:numId="6" w16cid:durableId="1000785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5300252">
    <w:abstractNumId w:val="2"/>
  </w:num>
  <w:num w:numId="8" w16cid:durableId="1806124079">
    <w:abstractNumId w:val="1"/>
  </w:num>
  <w:num w:numId="9" w16cid:durableId="1319845432">
    <w:abstractNumId w:val="5"/>
  </w:num>
  <w:num w:numId="10" w16cid:durableId="21020683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804"/>
    <w:rsid w:val="000135B1"/>
    <w:rsid w:val="00021DF0"/>
    <w:rsid w:val="00040243"/>
    <w:rsid w:val="000424F2"/>
    <w:rsid w:val="00050CFA"/>
    <w:rsid w:val="0009234B"/>
    <w:rsid w:val="000D0D14"/>
    <w:rsid w:val="00120574"/>
    <w:rsid w:val="0012618E"/>
    <w:rsid w:val="00133796"/>
    <w:rsid w:val="0013440B"/>
    <w:rsid w:val="00155471"/>
    <w:rsid w:val="00170000"/>
    <w:rsid w:val="00180A0D"/>
    <w:rsid w:val="0018729A"/>
    <w:rsid w:val="001A35D6"/>
    <w:rsid w:val="001B608D"/>
    <w:rsid w:val="002079D4"/>
    <w:rsid w:val="00216CE3"/>
    <w:rsid w:val="00223F87"/>
    <w:rsid w:val="00267C5F"/>
    <w:rsid w:val="00282DBF"/>
    <w:rsid w:val="002C0E42"/>
    <w:rsid w:val="002C572A"/>
    <w:rsid w:val="00315F38"/>
    <w:rsid w:val="003505BF"/>
    <w:rsid w:val="00353199"/>
    <w:rsid w:val="003629E1"/>
    <w:rsid w:val="003771BD"/>
    <w:rsid w:val="003A7A28"/>
    <w:rsid w:val="003C4F84"/>
    <w:rsid w:val="003C743F"/>
    <w:rsid w:val="003E54FC"/>
    <w:rsid w:val="00401071"/>
    <w:rsid w:val="004414A5"/>
    <w:rsid w:val="00453F45"/>
    <w:rsid w:val="0048167B"/>
    <w:rsid w:val="00491976"/>
    <w:rsid w:val="00493A14"/>
    <w:rsid w:val="00494294"/>
    <w:rsid w:val="004A44D9"/>
    <w:rsid w:val="004E2D7F"/>
    <w:rsid w:val="00535135"/>
    <w:rsid w:val="00543A6B"/>
    <w:rsid w:val="0056332C"/>
    <w:rsid w:val="00565D2C"/>
    <w:rsid w:val="00571A3D"/>
    <w:rsid w:val="0058366A"/>
    <w:rsid w:val="005A74CF"/>
    <w:rsid w:val="005B62A5"/>
    <w:rsid w:val="005C0094"/>
    <w:rsid w:val="005C77EE"/>
    <w:rsid w:val="0063341F"/>
    <w:rsid w:val="00641F60"/>
    <w:rsid w:val="006A2376"/>
    <w:rsid w:val="006B6615"/>
    <w:rsid w:val="006E1744"/>
    <w:rsid w:val="00701D97"/>
    <w:rsid w:val="0070602B"/>
    <w:rsid w:val="00736903"/>
    <w:rsid w:val="00752F25"/>
    <w:rsid w:val="00792BF7"/>
    <w:rsid w:val="007A437E"/>
    <w:rsid w:val="007E051B"/>
    <w:rsid w:val="008446F6"/>
    <w:rsid w:val="00890E09"/>
    <w:rsid w:val="008910B3"/>
    <w:rsid w:val="008B03F2"/>
    <w:rsid w:val="008E4FDF"/>
    <w:rsid w:val="008F718B"/>
    <w:rsid w:val="00975FCE"/>
    <w:rsid w:val="009874CA"/>
    <w:rsid w:val="009D3CDB"/>
    <w:rsid w:val="00A037BD"/>
    <w:rsid w:val="00A65B4B"/>
    <w:rsid w:val="00AA7B65"/>
    <w:rsid w:val="00AE7804"/>
    <w:rsid w:val="00B040F7"/>
    <w:rsid w:val="00B158AB"/>
    <w:rsid w:val="00B16B1F"/>
    <w:rsid w:val="00B2336A"/>
    <w:rsid w:val="00B2662B"/>
    <w:rsid w:val="00B3181B"/>
    <w:rsid w:val="00B668FE"/>
    <w:rsid w:val="00B67759"/>
    <w:rsid w:val="00BB23AA"/>
    <w:rsid w:val="00BB7DE8"/>
    <w:rsid w:val="00BF0923"/>
    <w:rsid w:val="00BF4758"/>
    <w:rsid w:val="00C01410"/>
    <w:rsid w:val="00C12BCE"/>
    <w:rsid w:val="00C22228"/>
    <w:rsid w:val="00C471F4"/>
    <w:rsid w:val="00CA1C7A"/>
    <w:rsid w:val="00CB7BDB"/>
    <w:rsid w:val="00CF1327"/>
    <w:rsid w:val="00D278D9"/>
    <w:rsid w:val="00D35F8F"/>
    <w:rsid w:val="00D76395"/>
    <w:rsid w:val="00DB2882"/>
    <w:rsid w:val="00DB2B68"/>
    <w:rsid w:val="00DB57B6"/>
    <w:rsid w:val="00E30CC9"/>
    <w:rsid w:val="00E32520"/>
    <w:rsid w:val="00E45CC2"/>
    <w:rsid w:val="00E7353E"/>
    <w:rsid w:val="00EA5986"/>
    <w:rsid w:val="00EF238D"/>
    <w:rsid w:val="00EF3105"/>
    <w:rsid w:val="00F02AC9"/>
    <w:rsid w:val="00F306EC"/>
    <w:rsid w:val="00F511D8"/>
    <w:rsid w:val="00FE1D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8A207"/>
  <w15:chartTrackingRefBased/>
  <w15:docId w15:val="{BE76CCE6-1D99-4974-9659-3F909344C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9"/>
    <w:qFormat/>
    <w:rsid w:val="004E2D7F"/>
    <w:pPr>
      <w:keepNext/>
      <w:keepLines/>
      <w:spacing w:before="200" w:after="0" w:line="276" w:lineRule="auto"/>
      <w:outlineLvl w:val="2"/>
    </w:pPr>
    <w:rPr>
      <w:rFonts w:ascii="Times New Roman" w:eastAsia="Times New Roman" w:hAnsi="Times New Roman" w:cs="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01D97"/>
    <w:rPr>
      <w:i/>
      <w:iCs/>
    </w:rPr>
  </w:style>
  <w:style w:type="paragraph" w:styleId="NormalWeb">
    <w:name w:val="Normal (Web)"/>
    <w:basedOn w:val="Normal"/>
    <w:uiPriority w:val="99"/>
    <w:semiHidden/>
    <w:unhideWhenUsed/>
    <w:rsid w:val="00701D9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01D97"/>
    <w:rPr>
      <w:color w:val="0000FF"/>
      <w:u w:val="single"/>
    </w:rPr>
  </w:style>
  <w:style w:type="paragraph" w:styleId="ListParagraph">
    <w:name w:val="List Paragraph"/>
    <w:basedOn w:val="Normal"/>
    <w:uiPriority w:val="34"/>
    <w:qFormat/>
    <w:rsid w:val="00E30CC9"/>
    <w:pPr>
      <w:ind w:left="720"/>
      <w:contextualSpacing/>
    </w:pPr>
  </w:style>
  <w:style w:type="table" w:styleId="TableGrid">
    <w:name w:val="Table Grid"/>
    <w:basedOn w:val="TableNormal"/>
    <w:uiPriority w:val="39"/>
    <w:rsid w:val="00DB2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2D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D7F"/>
    <w:rPr>
      <w:rFonts w:ascii="Segoe UI" w:hAnsi="Segoe UI" w:cs="Segoe UI"/>
      <w:sz w:val="18"/>
      <w:szCs w:val="18"/>
    </w:rPr>
  </w:style>
  <w:style w:type="character" w:customStyle="1" w:styleId="Heading3Char">
    <w:name w:val="Heading 3 Char"/>
    <w:basedOn w:val="DefaultParagraphFont"/>
    <w:link w:val="Heading3"/>
    <w:uiPriority w:val="99"/>
    <w:rsid w:val="004E2D7F"/>
    <w:rPr>
      <w:rFonts w:ascii="Times New Roman" w:eastAsia="Times New Roman" w:hAnsi="Times New Roman" w:cs="Times New Roman"/>
      <w:b/>
      <w:bCs/>
      <w:sz w:val="24"/>
    </w:rPr>
  </w:style>
  <w:style w:type="paragraph" w:customStyle="1" w:styleId="Default">
    <w:name w:val="Default"/>
    <w:rsid w:val="004E2D7F"/>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unhideWhenUsed/>
    <w:qFormat/>
    <w:rsid w:val="004E2D7F"/>
    <w:pPr>
      <w:spacing w:after="200" w:line="240" w:lineRule="auto"/>
    </w:pPr>
    <w:rPr>
      <w:b/>
      <w:bCs/>
      <w:color w:val="4472C4" w:themeColor="accent1"/>
      <w:sz w:val="18"/>
      <w:szCs w:val="18"/>
    </w:rPr>
  </w:style>
  <w:style w:type="character" w:styleId="UnresolvedMention">
    <w:name w:val="Unresolved Mention"/>
    <w:basedOn w:val="DefaultParagraphFont"/>
    <w:uiPriority w:val="99"/>
    <w:semiHidden/>
    <w:unhideWhenUsed/>
    <w:rsid w:val="00D35F8F"/>
    <w:rPr>
      <w:color w:val="605E5C"/>
      <w:shd w:val="clear" w:color="auto" w:fill="E1DFDD"/>
    </w:rPr>
  </w:style>
  <w:style w:type="paragraph" w:styleId="Revision">
    <w:name w:val="Revision"/>
    <w:hidden/>
    <w:uiPriority w:val="99"/>
    <w:semiHidden/>
    <w:rsid w:val="008446F6"/>
    <w:pPr>
      <w:spacing w:after="0" w:line="240" w:lineRule="auto"/>
    </w:pPr>
  </w:style>
  <w:style w:type="character" w:styleId="CommentReference">
    <w:name w:val="annotation reference"/>
    <w:basedOn w:val="DefaultParagraphFont"/>
    <w:uiPriority w:val="99"/>
    <w:semiHidden/>
    <w:unhideWhenUsed/>
    <w:rsid w:val="00B040F7"/>
    <w:rPr>
      <w:sz w:val="16"/>
      <w:szCs w:val="16"/>
    </w:rPr>
  </w:style>
  <w:style w:type="paragraph" w:styleId="CommentText">
    <w:name w:val="annotation text"/>
    <w:basedOn w:val="Normal"/>
    <w:link w:val="CommentTextChar"/>
    <w:uiPriority w:val="99"/>
    <w:unhideWhenUsed/>
    <w:rsid w:val="00B040F7"/>
    <w:pPr>
      <w:spacing w:line="240" w:lineRule="auto"/>
    </w:pPr>
    <w:rPr>
      <w:sz w:val="20"/>
      <w:szCs w:val="20"/>
    </w:rPr>
  </w:style>
  <w:style w:type="character" w:customStyle="1" w:styleId="CommentTextChar">
    <w:name w:val="Comment Text Char"/>
    <w:basedOn w:val="DefaultParagraphFont"/>
    <w:link w:val="CommentText"/>
    <w:uiPriority w:val="99"/>
    <w:rsid w:val="00B040F7"/>
    <w:rPr>
      <w:sz w:val="20"/>
      <w:szCs w:val="20"/>
    </w:rPr>
  </w:style>
  <w:style w:type="paragraph" w:styleId="CommentSubject">
    <w:name w:val="annotation subject"/>
    <w:basedOn w:val="CommentText"/>
    <w:next w:val="CommentText"/>
    <w:link w:val="CommentSubjectChar"/>
    <w:uiPriority w:val="99"/>
    <w:semiHidden/>
    <w:unhideWhenUsed/>
    <w:rsid w:val="00B040F7"/>
    <w:rPr>
      <w:b/>
      <w:bCs/>
    </w:rPr>
  </w:style>
  <w:style w:type="character" w:customStyle="1" w:styleId="CommentSubjectChar">
    <w:name w:val="Comment Subject Char"/>
    <w:basedOn w:val="CommentTextChar"/>
    <w:link w:val="CommentSubject"/>
    <w:uiPriority w:val="99"/>
    <w:semiHidden/>
    <w:rsid w:val="00B040F7"/>
    <w:rPr>
      <w:b/>
      <w:bCs/>
      <w:sz w:val="20"/>
      <w:szCs w:val="20"/>
    </w:rPr>
  </w:style>
  <w:style w:type="character" w:styleId="FollowedHyperlink">
    <w:name w:val="FollowedHyperlink"/>
    <w:basedOn w:val="DefaultParagraphFont"/>
    <w:uiPriority w:val="99"/>
    <w:semiHidden/>
    <w:unhideWhenUsed/>
    <w:rsid w:val="00B040F7"/>
    <w:rPr>
      <w:color w:val="954F72" w:themeColor="followedHyperlink"/>
      <w:u w:val="single"/>
    </w:rPr>
  </w:style>
  <w:style w:type="paragraph" w:styleId="Header">
    <w:name w:val="header"/>
    <w:basedOn w:val="Normal"/>
    <w:link w:val="HeaderChar"/>
    <w:uiPriority w:val="99"/>
    <w:unhideWhenUsed/>
    <w:rsid w:val="003771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1BD"/>
  </w:style>
  <w:style w:type="paragraph" w:styleId="Footer">
    <w:name w:val="footer"/>
    <w:basedOn w:val="Normal"/>
    <w:link w:val="FooterChar"/>
    <w:uiPriority w:val="99"/>
    <w:unhideWhenUsed/>
    <w:rsid w:val="003771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352962">
      <w:bodyDiv w:val="1"/>
      <w:marLeft w:val="0"/>
      <w:marRight w:val="0"/>
      <w:marTop w:val="0"/>
      <w:marBottom w:val="0"/>
      <w:divBdr>
        <w:top w:val="none" w:sz="0" w:space="0" w:color="auto"/>
        <w:left w:val="none" w:sz="0" w:space="0" w:color="auto"/>
        <w:bottom w:val="none" w:sz="0" w:space="0" w:color="auto"/>
        <w:right w:val="none" w:sz="0" w:space="0" w:color="auto"/>
      </w:divBdr>
    </w:div>
    <w:div w:id="189742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cceew.gov.au/about/commitment/priva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drewcawthorn@proton.m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cceew.gov.au/about/commitment/privacy"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c69ac391-32fa-4f12-a1bb-8b0f3c8828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F6FEA9BFC9C3408FC9AB4369722A56" ma:contentTypeVersion="14" ma:contentTypeDescription="Create a new document." ma:contentTypeScope="" ma:versionID="a49ac039bc891875d4a56ca16f95c440">
  <xsd:schema xmlns:xsd="http://www.w3.org/2001/XMLSchema" xmlns:xs="http://www.w3.org/2001/XMLSchema" xmlns:p="http://schemas.microsoft.com/office/2006/metadata/properties" xmlns:ns3="c69ac391-32fa-4f12-a1bb-8b0f3c88286d" xmlns:ns4="b70bec97-05c3-4c5b-ae25-0f5f29e84945" targetNamespace="http://schemas.microsoft.com/office/2006/metadata/properties" ma:root="true" ma:fieldsID="9cabd6519a23c2f73b03adf1d3e5f8c3" ns3:_="" ns4:_="">
    <xsd:import namespace="c69ac391-32fa-4f12-a1bb-8b0f3c88286d"/>
    <xsd:import namespace="b70bec97-05c3-4c5b-ae25-0f5f29e84945"/>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ac391-32fa-4f12-a1bb-8b0f3c882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0bec97-05c3-4c5b-ae25-0f5f29e849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0B1B04-2578-4F61-9193-AD916B01CA78}">
  <ds:schemaRefs>
    <ds:schemaRef ds:uri="http://schemas.openxmlformats.org/officeDocument/2006/bibliography"/>
  </ds:schemaRefs>
</ds:datastoreItem>
</file>

<file path=customXml/itemProps2.xml><?xml version="1.0" encoding="utf-8"?>
<ds:datastoreItem xmlns:ds="http://schemas.openxmlformats.org/officeDocument/2006/customXml" ds:itemID="{1EF415CD-183D-406F-A5BE-7A13CAFDF864}">
  <ds:schemaRefs>
    <ds:schemaRef ds:uri="http://purl.org/dc/dcmitype/"/>
    <ds:schemaRef ds:uri="http://schemas.microsoft.com/office/2006/metadata/properties"/>
    <ds:schemaRef ds:uri="http://www.w3.org/XML/1998/namespace"/>
    <ds:schemaRef ds:uri="http://purl.org/dc/terms/"/>
    <ds:schemaRef ds:uri="http://purl.org/dc/elements/1.1/"/>
    <ds:schemaRef ds:uri="c69ac391-32fa-4f12-a1bb-8b0f3c88286d"/>
    <ds:schemaRef ds:uri="http://schemas.microsoft.com/office/2006/documentManagement/types"/>
    <ds:schemaRef ds:uri="http://schemas.microsoft.com/office/infopath/2007/PartnerControls"/>
    <ds:schemaRef ds:uri="http://schemas.openxmlformats.org/package/2006/metadata/core-properties"/>
    <ds:schemaRef ds:uri="b70bec97-05c3-4c5b-ae25-0f5f29e84945"/>
  </ds:schemaRefs>
</ds:datastoreItem>
</file>

<file path=customXml/itemProps3.xml><?xml version="1.0" encoding="utf-8"?>
<ds:datastoreItem xmlns:ds="http://schemas.openxmlformats.org/officeDocument/2006/customXml" ds:itemID="{60B3E71B-41EA-4407-950A-D234BED18C2D}">
  <ds:schemaRefs>
    <ds:schemaRef ds:uri="http://schemas.microsoft.com/sharepoint/v3/contenttype/forms"/>
  </ds:schemaRefs>
</ds:datastoreItem>
</file>

<file path=customXml/itemProps4.xml><?xml version="1.0" encoding="utf-8"?>
<ds:datastoreItem xmlns:ds="http://schemas.openxmlformats.org/officeDocument/2006/customXml" ds:itemID="{C57F53FD-7042-4AA9-9F19-D83E18885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ac391-32fa-4f12-a1bb-8b0f3c88286d"/>
    <ds:schemaRef ds:uri="b70bec97-05c3-4c5b-ae25-0f5f29e84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1937</Words>
  <Characters>11044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TEMPLATE - Public Notice</vt:lpstr>
    </vt:vector>
  </TitlesOfParts>
  <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Public Notice</dc:title>
  <dc:subject/>
  <dc:creator>Deborah Mak</dc:creator>
  <cp:keywords/>
  <dc:description/>
  <cp:lastModifiedBy>Gray, Bec</cp:lastModifiedBy>
  <cp:revision>2</cp:revision>
  <dcterms:created xsi:type="dcterms:W3CDTF">2024-05-20T06:25:00Z</dcterms:created>
  <dcterms:modified xsi:type="dcterms:W3CDTF">2024-05-20T06:25:00Z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0x010100DFF6FEA9BFC9C3408FC9AB4369722A56</vt:lpwstr>
  </property>
  <property fmtid="{D5CDD505-2E9C-101B-9397-08002B2CF9AE}" pid="3" name="MediaServiceImageTags">
    <vt:lpwstr/>
  </property>
  <property fmtid="{D5CDD505-2E9C-101B-9397-08002B2CF9AE}" pid="4" name="RecordPoint_WorkflowType">
    <vt:lpwstr>ActiveSubmitStub</vt:lpwstr>
  </property>
  <property fmtid="{D5CDD505-2E9C-101B-9397-08002B2CF9AE}" pid="5" name="RecordPoint_ActiveItemSiteId">
    <vt:lpwstr>{8003c3b3-d20c-4e9a-bee9-0e2243d810ee}</vt:lpwstr>
  </property>
  <property fmtid="{D5CDD505-2E9C-101B-9397-08002B2CF9AE}" pid="6" name="RecordPoint_ActiveItemListId">
    <vt:lpwstr>{2231d181-8b55-443b-ad8f-958dc7b070ea}</vt:lpwstr>
  </property>
  <property fmtid="{D5CDD505-2E9C-101B-9397-08002B2CF9AE}" pid="7" name="RecordPoint_ActiveItemUniqueId">
    <vt:lpwstr>{6ddbadbc-9911-4329-86bf-7f8c1500ec11}</vt:lpwstr>
  </property>
  <property fmtid="{D5CDD505-2E9C-101B-9397-08002B2CF9AE}" pid="8" name="RecordPoint_ActiveItemWebId">
    <vt:lpwstr>{fc5f6266-41b8-4c8d-a1a1-2c080a479d3e}</vt:lpwstr>
  </property>
</Properties>
</file>