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81A1" w14:textId="2B708485" w:rsidR="004B2753" w:rsidRDefault="004B2753" w:rsidP="00424B97"/>
    <w:p w14:paraId="6EA4891A" w14:textId="17AAD56A" w:rsidR="004479D5" w:rsidRPr="00C71CF1" w:rsidRDefault="004479D5" w:rsidP="004479D5">
      <w:pPr>
        <w:pStyle w:val="Heading4"/>
        <w:keepNext w:val="0"/>
      </w:pPr>
      <w:r w:rsidRPr="00C71CF1">
        <w:t>Gazette notice: Commissioner of Taxation – Notice of a novated leases data-matching program 23 February 2024</w:t>
      </w:r>
    </w:p>
    <w:p w14:paraId="392C9B37" w14:textId="77777777" w:rsidR="004479D5" w:rsidRPr="004479D5" w:rsidRDefault="004479D5" w:rsidP="004479D5">
      <w:pPr>
        <w:spacing w:before="240"/>
        <w:rPr>
          <w:rFonts w:ascii="Inter" w:hAnsi="Inter"/>
        </w:rPr>
      </w:pPr>
      <w:r w:rsidRPr="004479D5">
        <w:rPr>
          <w:rFonts w:ascii="Inter" w:hAnsi="Inter"/>
        </w:rPr>
        <w:t xml:space="preserve">The Australian Taxation Office (ATO) will acquire novated lease data from McMillan Shakespeare Group, </w:t>
      </w:r>
      <w:proofErr w:type="spellStart"/>
      <w:r w:rsidRPr="004479D5">
        <w:rPr>
          <w:rFonts w:ascii="Inter" w:hAnsi="Inter"/>
        </w:rPr>
        <w:t>Smartgroup</w:t>
      </w:r>
      <w:proofErr w:type="spellEnd"/>
      <w:r w:rsidRPr="004479D5">
        <w:rPr>
          <w:rFonts w:ascii="Inter" w:hAnsi="Inter"/>
        </w:rPr>
        <w:t xml:space="preserve"> Corporation, SG Fleet Group, </w:t>
      </w:r>
      <w:proofErr w:type="spellStart"/>
      <w:r w:rsidRPr="004479D5">
        <w:rPr>
          <w:rFonts w:ascii="Inter" w:hAnsi="Inter"/>
        </w:rPr>
        <w:t>Eclipx</w:t>
      </w:r>
      <w:proofErr w:type="spellEnd"/>
      <w:r w:rsidRPr="004479D5">
        <w:rPr>
          <w:rFonts w:ascii="Inter" w:hAnsi="Inter"/>
        </w:rPr>
        <w:t xml:space="preserve"> Group, LeasePlan, Toyota Fleet Management, </w:t>
      </w:r>
      <w:proofErr w:type="spellStart"/>
      <w:r w:rsidRPr="004479D5">
        <w:rPr>
          <w:rFonts w:ascii="Inter" w:hAnsi="Inter"/>
        </w:rPr>
        <w:t>LeasePLUS</w:t>
      </w:r>
      <w:proofErr w:type="spellEnd"/>
      <w:r w:rsidRPr="004479D5">
        <w:rPr>
          <w:rFonts w:ascii="Inter" w:hAnsi="Inter"/>
        </w:rPr>
        <w:t xml:space="preserve"> and </w:t>
      </w:r>
      <w:proofErr w:type="spellStart"/>
      <w:r w:rsidRPr="004479D5">
        <w:rPr>
          <w:rFonts w:ascii="Inter" w:hAnsi="Inter"/>
        </w:rPr>
        <w:t>Orix</w:t>
      </w:r>
      <w:proofErr w:type="spellEnd"/>
      <w:r w:rsidRPr="004479D5">
        <w:rPr>
          <w:rFonts w:ascii="Inter" w:hAnsi="Inter"/>
        </w:rPr>
        <w:t xml:space="preserve"> Australia for 2023–24 through to 2025–26.</w:t>
      </w:r>
    </w:p>
    <w:p w14:paraId="7F4B4EB0" w14:textId="77777777" w:rsidR="004479D5" w:rsidRPr="004479D5" w:rsidRDefault="004479D5" w:rsidP="004479D5">
      <w:pPr>
        <w:rPr>
          <w:rFonts w:ascii="Inter" w:hAnsi="Inter"/>
        </w:rPr>
      </w:pPr>
      <w:r w:rsidRPr="004479D5">
        <w:rPr>
          <w:rFonts w:ascii="Inter" w:hAnsi="Inter"/>
        </w:rPr>
        <w:t>The data items include:</w:t>
      </w:r>
    </w:p>
    <w:p w14:paraId="0716C19C" w14:textId="77777777" w:rsidR="004479D5" w:rsidRPr="009B5BE4" w:rsidRDefault="004479D5" w:rsidP="004479D5">
      <w:pPr>
        <w:pStyle w:val="Bulletedlist1"/>
        <w:spacing w:line="240" w:lineRule="auto"/>
        <w:ind w:left="425" w:hanging="425"/>
      </w:pPr>
      <w:r>
        <w:t>l</w:t>
      </w:r>
      <w:r w:rsidRPr="004D6B8C">
        <w:t xml:space="preserve">essee/employee </w:t>
      </w:r>
      <w:r w:rsidRPr="009B5BE4">
        <w:t xml:space="preserve">identification details (unique identifier of the lessee, name of the lessee, addresses of the lessee </w:t>
      </w:r>
      <w:r>
        <w:t>[</w:t>
      </w:r>
      <w:r w:rsidRPr="009B5BE4">
        <w:t>residential and postal</w:t>
      </w:r>
      <w:r>
        <w:t>}</w:t>
      </w:r>
      <w:r w:rsidRPr="009B5BE4">
        <w:t xml:space="preserve">, date of birth of the lessee, all contact telephone numbers </w:t>
      </w:r>
      <w:r>
        <w:t>[</w:t>
      </w:r>
      <w:r w:rsidRPr="009B5BE4">
        <w:t>for example: fixed line, mobile</w:t>
      </w:r>
      <w:r>
        <w:t>]</w:t>
      </w:r>
      <w:r w:rsidRPr="009B5BE4">
        <w:t xml:space="preserve"> for the lessee, email addresses of the lessee</w:t>
      </w:r>
      <w:r>
        <w:t>)</w:t>
      </w:r>
    </w:p>
    <w:p w14:paraId="0F0E20F7" w14:textId="77777777" w:rsidR="004479D5" w:rsidRPr="009B5BE4" w:rsidRDefault="004479D5" w:rsidP="004479D5">
      <w:pPr>
        <w:pStyle w:val="Bulletedlist1"/>
        <w:spacing w:line="240" w:lineRule="auto"/>
        <w:ind w:left="425" w:hanging="425"/>
      </w:pPr>
      <w:r>
        <w:t>e</w:t>
      </w:r>
      <w:r w:rsidRPr="004D6B8C">
        <w:t xml:space="preserve">mployer identification </w:t>
      </w:r>
      <w:r w:rsidRPr="009B5BE4">
        <w:t xml:space="preserve">details (unique identifier of the employer, name </w:t>
      </w:r>
      <w:r>
        <w:t>[</w:t>
      </w:r>
      <w:r w:rsidRPr="009B5BE4">
        <w:t>trading name and legal name</w:t>
      </w:r>
      <w:r>
        <w:t>]</w:t>
      </w:r>
      <w:r w:rsidRPr="009B5BE4">
        <w:t xml:space="preserve"> of the employer, ABN of the employer, addresses </w:t>
      </w:r>
      <w:r>
        <w:t>[</w:t>
      </w:r>
      <w:r w:rsidRPr="009B5BE4">
        <w:t>business and postal</w:t>
      </w:r>
      <w:r>
        <w:t>]</w:t>
      </w:r>
      <w:r w:rsidRPr="009B5BE4">
        <w:t xml:space="preserve"> of the employer, contact name for the employer, contact telephone numbers </w:t>
      </w:r>
      <w:r>
        <w:t>[</w:t>
      </w:r>
      <w:r w:rsidRPr="009B5BE4">
        <w:t>for example: fixed line, mobile</w:t>
      </w:r>
      <w:r>
        <w:t>]</w:t>
      </w:r>
      <w:r w:rsidRPr="009B5BE4">
        <w:t xml:space="preserve"> for the employer, email addresses of the employer</w:t>
      </w:r>
      <w:r>
        <w:t>)</w:t>
      </w:r>
    </w:p>
    <w:p w14:paraId="2C136C6A" w14:textId="77777777" w:rsidR="004479D5" w:rsidRPr="009B5BE4" w:rsidRDefault="004479D5" w:rsidP="004479D5">
      <w:pPr>
        <w:pStyle w:val="Bulletedlist1"/>
        <w:spacing w:line="240" w:lineRule="auto"/>
        <w:ind w:left="425" w:hanging="425"/>
      </w:pPr>
      <w:r>
        <w:t>le</w:t>
      </w:r>
      <w:r w:rsidRPr="004D6B8C">
        <w:t xml:space="preserve">ase </w:t>
      </w:r>
      <w:r w:rsidRPr="009B5BE4">
        <w:t xml:space="preserve">transaction details (unique identifier for the lease transaction, lease start date, lease end date, lease expected end date, lease termination date, number plate of the vehicle, type of vehicle </w:t>
      </w:r>
      <w:r>
        <w:t>[</w:t>
      </w:r>
      <w:r w:rsidRPr="009B5BE4">
        <w:t>new or used</w:t>
      </w:r>
      <w:r>
        <w:t>]</w:t>
      </w:r>
      <w:r w:rsidRPr="009B5BE4">
        <w:t xml:space="preserve">, category of vehicle </w:t>
      </w:r>
      <w:r>
        <w:t>[</w:t>
      </w:r>
      <w:r w:rsidRPr="009B5BE4">
        <w:t>sedan, wagon, utility etc</w:t>
      </w:r>
      <w:r>
        <w:t>]</w:t>
      </w:r>
      <w:r w:rsidRPr="009B5BE4">
        <w:t xml:space="preserve">, lease price per month including GST, items packaged with the vehicle lease, expenses packaged with the vehicle lease </w:t>
      </w:r>
      <w:r>
        <w:t>[</w:t>
      </w:r>
      <w:r w:rsidRPr="009B5BE4">
        <w:t>for example: fuel, servicing</w:t>
      </w:r>
      <w:r>
        <w:t>]</w:t>
      </w:r>
      <w:r w:rsidRPr="009B5BE4">
        <w:t>, bank account name for the lessee, bank account number for the lessee, bank account BSB for the lessee</w:t>
      </w:r>
      <w:r>
        <w:t>.</w:t>
      </w:r>
    </w:p>
    <w:p w14:paraId="0032D955" w14:textId="42EF6EE6" w:rsidR="004479D5" w:rsidRPr="004479D5" w:rsidRDefault="004479D5" w:rsidP="004479D5">
      <w:pPr>
        <w:spacing w:before="360"/>
        <w:rPr>
          <w:rFonts w:ascii="Inter" w:hAnsi="Inter"/>
        </w:rPr>
      </w:pPr>
      <w:r w:rsidRPr="004479D5">
        <w:rPr>
          <w:rFonts w:ascii="Inter" w:hAnsi="Inter"/>
        </w:rPr>
        <w:t>We estimate that records relating to approximately 240,000 individuals will be obtained each financial year.</w:t>
      </w:r>
    </w:p>
    <w:p w14:paraId="39C8358C" w14:textId="77777777" w:rsidR="004479D5" w:rsidRPr="004479D5" w:rsidRDefault="004479D5" w:rsidP="004479D5">
      <w:pPr>
        <w:rPr>
          <w:rFonts w:ascii="Inter" w:hAnsi="Inter"/>
        </w:rPr>
      </w:pPr>
      <w:r w:rsidRPr="004479D5">
        <w:rPr>
          <w:rFonts w:ascii="Inter" w:hAnsi="Inter"/>
        </w:rPr>
        <w:t>Novated leases data may be used to initiate nudge messaging to taxpayers and tax professionals through online services at, or before the time of lodgment.</w:t>
      </w:r>
    </w:p>
    <w:p w14:paraId="50BB0105" w14:textId="77777777" w:rsidR="004479D5" w:rsidRPr="004479D5" w:rsidRDefault="004479D5" w:rsidP="004479D5">
      <w:pPr>
        <w:rPr>
          <w:rFonts w:ascii="Inter" w:hAnsi="Inter"/>
        </w:rPr>
      </w:pPr>
      <w:r w:rsidRPr="004479D5">
        <w:rPr>
          <w:rFonts w:ascii="Inter" w:hAnsi="Inter"/>
        </w:rPr>
        <w:t>This messaging will appear for taxpayers identified in the prior financial year and it will inform the taxpayer that motor vehicle expenses under a novated lease arrangement are not tax-deductible.</w:t>
      </w:r>
    </w:p>
    <w:p w14:paraId="3122F7C8" w14:textId="77777777" w:rsidR="004479D5" w:rsidRPr="004479D5" w:rsidRDefault="004479D5" w:rsidP="004479D5">
      <w:pPr>
        <w:rPr>
          <w:rFonts w:ascii="Inter" w:hAnsi="Inter"/>
        </w:rPr>
      </w:pPr>
      <w:r w:rsidRPr="004479D5">
        <w:rPr>
          <w:rFonts w:ascii="Inter" w:hAnsi="Inter"/>
        </w:rPr>
        <w:t>The nudge messaging will be available for:</w:t>
      </w:r>
    </w:p>
    <w:p w14:paraId="25887AC4" w14:textId="77777777" w:rsidR="004479D5" w:rsidRPr="004479D5" w:rsidRDefault="004479D5" w:rsidP="004479D5">
      <w:pPr>
        <w:pStyle w:val="Bulletedlist1"/>
        <w:spacing w:line="240" w:lineRule="auto"/>
        <w:ind w:left="425" w:hanging="425"/>
      </w:pPr>
      <w:r w:rsidRPr="004479D5">
        <w:t>tax professionals through messaging in</w:t>
      </w:r>
    </w:p>
    <w:p w14:paraId="7FDA7323" w14:textId="77777777" w:rsidR="004479D5" w:rsidRPr="004479D5" w:rsidRDefault="004479D5" w:rsidP="004479D5">
      <w:pPr>
        <w:pStyle w:val="Bulletedlist2"/>
        <w:spacing w:line="240" w:lineRule="auto"/>
        <w:ind w:left="851" w:hanging="426"/>
      </w:pPr>
      <w:r w:rsidRPr="004479D5">
        <w:t>Online services for agents</w:t>
      </w:r>
    </w:p>
    <w:p w14:paraId="7A7FFFEB" w14:textId="77777777" w:rsidR="004479D5" w:rsidRPr="004479D5" w:rsidRDefault="004479D5" w:rsidP="004479D5">
      <w:pPr>
        <w:pStyle w:val="Bulletedlist2"/>
        <w:spacing w:line="240" w:lineRule="auto"/>
        <w:ind w:left="851" w:hanging="426"/>
      </w:pPr>
      <w:r w:rsidRPr="004479D5">
        <w:t>Practitioner Lodgment Service (PLS) through Standard Business Reporting (SBR) enabled software</w:t>
      </w:r>
    </w:p>
    <w:p w14:paraId="1B89E477" w14:textId="77777777" w:rsidR="004479D5" w:rsidRPr="004479D5" w:rsidRDefault="004479D5" w:rsidP="004479D5">
      <w:pPr>
        <w:pStyle w:val="Bulletedlist1"/>
        <w:spacing w:line="240" w:lineRule="auto"/>
        <w:ind w:left="425" w:hanging="425"/>
      </w:pPr>
      <w:r w:rsidRPr="004479D5">
        <w:t xml:space="preserve">individual self-preparers through </w:t>
      </w:r>
      <w:proofErr w:type="spellStart"/>
      <w:r w:rsidRPr="004479D5">
        <w:t>myTax</w:t>
      </w:r>
      <w:proofErr w:type="spellEnd"/>
      <w:r w:rsidRPr="004479D5">
        <w:t>, specifically</w:t>
      </w:r>
    </w:p>
    <w:p w14:paraId="140E7A15" w14:textId="77777777" w:rsidR="004479D5" w:rsidRPr="004479D5" w:rsidRDefault="004479D5" w:rsidP="004479D5">
      <w:pPr>
        <w:pStyle w:val="Bulletedlist2"/>
        <w:spacing w:line="240" w:lineRule="auto"/>
        <w:ind w:left="851" w:hanging="426"/>
      </w:pPr>
      <w:r w:rsidRPr="004479D5">
        <w:t xml:space="preserve">label </w:t>
      </w:r>
      <w:r w:rsidRPr="004479D5">
        <w:rPr>
          <w:rStyle w:val="StyleBold"/>
        </w:rPr>
        <w:t>D1</w:t>
      </w:r>
      <w:r w:rsidRPr="004479D5">
        <w:t xml:space="preserve"> – work related car expenses (prompts the taxpayer through online messaging when completing a return)</w:t>
      </w:r>
    </w:p>
    <w:p w14:paraId="0A6E2ABC" w14:textId="77777777" w:rsidR="004479D5" w:rsidRPr="004479D5" w:rsidRDefault="004479D5" w:rsidP="004479D5">
      <w:pPr>
        <w:pStyle w:val="Bulletedlist2"/>
        <w:spacing w:line="240" w:lineRule="auto"/>
        <w:ind w:left="851" w:hanging="426"/>
      </w:pPr>
      <w:r w:rsidRPr="004479D5">
        <w:lastRenderedPageBreak/>
        <w:t xml:space="preserve">label </w:t>
      </w:r>
      <w:r w:rsidRPr="004479D5">
        <w:rPr>
          <w:rStyle w:val="StyleBold"/>
        </w:rPr>
        <w:t>D2</w:t>
      </w:r>
      <w:r w:rsidRPr="004479D5">
        <w:t xml:space="preserve"> – work related travel expenses (prompts the taxpayer through online messaging when completing a return).</w:t>
      </w:r>
    </w:p>
    <w:p w14:paraId="64EC429E" w14:textId="77777777" w:rsidR="004479D5" w:rsidRPr="004479D5" w:rsidRDefault="004479D5" w:rsidP="004479D5">
      <w:pPr>
        <w:spacing w:before="360"/>
        <w:rPr>
          <w:rFonts w:ascii="Inter" w:hAnsi="Inter"/>
        </w:rPr>
      </w:pPr>
      <w:r w:rsidRPr="004479D5">
        <w:rPr>
          <w:rFonts w:ascii="Inter" w:hAnsi="Inter"/>
        </w:rPr>
        <w:t>The objectives of the novated leases data-matching program are to:</w:t>
      </w:r>
    </w:p>
    <w:p w14:paraId="56C49A1D" w14:textId="77777777" w:rsidR="004479D5" w:rsidRPr="004479D5" w:rsidRDefault="004479D5" w:rsidP="004479D5">
      <w:pPr>
        <w:pStyle w:val="Bulletedlist1"/>
        <w:spacing w:line="240" w:lineRule="auto"/>
        <w:ind w:left="425" w:hanging="425"/>
      </w:pPr>
      <w:r w:rsidRPr="004479D5">
        <w:t>promote voluntary compliance and increase community confidence in the integrity of the tax and super systems</w:t>
      </w:r>
    </w:p>
    <w:p w14:paraId="4F5927E5" w14:textId="77777777" w:rsidR="004479D5" w:rsidRPr="004479D5" w:rsidRDefault="004479D5" w:rsidP="004479D5">
      <w:pPr>
        <w:pStyle w:val="Bulletedlist1"/>
        <w:spacing w:line="240" w:lineRule="auto"/>
        <w:ind w:left="425" w:hanging="425"/>
      </w:pPr>
      <w:r w:rsidRPr="004479D5">
        <w:t>help ensure that individuals and businesses are fulfilling their tax and super obligations</w:t>
      </w:r>
    </w:p>
    <w:p w14:paraId="2A5C6278" w14:textId="77777777" w:rsidR="004479D5" w:rsidRPr="004479D5" w:rsidRDefault="004479D5" w:rsidP="004479D5">
      <w:pPr>
        <w:pStyle w:val="Bulletedlist1"/>
        <w:spacing w:line="240" w:lineRule="auto"/>
        <w:ind w:left="425" w:hanging="425"/>
      </w:pPr>
      <w:r w:rsidRPr="004479D5">
        <w:t>help ensure that individuals are correctly reporting motor vehicle deductions within their income tax returns</w:t>
      </w:r>
    </w:p>
    <w:p w14:paraId="353A6D1C" w14:textId="77777777" w:rsidR="004479D5" w:rsidRPr="004479D5" w:rsidRDefault="004479D5" w:rsidP="004479D5">
      <w:pPr>
        <w:pStyle w:val="Bulletedlist1"/>
        <w:spacing w:line="240" w:lineRule="auto"/>
        <w:ind w:left="425" w:hanging="425"/>
      </w:pPr>
      <w:r w:rsidRPr="004479D5">
        <w:t>identify and educate those individuals and businesses who may be failing to meet their lodgment obligations</w:t>
      </w:r>
    </w:p>
    <w:p w14:paraId="1D78AB02" w14:textId="77777777" w:rsidR="004479D5" w:rsidRPr="004479D5" w:rsidRDefault="004479D5" w:rsidP="004479D5">
      <w:pPr>
        <w:pStyle w:val="Bulletedlist1"/>
        <w:spacing w:line="240" w:lineRule="auto"/>
        <w:ind w:left="425" w:hanging="425"/>
      </w:pPr>
      <w:r w:rsidRPr="004479D5">
        <w:t>gain insights to help develop and implement strategies to improve voluntary compliance - this may include educational, behavioural or compliance activities for individuals and businesses with novated lease arrangements.</w:t>
      </w:r>
    </w:p>
    <w:p w14:paraId="2D9F6A7C" w14:textId="77777777" w:rsidR="004479D5" w:rsidRPr="004479D5" w:rsidRDefault="004479D5" w:rsidP="004479D5">
      <w:pPr>
        <w:spacing w:before="360"/>
        <w:rPr>
          <w:rFonts w:ascii="Inter" w:hAnsi="Inter"/>
        </w:rPr>
      </w:pPr>
      <w:r w:rsidRPr="004479D5">
        <w:rPr>
          <w:rFonts w:ascii="Inter" w:hAnsi="Inter"/>
        </w:rPr>
        <w:t xml:space="preserve">A document describing this program is available at </w:t>
      </w:r>
      <w:hyperlink r:id="rId8" w:history="1">
        <w:r w:rsidRPr="004479D5">
          <w:rPr>
            <w:rStyle w:val="Link-Internal"/>
            <w:rFonts w:ascii="Inter" w:hAnsi="Inter"/>
          </w:rPr>
          <w:t>ato.gov.au/</w:t>
        </w:r>
        <w:proofErr w:type="spellStart"/>
        <w:r w:rsidRPr="004479D5">
          <w:rPr>
            <w:rStyle w:val="Link-Internal"/>
            <w:rFonts w:ascii="Inter" w:hAnsi="Inter"/>
          </w:rPr>
          <w:t>dmprotocols</w:t>
        </w:r>
        <w:proofErr w:type="spellEnd"/>
      </w:hyperlink>
      <w:r w:rsidRPr="004479D5">
        <w:rPr>
          <w:rFonts w:ascii="Inter" w:hAnsi="Inter"/>
        </w:rPr>
        <w:t>.</w:t>
      </w:r>
    </w:p>
    <w:p w14:paraId="57C4DCE1" w14:textId="77777777" w:rsidR="004479D5" w:rsidRPr="004479D5" w:rsidRDefault="004479D5" w:rsidP="004479D5">
      <w:pPr>
        <w:rPr>
          <w:rFonts w:ascii="Inter" w:hAnsi="Inter"/>
        </w:rPr>
      </w:pPr>
      <w:r w:rsidRPr="004479D5">
        <w:rPr>
          <w:rFonts w:ascii="Inter" w:hAnsi="Inter"/>
        </w:rPr>
        <w:t xml:space="preserve">This program follows the Office of the Australian Information Commissioner’s </w:t>
      </w:r>
      <w:r w:rsidRPr="004479D5">
        <w:rPr>
          <w:rStyle w:val="StyleItalic"/>
          <w:rFonts w:ascii="Inter" w:hAnsi="Inter"/>
        </w:rPr>
        <w:t>Guidelines on data matching in Australian Government administration</w:t>
      </w:r>
      <w:r w:rsidRPr="004479D5">
        <w:rPr>
          <w:rFonts w:ascii="Inter" w:hAnsi="Inter"/>
        </w:rPr>
        <w:t xml:space="preserve"> (2014) (the guidelines). The guidelines include standards for the use of data matching as an administrative tool in a way that:</w:t>
      </w:r>
    </w:p>
    <w:p w14:paraId="365A88AB" w14:textId="77777777" w:rsidR="004479D5" w:rsidRPr="004479D5" w:rsidRDefault="004479D5" w:rsidP="004479D5">
      <w:pPr>
        <w:pStyle w:val="Bulletedlist1"/>
        <w:spacing w:line="240" w:lineRule="auto"/>
        <w:ind w:left="425" w:hanging="425"/>
      </w:pPr>
      <w:r w:rsidRPr="004479D5">
        <w:t xml:space="preserve">complies with the Australian Privacy Principles (APPs) and the </w:t>
      </w:r>
      <w:r w:rsidRPr="004479D5">
        <w:rPr>
          <w:rStyle w:val="StyleItalic"/>
        </w:rPr>
        <w:t xml:space="preserve">Privacy Act 1988 </w:t>
      </w:r>
      <w:r w:rsidRPr="004479D5">
        <w:t>(Privacy Act)</w:t>
      </w:r>
    </w:p>
    <w:p w14:paraId="4A39D54C" w14:textId="77777777" w:rsidR="004479D5" w:rsidRPr="004479D5" w:rsidRDefault="004479D5" w:rsidP="004479D5">
      <w:pPr>
        <w:pStyle w:val="Bulletedlist1"/>
        <w:spacing w:line="240" w:lineRule="auto"/>
        <w:ind w:left="425" w:hanging="425"/>
      </w:pPr>
      <w:r w:rsidRPr="004479D5">
        <w:t>is consistent with good privacy practice.</w:t>
      </w:r>
    </w:p>
    <w:p w14:paraId="1698A887" w14:textId="1A37E324" w:rsidR="004479D5" w:rsidRPr="004479D5" w:rsidRDefault="004479D5" w:rsidP="004479D5">
      <w:pPr>
        <w:spacing w:before="360"/>
        <w:rPr>
          <w:rFonts w:ascii="Inter" w:hAnsi="Inter"/>
        </w:rPr>
      </w:pPr>
      <w:r w:rsidRPr="004479D5">
        <w:rPr>
          <w:rFonts w:ascii="Inter" w:hAnsi="Inter"/>
        </w:rPr>
        <w:t xml:space="preserve">A full copy of the ATO’s privacy policy can be accessed at </w:t>
      </w:r>
      <w:hyperlink r:id="rId9" w:history="1">
        <w:r w:rsidRPr="004479D5">
          <w:rPr>
            <w:rStyle w:val="Link-Internal"/>
            <w:rFonts w:ascii="Inter" w:hAnsi="Inter"/>
          </w:rPr>
          <w:t>ato.gov.au/privacy</w:t>
        </w:r>
      </w:hyperlink>
      <w:r w:rsidRPr="004479D5">
        <w:rPr>
          <w:rFonts w:ascii="Inter" w:hAnsi="Inter"/>
        </w:rPr>
        <w:t>.</w:t>
      </w:r>
    </w:p>
    <w:sectPr w:rsidR="004479D5" w:rsidRPr="004479D5" w:rsidSect="008E4F6C">
      <w:headerReference w:type="first" r:id="rId10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9A5B6" w14:textId="77777777"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14:paraId="76171981" w14:textId="77777777"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ter SemiBold">
    <w:altName w:val="Calibri"/>
    <w:panose1 w:val="020B0502030000000004"/>
    <w:charset w:val="00"/>
    <w:family w:val="swiss"/>
    <w:pitch w:val="variable"/>
    <w:sig w:usb0="E00002FF" w:usb1="1200A1FF" w:usb2="00000001" w:usb3="00000000" w:csb0="0000019F" w:csb1="00000000"/>
    <w:embedRegular r:id="rId1" w:fontKey="{A2EC43A9-EC2B-489A-A269-4CAE93FBC10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altName w:val="Calibri"/>
    <w:panose1 w:val="020B0502030000000004"/>
    <w:charset w:val="00"/>
    <w:family w:val="swiss"/>
    <w:pitch w:val="variable"/>
    <w:sig w:usb0="E00002FF" w:usb1="1200A1FF" w:usb2="00000001" w:usb3="00000000" w:csb0="0000019F" w:csb1="00000000"/>
    <w:embedRegular r:id="rId2" w:fontKey="{A703947E-0FBA-4663-87AC-5CDBCBF0FE24}"/>
    <w:embedBold r:id="rId3" w:fontKey="{FF143E07-5A0F-499E-944A-72D272A976D2}"/>
    <w:embedItalic r:id="rId4" w:fontKey="{A3FE6DD5-FFA4-48BC-BF3B-FD0BF0AD062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2DFF2" w14:textId="77777777"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14:paraId="02F63342" w14:textId="77777777"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193BAFB2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F967967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7E9789B7" wp14:editId="168B1BF5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ABC3976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1F543EC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74A55617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21CFF5EA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4219D8F7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05E4B2CF" w14:textId="77777777" w:rsidR="00F40885" w:rsidRPr="003A707F" w:rsidRDefault="00F40885" w:rsidP="00F40885">
    <w:pPr>
      <w:pStyle w:val="Header"/>
      <w:rPr>
        <w:sz w:val="2"/>
        <w:szCs w:val="2"/>
      </w:rPr>
    </w:pPr>
  </w:p>
  <w:p w14:paraId="31AC6BD1" w14:textId="77777777"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95D48"/>
    <w:multiLevelType w:val="multilevel"/>
    <w:tmpl w:val="2D2C551A"/>
    <w:name w:val="BulletedList"/>
    <w:lvl w:ilvl="0">
      <w:start w:val="1"/>
      <w:numFmt w:val="bullet"/>
      <w:pStyle w:val="Bulletedlis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edlis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pStyle w:val="Bulletedlist3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960" w:hanging="360"/>
      </w:pPr>
      <w:rPr>
        <w:rFonts w:hint="default"/>
      </w:rPr>
    </w:lvl>
  </w:abstractNum>
  <w:num w:numId="1" w16cid:durableId="98147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479D5"/>
    <w:rsid w:val="004B2753"/>
    <w:rsid w:val="00520873"/>
    <w:rsid w:val="00573D44"/>
    <w:rsid w:val="005D523B"/>
    <w:rsid w:val="00840A06"/>
    <w:rsid w:val="008439B7"/>
    <w:rsid w:val="0087253F"/>
    <w:rsid w:val="008E4F6C"/>
    <w:rsid w:val="009539C7"/>
    <w:rsid w:val="00A00F21"/>
    <w:rsid w:val="00B84226"/>
    <w:rsid w:val="00BE7780"/>
    <w:rsid w:val="00C63C4E"/>
    <w:rsid w:val="00C72C30"/>
    <w:rsid w:val="00D229E5"/>
    <w:rsid w:val="00D77A88"/>
    <w:rsid w:val="00F03910"/>
    <w:rsid w:val="00F07B65"/>
    <w:rsid w:val="00F40885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9CA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4479D5"/>
    <w:pPr>
      <w:keepNext/>
      <w:spacing w:before="280" w:after="0" w:line="288" w:lineRule="auto"/>
      <w:outlineLvl w:val="3"/>
    </w:pPr>
    <w:rPr>
      <w:rFonts w:ascii="Inter SemiBold" w:eastAsia="Times New Roman" w:hAnsi="Inter SemiBold" w:cs="Arial"/>
      <w:bCs/>
      <w:sz w:val="28"/>
      <w:szCs w:val="25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4Char">
    <w:name w:val="Heading 4 Char"/>
    <w:basedOn w:val="DefaultParagraphFont"/>
    <w:link w:val="Heading4"/>
    <w:rsid w:val="004479D5"/>
    <w:rPr>
      <w:rFonts w:ascii="Inter SemiBold" w:eastAsia="Times New Roman" w:hAnsi="Inter SemiBold" w:cs="Arial"/>
      <w:bCs/>
      <w:sz w:val="28"/>
      <w:szCs w:val="25"/>
      <w:lang w:eastAsia="en-AU"/>
    </w:rPr>
  </w:style>
  <w:style w:type="character" w:customStyle="1" w:styleId="StyleBold">
    <w:name w:val="Style Bold"/>
    <w:basedOn w:val="DefaultParagraphFont"/>
    <w:rsid w:val="004479D5"/>
    <w:rPr>
      <w:b/>
      <w:bCs/>
    </w:rPr>
  </w:style>
  <w:style w:type="character" w:customStyle="1" w:styleId="StyleItalic">
    <w:name w:val="Style Italic"/>
    <w:basedOn w:val="DefaultParagraphFont"/>
    <w:rsid w:val="004479D5"/>
    <w:rPr>
      <w:i/>
      <w:iCs/>
    </w:rPr>
  </w:style>
  <w:style w:type="character" w:customStyle="1" w:styleId="Link-Internal">
    <w:name w:val="Link - Internal"/>
    <w:basedOn w:val="DefaultParagraphFont"/>
    <w:rsid w:val="004479D5"/>
    <w:rPr>
      <w:color w:val="0000FF"/>
      <w:u w:val="single"/>
      <w:bdr w:val="none" w:sz="0" w:space="0" w:color="auto"/>
      <w:shd w:val="clear" w:color="auto" w:fill="FFCCFF"/>
    </w:rPr>
  </w:style>
  <w:style w:type="table" w:customStyle="1" w:styleId="Callout-Example">
    <w:name w:val="Callout - Example"/>
    <w:basedOn w:val="TableNormal"/>
    <w:rsid w:val="004479D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zh-TW"/>
    </w:rPr>
    <w:tblPr>
      <w:tblBorders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  <w:tcPr>
      <w:shd w:val="clear" w:color="auto" w:fill="D9D9D9" w:themeFill="background1" w:themeFillShade="D9"/>
      <w:tcMar>
        <w:top w:w="0" w:type="dxa"/>
        <w:left w:w="200" w:type="dxa"/>
        <w:bottom w:w="198" w:type="dxa"/>
        <w:right w:w="200" w:type="dxa"/>
      </w:tcMar>
    </w:tcPr>
  </w:style>
  <w:style w:type="paragraph" w:customStyle="1" w:styleId="Bulletedlist1">
    <w:name w:val="Bulleted list 1"/>
    <w:basedOn w:val="Normal"/>
    <w:qFormat/>
    <w:rsid w:val="004479D5"/>
    <w:pPr>
      <w:numPr>
        <w:numId w:val="1"/>
      </w:numPr>
      <w:spacing w:before="200" w:after="0" w:line="288" w:lineRule="auto"/>
    </w:pPr>
    <w:rPr>
      <w:rFonts w:ascii="Inter" w:eastAsia="Times New Roman" w:hAnsi="Inter" w:cs="Times New Roman"/>
      <w:szCs w:val="24"/>
      <w:lang w:eastAsia="en-AU"/>
    </w:rPr>
  </w:style>
  <w:style w:type="paragraph" w:customStyle="1" w:styleId="Bulletedlist2">
    <w:name w:val="Bulleted list 2"/>
    <w:basedOn w:val="Bulletedlist1"/>
    <w:qFormat/>
    <w:rsid w:val="004479D5"/>
    <w:pPr>
      <w:numPr>
        <w:ilvl w:val="1"/>
      </w:numPr>
    </w:pPr>
  </w:style>
  <w:style w:type="paragraph" w:customStyle="1" w:styleId="Bulletedlist3">
    <w:name w:val="Bulleted list 3"/>
    <w:basedOn w:val="Bulletedlist1"/>
    <w:qFormat/>
    <w:rsid w:val="004479D5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o.gov.au/general/gen/data-matching-protocol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to.gov.au/privacy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261E9-B8E9-4AD8-BF17-38844DBD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3278</Characters>
  <Application>Microsoft Office Word</Application>
  <DocSecurity>0</DocSecurity>
  <PresentationFormat/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2024-02-20T03:52:00Z</dcterms:created>
  <dcterms:modified xsi:type="dcterms:W3CDTF">2024-02-20T04:03:00Z</dcterms:modified>
  <cp:category/>
  <cp:contentStatus/>
  <dc:language/>
  <cp:version/>
</cp:coreProperties>
</file>