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319" w14:textId="77777777" w:rsidR="00037A9D" w:rsidRPr="00037A9D" w:rsidRDefault="00037A9D" w:rsidP="007227A3">
      <w:pPr>
        <w:contextualSpacing/>
        <w:jc w:val="both"/>
        <w:rPr>
          <w:b/>
          <w:bCs/>
          <w:sz w:val="28"/>
          <w:szCs w:val="28"/>
        </w:rPr>
      </w:pPr>
      <w:r w:rsidRPr="00037A9D">
        <w:rPr>
          <w:b/>
          <w:bCs/>
          <w:sz w:val="28"/>
          <w:szCs w:val="28"/>
        </w:rPr>
        <w:t>Heavy Vehicle National Law</w:t>
      </w:r>
    </w:p>
    <w:p w14:paraId="427B1E1F" w14:textId="3A7FF7BA"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w:t>
      </w:r>
      <w:r w:rsidR="00F01542">
        <w:rPr>
          <w:b/>
          <w:bCs/>
          <w:sz w:val="28"/>
          <w:szCs w:val="28"/>
        </w:rPr>
        <w:t>4</w:t>
      </w:r>
      <w:r w:rsidRPr="00037A9D">
        <w:rPr>
          <w:b/>
          <w:bCs/>
          <w:sz w:val="28"/>
          <w:szCs w:val="28"/>
        </w:rPr>
        <w:t xml:space="preserve"> (No.</w:t>
      </w:r>
      <w:r w:rsidR="00B662AF">
        <w:rPr>
          <w:b/>
          <w:bCs/>
          <w:sz w:val="28"/>
          <w:szCs w:val="28"/>
        </w:rPr>
        <w:t>2</w:t>
      </w:r>
      <w:r w:rsidRPr="00037A9D">
        <w:rPr>
          <w:b/>
          <w:bCs/>
          <w:sz w:val="28"/>
          <w:szCs w:val="28"/>
        </w:rPr>
        <w:t>)</w:t>
      </w:r>
    </w:p>
    <w:p w14:paraId="083F7584" w14:textId="77777777" w:rsidR="00037A9D" w:rsidRDefault="00037A9D" w:rsidP="007227A3">
      <w:pPr>
        <w:contextualSpacing/>
        <w:jc w:val="both"/>
      </w:pP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714A148E" w:rsidR="006C4295" w:rsidRDefault="00037A9D" w:rsidP="007227A3">
      <w:pPr>
        <w:pStyle w:val="ListParagraph"/>
        <w:ind w:left="1080"/>
        <w:jc w:val="both"/>
      </w:pPr>
      <w:r>
        <w:t xml:space="preserve">The purpose of this Notice is to amend stated networks for vehicles on the Regulators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345ECF1F" w:rsidR="00037A9D" w:rsidRDefault="00037A9D" w:rsidP="007227A3">
      <w:pPr>
        <w:pStyle w:val="ListParagraph"/>
        <w:numPr>
          <w:ilvl w:val="0"/>
          <w:numId w:val="3"/>
        </w:numPr>
        <w:ind w:left="1080"/>
        <w:jc w:val="both"/>
      </w:pPr>
      <w:r>
        <w:t>Suspension or amendment of the routes in Schedule 1 under s</w:t>
      </w:r>
      <w:r w:rsidR="007227A3">
        <w:t>4</w:t>
      </w:r>
      <w:r>
        <w:t xml:space="preserve">(1)(a) </w:t>
      </w:r>
      <w:r w:rsidR="007227A3">
        <w:t>below</w:t>
      </w:r>
      <w:r>
        <w:t xml:space="preserve"> commences immediately upon publication of this Notice; and</w:t>
      </w:r>
    </w:p>
    <w:p w14:paraId="358335F1" w14:textId="77777777" w:rsidR="00312940" w:rsidRDefault="00312940" w:rsidP="007227A3">
      <w:pPr>
        <w:pStyle w:val="ListParagraph"/>
        <w:ind w:left="1080"/>
        <w:jc w:val="both"/>
      </w:pPr>
    </w:p>
    <w:p w14:paraId="2F435350" w14:textId="39960C19" w:rsidR="00037A9D" w:rsidRDefault="00037A9D" w:rsidP="007227A3">
      <w:pPr>
        <w:pStyle w:val="ListParagraph"/>
        <w:numPr>
          <w:ilvl w:val="0"/>
          <w:numId w:val="3"/>
        </w:numPr>
        <w:ind w:left="1080"/>
        <w:jc w:val="both"/>
      </w:pPr>
      <w:r>
        <w:t>Cancellation or amendment of the routes in Schedule 1 under s</w:t>
      </w:r>
      <w:r w:rsidR="007227A3">
        <w:t>4</w:t>
      </w:r>
      <w:r>
        <w:t xml:space="preserve">(1)(b) </w:t>
      </w:r>
      <w:r w:rsidR="007227A3">
        <w:t>below</w:t>
      </w:r>
      <w:r>
        <w:t xml:space="preserve"> commences 28 days after publication of this Notice.</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5ACC06E9" w:rsidR="006C4295" w:rsidRDefault="00037A9D" w:rsidP="007227A3">
      <w:pPr>
        <w:pStyle w:val="ListParagraph"/>
        <w:ind w:left="1080"/>
        <w:jc w:val="both"/>
      </w:pPr>
      <w:r>
        <w:t xml:space="preserve">This Notice may be cited as the </w:t>
      </w:r>
      <w:r w:rsidRPr="00537155">
        <w:rPr>
          <w:i/>
          <w:iCs/>
        </w:rPr>
        <w:t>Heavy Vehicle Stated Maps – Suspension and Amendment Notice 202</w:t>
      </w:r>
      <w:r w:rsidR="00F01542">
        <w:rPr>
          <w:i/>
          <w:iCs/>
        </w:rPr>
        <w:t>4</w:t>
      </w:r>
      <w:r w:rsidRPr="00537155">
        <w:rPr>
          <w:i/>
          <w:iCs/>
        </w:rPr>
        <w:t xml:space="preserve"> (No.</w:t>
      </w:r>
      <w:r w:rsidR="00B4620C">
        <w:rPr>
          <w:i/>
          <w:iCs/>
        </w:rPr>
        <w:t>2</w:t>
      </w:r>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03EA089A" w:rsidR="006C4295" w:rsidRDefault="006C4295" w:rsidP="007227A3">
      <w:pPr>
        <w:pStyle w:val="ListParagraph"/>
        <w:numPr>
          <w:ilvl w:val="0"/>
          <w:numId w:val="5"/>
        </w:numPr>
        <w:jc w:val="both"/>
      </w:pPr>
      <w:r>
        <w:t xml:space="preserve">This Notice is made under: </w:t>
      </w:r>
    </w:p>
    <w:p w14:paraId="1A6E06FA" w14:textId="77777777" w:rsidR="00312940" w:rsidRDefault="00312940" w:rsidP="007227A3">
      <w:pPr>
        <w:pStyle w:val="ListParagraph"/>
        <w:ind w:left="1080"/>
        <w:jc w:val="both"/>
      </w:pPr>
    </w:p>
    <w:p w14:paraId="119E6C0B" w14:textId="77777777" w:rsidR="006C4295" w:rsidRDefault="006C4295" w:rsidP="007227A3">
      <w:pPr>
        <w:pStyle w:val="ListParagraph"/>
        <w:numPr>
          <w:ilvl w:val="0"/>
          <w:numId w:val="6"/>
        </w:numPr>
        <w:jc w:val="both"/>
      </w:pPr>
      <w:r>
        <w:t>Section 175, immediately suspending or amending the routes listed in Schedule 1 of this Notice to prevent or minimize serious harm to public safety or significant damage to road infrastructure; and</w:t>
      </w:r>
    </w:p>
    <w:p w14:paraId="444020C7" w14:textId="7B1EFD5A" w:rsidR="00037A9D" w:rsidRDefault="006C4295" w:rsidP="007227A3">
      <w:pPr>
        <w:pStyle w:val="ListParagraph"/>
        <w:numPr>
          <w:ilvl w:val="0"/>
          <w:numId w:val="6"/>
        </w:numPr>
        <w:jc w:val="both"/>
      </w:pPr>
      <w:r>
        <w:t>Section 173, cancelling or amending the routes listed in Schedule 1 of this Notice on the Regulators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71E91F93" w:rsidR="00037A9D" w:rsidRDefault="00037A9D" w:rsidP="007227A3">
      <w:pPr>
        <w:pStyle w:val="ListParagraph"/>
        <w:ind w:left="1080"/>
        <w:jc w:val="both"/>
      </w:pPr>
      <w:r>
        <w:t xml:space="preserve">This Notice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6EDDE225" w14:textId="7348633E" w:rsidR="00312940" w:rsidRDefault="00037A9D" w:rsidP="007227A3">
      <w:pPr>
        <w:pStyle w:val="ListParagraph"/>
        <w:jc w:val="both"/>
      </w:pPr>
      <w:r>
        <w:t>The specified networks in Column 2 of Schedule 1 to this Notice are amended as specified in Column 4 for the Road Manager’s reasons shown in Column 5.</w:t>
      </w:r>
    </w:p>
    <w:p w14:paraId="113EC45C" w14:textId="77777777" w:rsidR="00312940" w:rsidRDefault="00312940" w:rsidP="007227A3">
      <w:pPr>
        <w:pStyle w:val="ListParagraph"/>
        <w:jc w:val="both"/>
      </w:pPr>
    </w:p>
    <w:p w14:paraId="01404190" w14:textId="77777777" w:rsidR="00312940" w:rsidRDefault="00312940" w:rsidP="007227A3">
      <w:pPr>
        <w:jc w:val="both"/>
        <w:rPr>
          <w:b/>
          <w:bCs/>
        </w:rPr>
      </w:pPr>
      <w:r>
        <w:rPr>
          <w:b/>
          <w:bCs/>
        </w:rPr>
        <w:br w:type="page"/>
      </w: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246F9B96" w:rsidR="00037A9D" w:rsidRDefault="00037A9D" w:rsidP="007227A3">
      <w:pPr>
        <w:ind w:firstLine="720"/>
        <w:contextualSpacing/>
        <w:jc w:val="both"/>
      </w:pPr>
      <w:r>
        <w:t xml:space="preserve">Dated: </w:t>
      </w:r>
      <w:r w:rsidR="00154611">
        <w:t>3</w:t>
      </w:r>
      <w:r w:rsidR="00B4620C">
        <w:t>1</w:t>
      </w:r>
      <w:r w:rsidR="00F01542">
        <w:t>/01/2024</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4D49CC1F" w14:textId="77777777" w:rsidR="00621DDA" w:rsidRDefault="00621DDA">
      <w:pPr>
        <w:rPr>
          <w:b/>
          <w:bCs/>
        </w:rPr>
        <w:sectPr w:rsidR="00621DDA" w:rsidSect="00DD50A9">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6"/>
        <w:gridCol w:w="1416"/>
        <w:gridCol w:w="1416"/>
        <w:gridCol w:w="4961"/>
        <w:gridCol w:w="4961"/>
      </w:tblGrid>
      <w:tr w:rsidR="00594F18" w14:paraId="5E3FDFD3" w14:textId="77777777" w:rsidTr="003F51E6">
        <w:tc>
          <w:tcPr>
            <w:tcW w:w="1416" w:type="dxa"/>
            <w:vAlign w:val="center"/>
          </w:tcPr>
          <w:p w14:paraId="0F90FB0A" w14:textId="77777777" w:rsidR="00594F18" w:rsidRDefault="00594F18" w:rsidP="003F51E6">
            <w:pPr>
              <w:contextualSpacing/>
              <w:jc w:val="center"/>
              <w:rPr>
                <w:b/>
                <w:bCs/>
              </w:rPr>
            </w:pPr>
            <w:r>
              <w:rPr>
                <w:b/>
                <w:bCs/>
              </w:rPr>
              <w:t>Column 1</w:t>
            </w:r>
          </w:p>
          <w:p w14:paraId="1F0907EA" w14:textId="5E27EE72" w:rsidR="00901CB8" w:rsidRDefault="00901CB8" w:rsidP="003F51E6">
            <w:pPr>
              <w:contextualSpacing/>
              <w:jc w:val="center"/>
              <w:rPr>
                <w:b/>
                <w:bCs/>
              </w:rPr>
            </w:pPr>
            <w:r>
              <w:rPr>
                <w:b/>
                <w:bCs/>
              </w:rPr>
              <w:t>Authorising Provision</w:t>
            </w:r>
          </w:p>
        </w:tc>
        <w:tc>
          <w:tcPr>
            <w:tcW w:w="1416" w:type="dxa"/>
            <w:vAlign w:val="center"/>
          </w:tcPr>
          <w:p w14:paraId="45DBF5F5" w14:textId="77777777" w:rsidR="00594F18" w:rsidRDefault="00901CB8" w:rsidP="003F51E6">
            <w:pPr>
              <w:contextualSpacing/>
              <w:jc w:val="center"/>
              <w:rPr>
                <w:b/>
                <w:bCs/>
              </w:rPr>
            </w:pPr>
            <w:r>
              <w:rPr>
                <w:b/>
                <w:bCs/>
              </w:rPr>
              <w:t>Column 2</w:t>
            </w:r>
          </w:p>
          <w:p w14:paraId="38817194" w14:textId="4A5BE092" w:rsidR="00901CB8" w:rsidRDefault="00901CB8" w:rsidP="003F51E6">
            <w:pPr>
              <w:contextualSpacing/>
              <w:jc w:val="center"/>
              <w:rPr>
                <w:b/>
                <w:bCs/>
              </w:rPr>
            </w:pPr>
            <w:r>
              <w:rPr>
                <w:b/>
                <w:bCs/>
              </w:rPr>
              <w:t>Network</w:t>
            </w:r>
          </w:p>
        </w:tc>
        <w:tc>
          <w:tcPr>
            <w:tcW w:w="1416" w:type="dxa"/>
            <w:vAlign w:val="center"/>
          </w:tcPr>
          <w:p w14:paraId="1B44CF91" w14:textId="77777777" w:rsidR="00594F18" w:rsidRDefault="00901CB8" w:rsidP="003F51E6">
            <w:pPr>
              <w:contextualSpacing/>
              <w:jc w:val="center"/>
              <w:rPr>
                <w:b/>
                <w:bCs/>
              </w:rPr>
            </w:pPr>
            <w:r>
              <w:rPr>
                <w:b/>
                <w:bCs/>
              </w:rPr>
              <w:t>Column 3</w:t>
            </w:r>
          </w:p>
          <w:p w14:paraId="58EEFEE0" w14:textId="539DC90A" w:rsidR="00901CB8" w:rsidRDefault="00975CA4" w:rsidP="003F51E6">
            <w:pPr>
              <w:contextualSpacing/>
              <w:jc w:val="center"/>
              <w:rPr>
                <w:b/>
                <w:bCs/>
              </w:rPr>
            </w:pPr>
            <w:r>
              <w:rPr>
                <w:b/>
                <w:bCs/>
              </w:rPr>
              <w:t>Locality</w:t>
            </w:r>
          </w:p>
        </w:tc>
        <w:tc>
          <w:tcPr>
            <w:tcW w:w="4961" w:type="dxa"/>
            <w:vAlign w:val="center"/>
          </w:tcPr>
          <w:p w14:paraId="2ABF260C" w14:textId="77777777" w:rsidR="00594F18" w:rsidRDefault="00901CB8" w:rsidP="003F51E6">
            <w:pPr>
              <w:contextualSpacing/>
              <w:jc w:val="center"/>
              <w:rPr>
                <w:b/>
                <w:bCs/>
              </w:rPr>
            </w:pPr>
            <w:r>
              <w:rPr>
                <w:b/>
                <w:bCs/>
              </w:rPr>
              <w:t>Column 4</w:t>
            </w:r>
          </w:p>
          <w:p w14:paraId="63B4B57C" w14:textId="5BD7EF81" w:rsidR="00975CA4" w:rsidRDefault="00975CA4" w:rsidP="003F51E6">
            <w:pPr>
              <w:contextualSpacing/>
              <w:jc w:val="center"/>
              <w:rPr>
                <w:b/>
                <w:bCs/>
              </w:rPr>
            </w:pPr>
            <w:r>
              <w:rPr>
                <w:b/>
                <w:bCs/>
              </w:rPr>
              <w:t>Changes to Route</w:t>
            </w:r>
          </w:p>
        </w:tc>
        <w:tc>
          <w:tcPr>
            <w:tcW w:w="4961" w:type="dxa"/>
            <w:vAlign w:val="center"/>
          </w:tcPr>
          <w:p w14:paraId="7289F892" w14:textId="77777777" w:rsidR="00594F18" w:rsidRDefault="0060768C" w:rsidP="003F51E6">
            <w:pPr>
              <w:contextualSpacing/>
              <w:jc w:val="center"/>
              <w:rPr>
                <w:b/>
                <w:bCs/>
              </w:rPr>
            </w:pPr>
            <w:r>
              <w:rPr>
                <w:b/>
                <w:bCs/>
              </w:rPr>
              <w:t>Column 5</w:t>
            </w:r>
          </w:p>
          <w:p w14:paraId="26A33548" w14:textId="69EBA5AF" w:rsidR="0060768C" w:rsidRDefault="0060768C" w:rsidP="003F51E6">
            <w:pPr>
              <w:contextualSpacing/>
              <w:jc w:val="center"/>
              <w:rPr>
                <w:b/>
                <w:bCs/>
              </w:rPr>
            </w:pPr>
            <w:r>
              <w:rPr>
                <w:b/>
                <w:bCs/>
              </w:rPr>
              <w:t>Road manager Reasons for Change</w:t>
            </w:r>
          </w:p>
        </w:tc>
      </w:tr>
      <w:tr w:rsidR="00594F18" w:rsidRPr="00496FE3" w14:paraId="4A02CA7D" w14:textId="77777777" w:rsidTr="00755BCA">
        <w:tc>
          <w:tcPr>
            <w:tcW w:w="1416" w:type="dxa"/>
          </w:tcPr>
          <w:p w14:paraId="537A853B" w14:textId="03654729" w:rsidR="00594F18" w:rsidRPr="00496FE3" w:rsidRDefault="006C34F0" w:rsidP="006C34F0">
            <w:pPr>
              <w:rPr>
                <w:sz w:val="20"/>
                <w:szCs w:val="20"/>
              </w:rPr>
            </w:pPr>
            <w:r w:rsidRPr="00496FE3">
              <w:rPr>
                <w:sz w:val="20"/>
                <w:szCs w:val="20"/>
              </w:rPr>
              <w:t>s173 and s175 HVNL</w:t>
            </w:r>
          </w:p>
        </w:tc>
        <w:tc>
          <w:tcPr>
            <w:tcW w:w="1416" w:type="dxa"/>
          </w:tcPr>
          <w:p w14:paraId="3FD550F3" w14:textId="66BA8F9B" w:rsidR="006C34F0" w:rsidRPr="00496FE3" w:rsidRDefault="00762630" w:rsidP="006C34F0">
            <w:pPr>
              <w:rPr>
                <w:sz w:val="20"/>
                <w:szCs w:val="20"/>
              </w:rPr>
            </w:pPr>
            <w:r>
              <w:rPr>
                <w:sz w:val="20"/>
                <w:szCs w:val="20"/>
              </w:rPr>
              <w:t xml:space="preserve">South </w:t>
            </w:r>
            <w:r w:rsidR="007A53DC">
              <w:rPr>
                <w:sz w:val="20"/>
                <w:szCs w:val="20"/>
              </w:rPr>
              <w:t>Australia</w:t>
            </w:r>
            <w:r w:rsidR="006C34F0" w:rsidRPr="00496FE3">
              <w:rPr>
                <w:sz w:val="20"/>
                <w:szCs w:val="20"/>
              </w:rPr>
              <w:t xml:space="preserve"> – </w:t>
            </w:r>
          </w:p>
          <w:p w14:paraId="758F5F21" w14:textId="77777777" w:rsidR="006C34F0" w:rsidRPr="00496FE3" w:rsidRDefault="006C34F0" w:rsidP="006C34F0">
            <w:pPr>
              <w:rPr>
                <w:sz w:val="20"/>
                <w:szCs w:val="20"/>
              </w:rPr>
            </w:pPr>
            <w:r w:rsidRPr="00496FE3">
              <w:rPr>
                <w:sz w:val="20"/>
                <w:szCs w:val="20"/>
              </w:rPr>
              <w:t xml:space="preserve">Multiple Networks – </w:t>
            </w:r>
          </w:p>
          <w:p w14:paraId="01B69462" w14:textId="1D521A36" w:rsidR="00863BA1" w:rsidRPr="00863BA1" w:rsidRDefault="00863BA1" w:rsidP="00863BA1">
            <w:pPr>
              <w:rPr>
                <w:sz w:val="20"/>
                <w:szCs w:val="20"/>
              </w:rPr>
            </w:pPr>
            <w:r w:rsidRPr="00863BA1">
              <w:rPr>
                <w:sz w:val="20"/>
                <w:szCs w:val="20"/>
              </w:rPr>
              <w:t>B-Double and Road Train Commodity Routes</w:t>
            </w:r>
            <w:r w:rsidR="00AA18A2">
              <w:rPr>
                <w:sz w:val="20"/>
                <w:szCs w:val="20"/>
              </w:rPr>
              <w:t>:</w:t>
            </w:r>
          </w:p>
          <w:p w14:paraId="1E5611A3" w14:textId="54672FEB" w:rsidR="00496FE3" w:rsidRPr="00496FE3" w:rsidRDefault="00863BA1" w:rsidP="00863BA1">
            <w:pPr>
              <w:rPr>
                <w:sz w:val="20"/>
                <w:szCs w:val="20"/>
              </w:rPr>
            </w:pPr>
            <w:r w:rsidRPr="00863BA1">
              <w:rPr>
                <w:sz w:val="20"/>
                <w:szCs w:val="20"/>
              </w:rPr>
              <w:t>Grain • Fertiliser• Grain and Bulk Stock Feed • Livestock • Wool</w:t>
            </w:r>
          </w:p>
        </w:tc>
        <w:tc>
          <w:tcPr>
            <w:tcW w:w="1416" w:type="dxa"/>
          </w:tcPr>
          <w:p w14:paraId="66EF4E96" w14:textId="088EBD85" w:rsidR="00594F18" w:rsidRPr="00496FE3" w:rsidRDefault="00A92E1A" w:rsidP="006C34F0">
            <w:pPr>
              <w:rPr>
                <w:sz w:val="20"/>
                <w:szCs w:val="20"/>
              </w:rPr>
            </w:pPr>
            <w:r w:rsidRPr="00A92E1A">
              <w:rPr>
                <w:sz w:val="20"/>
                <w:szCs w:val="20"/>
              </w:rPr>
              <w:t>District Council Of Lower Eyre Peninsula</w:t>
            </w:r>
          </w:p>
        </w:tc>
        <w:tc>
          <w:tcPr>
            <w:tcW w:w="4961" w:type="dxa"/>
          </w:tcPr>
          <w:p w14:paraId="5C5FCA40" w14:textId="1CAD84FE" w:rsidR="00762630" w:rsidRDefault="00762630" w:rsidP="006C34F0">
            <w:pPr>
              <w:contextualSpacing/>
              <w:rPr>
                <w:b/>
                <w:bCs/>
                <w:sz w:val="20"/>
                <w:szCs w:val="20"/>
              </w:rPr>
            </w:pPr>
            <w:r>
              <w:rPr>
                <w:b/>
                <w:bCs/>
                <w:sz w:val="20"/>
                <w:szCs w:val="20"/>
              </w:rPr>
              <w:t>R</w:t>
            </w:r>
            <w:r w:rsidRPr="00762630">
              <w:rPr>
                <w:b/>
                <w:bCs/>
                <w:sz w:val="20"/>
                <w:szCs w:val="20"/>
              </w:rPr>
              <w:t>emove the following approval routes</w:t>
            </w:r>
            <w:r>
              <w:rPr>
                <w:b/>
                <w:bCs/>
                <w:sz w:val="20"/>
                <w:szCs w:val="20"/>
              </w:rPr>
              <w:t>:</w:t>
            </w:r>
          </w:p>
          <w:p w14:paraId="16461C25" w14:textId="77777777" w:rsidR="00594F18" w:rsidRDefault="00A92E1A" w:rsidP="00496FE3">
            <w:pPr>
              <w:contextualSpacing/>
              <w:rPr>
                <w:sz w:val="20"/>
                <w:szCs w:val="20"/>
              </w:rPr>
            </w:pPr>
            <w:r w:rsidRPr="00A92E1A">
              <w:rPr>
                <w:sz w:val="20"/>
                <w:szCs w:val="20"/>
              </w:rPr>
              <w:t xml:space="preserve">Part of </w:t>
            </w:r>
            <w:proofErr w:type="spellStart"/>
            <w:r w:rsidRPr="00A92E1A">
              <w:rPr>
                <w:sz w:val="20"/>
                <w:szCs w:val="20"/>
              </w:rPr>
              <w:t>Broccabruna</w:t>
            </w:r>
            <w:proofErr w:type="spellEnd"/>
            <w:r w:rsidRPr="00A92E1A">
              <w:rPr>
                <w:sz w:val="20"/>
                <w:szCs w:val="20"/>
              </w:rPr>
              <w:t xml:space="preserve"> Drive needs to be removed</w:t>
            </w:r>
            <w:r w:rsidR="00604A47">
              <w:rPr>
                <w:sz w:val="20"/>
                <w:szCs w:val="20"/>
              </w:rPr>
              <w:t>:</w:t>
            </w:r>
          </w:p>
          <w:p w14:paraId="1416E87D" w14:textId="77777777" w:rsidR="00604A47" w:rsidRDefault="00604A47" w:rsidP="00496FE3">
            <w:pPr>
              <w:contextualSpacing/>
              <w:rPr>
                <w:sz w:val="20"/>
                <w:szCs w:val="20"/>
              </w:rPr>
            </w:pPr>
            <w:proofErr w:type="spellStart"/>
            <w:r w:rsidRPr="00604A47">
              <w:rPr>
                <w:sz w:val="20"/>
                <w:szCs w:val="20"/>
              </w:rPr>
              <w:t>Broccabruna</w:t>
            </w:r>
            <w:proofErr w:type="spellEnd"/>
            <w:r w:rsidRPr="00604A47">
              <w:rPr>
                <w:sz w:val="20"/>
                <w:szCs w:val="20"/>
              </w:rPr>
              <w:t xml:space="preserve"> Drive (section from Mena Road to the Flinders Highway)</w:t>
            </w:r>
          </w:p>
          <w:p w14:paraId="4DAD59DE" w14:textId="77777777" w:rsidR="00604A47" w:rsidRPr="00604A47" w:rsidRDefault="00604A47" w:rsidP="00604A47">
            <w:pPr>
              <w:rPr>
                <w:sz w:val="20"/>
                <w:szCs w:val="20"/>
              </w:rPr>
            </w:pPr>
            <w:proofErr w:type="spellStart"/>
            <w:r w:rsidRPr="00604A47">
              <w:rPr>
                <w:sz w:val="20"/>
                <w:szCs w:val="20"/>
              </w:rPr>
              <w:t>Broccabruna</w:t>
            </w:r>
            <w:proofErr w:type="spellEnd"/>
            <w:r w:rsidRPr="00604A47">
              <w:rPr>
                <w:sz w:val="20"/>
                <w:szCs w:val="20"/>
              </w:rPr>
              <w:t xml:space="preserve"> Drive (section from Farm Beach Road southwards) </w:t>
            </w:r>
          </w:p>
          <w:p w14:paraId="05A6CF6D" w14:textId="7D0D1D36" w:rsidR="00604A47" w:rsidRPr="00496FE3" w:rsidRDefault="00604A47" w:rsidP="00496FE3">
            <w:pPr>
              <w:contextualSpacing/>
              <w:rPr>
                <w:sz w:val="20"/>
                <w:szCs w:val="20"/>
              </w:rPr>
            </w:pPr>
          </w:p>
        </w:tc>
        <w:tc>
          <w:tcPr>
            <w:tcW w:w="4961" w:type="dxa"/>
          </w:tcPr>
          <w:p w14:paraId="7937E19A" w14:textId="77777777" w:rsidR="00604A47" w:rsidRPr="00604A47" w:rsidRDefault="00604A47" w:rsidP="00604A47">
            <w:pPr>
              <w:rPr>
                <w:sz w:val="20"/>
                <w:szCs w:val="20"/>
              </w:rPr>
            </w:pPr>
            <w:proofErr w:type="spellStart"/>
            <w:r w:rsidRPr="00604A47">
              <w:rPr>
                <w:sz w:val="20"/>
                <w:szCs w:val="20"/>
              </w:rPr>
              <w:t>Broccabruna</w:t>
            </w:r>
            <w:proofErr w:type="spellEnd"/>
            <w:r w:rsidRPr="00604A47">
              <w:rPr>
                <w:sz w:val="20"/>
                <w:szCs w:val="20"/>
              </w:rPr>
              <w:t xml:space="preserve"> Drive (section from Mena Road to the Flinders Highway) </w:t>
            </w:r>
          </w:p>
          <w:p w14:paraId="6FD6C48F" w14:textId="77777777" w:rsidR="00604A47" w:rsidRPr="00604A47" w:rsidRDefault="00604A47" w:rsidP="00604A47">
            <w:pPr>
              <w:rPr>
                <w:sz w:val="20"/>
                <w:szCs w:val="20"/>
              </w:rPr>
            </w:pPr>
            <w:r w:rsidRPr="00604A47">
              <w:rPr>
                <w:sz w:val="20"/>
                <w:szCs w:val="20"/>
              </w:rPr>
              <w:t xml:space="preserve">The road is not all-weather, very narrow, windy in places and weaves through very large gum trees. The road therefore does not meet geometrical standards for a Commodity Route in terms of road width and horizontal alignment and does not meet pavement standards. As a consequence, the road is not maintained as a freight route. Any agriculture land in the area has frontage to other gazetted Commodity Routes. </w:t>
            </w:r>
          </w:p>
          <w:p w14:paraId="66857BE5" w14:textId="77777777" w:rsidR="00604A47" w:rsidRDefault="00604A47" w:rsidP="00604A47">
            <w:pPr>
              <w:rPr>
                <w:sz w:val="20"/>
                <w:szCs w:val="20"/>
              </w:rPr>
            </w:pPr>
          </w:p>
          <w:p w14:paraId="1D3F8648" w14:textId="4DE1B264" w:rsidR="00604A47" w:rsidRPr="00604A47" w:rsidRDefault="00604A47" w:rsidP="00604A47">
            <w:pPr>
              <w:rPr>
                <w:sz w:val="20"/>
                <w:szCs w:val="20"/>
              </w:rPr>
            </w:pPr>
            <w:proofErr w:type="spellStart"/>
            <w:r w:rsidRPr="00604A47">
              <w:rPr>
                <w:sz w:val="20"/>
                <w:szCs w:val="20"/>
              </w:rPr>
              <w:t>Broccabruna</w:t>
            </w:r>
            <w:proofErr w:type="spellEnd"/>
            <w:r w:rsidRPr="00604A47">
              <w:rPr>
                <w:sz w:val="20"/>
                <w:szCs w:val="20"/>
              </w:rPr>
              <w:t xml:space="preserve"> Drive (section from Farm Beach Road southwards) </w:t>
            </w:r>
          </w:p>
          <w:p w14:paraId="6B703088" w14:textId="60317F7A" w:rsidR="00762630" w:rsidRPr="00496FE3" w:rsidRDefault="00604A47" w:rsidP="00604A47">
            <w:pPr>
              <w:rPr>
                <w:sz w:val="20"/>
                <w:szCs w:val="20"/>
              </w:rPr>
            </w:pPr>
            <w:r w:rsidRPr="00604A47">
              <w:rPr>
                <w:sz w:val="20"/>
                <w:szCs w:val="20"/>
              </w:rPr>
              <w:t>This road serves a holiday shack area with narrow roads and no footpaths. It would be difficult and unsafe for a Class 2 RAV to manoeuvre in the shack area. Any agriculture land in the area has frontage to other gazetted Commodity Routes.</w:t>
            </w:r>
          </w:p>
        </w:tc>
      </w:tr>
    </w:tbl>
    <w:p w14:paraId="180388E9" w14:textId="77777777" w:rsidR="00594F18" w:rsidRPr="00DE0083" w:rsidRDefault="00594F18" w:rsidP="00594F18">
      <w:pPr>
        <w:contextualSpacing/>
        <w:rPr>
          <w:b/>
          <w:bCs/>
        </w:rPr>
      </w:pPr>
    </w:p>
    <w:sectPr w:rsidR="00594F18" w:rsidRPr="00DE0083" w:rsidSect="00621D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2BE0" w14:textId="77777777" w:rsidR="007A3C4A" w:rsidRDefault="007A3C4A" w:rsidP="00537155">
      <w:pPr>
        <w:spacing w:after="0" w:line="240" w:lineRule="auto"/>
      </w:pPr>
      <w:r>
        <w:separator/>
      </w:r>
    </w:p>
  </w:endnote>
  <w:endnote w:type="continuationSeparator" w:id="0">
    <w:p w14:paraId="5C52727C" w14:textId="77777777" w:rsidR="007A3C4A" w:rsidRDefault="007A3C4A" w:rsidP="0053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8BE9" w14:textId="77777777" w:rsidR="00537155" w:rsidRDefault="00537155" w:rsidP="00537155">
    <w:pPr>
      <w:pStyle w:val="Footer"/>
      <w:jc w:val="right"/>
      <w:rPr>
        <w:i/>
        <w:iCs/>
      </w:rPr>
    </w:pPr>
  </w:p>
  <w:p w14:paraId="78B7BFC2" w14:textId="0E29CFA4" w:rsidR="00537155" w:rsidRPr="00DE0083" w:rsidRDefault="00537155" w:rsidP="00537155">
    <w:pPr>
      <w:pStyle w:val="Footer"/>
      <w:jc w:val="right"/>
    </w:pPr>
    <w:r w:rsidRPr="00DE0083">
      <w:t>Heavy Vehicle Stated Maps – Suspension and Amendment Notice 202</w:t>
    </w:r>
    <w:r w:rsidR="00F01542">
      <w:t>4</w:t>
    </w:r>
    <w:r w:rsidRPr="00DE0083">
      <w:t xml:space="preserve"> (No.</w:t>
    </w:r>
    <w:r w:rsidR="00154611">
      <w:t>2</w:t>
    </w:r>
    <w:r w:rsidRPr="00DE0083">
      <w:t>)</w:t>
    </w:r>
  </w:p>
  <w:sdt>
    <w:sdtPr>
      <w:id w:val="752395455"/>
      <w:docPartObj>
        <w:docPartGallery w:val="Page Numbers (Bottom of Page)"/>
        <w:docPartUnique/>
      </w:docPartObj>
    </w:sdtPr>
    <w:sdtEndPr/>
    <w:sdtContent>
      <w:sdt>
        <w:sdtPr>
          <w:id w:val="-1769616900"/>
          <w:docPartObj>
            <w:docPartGallery w:val="Page Numbers (Top of Page)"/>
            <w:docPartUnique/>
          </w:docPartObj>
        </w:sdtPr>
        <w:sdtEnd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C2AA" w14:textId="77777777" w:rsidR="00DD50A9" w:rsidRDefault="00DD50A9" w:rsidP="00DD50A9">
    <w:pPr>
      <w:pStyle w:val="Footer"/>
      <w:jc w:val="right"/>
      <w:rPr>
        <w:i/>
        <w:iCs/>
      </w:rPr>
    </w:pPr>
  </w:p>
  <w:p w14:paraId="6DD09F37" w14:textId="77777777" w:rsidR="00DD50A9" w:rsidRPr="00DE0083" w:rsidRDefault="00DD50A9" w:rsidP="00DD50A9">
    <w:pPr>
      <w:pStyle w:val="Footer"/>
      <w:jc w:val="right"/>
    </w:pPr>
    <w:r w:rsidRPr="00DE0083">
      <w:t>Heavy Vehicle Stated Maps – Suspension and Amendment Notice 202</w:t>
    </w:r>
    <w:r>
      <w:t>4</w:t>
    </w:r>
    <w:r w:rsidRPr="00DE0083">
      <w:t xml:space="preserve"> (No.</w:t>
    </w:r>
    <w:r>
      <w:t>2</w:t>
    </w:r>
    <w:r w:rsidRPr="00DE0083">
      <w:t>)</w:t>
    </w:r>
  </w:p>
  <w:sdt>
    <w:sdtPr>
      <w:id w:val="-658463213"/>
      <w:docPartObj>
        <w:docPartGallery w:val="Page Numbers (Bottom of Page)"/>
        <w:docPartUnique/>
      </w:docPartObj>
    </w:sdtPr>
    <w:sdtContent>
      <w:sdt>
        <w:sdtPr>
          <w:id w:val="-2037563823"/>
          <w:docPartObj>
            <w:docPartGallery w:val="Page Numbers (Top of Page)"/>
            <w:docPartUnique/>
          </w:docPartObj>
        </w:sdtPr>
        <w:sdtContent>
          <w:p w14:paraId="34EB2BD6" w14:textId="76AB8667" w:rsidR="00DD50A9" w:rsidRDefault="00DD50A9" w:rsidP="00DD50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3449" w14:textId="77777777" w:rsidR="007A3C4A" w:rsidRDefault="007A3C4A" w:rsidP="00537155">
      <w:pPr>
        <w:spacing w:after="0" w:line="240" w:lineRule="auto"/>
      </w:pPr>
      <w:r>
        <w:separator/>
      </w:r>
    </w:p>
  </w:footnote>
  <w:footnote w:type="continuationSeparator" w:id="0">
    <w:p w14:paraId="7CA008F6" w14:textId="77777777" w:rsidR="007A3C4A" w:rsidRDefault="007A3C4A" w:rsidP="0053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DD50A9" w:rsidRPr="00CE796A" w14:paraId="78C6FD98" w14:textId="77777777" w:rsidTr="008D07C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26A79B1" w14:textId="77777777" w:rsidR="00DD50A9" w:rsidRPr="00CE796A" w:rsidRDefault="00DD50A9" w:rsidP="00DD50A9">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719DD731" wp14:editId="4F556C6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9CB5F1B" w14:textId="77777777" w:rsidR="00DD50A9" w:rsidRPr="00CE796A" w:rsidRDefault="00DD50A9" w:rsidP="00DD50A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0C668C" w14:textId="77777777" w:rsidR="00DD50A9" w:rsidRPr="00CE796A" w:rsidRDefault="00DD50A9" w:rsidP="00DD50A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D50A9" w:rsidRPr="00CE796A" w14:paraId="70BBD9C2" w14:textId="77777777" w:rsidTr="008D07C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4FBB046" w14:textId="77777777" w:rsidR="00DD50A9" w:rsidRPr="00CE796A" w:rsidRDefault="00DD50A9" w:rsidP="00DD50A9">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6A6313D" w14:textId="77777777" w:rsidR="00DD50A9" w:rsidRPr="00840A06" w:rsidRDefault="00DD50A9" w:rsidP="00DD50A9">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677E034E" w14:textId="77777777" w:rsidR="00DD50A9" w:rsidRDefault="00DD5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37A9D"/>
    <w:rsid w:val="00154611"/>
    <w:rsid w:val="001E270F"/>
    <w:rsid w:val="002C767F"/>
    <w:rsid w:val="00312940"/>
    <w:rsid w:val="00396D7A"/>
    <w:rsid w:val="003F51E6"/>
    <w:rsid w:val="00496FE3"/>
    <w:rsid w:val="005054A8"/>
    <w:rsid w:val="00537155"/>
    <w:rsid w:val="00594F18"/>
    <w:rsid w:val="005A07B3"/>
    <w:rsid w:val="005E23D6"/>
    <w:rsid w:val="00604A47"/>
    <w:rsid w:val="0060768C"/>
    <w:rsid w:val="00621DDA"/>
    <w:rsid w:val="00644927"/>
    <w:rsid w:val="006C34F0"/>
    <w:rsid w:val="006C4295"/>
    <w:rsid w:val="007227A3"/>
    <w:rsid w:val="00755BCA"/>
    <w:rsid w:val="00762630"/>
    <w:rsid w:val="007A3C4A"/>
    <w:rsid w:val="007A53DC"/>
    <w:rsid w:val="00863BA1"/>
    <w:rsid w:val="00892A0D"/>
    <w:rsid w:val="00901CB8"/>
    <w:rsid w:val="00917D1D"/>
    <w:rsid w:val="00975CA4"/>
    <w:rsid w:val="00994B0C"/>
    <w:rsid w:val="009C2FCB"/>
    <w:rsid w:val="00A12688"/>
    <w:rsid w:val="00A13547"/>
    <w:rsid w:val="00A92E1A"/>
    <w:rsid w:val="00AA18A2"/>
    <w:rsid w:val="00B2305A"/>
    <w:rsid w:val="00B4620C"/>
    <w:rsid w:val="00B662AF"/>
    <w:rsid w:val="00BD5369"/>
    <w:rsid w:val="00C841B5"/>
    <w:rsid w:val="00D63DC3"/>
    <w:rsid w:val="00DD50A9"/>
    <w:rsid w:val="00DE0083"/>
    <w:rsid w:val="00E20891"/>
    <w:rsid w:val="00EE2A09"/>
    <w:rsid w:val="00F01542"/>
    <w:rsid w:val="00F240B8"/>
    <w:rsid w:val="00FE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FB65C188-DED7-447E-87E2-F15F5CA4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6" ma:contentTypeDescription="Create a new document." ma:contentTypeScope="" ma:versionID="0685a43473c6929c24eb093657a7c0b8">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32e7e88a6c1d93f24a015486f6bd624f"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C25D29C-322D-4B06-832C-6AAA90910180}">
  <ds:schemaRefs>
    <ds:schemaRef ds:uri="5ad2cbeb-fc51-4b49-87dc-42300fe4d1dd"/>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45ab7314-6ee2-4801-b2cf-a27306d55ce5"/>
    <ds:schemaRef ds:uri="73f7d1ba-ac27-4bcb-a5b6-37981e86af6e"/>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4D96489-103D-4699-B6D1-236EE6676F11}">
  <ds:schemaRefs>
    <ds:schemaRef ds:uri="http://schemas.microsoft.com/sharepoint/v3/contenttype/forms"/>
  </ds:schemaRefs>
</ds:datastoreItem>
</file>

<file path=customXml/itemProps3.xml><?xml version="1.0" encoding="utf-8"?>
<ds:datastoreItem xmlns:ds="http://schemas.openxmlformats.org/officeDocument/2006/customXml" ds:itemID="{E012FF01-0206-4A2E-8499-7848C6107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9E372-6823-4698-AAA5-2500B90DA93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463</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17</cp:revision>
  <dcterms:created xsi:type="dcterms:W3CDTF">2024-01-31T01:40:00Z</dcterms:created>
  <dcterms:modified xsi:type="dcterms:W3CDTF">2024-02-01T03:33:00Z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y fmtid="{D5CDD505-2E9C-101B-9397-08002B2CF9AE}" pid="3" name="ContentTypeId">
    <vt:lpwstr>0x0101002D41D59F8C1A3F41A2B5409D4BA3BB7A</vt:lpwstr>
  </property>
  <property fmtid="{D5CDD505-2E9C-101B-9397-08002B2CF9AE}" pid="4" name="MediaServiceImageTags">
    <vt:lpwstr/>
  </property>
</Properties>
</file>