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EA9" w14:textId="13F81E35" w:rsidR="00DD1752" w:rsidRPr="00B431FC" w:rsidRDefault="00DD1752" w:rsidP="00B47425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1D9A9FEF" w14:textId="03422757" w:rsidR="00FC1EB9" w:rsidRDefault="00F639A5" w:rsidP="00B47425">
      <w:pPr>
        <w:contextualSpacing/>
        <w:jc w:val="both"/>
        <w:rPr>
          <w:b/>
          <w:bCs/>
          <w:sz w:val="28"/>
          <w:szCs w:val="28"/>
        </w:rPr>
      </w:pPr>
      <w:r w:rsidRPr="00F639A5">
        <w:rPr>
          <w:b/>
          <w:bCs/>
          <w:sz w:val="28"/>
          <w:szCs w:val="28"/>
        </w:rPr>
        <w:t>Tasmania Class 3 Truck and Dog Trailer Mass and Dimension Exemption Notice 20</w:t>
      </w:r>
      <w:r>
        <w:rPr>
          <w:b/>
          <w:bCs/>
          <w:sz w:val="28"/>
          <w:szCs w:val="28"/>
        </w:rPr>
        <w:t>2</w:t>
      </w:r>
      <w:r w:rsidR="004B1AE8">
        <w:rPr>
          <w:b/>
          <w:bCs/>
          <w:sz w:val="28"/>
          <w:szCs w:val="28"/>
        </w:rPr>
        <w:t>4</w:t>
      </w:r>
      <w:r w:rsidRPr="00F639A5">
        <w:rPr>
          <w:b/>
          <w:bCs/>
          <w:sz w:val="28"/>
          <w:szCs w:val="28"/>
        </w:rPr>
        <w:t xml:space="preserve"> (No.1)</w:t>
      </w:r>
    </w:p>
    <w:p w14:paraId="007C4471" w14:textId="7E1F9B6D" w:rsidR="00DD1752" w:rsidRPr="00B431FC" w:rsidRDefault="00DD1752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B47425">
      <w:pPr>
        <w:pStyle w:val="ListParagraph"/>
        <w:ind w:left="1080"/>
        <w:jc w:val="both"/>
      </w:pPr>
    </w:p>
    <w:p w14:paraId="52240D18" w14:textId="0AF3ECCC" w:rsidR="000805E0" w:rsidRDefault="00DD1752" w:rsidP="004B1AE8">
      <w:pPr>
        <w:pStyle w:val="ListParagraph"/>
        <w:ind w:left="1080"/>
      </w:pPr>
      <w:r>
        <w:t>This</w:t>
      </w:r>
      <w:r w:rsidR="000A30CD">
        <w:t xml:space="preserve"> notice</w:t>
      </w:r>
      <w:r>
        <w:t xml:space="preserve"> grants </w:t>
      </w:r>
      <w:r w:rsidR="000A30CD">
        <w:t xml:space="preserve">exemptions from mass and dimension requirements for class 3 vehicles that are truck and </w:t>
      </w:r>
      <w:r w:rsidR="00D57F15">
        <w:t>dog</w:t>
      </w:r>
      <w:r w:rsidR="000A30CD">
        <w:t xml:space="preserve"> com</w:t>
      </w:r>
      <w:r w:rsidR="00D57F15">
        <w:t>binations.</w:t>
      </w:r>
    </w:p>
    <w:p w14:paraId="2FE3E614" w14:textId="77777777" w:rsidR="00F571B6" w:rsidRDefault="00F571B6" w:rsidP="00B47425">
      <w:pPr>
        <w:pStyle w:val="ListParagraph"/>
        <w:ind w:left="1080"/>
        <w:jc w:val="both"/>
      </w:pPr>
    </w:p>
    <w:p w14:paraId="143AA1D4" w14:textId="66A8E61E" w:rsidR="00663E3D" w:rsidRDefault="00B408CD" w:rsidP="00B408CD">
      <w:pPr>
        <w:pStyle w:val="ListParagraph"/>
        <w:ind w:left="1080"/>
        <w:jc w:val="both"/>
      </w:pPr>
      <w:r>
        <w:t>Note:</w:t>
      </w:r>
      <w:r w:rsidR="004B1AE8">
        <w:tab/>
      </w:r>
      <w:r w:rsidR="000805E0">
        <w:t xml:space="preserve">This </w:t>
      </w:r>
      <w:r w:rsidR="004B1AE8">
        <w:t>n</w:t>
      </w:r>
      <w:r w:rsidR="000805E0">
        <w:t xml:space="preserve">otice revokes </w:t>
      </w:r>
      <w:r w:rsidR="00F571B6">
        <w:t>the</w:t>
      </w:r>
      <w:r w:rsidR="00663E3D">
        <w:t xml:space="preserve"> following instruments</w:t>
      </w:r>
      <w:r w:rsidR="004B1AE8">
        <w:t xml:space="preserve"> upon their expiry</w:t>
      </w:r>
      <w:r w:rsidR="00663E3D">
        <w:t>:</w:t>
      </w:r>
    </w:p>
    <w:p w14:paraId="285F0EF8" w14:textId="77777777" w:rsidR="00663E3D" w:rsidRDefault="00663E3D" w:rsidP="00663E3D">
      <w:pPr>
        <w:pStyle w:val="ListParagraph"/>
      </w:pPr>
    </w:p>
    <w:p w14:paraId="2EA44D7F" w14:textId="22024940" w:rsidR="000805E0" w:rsidRDefault="008A12DC" w:rsidP="004B1AE8">
      <w:pPr>
        <w:pStyle w:val="ListParagraph"/>
        <w:ind w:left="2160"/>
        <w:jc w:val="both"/>
        <w:rPr>
          <w:i/>
          <w:iCs/>
        </w:rPr>
      </w:pPr>
      <w:r w:rsidRPr="00663E3D">
        <w:rPr>
          <w:i/>
          <w:iCs/>
        </w:rPr>
        <w:t>Tasmania Class 3 Heavy Vehicle Truck and Dog Trailer Combination Mass and Dimension Exemption Notice 2019 (No.1</w:t>
      </w:r>
      <w:r w:rsidR="00F571B6" w:rsidRPr="00663E3D">
        <w:rPr>
          <w:i/>
          <w:iCs/>
        </w:rPr>
        <w:t>)</w:t>
      </w:r>
    </w:p>
    <w:p w14:paraId="580515D4" w14:textId="77777777" w:rsidR="00A13C20" w:rsidRDefault="00A13C20" w:rsidP="00663E3D">
      <w:pPr>
        <w:pStyle w:val="ListParagraph"/>
        <w:ind w:left="1080"/>
        <w:jc w:val="both"/>
        <w:rPr>
          <w:i/>
          <w:iCs/>
        </w:rPr>
      </w:pPr>
    </w:p>
    <w:p w14:paraId="61CF2F5A" w14:textId="1AD6D5F2" w:rsidR="00663E3D" w:rsidRPr="009563CB" w:rsidRDefault="00A13C20" w:rsidP="004B1AE8">
      <w:pPr>
        <w:pStyle w:val="ListParagraph"/>
        <w:ind w:left="2160"/>
        <w:jc w:val="both"/>
        <w:rPr>
          <w:i/>
          <w:iCs/>
        </w:rPr>
      </w:pPr>
      <w:r w:rsidRPr="00A13C20">
        <w:rPr>
          <w:i/>
          <w:iCs/>
        </w:rPr>
        <w:t>Tasmania Class 3 Heavy Vehicle Truck and Dog Trailer Combination (Increased Mass Limits) Mass Exemption Notice 2019 (No.1)</w:t>
      </w:r>
    </w:p>
    <w:p w14:paraId="149A564C" w14:textId="77777777" w:rsidR="00DD1752" w:rsidRDefault="00DD1752" w:rsidP="00B47425">
      <w:pPr>
        <w:pStyle w:val="ListParagraph"/>
        <w:ind w:left="1080"/>
        <w:jc w:val="both"/>
      </w:pPr>
    </w:p>
    <w:p w14:paraId="7FED65DE" w14:textId="77777777" w:rsidR="00DD1752" w:rsidRDefault="00DD1752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B47425">
      <w:pPr>
        <w:pStyle w:val="ListParagraph"/>
        <w:jc w:val="both"/>
        <w:rPr>
          <w:b/>
          <w:bCs/>
        </w:rPr>
      </w:pPr>
    </w:p>
    <w:p w14:paraId="660440CE" w14:textId="77777777" w:rsidR="00DD1752" w:rsidRDefault="00DD1752" w:rsidP="00B47425">
      <w:pPr>
        <w:pStyle w:val="ListParagraph"/>
        <w:numPr>
          <w:ilvl w:val="0"/>
          <w:numId w:val="11"/>
        </w:numPr>
        <w:jc w:val="both"/>
      </w:pPr>
      <w:r>
        <w:t>This Notice is made under the following provision of the Heavy Vehicle National Law (HVNL):</w:t>
      </w:r>
    </w:p>
    <w:p w14:paraId="4C370231" w14:textId="77777777" w:rsidR="00DD1752" w:rsidRDefault="00DD1752" w:rsidP="00B47425">
      <w:pPr>
        <w:pStyle w:val="ListParagraph"/>
        <w:ind w:left="1080"/>
        <w:jc w:val="both"/>
      </w:pPr>
    </w:p>
    <w:p w14:paraId="61970DD1" w14:textId="2E7C8FA1" w:rsidR="00DD1752" w:rsidRPr="004B1AE8" w:rsidRDefault="00DD1752" w:rsidP="004B1AE8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1B4E3DD4" w14:textId="77777777" w:rsidR="004B1AE8" w:rsidRPr="00CB694B" w:rsidRDefault="004B1AE8" w:rsidP="004B1AE8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B47425">
      <w:pPr>
        <w:pStyle w:val="ListParagraph"/>
        <w:ind w:left="1080"/>
        <w:jc w:val="both"/>
      </w:pPr>
    </w:p>
    <w:p w14:paraId="28306A6F" w14:textId="4BADA383" w:rsidR="00DD1752" w:rsidRDefault="00DD1752" w:rsidP="00B47425">
      <w:pPr>
        <w:pStyle w:val="ListParagraph"/>
        <w:ind w:left="1080"/>
        <w:jc w:val="both"/>
      </w:pPr>
      <w:r>
        <w:t>This exemption Notice may be cited as the</w:t>
      </w:r>
      <w:r w:rsidR="00373E4D" w:rsidRPr="00373E4D">
        <w:t xml:space="preserve"> </w:t>
      </w:r>
      <w:r w:rsidR="008A12DC" w:rsidRPr="008A12DC">
        <w:rPr>
          <w:i/>
          <w:iCs/>
        </w:rPr>
        <w:t xml:space="preserve">Tasmania Class 3 Truck and Dog Trailer </w:t>
      </w:r>
      <w:r w:rsidR="00A45EC6">
        <w:rPr>
          <w:i/>
          <w:iCs/>
        </w:rPr>
        <w:t>Mass and</w:t>
      </w:r>
      <w:r w:rsidR="008A12DC" w:rsidRPr="008A12DC">
        <w:rPr>
          <w:i/>
          <w:iCs/>
        </w:rPr>
        <w:t xml:space="preserve"> Dimension Exemption Notice 20</w:t>
      </w:r>
      <w:r w:rsidR="008A12DC">
        <w:rPr>
          <w:i/>
          <w:iCs/>
        </w:rPr>
        <w:t>2</w:t>
      </w:r>
      <w:r w:rsidR="004B1AE8">
        <w:rPr>
          <w:i/>
          <w:iCs/>
        </w:rPr>
        <w:t>4</w:t>
      </w:r>
      <w:r w:rsidR="008A12DC" w:rsidRPr="008A12DC">
        <w:rPr>
          <w:i/>
          <w:iCs/>
        </w:rPr>
        <w:t xml:space="preserve"> (No.1)</w:t>
      </w:r>
      <w:r w:rsidR="008A12DC">
        <w:rPr>
          <w:i/>
          <w:iCs/>
        </w:rPr>
        <w:t>.</w:t>
      </w:r>
    </w:p>
    <w:p w14:paraId="646FF47F" w14:textId="77777777" w:rsidR="00DD1752" w:rsidRDefault="00DD1752" w:rsidP="00B47425">
      <w:pPr>
        <w:pStyle w:val="ListParagraph"/>
        <w:ind w:left="1440"/>
        <w:jc w:val="both"/>
      </w:pPr>
    </w:p>
    <w:p w14:paraId="3603939D" w14:textId="77777777" w:rsidR="00DD1752" w:rsidRDefault="00DD1752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B47425">
      <w:pPr>
        <w:pStyle w:val="ListParagraph"/>
        <w:jc w:val="both"/>
        <w:rPr>
          <w:b/>
          <w:bCs/>
        </w:rPr>
      </w:pPr>
    </w:p>
    <w:p w14:paraId="16179844" w14:textId="2D02470C" w:rsidR="00DD1752" w:rsidRDefault="00DD1752" w:rsidP="00B47425">
      <w:pPr>
        <w:pStyle w:val="ListParagraph"/>
        <w:ind w:left="1080"/>
        <w:jc w:val="both"/>
      </w:pPr>
      <w:r>
        <w:t xml:space="preserve">This Notice commences on </w:t>
      </w:r>
      <w:r w:rsidR="004B1AE8">
        <w:t>10 February 2024</w:t>
      </w:r>
    </w:p>
    <w:p w14:paraId="22392E63" w14:textId="77777777" w:rsidR="00DD1752" w:rsidRDefault="00DD1752" w:rsidP="00B47425">
      <w:pPr>
        <w:pStyle w:val="ListParagraph"/>
        <w:ind w:left="1080"/>
        <w:jc w:val="both"/>
      </w:pPr>
    </w:p>
    <w:p w14:paraId="06B562F6" w14:textId="77777777" w:rsidR="00DD1752" w:rsidRDefault="00DD1752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B47425">
      <w:pPr>
        <w:pStyle w:val="ListParagraph"/>
        <w:jc w:val="both"/>
        <w:rPr>
          <w:b/>
          <w:bCs/>
        </w:rPr>
      </w:pPr>
    </w:p>
    <w:p w14:paraId="22A8D9C6" w14:textId="6CE9DEA2" w:rsidR="00DD1752" w:rsidRDefault="00DD1752" w:rsidP="00B47425">
      <w:pPr>
        <w:pStyle w:val="ListParagraph"/>
        <w:ind w:left="1080"/>
        <w:jc w:val="both"/>
      </w:pPr>
      <w:r>
        <w:t xml:space="preserve">This Notice expires on </w:t>
      </w:r>
      <w:r w:rsidR="004B1AE8">
        <w:t>9 February 2029</w:t>
      </w:r>
      <w:r w:rsidR="000D3A6A">
        <w:t>.</w:t>
      </w:r>
    </w:p>
    <w:p w14:paraId="42B740FE" w14:textId="77777777" w:rsidR="00DD1752" w:rsidRDefault="00DD1752" w:rsidP="00B47425">
      <w:pPr>
        <w:pStyle w:val="ListParagraph"/>
        <w:ind w:left="1080"/>
        <w:jc w:val="both"/>
      </w:pPr>
    </w:p>
    <w:p w14:paraId="2DA8D8F2" w14:textId="77777777" w:rsidR="00581C6C" w:rsidRDefault="00581C6C" w:rsidP="00B47425">
      <w:pPr>
        <w:contextualSpacing/>
        <w:rPr>
          <w:b/>
          <w:bCs/>
        </w:rPr>
      </w:pPr>
      <w:r>
        <w:rPr>
          <w:b/>
          <w:bCs/>
        </w:rPr>
        <w:br w:type="page"/>
      </w:r>
    </w:p>
    <w:p w14:paraId="0B4535BB" w14:textId="1C48BDDF" w:rsidR="00DD1752" w:rsidRPr="00811BF4" w:rsidRDefault="00DD1752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B47425">
      <w:pPr>
        <w:pStyle w:val="ListParagraph"/>
        <w:ind w:left="1080"/>
        <w:jc w:val="both"/>
      </w:pPr>
    </w:p>
    <w:p w14:paraId="0FC75E3F" w14:textId="33AFCA1A" w:rsidR="009614B8" w:rsidRDefault="00DD1752" w:rsidP="00B47425">
      <w:pPr>
        <w:pStyle w:val="ListParagraph"/>
        <w:numPr>
          <w:ilvl w:val="0"/>
          <w:numId w:val="4"/>
        </w:numPr>
        <w:jc w:val="both"/>
      </w:pPr>
      <w:r>
        <w:t>Unless otherwise stated, words and expressions used in this Notice have the same meanings as those in the HVNL and its regulations.</w:t>
      </w:r>
    </w:p>
    <w:p w14:paraId="7DBD7590" w14:textId="77777777" w:rsidR="00A91D01" w:rsidRDefault="00A91D01" w:rsidP="00B47425">
      <w:pPr>
        <w:pStyle w:val="ListParagraph"/>
        <w:ind w:left="1080"/>
        <w:jc w:val="both"/>
      </w:pPr>
    </w:p>
    <w:p w14:paraId="353FC192" w14:textId="77777777" w:rsidR="00DD1752" w:rsidRDefault="00DD1752" w:rsidP="00B47425">
      <w:pPr>
        <w:pStyle w:val="ListParagraph"/>
        <w:numPr>
          <w:ilvl w:val="0"/>
          <w:numId w:val="4"/>
        </w:numPr>
        <w:jc w:val="both"/>
      </w:pPr>
      <w:r>
        <w:t>In this Notice:</w:t>
      </w:r>
    </w:p>
    <w:p w14:paraId="122D9FCF" w14:textId="7FFD7060" w:rsidR="001E1AB8" w:rsidRDefault="001E1AB8" w:rsidP="00B47425">
      <w:pPr>
        <w:ind w:left="1440"/>
        <w:contextualSpacing/>
        <w:jc w:val="both"/>
      </w:pPr>
      <w:r w:rsidRPr="001E1AB8">
        <w:rPr>
          <w:b/>
          <w:bCs/>
          <w:i/>
          <w:iCs/>
        </w:rPr>
        <w:t>aggregate axle load</w:t>
      </w:r>
      <w:r w:rsidRPr="001E1AB8">
        <w:t xml:space="preserve"> means the sum of the axle loads of all the axles of the vehicle or combination.</w:t>
      </w:r>
    </w:p>
    <w:p w14:paraId="314F3379" w14:textId="77777777" w:rsidR="00805FEC" w:rsidRPr="001E1AB8" w:rsidRDefault="00805FEC" w:rsidP="00B47425">
      <w:pPr>
        <w:ind w:left="1440"/>
        <w:contextualSpacing/>
        <w:jc w:val="both"/>
      </w:pPr>
    </w:p>
    <w:p w14:paraId="7B587EF8" w14:textId="29D00363" w:rsidR="001E1AB8" w:rsidRPr="001E1AB8" w:rsidRDefault="001E1AB8" w:rsidP="00B47425">
      <w:pPr>
        <w:ind w:left="1440"/>
        <w:contextualSpacing/>
        <w:jc w:val="both"/>
      </w:pPr>
      <w:r w:rsidRPr="001E1AB8">
        <w:rPr>
          <w:b/>
          <w:bCs/>
          <w:i/>
          <w:iCs/>
        </w:rPr>
        <w:t>air suspension</w:t>
      </w:r>
      <w:r w:rsidRPr="001E1AB8">
        <w:t xml:space="preserve"> means a suspension system in which—</w:t>
      </w:r>
    </w:p>
    <w:p w14:paraId="0D0BE7D5" w14:textId="77777777" w:rsidR="001E1AB8" w:rsidRPr="001E1AB8" w:rsidRDefault="001E1AB8" w:rsidP="00B47425">
      <w:pPr>
        <w:pStyle w:val="ListParagraph"/>
        <w:numPr>
          <w:ilvl w:val="0"/>
          <w:numId w:val="14"/>
        </w:numPr>
        <w:jc w:val="both"/>
      </w:pPr>
      <w:r w:rsidRPr="001E1AB8">
        <w:t>the vertical movement between each axle and the body of the vehicle is controlled by variations in the air pressure and the air spring; and</w:t>
      </w:r>
    </w:p>
    <w:p w14:paraId="3A742092" w14:textId="0BD9756D" w:rsidR="006F79A0" w:rsidRPr="006F79A0" w:rsidRDefault="001E1AB8" w:rsidP="006F79A0">
      <w:pPr>
        <w:pStyle w:val="ListParagraph"/>
        <w:numPr>
          <w:ilvl w:val="0"/>
          <w:numId w:val="14"/>
        </w:numPr>
        <w:jc w:val="both"/>
      </w:pPr>
      <w:r w:rsidRPr="001E1AB8">
        <w:t xml:space="preserve"> the proportion of the vehicle’s mass borne by the air spring remains substantially constant despite variations in the air pressure in the air spring.</w:t>
      </w:r>
    </w:p>
    <w:p w14:paraId="27D451E5" w14:textId="02CFC86A" w:rsidR="00E66FD5" w:rsidRDefault="00E66FD5" w:rsidP="00B47425">
      <w:pPr>
        <w:ind w:left="1440"/>
        <w:contextualSpacing/>
        <w:jc w:val="both"/>
      </w:pPr>
      <w:r>
        <w:rPr>
          <w:b/>
          <w:bCs/>
          <w:i/>
          <w:iCs/>
        </w:rPr>
        <w:t xml:space="preserve">Guide </w:t>
      </w:r>
      <w:r>
        <w:t xml:space="preserve">means the </w:t>
      </w:r>
      <w:r w:rsidRPr="00603B11">
        <w:rPr>
          <w:i/>
          <w:iCs/>
        </w:rPr>
        <w:t xml:space="preserve">Tasmania Class 3 Truck and Dog Trailer Mass and Dimension Exemption </w:t>
      </w:r>
      <w:r w:rsidR="00663E3D" w:rsidRPr="00603B11">
        <w:rPr>
          <w:i/>
          <w:iCs/>
        </w:rPr>
        <w:t>Operator’s Guide</w:t>
      </w:r>
      <w:r w:rsidR="00663E3D">
        <w:t>, as amended from time to time.</w:t>
      </w:r>
    </w:p>
    <w:p w14:paraId="33D57030" w14:textId="77777777" w:rsidR="00E66FD5" w:rsidRPr="00E66FD5" w:rsidRDefault="00E66FD5" w:rsidP="00B47425">
      <w:pPr>
        <w:ind w:left="1440"/>
        <w:contextualSpacing/>
        <w:jc w:val="both"/>
      </w:pPr>
    </w:p>
    <w:p w14:paraId="786F04D1" w14:textId="6E8B32DA" w:rsidR="00767747" w:rsidRDefault="00805FEC" w:rsidP="007C4850">
      <w:pPr>
        <w:ind w:left="1440"/>
        <w:contextualSpacing/>
        <w:jc w:val="both"/>
      </w:pPr>
      <w:r>
        <w:rPr>
          <w:b/>
          <w:bCs/>
          <w:i/>
          <w:iCs/>
        </w:rPr>
        <w:t>r</w:t>
      </w:r>
      <w:r w:rsidR="009E0244">
        <w:rPr>
          <w:b/>
          <w:bCs/>
          <w:i/>
          <w:iCs/>
        </w:rPr>
        <w:t>ear l</w:t>
      </w:r>
      <w:r w:rsidR="00A333DA" w:rsidRPr="00255B17">
        <w:rPr>
          <w:b/>
          <w:bCs/>
          <w:i/>
          <w:iCs/>
        </w:rPr>
        <w:t>og guard</w:t>
      </w:r>
      <w:r w:rsidR="00A333DA" w:rsidRPr="00255B17">
        <w:t xml:space="preserve"> means </w:t>
      </w:r>
      <w:r w:rsidR="00EE42A6">
        <w:t xml:space="preserve">a </w:t>
      </w:r>
      <w:r w:rsidR="00387E42">
        <w:t>mechanism or fixture</w:t>
      </w:r>
      <w:r w:rsidR="00EE42A6">
        <w:t xml:space="preserve"> installed to the rear </w:t>
      </w:r>
      <w:r w:rsidR="00E15D03">
        <w:t xml:space="preserve">of a trailer for the purpose of </w:t>
      </w:r>
      <w:r w:rsidR="00742D9A">
        <w:t>restraining logs.</w:t>
      </w:r>
    </w:p>
    <w:p w14:paraId="01A78285" w14:textId="3384F3EF" w:rsidR="00DD1752" w:rsidRDefault="00DD1752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B47425">
      <w:pPr>
        <w:pStyle w:val="ListParagraph"/>
        <w:jc w:val="both"/>
        <w:rPr>
          <w:b/>
          <w:bCs/>
        </w:rPr>
      </w:pPr>
    </w:p>
    <w:p w14:paraId="523EA0B3" w14:textId="573D822B" w:rsidR="00DD7263" w:rsidRDefault="00DD7263" w:rsidP="00B47425">
      <w:pPr>
        <w:pStyle w:val="ListParagraph"/>
        <w:numPr>
          <w:ilvl w:val="0"/>
          <w:numId w:val="5"/>
        </w:numPr>
        <w:jc w:val="both"/>
      </w:pPr>
      <w:r w:rsidRPr="00B779F0">
        <w:t xml:space="preserve">This exemption </w:t>
      </w:r>
      <w:r>
        <w:t>n</w:t>
      </w:r>
      <w:r w:rsidRPr="00B779F0">
        <w:t xml:space="preserve">otice applies to a </w:t>
      </w:r>
      <w:r w:rsidR="00182F51">
        <w:t>c</w:t>
      </w:r>
      <w:r w:rsidRPr="00B779F0">
        <w:t xml:space="preserve">lass </w:t>
      </w:r>
      <w:r w:rsidR="00001AC3">
        <w:t>3</w:t>
      </w:r>
      <w:r w:rsidRPr="00B779F0">
        <w:t xml:space="preserve"> heavy vehicle that </w:t>
      </w:r>
      <w:r w:rsidR="00182F51">
        <w:t xml:space="preserve">is a </w:t>
      </w:r>
      <w:r w:rsidR="00C8598B">
        <w:t>combination consisting of a truck towing a dog trailer.</w:t>
      </w:r>
    </w:p>
    <w:p w14:paraId="5230FDB9" w14:textId="77777777" w:rsidR="00C8598B" w:rsidRDefault="00C8598B" w:rsidP="00B47425">
      <w:pPr>
        <w:pStyle w:val="ListParagraph"/>
        <w:ind w:left="1080"/>
        <w:jc w:val="both"/>
      </w:pPr>
    </w:p>
    <w:p w14:paraId="3409573B" w14:textId="712C5628" w:rsidR="00C8598B" w:rsidRDefault="00C8598B" w:rsidP="00B47425">
      <w:pPr>
        <w:pStyle w:val="ListParagraph"/>
        <w:numPr>
          <w:ilvl w:val="0"/>
          <w:numId w:val="5"/>
        </w:numPr>
        <w:jc w:val="both"/>
      </w:pPr>
      <w:r>
        <w:t xml:space="preserve">This notice </w:t>
      </w:r>
      <w:r w:rsidR="0090778E">
        <w:t>applies</w:t>
      </w:r>
      <w:r>
        <w:t xml:space="preserve"> to a combination in which</w:t>
      </w:r>
      <w:r w:rsidR="003D111D">
        <w:t xml:space="preserve"> the truck has</w:t>
      </w:r>
      <w:r w:rsidR="00CE4E5D">
        <w:t>:</w:t>
      </w:r>
    </w:p>
    <w:p w14:paraId="77D75AAC" w14:textId="77777777" w:rsidR="0090778E" w:rsidRDefault="0090778E" w:rsidP="00B47425">
      <w:pPr>
        <w:pStyle w:val="ListParagraph"/>
        <w:ind w:left="1080"/>
        <w:jc w:val="both"/>
      </w:pPr>
    </w:p>
    <w:p w14:paraId="6E4914F6" w14:textId="08EF52B6" w:rsidR="003D111D" w:rsidRDefault="003D111D" w:rsidP="00B47425">
      <w:pPr>
        <w:pStyle w:val="ListParagraph"/>
        <w:numPr>
          <w:ilvl w:val="0"/>
          <w:numId w:val="15"/>
        </w:numPr>
        <w:jc w:val="both"/>
      </w:pPr>
      <w:r>
        <w:t>a single or twin steer axle;</w:t>
      </w:r>
      <w:r w:rsidR="0090778E">
        <w:t xml:space="preserve"> and</w:t>
      </w:r>
    </w:p>
    <w:p w14:paraId="48489722" w14:textId="4CF23DEF" w:rsidR="00CE4E5D" w:rsidRDefault="00311753" w:rsidP="00B47425">
      <w:pPr>
        <w:pStyle w:val="ListParagraph"/>
        <w:numPr>
          <w:ilvl w:val="0"/>
          <w:numId w:val="15"/>
        </w:numPr>
        <w:jc w:val="both"/>
      </w:pPr>
      <w:r>
        <w:t xml:space="preserve">a </w:t>
      </w:r>
      <w:r w:rsidR="0090778E">
        <w:t>dual drive tandem axle group.</w:t>
      </w:r>
    </w:p>
    <w:p w14:paraId="2F08090F" w14:textId="77777777" w:rsidR="00CB7D40" w:rsidRDefault="00CB7D40" w:rsidP="00B47425">
      <w:pPr>
        <w:pStyle w:val="ListParagraph"/>
        <w:ind w:left="1440"/>
        <w:jc w:val="both"/>
      </w:pPr>
    </w:p>
    <w:p w14:paraId="593B37EE" w14:textId="2C99C19D" w:rsidR="004D2414" w:rsidRDefault="00A1733D" w:rsidP="00B47425">
      <w:pPr>
        <w:pStyle w:val="ListParagraph"/>
        <w:numPr>
          <w:ilvl w:val="0"/>
          <w:numId w:val="5"/>
        </w:numPr>
        <w:jc w:val="both"/>
      </w:pPr>
      <w:r>
        <w:t xml:space="preserve">This notice applies to a combination in which the </w:t>
      </w:r>
      <w:r w:rsidR="002F1D2B">
        <w:t xml:space="preserve">dog </w:t>
      </w:r>
      <w:r>
        <w:t>trailer has:</w:t>
      </w:r>
    </w:p>
    <w:p w14:paraId="590E6351" w14:textId="77777777" w:rsidR="005C2858" w:rsidRDefault="005C2858" w:rsidP="00B47425">
      <w:pPr>
        <w:pStyle w:val="ListParagraph"/>
        <w:ind w:left="1080"/>
        <w:jc w:val="both"/>
      </w:pPr>
    </w:p>
    <w:p w14:paraId="70A8F57C" w14:textId="23678917" w:rsidR="00A1733D" w:rsidRDefault="005C2858" w:rsidP="00B47425">
      <w:pPr>
        <w:pStyle w:val="ListParagraph"/>
        <w:numPr>
          <w:ilvl w:val="0"/>
          <w:numId w:val="16"/>
        </w:numPr>
        <w:jc w:val="both"/>
      </w:pPr>
      <w:r>
        <w:t>a</w:t>
      </w:r>
      <w:r w:rsidR="00A1733D">
        <w:t xml:space="preserve"> single </w:t>
      </w:r>
      <w:r>
        <w:t xml:space="preserve">or tandem </w:t>
      </w:r>
      <w:r w:rsidR="00A1733D">
        <w:t>axle group to the front; and</w:t>
      </w:r>
    </w:p>
    <w:p w14:paraId="1195C828" w14:textId="4B68B7DB" w:rsidR="00E011E3" w:rsidRDefault="00E011E3" w:rsidP="00B47425">
      <w:pPr>
        <w:pStyle w:val="ListParagraph"/>
        <w:numPr>
          <w:ilvl w:val="0"/>
          <w:numId w:val="16"/>
        </w:numPr>
        <w:jc w:val="both"/>
      </w:pPr>
      <w:r>
        <w:t xml:space="preserve">a </w:t>
      </w:r>
      <w:r w:rsidR="008A12A0">
        <w:t xml:space="preserve">single or </w:t>
      </w:r>
      <w:r>
        <w:t>tandem axle group to the rear.</w:t>
      </w:r>
    </w:p>
    <w:p w14:paraId="18454218" w14:textId="77777777" w:rsidR="00A1733D" w:rsidRDefault="00A1733D" w:rsidP="00B47425">
      <w:pPr>
        <w:pStyle w:val="ListParagraph"/>
        <w:ind w:left="1440"/>
        <w:jc w:val="both"/>
      </w:pPr>
    </w:p>
    <w:p w14:paraId="415BBFE5" w14:textId="35C4F875" w:rsidR="00EE13BB" w:rsidRDefault="00FF1251" w:rsidP="00B47425">
      <w:pPr>
        <w:pStyle w:val="ListParagraph"/>
        <w:numPr>
          <w:ilvl w:val="0"/>
          <w:numId w:val="5"/>
        </w:numPr>
        <w:jc w:val="both"/>
      </w:pPr>
      <w:r>
        <w:t>All axles must have four t</w:t>
      </w:r>
      <w:r w:rsidR="00C35665">
        <w:t>y</w:t>
      </w:r>
      <w:r>
        <w:t>res, except steer axle</w:t>
      </w:r>
      <w:r w:rsidR="004659A5">
        <w:t>s</w:t>
      </w:r>
      <w:r w:rsidR="009E2047">
        <w:t xml:space="preserve"> on the truck</w:t>
      </w:r>
      <w:r>
        <w:t>.</w:t>
      </w:r>
    </w:p>
    <w:p w14:paraId="7338C8DE" w14:textId="77777777" w:rsidR="00FF1251" w:rsidRDefault="00FF1251" w:rsidP="00B47425">
      <w:pPr>
        <w:pStyle w:val="ListParagraph"/>
        <w:ind w:left="1080"/>
        <w:jc w:val="both"/>
      </w:pPr>
    </w:p>
    <w:p w14:paraId="767E8FC9" w14:textId="607C6D61" w:rsidR="00DD1752" w:rsidRDefault="00BA5AD0" w:rsidP="00B47425">
      <w:pPr>
        <w:pStyle w:val="ListParagraph"/>
        <w:numPr>
          <w:ilvl w:val="0"/>
          <w:numId w:val="5"/>
        </w:numPr>
        <w:jc w:val="both"/>
      </w:pPr>
      <w:r>
        <w:t xml:space="preserve">This Notice applies in </w:t>
      </w:r>
      <w:r w:rsidR="00C8598B">
        <w:t>Tasmania</w:t>
      </w:r>
      <w:r w:rsidR="004659A5">
        <w:t>.</w:t>
      </w:r>
    </w:p>
    <w:p w14:paraId="561F53D9" w14:textId="77777777" w:rsidR="007921D7" w:rsidRDefault="007921D7" w:rsidP="00B47425">
      <w:pPr>
        <w:pStyle w:val="ListParagraph"/>
        <w:ind w:left="1080"/>
        <w:jc w:val="both"/>
      </w:pPr>
    </w:p>
    <w:p w14:paraId="72688EED" w14:textId="559AA89A" w:rsidR="00FF1251" w:rsidRDefault="005A6499" w:rsidP="006C4900">
      <w:pPr>
        <w:pStyle w:val="ListParagraph"/>
        <w:numPr>
          <w:ilvl w:val="0"/>
          <w:numId w:val="5"/>
        </w:numPr>
        <w:jc w:val="both"/>
      </w:pPr>
      <w:r>
        <w:t>A heavy vehicle to which this section applies and that complies with the conditions of this notice is an eligible vehicle.</w:t>
      </w:r>
    </w:p>
    <w:p w14:paraId="1FCAD5E9" w14:textId="77777777" w:rsidR="007C4850" w:rsidRDefault="007C4850">
      <w:pPr>
        <w:rPr>
          <w:b/>
          <w:bCs/>
        </w:rPr>
      </w:pPr>
      <w:r>
        <w:rPr>
          <w:b/>
          <w:bCs/>
        </w:rPr>
        <w:br w:type="page"/>
      </w:r>
    </w:p>
    <w:p w14:paraId="5E984AFE" w14:textId="6D2AD8C4" w:rsidR="00F77FA4" w:rsidRPr="00DE5AD7" w:rsidRDefault="00F77FA4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Exemption – Prescribed mass requirements</w:t>
      </w:r>
    </w:p>
    <w:p w14:paraId="1381E332" w14:textId="77777777" w:rsidR="00F77FA4" w:rsidRDefault="00F77FA4" w:rsidP="00B47425">
      <w:pPr>
        <w:pStyle w:val="ListParagraph"/>
        <w:ind w:left="1080"/>
        <w:jc w:val="both"/>
      </w:pPr>
    </w:p>
    <w:p w14:paraId="78F59E5F" w14:textId="5B221375" w:rsidR="00F77FA4" w:rsidRDefault="00F77FA4" w:rsidP="00B47425">
      <w:pPr>
        <w:pStyle w:val="ListParagraph"/>
        <w:numPr>
          <w:ilvl w:val="0"/>
          <w:numId w:val="12"/>
        </w:numPr>
        <w:jc w:val="both"/>
      </w:pPr>
      <w:r>
        <w:t xml:space="preserve">An eligible vehicle is exempt from the following mass requirements under Schedule 1 of the </w:t>
      </w:r>
      <w:r w:rsidR="000C7E46">
        <w:t xml:space="preserve">Heavy Vehicle (Mass Dimension and </w:t>
      </w:r>
      <w:r w:rsidR="001D1813">
        <w:t>L</w:t>
      </w:r>
      <w:r w:rsidR="000C7E46">
        <w:t xml:space="preserve">oading) National </w:t>
      </w:r>
      <w:r w:rsidR="001D1813">
        <w:t>R</w:t>
      </w:r>
      <w:r w:rsidR="000C7E46">
        <w:t>egulation (</w:t>
      </w:r>
      <w:r w:rsidR="001D1813">
        <w:t>MDL Regulation)</w:t>
      </w:r>
      <w:r>
        <w:t>:</w:t>
      </w:r>
    </w:p>
    <w:p w14:paraId="01C99EF9" w14:textId="77777777" w:rsidR="00F77FA4" w:rsidRDefault="00F77FA4" w:rsidP="00B47425">
      <w:pPr>
        <w:pStyle w:val="ListParagraph"/>
        <w:ind w:left="1080"/>
        <w:jc w:val="both"/>
      </w:pPr>
    </w:p>
    <w:p w14:paraId="2EE45EB2" w14:textId="30006CA7" w:rsidR="00F77FA4" w:rsidRDefault="00F77FA4" w:rsidP="00B47425">
      <w:pPr>
        <w:pStyle w:val="ListParagraph"/>
        <w:numPr>
          <w:ilvl w:val="0"/>
          <w:numId w:val="13"/>
        </w:numPr>
        <w:jc w:val="both"/>
      </w:pPr>
      <w:r>
        <w:t>section 2 – Mass limits for a single vehicle or combination</w:t>
      </w:r>
    </w:p>
    <w:p w14:paraId="29D7A88C" w14:textId="457F8890" w:rsidR="002225B1" w:rsidRDefault="002225B1" w:rsidP="00B47425">
      <w:pPr>
        <w:pStyle w:val="ListParagraph"/>
        <w:numPr>
          <w:ilvl w:val="0"/>
          <w:numId w:val="13"/>
        </w:numPr>
        <w:jc w:val="both"/>
      </w:pPr>
      <w:r>
        <w:t xml:space="preserve">section </w:t>
      </w:r>
      <w:r w:rsidR="00EE13BB">
        <w:t>4 – Mass limits for single axle or axle groups</w:t>
      </w:r>
    </w:p>
    <w:p w14:paraId="4C1E7F26" w14:textId="0504525F" w:rsidR="00F77FA4" w:rsidRDefault="00F77FA4" w:rsidP="00B47425">
      <w:pPr>
        <w:pStyle w:val="ListParagraph"/>
        <w:numPr>
          <w:ilvl w:val="0"/>
          <w:numId w:val="13"/>
        </w:numPr>
        <w:jc w:val="both"/>
      </w:pPr>
      <w:r>
        <w:t>section 5 – Mass limits relating to axle spacing generally</w:t>
      </w:r>
      <w:r w:rsidR="000C7E46">
        <w:t>.</w:t>
      </w:r>
    </w:p>
    <w:p w14:paraId="4900BEE7" w14:textId="77777777" w:rsidR="00F77FA4" w:rsidRDefault="00F77FA4" w:rsidP="00B47425">
      <w:pPr>
        <w:pStyle w:val="ListParagraph"/>
        <w:ind w:left="1440"/>
        <w:jc w:val="both"/>
      </w:pPr>
    </w:p>
    <w:p w14:paraId="3CA8858D" w14:textId="57CE0E56" w:rsidR="00F77FA4" w:rsidRDefault="00F77FA4" w:rsidP="00B47425">
      <w:pPr>
        <w:pStyle w:val="ListParagraph"/>
        <w:numPr>
          <w:ilvl w:val="0"/>
          <w:numId w:val="12"/>
        </w:numPr>
        <w:jc w:val="both"/>
      </w:pPr>
      <w:r>
        <w:t xml:space="preserve">An exemption in 1) only applies to an eligible vehicle to the extent that specific conditional mass limits are provided in sections </w:t>
      </w:r>
      <w:r w:rsidR="00D052F4">
        <w:t>9</w:t>
      </w:r>
      <w:r w:rsidR="005D408F">
        <w:t xml:space="preserve"> to 1</w:t>
      </w:r>
      <w:r w:rsidR="005B16C3">
        <w:t>2</w:t>
      </w:r>
      <w:r>
        <w:t xml:space="preserve"> of this </w:t>
      </w:r>
      <w:r w:rsidR="00646E3D">
        <w:t>n</w:t>
      </w:r>
      <w:r>
        <w:t>otice</w:t>
      </w:r>
      <w:r w:rsidR="0047638B">
        <w:t>.</w:t>
      </w:r>
    </w:p>
    <w:p w14:paraId="3D9DD57A" w14:textId="77777777" w:rsidR="00F77FA4" w:rsidRDefault="00F77FA4" w:rsidP="00B47425">
      <w:pPr>
        <w:pStyle w:val="ListParagraph"/>
        <w:ind w:left="1080"/>
        <w:jc w:val="both"/>
      </w:pPr>
    </w:p>
    <w:p w14:paraId="6B138674" w14:textId="77777777" w:rsidR="00F77FA4" w:rsidRDefault="00F77FA4" w:rsidP="00B47425">
      <w:pPr>
        <w:pStyle w:val="ListParagraph"/>
        <w:numPr>
          <w:ilvl w:val="0"/>
          <w:numId w:val="12"/>
        </w:numPr>
        <w:jc w:val="both"/>
      </w:pPr>
      <w:r w:rsidRPr="00E73140">
        <w:t xml:space="preserve">In any case, any additional </w:t>
      </w:r>
      <w:r>
        <w:t xml:space="preserve">or conditional </w:t>
      </w:r>
      <w:r w:rsidRPr="00E73140">
        <w:t xml:space="preserve">mass allowed under this </w:t>
      </w:r>
      <w:r>
        <w:t>Notice</w:t>
      </w:r>
      <w:r w:rsidRPr="00E73140">
        <w:t xml:space="preserve"> may not </w:t>
      </w:r>
      <w:r>
        <w:t>exceed</w:t>
      </w:r>
      <w:r w:rsidRPr="00E73140">
        <w:t xml:space="preserve"> manufacturer mass limits pursuant to section 8 of the MDL Regulation. </w:t>
      </w:r>
    </w:p>
    <w:p w14:paraId="671A07E0" w14:textId="77777777" w:rsidR="00F77FA4" w:rsidRPr="00A5080C" w:rsidRDefault="00F77FA4" w:rsidP="00B47425">
      <w:pPr>
        <w:pStyle w:val="ListParagraph"/>
        <w:ind w:left="1080"/>
        <w:jc w:val="both"/>
      </w:pPr>
    </w:p>
    <w:p w14:paraId="6CAD0067" w14:textId="046FAFF1" w:rsidR="00F77FA4" w:rsidRPr="007B5F7B" w:rsidRDefault="00F77FA4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B5F7B">
        <w:rPr>
          <w:b/>
          <w:bCs/>
        </w:rPr>
        <w:t xml:space="preserve">Conditions – </w:t>
      </w:r>
      <w:r w:rsidR="006F79A0">
        <w:rPr>
          <w:b/>
          <w:bCs/>
        </w:rPr>
        <w:t>M</w:t>
      </w:r>
      <w:r w:rsidRPr="007B5F7B">
        <w:rPr>
          <w:b/>
          <w:bCs/>
        </w:rPr>
        <w:t>ass (</w:t>
      </w:r>
      <w:r>
        <w:rPr>
          <w:b/>
          <w:bCs/>
        </w:rPr>
        <w:t>total mass of an eligible vehicle</w:t>
      </w:r>
      <w:r w:rsidRPr="007B5F7B">
        <w:rPr>
          <w:b/>
          <w:bCs/>
        </w:rPr>
        <w:t>)</w:t>
      </w:r>
    </w:p>
    <w:p w14:paraId="43F55C10" w14:textId="77777777" w:rsidR="00F77FA4" w:rsidRDefault="00F77FA4" w:rsidP="00B47425">
      <w:pPr>
        <w:pStyle w:val="ListParagraph"/>
        <w:ind w:left="1080"/>
        <w:jc w:val="both"/>
        <w:rPr>
          <w:lang w:val="en-US"/>
        </w:rPr>
      </w:pPr>
    </w:p>
    <w:p w14:paraId="701D765B" w14:textId="45951376" w:rsidR="00B81621" w:rsidRDefault="00B81621" w:rsidP="00B47425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The total mass of an</w:t>
      </w:r>
      <w:r w:rsidR="00F77FA4">
        <w:rPr>
          <w:lang w:val="en-US"/>
        </w:rPr>
        <w:t xml:space="preserve"> eligible vehicle must not exceed</w:t>
      </w:r>
      <w:r w:rsidR="00E613B9">
        <w:rPr>
          <w:lang w:val="en-US"/>
        </w:rPr>
        <w:t xml:space="preserve"> </w:t>
      </w:r>
      <w:r>
        <w:rPr>
          <w:lang w:val="en-US"/>
        </w:rPr>
        <w:t>62.0t.</w:t>
      </w:r>
    </w:p>
    <w:p w14:paraId="3FB48116" w14:textId="77777777" w:rsidR="003B2878" w:rsidRPr="00B81621" w:rsidRDefault="003B2878" w:rsidP="00B47425">
      <w:pPr>
        <w:pStyle w:val="ListParagraph"/>
        <w:ind w:left="1080"/>
        <w:jc w:val="both"/>
        <w:rPr>
          <w:lang w:val="en-US"/>
        </w:rPr>
      </w:pPr>
    </w:p>
    <w:p w14:paraId="74BB4F8F" w14:textId="3C62A2E2" w:rsidR="003B2878" w:rsidRPr="003B2878" w:rsidRDefault="003B2878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B2878">
        <w:rPr>
          <w:b/>
          <w:bCs/>
        </w:rPr>
        <w:t xml:space="preserve">Conditions – </w:t>
      </w:r>
      <w:r w:rsidR="006F79A0">
        <w:rPr>
          <w:b/>
          <w:bCs/>
        </w:rPr>
        <w:t>M</w:t>
      </w:r>
      <w:r w:rsidRPr="003B2878">
        <w:rPr>
          <w:b/>
          <w:bCs/>
        </w:rPr>
        <w:t>ass (</w:t>
      </w:r>
      <w:r w:rsidR="00A71555">
        <w:rPr>
          <w:b/>
          <w:bCs/>
        </w:rPr>
        <w:t xml:space="preserve">tandem </w:t>
      </w:r>
      <w:r w:rsidRPr="003B2878">
        <w:rPr>
          <w:b/>
          <w:bCs/>
        </w:rPr>
        <w:t>axle</w:t>
      </w:r>
      <w:r w:rsidR="00264AE0">
        <w:rPr>
          <w:b/>
          <w:bCs/>
        </w:rPr>
        <w:t xml:space="preserve"> group</w:t>
      </w:r>
      <w:r w:rsidRPr="003B2878">
        <w:rPr>
          <w:b/>
          <w:bCs/>
        </w:rPr>
        <w:t>)</w:t>
      </w:r>
    </w:p>
    <w:p w14:paraId="0F8B4808" w14:textId="77777777" w:rsidR="00A53C5D" w:rsidRDefault="00A53C5D" w:rsidP="00B47425">
      <w:pPr>
        <w:pStyle w:val="ListParagraph"/>
        <w:ind w:left="1080"/>
        <w:jc w:val="both"/>
        <w:rPr>
          <w:lang w:val="en-US"/>
        </w:rPr>
      </w:pPr>
    </w:p>
    <w:p w14:paraId="60F7602E" w14:textId="77777777" w:rsidR="0092458F" w:rsidRDefault="00DC6B1B" w:rsidP="009869E0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A tandem axle group</w:t>
      </w:r>
      <w:r w:rsidR="007B279D">
        <w:rPr>
          <w:lang w:val="en-US"/>
        </w:rPr>
        <w:t xml:space="preserve"> must not exceed</w:t>
      </w:r>
      <w:r w:rsidR="0092458F">
        <w:rPr>
          <w:lang w:val="en-US"/>
        </w:rPr>
        <w:t>:</w:t>
      </w:r>
    </w:p>
    <w:p w14:paraId="68418BFD" w14:textId="77777777" w:rsidR="009869E0" w:rsidRDefault="009869E0" w:rsidP="009869E0">
      <w:pPr>
        <w:pStyle w:val="ListParagraph"/>
        <w:ind w:left="1080"/>
        <w:jc w:val="both"/>
        <w:rPr>
          <w:lang w:val="en-US"/>
        </w:rPr>
      </w:pPr>
    </w:p>
    <w:p w14:paraId="56AEBF75" w14:textId="3228A8D8" w:rsidR="00DC6B1B" w:rsidRDefault="0092458F" w:rsidP="009869E0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 xml:space="preserve">For a vehicle </w:t>
      </w:r>
      <w:r w:rsidR="00227CBC">
        <w:rPr>
          <w:lang w:val="en-US"/>
        </w:rPr>
        <w:t xml:space="preserve">not </w:t>
      </w:r>
      <w:r>
        <w:rPr>
          <w:lang w:val="en-US"/>
        </w:rPr>
        <w:t>enrolled in mass management accreditation</w:t>
      </w:r>
      <w:r w:rsidR="007B279D">
        <w:rPr>
          <w:lang w:val="en-US"/>
        </w:rPr>
        <w:t xml:space="preserve"> 1</w:t>
      </w:r>
      <w:r w:rsidR="00227CBC">
        <w:rPr>
          <w:lang w:val="en-US"/>
        </w:rPr>
        <w:t>6.5</w:t>
      </w:r>
      <w:r w:rsidR="007B279D">
        <w:rPr>
          <w:lang w:val="en-US"/>
        </w:rPr>
        <w:t>t</w:t>
      </w:r>
      <w:r w:rsidR="00227CBC">
        <w:rPr>
          <w:lang w:val="en-US"/>
        </w:rPr>
        <w:t>; or</w:t>
      </w:r>
    </w:p>
    <w:p w14:paraId="769049B7" w14:textId="0DAAB149" w:rsidR="00227CBC" w:rsidRDefault="00227CBC" w:rsidP="009869E0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For a vehicle enrolled in mass management accreditation 17.0t.</w:t>
      </w:r>
    </w:p>
    <w:p w14:paraId="5AFEA86D" w14:textId="77777777" w:rsidR="00227CBC" w:rsidRDefault="00227CBC" w:rsidP="00B47425">
      <w:pPr>
        <w:pStyle w:val="ListParagraph"/>
        <w:ind w:left="1080"/>
        <w:jc w:val="both"/>
        <w:rPr>
          <w:lang w:val="en-US"/>
        </w:rPr>
      </w:pPr>
    </w:p>
    <w:p w14:paraId="42792BC6" w14:textId="3E38EA7E" w:rsidR="008F2D8C" w:rsidRDefault="00A53C5D" w:rsidP="00B47425">
      <w:pPr>
        <w:spacing w:after="200" w:line="276" w:lineRule="auto"/>
        <w:ind w:left="2160" w:hanging="1080"/>
        <w:contextualSpacing/>
        <w:jc w:val="both"/>
        <w:rPr>
          <w:i/>
          <w:iCs/>
          <w:lang w:val="en-US"/>
        </w:rPr>
      </w:pPr>
      <w:r w:rsidRPr="00BA433C">
        <w:rPr>
          <w:i/>
          <w:iCs/>
          <w:lang w:val="en-US"/>
        </w:rPr>
        <w:t>Note:</w:t>
      </w:r>
      <w:r w:rsidRPr="00BA433C">
        <w:rPr>
          <w:i/>
          <w:iCs/>
          <w:lang w:val="en-US"/>
        </w:rPr>
        <w:tab/>
        <w:t xml:space="preserve">all single axle groups and </w:t>
      </w:r>
      <w:r w:rsidR="00BA433C" w:rsidRPr="00BA433C">
        <w:rPr>
          <w:i/>
          <w:iCs/>
          <w:lang w:val="en-US"/>
        </w:rPr>
        <w:t>any twin steer axle groups are restricted to prescribed mass requirements.</w:t>
      </w:r>
    </w:p>
    <w:p w14:paraId="7C1B81C4" w14:textId="6E31C327" w:rsidR="002C441E" w:rsidRPr="00266BBD" w:rsidRDefault="00E37260" w:rsidP="00266BB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66BBD">
        <w:rPr>
          <w:b/>
          <w:bCs/>
        </w:rPr>
        <w:t>Condition – Mass (mass limits relating to axle spacing</w:t>
      </w:r>
      <w:r w:rsidR="002E1B85" w:rsidRPr="00266BBD">
        <w:rPr>
          <w:b/>
          <w:bCs/>
        </w:rPr>
        <w:t>)</w:t>
      </w:r>
    </w:p>
    <w:p w14:paraId="7B23CBCE" w14:textId="77777777" w:rsidR="002E1B85" w:rsidRDefault="002E1B85" w:rsidP="00B47425">
      <w:pPr>
        <w:pStyle w:val="ListParagraph"/>
        <w:ind w:left="1080"/>
        <w:jc w:val="both"/>
        <w:rPr>
          <w:lang w:val="en-US"/>
        </w:rPr>
      </w:pPr>
    </w:p>
    <w:p w14:paraId="6D9FB0A5" w14:textId="47121DC5" w:rsidR="00E835EE" w:rsidRDefault="00FF0174" w:rsidP="00B26A2D">
      <w:pPr>
        <w:pStyle w:val="ListParagraph"/>
        <w:numPr>
          <w:ilvl w:val="0"/>
          <w:numId w:val="27"/>
        </w:numPr>
        <w:ind w:left="1080"/>
        <w:jc w:val="both"/>
        <w:rPr>
          <w:lang w:val="en-US"/>
        </w:rPr>
      </w:pPr>
      <w:r>
        <w:rPr>
          <w:lang w:val="en-US"/>
        </w:rPr>
        <w:t xml:space="preserve">An eligible vehicle must comply with </w:t>
      </w:r>
      <w:r w:rsidR="00B960ED">
        <w:rPr>
          <w:lang w:val="en-US"/>
        </w:rPr>
        <w:t xml:space="preserve">section 5(1) of Schedule 1 of the MDL Regulation as though a reference to </w:t>
      </w:r>
      <w:r w:rsidR="00143576">
        <w:rPr>
          <w:lang w:val="en-US"/>
        </w:rPr>
        <w:t>Table 2 of Part 2 were a reference to Table 3</w:t>
      </w:r>
      <w:r w:rsidR="00A1705B">
        <w:rPr>
          <w:lang w:val="en-US"/>
        </w:rPr>
        <w:t xml:space="preserve"> of Part 2</w:t>
      </w:r>
      <w:r w:rsidR="00143576">
        <w:rPr>
          <w:lang w:val="en-US"/>
        </w:rPr>
        <w:t>.</w:t>
      </w:r>
    </w:p>
    <w:p w14:paraId="30788288" w14:textId="77777777" w:rsidR="00375868" w:rsidRDefault="00375868" w:rsidP="00375868">
      <w:pPr>
        <w:pStyle w:val="ListParagraph"/>
        <w:ind w:left="1080"/>
        <w:jc w:val="both"/>
        <w:rPr>
          <w:lang w:val="en-US"/>
        </w:rPr>
      </w:pPr>
    </w:p>
    <w:p w14:paraId="4531CDCF" w14:textId="47162CC4" w:rsidR="006254A5" w:rsidRPr="00643B18" w:rsidRDefault="00143576" w:rsidP="00643B18">
      <w:pPr>
        <w:pStyle w:val="ListParagraph"/>
        <w:ind w:left="2160" w:hanging="1080"/>
        <w:jc w:val="both"/>
        <w:rPr>
          <w:i/>
          <w:iCs/>
          <w:lang w:val="en-US"/>
        </w:rPr>
      </w:pPr>
      <w:r w:rsidRPr="00643B18">
        <w:rPr>
          <w:i/>
          <w:iCs/>
          <w:lang w:val="en-US"/>
        </w:rPr>
        <w:t>Note:</w:t>
      </w:r>
      <w:r w:rsidRPr="00643B18">
        <w:rPr>
          <w:i/>
          <w:iCs/>
          <w:lang w:val="en-US"/>
        </w:rPr>
        <w:tab/>
        <w:t>The effect of 1) is that the</w:t>
      </w:r>
      <w:r w:rsidR="00FE62E0" w:rsidRPr="00643B18">
        <w:rPr>
          <w:i/>
          <w:iCs/>
          <w:lang w:val="en-US"/>
        </w:rPr>
        <w:t xml:space="preserve"> axle spacing mass requirements for eligible vehicles is determined by </w:t>
      </w:r>
      <w:r w:rsidR="00643B18" w:rsidRPr="00643B18">
        <w:rPr>
          <w:i/>
          <w:iCs/>
          <w:lang w:val="en-US"/>
        </w:rPr>
        <w:t>Table 3 that normally applies to B-doubles</w:t>
      </w:r>
      <w:r w:rsidR="00B56B63">
        <w:rPr>
          <w:i/>
          <w:iCs/>
          <w:lang w:val="en-US"/>
        </w:rPr>
        <w:t>, rather than Table 2 that normally appl</w:t>
      </w:r>
      <w:r w:rsidR="00E63E44">
        <w:rPr>
          <w:i/>
          <w:iCs/>
          <w:lang w:val="en-US"/>
        </w:rPr>
        <w:t>ies</w:t>
      </w:r>
      <w:r w:rsidR="00B56B63">
        <w:rPr>
          <w:i/>
          <w:iCs/>
          <w:lang w:val="en-US"/>
        </w:rPr>
        <w:t xml:space="preserve"> to a truck and dog</w:t>
      </w:r>
      <w:r w:rsidR="00643B18" w:rsidRPr="00643B18">
        <w:rPr>
          <w:i/>
          <w:iCs/>
          <w:lang w:val="en-US"/>
        </w:rPr>
        <w:t>.</w:t>
      </w:r>
    </w:p>
    <w:p w14:paraId="4519727C" w14:textId="77777777" w:rsidR="002E32C8" w:rsidRDefault="002E32C8" w:rsidP="009869E0">
      <w:pPr>
        <w:pStyle w:val="ListParagraph"/>
        <w:ind w:left="360"/>
        <w:jc w:val="both"/>
        <w:rPr>
          <w:lang w:val="en-US"/>
        </w:rPr>
      </w:pPr>
    </w:p>
    <w:p w14:paraId="681199BD" w14:textId="74F7B5B1" w:rsidR="00B93F9E" w:rsidRDefault="002E32C8" w:rsidP="00B93F9E">
      <w:pPr>
        <w:pStyle w:val="ListParagraph"/>
        <w:numPr>
          <w:ilvl w:val="0"/>
          <w:numId w:val="27"/>
        </w:numPr>
        <w:ind w:left="1080"/>
        <w:jc w:val="both"/>
        <w:rPr>
          <w:lang w:val="en-US"/>
        </w:rPr>
      </w:pPr>
      <w:r>
        <w:rPr>
          <w:lang w:val="en-US"/>
        </w:rPr>
        <w:t>The maximum mass allowed under 1) is 60.5t.</w:t>
      </w:r>
    </w:p>
    <w:p w14:paraId="51024D8F" w14:textId="77777777" w:rsidR="00B93F9E" w:rsidRPr="00B93F9E" w:rsidRDefault="00B93F9E" w:rsidP="00B93F9E">
      <w:pPr>
        <w:pStyle w:val="ListParagraph"/>
        <w:rPr>
          <w:lang w:val="en-US"/>
        </w:rPr>
      </w:pPr>
    </w:p>
    <w:p w14:paraId="0E5F53F7" w14:textId="48C1978F" w:rsidR="002E1B85" w:rsidRPr="00B93F9E" w:rsidRDefault="00DC5AB2" w:rsidP="00B93F9E">
      <w:pPr>
        <w:pStyle w:val="ListParagraph"/>
        <w:numPr>
          <w:ilvl w:val="0"/>
          <w:numId w:val="27"/>
        </w:numPr>
        <w:ind w:left="1080"/>
        <w:jc w:val="both"/>
        <w:rPr>
          <w:lang w:val="en-US"/>
        </w:rPr>
      </w:pPr>
      <w:r>
        <w:rPr>
          <w:lang w:val="en-US"/>
        </w:rPr>
        <w:t xml:space="preserve">If the eligible vehicle is </w:t>
      </w:r>
      <w:r w:rsidR="00266BBD" w:rsidRPr="00B93F9E">
        <w:rPr>
          <w:lang w:val="en-US"/>
        </w:rPr>
        <w:t>enrolled under mass management accreditation and one or more tandem axle groups are used to calculate the</w:t>
      </w:r>
      <w:r w:rsidR="001A2BDC">
        <w:rPr>
          <w:lang w:val="en-US"/>
        </w:rPr>
        <w:t xml:space="preserve"> mass relating to</w:t>
      </w:r>
      <w:r w:rsidR="00266BBD" w:rsidRPr="00B93F9E">
        <w:rPr>
          <w:lang w:val="en-US"/>
        </w:rPr>
        <w:t xml:space="preserve"> axle spacing</w:t>
      </w:r>
      <w:r w:rsidR="001A2BDC">
        <w:rPr>
          <w:lang w:val="en-US"/>
        </w:rPr>
        <w:t>s</w:t>
      </w:r>
      <w:r w:rsidR="00266BBD" w:rsidRPr="00B93F9E">
        <w:rPr>
          <w:lang w:val="en-US"/>
        </w:rPr>
        <w:t xml:space="preserve">, the mass limit </w:t>
      </w:r>
      <w:r w:rsidR="001B74E1" w:rsidRPr="00B93F9E">
        <w:rPr>
          <w:lang w:val="en-US"/>
        </w:rPr>
        <w:t xml:space="preserve">allowed under 1) and 2) </w:t>
      </w:r>
      <w:r w:rsidR="00266BBD" w:rsidRPr="00B93F9E">
        <w:rPr>
          <w:lang w:val="en-US"/>
        </w:rPr>
        <w:t>may be increased by 0.5t for each tandem axle in the calculation.</w:t>
      </w:r>
    </w:p>
    <w:p w14:paraId="19A0957E" w14:textId="77777777" w:rsidR="00E37260" w:rsidRDefault="00E37260">
      <w:pPr>
        <w:rPr>
          <w:b/>
          <w:bCs/>
        </w:rPr>
      </w:pPr>
      <w:r>
        <w:rPr>
          <w:b/>
          <w:bCs/>
        </w:rPr>
        <w:br w:type="page"/>
      </w:r>
    </w:p>
    <w:p w14:paraId="0C87BDFA" w14:textId="77777777" w:rsidR="00F10B30" w:rsidRPr="008F2D8C" w:rsidRDefault="00F10B30" w:rsidP="00F10B3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F2D8C">
        <w:rPr>
          <w:b/>
          <w:bCs/>
        </w:rPr>
        <w:lastRenderedPageBreak/>
        <w:t xml:space="preserve">Conditions – </w:t>
      </w:r>
      <w:r>
        <w:rPr>
          <w:b/>
          <w:bCs/>
        </w:rPr>
        <w:t>R</w:t>
      </w:r>
      <w:r w:rsidRPr="008F2D8C">
        <w:rPr>
          <w:b/>
          <w:bCs/>
        </w:rPr>
        <w:t>estriction of ratio of mass of towing vehicle and trailer</w:t>
      </w:r>
    </w:p>
    <w:p w14:paraId="4E8FE5E1" w14:textId="77777777" w:rsidR="00F10B30" w:rsidRDefault="00F10B30" w:rsidP="00F10B30">
      <w:pPr>
        <w:pStyle w:val="ListParagraph"/>
        <w:ind w:left="1080"/>
        <w:jc w:val="both"/>
        <w:rPr>
          <w:lang w:val="en-US"/>
        </w:rPr>
      </w:pPr>
    </w:p>
    <w:p w14:paraId="5B52C420" w14:textId="05AFDEF4" w:rsidR="005803A2" w:rsidRDefault="00F10B30" w:rsidP="00486D35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For an eligible vehicle the mass of the dog trailer must not exceed the mass of the truck by more than 50%.</w:t>
      </w:r>
    </w:p>
    <w:p w14:paraId="3C43CFFC" w14:textId="77777777" w:rsidR="00486D35" w:rsidRPr="00486D35" w:rsidRDefault="00486D35" w:rsidP="00486D35">
      <w:pPr>
        <w:pStyle w:val="ListParagraph"/>
        <w:ind w:left="1080"/>
        <w:jc w:val="both"/>
        <w:rPr>
          <w:lang w:val="en-US"/>
        </w:rPr>
      </w:pPr>
    </w:p>
    <w:p w14:paraId="13FAF4EB" w14:textId="435F83D2" w:rsidR="00DD0DA5" w:rsidRDefault="00DD0DA5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D0DA5">
        <w:rPr>
          <w:b/>
          <w:bCs/>
        </w:rPr>
        <w:t>Condition –</w:t>
      </w:r>
      <w:r w:rsidR="0053680E">
        <w:rPr>
          <w:b/>
          <w:bCs/>
        </w:rPr>
        <w:t xml:space="preserve"> </w:t>
      </w:r>
      <w:r w:rsidR="006F79A0">
        <w:rPr>
          <w:b/>
          <w:bCs/>
        </w:rPr>
        <w:t xml:space="preserve">Required </w:t>
      </w:r>
      <w:proofErr w:type="gramStart"/>
      <w:r w:rsidRPr="00DD0DA5">
        <w:rPr>
          <w:b/>
          <w:bCs/>
        </w:rPr>
        <w:t>suspension</w:t>
      </w:r>
      <w:proofErr w:type="gramEnd"/>
    </w:p>
    <w:p w14:paraId="50C0E066" w14:textId="77777777" w:rsidR="00BA433C" w:rsidRPr="00BA433C" w:rsidRDefault="00BA433C" w:rsidP="00B47425">
      <w:pPr>
        <w:pStyle w:val="ListParagraph"/>
        <w:jc w:val="both"/>
        <w:rPr>
          <w:b/>
          <w:bCs/>
        </w:rPr>
      </w:pPr>
    </w:p>
    <w:p w14:paraId="70B82158" w14:textId="1FC0A3A6" w:rsidR="00687842" w:rsidRPr="00B46C68" w:rsidRDefault="00DD0DA5" w:rsidP="00B47425">
      <w:pPr>
        <w:pStyle w:val="ListParagraph"/>
        <w:numPr>
          <w:ilvl w:val="0"/>
          <w:numId w:val="19"/>
        </w:numPr>
        <w:jc w:val="both"/>
      </w:pPr>
      <w:r w:rsidRPr="00B46C68">
        <w:t xml:space="preserve">An eligible vehicle must have </w:t>
      </w:r>
      <w:r w:rsidR="009D23AB" w:rsidRPr="00B46C68">
        <w:t xml:space="preserve">one of the following suspension systems on all axles except the </w:t>
      </w:r>
      <w:r w:rsidR="00B46C68" w:rsidRPr="00B46C68">
        <w:t>single or twin steer axles on the truck:</w:t>
      </w:r>
    </w:p>
    <w:p w14:paraId="6AB96EF7" w14:textId="77777777" w:rsidR="00B46C68" w:rsidRDefault="00B46C68" w:rsidP="00B47425">
      <w:pPr>
        <w:pStyle w:val="ListParagraph"/>
        <w:ind w:left="1080"/>
        <w:jc w:val="both"/>
        <w:rPr>
          <w:lang w:val="en-US"/>
        </w:rPr>
      </w:pPr>
    </w:p>
    <w:p w14:paraId="16322506" w14:textId="673AD417" w:rsidR="00DD0DA5" w:rsidRDefault="00F264BF" w:rsidP="00B47425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 xml:space="preserve">Certified </w:t>
      </w:r>
      <w:r w:rsidR="00DD0DA5">
        <w:rPr>
          <w:lang w:val="en-US"/>
        </w:rPr>
        <w:t>road friendly suspension</w:t>
      </w:r>
      <w:r w:rsidR="00687842">
        <w:rPr>
          <w:lang w:val="en-US"/>
        </w:rPr>
        <w:t>; or</w:t>
      </w:r>
    </w:p>
    <w:p w14:paraId="79E56854" w14:textId="7E8A838A" w:rsidR="00BA433C" w:rsidRPr="00B41500" w:rsidRDefault="009E169B" w:rsidP="00B41500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 xml:space="preserve">For eligible vehicles </w:t>
      </w:r>
      <w:r w:rsidR="00392ABB">
        <w:rPr>
          <w:lang w:val="en-US"/>
        </w:rPr>
        <w:t xml:space="preserve">manufactured prior to 1 January 2000 </w:t>
      </w:r>
      <w:r w:rsidR="009045EE">
        <w:rPr>
          <w:lang w:val="en-US"/>
        </w:rPr>
        <w:t>r</w:t>
      </w:r>
      <w:r w:rsidR="00322587" w:rsidRPr="00392ABB">
        <w:rPr>
          <w:lang w:val="en-US"/>
        </w:rPr>
        <w:t xml:space="preserve">oad friendly suspension </w:t>
      </w:r>
      <w:r w:rsidR="00392ABB">
        <w:rPr>
          <w:lang w:val="en-US"/>
        </w:rPr>
        <w:t xml:space="preserve">or air suspension as </w:t>
      </w:r>
      <w:r w:rsidR="00322587" w:rsidRPr="00392ABB">
        <w:rPr>
          <w:lang w:val="en-US"/>
        </w:rPr>
        <w:t>defined in section</w:t>
      </w:r>
      <w:r w:rsidR="00392ABB">
        <w:rPr>
          <w:lang w:val="en-US"/>
        </w:rPr>
        <w:t xml:space="preserve"> </w:t>
      </w:r>
      <w:r w:rsidR="009045EE">
        <w:rPr>
          <w:lang w:val="en-US"/>
        </w:rPr>
        <w:t>6</w:t>
      </w:r>
      <w:r w:rsidR="00392ABB">
        <w:rPr>
          <w:lang w:val="en-US"/>
        </w:rPr>
        <w:t>.</w:t>
      </w:r>
    </w:p>
    <w:p w14:paraId="4D518722" w14:textId="77777777" w:rsidR="003E1F07" w:rsidRPr="003E1F07" w:rsidRDefault="003E1F07" w:rsidP="00B47425">
      <w:pPr>
        <w:pStyle w:val="ListParagraph"/>
        <w:ind w:left="1080"/>
        <w:jc w:val="both"/>
        <w:rPr>
          <w:lang w:val="en-US"/>
        </w:rPr>
      </w:pPr>
    </w:p>
    <w:p w14:paraId="4FA4B67C" w14:textId="67021D96" w:rsidR="00F77FA4" w:rsidRPr="00DE5AD7" w:rsidRDefault="00F77FA4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dimension requirements</w:t>
      </w:r>
    </w:p>
    <w:p w14:paraId="7CF98C48" w14:textId="77777777" w:rsidR="00F77FA4" w:rsidRDefault="00F77FA4" w:rsidP="00B47425">
      <w:pPr>
        <w:pStyle w:val="ListParagraph"/>
        <w:ind w:left="1080"/>
        <w:jc w:val="both"/>
      </w:pPr>
    </w:p>
    <w:p w14:paraId="0C87B32D" w14:textId="79C32083" w:rsidR="00F77FA4" w:rsidRDefault="00F77FA4" w:rsidP="00B47425">
      <w:pPr>
        <w:pStyle w:val="ListParagraph"/>
        <w:numPr>
          <w:ilvl w:val="0"/>
          <w:numId w:val="9"/>
        </w:numPr>
        <w:jc w:val="both"/>
      </w:pPr>
      <w:r>
        <w:t xml:space="preserve">An eligible vehicle is exempt from the following dimension requirements under Schedule 6 of the </w:t>
      </w:r>
      <w:r w:rsidR="009045EE" w:rsidRPr="005B16C3">
        <w:t>MDL regulation</w:t>
      </w:r>
      <w:r w:rsidR="005B16C3" w:rsidRPr="005B16C3">
        <w:t>:</w:t>
      </w:r>
    </w:p>
    <w:p w14:paraId="4CF17321" w14:textId="77777777" w:rsidR="00F77FA4" w:rsidRDefault="00F77FA4" w:rsidP="00B47425">
      <w:pPr>
        <w:pStyle w:val="ListParagraph"/>
        <w:ind w:left="1080"/>
        <w:jc w:val="both"/>
      </w:pPr>
    </w:p>
    <w:p w14:paraId="65DA9227" w14:textId="77777777" w:rsidR="00F77FA4" w:rsidRDefault="00F77FA4" w:rsidP="00B47425">
      <w:pPr>
        <w:pStyle w:val="ListParagraph"/>
        <w:numPr>
          <w:ilvl w:val="0"/>
          <w:numId w:val="8"/>
        </w:numPr>
        <w:jc w:val="both"/>
      </w:pPr>
      <w:r>
        <w:t xml:space="preserve">section 3 – Length (combination or single vehicle) </w:t>
      </w:r>
    </w:p>
    <w:p w14:paraId="3935A1CC" w14:textId="77777777" w:rsidR="00F77FA4" w:rsidRDefault="00F77FA4" w:rsidP="00B47425">
      <w:pPr>
        <w:pStyle w:val="ListParagraph"/>
        <w:ind w:left="1440"/>
        <w:jc w:val="both"/>
      </w:pPr>
    </w:p>
    <w:p w14:paraId="5B9AD5C4" w14:textId="4F717359" w:rsidR="00F77FA4" w:rsidRDefault="00F77FA4" w:rsidP="00AB089B">
      <w:pPr>
        <w:pStyle w:val="ListParagraph"/>
        <w:numPr>
          <w:ilvl w:val="0"/>
          <w:numId w:val="9"/>
        </w:numPr>
        <w:jc w:val="both"/>
      </w:pPr>
      <w:r>
        <w:t>An exemption in 1) only applies to the extent that specific conditional dimension limits are provided in section 1</w:t>
      </w:r>
      <w:r w:rsidR="005C6D58">
        <w:t>5</w:t>
      </w:r>
      <w:r>
        <w:t>.</w:t>
      </w:r>
    </w:p>
    <w:p w14:paraId="44441515" w14:textId="77777777" w:rsidR="00AB089B" w:rsidRPr="00AB089B" w:rsidRDefault="00AB089B" w:rsidP="00AB089B">
      <w:pPr>
        <w:pStyle w:val="ListParagraph"/>
        <w:ind w:left="1080"/>
        <w:jc w:val="both"/>
      </w:pPr>
    </w:p>
    <w:p w14:paraId="5E079698" w14:textId="77777777" w:rsidR="00F77FA4" w:rsidRPr="00B12546" w:rsidRDefault="00F77FA4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>Condition – Dimension limit</w:t>
      </w:r>
      <w:r>
        <w:rPr>
          <w:b/>
          <w:bCs/>
        </w:rPr>
        <w:t>s</w:t>
      </w:r>
    </w:p>
    <w:p w14:paraId="64292F9D" w14:textId="77777777" w:rsidR="00F77FA4" w:rsidRDefault="00F77FA4" w:rsidP="00B47425">
      <w:pPr>
        <w:pStyle w:val="ListParagraph"/>
        <w:ind w:left="1080"/>
        <w:jc w:val="both"/>
      </w:pPr>
    </w:p>
    <w:p w14:paraId="32EA37A0" w14:textId="12153517" w:rsidR="00F77FA4" w:rsidRDefault="005D67F2" w:rsidP="00B47425">
      <w:pPr>
        <w:pStyle w:val="ListParagraph"/>
        <w:ind w:left="1080"/>
        <w:jc w:val="both"/>
      </w:pPr>
      <w:r>
        <w:t>An eligible vehicle must not exceed 25.0m in length.</w:t>
      </w:r>
    </w:p>
    <w:p w14:paraId="3E94456B" w14:textId="77777777" w:rsidR="005D67F2" w:rsidRPr="005D67F2" w:rsidRDefault="005D67F2" w:rsidP="00B47425">
      <w:pPr>
        <w:pStyle w:val="ListParagraph"/>
        <w:ind w:left="1080"/>
        <w:jc w:val="both"/>
      </w:pPr>
    </w:p>
    <w:p w14:paraId="3AF4D422" w14:textId="77777777" w:rsidR="00B330B4" w:rsidRDefault="00B330B4" w:rsidP="00B47425">
      <w:pPr>
        <w:contextualSpacing/>
        <w:rPr>
          <w:b/>
          <w:bCs/>
        </w:rPr>
      </w:pPr>
      <w:r>
        <w:rPr>
          <w:b/>
          <w:bCs/>
        </w:rPr>
        <w:br w:type="page"/>
      </w:r>
    </w:p>
    <w:p w14:paraId="39C6288B" w14:textId="10EEB6D0" w:rsidR="00F77FA4" w:rsidRPr="003E1F07" w:rsidRDefault="00F77FA4" w:rsidP="00B47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E1F07">
        <w:rPr>
          <w:b/>
          <w:bCs/>
        </w:rPr>
        <w:lastRenderedPageBreak/>
        <w:t xml:space="preserve">Condition – </w:t>
      </w:r>
      <w:r w:rsidR="00603B11">
        <w:rPr>
          <w:b/>
          <w:bCs/>
        </w:rPr>
        <w:t>S</w:t>
      </w:r>
      <w:r w:rsidRPr="003E1F07">
        <w:rPr>
          <w:b/>
          <w:bCs/>
        </w:rPr>
        <w:t>tated areas or routes</w:t>
      </w:r>
    </w:p>
    <w:p w14:paraId="2F717975" w14:textId="77777777" w:rsidR="00FF709D" w:rsidRPr="003E1F07" w:rsidRDefault="00FF709D" w:rsidP="00B47425">
      <w:pPr>
        <w:pStyle w:val="ListParagraph"/>
        <w:jc w:val="both"/>
        <w:rPr>
          <w:b/>
          <w:bCs/>
        </w:rPr>
      </w:pPr>
    </w:p>
    <w:p w14:paraId="77F95F62" w14:textId="364158A0" w:rsidR="00F77FA4" w:rsidRDefault="00F656C3" w:rsidP="00F656C3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F656C3">
        <w:rPr>
          <w:lang w:val="en-US"/>
        </w:rPr>
        <w:t xml:space="preserve">An eligible vehicle described in columns 1 and 2 of Table 1 may </w:t>
      </w:r>
      <w:r w:rsidR="008E3774">
        <w:rPr>
          <w:lang w:val="en-US"/>
        </w:rPr>
        <w:t xml:space="preserve">operate on the routes and areas specified in the networks </w:t>
      </w:r>
      <w:r w:rsidR="0014591B">
        <w:rPr>
          <w:lang w:val="en-US"/>
        </w:rPr>
        <w:t>set out</w:t>
      </w:r>
      <w:r w:rsidRPr="00F656C3">
        <w:rPr>
          <w:lang w:val="en-US"/>
        </w:rPr>
        <w:t xml:space="preserve"> in columns 3.</w:t>
      </w:r>
    </w:p>
    <w:p w14:paraId="6C6A2893" w14:textId="77777777" w:rsidR="0014591B" w:rsidRDefault="0014591B" w:rsidP="0014591B">
      <w:pPr>
        <w:pStyle w:val="ListParagraph"/>
        <w:ind w:left="1080"/>
        <w:jc w:val="both"/>
        <w:rPr>
          <w:lang w:val="en-US"/>
        </w:rPr>
      </w:pPr>
    </w:p>
    <w:p w14:paraId="1A9DF21B" w14:textId="38C6A3BC" w:rsidR="0014591B" w:rsidRDefault="0014591B" w:rsidP="0014591B">
      <w:pPr>
        <w:pStyle w:val="ListParagraph"/>
        <w:ind w:left="1080"/>
        <w:jc w:val="both"/>
        <w:rPr>
          <w:lang w:val="en-US"/>
        </w:rPr>
      </w:pPr>
      <w:r w:rsidRPr="003B6DA9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1</w:t>
      </w:r>
      <w:r w:rsidRPr="003B6DA9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State</w:t>
      </w:r>
      <w:r w:rsidR="00146308">
        <w:rPr>
          <w:b/>
          <w:bCs/>
          <w:lang w:val="en-US"/>
        </w:rPr>
        <w:t>d</w:t>
      </w:r>
      <w:r>
        <w:rPr>
          <w:b/>
          <w:bCs/>
          <w:lang w:val="en-US"/>
        </w:rPr>
        <w:t xml:space="preserve"> </w:t>
      </w:r>
      <w:r w:rsidRPr="00FB797C">
        <w:rPr>
          <w:b/>
          <w:bCs/>
          <w:lang w:val="en-US"/>
        </w:rPr>
        <w:t xml:space="preserve">areas and </w:t>
      </w:r>
      <w:r>
        <w:rPr>
          <w:b/>
          <w:bCs/>
          <w:lang w:val="en-US"/>
        </w:rPr>
        <w:t>r</w:t>
      </w:r>
      <w:r w:rsidRPr="00FB797C">
        <w:rPr>
          <w:b/>
          <w:bCs/>
          <w:lang w:val="en-US"/>
        </w:rPr>
        <w:t xml:space="preserve">outes </w:t>
      </w:r>
    </w:p>
    <w:tbl>
      <w:tblPr>
        <w:tblStyle w:val="TableGrid"/>
        <w:tblW w:w="7938" w:type="dxa"/>
        <w:tblInd w:w="1129" w:type="dxa"/>
        <w:tblLook w:val="04A0" w:firstRow="1" w:lastRow="0" w:firstColumn="1" w:lastColumn="0" w:noHBand="0" w:noVBand="1"/>
        <w:tblCaption w:val="Table 1: Stated areas and routes "/>
        <w:tblDescription w:val="A table of networks for use by eligible vehicles operating under this notice."/>
      </w:tblPr>
      <w:tblGrid>
        <w:gridCol w:w="2646"/>
        <w:gridCol w:w="2646"/>
        <w:gridCol w:w="2646"/>
      </w:tblGrid>
      <w:tr w:rsidR="008E3774" w:rsidRPr="00323C24" w14:paraId="4F2A843B" w14:textId="77777777" w:rsidTr="008E3774">
        <w:tc>
          <w:tcPr>
            <w:tcW w:w="2646" w:type="dxa"/>
            <w:vAlign w:val="center"/>
          </w:tcPr>
          <w:p w14:paraId="7C598CBF" w14:textId="2E33CCF5" w:rsidR="008E3774" w:rsidRPr="00323C24" w:rsidRDefault="008E3774" w:rsidP="00D331D3">
            <w:pPr>
              <w:jc w:val="center"/>
              <w:rPr>
                <w:b/>
                <w:bCs/>
                <w:lang w:val="en-US"/>
              </w:rPr>
            </w:pPr>
            <w:r w:rsidRPr="00323C24">
              <w:rPr>
                <w:b/>
                <w:bCs/>
              </w:rPr>
              <w:t>Column 1</w:t>
            </w:r>
          </w:p>
        </w:tc>
        <w:tc>
          <w:tcPr>
            <w:tcW w:w="2646" w:type="dxa"/>
            <w:vAlign w:val="center"/>
          </w:tcPr>
          <w:p w14:paraId="1279863B" w14:textId="6B5F4792" w:rsidR="008E3774" w:rsidRPr="00323C24" w:rsidRDefault="008E3774" w:rsidP="00D331D3">
            <w:pPr>
              <w:jc w:val="center"/>
              <w:rPr>
                <w:b/>
                <w:bCs/>
                <w:lang w:val="en-US"/>
              </w:rPr>
            </w:pPr>
            <w:r w:rsidRPr="00323C24">
              <w:rPr>
                <w:b/>
                <w:bCs/>
              </w:rPr>
              <w:t>Column 2</w:t>
            </w:r>
          </w:p>
        </w:tc>
        <w:tc>
          <w:tcPr>
            <w:tcW w:w="2646" w:type="dxa"/>
            <w:vAlign w:val="center"/>
          </w:tcPr>
          <w:p w14:paraId="5B1F4F3D" w14:textId="224FE0D6" w:rsidR="008E3774" w:rsidRPr="00323C24" w:rsidRDefault="008E3774" w:rsidP="00D331D3">
            <w:pPr>
              <w:jc w:val="center"/>
              <w:rPr>
                <w:b/>
                <w:bCs/>
                <w:lang w:val="en-US"/>
              </w:rPr>
            </w:pPr>
            <w:r w:rsidRPr="00323C24">
              <w:rPr>
                <w:b/>
                <w:bCs/>
              </w:rPr>
              <w:t>Column 3</w:t>
            </w:r>
          </w:p>
        </w:tc>
      </w:tr>
      <w:tr w:rsidR="008E3774" w:rsidRPr="00323C24" w14:paraId="1BCF0A9B" w14:textId="77777777" w:rsidTr="008E3774">
        <w:tc>
          <w:tcPr>
            <w:tcW w:w="2646" w:type="dxa"/>
            <w:vAlign w:val="center"/>
          </w:tcPr>
          <w:p w14:paraId="2D1FBC94" w14:textId="21BF19E0" w:rsidR="008E3774" w:rsidRPr="00323C24" w:rsidRDefault="008E3774" w:rsidP="00D331D3">
            <w:pPr>
              <w:jc w:val="center"/>
              <w:rPr>
                <w:b/>
                <w:bCs/>
                <w:lang w:val="en-US"/>
              </w:rPr>
            </w:pPr>
            <w:r w:rsidRPr="00323C24">
              <w:rPr>
                <w:b/>
                <w:bCs/>
              </w:rPr>
              <w:t>Combination Length</w:t>
            </w:r>
          </w:p>
        </w:tc>
        <w:tc>
          <w:tcPr>
            <w:tcW w:w="2646" w:type="dxa"/>
            <w:vAlign w:val="center"/>
          </w:tcPr>
          <w:p w14:paraId="359237E2" w14:textId="7915EA2D" w:rsidR="008E3774" w:rsidRPr="00323C24" w:rsidRDefault="00EA0FC7" w:rsidP="00D331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Total Vehicle</w:t>
            </w:r>
            <w:r w:rsidR="008E3774" w:rsidRPr="00323C24">
              <w:rPr>
                <w:b/>
                <w:bCs/>
              </w:rPr>
              <w:t xml:space="preserve"> Mass</w:t>
            </w:r>
          </w:p>
        </w:tc>
        <w:tc>
          <w:tcPr>
            <w:tcW w:w="2646" w:type="dxa"/>
            <w:vAlign w:val="center"/>
          </w:tcPr>
          <w:p w14:paraId="4576A2D5" w14:textId="007F9012" w:rsidR="008E3774" w:rsidRPr="00323C24" w:rsidRDefault="00146308" w:rsidP="00D331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Network</w:t>
            </w:r>
          </w:p>
        </w:tc>
      </w:tr>
      <w:tr w:rsidR="008E3774" w14:paraId="1F0C621A" w14:textId="77777777" w:rsidTr="008E3774">
        <w:tc>
          <w:tcPr>
            <w:tcW w:w="2646" w:type="dxa"/>
            <w:vAlign w:val="center"/>
          </w:tcPr>
          <w:p w14:paraId="70D6A6DC" w14:textId="108DA3DE" w:rsidR="008E3774" w:rsidRDefault="008E3774" w:rsidP="00D331D3">
            <w:pPr>
              <w:jc w:val="center"/>
              <w:rPr>
                <w:lang w:val="en-US"/>
              </w:rPr>
            </w:pPr>
            <w:r w:rsidRPr="00C27D80">
              <w:t>Up to 21m</w:t>
            </w:r>
          </w:p>
        </w:tc>
        <w:tc>
          <w:tcPr>
            <w:tcW w:w="2646" w:type="dxa"/>
            <w:vAlign w:val="center"/>
          </w:tcPr>
          <w:p w14:paraId="75CC3BDB" w14:textId="02ED71C4" w:rsidR="008E3774" w:rsidRDefault="00211DFE" w:rsidP="00D331D3">
            <w:pPr>
              <w:jc w:val="center"/>
              <w:rPr>
                <w:lang w:val="en-US"/>
              </w:rPr>
            </w:pPr>
            <w:r>
              <w:t xml:space="preserve">Up to </w:t>
            </w:r>
            <w:r w:rsidR="008E3774" w:rsidRPr="00E4591D">
              <w:t>50.0t</w:t>
            </w:r>
          </w:p>
        </w:tc>
        <w:tc>
          <w:tcPr>
            <w:tcW w:w="2646" w:type="dxa"/>
            <w:vAlign w:val="center"/>
          </w:tcPr>
          <w:p w14:paraId="37213D2A" w14:textId="2D7BEFAA" w:rsidR="008E3774" w:rsidRDefault="008E3774" w:rsidP="00D331D3">
            <w:pPr>
              <w:jc w:val="center"/>
              <w:rPr>
                <w:lang w:val="en-US"/>
              </w:rPr>
            </w:pPr>
            <w:r w:rsidRPr="00A04FAF">
              <w:t>General access</w:t>
            </w:r>
          </w:p>
        </w:tc>
      </w:tr>
      <w:tr w:rsidR="008E3774" w14:paraId="274AFE40" w14:textId="77777777" w:rsidTr="008E3774">
        <w:tc>
          <w:tcPr>
            <w:tcW w:w="2646" w:type="dxa"/>
            <w:vAlign w:val="center"/>
          </w:tcPr>
          <w:p w14:paraId="391C3791" w14:textId="24D43379" w:rsidR="008E3774" w:rsidRDefault="008E3774" w:rsidP="008E3774">
            <w:pPr>
              <w:jc w:val="center"/>
              <w:rPr>
                <w:lang w:val="en-US"/>
              </w:rPr>
            </w:pPr>
            <w:r w:rsidRPr="00C27D80">
              <w:t>Up to 21m</w:t>
            </w:r>
          </w:p>
        </w:tc>
        <w:tc>
          <w:tcPr>
            <w:tcW w:w="2646" w:type="dxa"/>
            <w:vAlign w:val="center"/>
          </w:tcPr>
          <w:p w14:paraId="0A8C9164" w14:textId="2F66C33C" w:rsidR="008E3774" w:rsidRDefault="008E3774" w:rsidP="008E3774">
            <w:pPr>
              <w:jc w:val="center"/>
              <w:rPr>
                <w:lang w:val="en-US"/>
              </w:rPr>
            </w:pPr>
            <w:r w:rsidRPr="00E4591D">
              <w:t>Over 50.0t</w:t>
            </w:r>
          </w:p>
        </w:tc>
        <w:tc>
          <w:tcPr>
            <w:tcW w:w="2646" w:type="dxa"/>
            <w:vAlign w:val="center"/>
          </w:tcPr>
          <w:p w14:paraId="4DB26964" w14:textId="169E25C0" w:rsidR="008E3774" w:rsidRDefault="008E3774" w:rsidP="008E3774">
            <w:pPr>
              <w:jc w:val="center"/>
              <w:rPr>
                <w:lang w:val="en-US"/>
              </w:rPr>
            </w:pPr>
            <w:r w:rsidRPr="00072136">
              <w:t>Tasmanian 21m truck and dog trailer (over 50t) network</w:t>
            </w:r>
          </w:p>
        </w:tc>
      </w:tr>
      <w:tr w:rsidR="008E3774" w14:paraId="6EF42F8D" w14:textId="77777777" w:rsidTr="008E3774">
        <w:tc>
          <w:tcPr>
            <w:tcW w:w="2646" w:type="dxa"/>
            <w:vAlign w:val="center"/>
          </w:tcPr>
          <w:p w14:paraId="03089DB1" w14:textId="559EA5B5" w:rsidR="008E3774" w:rsidRDefault="00AB089B" w:rsidP="008E3774">
            <w:pPr>
              <w:jc w:val="center"/>
              <w:rPr>
                <w:lang w:val="en-US"/>
              </w:rPr>
            </w:pPr>
            <w:r>
              <w:t>O</w:t>
            </w:r>
            <w:r w:rsidR="008E3774" w:rsidRPr="00C27D80">
              <w:t>ver 21m up to 25m</w:t>
            </w:r>
          </w:p>
        </w:tc>
        <w:tc>
          <w:tcPr>
            <w:tcW w:w="2646" w:type="dxa"/>
            <w:vAlign w:val="center"/>
          </w:tcPr>
          <w:p w14:paraId="7C964ADE" w14:textId="5DC5FA7C" w:rsidR="008E3774" w:rsidRDefault="00211DFE" w:rsidP="008E3774">
            <w:pPr>
              <w:jc w:val="center"/>
              <w:rPr>
                <w:lang w:val="en-US"/>
              </w:rPr>
            </w:pPr>
            <w:r>
              <w:t xml:space="preserve">Up to </w:t>
            </w:r>
            <w:r w:rsidR="00D73282">
              <w:t>62.0t</w:t>
            </w:r>
          </w:p>
        </w:tc>
        <w:tc>
          <w:tcPr>
            <w:tcW w:w="2646" w:type="dxa"/>
            <w:vAlign w:val="center"/>
          </w:tcPr>
          <w:p w14:paraId="2CC31000" w14:textId="41059451" w:rsidR="008E3774" w:rsidRDefault="008E3774" w:rsidP="008E3774">
            <w:pPr>
              <w:jc w:val="center"/>
              <w:rPr>
                <w:lang w:val="en-US"/>
              </w:rPr>
            </w:pPr>
            <w:r w:rsidRPr="00072136">
              <w:t>Tasmanian 25m truck and dog trailer network</w:t>
            </w:r>
          </w:p>
        </w:tc>
      </w:tr>
    </w:tbl>
    <w:p w14:paraId="052E0EEB" w14:textId="77777777" w:rsidR="00E71C20" w:rsidRDefault="00E71C20" w:rsidP="00B47425">
      <w:pPr>
        <w:contextualSpacing/>
        <w:rPr>
          <w:lang w:val="en-US"/>
        </w:rPr>
      </w:pPr>
    </w:p>
    <w:p w14:paraId="6C313AE9" w14:textId="085CD237" w:rsidR="004866CC" w:rsidRDefault="004866CC" w:rsidP="004866CC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4866CC">
        <w:rPr>
          <w:lang w:val="en-US"/>
        </w:rPr>
        <w:t>In column 1</w:t>
      </w:r>
      <w:r w:rsidR="00807A80">
        <w:rPr>
          <w:lang w:val="en-US"/>
        </w:rPr>
        <w:t xml:space="preserve"> of Table 1, the</w:t>
      </w:r>
      <w:r w:rsidRPr="004866CC">
        <w:rPr>
          <w:lang w:val="en-US"/>
        </w:rPr>
        <w:t xml:space="preserve"> combination length 21.0m threshold </w:t>
      </w:r>
      <w:r w:rsidR="00807A80">
        <w:rPr>
          <w:lang w:val="en-US"/>
        </w:rPr>
        <w:t xml:space="preserve">is </w:t>
      </w:r>
      <w:r w:rsidRPr="004866CC">
        <w:rPr>
          <w:lang w:val="en-US"/>
        </w:rPr>
        <w:t>increased to 21.3m for a vehicle fitted with a rear log guard</w:t>
      </w:r>
      <w:r>
        <w:rPr>
          <w:lang w:val="en-US"/>
        </w:rPr>
        <w:t>.</w:t>
      </w:r>
    </w:p>
    <w:p w14:paraId="62A40590" w14:textId="77777777" w:rsidR="004866CC" w:rsidRPr="004866CC" w:rsidRDefault="004866CC" w:rsidP="004866CC">
      <w:pPr>
        <w:pStyle w:val="ListParagraph"/>
        <w:ind w:left="1080"/>
        <w:jc w:val="both"/>
        <w:rPr>
          <w:lang w:val="en-US"/>
        </w:rPr>
      </w:pPr>
    </w:p>
    <w:p w14:paraId="728BA5D7" w14:textId="7941E5CF" w:rsidR="004866CC" w:rsidRDefault="004866CC" w:rsidP="004866CC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4866CC">
        <w:rPr>
          <w:lang w:val="en-US"/>
        </w:rPr>
        <w:t>In column 2</w:t>
      </w:r>
      <w:r w:rsidR="00807A80">
        <w:rPr>
          <w:lang w:val="en-US"/>
        </w:rPr>
        <w:t xml:space="preserve"> of Table </w:t>
      </w:r>
      <w:r w:rsidR="00E7181A">
        <w:rPr>
          <w:lang w:val="en-US"/>
        </w:rPr>
        <w:t>1</w:t>
      </w:r>
      <w:r w:rsidR="00807A80">
        <w:rPr>
          <w:lang w:val="en-US"/>
        </w:rPr>
        <w:t>, the</w:t>
      </w:r>
      <w:r w:rsidRPr="004866CC">
        <w:rPr>
          <w:lang w:val="en-US"/>
        </w:rPr>
        <w:t xml:space="preserve"> </w:t>
      </w:r>
      <w:r w:rsidR="00472719">
        <w:rPr>
          <w:lang w:val="en-US"/>
        </w:rPr>
        <w:t>50.0t</w:t>
      </w:r>
      <w:r w:rsidRPr="004866CC">
        <w:rPr>
          <w:lang w:val="en-US"/>
        </w:rPr>
        <w:t xml:space="preserve"> </w:t>
      </w:r>
      <w:r w:rsidR="00AB3D20">
        <w:rPr>
          <w:lang w:val="en-US"/>
        </w:rPr>
        <w:t xml:space="preserve">mass </w:t>
      </w:r>
      <w:r w:rsidRPr="004866CC">
        <w:rPr>
          <w:lang w:val="en-US"/>
        </w:rPr>
        <w:t>threshold</w:t>
      </w:r>
      <w:r w:rsidR="00AB3D20">
        <w:rPr>
          <w:lang w:val="en-US"/>
        </w:rPr>
        <w:t xml:space="preserve">s are </w:t>
      </w:r>
      <w:r w:rsidRPr="004866CC">
        <w:rPr>
          <w:lang w:val="en-US"/>
        </w:rPr>
        <w:t>increased to 50.5</w:t>
      </w:r>
      <w:r w:rsidR="00807A80">
        <w:rPr>
          <w:lang w:val="en-US"/>
        </w:rPr>
        <w:t>t</w:t>
      </w:r>
      <w:r w:rsidRPr="004866CC">
        <w:rPr>
          <w:lang w:val="en-US"/>
        </w:rPr>
        <w:t xml:space="preserve"> for vehicles operating with a complying steer axle</w:t>
      </w:r>
      <w:r w:rsidR="00AB3D20">
        <w:rPr>
          <w:lang w:val="en-US"/>
        </w:rPr>
        <w:t>.</w:t>
      </w:r>
    </w:p>
    <w:p w14:paraId="329950D9" w14:textId="77777777" w:rsidR="00781BB3" w:rsidRPr="00781BB3" w:rsidRDefault="00781BB3" w:rsidP="00781BB3">
      <w:pPr>
        <w:pStyle w:val="ListParagraph"/>
        <w:ind w:left="1080"/>
        <w:jc w:val="both"/>
      </w:pPr>
    </w:p>
    <w:p w14:paraId="40686B97" w14:textId="1D5DCD4A" w:rsidR="00F77FA4" w:rsidRDefault="00F77FA4" w:rsidP="00B47425">
      <w:pPr>
        <w:pStyle w:val="ListParagraph"/>
        <w:numPr>
          <w:ilvl w:val="0"/>
          <w:numId w:val="6"/>
        </w:numPr>
        <w:jc w:val="both"/>
      </w:pPr>
      <w:r>
        <w:t>For the purposes of section 119(1)(a) of the HVNL, an area or route specified in this section is a stated area or route to which this notice applies.</w:t>
      </w:r>
    </w:p>
    <w:p w14:paraId="00F455CD" w14:textId="77777777" w:rsidR="00F77FA4" w:rsidRDefault="00F77FA4" w:rsidP="00B47425">
      <w:pPr>
        <w:pStyle w:val="ListParagraph"/>
        <w:ind w:left="1080"/>
        <w:jc w:val="both"/>
      </w:pPr>
    </w:p>
    <w:p w14:paraId="10465C59" w14:textId="7344295E" w:rsidR="00781BB3" w:rsidRDefault="00B740E0" w:rsidP="00781BB3">
      <w:pPr>
        <w:pStyle w:val="ListParagraph"/>
        <w:numPr>
          <w:ilvl w:val="0"/>
          <w:numId w:val="6"/>
        </w:numPr>
        <w:jc w:val="both"/>
      </w:pPr>
      <w:r w:rsidRPr="00DF3211">
        <w:t>In this s</w:t>
      </w:r>
      <w:r>
        <w:t>ection</w:t>
      </w:r>
      <w:r w:rsidR="00781BB3">
        <w:t xml:space="preserve"> </w:t>
      </w:r>
      <w:r w:rsidRPr="00781BB3">
        <w:t>general access</w:t>
      </w:r>
      <w:r w:rsidRPr="00DF3211">
        <w:t xml:space="preserve"> means access to all roads except as restricted </w:t>
      </w:r>
      <w:r>
        <w:t xml:space="preserve">by the </w:t>
      </w:r>
      <w:r w:rsidRPr="00781BB3">
        <w:rPr>
          <w:i/>
          <w:iCs/>
        </w:rPr>
        <w:t xml:space="preserve">Specified Road Manager Network Requirements </w:t>
      </w:r>
      <w:r>
        <w:t>in the Guide.</w:t>
      </w:r>
    </w:p>
    <w:p w14:paraId="6088F9B0" w14:textId="77777777" w:rsidR="00781BB3" w:rsidRDefault="00781BB3" w:rsidP="00781BB3">
      <w:pPr>
        <w:pStyle w:val="ListParagraph"/>
        <w:ind w:left="1080"/>
        <w:jc w:val="both"/>
      </w:pPr>
    </w:p>
    <w:p w14:paraId="0D2A6CDA" w14:textId="18F3EAF2" w:rsidR="00E12C2F" w:rsidRDefault="00E12C2F" w:rsidP="00E12C2F">
      <w:pPr>
        <w:pStyle w:val="ListParagraph"/>
        <w:numPr>
          <w:ilvl w:val="0"/>
          <w:numId w:val="6"/>
        </w:numPr>
        <w:jc w:val="both"/>
      </w:pPr>
      <w:r>
        <w:t>An eligible vehicle operating on an area or route specified in this section must comply with any of the following conditions prescribed for that area or route:</w:t>
      </w:r>
    </w:p>
    <w:p w14:paraId="2F9E9893" w14:textId="77777777" w:rsidR="00E12C2F" w:rsidRDefault="00E12C2F" w:rsidP="00E12C2F">
      <w:pPr>
        <w:pStyle w:val="ListParagraph"/>
        <w:ind w:left="1080"/>
        <w:jc w:val="both"/>
      </w:pPr>
    </w:p>
    <w:p w14:paraId="72500DC6" w14:textId="77777777" w:rsidR="00E12C2F" w:rsidRDefault="00E12C2F" w:rsidP="00E12C2F">
      <w:pPr>
        <w:pStyle w:val="ListParagraph"/>
        <w:numPr>
          <w:ilvl w:val="0"/>
          <w:numId w:val="24"/>
        </w:numPr>
        <w:jc w:val="both"/>
      </w:pPr>
      <w:r>
        <w:t>Road conditions pursuant to section 160 of the HVNL; and</w:t>
      </w:r>
    </w:p>
    <w:p w14:paraId="042D64FC" w14:textId="77777777" w:rsidR="00E12C2F" w:rsidRDefault="00E12C2F" w:rsidP="00E12C2F">
      <w:pPr>
        <w:pStyle w:val="ListParagraph"/>
        <w:numPr>
          <w:ilvl w:val="0"/>
          <w:numId w:val="24"/>
        </w:numPr>
        <w:jc w:val="both"/>
      </w:pPr>
      <w:r>
        <w:t>Travel conditions pursuant to section 161 of the HVNL; and</w:t>
      </w:r>
    </w:p>
    <w:p w14:paraId="5C87DB5B" w14:textId="77777777" w:rsidR="00E12C2F" w:rsidRDefault="00E12C2F" w:rsidP="00E12C2F">
      <w:pPr>
        <w:pStyle w:val="ListParagraph"/>
        <w:numPr>
          <w:ilvl w:val="0"/>
          <w:numId w:val="24"/>
        </w:numPr>
        <w:jc w:val="both"/>
      </w:pPr>
      <w:r>
        <w:t>Vehicle conditions pursuant to section 162 of the HVNL.</w:t>
      </w:r>
    </w:p>
    <w:p w14:paraId="27C6A845" w14:textId="046102E8" w:rsidR="00FC1EB9" w:rsidRDefault="00FC1EB9" w:rsidP="00B47425">
      <w:pPr>
        <w:contextualSpacing/>
        <w:rPr>
          <w:b/>
          <w:bCs/>
          <w:sz w:val="28"/>
          <w:szCs w:val="28"/>
          <w:lang w:val="en-US"/>
        </w:rPr>
      </w:pPr>
    </w:p>
    <w:p w14:paraId="767126EB" w14:textId="77777777" w:rsidR="00331FC6" w:rsidRDefault="00331FC6" w:rsidP="00331FC6">
      <w:pPr>
        <w:ind w:left="720"/>
        <w:contextualSpacing/>
        <w:jc w:val="both"/>
      </w:pPr>
      <w:r>
        <w:t>Peter Austin</w:t>
      </w:r>
    </w:p>
    <w:p w14:paraId="6DEEE979" w14:textId="77777777" w:rsidR="00331FC6" w:rsidRPr="00912586" w:rsidRDefault="00331FC6" w:rsidP="00331FC6">
      <w:pPr>
        <w:ind w:left="720"/>
        <w:contextualSpacing/>
        <w:jc w:val="both"/>
        <w:rPr>
          <w:i/>
          <w:iCs/>
        </w:rPr>
      </w:pPr>
      <w:r w:rsidRPr="00912586">
        <w:rPr>
          <w:i/>
          <w:iCs/>
        </w:rPr>
        <w:t>Director</w:t>
      </w:r>
      <w:r>
        <w:rPr>
          <w:i/>
          <w:iCs/>
        </w:rPr>
        <w:t>,</w:t>
      </w:r>
      <w:r w:rsidRPr="00912586">
        <w:rPr>
          <w:i/>
          <w:iCs/>
        </w:rPr>
        <w:t xml:space="preserve"> </w:t>
      </w:r>
      <w:r>
        <w:rPr>
          <w:i/>
          <w:iCs/>
        </w:rPr>
        <w:t>Policy Implementation</w:t>
      </w:r>
    </w:p>
    <w:p w14:paraId="017FBA93" w14:textId="77777777" w:rsidR="00331FC6" w:rsidRPr="00912586" w:rsidRDefault="00331FC6" w:rsidP="00331FC6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p w14:paraId="12698DCA" w14:textId="77777777" w:rsidR="00331FC6" w:rsidRDefault="00331FC6" w:rsidP="00B47425">
      <w:pPr>
        <w:contextualSpacing/>
        <w:rPr>
          <w:b/>
          <w:bCs/>
          <w:sz w:val="28"/>
          <w:szCs w:val="28"/>
          <w:lang w:val="en-US"/>
        </w:rPr>
      </w:pPr>
    </w:p>
    <w:sectPr w:rsidR="00331FC6" w:rsidSect="004B1AE8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6A8D" w14:textId="77777777" w:rsidR="00A76660" w:rsidRDefault="00A76660" w:rsidP="00FF165E">
      <w:pPr>
        <w:spacing w:after="0" w:line="240" w:lineRule="auto"/>
      </w:pPr>
      <w:r>
        <w:separator/>
      </w:r>
    </w:p>
  </w:endnote>
  <w:endnote w:type="continuationSeparator" w:id="0">
    <w:p w14:paraId="70DF115E" w14:textId="77777777" w:rsidR="00A76660" w:rsidRDefault="00A76660" w:rsidP="00FF165E">
      <w:pPr>
        <w:spacing w:after="0" w:line="240" w:lineRule="auto"/>
      </w:pPr>
      <w:r>
        <w:continuationSeparator/>
      </w:r>
    </w:p>
  </w:endnote>
  <w:endnote w:type="continuationNotice" w:id="1">
    <w:p w14:paraId="7490C057" w14:textId="77777777" w:rsidR="00A76660" w:rsidRDefault="00A76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1BD89497" w14:textId="35B8142A" w:rsidR="002505C0" w:rsidRDefault="002505C0" w:rsidP="00FF165E">
    <w:pPr>
      <w:pStyle w:val="Footer"/>
      <w:jc w:val="right"/>
    </w:pPr>
    <w:r w:rsidRPr="002505C0">
      <w:t>Tasmania Class 3 Truck and Dog Trailer Mass and Dimension Exemption Notice 20</w:t>
    </w:r>
    <w:r>
      <w:t>2</w:t>
    </w:r>
    <w:r w:rsidR="004B1AE8">
      <w:t>4</w:t>
    </w:r>
    <w:r w:rsidR="001C0A32">
      <w:t xml:space="preserve"> </w:t>
    </w:r>
    <w:r w:rsidRPr="002505C0">
      <w:t>(No.1)</w:t>
    </w:r>
  </w:p>
  <w:p w14:paraId="7C4797CB" w14:textId="57A97ACB" w:rsidR="00FF165E" w:rsidRDefault="00B071A0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85C" w14:textId="77777777" w:rsidR="004B1AE8" w:rsidRDefault="004B1AE8" w:rsidP="004B1AE8">
    <w:pPr>
      <w:pStyle w:val="Footer"/>
      <w:jc w:val="right"/>
    </w:pPr>
  </w:p>
  <w:p w14:paraId="78CA39DF" w14:textId="2F78A88B" w:rsidR="004B1AE8" w:rsidRDefault="004B1AE8" w:rsidP="004B1AE8">
    <w:pPr>
      <w:pStyle w:val="Footer"/>
      <w:jc w:val="right"/>
    </w:pPr>
    <w:r w:rsidRPr="002505C0">
      <w:t>Tasmania Class 3 Truck and Dog Trailer Mass and Dimension Exemption Notice 20</w:t>
    </w:r>
    <w:r>
      <w:t xml:space="preserve">24 </w:t>
    </w:r>
    <w:r w:rsidRPr="002505C0">
      <w:t>(No.1)</w:t>
    </w:r>
  </w:p>
  <w:p w14:paraId="5746FA12" w14:textId="6A32BBBB" w:rsidR="004B1AE8" w:rsidRDefault="00B071A0" w:rsidP="004B1AE8">
    <w:pPr>
      <w:pStyle w:val="Footer"/>
      <w:jc w:val="right"/>
    </w:pPr>
    <w:sdt>
      <w:sdtPr>
        <w:id w:val="-279949791"/>
        <w:docPartObj>
          <w:docPartGallery w:val="Page Numbers (Bottom of Page)"/>
          <w:docPartUnique/>
        </w:docPartObj>
      </w:sdtPr>
      <w:sdtEndPr/>
      <w:sdtContent>
        <w:sdt>
          <w:sdtPr>
            <w:id w:val="-1944607617"/>
            <w:docPartObj>
              <w:docPartGallery w:val="Page Numbers (Top of Page)"/>
              <w:docPartUnique/>
            </w:docPartObj>
          </w:sdtPr>
          <w:sdtEndPr/>
          <w:sdtContent>
            <w:r w:rsidR="004B1AE8">
              <w:t xml:space="preserve">Page </w:t>
            </w:r>
            <w:r w:rsidR="004B1AE8">
              <w:rPr>
                <w:b/>
                <w:bCs/>
                <w:sz w:val="24"/>
                <w:szCs w:val="24"/>
              </w:rPr>
              <w:fldChar w:fldCharType="begin"/>
            </w:r>
            <w:r w:rsidR="004B1AE8">
              <w:rPr>
                <w:b/>
                <w:bCs/>
              </w:rPr>
              <w:instrText xml:space="preserve"> PAGE </w:instrText>
            </w:r>
            <w:r w:rsidR="004B1AE8">
              <w:rPr>
                <w:b/>
                <w:bCs/>
                <w:sz w:val="24"/>
                <w:szCs w:val="24"/>
              </w:rPr>
              <w:fldChar w:fldCharType="separate"/>
            </w:r>
            <w:r w:rsidR="004B1AE8">
              <w:rPr>
                <w:b/>
                <w:bCs/>
                <w:sz w:val="24"/>
                <w:szCs w:val="24"/>
              </w:rPr>
              <w:t>2</w:t>
            </w:r>
            <w:r w:rsidR="004B1AE8">
              <w:rPr>
                <w:b/>
                <w:bCs/>
                <w:sz w:val="24"/>
                <w:szCs w:val="24"/>
              </w:rPr>
              <w:fldChar w:fldCharType="end"/>
            </w:r>
            <w:r w:rsidR="004B1AE8">
              <w:t xml:space="preserve"> of </w:t>
            </w:r>
            <w:r w:rsidR="004B1AE8">
              <w:rPr>
                <w:b/>
                <w:bCs/>
                <w:sz w:val="24"/>
                <w:szCs w:val="24"/>
              </w:rPr>
              <w:fldChar w:fldCharType="begin"/>
            </w:r>
            <w:r w:rsidR="004B1AE8">
              <w:rPr>
                <w:b/>
                <w:bCs/>
              </w:rPr>
              <w:instrText xml:space="preserve"> NUMPAGES  </w:instrText>
            </w:r>
            <w:r w:rsidR="004B1AE8">
              <w:rPr>
                <w:b/>
                <w:bCs/>
                <w:sz w:val="24"/>
                <w:szCs w:val="24"/>
              </w:rPr>
              <w:fldChar w:fldCharType="separate"/>
            </w:r>
            <w:r w:rsidR="004B1AE8">
              <w:rPr>
                <w:b/>
                <w:bCs/>
                <w:sz w:val="24"/>
                <w:szCs w:val="24"/>
              </w:rPr>
              <w:t>5</w:t>
            </w:r>
            <w:r w:rsidR="004B1AE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7E35" w14:textId="77777777" w:rsidR="00A76660" w:rsidRDefault="00A76660" w:rsidP="00FF165E">
      <w:pPr>
        <w:spacing w:after="0" w:line="240" w:lineRule="auto"/>
      </w:pPr>
      <w:r>
        <w:separator/>
      </w:r>
    </w:p>
  </w:footnote>
  <w:footnote w:type="continuationSeparator" w:id="0">
    <w:p w14:paraId="4A5D73B2" w14:textId="77777777" w:rsidR="00A76660" w:rsidRDefault="00A76660" w:rsidP="00FF165E">
      <w:pPr>
        <w:spacing w:after="0" w:line="240" w:lineRule="auto"/>
      </w:pPr>
      <w:r>
        <w:continuationSeparator/>
      </w:r>
    </w:p>
  </w:footnote>
  <w:footnote w:type="continuationNotice" w:id="1">
    <w:p w14:paraId="06A008C7" w14:textId="77777777" w:rsidR="00A76660" w:rsidRDefault="00A76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B1AE8" w:rsidRPr="00CE796A" w14:paraId="724E943A" w14:textId="77777777" w:rsidTr="005F416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3749B64" w14:textId="77777777" w:rsidR="004B1AE8" w:rsidRPr="00CE796A" w:rsidRDefault="004B1AE8" w:rsidP="004B1AE8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C9FF09F" wp14:editId="4EDEFBB9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B7A26D0" w14:textId="77777777" w:rsidR="004B1AE8" w:rsidRPr="00CE796A" w:rsidRDefault="004B1AE8" w:rsidP="004B1AE8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82FF173" w14:textId="77777777" w:rsidR="004B1AE8" w:rsidRPr="00CE796A" w:rsidRDefault="004B1AE8" w:rsidP="004B1AE8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B1AE8" w:rsidRPr="00CE796A" w14:paraId="77C5717E" w14:textId="77777777" w:rsidTr="005F416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B9971E7" w14:textId="77777777" w:rsidR="004B1AE8" w:rsidRPr="00CE796A" w:rsidRDefault="004B1AE8" w:rsidP="004B1AE8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8B37612" w14:textId="77777777" w:rsidR="004B1AE8" w:rsidRPr="00840A06" w:rsidRDefault="004B1AE8" w:rsidP="004B1AE8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19AAECF0" w14:textId="77777777" w:rsidR="004B1AE8" w:rsidRDefault="004B1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E1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7134E"/>
    <w:multiLevelType w:val="hybridMultilevel"/>
    <w:tmpl w:val="4FBA0842"/>
    <w:lvl w:ilvl="0" w:tplc="3C2E116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17F8"/>
    <w:multiLevelType w:val="hybridMultilevel"/>
    <w:tmpl w:val="8D56AEF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4063D"/>
    <w:multiLevelType w:val="hybridMultilevel"/>
    <w:tmpl w:val="E6284CC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7B2C4A"/>
    <w:multiLevelType w:val="hybridMultilevel"/>
    <w:tmpl w:val="AF54C0C2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C4E40"/>
    <w:multiLevelType w:val="hybridMultilevel"/>
    <w:tmpl w:val="6ADE54B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EB29E5"/>
    <w:multiLevelType w:val="hybridMultilevel"/>
    <w:tmpl w:val="4CFE412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F3390"/>
    <w:multiLevelType w:val="hybridMultilevel"/>
    <w:tmpl w:val="A88EF80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7306"/>
    <w:multiLevelType w:val="hybridMultilevel"/>
    <w:tmpl w:val="1160F408"/>
    <w:lvl w:ilvl="0" w:tplc="061483CE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0B03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ED21DF"/>
    <w:multiLevelType w:val="hybridMultilevel"/>
    <w:tmpl w:val="A23414F0"/>
    <w:lvl w:ilvl="0" w:tplc="FFFFFFFF">
      <w:start w:val="1"/>
      <w:numFmt w:val="lowerLetter"/>
      <w:lvlText w:val="%1)"/>
      <w:lvlJc w:val="left"/>
      <w:pPr>
        <w:ind w:left="21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6877962"/>
    <w:multiLevelType w:val="hybridMultilevel"/>
    <w:tmpl w:val="F5A207E0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0D6FAC"/>
    <w:multiLevelType w:val="hybridMultilevel"/>
    <w:tmpl w:val="E6284CC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6B000B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4A0630"/>
    <w:multiLevelType w:val="hybridMultilevel"/>
    <w:tmpl w:val="013CB48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441B43"/>
    <w:multiLevelType w:val="hybridMultilevel"/>
    <w:tmpl w:val="2062BABC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D50860"/>
    <w:multiLevelType w:val="hybridMultilevel"/>
    <w:tmpl w:val="12E8B6B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92764C"/>
    <w:multiLevelType w:val="hybridMultilevel"/>
    <w:tmpl w:val="DC44BEEA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9466">
    <w:abstractNumId w:val="3"/>
  </w:num>
  <w:num w:numId="2" w16cid:durableId="1627196350">
    <w:abstractNumId w:val="7"/>
  </w:num>
  <w:num w:numId="3" w16cid:durableId="25251383">
    <w:abstractNumId w:val="23"/>
  </w:num>
  <w:num w:numId="4" w16cid:durableId="1986203439">
    <w:abstractNumId w:val="19"/>
  </w:num>
  <w:num w:numId="5" w16cid:durableId="2089380026">
    <w:abstractNumId w:val="22"/>
  </w:num>
  <w:num w:numId="6" w16cid:durableId="1853569039">
    <w:abstractNumId w:val="13"/>
  </w:num>
  <w:num w:numId="7" w16cid:durableId="291373502">
    <w:abstractNumId w:val="8"/>
  </w:num>
  <w:num w:numId="8" w16cid:durableId="2040620951">
    <w:abstractNumId w:val="6"/>
  </w:num>
  <w:num w:numId="9" w16cid:durableId="1894391657">
    <w:abstractNumId w:val="9"/>
  </w:num>
  <w:num w:numId="10" w16cid:durableId="1102188626">
    <w:abstractNumId w:val="2"/>
  </w:num>
  <w:num w:numId="11" w16cid:durableId="788937709">
    <w:abstractNumId w:val="11"/>
  </w:num>
  <w:num w:numId="12" w16cid:durableId="1184057726">
    <w:abstractNumId w:val="1"/>
  </w:num>
  <w:num w:numId="13" w16cid:durableId="185142864">
    <w:abstractNumId w:val="0"/>
  </w:num>
  <w:num w:numId="14" w16cid:durableId="506016118">
    <w:abstractNumId w:val="17"/>
  </w:num>
  <w:num w:numId="15" w16cid:durableId="231895096">
    <w:abstractNumId w:val="5"/>
  </w:num>
  <w:num w:numId="16" w16cid:durableId="1823308031">
    <w:abstractNumId w:val="20"/>
  </w:num>
  <w:num w:numId="17" w16cid:durableId="1588152132">
    <w:abstractNumId w:val="18"/>
  </w:num>
  <w:num w:numId="18" w16cid:durableId="1563253823">
    <w:abstractNumId w:val="10"/>
  </w:num>
  <w:num w:numId="19" w16cid:durableId="114368564">
    <w:abstractNumId w:val="27"/>
  </w:num>
  <w:num w:numId="20" w16cid:durableId="1254627029">
    <w:abstractNumId w:val="12"/>
  </w:num>
  <w:num w:numId="21" w16cid:durableId="1128820811">
    <w:abstractNumId w:val="14"/>
  </w:num>
  <w:num w:numId="22" w16cid:durableId="547690022">
    <w:abstractNumId w:val="16"/>
  </w:num>
  <w:num w:numId="23" w16cid:durableId="172111859">
    <w:abstractNumId w:val="15"/>
  </w:num>
  <w:num w:numId="24" w16cid:durableId="1324239100">
    <w:abstractNumId w:val="21"/>
  </w:num>
  <w:num w:numId="25" w16cid:durableId="248924574">
    <w:abstractNumId w:val="26"/>
  </w:num>
  <w:num w:numId="26" w16cid:durableId="1048919820">
    <w:abstractNumId w:val="24"/>
  </w:num>
  <w:num w:numId="27" w16cid:durableId="1818448707">
    <w:abstractNumId w:val="25"/>
  </w:num>
  <w:num w:numId="28" w16cid:durableId="179682818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19FD"/>
    <w:rsid w:val="00001AC3"/>
    <w:rsid w:val="00006E84"/>
    <w:rsid w:val="000119A9"/>
    <w:rsid w:val="00014382"/>
    <w:rsid w:val="00016A76"/>
    <w:rsid w:val="00020EB3"/>
    <w:rsid w:val="00025C93"/>
    <w:rsid w:val="000312CB"/>
    <w:rsid w:val="00031358"/>
    <w:rsid w:val="00040E9F"/>
    <w:rsid w:val="00042A7F"/>
    <w:rsid w:val="0004474D"/>
    <w:rsid w:val="00045AA9"/>
    <w:rsid w:val="00046888"/>
    <w:rsid w:val="00047B4C"/>
    <w:rsid w:val="000502BF"/>
    <w:rsid w:val="0005276A"/>
    <w:rsid w:val="00053C44"/>
    <w:rsid w:val="000540D8"/>
    <w:rsid w:val="00056FFA"/>
    <w:rsid w:val="00060216"/>
    <w:rsid w:val="000634F8"/>
    <w:rsid w:val="00066965"/>
    <w:rsid w:val="00067A8E"/>
    <w:rsid w:val="00072713"/>
    <w:rsid w:val="00074E88"/>
    <w:rsid w:val="000759DD"/>
    <w:rsid w:val="00077780"/>
    <w:rsid w:val="000805E0"/>
    <w:rsid w:val="00081E0C"/>
    <w:rsid w:val="0008277D"/>
    <w:rsid w:val="00082BA6"/>
    <w:rsid w:val="00083821"/>
    <w:rsid w:val="00084506"/>
    <w:rsid w:val="00085E21"/>
    <w:rsid w:val="0009211A"/>
    <w:rsid w:val="0009766F"/>
    <w:rsid w:val="000A25A8"/>
    <w:rsid w:val="000A30CD"/>
    <w:rsid w:val="000B1F3E"/>
    <w:rsid w:val="000B2987"/>
    <w:rsid w:val="000B4737"/>
    <w:rsid w:val="000B4854"/>
    <w:rsid w:val="000B7903"/>
    <w:rsid w:val="000B7FD6"/>
    <w:rsid w:val="000C7E46"/>
    <w:rsid w:val="000D0714"/>
    <w:rsid w:val="000D3A6A"/>
    <w:rsid w:val="000E1232"/>
    <w:rsid w:val="000E2F26"/>
    <w:rsid w:val="000E6F32"/>
    <w:rsid w:val="000F148B"/>
    <w:rsid w:val="000F1815"/>
    <w:rsid w:val="000F310A"/>
    <w:rsid w:val="000F35D5"/>
    <w:rsid w:val="000F4C6F"/>
    <w:rsid w:val="000F4EC3"/>
    <w:rsid w:val="000F4EF3"/>
    <w:rsid w:val="00101015"/>
    <w:rsid w:val="00103F54"/>
    <w:rsid w:val="00107A7E"/>
    <w:rsid w:val="00110519"/>
    <w:rsid w:val="00114BA9"/>
    <w:rsid w:val="001271D6"/>
    <w:rsid w:val="0013550E"/>
    <w:rsid w:val="00143576"/>
    <w:rsid w:val="00145226"/>
    <w:rsid w:val="0014591B"/>
    <w:rsid w:val="00146308"/>
    <w:rsid w:val="0014711C"/>
    <w:rsid w:val="001513D8"/>
    <w:rsid w:val="00152EBF"/>
    <w:rsid w:val="00154E5A"/>
    <w:rsid w:val="00157F21"/>
    <w:rsid w:val="00162C31"/>
    <w:rsid w:val="00172BD7"/>
    <w:rsid w:val="00172D56"/>
    <w:rsid w:val="00182A54"/>
    <w:rsid w:val="00182F51"/>
    <w:rsid w:val="0018328D"/>
    <w:rsid w:val="00183D5B"/>
    <w:rsid w:val="00186F5C"/>
    <w:rsid w:val="001945F9"/>
    <w:rsid w:val="00196050"/>
    <w:rsid w:val="001A1F6A"/>
    <w:rsid w:val="001A2BDC"/>
    <w:rsid w:val="001A2D23"/>
    <w:rsid w:val="001A4E52"/>
    <w:rsid w:val="001A63EE"/>
    <w:rsid w:val="001B00A4"/>
    <w:rsid w:val="001B636D"/>
    <w:rsid w:val="001B74E1"/>
    <w:rsid w:val="001C0A32"/>
    <w:rsid w:val="001C4AC6"/>
    <w:rsid w:val="001C6FC0"/>
    <w:rsid w:val="001D1813"/>
    <w:rsid w:val="001D4B28"/>
    <w:rsid w:val="001D7E9E"/>
    <w:rsid w:val="001E1AB8"/>
    <w:rsid w:val="001E4266"/>
    <w:rsid w:val="001E6500"/>
    <w:rsid w:val="001E7D63"/>
    <w:rsid w:val="001F3F6C"/>
    <w:rsid w:val="001F7150"/>
    <w:rsid w:val="00203990"/>
    <w:rsid w:val="00205C52"/>
    <w:rsid w:val="00211DFE"/>
    <w:rsid w:val="00213EEB"/>
    <w:rsid w:val="002177D4"/>
    <w:rsid w:val="002225B1"/>
    <w:rsid w:val="002225E5"/>
    <w:rsid w:val="002236D8"/>
    <w:rsid w:val="00224A5C"/>
    <w:rsid w:val="0022624C"/>
    <w:rsid w:val="00227CBC"/>
    <w:rsid w:val="00230189"/>
    <w:rsid w:val="0023388D"/>
    <w:rsid w:val="00241076"/>
    <w:rsid w:val="002423CF"/>
    <w:rsid w:val="0024249B"/>
    <w:rsid w:val="00245719"/>
    <w:rsid w:val="002505C0"/>
    <w:rsid w:val="00255B17"/>
    <w:rsid w:val="002604C7"/>
    <w:rsid w:val="00264AE0"/>
    <w:rsid w:val="00264CBE"/>
    <w:rsid w:val="00266BBD"/>
    <w:rsid w:val="00275DD1"/>
    <w:rsid w:val="002776DB"/>
    <w:rsid w:val="00277B89"/>
    <w:rsid w:val="002820BF"/>
    <w:rsid w:val="00283D0F"/>
    <w:rsid w:val="002846E9"/>
    <w:rsid w:val="00290A69"/>
    <w:rsid w:val="00293049"/>
    <w:rsid w:val="00293FEB"/>
    <w:rsid w:val="002969FF"/>
    <w:rsid w:val="00296A93"/>
    <w:rsid w:val="002A0458"/>
    <w:rsid w:val="002A057C"/>
    <w:rsid w:val="002A06E5"/>
    <w:rsid w:val="002A4337"/>
    <w:rsid w:val="002A662C"/>
    <w:rsid w:val="002A7271"/>
    <w:rsid w:val="002B748F"/>
    <w:rsid w:val="002C0360"/>
    <w:rsid w:val="002C441E"/>
    <w:rsid w:val="002C7057"/>
    <w:rsid w:val="002D4179"/>
    <w:rsid w:val="002D425D"/>
    <w:rsid w:val="002E025A"/>
    <w:rsid w:val="002E1B85"/>
    <w:rsid w:val="002E32C8"/>
    <w:rsid w:val="002E505B"/>
    <w:rsid w:val="002E5A20"/>
    <w:rsid w:val="002F1D2B"/>
    <w:rsid w:val="00311753"/>
    <w:rsid w:val="00312F56"/>
    <w:rsid w:val="0031618E"/>
    <w:rsid w:val="00322587"/>
    <w:rsid w:val="00323C24"/>
    <w:rsid w:val="00325240"/>
    <w:rsid w:val="00325A52"/>
    <w:rsid w:val="00326FC5"/>
    <w:rsid w:val="00330D46"/>
    <w:rsid w:val="00331FC6"/>
    <w:rsid w:val="00333BD3"/>
    <w:rsid w:val="00343193"/>
    <w:rsid w:val="00344048"/>
    <w:rsid w:val="00350D5D"/>
    <w:rsid w:val="00352311"/>
    <w:rsid w:val="00352F89"/>
    <w:rsid w:val="003535F6"/>
    <w:rsid w:val="003542ED"/>
    <w:rsid w:val="00355D69"/>
    <w:rsid w:val="003640FC"/>
    <w:rsid w:val="0037017D"/>
    <w:rsid w:val="0037159B"/>
    <w:rsid w:val="00371D42"/>
    <w:rsid w:val="00373E4D"/>
    <w:rsid w:val="003740AF"/>
    <w:rsid w:val="00375868"/>
    <w:rsid w:val="00375DE3"/>
    <w:rsid w:val="003760B6"/>
    <w:rsid w:val="00383392"/>
    <w:rsid w:val="00384B0C"/>
    <w:rsid w:val="00387E42"/>
    <w:rsid w:val="00392ABB"/>
    <w:rsid w:val="003A3765"/>
    <w:rsid w:val="003A3DA3"/>
    <w:rsid w:val="003A78D8"/>
    <w:rsid w:val="003B1289"/>
    <w:rsid w:val="003B2878"/>
    <w:rsid w:val="003B5443"/>
    <w:rsid w:val="003C1528"/>
    <w:rsid w:val="003D111D"/>
    <w:rsid w:val="003D1A6E"/>
    <w:rsid w:val="003D71E6"/>
    <w:rsid w:val="003E1F07"/>
    <w:rsid w:val="003E4DB7"/>
    <w:rsid w:val="003F015A"/>
    <w:rsid w:val="003F6913"/>
    <w:rsid w:val="00401224"/>
    <w:rsid w:val="004040AD"/>
    <w:rsid w:val="0040466B"/>
    <w:rsid w:val="004111ED"/>
    <w:rsid w:val="004158C3"/>
    <w:rsid w:val="00415C65"/>
    <w:rsid w:val="00420610"/>
    <w:rsid w:val="00423A9A"/>
    <w:rsid w:val="004305C4"/>
    <w:rsid w:val="00435A42"/>
    <w:rsid w:val="00445FC5"/>
    <w:rsid w:val="00446F73"/>
    <w:rsid w:val="00447FD8"/>
    <w:rsid w:val="004577CF"/>
    <w:rsid w:val="00464FCC"/>
    <w:rsid w:val="0046505A"/>
    <w:rsid w:val="004659A5"/>
    <w:rsid w:val="00466EEA"/>
    <w:rsid w:val="00472719"/>
    <w:rsid w:val="00474C13"/>
    <w:rsid w:val="0047638B"/>
    <w:rsid w:val="0047686A"/>
    <w:rsid w:val="0048109E"/>
    <w:rsid w:val="00481545"/>
    <w:rsid w:val="004824C4"/>
    <w:rsid w:val="0048383D"/>
    <w:rsid w:val="004866CC"/>
    <w:rsid w:val="00486D35"/>
    <w:rsid w:val="00490EBC"/>
    <w:rsid w:val="00491FB6"/>
    <w:rsid w:val="00493251"/>
    <w:rsid w:val="0049355E"/>
    <w:rsid w:val="004A0DF3"/>
    <w:rsid w:val="004A386B"/>
    <w:rsid w:val="004A6E4F"/>
    <w:rsid w:val="004B0E5E"/>
    <w:rsid w:val="004B1AE8"/>
    <w:rsid w:val="004C1FF7"/>
    <w:rsid w:val="004C45CE"/>
    <w:rsid w:val="004D0F31"/>
    <w:rsid w:val="004D2414"/>
    <w:rsid w:val="004D2423"/>
    <w:rsid w:val="004D71B3"/>
    <w:rsid w:val="004D75DF"/>
    <w:rsid w:val="004E2CB9"/>
    <w:rsid w:val="004E2EA4"/>
    <w:rsid w:val="004F4583"/>
    <w:rsid w:val="004F49C2"/>
    <w:rsid w:val="005054A8"/>
    <w:rsid w:val="00506E5A"/>
    <w:rsid w:val="005141C3"/>
    <w:rsid w:val="00520FC4"/>
    <w:rsid w:val="005222B1"/>
    <w:rsid w:val="005328BF"/>
    <w:rsid w:val="0053680E"/>
    <w:rsid w:val="00542A02"/>
    <w:rsid w:val="00546484"/>
    <w:rsid w:val="00554B50"/>
    <w:rsid w:val="00554B71"/>
    <w:rsid w:val="0056144B"/>
    <w:rsid w:val="00565E39"/>
    <w:rsid w:val="005708C5"/>
    <w:rsid w:val="005779B1"/>
    <w:rsid w:val="0058031D"/>
    <w:rsid w:val="005803A2"/>
    <w:rsid w:val="00581C6C"/>
    <w:rsid w:val="00582068"/>
    <w:rsid w:val="00591AF5"/>
    <w:rsid w:val="00592910"/>
    <w:rsid w:val="00595439"/>
    <w:rsid w:val="005A318F"/>
    <w:rsid w:val="005A4B22"/>
    <w:rsid w:val="005A588C"/>
    <w:rsid w:val="005A58C2"/>
    <w:rsid w:val="005A6499"/>
    <w:rsid w:val="005B16C3"/>
    <w:rsid w:val="005C1132"/>
    <w:rsid w:val="005C137C"/>
    <w:rsid w:val="005C160B"/>
    <w:rsid w:val="005C2858"/>
    <w:rsid w:val="005C3E3E"/>
    <w:rsid w:val="005C6D58"/>
    <w:rsid w:val="005D2D1C"/>
    <w:rsid w:val="005D408F"/>
    <w:rsid w:val="005D67F2"/>
    <w:rsid w:val="005E23C9"/>
    <w:rsid w:val="005F2969"/>
    <w:rsid w:val="005F357F"/>
    <w:rsid w:val="005F717A"/>
    <w:rsid w:val="005F7AF9"/>
    <w:rsid w:val="00601570"/>
    <w:rsid w:val="00603B11"/>
    <w:rsid w:val="00604398"/>
    <w:rsid w:val="00604C52"/>
    <w:rsid w:val="006053F3"/>
    <w:rsid w:val="00605BDA"/>
    <w:rsid w:val="00606E7B"/>
    <w:rsid w:val="00607349"/>
    <w:rsid w:val="0060776D"/>
    <w:rsid w:val="00611295"/>
    <w:rsid w:val="00612E8C"/>
    <w:rsid w:val="00613347"/>
    <w:rsid w:val="006171AF"/>
    <w:rsid w:val="00620C62"/>
    <w:rsid w:val="0062426F"/>
    <w:rsid w:val="006254A5"/>
    <w:rsid w:val="00625A64"/>
    <w:rsid w:val="00627956"/>
    <w:rsid w:val="006318B6"/>
    <w:rsid w:val="00641E43"/>
    <w:rsid w:val="00643B18"/>
    <w:rsid w:val="00644600"/>
    <w:rsid w:val="00645585"/>
    <w:rsid w:val="006459A2"/>
    <w:rsid w:val="00646E3D"/>
    <w:rsid w:val="0065663B"/>
    <w:rsid w:val="00661892"/>
    <w:rsid w:val="0066334E"/>
    <w:rsid w:val="00663E3D"/>
    <w:rsid w:val="00670F53"/>
    <w:rsid w:val="006735AE"/>
    <w:rsid w:val="00674B0A"/>
    <w:rsid w:val="00675921"/>
    <w:rsid w:val="00681597"/>
    <w:rsid w:val="00687842"/>
    <w:rsid w:val="00690AA3"/>
    <w:rsid w:val="006944E7"/>
    <w:rsid w:val="006A05E1"/>
    <w:rsid w:val="006A58F8"/>
    <w:rsid w:val="006A5B66"/>
    <w:rsid w:val="006A74FD"/>
    <w:rsid w:val="006B5947"/>
    <w:rsid w:val="006C4900"/>
    <w:rsid w:val="006C6A22"/>
    <w:rsid w:val="006D34F8"/>
    <w:rsid w:val="006D65D7"/>
    <w:rsid w:val="006E362A"/>
    <w:rsid w:val="006E3C5A"/>
    <w:rsid w:val="006E4E35"/>
    <w:rsid w:val="006E583D"/>
    <w:rsid w:val="006F3882"/>
    <w:rsid w:val="006F785C"/>
    <w:rsid w:val="006F79A0"/>
    <w:rsid w:val="00710040"/>
    <w:rsid w:val="00712407"/>
    <w:rsid w:val="00724050"/>
    <w:rsid w:val="007260DF"/>
    <w:rsid w:val="0073004D"/>
    <w:rsid w:val="00732807"/>
    <w:rsid w:val="00732C7E"/>
    <w:rsid w:val="007365B6"/>
    <w:rsid w:val="007408C3"/>
    <w:rsid w:val="007428B8"/>
    <w:rsid w:val="00742D9A"/>
    <w:rsid w:val="00745E6F"/>
    <w:rsid w:val="00746EC1"/>
    <w:rsid w:val="007505FB"/>
    <w:rsid w:val="00750BFA"/>
    <w:rsid w:val="00751DBD"/>
    <w:rsid w:val="007563E4"/>
    <w:rsid w:val="0075762C"/>
    <w:rsid w:val="0076019B"/>
    <w:rsid w:val="007634A7"/>
    <w:rsid w:val="00765095"/>
    <w:rsid w:val="00767747"/>
    <w:rsid w:val="007736D2"/>
    <w:rsid w:val="007745BC"/>
    <w:rsid w:val="00781B60"/>
    <w:rsid w:val="00781BB3"/>
    <w:rsid w:val="00786201"/>
    <w:rsid w:val="0078723F"/>
    <w:rsid w:val="00787262"/>
    <w:rsid w:val="00787E3B"/>
    <w:rsid w:val="007921D7"/>
    <w:rsid w:val="007A22A2"/>
    <w:rsid w:val="007B0CB2"/>
    <w:rsid w:val="007B279D"/>
    <w:rsid w:val="007B55F9"/>
    <w:rsid w:val="007B5F7B"/>
    <w:rsid w:val="007B74CB"/>
    <w:rsid w:val="007B7D13"/>
    <w:rsid w:val="007C0E22"/>
    <w:rsid w:val="007C4850"/>
    <w:rsid w:val="007E11A7"/>
    <w:rsid w:val="007E1E08"/>
    <w:rsid w:val="007E39FD"/>
    <w:rsid w:val="007E4105"/>
    <w:rsid w:val="007E613A"/>
    <w:rsid w:val="007F3BA3"/>
    <w:rsid w:val="00801E1E"/>
    <w:rsid w:val="0080292F"/>
    <w:rsid w:val="00802D1C"/>
    <w:rsid w:val="0080436D"/>
    <w:rsid w:val="00805FEC"/>
    <w:rsid w:val="00807907"/>
    <w:rsid w:val="00807A80"/>
    <w:rsid w:val="008235C7"/>
    <w:rsid w:val="008235D8"/>
    <w:rsid w:val="0084411E"/>
    <w:rsid w:val="00850AB1"/>
    <w:rsid w:val="0085360D"/>
    <w:rsid w:val="00853F53"/>
    <w:rsid w:val="00854A58"/>
    <w:rsid w:val="008556EF"/>
    <w:rsid w:val="00860911"/>
    <w:rsid w:val="00862E46"/>
    <w:rsid w:val="00874B82"/>
    <w:rsid w:val="00874F37"/>
    <w:rsid w:val="00890293"/>
    <w:rsid w:val="00893A9D"/>
    <w:rsid w:val="00896D18"/>
    <w:rsid w:val="008972DC"/>
    <w:rsid w:val="00897614"/>
    <w:rsid w:val="008A12A0"/>
    <w:rsid w:val="008A12DC"/>
    <w:rsid w:val="008A1CC8"/>
    <w:rsid w:val="008A27C8"/>
    <w:rsid w:val="008A446B"/>
    <w:rsid w:val="008C03DE"/>
    <w:rsid w:val="008C56BD"/>
    <w:rsid w:val="008D195A"/>
    <w:rsid w:val="008E1E63"/>
    <w:rsid w:val="008E3774"/>
    <w:rsid w:val="008E3780"/>
    <w:rsid w:val="008E4A92"/>
    <w:rsid w:val="008F2D8C"/>
    <w:rsid w:val="008F43DD"/>
    <w:rsid w:val="008F4654"/>
    <w:rsid w:val="008F4BF5"/>
    <w:rsid w:val="008F4C2F"/>
    <w:rsid w:val="009045EE"/>
    <w:rsid w:val="0090778E"/>
    <w:rsid w:val="0090797F"/>
    <w:rsid w:val="009128B2"/>
    <w:rsid w:val="00912A03"/>
    <w:rsid w:val="00914825"/>
    <w:rsid w:val="00917D1D"/>
    <w:rsid w:val="0092117F"/>
    <w:rsid w:val="009214FA"/>
    <w:rsid w:val="009222C1"/>
    <w:rsid w:val="0092458F"/>
    <w:rsid w:val="00930540"/>
    <w:rsid w:val="00935A22"/>
    <w:rsid w:val="0095292F"/>
    <w:rsid w:val="009563CB"/>
    <w:rsid w:val="00956438"/>
    <w:rsid w:val="009602FC"/>
    <w:rsid w:val="009614B8"/>
    <w:rsid w:val="009634F8"/>
    <w:rsid w:val="00964AF6"/>
    <w:rsid w:val="00971756"/>
    <w:rsid w:val="009739D6"/>
    <w:rsid w:val="009756DF"/>
    <w:rsid w:val="009869E0"/>
    <w:rsid w:val="009905E0"/>
    <w:rsid w:val="00990669"/>
    <w:rsid w:val="00993705"/>
    <w:rsid w:val="00994722"/>
    <w:rsid w:val="00994CD4"/>
    <w:rsid w:val="009A2419"/>
    <w:rsid w:val="009A306F"/>
    <w:rsid w:val="009A631A"/>
    <w:rsid w:val="009A64A5"/>
    <w:rsid w:val="009A7EB9"/>
    <w:rsid w:val="009B45D1"/>
    <w:rsid w:val="009B4B0C"/>
    <w:rsid w:val="009B50A4"/>
    <w:rsid w:val="009C3534"/>
    <w:rsid w:val="009C5F6D"/>
    <w:rsid w:val="009C634A"/>
    <w:rsid w:val="009D03FF"/>
    <w:rsid w:val="009D23AB"/>
    <w:rsid w:val="009E0244"/>
    <w:rsid w:val="009E169B"/>
    <w:rsid w:val="009E2047"/>
    <w:rsid w:val="009F7BA8"/>
    <w:rsid w:val="00A007B1"/>
    <w:rsid w:val="00A03384"/>
    <w:rsid w:val="00A03EC8"/>
    <w:rsid w:val="00A13C20"/>
    <w:rsid w:val="00A1628F"/>
    <w:rsid w:val="00A16C40"/>
    <w:rsid w:val="00A1705B"/>
    <w:rsid w:val="00A1733D"/>
    <w:rsid w:val="00A17838"/>
    <w:rsid w:val="00A22AA7"/>
    <w:rsid w:val="00A276ED"/>
    <w:rsid w:val="00A333DA"/>
    <w:rsid w:val="00A369C8"/>
    <w:rsid w:val="00A4038E"/>
    <w:rsid w:val="00A42105"/>
    <w:rsid w:val="00A4455B"/>
    <w:rsid w:val="00A45EC6"/>
    <w:rsid w:val="00A5080C"/>
    <w:rsid w:val="00A52A10"/>
    <w:rsid w:val="00A53C5D"/>
    <w:rsid w:val="00A577AC"/>
    <w:rsid w:val="00A61E43"/>
    <w:rsid w:val="00A63170"/>
    <w:rsid w:val="00A71032"/>
    <w:rsid w:val="00A71555"/>
    <w:rsid w:val="00A7223A"/>
    <w:rsid w:val="00A72F0D"/>
    <w:rsid w:val="00A73412"/>
    <w:rsid w:val="00A73810"/>
    <w:rsid w:val="00A75118"/>
    <w:rsid w:val="00A76660"/>
    <w:rsid w:val="00A81A9C"/>
    <w:rsid w:val="00A81EB4"/>
    <w:rsid w:val="00A85F19"/>
    <w:rsid w:val="00A86738"/>
    <w:rsid w:val="00A8780E"/>
    <w:rsid w:val="00A91D01"/>
    <w:rsid w:val="00A95BD3"/>
    <w:rsid w:val="00AA5425"/>
    <w:rsid w:val="00AB089B"/>
    <w:rsid w:val="00AB3D20"/>
    <w:rsid w:val="00AB52C7"/>
    <w:rsid w:val="00AC5F59"/>
    <w:rsid w:val="00AC663B"/>
    <w:rsid w:val="00AC6A60"/>
    <w:rsid w:val="00AC6DE5"/>
    <w:rsid w:val="00AD4748"/>
    <w:rsid w:val="00AD60AD"/>
    <w:rsid w:val="00AD7511"/>
    <w:rsid w:val="00AE500B"/>
    <w:rsid w:val="00AE5E27"/>
    <w:rsid w:val="00AE6DD6"/>
    <w:rsid w:val="00AF229A"/>
    <w:rsid w:val="00B029CE"/>
    <w:rsid w:val="00B03719"/>
    <w:rsid w:val="00B03E7A"/>
    <w:rsid w:val="00B05075"/>
    <w:rsid w:val="00B06333"/>
    <w:rsid w:val="00B06794"/>
    <w:rsid w:val="00B06A2F"/>
    <w:rsid w:val="00B06D58"/>
    <w:rsid w:val="00B071A0"/>
    <w:rsid w:val="00B110AA"/>
    <w:rsid w:val="00B12546"/>
    <w:rsid w:val="00B14B19"/>
    <w:rsid w:val="00B14D11"/>
    <w:rsid w:val="00B14F34"/>
    <w:rsid w:val="00B160DC"/>
    <w:rsid w:val="00B253C6"/>
    <w:rsid w:val="00B26A2D"/>
    <w:rsid w:val="00B330B4"/>
    <w:rsid w:val="00B34D46"/>
    <w:rsid w:val="00B35C61"/>
    <w:rsid w:val="00B374A7"/>
    <w:rsid w:val="00B408CD"/>
    <w:rsid w:val="00B41500"/>
    <w:rsid w:val="00B46C68"/>
    <w:rsid w:val="00B47425"/>
    <w:rsid w:val="00B5081E"/>
    <w:rsid w:val="00B56B63"/>
    <w:rsid w:val="00B57536"/>
    <w:rsid w:val="00B60BB0"/>
    <w:rsid w:val="00B65620"/>
    <w:rsid w:val="00B740E0"/>
    <w:rsid w:val="00B810C9"/>
    <w:rsid w:val="00B81621"/>
    <w:rsid w:val="00B82584"/>
    <w:rsid w:val="00B8548B"/>
    <w:rsid w:val="00B93F9E"/>
    <w:rsid w:val="00B950A9"/>
    <w:rsid w:val="00B960ED"/>
    <w:rsid w:val="00BA169F"/>
    <w:rsid w:val="00BA2D18"/>
    <w:rsid w:val="00BA433C"/>
    <w:rsid w:val="00BA556D"/>
    <w:rsid w:val="00BA5AD0"/>
    <w:rsid w:val="00BB58A5"/>
    <w:rsid w:val="00BC1C88"/>
    <w:rsid w:val="00BD0CBF"/>
    <w:rsid w:val="00BD52B7"/>
    <w:rsid w:val="00BE07A0"/>
    <w:rsid w:val="00BE1FC5"/>
    <w:rsid w:val="00BF0270"/>
    <w:rsid w:val="00BF103C"/>
    <w:rsid w:val="00BF2C6F"/>
    <w:rsid w:val="00C02B48"/>
    <w:rsid w:val="00C10868"/>
    <w:rsid w:val="00C20FD7"/>
    <w:rsid w:val="00C23E85"/>
    <w:rsid w:val="00C31966"/>
    <w:rsid w:val="00C31DE2"/>
    <w:rsid w:val="00C323EE"/>
    <w:rsid w:val="00C35665"/>
    <w:rsid w:val="00C35C78"/>
    <w:rsid w:val="00C41C84"/>
    <w:rsid w:val="00C44237"/>
    <w:rsid w:val="00C46149"/>
    <w:rsid w:val="00C46EF9"/>
    <w:rsid w:val="00C4730D"/>
    <w:rsid w:val="00C60491"/>
    <w:rsid w:val="00C6347D"/>
    <w:rsid w:val="00C66125"/>
    <w:rsid w:val="00C71F77"/>
    <w:rsid w:val="00C74315"/>
    <w:rsid w:val="00C839BE"/>
    <w:rsid w:val="00C8598B"/>
    <w:rsid w:val="00C963C0"/>
    <w:rsid w:val="00C96801"/>
    <w:rsid w:val="00C97069"/>
    <w:rsid w:val="00C97089"/>
    <w:rsid w:val="00CA35FB"/>
    <w:rsid w:val="00CA3CC3"/>
    <w:rsid w:val="00CA764B"/>
    <w:rsid w:val="00CA7F4C"/>
    <w:rsid w:val="00CB1364"/>
    <w:rsid w:val="00CB25F3"/>
    <w:rsid w:val="00CB4275"/>
    <w:rsid w:val="00CB46CF"/>
    <w:rsid w:val="00CB4CE5"/>
    <w:rsid w:val="00CB7D40"/>
    <w:rsid w:val="00CE48EC"/>
    <w:rsid w:val="00CE4E5D"/>
    <w:rsid w:val="00CF07FD"/>
    <w:rsid w:val="00CF112A"/>
    <w:rsid w:val="00CF3908"/>
    <w:rsid w:val="00CF3D38"/>
    <w:rsid w:val="00CF608B"/>
    <w:rsid w:val="00CF6A7A"/>
    <w:rsid w:val="00D052F4"/>
    <w:rsid w:val="00D11309"/>
    <w:rsid w:val="00D116AF"/>
    <w:rsid w:val="00D121B8"/>
    <w:rsid w:val="00D13FBF"/>
    <w:rsid w:val="00D14930"/>
    <w:rsid w:val="00D17879"/>
    <w:rsid w:val="00D23538"/>
    <w:rsid w:val="00D2716B"/>
    <w:rsid w:val="00D2788C"/>
    <w:rsid w:val="00D331D3"/>
    <w:rsid w:val="00D34AD0"/>
    <w:rsid w:val="00D363BE"/>
    <w:rsid w:val="00D46C1D"/>
    <w:rsid w:val="00D51A9A"/>
    <w:rsid w:val="00D51B87"/>
    <w:rsid w:val="00D57CF2"/>
    <w:rsid w:val="00D57F15"/>
    <w:rsid w:val="00D6095A"/>
    <w:rsid w:val="00D61F9E"/>
    <w:rsid w:val="00D631EB"/>
    <w:rsid w:val="00D64452"/>
    <w:rsid w:val="00D64E75"/>
    <w:rsid w:val="00D64F82"/>
    <w:rsid w:val="00D720B6"/>
    <w:rsid w:val="00D73282"/>
    <w:rsid w:val="00D824D7"/>
    <w:rsid w:val="00D8531A"/>
    <w:rsid w:val="00D87258"/>
    <w:rsid w:val="00D8733D"/>
    <w:rsid w:val="00D8759C"/>
    <w:rsid w:val="00D945E6"/>
    <w:rsid w:val="00D95157"/>
    <w:rsid w:val="00D96F8D"/>
    <w:rsid w:val="00DA0478"/>
    <w:rsid w:val="00DA13A1"/>
    <w:rsid w:val="00DA49A6"/>
    <w:rsid w:val="00DA6716"/>
    <w:rsid w:val="00DB04B3"/>
    <w:rsid w:val="00DB052F"/>
    <w:rsid w:val="00DB3AE4"/>
    <w:rsid w:val="00DB3C4C"/>
    <w:rsid w:val="00DB797B"/>
    <w:rsid w:val="00DC19FA"/>
    <w:rsid w:val="00DC5AB2"/>
    <w:rsid w:val="00DC6B1B"/>
    <w:rsid w:val="00DC6DBF"/>
    <w:rsid w:val="00DD0DA5"/>
    <w:rsid w:val="00DD1752"/>
    <w:rsid w:val="00DD318B"/>
    <w:rsid w:val="00DD4A0C"/>
    <w:rsid w:val="00DD6131"/>
    <w:rsid w:val="00DD70C2"/>
    <w:rsid w:val="00DD7263"/>
    <w:rsid w:val="00DE3271"/>
    <w:rsid w:val="00DE448B"/>
    <w:rsid w:val="00DE73DC"/>
    <w:rsid w:val="00DF493D"/>
    <w:rsid w:val="00DF572B"/>
    <w:rsid w:val="00DF6D2B"/>
    <w:rsid w:val="00E011E3"/>
    <w:rsid w:val="00E06C03"/>
    <w:rsid w:val="00E12C2F"/>
    <w:rsid w:val="00E15D03"/>
    <w:rsid w:val="00E16C09"/>
    <w:rsid w:val="00E1703B"/>
    <w:rsid w:val="00E202E5"/>
    <w:rsid w:val="00E214FE"/>
    <w:rsid w:val="00E313D1"/>
    <w:rsid w:val="00E31A17"/>
    <w:rsid w:val="00E328C8"/>
    <w:rsid w:val="00E3345D"/>
    <w:rsid w:val="00E35608"/>
    <w:rsid w:val="00E37260"/>
    <w:rsid w:val="00E43330"/>
    <w:rsid w:val="00E43AE2"/>
    <w:rsid w:val="00E5348F"/>
    <w:rsid w:val="00E613B9"/>
    <w:rsid w:val="00E63E44"/>
    <w:rsid w:val="00E66FD5"/>
    <w:rsid w:val="00E7181A"/>
    <w:rsid w:val="00E71C20"/>
    <w:rsid w:val="00E76349"/>
    <w:rsid w:val="00E77D29"/>
    <w:rsid w:val="00E821C6"/>
    <w:rsid w:val="00E82C70"/>
    <w:rsid w:val="00E835EE"/>
    <w:rsid w:val="00E84515"/>
    <w:rsid w:val="00E87B58"/>
    <w:rsid w:val="00E923A1"/>
    <w:rsid w:val="00E93C96"/>
    <w:rsid w:val="00EA009A"/>
    <w:rsid w:val="00EA0308"/>
    <w:rsid w:val="00EA0FC7"/>
    <w:rsid w:val="00EB28D8"/>
    <w:rsid w:val="00EC4D57"/>
    <w:rsid w:val="00EC6D9D"/>
    <w:rsid w:val="00EC768A"/>
    <w:rsid w:val="00ED050F"/>
    <w:rsid w:val="00ED26D4"/>
    <w:rsid w:val="00ED2D4F"/>
    <w:rsid w:val="00ED48A6"/>
    <w:rsid w:val="00ED60A9"/>
    <w:rsid w:val="00EE0EEE"/>
    <w:rsid w:val="00EE13BB"/>
    <w:rsid w:val="00EE230E"/>
    <w:rsid w:val="00EE3E70"/>
    <w:rsid w:val="00EE42A6"/>
    <w:rsid w:val="00EF4606"/>
    <w:rsid w:val="00F02054"/>
    <w:rsid w:val="00F024BB"/>
    <w:rsid w:val="00F02942"/>
    <w:rsid w:val="00F041D3"/>
    <w:rsid w:val="00F05006"/>
    <w:rsid w:val="00F0512E"/>
    <w:rsid w:val="00F055C8"/>
    <w:rsid w:val="00F05A69"/>
    <w:rsid w:val="00F06D3F"/>
    <w:rsid w:val="00F10B30"/>
    <w:rsid w:val="00F264BF"/>
    <w:rsid w:val="00F302EE"/>
    <w:rsid w:val="00F32E93"/>
    <w:rsid w:val="00F343E2"/>
    <w:rsid w:val="00F350EF"/>
    <w:rsid w:val="00F400FB"/>
    <w:rsid w:val="00F47A8C"/>
    <w:rsid w:val="00F52AF8"/>
    <w:rsid w:val="00F53D6F"/>
    <w:rsid w:val="00F571B6"/>
    <w:rsid w:val="00F624CC"/>
    <w:rsid w:val="00F639A5"/>
    <w:rsid w:val="00F656C3"/>
    <w:rsid w:val="00F75578"/>
    <w:rsid w:val="00F768EC"/>
    <w:rsid w:val="00F77FA4"/>
    <w:rsid w:val="00F83433"/>
    <w:rsid w:val="00F83593"/>
    <w:rsid w:val="00F87757"/>
    <w:rsid w:val="00F945ED"/>
    <w:rsid w:val="00F9639E"/>
    <w:rsid w:val="00F96536"/>
    <w:rsid w:val="00FA0DB6"/>
    <w:rsid w:val="00FA1CF4"/>
    <w:rsid w:val="00FA1F8E"/>
    <w:rsid w:val="00FA264F"/>
    <w:rsid w:val="00FA4817"/>
    <w:rsid w:val="00FB22CC"/>
    <w:rsid w:val="00FB24CD"/>
    <w:rsid w:val="00FB2ED3"/>
    <w:rsid w:val="00FB2FB0"/>
    <w:rsid w:val="00FB797C"/>
    <w:rsid w:val="00FC1EB9"/>
    <w:rsid w:val="00FC6B47"/>
    <w:rsid w:val="00FC73C7"/>
    <w:rsid w:val="00FD0A4F"/>
    <w:rsid w:val="00FD2649"/>
    <w:rsid w:val="00FD654C"/>
    <w:rsid w:val="00FE0B61"/>
    <w:rsid w:val="00FE30F4"/>
    <w:rsid w:val="00FE3F86"/>
    <w:rsid w:val="00FE5995"/>
    <w:rsid w:val="00FE62E0"/>
    <w:rsid w:val="00FE64BE"/>
    <w:rsid w:val="00FE64C3"/>
    <w:rsid w:val="00FF0174"/>
    <w:rsid w:val="00FF1251"/>
    <w:rsid w:val="00FF165E"/>
    <w:rsid w:val="00FF4A12"/>
    <w:rsid w:val="00FF5154"/>
    <w:rsid w:val="00FF56ED"/>
    <w:rsid w:val="00FF6315"/>
    <w:rsid w:val="00FF709D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6" ma:contentTypeDescription="Create a new document." ma:contentTypeScope="" ma:versionID="0685a43473c6929c24eb093657a7c0b8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32e7e88a6c1d93f24a015486f6bd624f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EAE40-20A7-41EA-85E8-2893D57B1AEC}">
  <ds:schemaRefs>
    <ds:schemaRef ds:uri="http://schemas.microsoft.com/office/2006/metadata/properties"/>
    <ds:schemaRef ds:uri="http://schemas.openxmlformats.org/package/2006/metadata/core-properties"/>
    <ds:schemaRef ds:uri="5ad2cbeb-fc51-4b49-87dc-42300fe4d1dd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45ab7314-6ee2-4801-b2cf-a27306d55ce5"/>
    <ds:schemaRef ds:uri="73f7d1ba-ac27-4bcb-a5b6-37981e86af6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A3856F-57D4-4555-B407-CEF0B07BC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7E164-77BC-476A-A2AA-04BE8D1407D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323</cp:revision>
  <dcterms:created xsi:type="dcterms:W3CDTF">2023-05-11T23:37:00Z</dcterms:created>
  <dcterms:modified xsi:type="dcterms:W3CDTF">2024-02-01T03:29:00Z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