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1EA9" w14:textId="13F81E35" w:rsidR="00DD1752" w:rsidRPr="00B431FC" w:rsidRDefault="00DD1752" w:rsidP="00362914">
      <w:pPr>
        <w:contextualSpacing/>
        <w:jc w:val="both"/>
        <w:rPr>
          <w:b/>
          <w:bCs/>
          <w:sz w:val="28"/>
          <w:szCs w:val="28"/>
        </w:rPr>
      </w:pPr>
      <w:r w:rsidRPr="00B431FC">
        <w:rPr>
          <w:b/>
          <w:bCs/>
          <w:sz w:val="28"/>
          <w:szCs w:val="28"/>
        </w:rPr>
        <w:t>HEAVY VEHICLE NATIONAL LAW</w:t>
      </w:r>
    </w:p>
    <w:p w14:paraId="2E940B25" w14:textId="734206CD" w:rsidR="00DD1752" w:rsidRPr="001D73C9" w:rsidRDefault="00E23CD1" w:rsidP="00362914">
      <w:pPr>
        <w:contextualSpacing/>
        <w:jc w:val="both"/>
        <w:rPr>
          <w:b/>
          <w:bCs/>
          <w:sz w:val="28"/>
          <w:szCs w:val="28"/>
        </w:rPr>
      </w:pPr>
      <w:r w:rsidRPr="00E23CD1">
        <w:rPr>
          <w:b/>
          <w:bCs/>
          <w:sz w:val="28"/>
          <w:szCs w:val="28"/>
        </w:rPr>
        <w:t>Queensland Higher Mass Limits Declaration 20</w:t>
      </w:r>
      <w:r>
        <w:rPr>
          <w:b/>
          <w:bCs/>
          <w:sz w:val="28"/>
          <w:szCs w:val="28"/>
        </w:rPr>
        <w:t>2</w:t>
      </w:r>
      <w:r w:rsidR="00CB52DF">
        <w:rPr>
          <w:b/>
          <w:bCs/>
          <w:sz w:val="28"/>
          <w:szCs w:val="28"/>
        </w:rPr>
        <w:t>4</w:t>
      </w:r>
      <w:r w:rsidRPr="00E23CD1">
        <w:rPr>
          <w:b/>
          <w:bCs/>
          <w:sz w:val="28"/>
          <w:szCs w:val="28"/>
        </w:rPr>
        <w:t xml:space="preserve"> </w:t>
      </w:r>
      <w:r w:rsidR="00F624CC">
        <w:rPr>
          <w:b/>
          <w:bCs/>
          <w:sz w:val="28"/>
          <w:szCs w:val="28"/>
        </w:rPr>
        <w:t>(No.1)</w:t>
      </w:r>
    </w:p>
    <w:p w14:paraId="007C4471" w14:textId="77777777" w:rsidR="00DD1752" w:rsidRPr="00B431FC" w:rsidRDefault="00DD1752" w:rsidP="00362914">
      <w:pPr>
        <w:pStyle w:val="ListParagraph"/>
        <w:numPr>
          <w:ilvl w:val="0"/>
          <w:numId w:val="1"/>
        </w:numPr>
        <w:jc w:val="both"/>
        <w:rPr>
          <w:b/>
          <w:bCs/>
        </w:rPr>
      </w:pPr>
      <w:r w:rsidRPr="00B431FC">
        <w:rPr>
          <w:b/>
          <w:bCs/>
        </w:rPr>
        <w:t>Purpose</w:t>
      </w:r>
    </w:p>
    <w:p w14:paraId="3A5A46CB" w14:textId="77777777" w:rsidR="00DD1752" w:rsidRDefault="00DD1752" w:rsidP="00362914">
      <w:pPr>
        <w:pStyle w:val="ListParagraph"/>
        <w:ind w:left="1080"/>
        <w:jc w:val="both"/>
      </w:pPr>
    </w:p>
    <w:p w14:paraId="345AA5E0" w14:textId="693728CF" w:rsidR="00DD1752" w:rsidRDefault="00DD1752" w:rsidP="00E50AAC">
      <w:pPr>
        <w:pStyle w:val="ListParagraph"/>
        <w:ind w:left="1080"/>
        <w:jc w:val="both"/>
      </w:pPr>
      <w:r>
        <w:t xml:space="preserve">This </w:t>
      </w:r>
      <w:r w:rsidR="003A49B1">
        <w:t>notice</w:t>
      </w:r>
      <w:r>
        <w:t xml:space="preserve"> </w:t>
      </w:r>
      <w:r w:rsidR="00D65C5E">
        <w:t xml:space="preserve">declares access on stated areas and routes for </w:t>
      </w:r>
      <w:r w:rsidR="00446083">
        <w:t xml:space="preserve">HML </w:t>
      </w:r>
      <w:r w:rsidR="00823EBE">
        <w:t>h</w:t>
      </w:r>
      <w:r w:rsidR="00446083">
        <w:t>eavy vehicles</w:t>
      </w:r>
      <w:r w:rsidR="00823EBE">
        <w:t>, except buses,</w:t>
      </w:r>
      <w:r w:rsidR="00632BDF">
        <w:t xml:space="preserve"> operating in Queensland.</w:t>
      </w:r>
    </w:p>
    <w:p w14:paraId="149A564C" w14:textId="77777777" w:rsidR="00DD1752" w:rsidRDefault="00DD1752" w:rsidP="00362914">
      <w:pPr>
        <w:pStyle w:val="ListParagraph"/>
        <w:ind w:left="1080"/>
        <w:jc w:val="both"/>
      </w:pPr>
    </w:p>
    <w:p w14:paraId="7FED65DE" w14:textId="77777777" w:rsidR="00DD1752" w:rsidRDefault="00DD1752" w:rsidP="00362914">
      <w:pPr>
        <w:pStyle w:val="ListParagraph"/>
        <w:numPr>
          <w:ilvl w:val="0"/>
          <w:numId w:val="1"/>
        </w:numPr>
        <w:jc w:val="both"/>
        <w:rPr>
          <w:b/>
          <w:bCs/>
        </w:rPr>
      </w:pPr>
      <w:r w:rsidRPr="00B431FC">
        <w:rPr>
          <w:b/>
          <w:bCs/>
        </w:rPr>
        <w:t xml:space="preserve">Authorising </w:t>
      </w:r>
      <w:r>
        <w:rPr>
          <w:b/>
          <w:bCs/>
        </w:rPr>
        <w:t>p</w:t>
      </w:r>
      <w:r w:rsidRPr="00B431FC">
        <w:rPr>
          <w:b/>
          <w:bCs/>
        </w:rPr>
        <w:t>rovision</w:t>
      </w:r>
    </w:p>
    <w:p w14:paraId="5169E1B2" w14:textId="77777777" w:rsidR="00DD1752" w:rsidRPr="00B93953" w:rsidRDefault="00DD1752" w:rsidP="00362914">
      <w:pPr>
        <w:pStyle w:val="ListParagraph"/>
        <w:jc w:val="both"/>
        <w:rPr>
          <w:b/>
          <w:bCs/>
        </w:rPr>
      </w:pPr>
    </w:p>
    <w:p w14:paraId="660440CE" w14:textId="00D57EEE" w:rsidR="00DD1752" w:rsidRDefault="00DD1752" w:rsidP="00362914">
      <w:pPr>
        <w:pStyle w:val="ListParagraph"/>
        <w:numPr>
          <w:ilvl w:val="0"/>
          <w:numId w:val="21"/>
        </w:numPr>
        <w:jc w:val="both"/>
      </w:pPr>
      <w:r>
        <w:t xml:space="preserve">This </w:t>
      </w:r>
      <w:r w:rsidR="003A49B1">
        <w:t>notice</w:t>
      </w:r>
      <w:r>
        <w:t xml:space="preserve"> is made under the following provision</w:t>
      </w:r>
      <w:r w:rsidR="00CF1B1E">
        <w:t>s:</w:t>
      </w:r>
    </w:p>
    <w:p w14:paraId="4C370231" w14:textId="77777777" w:rsidR="00DD1752" w:rsidRDefault="00DD1752" w:rsidP="00362914">
      <w:pPr>
        <w:pStyle w:val="ListParagraph"/>
        <w:ind w:left="1080"/>
        <w:jc w:val="both"/>
      </w:pPr>
    </w:p>
    <w:p w14:paraId="755BE618" w14:textId="6F30B088" w:rsidR="00DD1752" w:rsidRDefault="0016441F" w:rsidP="00362914">
      <w:pPr>
        <w:pStyle w:val="ListParagraph"/>
        <w:numPr>
          <w:ilvl w:val="0"/>
          <w:numId w:val="3"/>
        </w:numPr>
        <w:jc w:val="both"/>
        <w:rPr>
          <w:i/>
          <w:iCs/>
        </w:rPr>
      </w:pPr>
      <w:r>
        <w:t xml:space="preserve">Heavy Vehicle (Mass Dimension and Loading) National Regulation (MDL Regulation); </w:t>
      </w:r>
      <w:r w:rsidR="00377802">
        <w:t xml:space="preserve">section </w:t>
      </w:r>
      <w:r w:rsidR="00AB62F7">
        <w:t>12</w:t>
      </w:r>
      <w:r w:rsidR="00DD1752">
        <w:t xml:space="preserve"> – </w:t>
      </w:r>
      <w:r w:rsidR="007B2390" w:rsidRPr="007B2390">
        <w:rPr>
          <w:i/>
          <w:iCs/>
        </w:rPr>
        <w:t xml:space="preserve">Regulator’s power to declare areas and routes for higher mass </w:t>
      </w:r>
      <w:proofErr w:type="gramStart"/>
      <w:r w:rsidR="007B2390" w:rsidRPr="007B2390">
        <w:rPr>
          <w:i/>
          <w:iCs/>
        </w:rPr>
        <w:t>limits</w:t>
      </w:r>
      <w:proofErr w:type="gramEnd"/>
    </w:p>
    <w:p w14:paraId="61970DD1" w14:textId="77777777" w:rsidR="00DD1752" w:rsidRPr="00CB694B" w:rsidRDefault="00DD1752" w:rsidP="00362914">
      <w:pPr>
        <w:pStyle w:val="ListParagraph"/>
        <w:ind w:left="1440"/>
        <w:jc w:val="both"/>
        <w:rPr>
          <w:i/>
          <w:iCs/>
        </w:rPr>
      </w:pPr>
    </w:p>
    <w:p w14:paraId="7AFA08BA" w14:textId="77777777" w:rsidR="00DD1752" w:rsidRPr="00811BF4" w:rsidRDefault="00DD1752" w:rsidP="00362914">
      <w:pPr>
        <w:pStyle w:val="ListParagraph"/>
        <w:numPr>
          <w:ilvl w:val="0"/>
          <w:numId w:val="1"/>
        </w:numPr>
        <w:jc w:val="both"/>
        <w:rPr>
          <w:b/>
          <w:bCs/>
        </w:rPr>
      </w:pPr>
      <w:r w:rsidRPr="00811BF4">
        <w:rPr>
          <w:b/>
          <w:bCs/>
        </w:rPr>
        <w:t>Title</w:t>
      </w:r>
    </w:p>
    <w:p w14:paraId="652DC6CC" w14:textId="77777777" w:rsidR="00DD1752" w:rsidRDefault="00DD1752" w:rsidP="00362914">
      <w:pPr>
        <w:pStyle w:val="ListParagraph"/>
        <w:ind w:left="1080"/>
        <w:jc w:val="both"/>
      </w:pPr>
    </w:p>
    <w:p w14:paraId="28306A6F" w14:textId="407D8283" w:rsidR="00DD1752" w:rsidRDefault="00DD1752" w:rsidP="00362914">
      <w:pPr>
        <w:pStyle w:val="ListParagraph"/>
        <w:ind w:left="1080"/>
        <w:jc w:val="both"/>
      </w:pPr>
      <w:r>
        <w:t xml:space="preserve">This </w:t>
      </w:r>
      <w:r w:rsidR="003A49B1">
        <w:t>notice</w:t>
      </w:r>
      <w:r>
        <w:t xml:space="preserve"> may be cited as the</w:t>
      </w:r>
      <w:r w:rsidR="00373E4D" w:rsidRPr="00373E4D">
        <w:t xml:space="preserve"> </w:t>
      </w:r>
      <w:r w:rsidR="00816A3D" w:rsidRPr="00816A3D">
        <w:rPr>
          <w:i/>
          <w:iCs/>
        </w:rPr>
        <w:t>Queensland Higher Mass Limits Declaration 202</w:t>
      </w:r>
      <w:r w:rsidR="005B04F8">
        <w:rPr>
          <w:i/>
          <w:iCs/>
        </w:rPr>
        <w:t>4</w:t>
      </w:r>
      <w:r w:rsidR="00816A3D" w:rsidRPr="00816A3D">
        <w:rPr>
          <w:i/>
          <w:iCs/>
        </w:rPr>
        <w:t xml:space="preserve"> (No.1)</w:t>
      </w:r>
      <w:r w:rsidRPr="00373E4D">
        <w:rPr>
          <w:i/>
          <w:iCs/>
        </w:rPr>
        <w:t>.</w:t>
      </w:r>
    </w:p>
    <w:p w14:paraId="646FF47F" w14:textId="77777777" w:rsidR="00DD1752" w:rsidRDefault="00DD1752" w:rsidP="00362914">
      <w:pPr>
        <w:pStyle w:val="ListParagraph"/>
        <w:ind w:left="1440"/>
        <w:jc w:val="both"/>
      </w:pPr>
    </w:p>
    <w:p w14:paraId="3603939D" w14:textId="77777777" w:rsidR="00DD1752" w:rsidRDefault="00DD1752" w:rsidP="00362914">
      <w:pPr>
        <w:pStyle w:val="ListParagraph"/>
        <w:numPr>
          <w:ilvl w:val="0"/>
          <w:numId w:val="1"/>
        </w:numPr>
        <w:jc w:val="both"/>
        <w:rPr>
          <w:b/>
          <w:bCs/>
        </w:rPr>
      </w:pPr>
      <w:r w:rsidRPr="00B93953">
        <w:rPr>
          <w:b/>
          <w:bCs/>
        </w:rPr>
        <w:t>Commencement date</w:t>
      </w:r>
    </w:p>
    <w:p w14:paraId="4242C1F4" w14:textId="77777777" w:rsidR="00DD1752" w:rsidRPr="00811BF4" w:rsidRDefault="00DD1752" w:rsidP="00362914">
      <w:pPr>
        <w:pStyle w:val="ListParagraph"/>
        <w:jc w:val="both"/>
        <w:rPr>
          <w:b/>
          <w:bCs/>
        </w:rPr>
      </w:pPr>
    </w:p>
    <w:p w14:paraId="16179844" w14:textId="50C2131D" w:rsidR="00DD1752" w:rsidRDefault="00DD1752" w:rsidP="00362914">
      <w:pPr>
        <w:pStyle w:val="ListParagraph"/>
        <w:ind w:left="1080"/>
        <w:jc w:val="both"/>
      </w:pPr>
      <w:r>
        <w:t xml:space="preserve">This </w:t>
      </w:r>
      <w:r w:rsidR="003A49B1">
        <w:t>notice</w:t>
      </w:r>
      <w:r>
        <w:t xml:space="preserve"> commences on </w:t>
      </w:r>
      <w:r w:rsidR="00D241BE">
        <w:t>10 February 2024</w:t>
      </w:r>
      <w:r w:rsidR="00B14F34">
        <w:t>.</w:t>
      </w:r>
    </w:p>
    <w:p w14:paraId="22392E63" w14:textId="77777777" w:rsidR="00DD1752" w:rsidRDefault="00DD1752" w:rsidP="00362914">
      <w:pPr>
        <w:pStyle w:val="ListParagraph"/>
        <w:ind w:left="1080"/>
        <w:jc w:val="both"/>
      </w:pPr>
    </w:p>
    <w:p w14:paraId="06B562F6" w14:textId="77777777" w:rsidR="00DD1752" w:rsidRDefault="00DD1752" w:rsidP="00362914">
      <w:pPr>
        <w:pStyle w:val="ListParagraph"/>
        <w:numPr>
          <w:ilvl w:val="0"/>
          <w:numId w:val="1"/>
        </w:numPr>
        <w:jc w:val="both"/>
        <w:rPr>
          <w:b/>
          <w:bCs/>
        </w:rPr>
      </w:pPr>
      <w:r w:rsidRPr="00B93953">
        <w:rPr>
          <w:b/>
          <w:bCs/>
        </w:rPr>
        <w:t>Expiry date</w:t>
      </w:r>
    </w:p>
    <w:p w14:paraId="77A2266B" w14:textId="77777777" w:rsidR="00DD1752" w:rsidRPr="00B93953" w:rsidRDefault="00DD1752" w:rsidP="00362914">
      <w:pPr>
        <w:pStyle w:val="ListParagraph"/>
        <w:jc w:val="both"/>
        <w:rPr>
          <w:b/>
          <w:bCs/>
        </w:rPr>
      </w:pPr>
    </w:p>
    <w:p w14:paraId="2DA8D8F2" w14:textId="4A55C0F2" w:rsidR="00581C6C" w:rsidRDefault="00DD1752" w:rsidP="00362914">
      <w:pPr>
        <w:pStyle w:val="ListParagraph"/>
        <w:ind w:left="1080"/>
        <w:jc w:val="both"/>
      </w:pPr>
      <w:r>
        <w:t xml:space="preserve">This </w:t>
      </w:r>
      <w:r w:rsidR="003A49B1">
        <w:t>notice</w:t>
      </w:r>
      <w:r>
        <w:t xml:space="preserve"> expires on </w:t>
      </w:r>
      <w:r w:rsidR="00D241BE">
        <w:t>9 February 2029</w:t>
      </w:r>
      <w:r w:rsidR="00B14F34">
        <w:t>.</w:t>
      </w:r>
    </w:p>
    <w:p w14:paraId="50AFC0E9" w14:textId="77777777" w:rsidR="00BF3E2A" w:rsidRPr="00BF3E2A" w:rsidRDefault="00BF3E2A" w:rsidP="00362914">
      <w:pPr>
        <w:pStyle w:val="ListParagraph"/>
        <w:ind w:left="1080"/>
        <w:jc w:val="both"/>
      </w:pPr>
    </w:p>
    <w:p w14:paraId="0B4535BB" w14:textId="1C48BDDF" w:rsidR="00DD1752" w:rsidRPr="00811BF4" w:rsidRDefault="00DD1752" w:rsidP="00362914">
      <w:pPr>
        <w:pStyle w:val="ListParagraph"/>
        <w:numPr>
          <w:ilvl w:val="0"/>
          <w:numId w:val="1"/>
        </w:numPr>
        <w:jc w:val="both"/>
        <w:rPr>
          <w:b/>
          <w:bCs/>
        </w:rPr>
      </w:pPr>
      <w:r w:rsidRPr="00811BF4">
        <w:rPr>
          <w:b/>
          <w:bCs/>
        </w:rPr>
        <w:t>Definitions</w:t>
      </w:r>
    </w:p>
    <w:p w14:paraId="792AF829" w14:textId="77777777" w:rsidR="00DD1752" w:rsidRDefault="00DD1752" w:rsidP="00362914">
      <w:pPr>
        <w:pStyle w:val="ListParagraph"/>
        <w:ind w:left="1080"/>
        <w:jc w:val="both"/>
      </w:pPr>
    </w:p>
    <w:p w14:paraId="28894599" w14:textId="3312D6AC" w:rsidR="00DD1752" w:rsidRDefault="00DD1752" w:rsidP="00362914">
      <w:pPr>
        <w:pStyle w:val="ListParagraph"/>
        <w:numPr>
          <w:ilvl w:val="0"/>
          <w:numId w:val="4"/>
        </w:numPr>
        <w:jc w:val="both"/>
      </w:pPr>
      <w:r>
        <w:t xml:space="preserve">Unless otherwise stated, words and expressions used in this </w:t>
      </w:r>
      <w:r w:rsidR="003A49B1">
        <w:t>notice</w:t>
      </w:r>
      <w:r>
        <w:t xml:space="preserve"> have the same meanings as those in the HVNL and its regulations.</w:t>
      </w:r>
    </w:p>
    <w:p w14:paraId="0B5A24F7" w14:textId="77777777" w:rsidR="00581C6C" w:rsidRDefault="00581C6C" w:rsidP="00362914">
      <w:pPr>
        <w:pStyle w:val="ListParagraph"/>
        <w:ind w:left="1080"/>
        <w:jc w:val="both"/>
      </w:pPr>
    </w:p>
    <w:p w14:paraId="75998CD0" w14:textId="5C876BE8" w:rsidR="00581C6C" w:rsidRDefault="00581C6C" w:rsidP="00362914">
      <w:pPr>
        <w:pStyle w:val="ListParagraph"/>
        <w:numPr>
          <w:ilvl w:val="0"/>
          <w:numId w:val="4"/>
        </w:numPr>
        <w:jc w:val="both"/>
      </w:pPr>
      <w:r>
        <w:t xml:space="preserve">In this </w:t>
      </w:r>
      <w:r w:rsidR="003A49B1">
        <w:t>notice</w:t>
      </w:r>
      <w:r>
        <w:t xml:space="preserve">, definitions from specified in the following </w:t>
      </w:r>
      <w:r w:rsidR="003A49B1">
        <w:t>notice</w:t>
      </w:r>
      <w:r>
        <w:t>s apply:</w:t>
      </w:r>
    </w:p>
    <w:p w14:paraId="1EBBEF6A" w14:textId="77777777" w:rsidR="00581C6C" w:rsidRDefault="00581C6C" w:rsidP="00362914">
      <w:pPr>
        <w:pStyle w:val="ListParagraph"/>
        <w:ind w:left="1080"/>
        <w:jc w:val="both"/>
      </w:pPr>
    </w:p>
    <w:p w14:paraId="2ADC860F" w14:textId="0D0933AD" w:rsidR="00581C6C" w:rsidRDefault="00581C6C" w:rsidP="00362914">
      <w:pPr>
        <w:pStyle w:val="ListParagraph"/>
        <w:numPr>
          <w:ilvl w:val="0"/>
          <w:numId w:val="22"/>
        </w:numPr>
        <w:jc w:val="both"/>
      </w:pPr>
      <w:r w:rsidRPr="00D61A57">
        <w:rPr>
          <w:i/>
          <w:iCs/>
        </w:rPr>
        <w:t xml:space="preserve">National </w:t>
      </w:r>
      <w:r w:rsidR="0080292F">
        <w:rPr>
          <w:i/>
          <w:iCs/>
        </w:rPr>
        <w:t>C</w:t>
      </w:r>
      <w:r w:rsidRPr="00D61A57">
        <w:rPr>
          <w:i/>
          <w:iCs/>
        </w:rPr>
        <w:t xml:space="preserve">lass 2 B-Double Authorisation </w:t>
      </w:r>
      <w:r w:rsidR="00467DFA">
        <w:rPr>
          <w:i/>
          <w:iCs/>
        </w:rPr>
        <w:t>N</w:t>
      </w:r>
      <w:r w:rsidR="003A49B1">
        <w:rPr>
          <w:i/>
          <w:iCs/>
        </w:rPr>
        <w:t>otice</w:t>
      </w:r>
      <w:r w:rsidRPr="00D61A57">
        <w:rPr>
          <w:i/>
          <w:iCs/>
        </w:rPr>
        <w:t>,</w:t>
      </w:r>
      <w:r>
        <w:t xml:space="preserve"> as amended from time to time; and</w:t>
      </w:r>
    </w:p>
    <w:p w14:paraId="2F64F133" w14:textId="474012A5" w:rsidR="00581C6C" w:rsidRDefault="00581C6C" w:rsidP="00362914">
      <w:pPr>
        <w:pStyle w:val="ListParagraph"/>
        <w:numPr>
          <w:ilvl w:val="0"/>
          <w:numId w:val="22"/>
        </w:numPr>
        <w:jc w:val="both"/>
      </w:pPr>
      <w:r w:rsidRPr="00D61A57">
        <w:rPr>
          <w:i/>
          <w:iCs/>
        </w:rPr>
        <w:t xml:space="preserve">National Class 2 Road Train Authorisation </w:t>
      </w:r>
      <w:r w:rsidR="00467DFA">
        <w:rPr>
          <w:i/>
          <w:iCs/>
        </w:rPr>
        <w:t>N</w:t>
      </w:r>
      <w:r w:rsidR="003A49B1">
        <w:rPr>
          <w:i/>
          <w:iCs/>
        </w:rPr>
        <w:t>otice</w:t>
      </w:r>
      <w:r w:rsidRPr="00D61A57">
        <w:rPr>
          <w:i/>
          <w:iCs/>
        </w:rPr>
        <w:t>,</w:t>
      </w:r>
      <w:r>
        <w:t xml:space="preserve"> as amended from time to time.</w:t>
      </w:r>
    </w:p>
    <w:p w14:paraId="0FC75E3F" w14:textId="77777777" w:rsidR="009614B8" w:rsidRDefault="009614B8" w:rsidP="00362914">
      <w:pPr>
        <w:pStyle w:val="ListParagraph"/>
        <w:ind w:left="1080"/>
        <w:jc w:val="both"/>
      </w:pPr>
    </w:p>
    <w:p w14:paraId="353FC192" w14:textId="5B40CD05" w:rsidR="00DD1752" w:rsidRDefault="00DD1752" w:rsidP="00362914">
      <w:pPr>
        <w:pStyle w:val="ListParagraph"/>
        <w:numPr>
          <w:ilvl w:val="0"/>
          <w:numId w:val="4"/>
        </w:numPr>
        <w:jc w:val="both"/>
      </w:pPr>
      <w:r>
        <w:t xml:space="preserve">In this </w:t>
      </w:r>
      <w:r w:rsidR="003A49B1">
        <w:t>notice</w:t>
      </w:r>
      <w:r>
        <w:t>:</w:t>
      </w:r>
    </w:p>
    <w:p w14:paraId="0128EEFF" w14:textId="77777777" w:rsidR="0026188C" w:rsidRDefault="0026188C" w:rsidP="00362914">
      <w:pPr>
        <w:pStyle w:val="ListParagraph"/>
        <w:ind w:left="1080"/>
        <w:jc w:val="both"/>
        <w:rPr>
          <w:b/>
          <w:bCs/>
          <w:i/>
          <w:iCs/>
        </w:rPr>
      </w:pPr>
    </w:p>
    <w:p w14:paraId="34EE14F1" w14:textId="2263B65A" w:rsidR="0026188C" w:rsidRDefault="0026188C" w:rsidP="00362914">
      <w:pPr>
        <w:pStyle w:val="ListParagraph"/>
        <w:ind w:left="1440"/>
        <w:jc w:val="both"/>
      </w:pPr>
      <w:r w:rsidRPr="0026188C">
        <w:rPr>
          <w:b/>
          <w:bCs/>
          <w:i/>
          <w:iCs/>
        </w:rPr>
        <w:t xml:space="preserve">Guide </w:t>
      </w:r>
      <w:r w:rsidRPr="00110123">
        <w:t xml:space="preserve">means the </w:t>
      </w:r>
      <w:r w:rsidR="00632BDF" w:rsidRPr="00816A3D">
        <w:rPr>
          <w:i/>
          <w:iCs/>
        </w:rPr>
        <w:t>Queensland Higher Mass Limits Declaration</w:t>
      </w:r>
      <w:r w:rsidR="00632BDF">
        <w:t xml:space="preserve"> </w:t>
      </w:r>
      <w:r w:rsidRPr="00632BDF">
        <w:rPr>
          <w:i/>
          <w:iCs/>
        </w:rPr>
        <w:t>Operator’s Guide</w:t>
      </w:r>
      <w:r w:rsidRPr="00110123">
        <w:t xml:space="preserve"> published by the National Heavy Vehicle Regulator</w:t>
      </w:r>
      <w:r>
        <w:t>, as amended from time to time</w:t>
      </w:r>
      <w:r w:rsidR="002217DA">
        <w:t>.</w:t>
      </w:r>
    </w:p>
    <w:p w14:paraId="41A33A06" w14:textId="77777777" w:rsidR="0051347A" w:rsidRDefault="0051347A" w:rsidP="00362914">
      <w:pPr>
        <w:pStyle w:val="ListParagraph"/>
        <w:ind w:left="1440"/>
        <w:jc w:val="both"/>
      </w:pPr>
    </w:p>
    <w:p w14:paraId="79AB55B6" w14:textId="77777777" w:rsidR="00824963" w:rsidRDefault="00824963" w:rsidP="00362914">
      <w:pPr>
        <w:pStyle w:val="ListParagraph"/>
        <w:ind w:left="1440"/>
        <w:jc w:val="both"/>
      </w:pPr>
    </w:p>
    <w:p w14:paraId="7639E901" w14:textId="77777777" w:rsidR="00605542" w:rsidRDefault="00605542" w:rsidP="00362914">
      <w:pPr>
        <w:pStyle w:val="ListParagraph"/>
        <w:ind w:left="1440"/>
        <w:jc w:val="both"/>
      </w:pPr>
    </w:p>
    <w:p w14:paraId="4D15F67D" w14:textId="77777777" w:rsidR="00605542" w:rsidRDefault="00605542" w:rsidP="00362914">
      <w:pPr>
        <w:pStyle w:val="ListParagraph"/>
        <w:ind w:left="1440"/>
        <w:jc w:val="both"/>
      </w:pPr>
    </w:p>
    <w:p w14:paraId="01A78285" w14:textId="3384F3EF" w:rsidR="00DD1752" w:rsidRDefault="00DD1752" w:rsidP="00362914">
      <w:pPr>
        <w:pStyle w:val="ListParagraph"/>
        <w:numPr>
          <w:ilvl w:val="0"/>
          <w:numId w:val="1"/>
        </w:numPr>
        <w:jc w:val="both"/>
        <w:rPr>
          <w:b/>
          <w:bCs/>
        </w:rPr>
      </w:pPr>
      <w:r>
        <w:rPr>
          <w:b/>
          <w:bCs/>
        </w:rPr>
        <w:t>Application</w:t>
      </w:r>
    </w:p>
    <w:p w14:paraId="1246D8B9" w14:textId="77777777" w:rsidR="00DD1752" w:rsidRPr="00B95255" w:rsidRDefault="00DD1752" w:rsidP="00362914">
      <w:pPr>
        <w:pStyle w:val="ListParagraph"/>
        <w:jc w:val="both"/>
        <w:rPr>
          <w:b/>
          <w:bCs/>
        </w:rPr>
      </w:pPr>
    </w:p>
    <w:p w14:paraId="0657EBA4" w14:textId="0D56FE38" w:rsidR="00B05075" w:rsidRPr="00383C25" w:rsidRDefault="00DD7263" w:rsidP="00362914">
      <w:pPr>
        <w:pStyle w:val="ListParagraph"/>
        <w:numPr>
          <w:ilvl w:val="0"/>
          <w:numId w:val="5"/>
        </w:numPr>
        <w:jc w:val="both"/>
        <w:rPr>
          <w:lang w:val="en-US"/>
        </w:rPr>
      </w:pPr>
      <w:r w:rsidRPr="00B779F0">
        <w:t xml:space="preserve">This </w:t>
      </w:r>
      <w:r w:rsidR="003A49B1">
        <w:t>notice</w:t>
      </w:r>
      <w:r w:rsidRPr="00B779F0">
        <w:t xml:space="preserve"> applies to a </w:t>
      </w:r>
      <w:r w:rsidR="00F8665E">
        <w:t>HML</w:t>
      </w:r>
      <w:r w:rsidRPr="00B779F0">
        <w:t xml:space="preserve"> heavy vehicle </w:t>
      </w:r>
      <w:r w:rsidR="00F8491C">
        <w:t>operating in Queensland</w:t>
      </w:r>
      <w:r w:rsidR="00BF3E2A">
        <w:t>.</w:t>
      </w:r>
    </w:p>
    <w:p w14:paraId="2BE23E1C" w14:textId="77777777" w:rsidR="00383C25" w:rsidRPr="00F2019C" w:rsidRDefault="00383C25" w:rsidP="00383C25">
      <w:pPr>
        <w:pStyle w:val="ListParagraph"/>
        <w:ind w:left="1080"/>
        <w:jc w:val="both"/>
        <w:rPr>
          <w:lang w:val="en-US"/>
        </w:rPr>
      </w:pPr>
    </w:p>
    <w:p w14:paraId="679269E8" w14:textId="79288AE8" w:rsidR="00F2019C" w:rsidRPr="00B05075" w:rsidRDefault="00F2019C" w:rsidP="00362914">
      <w:pPr>
        <w:pStyle w:val="ListParagraph"/>
        <w:numPr>
          <w:ilvl w:val="0"/>
          <w:numId w:val="5"/>
        </w:numPr>
        <w:jc w:val="both"/>
        <w:rPr>
          <w:lang w:val="en-US"/>
        </w:rPr>
      </w:pPr>
      <w:r>
        <w:t>As an exception to 1)</w:t>
      </w:r>
      <w:r w:rsidR="00B942F8">
        <w:t xml:space="preserve">, </w:t>
      </w:r>
      <w:r>
        <w:t>this n</w:t>
      </w:r>
      <w:r w:rsidR="00383C25">
        <w:t>otice does not apply to a bus.</w:t>
      </w:r>
    </w:p>
    <w:p w14:paraId="767E8FC9" w14:textId="77777777" w:rsidR="00DD1752" w:rsidRDefault="00DD1752" w:rsidP="00362914">
      <w:pPr>
        <w:pStyle w:val="ListParagraph"/>
        <w:ind w:left="1080"/>
        <w:jc w:val="both"/>
      </w:pPr>
    </w:p>
    <w:p w14:paraId="046477A1" w14:textId="21F32B50" w:rsidR="000202A4" w:rsidRDefault="005A6499" w:rsidP="00362914">
      <w:pPr>
        <w:pStyle w:val="ListParagraph"/>
        <w:numPr>
          <w:ilvl w:val="0"/>
          <w:numId w:val="5"/>
        </w:numPr>
        <w:jc w:val="both"/>
      </w:pPr>
      <w:r>
        <w:t xml:space="preserve">A heavy vehicle to which this section applies and that complies with the conditions of this </w:t>
      </w:r>
      <w:r w:rsidR="003A49B1">
        <w:t>notice</w:t>
      </w:r>
      <w:r>
        <w:t xml:space="preserve"> is an eligible vehicle.</w:t>
      </w:r>
    </w:p>
    <w:p w14:paraId="65C79A8C" w14:textId="77777777" w:rsidR="00BF3E2A" w:rsidRPr="00BF3E2A" w:rsidRDefault="00BF3E2A" w:rsidP="00362914">
      <w:pPr>
        <w:pStyle w:val="ListParagraph"/>
        <w:ind w:left="1080"/>
        <w:jc w:val="both"/>
      </w:pPr>
    </w:p>
    <w:p w14:paraId="6FF3CBC7" w14:textId="21F18CD7" w:rsidR="00AE5E27" w:rsidRPr="00375DE3" w:rsidRDefault="00AE5E27" w:rsidP="00362914">
      <w:pPr>
        <w:pStyle w:val="ListParagraph"/>
        <w:numPr>
          <w:ilvl w:val="0"/>
          <w:numId w:val="1"/>
        </w:numPr>
        <w:jc w:val="both"/>
        <w:rPr>
          <w:b/>
          <w:bCs/>
        </w:rPr>
      </w:pPr>
      <w:r w:rsidRPr="00375DE3">
        <w:rPr>
          <w:b/>
          <w:bCs/>
        </w:rPr>
        <w:t xml:space="preserve">Condition </w:t>
      </w:r>
      <w:r w:rsidR="00DB797B" w:rsidRPr="00375DE3">
        <w:rPr>
          <w:b/>
          <w:bCs/>
        </w:rPr>
        <w:t>–</w:t>
      </w:r>
      <w:r w:rsidRPr="00375DE3">
        <w:rPr>
          <w:b/>
          <w:bCs/>
        </w:rPr>
        <w:t xml:space="preserve"> </w:t>
      </w:r>
      <w:r w:rsidR="009B2B10" w:rsidRPr="009B2B10">
        <w:rPr>
          <w:b/>
          <w:bCs/>
        </w:rPr>
        <w:t>Tri-drive prime mover restriction in a B-double and road train combinations</w:t>
      </w:r>
    </w:p>
    <w:p w14:paraId="7C1DBA2E" w14:textId="77777777" w:rsidR="00FA0DB6" w:rsidRDefault="00FA0DB6" w:rsidP="00362914">
      <w:pPr>
        <w:pStyle w:val="ListParagraph"/>
        <w:ind w:left="1440"/>
        <w:jc w:val="both"/>
      </w:pPr>
    </w:p>
    <w:p w14:paraId="125F99A7" w14:textId="2C221730" w:rsidR="003313D4" w:rsidRPr="003313D4" w:rsidRDefault="003313D4" w:rsidP="00A83B30">
      <w:pPr>
        <w:pStyle w:val="ListParagraph"/>
        <w:numPr>
          <w:ilvl w:val="0"/>
          <w:numId w:val="41"/>
        </w:numPr>
        <w:jc w:val="both"/>
      </w:pPr>
      <w:r w:rsidRPr="003313D4">
        <w:t>An eligible vehicle must not have a drive axle group with more than two axles in contact with the ground.</w:t>
      </w:r>
    </w:p>
    <w:p w14:paraId="78964E2B" w14:textId="77777777" w:rsidR="003313D4" w:rsidRPr="003313D4" w:rsidRDefault="003313D4" w:rsidP="00A83B30">
      <w:pPr>
        <w:pStyle w:val="ListParagraph"/>
        <w:ind w:left="1080"/>
        <w:jc w:val="both"/>
      </w:pPr>
    </w:p>
    <w:p w14:paraId="7E1622F1" w14:textId="3941B1CC" w:rsidR="003D1A6E" w:rsidRPr="003313D4" w:rsidRDefault="003313D4" w:rsidP="00A83B30">
      <w:pPr>
        <w:pStyle w:val="ListParagraph"/>
        <w:numPr>
          <w:ilvl w:val="0"/>
          <w:numId w:val="41"/>
        </w:numPr>
        <w:jc w:val="both"/>
      </w:pPr>
      <w:r w:rsidRPr="003313D4">
        <w:t>In this section drive axle group means an axle group that has one or more driving axles.</w:t>
      </w:r>
    </w:p>
    <w:p w14:paraId="12FA6C86" w14:textId="77777777" w:rsidR="003313D4" w:rsidRPr="003D1A6E" w:rsidRDefault="003313D4" w:rsidP="003313D4">
      <w:pPr>
        <w:pStyle w:val="ListParagraph"/>
        <w:ind w:left="1440"/>
        <w:jc w:val="both"/>
      </w:pPr>
    </w:p>
    <w:p w14:paraId="429A15EE" w14:textId="77777777" w:rsidR="00A73DE3" w:rsidRPr="00A73DE3" w:rsidRDefault="00A73DE3" w:rsidP="00362914">
      <w:pPr>
        <w:pStyle w:val="ListParagraph"/>
        <w:numPr>
          <w:ilvl w:val="0"/>
          <w:numId w:val="1"/>
        </w:numPr>
        <w:jc w:val="both"/>
        <w:rPr>
          <w:b/>
          <w:bCs/>
        </w:rPr>
      </w:pPr>
      <w:r w:rsidRPr="00A73DE3">
        <w:rPr>
          <w:b/>
          <w:bCs/>
        </w:rPr>
        <w:t>Intelligent Access Conditions</w:t>
      </w:r>
    </w:p>
    <w:p w14:paraId="106931D2" w14:textId="77777777" w:rsidR="00A73DE3" w:rsidRDefault="00A73DE3" w:rsidP="00362914">
      <w:pPr>
        <w:pStyle w:val="ListParagraph"/>
        <w:ind w:left="1080"/>
        <w:jc w:val="both"/>
      </w:pPr>
    </w:p>
    <w:p w14:paraId="2C482F31" w14:textId="45595D9D" w:rsidR="00A73DE3" w:rsidRDefault="00A73DE3" w:rsidP="00362914">
      <w:pPr>
        <w:pStyle w:val="ListParagraph"/>
        <w:numPr>
          <w:ilvl w:val="0"/>
          <w:numId w:val="32"/>
        </w:numPr>
        <w:jc w:val="both"/>
      </w:pPr>
      <w:r w:rsidRPr="00A73DE3">
        <w:t>Pursuant to s402(1)(a) and (b) of Chapter 7 of the HVNL, the following conditions of this Notice are intelligent access program conditions:</w:t>
      </w:r>
    </w:p>
    <w:p w14:paraId="0C2DDD07" w14:textId="77777777" w:rsidR="00550BDD" w:rsidRPr="00A73DE3" w:rsidRDefault="00550BDD" w:rsidP="00362914">
      <w:pPr>
        <w:pStyle w:val="ListParagraph"/>
        <w:ind w:left="1080"/>
        <w:jc w:val="both"/>
      </w:pPr>
    </w:p>
    <w:p w14:paraId="68473B92" w14:textId="77777777" w:rsidR="00A73DE3" w:rsidRPr="00A73DE3" w:rsidRDefault="00A73DE3" w:rsidP="00362914">
      <w:pPr>
        <w:pStyle w:val="ListParagraph"/>
        <w:numPr>
          <w:ilvl w:val="0"/>
          <w:numId w:val="33"/>
        </w:numPr>
        <w:jc w:val="both"/>
      </w:pPr>
      <w:r w:rsidRPr="00A73DE3">
        <w:t>any condition relating to mass or dimensions; and</w:t>
      </w:r>
    </w:p>
    <w:p w14:paraId="0FC548E7" w14:textId="77777777" w:rsidR="00A73DE3" w:rsidRDefault="00A73DE3" w:rsidP="00362914">
      <w:pPr>
        <w:pStyle w:val="ListParagraph"/>
        <w:numPr>
          <w:ilvl w:val="0"/>
          <w:numId w:val="33"/>
        </w:numPr>
        <w:jc w:val="both"/>
      </w:pPr>
      <w:r w:rsidRPr="00A73DE3">
        <w:t>any condition relating to stated areas or routes to which the authority applies, including any relating to speed or time of travel.</w:t>
      </w:r>
    </w:p>
    <w:p w14:paraId="4B35F9C7" w14:textId="77777777" w:rsidR="00550BDD" w:rsidRPr="00A73DE3" w:rsidRDefault="00550BDD" w:rsidP="00362914">
      <w:pPr>
        <w:pStyle w:val="ListParagraph"/>
        <w:ind w:left="1440"/>
        <w:jc w:val="both"/>
      </w:pPr>
    </w:p>
    <w:p w14:paraId="1E8A78DF" w14:textId="77777777" w:rsidR="00A73DE3" w:rsidRDefault="00A73DE3" w:rsidP="00362914">
      <w:pPr>
        <w:pStyle w:val="ListParagraph"/>
        <w:numPr>
          <w:ilvl w:val="0"/>
          <w:numId w:val="32"/>
        </w:numPr>
        <w:jc w:val="both"/>
      </w:pPr>
      <w:r w:rsidRPr="00A73DE3">
        <w:t>Pursuant to s402(1)(c) of Chapter 7 of the HVNL, an eligible vehicle must be monitored by an approved intelligent transport system as set out in this section.</w:t>
      </w:r>
    </w:p>
    <w:p w14:paraId="00480D96" w14:textId="77777777" w:rsidR="00550BDD" w:rsidRPr="00A73DE3" w:rsidRDefault="00550BDD" w:rsidP="00362914">
      <w:pPr>
        <w:pStyle w:val="ListParagraph"/>
        <w:ind w:left="1080"/>
        <w:jc w:val="both"/>
      </w:pPr>
    </w:p>
    <w:p w14:paraId="414BCA45" w14:textId="77777777" w:rsidR="00A73DE3" w:rsidRDefault="00A73DE3" w:rsidP="00362914">
      <w:pPr>
        <w:pStyle w:val="ListParagraph"/>
        <w:numPr>
          <w:ilvl w:val="0"/>
          <w:numId w:val="32"/>
        </w:numPr>
        <w:jc w:val="both"/>
      </w:pPr>
      <w:r w:rsidRPr="00A73DE3">
        <w:t>An eligible vehicle must be enrolled in and comply with the following approved intelligent transport system, approved by Transport Certification Australia:</w:t>
      </w:r>
    </w:p>
    <w:p w14:paraId="4D90413B" w14:textId="77777777" w:rsidR="00550BDD" w:rsidRPr="00A73DE3" w:rsidRDefault="00550BDD" w:rsidP="00362914">
      <w:pPr>
        <w:pStyle w:val="ListParagraph"/>
        <w:ind w:left="1080"/>
        <w:jc w:val="both"/>
      </w:pPr>
    </w:p>
    <w:p w14:paraId="139B88F1" w14:textId="77777777" w:rsidR="00A73DE3" w:rsidRPr="00A73DE3" w:rsidRDefault="00A73DE3" w:rsidP="00362914">
      <w:pPr>
        <w:pStyle w:val="ListParagraph"/>
        <w:numPr>
          <w:ilvl w:val="0"/>
          <w:numId w:val="34"/>
        </w:numPr>
        <w:jc w:val="both"/>
      </w:pPr>
      <w:r w:rsidRPr="00A73DE3">
        <w:t>For vehicles enrolled from 1 December 2022 – Telematics Monitoring Application</w:t>
      </w:r>
    </w:p>
    <w:p w14:paraId="50E15127" w14:textId="77777777" w:rsidR="00A73DE3" w:rsidRPr="00A73DE3" w:rsidRDefault="00A73DE3" w:rsidP="00362914">
      <w:pPr>
        <w:pStyle w:val="ListParagraph"/>
        <w:numPr>
          <w:ilvl w:val="0"/>
          <w:numId w:val="34"/>
        </w:numPr>
        <w:jc w:val="both"/>
      </w:pPr>
      <w:r w:rsidRPr="00A73DE3">
        <w:t>For vehicles enrolled before 1 December 2022 – Intelligent Access Program</w:t>
      </w:r>
    </w:p>
    <w:p w14:paraId="7F724F5A" w14:textId="77777777" w:rsidR="00550BDD" w:rsidRDefault="00550BDD" w:rsidP="00362914">
      <w:pPr>
        <w:pStyle w:val="ListParagraph"/>
        <w:ind w:left="1080"/>
        <w:jc w:val="both"/>
      </w:pPr>
    </w:p>
    <w:p w14:paraId="6EF32992" w14:textId="322DDFC7" w:rsidR="00A73DE3" w:rsidRPr="00550BDD" w:rsidRDefault="00A73DE3" w:rsidP="00362914">
      <w:pPr>
        <w:pStyle w:val="ListParagraph"/>
        <w:ind w:left="2160" w:hanging="1080"/>
        <w:jc w:val="both"/>
        <w:rPr>
          <w:i/>
          <w:iCs/>
        </w:rPr>
      </w:pPr>
      <w:r w:rsidRPr="00550BDD">
        <w:rPr>
          <w:i/>
          <w:iCs/>
        </w:rPr>
        <w:t>Note:</w:t>
      </w:r>
      <w:r w:rsidRPr="00550BDD">
        <w:rPr>
          <w:i/>
          <w:iCs/>
        </w:rPr>
        <w:tab/>
        <w:t xml:space="preserve"> </w:t>
      </w:r>
      <w:r w:rsidR="00383C25">
        <w:rPr>
          <w:i/>
          <w:iCs/>
        </w:rPr>
        <w:t>T</w:t>
      </w:r>
      <w:r w:rsidRPr="00550BDD">
        <w:rPr>
          <w:i/>
          <w:iCs/>
        </w:rPr>
        <w:t>he option in subsection (</w:t>
      </w:r>
      <w:r w:rsidR="00553B59">
        <w:rPr>
          <w:i/>
          <w:iCs/>
        </w:rPr>
        <w:t>3</w:t>
      </w:r>
      <w:r w:rsidRPr="00550BDD">
        <w:rPr>
          <w:i/>
          <w:iCs/>
        </w:rPr>
        <w:t>)(b) to comply using IAP will be removed from 1 June 2024.</w:t>
      </w:r>
    </w:p>
    <w:p w14:paraId="14DC6B7F" w14:textId="77777777" w:rsidR="00550BDD" w:rsidRDefault="00550BDD" w:rsidP="00362914">
      <w:pPr>
        <w:pStyle w:val="ListParagraph"/>
        <w:ind w:left="1080"/>
        <w:jc w:val="both"/>
      </w:pPr>
    </w:p>
    <w:p w14:paraId="018EAF2B" w14:textId="130A7FFB" w:rsidR="00A73DE3" w:rsidRDefault="00A73DE3" w:rsidP="00362914">
      <w:pPr>
        <w:pStyle w:val="ListParagraph"/>
        <w:numPr>
          <w:ilvl w:val="0"/>
          <w:numId w:val="32"/>
        </w:numPr>
        <w:jc w:val="both"/>
      </w:pPr>
      <w:r w:rsidRPr="00A73DE3">
        <w:t>In this section, Intelligent Access Program means the approved intelligent transport system of that name administered by the Queensland Department of Transport and Main Roads.</w:t>
      </w:r>
    </w:p>
    <w:p w14:paraId="1C6B0B7C" w14:textId="77777777" w:rsidR="00550BDD" w:rsidRPr="00A73DE3" w:rsidRDefault="00550BDD" w:rsidP="00362914">
      <w:pPr>
        <w:pStyle w:val="ListParagraph"/>
        <w:ind w:left="1080"/>
        <w:jc w:val="both"/>
      </w:pPr>
    </w:p>
    <w:p w14:paraId="2FB44B71" w14:textId="370E79FD" w:rsidR="00FA7E84" w:rsidRPr="00D626ED" w:rsidRDefault="00A73DE3" w:rsidP="0096144F">
      <w:pPr>
        <w:pStyle w:val="ListParagraph"/>
        <w:numPr>
          <w:ilvl w:val="0"/>
          <w:numId w:val="32"/>
        </w:numPr>
        <w:jc w:val="both"/>
      </w:pPr>
      <w:r w:rsidRPr="00A73DE3">
        <w:t>At the time of operation under this notice, an eligible vehicle to which this section applies must be enrolled in and be compliant with the conditions of the required approved intelligent transport system.</w:t>
      </w:r>
    </w:p>
    <w:p w14:paraId="439CC219" w14:textId="77777777" w:rsidR="005C7AB3" w:rsidRDefault="005C7AB3" w:rsidP="00362914">
      <w:pPr>
        <w:contextualSpacing/>
        <w:rPr>
          <w:b/>
          <w:bCs/>
        </w:rPr>
      </w:pPr>
      <w:r>
        <w:rPr>
          <w:b/>
          <w:bCs/>
        </w:rPr>
        <w:br w:type="page"/>
      </w:r>
    </w:p>
    <w:p w14:paraId="64BCA8A0" w14:textId="7D5F145A" w:rsidR="00B5081E" w:rsidRDefault="00B5081E" w:rsidP="00362914">
      <w:pPr>
        <w:pStyle w:val="ListParagraph"/>
        <w:numPr>
          <w:ilvl w:val="0"/>
          <w:numId w:val="1"/>
        </w:numPr>
        <w:jc w:val="both"/>
        <w:rPr>
          <w:b/>
          <w:bCs/>
        </w:rPr>
      </w:pPr>
      <w:r w:rsidRPr="00DE448B">
        <w:rPr>
          <w:b/>
          <w:bCs/>
        </w:rPr>
        <w:lastRenderedPageBreak/>
        <w:t xml:space="preserve">Condition – stated areas </w:t>
      </w:r>
      <w:r w:rsidR="000F4EF3" w:rsidRPr="00DE448B">
        <w:rPr>
          <w:b/>
          <w:bCs/>
        </w:rPr>
        <w:t xml:space="preserve">or </w:t>
      </w:r>
      <w:proofErr w:type="gramStart"/>
      <w:r w:rsidR="000F4EF3" w:rsidRPr="00DE448B">
        <w:rPr>
          <w:b/>
          <w:bCs/>
        </w:rPr>
        <w:t>routes</w:t>
      </w:r>
      <w:proofErr w:type="gramEnd"/>
    </w:p>
    <w:p w14:paraId="6D036C72" w14:textId="77777777" w:rsidR="00DE448B" w:rsidRPr="00DE448B" w:rsidRDefault="00DE448B" w:rsidP="00362914">
      <w:pPr>
        <w:pStyle w:val="ListParagraph"/>
        <w:jc w:val="both"/>
        <w:rPr>
          <w:b/>
          <w:bCs/>
        </w:rPr>
      </w:pPr>
    </w:p>
    <w:p w14:paraId="5ED5EDA6" w14:textId="1509A484" w:rsidR="00213FD1" w:rsidRDefault="00213FD1" w:rsidP="00362914">
      <w:pPr>
        <w:pStyle w:val="ListParagraph"/>
        <w:numPr>
          <w:ilvl w:val="0"/>
          <w:numId w:val="7"/>
        </w:numPr>
        <w:jc w:val="both"/>
      </w:pPr>
      <w:r>
        <w:t xml:space="preserve">An eligible vehicle complying with the conditions of this </w:t>
      </w:r>
      <w:r w:rsidR="00F55FE2">
        <w:t>declaration</w:t>
      </w:r>
      <w:r>
        <w:t xml:space="preserve"> is authorised to access the stated routes and areas specified in </w:t>
      </w:r>
      <w:r w:rsidR="008A0EC1">
        <w:t>this section</w:t>
      </w:r>
      <w:r>
        <w:t>.</w:t>
      </w:r>
    </w:p>
    <w:p w14:paraId="500AE5E0" w14:textId="77777777" w:rsidR="00213FD1" w:rsidRDefault="00213FD1" w:rsidP="00362914">
      <w:pPr>
        <w:pStyle w:val="ListParagraph"/>
        <w:ind w:left="1080"/>
        <w:jc w:val="both"/>
      </w:pPr>
    </w:p>
    <w:p w14:paraId="4D21A3C8" w14:textId="6CC0641E" w:rsidR="00213FD1" w:rsidRDefault="00213FD1" w:rsidP="00362914">
      <w:pPr>
        <w:pStyle w:val="ListParagraph"/>
        <w:numPr>
          <w:ilvl w:val="0"/>
          <w:numId w:val="7"/>
        </w:numPr>
        <w:jc w:val="both"/>
      </w:pPr>
      <w:r>
        <w:t xml:space="preserve">For the purposes of section </w:t>
      </w:r>
      <w:r w:rsidR="004A4873">
        <w:t>12</w:t>
      </w:r>
      <w:r>
        <w:t xml:space="preserve"> </w:t>
      </w:r>
      <w:r w:rsidR="00561C1D">
        <w:t xml:space="preserve">and section 15 </w:t>
      </w:r>
      <w:r>
        <w:t xml:space="preserve">of the </w:t>
      </w:r>
      <w:r w:rsidR="00996A1C">
        <w:rPr>
          <w:i/>
          <w:iCs/>
        </w:rPr>
        <w:t>H</w:t>
      </w:r>
      <w:r w:rsidR="004A4873" w:rsidRPr="00996A1C">
        <w:rPr>
          <w:i/>
          <w:iCs/>
        </w:rPr>
        <w:t>eavy Vehicle (</w:t>
      </w:r>
      <w:r w:rsidR="00996A1C" w:rsidRPr="00996A1C">
        <w:rPr>
          <w:i/>
          <w:iCs/>
        </w:rPr>
        <w:t>Mass Dimension and Loading) National Regulation</w:t>
      </w:r>
      <w:r w:rsidRPr="00996A1C">
        <w:rPr>
          <w:i/>
          <w:iCs/>
        </w:rPr>
        <w:t>,</w:t>
      </w:r>
      <w:r>
        <w:t xml:space="preserve"> an area or route specified in </w:t>
      </w:r>
      <w:r w:rsidR="008A0EC1">
        <w:t xml:space="preserve">this section </w:t>
      </w:r>
      <w:r>
        <w:t xml:space="preserve">is a stated area or route to which this </w:t>
      </w:r>
      <w:r w:rsidR="00F55FE2">
        <w:t xml:space="preserve">notice </w:t>
      </w:r>
      <w:r>
        <w:t>applies.</w:t>
      </w:r>
    </w:p>
    <w:p w14:paraId="1E950E98" w14:textId="77777777" w:rsidR="00213FD1" w:rsidRDefault="00213FD1" w:rsidP="00362914">
      <w:pPr>
        <w:pStyle w:val="ListParagraph"/>
        <w:ind w:left="1080"/>
        <w:jc w:val="both"/>
      </w:pPr>
    </w:p>
    <w:p w14:paraId="7A6D1F58" w14:textId="583A687E" w:rsidR="005C7AB3" w:rsidRDefault="005C7AB3" w:rsidP="00362914">
      <w:pPr>
        <w:pStyle w:val="ListParagraph"/>
        <w:numPr>
          <w:ilvl w:val="0"/>
          <w:numId w:val="7"/>
        </w:numPr>
        <w:jc w:val="both"/>
      </w:pPr>
      <w:r w:rsidRPr="005C7AB3">
        <w:t xml:space="preserve">An eligible vehicle </w:t>
      </w:r>
      <w:r w:rsidR="006C20D2">
        <w:t xml:space="preserve">that is not a B-double or a Road </w:t>
      </w:r>
      <w:r w:rsidR="00A97B5E">
        <w:t>T</w:t>
      </w:r>
      <w:r w:rsidR="006C20D2">
        <w:t>rain</w:t>
      </w:r>
      <w:r w:rsidRPr="005C7AB3">
        <w:t xml:space="preserve"> may operate on all roads</w:t>
      </w:r>
      <w:r w:rsidR="00D969CE">
        <w:t xml:space="preserve"> on </w:t>
      </w:r>
      <w:r w:rsidR="00410E3A">
        <w:t>the following network:</w:t>
      </w:r>
    </w:p>
    <w:p w14:paraId="68568B2B" w14:textId="77777777" w:rsidR="00410E3A" w:rsidRDefault="00410E3A" w:rsidP="00410E3A">
      <w:pPr>
        <w:pStyle w:val="ListParagraph"/>
        <w:ind w:left="1440"/>
        <w:jc w:val="both"/>
      </w:pPr>
    </w:p>
    <w:p w14:paraId="58F9674E" w14:textId="63098B63" w:rsidR="00410E3A" w:rsidRDefault="00410E3A" w:rsidP="00410E3A">
      <w:pPr>
        <w:pStyle w:val="ListParagraph"/>
        <w:ind w:left="2880"/>
        <w:jc w:val="both"/>
        <w:rPr>
          <w:i/>
          <w:iCs/>
        </w:rPr>
      </w:pPr>
      <w:r w:rsidRPr="00773D0E">
        <w:rPr>
          <w:i/>
          <w:iCs/>
        </w:rPr>
        <w:t>Higher Mass Limits (Queensland)</w:t>
      </w:r>
    </w:p>
    <w:p w14:paraId="2AD9B504" w14:textId="77777777" w:rsidR="00F23321" w:rsidRPr="00773D0E" w:rsidRDefault="00F23321" w:rsidP="00410E3A">
      <w:pPr>
        <w:pStyle w:val="ListParagraph"/>
        <w:ind w:left="2880"/>
        <w:jc w:val="both"/>
        <w:rPr>
          <w:i/>
          <w:iCs/>
        </w:rPr>
      </w:pPr>
    </w:p>
    <w:p w14:paraId="3A32B8DF" w14:textId="18E4DB5D" w:rsidR="005C7AB3" w:rsidRPr="00E744D3" w:rsidRDefault="005C7AB3" w:rsidP="00362914">
      <w:pPr>
        <w:pStyle w:val="ListParagraph"/>
        <w:numPr>
          <w:ilvl w:val="0"/>
          <w:numId w:val="7"/>
        </w:numPr>
        <w:jc w:val="both"/>
      </w:pPr>
      <w:r w:rsidRPr="00E744D3">
        <w:t xml:space="preserve">An eligible vehicle described in column 1 of Table 1 may access the network in column 2 </w:t>
      </w:r>
      <w:r w:rsidR="000B4B7E">
        <w:t xml:space="preserve">and must comply with the conditions that </w:t>
      </w:r>
      <w:r w:rsidR="00DF3CA8">
        <w:t xml:space="preserve">would </w:t>
      </w:r>
      <w:r w:rsidR="000B4B7E">
        <w:t>apply to that combination</w:t>
      </w:r>
      <w:r w:rsidRPr="00E744D3">
        <w:t xml:space="preserve"> </w:t>
      </w:r>
      <w:r w:rsidR="003E767A">
        <w:t xml:space="preserve">if it were operating under the </w:t>
      </w:r>
      <w:r w:rsidRPr="00E744D3">
        <w:t xml:space="preserve">Queensland Schedule of the class 2 authorisation specified in column 3. </w:t>
      </w:r>
    </w:p>
    <w:p w14:paraId="46EB0878" w14:textId="77777777" w:rsidR="005C7AB3" w:rsidRDefault="005C7AB3" w:rsidP="00362914">
      <w:pPr>
        <w:pStyle w:val="ListParagraph"/>
        <w:ind w:left="1080"/>
        <w:jc w:val="both"/>
        <w:rPr>
          <w:lang w:val="en-US"/>
        </w:rPr>
      </w:pPr>
    </w:p>
    <w:p w14:paraId="41B0CC0B" w14:textId="77777777" w:rsidR="005C7AB3" w:rsidRDefault="005C7AB3" w:rsidP="00362914">
      <w:pPr>
        <w:pStyle w:val="ListParagraph"/>
        <w:ind w:left="1080"/>
        <w:jc w:val="both"/>
        <w:rPr>
          <w:b/>
          <w:bCs/>
          <w:lang w:val="en-US"/>
        </w:rPr>
      </w:pPr>
      <w:r>
        <w:rPr>
          <w:b/>
          <w:bCs/>
          <w:lang w:val="en-US"/>
        </w:rPr>
        <w:t xml:space="preserve">Table 1: Stated networks for B-doubles and road </w:t>
      </w:r>
      <w:proofErr w:type="gramStart"/>
      <w:r>
        <w:rPr>
          <w:b/>
          <w:bCs/>
          <w:lang w:val="en-US"/>
        </w:rPr>
        <w:t>trains</w:t>
      </w:r>
      <w:proofErr w:type="gramEnd"/>
    </w:p>
    <w:tbl>
      <w:tblPr>
        <w:tblStyle w:val="TableGrid"/>
        <w:tblW w:w="0" w:type="auto"/>
        <w:tblInd w:w="988" w:type="dxa"/>
        <w:tblLook w:val="04A0" w:firstRow="1" w:lastRow="0" w:firstColumn="1" w:lastColumn="0" w:noHBand="0" w:noVBand="1"/>
        <w:tblCaption w:val="Table 1: Stated networks for B-doubles and road trains"/>
        <w:tblDescription w:val="A table of networks able to be accessed by eligible vehicles operating under this notice."/>
      </w:tblPr>
      <w:tblGrid>
        <w:gridCol w:w="1898"/>
        <w:gridCol w:w="4480"/>
        <w:gridCol w:w="1650"/>
      </w:tblGrid>
      <w:tr w:rsidR="005C7AB3" w14:paraId="37BAAC46" w14:textId="77777777" w:rsidTr="003475F4">
        <w:tc>
          <w:tcPr>
            <w:tcW w:w="1898" w:type="dxa"/>
            <w:tcBorders>
              <w:top w:val="single" w:sz="4" w:space="0" w:color="auto"/>
              <w:left w:val="single" w:sz="4" w:space="0" w:color="auto"/>
              <w:bottom w:val="single" w:sz="4" w:space="0" w:color="auto"/>
              <w:right w:val="single" w:sz="4" w:space="0" w:color="auto"/>
            </w:tcBorders>
            <w:vAlign w:val="center"/>
            <w:hideMark/>
          </w:tcPr>
          <w:p w14:paraId="3690A3C7" w14:textId="77777777" w:rsidR="005C7AB3" w:rsidRDefault="005C7AB3" w:rsidP="00362914">
            <w:pPr>
              <w:contextualSpacing/>
              <w:jc w:val="center"/>
              <w:rPr>
                <w:b/>
                <w:bCs/>
                <w:lang w:val="en-US"/>
              </w:rPr>
            </w:pPr>
            <w:r>
              <w:rPr>
                <w:b/>
                <w:bCs/>
                <w:lang w:val="en-US"/>
              </w:rPr>
              <w:t>Column 1</w:t>
            </w:r>
          </w:p>
        </w:tc>
        <w:tc>
          <w:tcPr>
            <w:tcW w:w="4480" w:type="dxa"/>
            <w:tcBorders>
              <w:top w:val="single" w:sz="4" w:space="0" w:color="auto"/>
              <w:left w:val="single" w:sz="4" w:space="0" w:color="auto"/>
              <w:bottom w:val="single" w:sz="4" w:space="0" w:color="auto"/>
              <w:right w:val="single" w:sz="4" w:space="0" w:color="auto"/>
            </w:tcBorders>
            <w:vAlign w:val="center"/>
            <w:hideMark/>
          </w:tcPr>
          <w:p w14:paraId="65E7E4B4" w14:textId="77777777" w:rsidR="005C7AB3" w:rsidRDefault="005C7AB3" w:rsidP="00362914">
            <w:pPr>
              <w:contextualSpacing/>
              <w:jc w:val="center"/>
              <w:rPr>
                <w:b/>
                <w:bCs/>
                <w:lang w:val="en-US"/>
              </w:rPr>
            </w:pPr>
            <w:r>
              <w:rPr>
                <w:b/>
                <w:bCs/>
                <w:lang w:val="en-US"/>
              </w:rPr>
              <w:t>Column 2</w:t>
            </w:r>
          </w:p>
        </w:tc>
        <w:tc>
          <w:tcPr>
            <w:tcW w:w="1650" w:type="dxa"/>
            <w:tcBorders>
              <w:top w:val="single" w:sz="4" w:space="0" w:color="auto"/>
              <w:left w:val="single" w:sz="4" w:space="0" w:color="auto"/>
              <w:bottom w:val="single" w:sz="4" w:space="0" w:color="auto"/>
              <w:right w:val="single" w:sz="4" w:space="0" w:color="auto"/>
            </w:tcBorders>
            <w:vAlign w:val="center"/>
            <w:hideMark/>
          </w:tcPr>
          <w:p w14:paraId="0C3DBE50" w14:textId="77777777" w:rsidR="005C7AB3" w:rsidRDefault="005C7AB3" w:rsidP="00362914">
            <w:pPr>
              <w:contextualSpacing/>
              <w:jc w:val="center"/>
              <w:rPr>
                <w:b/>
                <w:bCs/>
                <w:lang w:val="en-US"/>
              </w:rPr>
            </w:pPr>
            <w:r>
              <w:rPr>
                <w:b/>
                <w:bCs/>
                <w:lang w:val="en-US"/>
              </w:rPr>
              <w:t>Column 3</w:t>
            </w:r>
          </w:p>
        </w:tc>
      </w:tr>
      <w:tr w:rsidR="005C7AB3" w14:paraId="396199CF" w14:textId="77777777" w:rsidTr="003475F4">
        <w:tc>
          <w:tcPr>
            <w:tcW w:w="1898" w:type="dxa"/>
            <w:tcBorders>
              <w:top w:val="single" w:sz="4" w:space="0" w:color="auto"/>
              <w:left w:val="single" w:sz="4" w:space="0" w:color="auto"/>
              <w:bottom w:val="single" w:sz="4" w:space="0" w:color="auto"/>
              <w:right w:val="single" w:sz="4" w:space="0" w:color="auto"/>
            </w:tcBorders>
            <w:vAlign w:val="center"/>
            <w:hideMark/>
          </w:tcPr>
          <w:p w14:paraId="0F6FCF87" w14:textId="77777777" w:rsidR="005C7AB3" w:rsidRDefault="005C7AB3" w:rsidP="00362914">
            <w:pPr>
              <w:contextualSpacing/>
              <w:jc w:val="center"/>
              <w:rPr>
                <w:b/>
                <w:bCs/>
                <w:lang w:val="en-US"/>
              </w:rPr>
            </w:pPr>
            <w:r>
              <w:rPr>
                <w:b/>
                <w:bCs/>
                <w:lang w:val="en-US"/>
              </w:rPr>
              <w:t>Eligible vehicle</w:t>
            </w:r>
          </w:p>
        </w:tc>
        <w:tc>
          <w:tcPr>
            <w:tcW w:w="4480" w:type="dxa"/>
            <w:tcBorders>
              <w:top w:val="single" w:sz="4" w:space="0" w:color="auto"/>
              <w:left w:val="single" w:sz="4" w:space="0" w:color="auto"/>
              <w:bottom w:val="single" w:sz="4" w:space="0" w:color="auto"/>
              <w:right w:val="single" w:sz="4" w:space="0" w:color="auto"/>
            </w:tcBorders>
            <w:vAlign w:val="center"/>
            <w:hideMark/>
          </w:tcPr>
          <w:p w14:paraId="4F791634" w14:textId="77777777" w:rsidR="005C7AB3" w:rsidRDefault="005C7AB3" w:rsidP="00362914">
            <w:pPr>
              <w:contextualSpacing/>
              <w:jc w:val="center"/>
              <w:rPr>
                <w:b/>
                <w:bCs/>
                <w:lang w:val="en-US"/>
              </w:rPr>
            </w:pPr>
            <w:r>
              <w:rPr>
                <w:b/>
                <w:bCs/>
                <w:lang w:val="en-US"/>
              </w:rPr>
              <w:t>Network</w:t>
            </w:r>
          </w:p>
        </w:tc>
        <w:tc>
          <w:tcPr>
            <w:tcW w:w="1650" w:type="dxa"/>
            <w:tcBorders>
              <w:top w:val="single" w:sz="4" w:space="0" w:color="auto"/>
              <w:left w:val="single" w:sz="4" w:space="0" w:color="auto"/>
              <w:bottom w:val="single" w:sz="4" w:space="0" w:color="auto"/>
              <w:right w:val="single" w:sz="4" w:space="0" w:color="auto"/>
            </w:tcBorders>
            <w:vAlign w:val="center"/>
            <w:hideMark/>
          </w:tcPr>
          <w:p w14:paraId="7355B083" w14:textId="77777777" w:rsidR="005C7AB3" w:rsidRDefault="005C7AB3" w:rsidP="00362914">
            <w:pPr>
              <w:contextualSpacing/>
              <w:jc w:val="center"/>
              <w:rPr>
                <w:b/>
                <w:bCs/>
                <w:lang w:val="en-US"/>
              </w:rPr>
            </w:pPr>
            <w:proofErr w:type="spellStart"/>
            <w:r>
              <w:rPr>
                <w:b/>
                <w:bCs/>
                <w:lang w:val="en-US"/>
              </w:rPr>
              <w:t>Authorisation</w:t>
            </w:r>
            <w:proofErr w:type="spellEnd"/>
          </w:p>
        </w:tc>
      </w:tr>
      <w:tr w:rsidR="005C7AB3" w14:paraId="2D5D670F" w14:textId="77777777" w:rsidTr="003475F4">
        <w:trPr>
          <w:trHeight w:val="537"/>
        </w:trPr>
        <w:tc>
          <w:tcPr>
            <w:tcW w:w="1898" w:type="dxa"/>
            <w:tcBorders>
              <w:top w:val="single" w:sz="4" w:space="0" w:color="auto"/>
              <w:left w:val="single" w:sz="4" w:space="0" w:color="auto"/>
              <w:bottom w:val="single" w:sz="4" w:space="0" w:color="auto"/>
              <w:right w:val="single" w:sz="4" w:space="0" w:color="auto"/>
            </w:tcBorders>
            <w:vAlign w:val="center"/>
            <w:hideMark/>
          </w:tcPr>
          <w:p w14:paraId="70567CBA" w14:textId="77777777" w:rsidR="005C7AB3" w:rsidRDefault="005C7AB3" w:rsidP="00362914">
            <w:pPr>
              <w:contextualSpacing/>
              <w:jc w:val="center"/>
              <w:rPr>
                <w:lang w:val="en-US"/>
              </w:rPr>
            </w:pPr>
            <w:r>
              <w:rPr>
                <w:lang w:val="en-US"/>
              </w:rPr>
              <w:t>B-double not longer than 23.0m in length</w:t>
            </w:r>
          </w:p>
        </w:tc>
        <w:tc>
          <w:tcPr>
            <w:tcW w:w="4480" w:type="dxa"/>
            <w:tcBorders>
              <w:top w:val="single" w:sz="4" w:space="0" w:color="auto"/>
              <w:left w:val="single" w:sz="4" w:space="0" w:color="auto"/>
              <w:bottom w:val="single" w:sz="4" w:space="0" w:color="auto"/>
              <w:right w:val="single" w:sz="4" w:space="0" w:color="auto"/>
            </w:tcBorders>
            <w:vAlign w:val="center"/>
            <w:hideMark/>
          </w:tcPr>
          <w:p w14:paraId="7BC30ED7" w14:textId="77777777" w:rsidR="00B21A50" w:rsidRPr="00B21A50" w:rsidRDefault="00B21A50" w:rsidP="00B21A50">
            <w:pPr>
              <w:contextualSpacing/>
              <w:jc w:val="center"/>
              <w:rPr>
                <w:lang w:val="en-US"/>
              </w:rPr>
            </w:pPr>
            <w:r w:rsidRPr="00B21A50">
              <w:rPr>
                <w:lang w:val="en-US"/>
              </w:rPr>
              <w:t xml:space="preserve">23 </w:t>
            </w:r>
            <w:proofErr w:type="spellStart"/>
            <w:r w:rsidRPr="00B21A50">
              <w:rPr>
                <w:lang w:val="en-US"/>
              </w:rPr>
              <w:t>metre</w:t>
            </w:r>
            <w:proofErr w:type="spellEnd"/>
            <w:r w:rsidRPr="00B21A50">
              <w:rPr>
                <w:lang w:val="en-US"/>
              </w:rPr>
              <w:t xml:space="preserve"> B-double Route</w:t>
            </w:r>
          </w:p>
          <w:p w14:paraId="051D53EE" w14:textId="77777777" w:rsidR="00B21A50" w:rsidRPr="00B21A50" w:rsidRDefault="00B21A50" w:rsidP="00B21A50">
            <w:pPr>
              <w:contextualSpacing/>
              <w:jc w:val="center"/>
              <w:rPr>
                <w:lang w:val="en-US"/>
              </w:rPr>
            </w:pPr>
            <w:r w:rsidRPr="00B21A50">
              <w:rPr>
                <w:lang w:val="en-US"/>
              </w:rPr>
              <w:t xml:space="preserve">25/26 </w:t>
            </w:r>
            <w:proofErr w:type="spellStart"/>
            <w:r w:rsidRPr="00B21A50">
              <w:rPr>
                <w:lang w:val="en-US"/>
              </w:rPr>
              <w:t>metre</w:t>
            </w:r>
            <w:proofErr w:type="spellEnd"/>
            <w:r w:rsidRPr="00B21A50">
              <w:rPr>
                <w:lang w:val="en-US"/>
              </w:rPr>
              <w:t xml:space="preserve"> B-double and PBS 2A Route</w:t>
            </w:r>
          </w:p>
          <w:p w14:paraId="512994D2" w14:textId="77777777" w:rsidR="00B21A50" w:rsidRPr="00B21A50" w:rsidRDefault="00B21A50" w:rsidP="00B21A50">
            <w:pPr>
              <w:contextualSpacing/>
              <w:jc w:val="center"/>
              <w:rPr>
                <w:lang w:val="en-US"/>
              </w:rPr>
            </w:pPr>
            <w:r w:rsidRPr="00B21A50">
              <w:rPr>
                <w:lang w:val="en-US"/>
              </w:rPr>
              <w:t>Type 1 Road Train and PBS 3A Route</w:t>
            </w:r>
          </w:p>
          <w:p w14:paraId="40FBE64E" w14:textId="433F2171" w:rsidR="005C7AB3" w:rsidRDefault="00B21A50" w:rsidP="00B21A50">
            <w:pPr>
              <w:contextualSpacing/>
              <w:jc w:val="center"/>
              <w:rPr>
                <w:lang w:val="en-US"/>
              </w:rPr>
            </w:pPr>
            <w:r w:rsidRPr="00B21A50">
              <w:rPr>
                <w:lang w:val="en-US"/>
              </w:rPr>
              <w:t>Type 2 Road Train and PBS 4A Route</w:t>
            </w:r>
          </w:p>
        </w:tc>
        <w:tc>
          <w:tcPr>
            <w:tcW w:w="1650" w:type="dxa"/>
            <w:vMerge w:val="restart"/>
            <w:tcBorders>
              <w:top w:val="single" w:sz="4" w:space="0" w:color="auto"/>
              <w:left w:val="single" w:sz="4" w:space="0" w:color="auto"/>
              <w:bottom w:val="single" w:sz="4" w:space="0" w:color="auto"/>
              <w:right w:val="single" w:sz="4" w:space="0" w:color="auto"/>
            </w:tcBorders>
            <w:vAlign w:val="center"/>
            <w:hideMark/>
          </w:tcPr>
          <w:p w14:paraId="1ABF0632" w14:textId="19A46975" w:rsidR="005C7AB3" w:rsidRDefault="005C7AB3" w:rsidP="00362914">
            <w:pPr>
              <w:contextualSpacing/>
              <w:jc w:val="center"/>
              <w:rPr>
                <w:lang w:val="en-US"/>
              </w:rPr>
            </w:pPr>
            <w:r>
              <w:rPr>
                <w:i/>
                <w:iCs/>
                <w:lang w:val="en-US"/>
              </w:rPr>
              <w:t xml:space="preserve">National Class 2 B-Double </w:t>
            </w:r>
            <w:proofErr w:type="spellStart"/>
            <w:r>
              <w:rPr>
                <w:i/>
                <w:iCs/>
                <w:lang w:val="en-US"/>
              </w:rPr>
              <w:t>Authorisation</w:t>
            </w:r>
            <w:proofErr w:type="spellEnd"/>
            <w:r>
              <w:rPr>
                <w:i/>
                <w:iCs/>
                <w:lang w:val="en-US"/>
              </w:rPr>
              <w:t xml:space="preserve"> </w:t>
            </w:r>
            <w:r w:rsidR="00362914">
              <w:rPr>
                <w:i/>
                <w:iCs/>
                <w:lang w:val="en-US"/>
              </w:rPr>
              <w:t>N</w:t>
            </w:r>
            <w:r>
              <w:rPr>
                <w:i/>
                <w:iCs/>
                <w:lang w:val="en-US"/>
              </w:rPr>
              <w:t>otice</w:t>
            </w:r>
          </w:p>
        </w:tc>
      </w:tr>
      <w:tr w:rsidR="005C7AB3" w14:paraId="71BDA91E" w14:textId="77777777" w:rsidTr="003475F4">
        <w:trPr>
          <w:trHeight w:val="537"/>
        </w:trPr>
        <w:tc>
          <w:tcPr>
            <w:tcW w:w="1898" w:type="dxa"/>
            <w:tcBorders>
              <w:top w:val="single" w:sz="4" w:space="0" w:color="auto"/>
              <w:left w:val="single" w:sz="4" w:space="0" w:color="auto"/>
              <w:bottom w:val="single" w:sz="4" w:space="0" w:color="auto"/>
              <w:right w:val="single" w:sz="4" w:space="0" w:color="auto"/>
            </w:tcBorders>
            <w:vAlign w:val="center"/>
            <w:hideMark/>
          </w:tcPr>
          <w:p w14:paraId="73477B72" w14:textId="77777777" w:rsidR="005C7AB3" w:rsidRDefault="005C7AB3" w:rsidP="00362914">
            <w:pPr>
              <w:contextualSpacing/>
              <w:jc w:val="center"/>
              <w:rPr>
                <w:lang w:val="en-US"/>
              </w:rPr>
            </w:pPr>
            <w:r>
              <w:rPr>
                <w:lang w:val="en-US"/>
              </w:rPr>
              <w:t>B-double not longer than 26.0m in length</w:t>
            </w:r>
          </w:p>
        </w:tc>
        <w:tc>
          <w:tcPr>
            <w:tcW w:w="4480" w:type="dxa"/>
            <w:tcBorders>
              <w:top w:val="single" w:sz="4" w:space="0" w:color="auto"/>
              <w:left w:val="single" w:sz="4" w:space="0" w:color="auto"/>
              <w:bottom w:val="single" w:sz="4" w:space="0" w:color="auto"/>
              <w:right w:val="single" w:sz="4" w:space="0" w:color="auto"/>
            </w:tcBorders>
            <w:vAlign w:val="center"/>
            <w:hideMark/>
          </w:tcPr>
          <w:p w14:paraId="6AB994A0" w14:textId="77777777" w:rsidR="002E4852" w:rsidRPr="002E4852" w:rsidRDefault="002E4852" w:rsidP="002E4852">
            <w:pPr>
              <w:contextualSpacing/>
              <w:jc w:val="center"/>
              <w:rPr>
                <w:lang w:val="en-US"/>
              </w:rPr>
            </w:pPr>
            <w:r w:rsidRPr="002E4852">
              <w:rPr>
                <w:lang w:val="en-US"/>
              </w:rPr>
              <w:t xml:space="preserve">25/26 </w:t>
            </w:r>
            <w:proofErr w:type="spellStart"/>
            <w:r w:rsidRPr="002E4852">
              <w:rPr>
                <w:lang w:val="en-US"/>
              </w:rPr>
              <w:t>metre</w:t>
            </w:r>
            <w:proofErr w:type="spellEnd"/>
            <w:r w:rsidRPr="002E4852">
              <w:rPr>
                <w:lang w:val="en-US"/>
              </w:rPr>
              <w:t xml:space="preserve"> B-double and PBS 2A Route</w:t>
            </w:r>
          </w:p>
          <w:p w14:paraId="6C87A06E" w14:textId="77777777" w:rsidR="002E4852" w:rsidRPr="002E4852" w:rsidRDefault="002E4852" w:rsidP="002E4852">
            <w:pPr>
              <w:contextualSpacing/>
              <w:jc w:val="center"/>
              <w:rPr>
                <w:lang w:val="en-US"/>
              </w:rPr>
            </w:pPr>
            <w:r w:rsidRPr="002E4852">
              <w:rPr>
                <w:lang w:val="en-US"/>
              </w:rPr>
              <w:t>Type 1 Road Train and PBS 3A Route</w:t>
            </w:r>
          </w:p>
          <w:p w14:paraId="1857ABD1" w14:textId="2A2281CA" w:rsidR="005C7AB3" w:rsidRDefault="002E4852" w:rsidP="002E4852">
            <w:pPr>
              <w:contextualSpacing/>
              <w:jc w:val="center"/>
              <w:rPr>
                <w:lang w:val="en-US"/>
              </w:rPr>
            </w:pPr>
            <w:r w:rsidRPr="002E4852">
              <w:rPr>
                <w:lang w:val="en-US"/>
              </w:rPr>
              <w:t>Type 2 Road Train and PBS 4A Route</w:t>
            </w:r>
          </w:p>
        </w:tc>
        <w:tc>
          <w:tcPr>
            <w:tcW w:w="1650" w:type="dxa"/>
            <w:vMerge/>
            <w:tcBorders>
              <w:top w:val="single" w:sz="4" w:space="0" w:color="auto"/>
              <w:left w:val="single" w:sz="4" w:space="0" w:color="auto"/>
              <w:bottom w:val="single" w:sz="4" w:space="0" w:color="auto"/>
              <w:right w:val="single" w:sz="4" w:space="0" w:color="auto"/>
            </w:tcBorders>
            <w:vAlign w:val="center"/>
            <w:hideMark/>
          </w:tcPr>
          <w:p w14:paraId="76673DE0" w14:textId="77777777" w:rsidR="005C7AB3" w:rsidRDefault="005C7AB3" w:rsidP="00362914">
            <w:pPr>
              <w:contextualSpacing/>
              <w:rPr>
                <w:lang w:val="en-US"/>
              </w:rPr>
            </w:pPr>
          </w:p>
        </w:tc>
      </w:tr>
      <w:tr w:rsidR="00362914" w14:paraId="6C8318DC" w14:textId="77777777" w:rsidTr="003475F4">
        <w:trPr>
          <w:trHeight w:val="537"/>
        </w:trPr>
        <w:tc>
          <w:tcPr>
            <w:tcW w:w="1898" w:type="dxa"/>
            <w:tcBorders>
              <w:top w:val="single" w:sz="4" w:space="0" w:color="auto"/>
              <w:left w:val="single" w:sz="4" w:space="0" w:color="auto"/>
              <w:bottom w:val="single" w:sz="4" w:space="0" w:color="auto"/>
              <w:right w:val="single" w:sz="4" w:space="0" w:color="auto"/>
            </w:tcBorders>
            <w:vAlign w:val="center"/>
          </w:tcPr>
          <w:p w14:paraId="72676A68" w14:textId="080D9AA9" w:rsidR="00362914" w:rsidRDefault="00362914" w:rsidP="00362914">
            <w:pPr>
              <w:contextualSpacing/>
              <w:jc w:val="center"/>
              <w:rPr>
                <w:lang w:val="en-US"/>
              </w:rPr>
            </w:pPr>
            <w:r w:rsidRPr="009A4F87">
              <w:rPr>
                <w:lang w:val="en-US"/>
              </w:rPr>
              <w:t>Type 1 Road Train, up to 36.5m in length</w:t>
            </w:r>
          </w:p>
        </w:tc>
        <w:tc>
          <w:tcPr>
            <w:tcW w:w="4480" w:type="dxa"/>
            <w:tcBorders>
              <w:top w:val="single" w:sz="4" w:space="0" w:color="auto"/>
              <w:left w:val="single" w:sz="4" w:space="0" w:color="auto"/>
              <w:bottom w:val="single" w:sz="4" w:space="0" w:color="auto"/>
              <w:right w:val="single" w:sz="4" w:space="0" w:color="auto"/>
            </w:tcBorders>
            <w:vAlign w:val="center"/>
          </w:tcPr>
          <w:p w14:paraId="460F6CC0" w14:textId="77777777" w:rsidR="002E4852" w:rsidRPr="002E4852" w:rsidRDefault="002E4852" w:rsidP="002E4852">
            <w:pPr>
              <w:contextualSpacing/>
              <w:jc w:val="center"/>
              <w:rPr>
                <w:lang w:val="en-US"/>
              </w:rPr>
            </w:pPr>
            <w:r w:rsidRPr="002E4852">
              <w:rPr>
                <w:lang w:val="en-US"/>
              </w:rPr>
              <w:t>Type 1 Road Train and PBS 3A Route</w:t>
            </w:r>
          </w:p>
          <w:p w14:paraId="046A0149" w14:textId="58CBCE8D" w:rsidR="00362914" w:rsidRDefault="002E4852" w:rsidP="002E4852">
            <w:pPr>
              <w:contextualSpacing/>
              <w:jc w:val="center"/>
              <w:rPr>
                <w:lang w:val="en-US"/>
              </w:rPr>
            </w:pPr>
            <w:r w:rsidRPr="002E4852">
              <w:rPr>
                <w:lang w:val="en-US"/>
              </w:rPr>
              <w:t>Type 2 Road Train and PBS 4A Route</w:t>
            </w:r>
          </w:p>
        </w:tc>
        <w:tc>
          <w:tcPr>
            <w:tcW w:w="1650" w:type="dxa"/>
            <w:vMerge w:val="restart"/>
            <w:tcBorders>
              <w:top w:val="single" w:sz="4" w:space="0" w:color="auto"/>
              <w:left w:val="single" w:sz="4" w:space="0" w:color="auto"/>
              <w:right w:val="single" w:sz="4" w:space="0" w:color="auto"/>
            </w:tcBorders>
            <w:vAlign w:val="center"/>
          </w:tcPr>
          <w:p w14:paraId="71BFF767" w14:textId="60FEF00B" w:rsidR="00362914" w:rsidRPr="003475F4" w:rsidRDefault="003475F4" w:rsidP="003475F4">
            <w:pPr>
              <w:contextualSpacing/>
              <w:jc w:val="center"/>
              <w:rPr>
                <w:i/>
                <w:iCs/>
                <w:lang w:val="en-US"/>
              </w:rPr>
            </w:pPr>
            <w:r w:rsidRPr="003475F4">
              <w:rPr>
                <w:i/>
                <w:iCs/>
                <w:lang w:val="en-US"/>
              </w:rPr>
              <w:t xml:space="preserve">National Class 2 Road Train </w:t>
            </w:r>
            <w:proofErr w:type="spellStart"/>
            <w:r w:rsidRPr="003475F4">
              <w:rPr>
                <w:i/>
                <w:iCs/>
                <w:lang w:val="en-US"/>
              </w:rPr>
              <w:t>Authorisation</w:t>
            </w:r>
            <w:proofErr w:type="spellEnd"/>
            <w:r w:rsidRPr="003475F4">
              <w:rPr>
                <w:i/>
                <w:iCs/>
                <w:lang w:val="en-US"/>
              </w:rPr>
              <w:t xml:space="preserve"> Notice</w:t>
            </w:r>
          </w:p>
        </w:tc>
      </w:tr>
      <w:tr w:rsidR="00362914" w14:paraId="47A609E5" w14:textId="77777777" w:rsidTr="003475F4">
        <w:trPr>
          <w:trHeight w:val="537"/>
        </w:trPr>
        <w:tc>
          <w:tcPr>
            <w:tcW w:w="1898" w:type="dxa"/>
            <w:tcBorders>
              <w:top w:val="single" w:sz="4" w:space="0" w:color="auto"/>
              <w:left w:val="single" w:sz="4" w:space="0" w:color="auto"/>
              <w:bottom w:val="single" w:sz="4" w:space="0" w:color="auto"/>
              <w:right w:val="single" w:sz="4" w:space="0" w:color="auto"/>
            </w:tcBorders>
            <w:vAlign w:val="center"/>
          </w:tcPr>
          <w:p w14:paraId="0CE1BAC2" w14:textId="7FE22146" w:rsidR="00362914" w:rsidRDefault="00362914" w:rsidP="00362914">
            <w:pPr>
              <w:contextualSpacing/>
              <w:jc w:val="center"/>
              <w:rPr>
                <w:lang w:val="en-US"/>
              </w:rPr>
            </w:pPr>
            <w:r w:rsidRPr="001825BD">
              <w:rPr>
                <w:lang w:val="en-US"/>
              </w:rPr>
              <w:t>Type 2 Road Train, up to 53.5m in length</w:t>
            </w:r>
          </w:p>
        </w:tc>
        <w:tc>
          <w:tcPr>
            <w:tcW w:w="4480" w:type="dxa"/>
            <w:tcBorders>
              <w:top w:val="single" w:sz="4" w:space="0" w:color="auto"/>
              <w:left w:val="single" w:sz="4" w:space="0" w:color="auto"/>
              <w:bottom w:val="single" w:sz="4" w:space="0" w:color="auto"/>
              <w:right w:val="single" w:sz="4" w:space="0" w:color="auto"/>
            </w:tcBorders>
            <w:vAlign w:val="center"/>
          </w:tcPr>
          <w:p w14:paraId="4AC6613E" w14:textId="773FA2A6" w:rsidR="00362914" w:rsidRDefault="00815133" w:rsidP="00362914">
            <w:pPr>
              <w:contextualSpacing/>
              <w:jc w:val="center"/>
              <w:rPr>
                <w:lang w:val="en-US"/>
              </w:rPr>
            </w:pPr>
            <w:r w:rsidRPr="00815133">
              <w:rPr>
                <w:lang w:val="en-US"/>
              </w:rPr>
              <w:t>Type 2 Road Train and PBS 4A Route</w:t>
            </w:r>
          </w:p>
        </w:tc>
        <w:tc>
          <w:tcPr>
            <w:tcW w:w="1650" w:type="dxa"/>
            <w:vMerge/>
            <w:tcBorders>
              <w:left w:val="single" w:sz="4" w:space="0" w:color="auto"/>
              <w:bottom w:val="single" w:sz="4" w:space="0" w:color="auto"/>
              <w:right w:val="single" w:sz="4" w:space="0" w:color="auto"/>
            </w:tcBorders>
            <w:vAlign w:val="center"/>
          </w:tcPr>
          <w:p w14:paraId="378D6D47" w14:textId="77777777" w:rsidR="00362914" w:rsidRDefault="00362914" w:rsidP="00362914">
            <w:pPr>
              <w:contextualSpacing/>
              <w:rPr>
                <w:lang w:val="en-US"/>
              </w:rPr>
            </w:pPr>
          </w:p>
        </w:tc>
      </w:tr>
    </w:tbl>
    <w:p w14:paraId="5CBC34E6" w14:textId="77777777" w:rsidR="005C7AB3" w:rsidRPr="009825E8" w:rsidRDefault="005C7AB3" w:rsidP="00362914">
      <w:pPr>
        <w:contextualSpacing/>
        <w:jc w:val="both"/>
        <w:rPr>
          <w:lang w:val="en-US"/>
        </w:rPr>
      </w:pPr>
    </w:p>
    <w:p w14:paraId="10766A03" w14:textId="2C6EAE28" w:rsidR="00C913EA" w:rsidRDefault="00D969CE" w:rsidP="008842D6">
      <w:pPr>
        <w:pStyle w:val="ListParagraph"/>
        <w:numPr>
          <w:ilvl w:val="0"/>
          <w:numId w:val="7"/>
        </w:numPr>
        <w:jc w:val="both"/>
      </w:pPr>
      <w:r>
        <w:t>Acc</w:t>
      </w:r>
      <w:r w:rsidR="00CB393B">
        <w:t xml:space="preserve">ess to networks listed in Column 2 of Table 1 </w:t>
      </w:r>
      <w:r w:rsidR="00311A20">
        <w:t xml:space="preserve">are limited to </w:t>
      </w:r>
      <w:r w:rsidR="00555851">
        <w:t>parts of that network</w:t>
      </w:r>
      <w:r w:rsidR="00311A20">
        <w:t xml:space="preserve"> that coincide with the </w:t>
      </w:r>
      <w:r w:rsidR="00311A20" w:rsidRPr="00555851">
        <w:rPr>
          <w:i/>
          <w:iCs/>
        </w:rPr>
        <w:t>Queensland Higher Mass Limits</w:t>
      </w:r>
      <w:r w:rsidR="00311A20">
        <w:t xml:space="preserve"> network.</w:t>
      </w:r>
    </w:p>
    <w:p w14:paraId="466C6401" w14:textId="77777777" w:rsidR="008842D6" w:rsidRDefault="008842D6" w:rsidP="008842D6">
      <w:pPr>
        <w:pStyle w:val="ListParagraph"/>
        <w:ind w:left="1080"/>
        <w:jc w:val="both"/>
      </w:pPr>
    </w:p>
    <w:p w14:paraId="2F8E554D" w14:textId="77777777" w:rsidR="00892F0E" w:rsidRDefault="00892F0E" w:rsidP="00892F0E">
      <w:pPr>
        <w:pStyle w:val="ListParagraph"/>
        <w:numPr>
          <w:ilvl w:val="0"/>
          <w:numId w:val="7"/>
        </w:numPr>
        <w:jc w:val="both"/>
      </w:pPr>
      <w:r>
        <w:t xml:space="preserve">Regardless of any access granted under this section, an eligible vehicle must comply with any conditions or restrictions applied to a stated area or route in the </w:t>
      </w:r>
      <w:r w:rsidRPr="00122A21">
        <w:rPr>
          <w:i/>
          <w:iCs/>
        </w:rPr>
        <w:t xml:space="preserve">Specified Road Manager Network Requirements </w:t>
      </w:r>
      <w:r>
        <w:t>in the Guide.</w:t>
      </w:r>
    </w:p>
    <w:p w14:paraId="026B3681" w14:textId="77777777" w:rsidR="00892F0E" w:rsidRDefault="00892F0E" w:rsidP="00892F0E">
      <w:pPr>
        <w:pStyle w:val="ListParagraph"/>
        <w:ind w:left="1080"/>
        <w:jc w:val="both"/>
      </w:pPr>
    </w:p>
    <w:p w14:paraId="318853F0" w14:textId="2C51DD4E" w:rsidR="00892F0E" w:rsidRPr="00627EA4" w:rsidRDefault="00892F0E" w:rsidP="00892F0E">
      <w:pPr>
        <w:pStyle w:val="ListParagraph"/>
        <w:numPr>
          <w:ilvl w:val="0"/>
          <w:numId w:val="7"/>
        </w:numPr>
        <w:jc w:val="both"/>
      </w:pPr>
      <w:r w:rsidRPr="00DF3211">
        <w:t>In this s</w:t>
      </w:r>
      <w:r>
        <w:t xml:space="preserve">ection, </w:t>
      </w:r>
      <w:r w:rsidRPr="00814E3C">
        <w:rPr>
          <w:b/>
          <w:bCs/>
          <w:i/>
          <w:iCs/>
        </w:rPr>
        <w:t>network</w:t>
      </w:r>
      <w:r>
        <w:t xml:space="preserve"> means a map, </w:t>
      </w:r>
      <w:proofErr w:type="gramStart"/>
      <w:r>
        <w:t>list</w:t>
      </w:r>
      <w:proofErr w:type="gramEnd"/>
      <w:r>
        <w:t xml:space="preserve"> or database, presented electronically or otherwise, that represents the stated areas and stated routes authorised under this notice.</w:t>
      </w:r>
    </w:p>
    <w:p w14:paraId="7EC65B8A" w14:textId="77777777" w:rsidR="0044353B" w:rsidRDefault="0044353B" w:rsidP="0044353B">
      <w:pPr>
        <w:pStyle w:val="ListParagraph"/>
        <w:ind w:left="1440"/>
        <w:jc w:val="both"/>
      </w:pPr>
    </w:p>
    <w:p w14:paraId="45EABBBF" w14:textId="77777777" w:rsidR="001D61F2" w:rsidRDefault="001D61F2" w:rsidP="0044353B">
      <w:pPr>
        <w:pStyle w:val="ListParagraph"/>
        <w:ind w:left="1440"/>
        <w:jc w:val="both"/>
      </w:pPr>
    </w:p>
    <w:p w14:paraId="5A5DE960" w14:textId="77777777" w:rsidR="001D61F2" w:rsidRPr="00AB5975" w:rsidRDefault="001D61F2" w:rsidP="0044353B">
      <w:pPr>
        <w:pStyle w:val="ListParagraph"/>
        <w:ind w:left="1440"/>
        <w:jc w:val="both"/>
        <w:rPr>
          <w:i/>
          <w:iCs/>
        </w:rPr>
      </w:pPr>
    </w:p>
    <w:p w14:paraId="6F9EB003" w14:textId="77777777" w:rsidR="00213FD1" w:rsidRDefault="00213FD1" w:rsidP="00362914">
      <w:pPr>
        <w:pStyle w:val="ListParagraph"/>
        <w:numPr>
          <w:ilvl w:val="0"/>
          <w:numId w:val="7"/>
        </w:numPr>
        <w:jc w:val="both"/>
      </w:pPr>
      <w:r>
        <w:t>An eligible vehicle operating on an area or route specified in this section must comply with the following conditions as specified for a route or area:</w:t>
      </w:r>
    </w:p>
    <w:p w14:paraId="35D36158" w14:textId="77777777" w:rsidR="00213FD1" w:rsidRDefault="00213FD1" w:rsidP="00362914">
      <w:pPr>
        <w:pStyle w:val="ListParagraph"/>
        <w:ind w:left="1080"/>
        <w:jc w:val="both"/>
      </w:pPr>
    </w:p>
    <w:p w14:paraId="094A495C" w14:textId="77777777" w:rsidR="00213FD1" w:rsidRDefault="00213FD1" w:rsidP="00362914">
      <w:pPr>
        <w:pStyle w:val="ListParagraph"/>
        <w:numPr>
          <w:ilvl w:val="0"/>
          <w:numId w:val="8"/>
        </w:numPr>
        <w:jc w:val="both"/>
      </w:pPr>
      <w:r>
        <w:t>Road conditions pursuant to section 160 of the HVNL; and</w:t>
      </w:r>
    </w:p>
    <w:p w14:paraId="01ED007A" w14:textId="77777777" w:rsidR="00213FD1" w:rsidRDefault="00213FD1" w:rsidP="00362914">
      <w:pPr>
        <w:pStyle w:val="ListParagraph"/>
        <w:numPr>
          <w:ilvl w:val="0"/>
          <w:numId w:val="8"/>
        </w:numPr>
        <w:jc w:val="both"/>
      </w:pPr>
      <w:r>
        <w:t>Travel conditions pursuant to section 161 of the HVNL; and</w:t>
      </w:r>
    </w:p>
    <w:p w14:paraId="7C3808AE" w14:textId="77777777" w:rsidR="00213FD1" w:rsidRDefault="00213FD1" w:rsidP="00362914">
      <w:pPr>
        <w:pStyle w:val="ListParagraph"/>
        <w:numPr>
          <w:ilvl w:val="0"/>
          <w:numId w:val="8"/>
        </w:numPr>
        <w:jc w:val="both"/>
      </w:pPr>
      <w:r>
        <w:t>Vehicle conditions pursuant to section 162 of the HVNL.</w:t>
      </w:r>
    </w:p>
    <w:p w14:paraId="542AFE85" w14:textId="77AA24AD" w:rsidR="00371D42" w:rsidRDefault="00371D42" w:rsidP="00362914">
      <w:pPr>
        <w:contextualSpacing/>
        <w:rPr>
          <w:b/>
          <w:bCs/>
          <w:sz w:val="28"/>
          <w:szCs w:val="28"/>
          <w:lang w:val="en-US"/>
        </w:rPr>
      </w:pPr>
    </w:p>
    <w:p w14:paraId="47C2C278" w14:textId="77777777" w:rsidR="00255BAF" w:rsidRDefault="00255BAF" w:rsidP="00255BAF">
      <w:pPr>
        <w:ind w:left="720"/>
        <w:contextualSpacing/>
        <w:jc w:val="both"/>
      </w:pPr>
      <w:r>
        <w:t>Peter Austin</w:t>
      </w:r>
    </w:p>
    <w:p w14:paraId="15AB5F18" w14:textId="77777777" w:rsidR="00255BAF" w:rsidRPr="00912586" w:rsidRDefault="00255BAF" w:rsidP="00255BAF">
      <w:pPr>
        <w:ind w:left="720"/>
        <w:contextualSpacing/>
        <w:jc w:val="both"/>
        <w:rPr>
          <w:i/>
          <w:iCs/>
        </w:rPr>
      </w:pPr>
      <w:r w:rsidRPr="00912586">
        <w:rPr>
          <w:i/>
          <w:iCs/>
        </w:rPr>
        <w:t>Director</w:t>
      </w:r>
      <w:r>
        <w:rPr>
          <w:i/>
          <w:iCs/>
        </w:rPr>
        <w:t>,</w:t>
      </w:r>
      <w:r w:rsidRPr="00912586">
        <w:rPr>
          <w:i/>
          <w:iCs/>
        </w:rPr>
        <w:t xml:space="preserve"> </w:t>
      </w:r>
      <w:r>
        <w:rPr>
          <w:i/>
          <w:iCs/>
        </w:rPr>
        <w:t>Policy Implementation</w:t>
      </w:r>
    </w:p>
    <w:p w14:paraId="6A6BEBF7" w14:textId="77777777" w:rsidR="00255BAF" w:rsidRPr="00912586" w:rsidRDefault="00255BAF" w:rsidP="00255BAF">
      <w:pPr>
        <w:ind w:left="720"/>
        <w:contextualSpacing/>
        <w:jc w:val="both"/>
        <w:rPr>
          <w:b/>
          <w:bCs/>
        </w:rPr>
      </w:pPr>
      <w:r w:rsidRPr="00912586">
        <w:rPr>
          <w:b/>
          <w:bCs/>
        </w:rPr>
        <w:t>National Heavy Vehicle Regulator</w:t>
      </w:r>
    </w:p>
    <w:p w14:paraId="2A84E7F1" w14:textId="77777777" w:rsidR="00255BAF" w:rsidRDefault="00255BAF" w:rsidP="00362914">
      <w:pPr>
        <w:contextualSpacing/>
        <w:rPr>
          <w:b/>
          <w:bCs/>
          <w:sz w:val="28"/>
          <w:szCs w:val="28"/>
          <w:lang w:val="en-US"/>
        </w:rPr>
      </w:pPr>
    </w:p>
    <w:sectPr w:rsidR="00255BAF" w:rsidSect="00E739D0">
      <w:footerReference w:type="default" r:id="rId12"/>
      <w:headerReference w:type="first" r:id="rId13"/>
      <w:foot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B0988" w14:textId="77777777" w:rsidR="00720B6F" w:rsidRDefault="00720B6F" w:rsidP="00FF165E">
      <w:pPr>
        <w:spacing w:after="0" w:line="240" w:lineRule="auto"/>
      </w:pPr>
      <w:r>
        <w:separator/>
      </w:r>
    </w:p>
  </w:endnote>
  <w:endnote w:type="continuationSeparator" w:id="0">
    <w:p w14:paraId="2E908136" w14:textId="77777777" w:rsidR="00720B6F" w:rsidRDefault="00720B6F" w:rsidP="00FF165E">
      <w:pPr>
        <w:spacing w:after="0" w:line="240" w:lineRule="auto"/>
      </w:pPr>
      <w:r>
        <w:continuationSeparator/>
      </w:r>
    </w:p>
  </w:endnote>
  <w:endnote w:type="continuationNotice" w:id="1">
    <w:p w14:paraId="0804B4C7" w14:textId="77777777" w:rsidR="00720B6F" w:rsidRDefault="00720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92B3" w14:textId="77777777" w:rsidR="00FF165E" w:rsidRDefault="00FF165E">
    <w:pPr>
      <w:pStyle w:val="Footer"/>
      <w:jc w:val="right"/>
    </w:pPr>
  </w:p>
  <w:p w14:paraId="218190C5" w14:textId="6C63915F" w:rsidR="00816A3D" w:rsidRDefault="00816A3D" w:rsidP="00FF165E">
    <w:pPr>
      <w:pStyle w:val="Footer"/>
      <w:jc w:val="right"/>
    </w:pPr>
    <w:r w:rsidRPr="00816A3D">
      <w:t>Queensland Higher Mass Limits Declaration 202</w:t>
    </w:r>
    <w:r w:rsidR="00E50AAC">
      <w:t>4</w:t>
    </w:r>
    <w:r w:rsidRPr="00816A3D">
      <w:t xml:space="preserve"> (No.1)</w:t>
    </w:r>
  </w:p>
  <w:p w14:paraId="7C4797CB" w14:textId="65524DDA" w:rsidR="00FF165E" w:rsidRDefault="00246855" w:rsidP="00FF165E">
    <w:pPr>
      <w:pStyle w:val="Footer"/>
      <w:jc w:val="right"/>
    </w:pPr>
    <w:sdt>
      <w:sdtPr>
        <w:id w:val="-456180703"/>
        <w:docPartObj>
          <w:docPartGallery w:val="Page Numbers (Bottom of Page)"/>
          <w:docPartUnique/>
        </w:docPartObj>
      </w:sdtPr>
      <w:sdtEndPr/>
      <w:sdtContent>
        <w:sdt>
          <w:sdtPr>
            <w:id w:val="-1769616900"/>
            <w:docPartObj>
              <w:docPartGallery w:val="Page Numbers (Top of Page)"/>
              <w:docPartUnique/>
            </w:docPartObj>
          </w:sdtPr>
          <w:sdtEndPr/>
          <w:sdtContent>
            <w:r w:rsidR="00FF165E">
              <w:t xml:space="preserve">Page </w:t>
            </w:r>
            <w:r w:rsidR="00FF165E">
              <w:rPr>
                <w:b/>
                <w:bCs/>
                <w:sz w:val="24"/>
                <w:szCs w:val="24"/>
              </w:rPr>
              <w:fldChar w:fldCharType="begin"/>
            </w:r>
            <w:r w:rsidR="00FF165E">
              <w:rPr>
                <w:b/>
                <w:bCs/>
              </w:rPr>
              <w:instrText xml:space="preserve"> PAGE </w:instrText>
            </w:r>
            <w:r w:rsidR="00FF165E">
              <w:rPr>
                <w:b/>
                <w:bCs/>
                <w:sz w:val="24"/>
                <w:szCs w:val="24"/>
              </w:rPr>
              <w:fldChar w:fldCharType="separate"/>
            </w:r>
            <w:r w:rsidR="00FF165E">
              <w:rPr>
                <w:b/>
                <w:bCs/>
                <w:noProof/>
              </w:rPr>
              <w:t>2</w:t>
            </w:r>
            <w:r w:rsidR="00FF165E">
              <w:rPr>
                <w:b/>
                <w:bCs/>
                <w:sz w:val="24"/>
                <w:szCs w:val="24"/>
              </w:rPr>
              <w:fldChar w:fldCharType="end"/>
            </w:r>
            <w:r w:rsidR="00FF165E">
              <w:t xml:space="preserve"> of </w:t>
            </w:r>
            <w:r w:rsidR="00FF165E">
              <w:rPr>
                <w:b/>
                <w:bCs/>
                <w:sz w:val="24"/>
                <w:szCs w:val="24"/>
              </w:rPr>
              <w:fldChar w:fldCharType="begin"/>
            </w:r>
            <w:r w:rsidR="00FF165E">
              <w:rPr>
                <w:b/>
                <w:bCs/>
              </w:rPr>
              <w:instrText xml:space="preserve"> NUMPAGES  </w:instrText>
            </w:r>
            <w:r w:rsidR="00FF165E">
              <w:rPr>
                <w:b/>
                <w:bCs/>
                <w:sz w:val="24"/>
                <w:szCs w:val="24"/>
              </w:rPr>
              <w:fldChar w:fldCharType="separate"/>
            </w:r>
            <w:r w:rsidR="00FF165E">
              <w:rPr>
                <w:b/>
                <w:bCs/>
                <w:noProof/>
              </w:rPr>
              <w:t>2</w:t>
            </w:r>
            <w:r w:rsidR="00FF165E">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7A24" w14:textId="77777777" w:rsidR="00E739D0" w:rsidRDefault="00E739D0" w:rsidP="00E739D0">
    <w:pPr>
      <w:pStyle w:val="Footer"/>
      <w:jc w:val="right"/>
    </w:pPr>
  </w:p>
  <w:p w14:paraId="76E46874" w14:textId="77777777" w:rsidR="00E739D0" w:rsidRDefault="00E739D0" w:rsidP="00E739D0">
    <w:pPr>
      <w:pStyle w:val="Footer"/>
      <w:jc w:val="right"/>
    </w:pPr>
    <w:r w:rsidRPr="00816A3D">
      <w:t>Queensland Higher Mass Limits Declaration 202</w:t>
    </w:r>
    <w:r>
      <w:t>4</w:t>
    </w:r>
    <w:r w:rsidRPr="00816A3D">
      <w:t xml:space="preserve"> (No.1)</w:t>
    </w:r>
  </w:p>
  <w:p w14:paraId="7A19E321" w14:textId="738E469E" w:rsidR="00E739D0" w:rsidRDefault="00246855" w:rsidP="00E739D0">
    <w:pPr>
      <w:pStyle w:val="Footer"/>
      <w:jc w:val="right"/>
    </w:pPr>
    <w:sdt>
      <w:sdtPr>
        <w:id w:val="512266786"/>
        <w:docPartObj>
          <w:docPartGallery w:val="Page Numbers (Bottom of Page)"/>
          <w:docPartUnique/>
        </w:docPartObj>
      </w:sdtPr>
      <w:sdtEndPr/>
      <w:sdtContent>
        <w:sdt>
          <w:sdtPr>
            <w:id w:val="-2141249622"/>
            <w:docPartObj>
              <w:docPartGallery w:val="Page Numbers (Top of Page)"/>
              <w:docPartUnique/>
            </w:docPartObj>
          </w:sdtPr>
          <w:sdtEndPr/>
          <w:sdtContent>
            <w:r w:rsidR="00E739D0">
              <w:t xml:space="preserve">Page </w:t>
            </w:r>
            <w:r w:rsidR="00E739D0">
              <w:rPr>
                <w:b/>
                <w:bCs/>
                <w:sz w:val="24"/>
                <w:szCs w:val="24"/>
              </w:rPr>
              <w:fldChar w:fldCharType="begin"/>
            </w:r>
            <w:r w:rsidR="00E739D0">
              <w:rPr>
                <w:b/>
                <w:bCs/>
              </w:rPr>
              <w:instrText xml:space="preserve"> PAGE </w:instrText>
            </w:r>
            <w:r w:rsidR="00E739D0">
              <w:rPr>
                <w:b/>
                <w:bCs/>
                <w:sz w:val="24"/>
                <w:szCs w:val="24"/>
              </w:rPr>
              <w:fldChar w:fldCharType="separate"/>
            </w:r>
            <w:r w:rsidR="00E739D0">
              <w:rPr>
                <w:b/>
                <w:bCs/>
                <w:sz w:val="24"/>
                <w:szCs w:val="24"/>
              </w:rPr>
              <w:t>2</w:t>
            </w:r>
            <w:r w:rsidR="00E739D0">
              <w:rPr>
                <w:b/>
                <w:bCs/>
                <w:sz w:val="24"/>
                <w:szCs w:val="24"/>
              </w:rPr>
              <w:fldChar w:fldCharType="end"/>
            </w:r>
            <w:r w:rsidR="00E739D0">
              <w:t xml:space="preserve"> of </w:t>
            </w:r>
            <w:r w:rsidR="00E739D0">
              <w:rPr>
                <w:b/>
                <w:bCs/>
                <w:sz w:val="24"/>
                <w:szCs w:val="24"/>
              </w:rPr>
              <w:fldChar w:fldCharType="begin"/>
            </w:r>
            <w:r w:rsidR="00E739D0">
              <w:rPr>
                <w:b/>
                <w:bCs/>
              </w:rPr>
              <w:instrText xml:space="preserve"> NUMPAGES  </w:instrText>
            </w:r>
            <w:r w:rsidR="00E739D0">
              <w:rPr>
                <w:b/>
                <w:bCs/>
                <w:sz w:val="24"/>
                <w:szCs w:val="24"/>
              </w:rPr>
              <w:fldChar w:fldCharType="separate"/>
            </w:r>
            <w:r w:rsidR="00E739D0">
              <w:rPr>
                <w:b/>
                <w:bCs/>
                <w:sz w:val="24"/>
                <w:szCs w:val="24"/>
              </w:rPr>
              <w:t>4</w:t>
            </w:r>
            <w:r w:rsidR="00E739D0">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9C96D" w14:textId="77777777" w:rsidR="00720B6F" w:rsidRDefault="00720B6F" w:rsidP="00FF165E">
      <w:pPr>
        <w:spacing w:after="0" w:line="240" w:lineRule="auto"/>
      </w:pPr>
      <w:r>
        <w:separator/>
      </w:r>
    </w:p>
  </w:footnote>
  <w:footnote w:type="continuationSeparator" w:id="0">
    <w:p w14:paraId="7A1FA3A9" w14:textId="77777777" w:rsidR="00720B6F" w:rsidRDefault="00720B6F" w:rsidP="00FF165E">
      <w:pPr>
        <w:spacing w:after="0" w:line="240" w:lineRule="auto"/>
      </w:pPr>
      <w:r>
        <w:continuationSeparator/>
      </w:r>
    </w:p>
  </w:footnote>
  <w:footnote w:type="continuationNotice" w:id="1">
    <w:p w14:paraId="0011E97A" w14:textId="77777777" w:rsidR="00720B6F" w:rsidRDefault="00720B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jc w:val="center"/>
      <w:tblLayout w:type="fixed"/>
      <w:tblLook w:val="01E0" w:firstRow="1" w:lastRow="1" w:firstColumn="1" w:lastColumn="1" w:noHBand="0" w:noVBand="0"/>
    </w:tblPr>
    <w:tblGrid>
      <w:gridCol w:w="1263"/>
      <w:gridCol w:w="4435"/>
      <w:gridCol w:w="3979"/>
    </w:tblGrid>
    <w:tr w:rsidR="00E739D0" w:rsidRPr="00CE796A" w14:paraId="0B1B419D" w14:textId="77777777" w:rsidTr="00E739D0">
      <w:trPr>
        <w:trHeight w:val="984"/>
        <w:jc w:val="center"/>
      </w:trPr>
      <w:tc>
        <w:tcPr>
          <w:tcW w:w="1263" w:type="dxa"/>
          <w:tcBorders>
            <w:top w:val="single" w:sz="4" w:space="0" w:color="auto"/>
            <w:left w:val="nil"/>
            <w:bottom w:val="single" w:sz="4" w:space="0" w:color="auto"/>
            <w:right w:val="nil"/>
            <w:tl2br w:val="nil"/>
            <w:tr2bl w:val="nil"/>
          </w:tcBorders>
          <w:shd w:val="clear" w:color="auto" w:fill="auto"/>
        </w:tcPr>
        <w:p w14:paraId="52B4E9AF" w14:textId="77777777" w:rsidR="00E739D0" w:rsidRPr="00CE796A" w:rsidRDefault="00E739D0" w:rsidP="00E739D0">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29A46452" wp14:editId="22A9760F">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0175C934" w14:textId="77777777" w:rsidR="00E739D0" w:rsidRPr="00CE796A" w:rsidRDefault="00E739D0" w:rsidP="00E739D0">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1EB46F37" w14:textId="77777777" w:rsidR="00E739D0" w:rsidRPr="00CE796A" w:rsidRDefault="00E739D0" w:rsidP="00E739D0">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E739D0" w:rsidRPr="00CE796A" w14:paraId="65849065" w14:textId="77777777" w:rsidTr="00E739D0">
      <w:trPr>
        <w:trHeight w:val="340"/>
        <w:jc w:val="center"/>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2FB0DE98" w14:textId="77777777" w:rsidR="00E739D0" w:rsidRPr="00CE796A" w:rsidRDefault="00E739D0" w:rsidP="00E739D0">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2F58320B" w14:textId="77777777" w:rsidR="00E739D0" w:rsidRPr="00840A06" w:rsidRDefault="00E739D0" w:rsidP="00E739D0">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5BCA8C97" w14:textId="77777777" w:rsidR="00E739D0" w:rsidRDefault="00E73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1D6B"/>
    <w:multiLevelType w:val="hybridMultilevel"/>
    <w:tmpl w:val="7658842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CB3D68"/>
    <w:multiLevelType w:val="hybridMultilevel"/>
    <w:tmpl w:val="14767068"/>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15:restartNumberingAfterBreak="0">
    <w:nsid w:val="04B376CA"/>
    <w:multiLevelType w:val="hybridMultilevel"/>
    <w:tmpl w:val="D936892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3F5F0D"/>
    <w:multiLevelType w:val="hybridMultilevel"/>
    <w:tmpl w:val="16F41422"/>
    <w:lvl w:ilvl="0" w:tplc="0C090011">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7">
      <w:start w:val="1"/>
      <w:numFmt w:val="lowerLetter"/>
      <w:lvlText w:val="%2)"/>
      <w:lvlJc w:val="left"/>
      <w:pPr>
        <w:ind w:left="180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6A64E14"/>
    <w:multiLevelType w:val="hybridMultilevel"/>
    <w:tmpl w:val="3B14B73E"/>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7C116CA"/>
    <w:multiLevelType w:val="hybridMultilevel"/>
    <w:tmpl w:val="FD4A9FCE"/>
    <w:lvl w:ilvl="0" w:tplc="FFFFFFFF">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webHidden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800" w:hanging="360"/>
      </w:pPr>
      <w:rPr>
        <w:b w:val="0"/>
        <w:bCs w:val="0"/>
        <w:i w:val="0"/>
        <w:iCs w:val="0"/>
        <w:caps w:val="0"/>
        <w:smallCaps w:val="0"/>
        <w:strike w:val="0"/>
        <w:dstrike w:val="0"/>
        <w:outline w:val="0"/>
        <w:shadow w:val="0"/>
        <w:emboss w:val="0"/>
        <w:imprint w:val="0"/>
        <w:noProof w:val="0"/>
        <w:vanish w:val="0"/>
        <w:webHidden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08A7134E"/>
    <w:multiLevelType w:val="hybridMultilevel"/>
    <w:tmpl w:val="C8C85EBC"/>
    <w:lvl w:ilvl="0" w:tplc="3C2E1162">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9E70B7C"/>
    <w:multiLevelType w:val="hybridMultilevel"/>
    <w:tmpl w:val="D936892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0B393DBC"/>
    <w:multiLevelType w:val="hybridMultilevel"/>
    <w:tmpl w:val="3B14B73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F893F03"/>
    <w:multiLevelType w:val="hybridMultilevel"/>
    <w:tmpl w:val="FBC8D5CC"/>
    <w:lvl w:ilvl="0" w:tplc="FFFFFFFF">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webHidden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2160" w:hanging="360"/>
      </w:pPr>
      <w:rPr>
        <w:b w:val="0"/>
        <w:bCs w:val="0"/>
        <w:i w:val="0"/>
        <w:iCs w:val="0"/>
        <w:caps w:val="0"/>
        <w:smallCaps w:val="0"/>
        <w:strike w:val="0"/>
        <w:dstrike w:val="0"/>
        <w:outline w:val="0"/>
        <w:shadow w:val="0"/>
        <w:emboss w:val="0"/>
        <w:imprint w:val="0"/>
        <w:noProof w:val="0"/>
        <w:vanish w:val="0"/>
        <w:webHidden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11201A11"/>
    <w:multiLevelType w:val="hybridMultilevel"/>
    <w:tmpl w:val="8B9C6C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22C67F1"/>
    <w:multiLevelType w:val="hybridMultilevel"/>
    <w:tmpl w:val="B178C5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F82B9B"/>
    <w:multiLevelType w:val="hybridMultilevel"/>
    <w:tmpl w:val="3B14B73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A1B4660"/>
    <w:multiLevelType w:val="hybridMultilevel"/>
    <w:tmpl w:val="D936892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C732B98"/>
    <w:multiLevelType w:val="hybridMultilevel"/>
    <w:tmpl w:val="A664E220"/>
    <w:lvl w:ilvl="0" w:tplc="0C090017">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1EE4495F"/>
    <w:multiLevelType w:val="hybridMultilevel"/>
    <w:tmpl w:val="3B14B73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22C35A29"/>
    <w:multiLevelType w:val="hybridMultilevel"/>
    <w:tmpl w:val="D936892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AEB29E5"/>
    <w:multiLevelType w:val="hybridMultilevel"/>
    <w:tmpl w:val="6A8ABC3E"/>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B725E64"/>
    <w:multiLevelType w:val="hybridMultilevel"/>
    <w:tmpl w:val="7658842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2F951AA2"/>
    <w:multiLevelType w:val="hybridMultilevel"/>
    <w:tmpl w:val="E948323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2F9F3390"/>
    <w:multiLevelType w:val="hybridMultilevel"/>
    <w:tmpl w:val="A88EF80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3DA0313"/>
    <w:multiLevelType w:val="hybridMultilevel"/>
    <w:tmpl w:val="3B14B73E"/>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36447F0D"/>
    <w:multiLevelType w:val="hybridMultilevel"/>
    <w:tmpl w:val="E948323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B1015C8"/>
    <w:multiLevelType w:val="hybridMultilevel"/>
    <w:tmpl w:val="16F41422"/>
    <w:lvl w:ilvl="0" w:tplc="0C090011">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7">
      <w:start w:val="1"/>
      <w:numFmt w:val="lowerLetter"/>
      <w:lvlText w:val="%2)"/>
      <w:lvlJc w:val="left"/>
      <w:pPr>
        <w:ind w:left="180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11218A7"/>
    <w:multiLevelType w:val="hybridMultilevel"/>
    <w:tmpl w:val="C8C85EBC"/>
    <w:lvl w:ilvl="0" w:tplc="FFFFFFFF">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5EE0034"/>
    <w:multiLevelType w:val="hybridMultilevel"/>
    <w:tmpl w:val="3B14B73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47152AB3"/>
    <w:multiLevelType w:val="hybridMultilevel"/>
    <w:tmpl w:val="D936892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7DC0BF7"/>
    <w:multiLevelType w:val="hybridMultilevel"/>
    <w:tmpl w:val="215C3866"/>
    <w:lvl w:ilvl="0" w:tplc="FFFFFFFF">
      <w:start w:val="1"/>
      <w:numFmt w:val="lowerLetter"/>
      <w:lvlText w:val="%1)"/>
      <w:lvlJc w:val="left"/>
      <w:pPr>
        <w:ind w:left="1440" w:hanging="360"/>
      </w:pPr>
    </w:lvl>
    <w:lvl w:ilvl="1" w:tplc="0C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4C6CEF"/>
    <w:multiLevelType w:val="hybridMultilevel"/>
    <w:tmpl w:val="5934A848"/>
    <w:lvl w:ilvl="0" w:tplc="0C090017">
      <w:start w:val="1"/>
      <w:numFmt w:val="lowerLetter"/>
      <w:lvlText w:val="%1)"/>
      <w:lvlJc w:val="left"/>
      <w:pPr>
        <w:ind w:left="1440" w:hanging="360"/>
      </w:pPr>
    </w:lvl>
    <w:lvl w:ilvl="1" w:tplc="0C090017">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4B71606D"/>
    <w:multiLevelType w:val="hybridMultilevel"/>
    <w:tmpl w:val="257EDCF2"/>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4C3D7302"/>
    <w:multiLevelType w:val="hybridMultilevel"/>
    <w:tmpl w:val="16F41422"/>
    <w:lvl w:ilvl="0" w:tplc="FFFFFFFF">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80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C6636C5"/>
    <w:multiLevelType w:val="hybridMultilevel"/>
    <w:tmpl w:val="BAF84A1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4155EAF"/>
    <w:multiLevelType w:val="hybridMultilevel"/>
    <w:tmpl w:val="3E02444E"/>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550E539E"/>
    <w:multiLevelType w:val="hybridMultilevel"/>
    <w:tmpl w:val="35AC59A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63797464"/>
    <w:multiLevelType w:val="hybridMultilevel"/>
    <w:tmpl w:val="4CA24CDE"/>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6427793B"/>
    <w:multiLevelType w:val="hybridMultilevel"/>
    <w:tmpl w:val="16F41422"/>
    <w:lvl w:ilvl="0" w:tplc="0C090011">
      <w:start w:val="1"/>
      <w:numFmt w:val="decimal"/>
      <w:lvlText w:val="%1)"/>
      <w:lvlJc w:val="left"/>
      <w:pPr>
        <w:ind w:left="108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7">
      <w:start w:val="1"/>
      <w:numFmt w:val="lowerLetter"/>
      <w:lvlText w:val="%2)"/>
      <w:lvlJc w:val="left"/>
      <w:pPr>
        <w:ind w:left="180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5B35E94"/>
    <w:multiLevelType w:val="hybridMultilevel"/>
    <w:tmpl w:val="14767068"/>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686822CA"/>
    <w:multiLevelType w:val="hybridMultilevel"/>
    <w:tmpl w:val="A13E466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6AA049E3"/>
    <w:multiLevelType w:val="hybridMultilevel"/>
    <w:tmpl w:val="D9368920"/>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6BE32020"/>
    <w:multiLevelType w:val="hybridMultilevel"/>
    <w:tmpl w:val="A23414F0"/>
    <w:lvl w:ilvl="0" w:tplc="BC602F1E">
      <w:start w:val="1"/>
      <w:numFmt w:val="lowerLetter"/>
      <w:lvlText w:val="%1)"/>
      <w:lvlJc w:val="left"/>
      <w:pPr>
        <w:ind w:left="1440" w:hanging="360"/>
      </w:pPr>
      <w:rPr>
        <w:i w:val="0"/>
        <w:iCs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BCE621D"/>
    <w:multiLevelType w:val="hybridMultilevel"/>
    <w:tmpl w:val="9B7EDB8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485319466">
    <w:abstractNumId w:val="10"/>
  </w:num>
  <w:num w:numId="2" w16cid:durableId="1627196350">
    <w:abstractNumId w:val="13"/>
  </w:num>
  <w:num w:numId="3" w16cid:durableId="25251383">
    <w:abstractNumId w:val="39"/>
  </w:num>
  <w:num w:numId="4" w16cid:durableId="1986203439">
    <w:abstractNumId w:val="26"/>
  </w:num>
  <w:num w:numId="5" w16cid:durableId="2089380026">
    <w:abstractNumId w:val="38"/>
  </w:num>
  <w:num w:numId="6" w16cid:durableId="1318847531">
    <w:abstractNumId w:val="19"/>
  </w:num>
  <w:num w:numId="7" w16cid:durableId="1853569039">
    <w:abstractNumId w:val="17"/>
  </w:num>
  <w:num w:numId="8" w16cid:durableId="291373502">
    <w:abstractNumId w:val="15"/>
  </w:num>
  <w:num w:numId="9" w16cid:durableId="2040620951">
    <w:abstractNumId w:val="12"/>
  </w:num>
  <w:num w:numId="10" w16cid:durableId="1102188626">
    <w:abstractNumId w:val="7"/>
  </w:num>
  <w:num w:numId="11" w16cid:durableId="1399939322">
    <w:abstractNumId w:val="28"/>
  </w:num>
  <w:num w:numId="12" w16cid:durableId="300505947">
    <w:abstractNumId w:val="3"/>
  </w:num>
  <w:num w:numId="13" w16cid:durableId="1624576599">
    <w:abstractNumId w:val="11"/>
  </w:num>
  <w:num w:numId="14" w16cid:durableId="1822773018">
    <w:abstractNumId w:val="34"/>
  </w:num>
  <w:num w:numId="15" w16cid:durableId="598485351">
    <w:abstractNumId w:val="23"/>
  </w:num>
  <w:num w:numId="16" w16cid:durableId="783771083">
    <w:abstractNumId w:val="35"/>
  </w:num>
  <w:num w:numId="17" w16cid:durableId="475604698">
    <w:abstractNumId w:val="8"/>
  </w:num>
  <w:num w:numId="18" w16cid:durableId="1265841048">
    <w:abstractNumId w:val="21"/>
  </w:num>
  <w:num w:numId="19" w16cid:durableId="317419518">
    <w:abstractNumId w:val="25"/>
  </w:num>
  <w:num w:numId="20" w16cid:durableId="1294097521">
    <w:abstractNumId w:val="30"/>
  </w:num>
  <w:num w:numId="21" w16cid:durableId="788937709">
    <w:abstractNumId w:val="16"/>
  </w:num>
  <w:num w:numId="22" w16cid:durableId="1035078737">
    <w:abstractNumId w:val="40"/>
  </w:num>
  <w:num w:numId="23" w16cid:durableId="875241500">
    <w:abstractNumId w:val="27"/>
  </w:num>
  <w:num w:numId="24" w16cid:durableId="1349332934">
    <w:abstractNumId w:val="1"/>
  </w:num>
  <w:num w:numId="25" w16cid:durableId="207493804">
    <w:abstractNumId w:val="36"/>
  </w:num>
  <w:num w:numId="26" w16cid:durableId="1184057726">
    <w:abstractNumId w:val="6"/>
  </w:num>
  <w:num w:numId="27" w16cid:durableId="185142864">
    <w:abstractNumId w:val="4"/>
  </w:num>
  <w:num w:numId="28" w16cid:durableId="1666124315">
    <w:abstractNumId w:val="24"/>
  </w:num>
  <w:num w:numId="29" w16cid:durableId="1967463069">
    <w:abstractNumId w:val="22"/>
  </w:num>
  <w:num w:numId="30" w16cid:durableId="457381417">
    <w:abstractNumId w:val="14"/>
  </w:num>
  <w:num w:numId="31" w16cid:durableId="1462768436">
    <w:abstractNumId w:val="32"/>
  </w:num>
  <w:num w:numId="32" w16cid:durableId="1226643462">
    <w:abstractNumId w:val="29"/>
  </w:num>
  <w:num w:numId="33" w16cid:durableId="887886224">
    <w:abstractNumId w:val="0"/>
  </w:num>
  <w:num w:numId="34" w16cid:durableId="1931619310">
    <w:abstractNumId w:val="18"/>
  </w:num>
  <w:num w:numId="35" w16cid:durableId="1302611190">
    <w:abstractNumId w:val="31"/>
  </w:num>
  <w:num w:numId="36" w16cid:durableId="1504128959">
    <w:abstractNumId w:val="37"/>
  </w:num>
  <w:num w:numId="37" w16cid:durableId="1391423193">
    <w:abstractNumId w:val="33"/>
  </w:num>
  <w:num w:numId="38" w16cid:durableId="6133647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71975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8820811">
    <w:abstractNumId w:val="20"/>
  </w:num>
  <w:num w:numId="41" w16cid:durableId="2002999802">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FBD4EC"/>
    <w:rsid w:val="00006E84"/>
    <w:rsid w:val="00011039"/>
    <w:rsid w:val="000119A9"/>
    <w:rsid w:val="00016A76"/>
    <w:rsid w:val="000202A4"/>
    <w:rsid w:val="000312CB"/>
    <w:rsid w:val="000312DF"/>
    <w:rsid w:val="00031358"/>
    <w:rsid w:val="00040E9F"/>
    <w:rsid w:val="00042A7F"/>
    <w:rsid w:val="0004474D"/>
    <w:rsid w:val="00045AA9"/>
    <w:rsid w:val="00046888"/>
    <w:rsid w:val="00047B4C"/>
    <w:rsid w:val="00053C44"/>
    <w:rsid w:val="00056FFA"/>
    <w:rsid w:val="000634F8"/>
    <w:rsid w:val="00066965"/>
    <w:rsid w:val="00067335"/>
    <w:rsid w:val="00071AAC"/>
    <w:rsid w:val="00072713"/>
    <w:rsid w:val="00074E88"/>
    <w:rsid w:val="000759DD"/>
    <w:rsid w:val="00077780"/>
    <w:rsid w:val="000805E0"/>
    <w:rsid w:val="00081E0C"/>
    <w:rsid w:val="00082BA6"/>
    <w:rsid w:val="00083821"/>
    <w:rsid w:val="00084506"/>
    <w:rsid w:val="0009211A"/>
    <w:rsid w:val="0009766F"/>
    <w:rsid w:val="000A25A8"/>
    <w:rsid w:val="000B1F3E"/>
    <w:rsid w:val="000B2987"/>
    <w:rsid w:val="000B4737"/>
    <w:rsid w:val="000B4854"/>
    <w:rsid w:val="000B4B7E"/>
    <w:rsid w:val="000B7FD6"/>
    <w:rsid w:val="000E1232"/>
    <w:rsid w:val="000E2F26"/>
    <w:rsid w:val="000F12B3"/>
    <w:rsid w:val="000F148B"/>
    <w:rsid w:val="000F35D5"/>
    <w:rsid w:val="000F4C6F"/>
    <w:rsid w:val="000F4EC3"/>
    <w:rsid w:val="000F4EF3"/>
    <w:rsid w:val="00103F54"/>
    <w:rsid w:val="00107A7E"/>
    <w:rsid w:val="00114BA9"/>
    <w:rsid w:val="00115E2B"/>
    <w:rsid w:val="001271D6"/>
    <w:rsid w:val="001316AB"/>
    <w:rsid w:val="0013550E"/>
    <w:rsid w:val="001447ED"/>
    <w:rsid w:val="00145226"/>
    <w:rsid w:val="00152601"/>
    <w:rsid w:val="00152EBF"/>
    <w:rsid w:val="00154E5A"/>
    <w:rsid w:val="0016441F"/>
    <w:rsid w:val="00172BD7"/>
    <w:rsid w:val="00172D56"/>
    <w:rsid w:val="001825BD"/>
    <w:rsid w:val="00182BC0"/>
    <w:rsid w:val="001830E8"/>
    <w:rsid w:val="0018328D"/>
    <w:rsid w:val="00186F5C"/>
    <w:rsid w:val="001945F9"/>
    <w:rsid w:val="00196050"/>
    <w:rsid w:val="001A2D23"/>
    <w:rsid w:val="001A4E52"/>
    <w:rsid w:val="001A63EE"/>
    <w:rsid w:val="001B00A4"/>
    <w:rsid w:val="001B636D"/>
    <w:rsid w:val="001C4AC6"/>
    <w:rsid w:val="001C6FC0"/>
    <w:rsid w:val="001D37A2"/>
    <w:rsid w:val="001D43DF"/>
    <w:rsid w:val="001D61F2"/>
    <w:rsid w:val="001D7E9E"/>
    <w:rsid w:val="001E4266"/>
    <w:rsid w:val="001E7D63"/>
    <w:rsid w:val="001F3F6C"/>
    <w:rsid w:val="001F7150"/>
    <w:rsid w:val="002026C7"/>
    <w:rsid w:val="00203990"/>
    <w:rsid w:val="00205C52"/>
    <w:rsid w:val="00213EEB"/>
    <w:rsid w:val="00213FD1"/>
    <w:rsid w:val="002177D4"/>
    <w:rsid w:val="002217DA"/>
    <w:rsid w:val="002225E5"/>
    <w:rsid w:val="002236D8"/>
    <w:rsid w:val="0022624C"/>
    <w:rsid w:val="0023388D"/>
    <w:rsid w:val="002404C1"/>
    <w:rsid w:val="002423CF"/>
    <w:rsid w:val="0024249B"/>
    <w:rsid w:val="00245719"/>
    <w:rsid w:val="00246855"/>
    <w:rsid w:val="00255BAF"/>
    <w:rsid w:val="002604C7"/>
    <w:rsid w:val="0026188C"/>
    <w:rsid w:val="002736F0"/>
    <w:rsid w:val="00275DD1"/>
    <w:rsid w:val="002776DB"/>
    <w:rsid w:val="00277B89"/>
    <w:rsid w:val="002820BF"/>
    <w:rsid w:val="00283D0F"/>
    <w:rsid w:val="00293049"/>
    <w:rsid w:val="00293FEB"/>
    <w:rsid w:val="00295270"/>
    <w:rsid w:val="002969FF"/>
    <w:rsid w:val="00296A93"/>
    <w:rsid w:val="002A057C"/>
    <w:rsid w:val="002A4337"/>
    <w:rsid w:val="002A662C"/>
    <w:rsid w:val="002A7271"/>
    <w:rsid w:val="002B748F"/>
    <w:rsid w:val="002C0360"/>
    <w:rsid w:val="002C7057"/>
    <w:rsid w:val="002D425D"/>
    <w:rsid w:val="002E4852"/>
    <w:rsid w:val="002E505B"/>
    <w:rsid w:val="002E5A20"/>
    <w:rsid w:val="00311A20"/>
    <w:rsid w:val="00312F56"/>
    <w:rsid w:val="00325A52"/>
    <w:rsid w:val="00330D46"/>
    <w:rsid w:val="003313D4"/>
    <w:rsid w:val="00343193"/>
    <w:rsid w:val="003475F4"/>
    <w:rsid w:val="00350D5D"/>
    <w:rsid w:val="00352311"/>
    <w:rsid w:val="00352F89"/>
    <w:rsid w:val="003535F6"/>
    <w:rsid w:val="00355D69"/>
    <w:rsid w:val="00362914"/>
    <w:rsid w:val="003640FC"/>
    <w:rsid w:val="0037159B"/>
    <w:rsid w:val="00371D42"/>
    <w:rsid w:val="00373E4D"/>
    <w:rsid w:val="00375DE3"/>
    <w:rsid w:val="00377802"/>
    <w:rsid w:val="00382640"/>
    <w:rsid w:val="00383392"/>
    <w:rsid w:val="00383C25"/>
    <w:rsid w:val="003A3765"/>
    <w:rsid w:val="003A49B1"/>
    <w:rsid w:val="003A78D8"/>
    <w:rsid w:val="003B1289"/>
    <w:rsid w:val="003B5443"/>
    <w:rsid w:val="003B6758"/>
    <w:rsid w:val="003D1A6E"/>
    <w:rsid w:val="003D71E6"/>
    <w:rsid w:val="003E61A1"/>
    <w:rsid w:val="003E767A"/>
    <w:rsid w:val="003F015A"/>
    <w:rsid w:val="003F6913"/>
    <w:rsid w:val="00401224"/>
    <w:rsid w:val="00410E3A"/>
    <w:rsid w:val="004111ED"/>
    <w:rsid w:val="00420610"/>
    <w:rsid w:val="004305C4"/>
    <w:rsid w:val="00435A42"/>
    <w:rsid w:val="0044353B"/>
    <w:rsid w:val="00445FC5"/>
    <w:rsid w:val="00446083"/>
    <w:rsid w:val="00446F73"/>
    <w:rsid w:val="00447FD8"/>
    <w:rsid w:val="00453154"/>
    <w:rsid w:val="004532A1"/>
    <w:rsid w:val="0046505A"/>
    <w:rsid w:val="00466EEA"/>
    <w:rsid w:val="00467DFA"/>
    <w:rsid w:val="00474C13"/>
    <w:rsid w:val="00476932"/>
    <w:rsid w:val="004824C4"/>
    <w:rsid w:val="0048383D"/>
    <w:rsid w:val="00490EBC"/>
    <w:rsid w:val="0049355E"/>
    <w:rsid w:val="004A4873"/>
    <w:rsid w:val="004A60CE"/>
    <w:rsid w:val="004A6E4F"/>
    <w:rsid w:val="004B0E5E"/>
    <w:rsid w:val="004C45CE"/>
    <w:rsid w:val="004D2423"/>
    <w:rsid w:val="004D71B3"/>
    <w:rsid w:val="004D75DF"/>
    <w:rsid w:val="004E1ABB"/>
    <w:rsid w:val="004E2EA4"/>
    <w:rsid w:val="004F49C2"/>
    <w:rsid w:val="005054A8"/>
    <w:rsid w:val="00506E5A"/>
    <w:rsid w:val="0051347A"/>
    <w:rsid w:val="00520FC4"/>
    <w:rsid w:val="005222B1"/>
    <w:rsid w:val="005328BF"/>
    <w:rsid w:val="00542A02"/>
    <w:rsid w:val="00546484"/>
    <w:rsid w:val="00550BDD"/>
    <w:rsid w:val="00553B59"/>
    <w:rsid w:val="00554B50"/>
    <w:rsid w:val="00554B71"/>
    <w:rsid w:val="00555851"/>
    <w:rsid w:val="00561C1D"/>
    <w:rsid w:val="00565E39"/>
    <w:rsid w:val="005708C5"/>
    <w:rsid w:val="005779B1"/>
    <w:rsid w:val="0058031D"/>
    <w:rsid w:val="00581C6C"/>
    <w:rsid w:val="005914FD"/>
    <w:rsid w:val="00592910"/>
    <w:rsid w:val="00595439"/>
    <w:rsid w:val="005A4B22"/>
    <w:rsid w:val="005A588C"/>
    <w:rsid w:val="005A58C2"/>
    <w:rsid w:val="005A6499"/>
    <w:rsid w:val="005B04F8"/>
    <w:rsid w:val="005C1132"/>
    <w:rsid w:val="005C160B"/>
    <w:rsid w:val="005C3E3E"/>
    <w:rsid w:val="005C74FB"/>
    <w:rsid w:val="005C7AB3"/>
    <w:rsid w:val="005D0DCC"/>
    <w:rsid w:val="005D2D1C"/>
    <w:rsid w:val="005F2969"/>
    <w:rsid w:val="00601570"/>
    <w:rsid w:val="00604398"/>
    <w:rsid w:val="006053F3"/>
    <w:rsid w:val="00605542"/>
    <w:rsid w:val="00605BDA"/>
    <w:rsid w:val="00606E7B"/>
    <w:rsid w:val="00607349"/>
    <w:rsid w:val="00611295"/>
    <w:rsid w:val="00612E8C"/>
    <w:rsid w:val="00613347"/>
    <w:rsid w:val="006171AF"/>
    <w:rsid w:val="0062426F"/>
    <w:rsid w:val="006318B6"/>
    <w:rsid w:val="00632BDF"/>
    <w:rsid w:val="00641E43"/>
    <w:rsid w:val="00644600"/>
    <w:rsid w:val="006459A2"/>
    <w:rsid w:val="0065663B"/>
    <w:rsid w:val="00661892"/>
    <w:rsid w:val="0066334E"/>
    <w:rsid w:val="00675921"/>
    <w:rsid w:val="00690AA3"/>
    <w:rsid w:val="006944E7"/>
    <w:rsid w:val="006960B5"/>
    <w:rsid w:val="006A58F8"/>
    <w:rsid w:val="006A5B66"/>
    <w:rsid w:val="006A74FD"/>
    <w:rsid w:val="006B5947"/>
    <w:rsid w:val="006C20D2"/>
    <w:rsid w:val="006C6A22"/>
    <w:rsid w:val="006D0602"/>
    <w:rsid w:val="006D34F8"/>
    <w:rsid w:val="006E362A"/>
    <w:rsid w:val="006E3C5A"/>
    <w:rsid w:val="006E4E35"/>
    <w:rsid w:val="006E583D"/>
    <w:rsid w:val="006F1664"/>
    <w:rsid w:val="006F3882"/>
    <w:rsid w:val="006F49B2"/>
    <w:rsid w:val="006F785C"/>
    <w:rsid w:val="00710040"/>
    <w:rsid w:val="00712407"/>
    <w:rsid w:val="00720B6F"/>
    <w:rsid w:val="00724050"/>
    <w:rsid w:val="0073004D"/>
    <w:rsid w:val="00732807"/>
    <w:rsid w:val="00732C7E"/>
    <w:rsid w:val="007365B6"/>
    <w:rsid w:val="007408C3"/>
    <w:rsid w:val="007428B8"/>
    <w:rsid w:val="00745E6F"/>
    <w:rsid w:val="007505FB"/>
    <w:rsid w:val="00750BFA"/>
    <w:rsid w:val="00751DBD"/>
    <w:rsid w:val="0075762C"/>
    <w:rsid w:val="00765095"/>
    <w:rsid w:val="00766D68"/>
    <w:rsid w:val="007736D2"/>
    <w:rsid w:val="00773D0E"/>
    <w:rsid w:val="007745BC"/>
    <w:rsid w:val="00781B60"/>
    <w:rsid w:val="00786201"/>
    <w:rsid w:val="0078723F"/>
    <w:rsid w:val="00787E3B"/>
    <w:rsid w:val="007A22A2"/>
    <w:rsid w:val="007B0CB2"/>
    <w:rsid w:val="007B2390"/>
    <w:rsid w:val="007B55F9"/>
    <w:rsid w:val="007B5F7B"/>
    <w:rsid w:val="007B74CB"/>
    <w:rsid w:val="007B7D13"/>
    <w:rsid w:val="007C0E22"/>
    <w:rsid w:val="007C2721"/>
    <w:rsid w:val="007E11A7"/>
    <w:rsid w:val="007E39FD"/>
    <w:rsid w:val="007E4105"/>
    <w:rsid w:val="007E613A"/>
    <w:rsid w:val="007F3BA3"/>
    <w:rsid w:val="00801679"/>
    <w:rsid w:val="0080292F"/>
    <w:rsid w:val="00802D1C"/>
    <w:rsid w:val="0080436D"/>
    <w:rsid w:val="00815133"/>
    <w:rsid w:val="00816A3D"/>
    <w:rsid w:val="008235C7"/>
    <w:rsid w:val="008235D8"/>
    <w:rsid w:val="00823EBE"/>
    <w:rsid w:val="00824963"/>
    <w:rsid w:val="0084317D"/>
    <w:rsid w:val="0084411E"/>
    <w:rsid w:val="00850AB1"/>
    <w:rsid w:val="00853F53"/>
    <w:rsid w:val="00854A58"/>
    <w:rsid w:val="008556EF"/>
    <w:rsid w:val="00861EF5"/>
    <w:rsid w:val="00874927"/>
    <w:rsid w:val="00874F37"/>
    <w:rsid w:val="008842D6"/>
    <w:rsid w:val="00892F0E"/>
    <w:rsid w:val="00893A9D"/>
    <w:rsid w:val="00896D18"/>
    <w:rsid w:val="008972DC"/>
    <w:rsid w:val="00897614"/>
    <w:rsid w:val="008A0EC1"/>
    <w:rsid w:val="008A1CC8"/>
    <w:rsid w:val="008A446B"/>
    <w:rsid w:val="008C03DE"/>
    <w:rsid w:val="008C23C1"/>
    <w:rsid w:val="008C56BD"/>
    <w:rsid w:val="008D195A"/>
    <w:rsid w:val="008E1E63"/>
    <w:rsid w:val="008E3408"/>
    <w:rsid w:val="008E3780"/>
    <w:rsid w:val="008E4A92"/>
    <w:rsid w:val="008F4654"/>
    <w:rsid w:val="008F4BF5"/>
    <w:rsid w:val="008F4C2F"/>
    <w:rsid w:val="008F6813"/>
    <w:rsid w:val="009128B2"/>
    <w:rsid w:val="00912A03"/>
    <w:rsid w:val="00914825"/>
    <w:rsid w:val="00917D1D"/>
    <w:rsid w:val="0092117F"/>
    <w:rsid w:val="009222C1"/>
    <w:rsid w:val="00930540"/>
    <w:rsid w:val="00935A22"/>
    <w:rsid w:val="0095282D"/>
    <w:rsid w:val="0095292F"/>
    <w:rsid w:val="00956438"/>
    <w:rsid w:val="009602FC"/>
    <w:rsid w:val="0096144F"/>
    <w:rsid w:val="009614B8"/>
    <w:rsid w:val="00964AF6"/>
    <w:rsid w:val="00971756"/>
    <w:rsid w:val="009756DF"/>
    <w:rsid w:val="00977BB8"/>
    <w:rsid w:val="009825E8"/>
    <w:rsid w:val="009905E0"/>
    <w:rsid w:val="00990669"/>
    <w:rsid w:val="00994722"/>
    <w:rsid w:val="00996A1C"/>
    <w:rsid w:val="009A2419"/>
    <w:rsid w:val="009A306F"/>
    <w:rsid w:val="009A4F87"/>
    <w:rsid w:val="009A64A5"/>
    <w:rsid w:val="009B2B10"/>
    <w:rsid w:val="009B4B0C"/>
    <w:rsid w:val="009B50A4"/>
    <w:rsid w:val="009C3534"/>
    <w:rsid w:val="009D03FF"/>
    <w:rsid w:val="009E2643"/>
    <w:rsid w:val="009F7BA8"/>
    <w:rsid w:val="00A03384"/>
    <w:rsid w:val="00A03EC8"/>
    <w:rsid w:val="00A060C9"/>
    <w:rsid w:val="00A14140"/>
    <w:rsid w:val="00A1628F"/>
    <w:rsid w:val="00A16C40"/>
    <w:rsid w:val="00A17838"/>
    <w:rsid w:val="00A22AA7"/>
    <w:rsid w:val="00A276ED"/>
    <w:rsid w:val="00A369C8"/>
    <w:rsid w:val="00A4038E"/>
    <w:rsid w:val="00A4455B"/>
    <w:rsid w:val="00A5080C"/>
    <w:rsid w:val="00A52A10"/>
    <w:rsid w:val="00A61E43"/>
    <w:rsid w:val="00A71032"/>
    <w:rsid w:val="00A7223A"/>
    <w:rsid w:val="00A72F0D"/>
    <w:rsid w:val="00A73810"/>
    <w:rsid w:val="00A73DE3"/>
    <w:rsid w:val="00A75118"/>
    <w:rsid w:val="00A83B30"/>
    <w:rsid w:val="00A85F19"/>
    <w:rsid w:val="00A8780E"/>
    <w:rsid w:val="00A95BD3"/>
    <w:rsid w:val="00A97B5E"/>
    <w:rsid w:val="00AA5425"/>
    <w:rsid w:val="00AB52C7"/>
    <w:rsid w:val="00AB62F7"/>
    <w:rsid w:val="00AC5F59"/>
    <w:rsid w:val="00AC663B"/>
    <w:rsid w:val="00AC6DE5"/>
    <w:rsid w:val="00AD0387"/>
    <w:rsid w:val="00AD4748"/>
    <w:rsid w:val="00AD60AD"/>
    <w:rsid w:val="00AD7511"/>
    <w:rsid w:val="00AE3087"/>
    <w:rsid w:val="00AE500B"/>
    <w:rsid w:val="00AE5E27"/>
    <w:rsid w:val="00AE6DD6"/>
    <w:rsid w:val="00AF229A"/>
    <w:rsid w:val="00B029CE"/>
    <w:rsid w:val="00B03719"/>
    <w:rsid w:val="00B05075"/>
    <w:rsid w:val="00B06794"/>
    <w:rsid w:val="00B06A2F"/>
    <w:rsid w:val="00B06D58"/>
    <w:rsid w:val="00B110AA"/>
    <w:rsid w:val="00B12546"/>
    <w:rsid w:val="00B14D11"/>
    <w:rsid w:val="00B14F34"/>
    <w:rsid w:val="00B160DC"/>
    <w:rsid w:val="00B21A50"/>
    <w:rsid w:val="00B253C6"/>
    <w:rsid w:val="00B35C61"/>
    <w:rsid w:val="00B374A7"/>
    <w:rsid w:val="00B5081E"/>
    <w:rsid w:val="00B57536"/>
    <w:rsid w:val="00B65620"/>
    <w:rsid w:val="00B82584"/>
    <w:rsid w:val="00B8548B"/>
    <w:rsid w:val="00B942F8"/>
    <w:rsid w:val="00B9502D"/>
    <w:rsid w:val="00B950A9"/>
    <w:rsid w:val="00BA169F"/>
    <w:rsid w:val="00BA2D18"/>
    <w:rsid w:val="00BA556D"/>
    <w:rsid w:val="00BA5AD0"/>
    <w:rsid w:val="00BB58A5"/>
    <w:rsid w:val="00BC1C88"/>
    <w:rsid w:val="00BD0CBF"/>
    <w:rsid w:val="00BD5F19"/>
    <w:rsid w:val="00BE07A0"/>
    <w:rsid w:val="00BE1FC5"/>
    <w:rsid w:val="00BF0270"/>
    <w:rsid w:val="00BF2C6F"/>
    <w:rsid w:val="00BF3E2A"/>
    <w:rsid w:val="00C02B48"/>
    <w:rsid w:val="00C10868"/>
    <w:rsid w:val="00C20D59"/>
    <w:rsid w:val="00C31DE2"/>
    <w:rsid w:val="00C35C78"/>
    <w:rsid w:val="00C40CD2"/>
    <w:rsid w:val="00C41C84"/>
    <w:rsid w:val="00C44237"/>
    <w:rsid w:val="00C46149"/>
    <w:rsid w:val="00C46EF9"/>
    <w:rsid w:val="00C4730D"/>
    <w:rsid w:val="00C60491"/>
    <w:rsid w:val="00C6347D"/>
    <w:rsid w:val="00C71F77"/>
    <w:rsid w:val="00C80C84"/>
    <w:rsid w:val="00C839BE"/>
    <w:rsid w:val="00C913EA"/>
    <w:rsid w:val="00C963C0"/>
    <w:rsid w:val="00C97089"/>
    <w:rsid w:val="00CA35FB"/>
    <w:rsid w:val="00CA3CC3"/>
    <w:rsid w:val="00CA764B"/>
    <w:rsid w:val="00CA7F4C"/>
    <w:rsid w:val="00CB25F3"/>
    <w:rsid w:val="00CB393B"/>
    <w:rsid w:val="00CB4275"/>
    <w:rsid w:val="00CB4CE5"/>
    <w:rsid w:val="00CB52DF"/>
    <w:rsid w:val="00CE48EC"/>
    <w:rsid w:val="00CF07FD"/>
    <w:rsid w:val="00CF112A"/>
    <w:rsid w:val="00CF1B1E"/>
    <w:rsid w:val="00CF3D38"/>
    <w:rsid w:val="00CF6A7A"/>
    <w:rsid w:val="00D11309"/>
    <w:rsid w:val="00D116AF"/>
    <w:rsid w:val="00D121B8"/>
    <w:rsid w:val="00D13FBF"/>
    <w:rsid w:val="00D147AF"/>
    <w:rsid w:val="00D17879"/>
    <w:rsid w:val="00D23538"/>
    <w:rsid w:val="00D241BE"/>
    <w:rsid w:val="00D25D3E"/>
    <w:rsid w:val="00D2716B"/>
    <w:rsid w:val="00D34AD0"/>
    <w:rsid w:val="00D363BE"/>
    <w:rsid w:val="00D46C1D"/>
    <w:rsid w:val="00D57CF2"/>
    <w:rsid w:val="00D6095A"/>
    <w:rsid w:val="00D61F9E"/>
    <w:rsid w:val="00D626ED"/>
    <w:rsid w:val="00D631EB"/>
    <w:rsid w:val="00D64E75"/>
    <w:rsid w:val="00D64F82"/>
    <w:rsid w:val="00D65C5E"/>
    <w:rsid w:val="00D720B6"/>
    <w:rsid w:val="00D824D7"/>
    <w:rsid w:val="00D8531A"/>
    <w:rsid w:val="00D8733D"/>
    <w:rsid w:val="00D945E6"/>
    <w:rsid w:val="00D969CE"/>
    <w:rsid w:val="00DA0478"/>
    <w:rsid w:val="00DA13A1"/>
    <w:rsid w:val="00DA6716"/>
    <w:rsid w:val="00DB04B3"/>
    <w:rsid w:val="00DB052F"/>
    <w:rsid w:val="00DB3C4C"/>
    <w:rsid w:val="00DB797B"/>
    <w:rsid w:val="00DC19FA"/>
    <w:rsid w:val="00DC2FD9"/>
    <w:rsid w:val="00DC6DBF"/>
    <w:rsid w:val="00DD1752"/>
    <w:rsid w:val="00DD6131"/>
    <w:rsid w:val="00DD7263"/>
    <w:rsid w:val="00DE0A9C"/>
    <w:rsid w:val="00DE3271"/>
    <w:rsid w:val="00DE448B"/>
    <w:rsid w:val="00DF3CA8"/>
    <w:rsid w:val="00DF493D"/>
    <w:rsid w:val="00DF572B"/>
    <w:rsid w:val="00DF6D2B"/>
    <w:rsid w:val="00E06C03"/>
    <w:rsid w:val="00E1703B"/>
    <w:rsid w:val="00E214FE"/>
    <w:rsid w:val="00E23268"/>
    <w:rsid w:val="00E23CD1"/>
    <w:rsid w:val="00E307F6"/>
    <w:rsid w:val="00E313D1"/>
    <w:rsid w:val="00E328C8"/>
    <w:rsid w:val="00E3345D"/>
    <w:rsid w:val="00E35608"/>
    <w:rsid w:val="00E43330"/>
    <w:rsid w:val="00E43AE2"/>
    <w:rsid w:val="00E50AAC"/>
    <w:rsid w:val="00E739D0"/>
    <w:rsid w:val="00E744D3"/>
    <w:rsid w:val="00E821C6"/>
    <w:rsid w:val="00E82C70"/>
    <w:rsid w:val="00E84515"/>
    <w:rsid w:val="00E87B58"/>
    <w:rsid w:val="00E923A1"/>
    <w:rsid w:val="00E93C96"/>
    <w:rsid w:val="00EA009A"/>
    <w:rsid w:val="00EA0308"/>
    <w:rsid w:val="00EC6D9D"/>
    <w:rsid w:val="00ED050F"/>
    <w:rsid w:val="00ED2D4F"/>
    <w:rsid w:val="00ED48A6"/>
    <w:rsid w:val="00ED60A9"/>
    <w:rsid w:val="00EE0EEE"/>
    <w:rsid w:val="00EE230E"/>
    <w:rsid w:val="00EE3E70"/>
    <w:rsid w:val="00F024BB"/>
    <w:rsid w:val="00F05006"/>
    <w:rsid w:val="00F0512E"/>
    <w:rsid w:val="00F055C8"/>
    <w:rsid w:val="00F06D3F"/>
    <w:rsid w:val="00F2019C"/>
    <w:rsid w:val="00F23321"/>
    <w:rsid w:val="00F350EF"/>
    <w:rsid w:val="00F40D8B"/>
    <w:rsid w:val="00F47A8C"/>
    <w:rsid w:val="00F534D6"/>
    <w:rsid w:val="00F53D6F"/>
    <w:rsid w:val="00F55FE2"/>
    <w:rsid w:val="00F624CC"/>
    <w:rsid w:val="00F75578"/>
    <w:rsid w:val="00F768EC"/>
    <w:rsid w:val="00F83593"/>
    <w:rsid w:val="00F8491C"/>
    <w:rsid w:val="00F8665E"/>
    <w:rsid w:val="00F94185"/>
    <w:rsid w:val="00F945ED"/>
    <w:rsid w:val="00FA0DB6"/>
    <w:rsid w:val="00FA1F8E"/>
    <w:rsid w:val="00FA264F"/>
    <w:rsid w:val="00FA4817"/>
    <w:rsid w:val="00FA7E84"/>
    <w:rsid w:val="00FB22CC"/>
    <w:rsid w:val="00FB24CD"/>
    <w:rsid w:val="00FB2ED3"/>
    <w:rsid w:val="00FB2FB0"/>
    <w:rsid w:val="00FC6B47"/>
    <w:rsid w:val="00FC73C7"/>
    <w:rsid w:val="00FD2649"/>
    <w:rsid w:val="00FD654C"/>
    <w:rsid w:val="00FE30F4"/>
    <w:rsid w:val="00FE3F86"/>
    <w:rsid w:val="00FE5995"/>
    <w:rsid w:val="00FE64BE"/>
    <w:rsid w:val="00FF165E"/>
    <w:rsid w:val="00FF4A12"/>
    <w:rsid w:val="00FF5154"/>
    <w:rsid w:val="00FF56ED"/>
    <w:rsid w:val="00FF6315"/>
    <w:rsid w:val="34FBD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BD4EC"/>
  <w15:chartTrackingRefBased/>
  <w15:docId w15:val="{C7767CA4-6778-43E6-BE5C-943AD9A0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D1752"/>
    <w:pPr>
      <w:ind w:left="720"/>
      <w:contextualSpacing/>
    </w:pPr>
  </w:style>
  <w:style w:type="table" w:styleId="TableGrid">
    <w:name w:val="Table Grid"/>
    <w:basedOn w:val="TableNormal"/>
    <w:uiPriority w:val="59"/>
    <w:rsid w:val="007B5F7B"/>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5D69"/>
    <w:rPr>
      <w:sz w:val="16"/>
      <w:szCs w:val="16"/>
    </w:rPr>
  </w:style>
  <w:style w:type="paragraph" w:styleId="CommentText">
    <w:name w:val="annotation text"/>
    <w:basedOn w:val="Normal"/>
    <w:link w:val="CommentTextChar"/>
    <w:uiPriority w:val="99"/>
    <w:unhideWhenUsed/>
    <w:rsid w:val="00355D69"/>
    <w:pPr>
      <w:spacing w:line="240" w:lineRule="auto"/>
    </w:pPr>
    <w:rPr>
      <w:sz w:val="20"/>
      <w:szCs w:val="20"/>
    </w:rPr>
  </w:style>
  <w:style w:type="character" w:customStyle="1" w:styleId="CommentTextChar">
    <w:name w:val="Comment Text Char"/>
    <w:basedOn w:val="DefaultParagraphFont"/>
    <w:link w:val="CommentText"/>
    <w:uiPriority w:val="99"/>
    <w:rsid w:val="00355D69"/>
    <w:rPr>
      <w:sz w:val="20"/>
      <w:szCs w:val="20"/>
    </w:rPr>
  </w:style>
  <w:style w:type="paragraph" w:styleId="CommentSubject">
    <w:name w:val="annotation subject"/>
    <w:basedOn w:val="CommentText"/>
    <w:next w:val="CommentText"/>
    <w:link w:val="CommentSubjectChar"/>
    <w:uiPriority w:val="99"/>
    <w:semiHidden/>
    <w:unhideWhenUsed/>
    <w:rsid w:val="00355D69"/>
    <w:rPr>
      <w:b/>
      <w:bCs/>
    </w:rPr>
  </w:style>
  <w:style w:type="character" w:customStyle="1" w:styleId="CommentSubjectChar">
    <w:name w:val="Comment Subject Char"/>
    <w:basedOn w:val="CommentTextChar"/>
    <w:link w:val="CommentSubject"/>
    <w:uiPriority w:val="99"/>
    <w:semiHidden/>
    <w:rsid w:val="00355D69"/>
    <w:rPr>
      <w:b/>
      <w:bCs/>
      <w:sz w:val="20"/>
      <w:szCs w:val="20"/>
    </w:rPr>
  </w:style>
  <w:style w:type="paragraph" w:styleId="Header">
    <w:name w:val="header"/>
    <w:basedOn w:val="Normal"/>
    <w:link w:val="HeaderChar"/>
    <w:uiPriority w:val="99"/>
    <w:unhideWhenUsed/>
    <w:rsid w:val="00FF1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65E"/>
  </w:style>
  <w:style w:type="paragraph" w:styleId="Footer">
    <w:name w:val="footer"/>
    <w:basedOn w:val="Normal"/>
    <w:link w:val="FooterChar"/>
    <w:uiPriority w:val="99"/>
    <w:unhideWhenUsed/>
    <w:rsid w:val="00FF1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73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41D59F8C1A3F41A2B5409D4BA3BB7A" ma:contentTypeVersion="15" ma:contentTypeDescription="Create a new document." ma:contentTypeScope="" ma:versionID="2470763c3bb8fd391469142fd48bcdff">
  <xsd:schema xmlns:xsd="http://www.w3.org/2001/XMLSchema" xmlns:xs="http://www.w3.org/2001/XMLSchema" xmlns:p="http://schemas.microsoft.com/office/2006/metadata/properties" xmlns:ns2="5ad2cbeb-fc51-4b49-87dc-42300fe4d1dd" xmlns:ns3="73f7d1ba-ac27-4bcb-a5b6-37981e86af6e" xmlns:ns4="45ab7314-6ee2-4801-b2cf-a27306d55ce5" targetNamespace="http://schemas.microsoft.com/office/2006/metadata/properties" ma:root="true" ma:fieldsID="e6b6330ba7df0a714de88ba6034b60bb" ns2:_="" ns3:_="" ns4:_="">
    <xsd:import namespace="5ad2cbeb-fc51-4b49-87dc-42300fe4d1dd"/>
    <xsd:import namespace="73f7d1ba-ac27-4bcb-a5b6-37981e86af6e"/>
    <xsd:import namespace="45ab7314-6ee2-4801-b2cf-a27306d55c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2cbeb-fc51-4b49-87dc-42300fe4d1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7d1ba-ac27-4bcb-a5b6-37981e86af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ab7314-6ee2-4801-b2cf-a27306d55ce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81b6f11-93fd-4477-9f44-3f52b0d9db65}" ma:internalName="TaxCatchAll" ma:showField="CatchAllData" ma:web="5ad2cbeb-fc51-4b49-87dc-42300fe4d1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ab7314-6ee2-4801-b2cf-a27306d55ce5" xsi:nil="true"/>
    <lcf76f155ced4ddcb4097134ff3c332f xmlns="73f7d1ba-ac27-4bcb-a5b6-37981e86af6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01B01AC4-1733-4F85-9E6E-8E156E650B0A}">
  <ds:schemaRefs>
    <ds:schemaRef ds:uri="http://schemas.microsoft.com/sharepoint/v3/contenttype/forms"/>
  </ds:schemaRefs>
</ds:datastoreItem>
</file>

<file path=customXml/itemProps2.xml><?xml version="1.0" encoding="utf-8"?>
<ds:datastoreItem xmlns:ds="http://schemas.openxmlformats.org/officeDocument/2006/customXml" ds:itemID="{8D1539DF-54A0-4D9D-8894-B9141D57B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2cbeb-fc51-4b49-87dc-42300fe4d1dd"/>
    <ds:schemaRef ds:uri="73f7d1ba-ac27-4bcb-a5b6-37981e86af6e"/>
    <ds:schemaRef ds:uri="45ab7314-6ee2-4801-b2cf-a27306d5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FEAE40-20A7-41EA-85E8-2893D57B1AEC}">
  <ds:schemaRefs>
    <ds:schemaRef ds:uri="http://www.w3.org/XML/1998/namespace"/>
    <ds:schemaRef ds:uri="http://purl.org/dc/elements/1.1/"/>
    <ds:schemaRef ds:uri="http://schemas.microsoft.com/office/2006/documentManagement/types"/>
    <ds:schemaRef ds:uri="http://schemas.microsoft.com/office/infopath/2007/PartnerControls"/>
    <ds:schemaRef ds:uri="5ad2cbeb-fc51-4b49-87dc-42300fe4d1dd"/>
    <ds:schemaRef ds:uri="73f7d1ba-ac27-4bcb-a5b6-37981e86af6e"/>
    <ds:schemaRef ds:uri="http://schemas.microsoft.com/office/2006/metadata/properties"/>
    <ds:schemaRef ds:uri="http://purl.org/dc/terms/"/>
    <ds:schemaRef ds:uri="45ab7314-6ee2-4801-b2cf-a27306d55ce5"/>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DEE41FC-E2B9-445E-95F1-0A3A0FAE58B7}">
  <ds:schemaRefs>
    <ds:schemaRef ds:uri="http://schemas.openxmlformats.org/officeDocument/2006/bibliography"/>
  </ds:schemaRefs>
</ds:datastoreItem>
</file>

<file path=customXml/itemProps5.xml><?xml version="1.0" encoding="utf-8"?>
<ds:datastoreItem xmlns:ds="http://schemas.openxmlformats.org/officeDocument/2006/customXml" ds:itemID="{2A9854D3-A7C2-4D81-8155-CFADA334C88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Crapnell</dc:creator>
  <cp:keywords/>
  <dc:description/>
  <cp:lastModifiedBy>Robert Crapnell</cp:lastModifiedBy>
  <cp:revision>47</cp:revision>
  <dcterms:created xsi:type="dcterms:W3CDTF">2023-10-22T22:10:00Z</dcterms:created>
  <dcterms:modified xsi:type="dcterms:W3CDTF">2024-01-23T01:28:00Z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0x0101002D41D59F8C1A3F41A2B5409D4BA3BB7A</vt:lpwstr>
  </property>
  <property fmtid="{D5CDD505-2E9C-101B-9397-08002B2CF9AE}" pid="3" name="MediaServiceImageTags">
    <vt:lpwstr/>
  </property>
</Properties>
</file>