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B8CB" w14:textId="77777777" w:rsidR="0063620D" w:rsidRPr="00D44A60" w:rsidRDefault="00444889" w:rsidP="004A7827">
      <w:pPr>
        <w:contextualSpacing/>
        <w:jc w:val="both"/>
        <w:rPr>
          <w:b/>
          <w:sz w:val="28"/>
          <w:szCs w:val="28"/>
        </w:rPr>
      </w:pPr>
      <w:r w:rsidRPr="00D44A60">
        <w:rPr>
          <w:b/>
          <w:sz w:val="28"/>
          <w:szCs w:val="28"/>
        </w:rPr>
        <w:t>HEAVY VEHICLE NATIONAL LAW</w:t>
      </w:r>
    </w:p>
    <w:p w14:paraId="7836B8CC" w14:textId="24608CC2" w:rsidR="0063620D" w:rsidRPr="00D44A60" w:rsidRDefault="00D91F27" w:rsidP="004A7827">
      <w:pPr>
        <w:contextualSpacing/>
        <w:jc w:val="both"/>
        <w:rPr>
          <w:b/>
          <w:sz w:val="28"/>
          <w:szCs w:val="28"/>
        </w:rPr>
      </w:pPr>
      <w:r w:rsidRPr="00D44A60">
        <w:rPr>
          <w:b/>
          <w:sz w:val="28"/>
          <w:szCs w:val="28"/>
        </w:rPr>
        <w:t>Tasmania Class 3 Livestock Transportation Exemption Notice 20</w:t>
      </w:r>
      <w:r w:rsidR="00DE1C4D">
        <w:rPr>
          <w:b/>
          <w:sz w:val="28"/>
          <w:szCs w:val="28"/>
        </w:rPr>
        <w:t>24</w:t>
      </w:r>
      <w:r w:rsidRPr="00D44A60">
        <w:rPr>
          <w:b/>
          <w:sz w:val="28"/>
          <w:szCs w:val="28"/>
        </w:rPr>
        <w:t xml:space="preserve"> (No.1)</w:t>
      </w:r>
    </w:p>
    <w:p w14:paraId="7836B8CD" w14:textId="77777777" w:rsidR="0063620D" w:rsidRPr="00D44A60" w:rsidRDefault="0063620D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Purpose</w:t>
      </w:r>
    </w:p>
    <w:p w14:paraId="7836B8CE" w14:textId="77777777" w:rsidR="00BD019B" w:rsidRPr="00D44A60" w:rsidRDefault="00BD019B" w:rsidP="004A7827">
      <w:pPr>
        <w:pStyle w:val="ListParagraph"/>
        <w:jc w:val="both"/>
        <w:rPr>
          <w:b/>
          <w:sz w:val="24"/>
          <w:szCs w:val="24"/>
        </w:rPr>
      </w:pPr>
    </w:p>
    <w:p w14:paraId="7836B8CF" w14:textId="77777777" w:rsidR="00A037BF" w:rsidRPr="00D44A60" w:rsidRDefault="00A037BF" w:rsidP="004A7827">
      <w:pPr>
        <w:pStyle w:val="ListParagraph"/>
        <w:ind w:left="1080"/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This Notice provides mass </w:t>
      </w:r>
      <w:r w:rsidR="00A50118" w:rsidRPr="00D44A60">
        <w:rPr>
          <w:sz w:val="24"/>
          <w:szCs w:val="24"/>
        </w:rPr>
        <w:t xml:space="preserve">and </w:t>
      </w:r>
      <w:r w:rsidRPr="00D44A60">
        <w:rPr>
          <w:sz w:val="24"/>
          <w:szCs w:val="24"/>
        </w:rPr>
        <w:t xml:space="preserve">dimension exemptions that support the </w:t>
      </w:r>
      <w:r w:rsidR="00444889" w:rsidRPr="00D44A60">
        <w:rPr>
          <w:sz w:val="24"/>
          <w:szCs w:val="24"/>
        </w:rPr>
        <w:t>Tasmania</w:t>
      </w:r>
      <w:r w:rsidR="00A50118" w:rsidRPr="00D44A60">
        <w:rPr>
          <w:sz w:val="24"/>
          <w:szCs w:val="24"/>
        </w:rPr>
        <w:t>n</w:t>
      </w:r>
      <w:r w:rsidRPr="00D44A60">
        <w:rPr>
          <w:sz w:val="24"/>
          <w:szCs w:val="24"/>
        </w:rPr>
        <w:t xml:space="preserve"> Livestock Loading Scheme. This Notice is intended to work with the </w:t>
      </w:r>
      <w:r w:rsidR="00444889" w:rsidRPr="00D44A60">
        <w:rPr>
          <w:sz w:val="24"/>
          <w:szCs w:val="24"/>
        </w:rPr>
        <w:t>Tasmania</w:t>
      </w:r>
      <w:r w:rsidR="00A50118" w:rsidRPr="00D44A60">
        <w:rPr>
          <w:sz w:val="24"/>
          <w:szCs w:val="24"/>
        </w:rPr>
        <w:t>n</w:t>
      </w:r>
      <w:r w:rsidRPr="00D44A60">
        <w:rPr>
          <w:sz w:val="24"/>
          <w:szCs w:val="24"/>
        </w:rPr>
        <w:t xml:space="preserve"> Livestock Loading Scheme, and compliance with that Scheme is a condition of this Notice.</w:t>
      </w:r>
    </w:p>
    <w:p w14:paraId="7836B8D0" w14:textId="77777777" w:rsidR="00A037BF" w:rsidRPr="00D44A60" w:rsidRDefault="00A037BF" w:rsidP="004A7827">
      <w:pPr>
        <w:pStyle w:val="ListParagraph"/>
        <w:ind w:left="1080"/>
        <w:jc w:val="both"/>
        <w:rPr>
          <w:sz w:val="24"/>
          <w:szCs w:val="24"/>
        </w:rPr>
      </w:pPr>
    </w:p>
    <w:p w14:paraId="7836B8D1" w14:textId="77777777" w:rsidR="0063620D" w:rsidRPr="00D44A60" w:rsidRDefault="00444889" w:rsidP="00444889">
      <w:pPr>
        <w:pStyle w:val="ListParagraph"/>
        <w:ind w:left="2160" w:hanging="1080"/>
        <w:jc w:val="both"/>
        <w:rPr>
          <w:i/>
          <w:sz w:val="24"/>
          <w:szCs w:val="24"/>
        </w:rPr>
      </w:pPr>
      <w:r w:rsidRPr="00D44A60">
        <w:rPr>
          <w:i/>
          <w:sz w:val="24"/>
          <w:szCs w:val="24"/>
        </w:rPr>
        <w:t xml:space="preserve">Note: </w:t>
      </w:r>
      <w:r w:rsidRPr="00D44A60">
        <w:rPr>
          <w:i/>
          <w:sz w:val="24"/>
          <w:szCs w:val="24"/>
        </w:rPr>
        <w:tab/>
      </w:r>
      <w:r w:rsidR="00A037BF" w:rsidRPr="00D44A60">
        <w:rPr>
          <w:i/>
          <w:sz w:val="24"/>
          <w:szCs w:val="24"/>
        </w:rPr>
        <w:t xml:space="preserve">This notice </w:t>
      </w:r>
      <w:r w:rsidR="00D0696E" w:rsidRPr="00D44A60">
        <w:rPr>
          <w:i/>
          <w:sz w:val="24"/>
          <w:szCs w:val="24"/>
        </w:rPr>
        <w:t>operates in conjunction with</w:t>
      </w:r>
      <w:r w:rsidR="009734CB" w:rsidRPr="00D44A60">
        <w:rPr>
          <w:i/>
          <w:sz w:val="24"/>
          <w:szCs w:val="24"/>
        </w:rPr>
        <w:t xml:space="preserve"> the current </w:t>
      </w:r>
      <w:r w:rsidRPr="00D44A60">
        <w:rPr>
          <w:i/>
          <w:sz w:val="24"/>
          <w:szCs w:val="24"/>
        </w:rPr>
        <w:t xml:space="preserve">Information Bulletin for the Livestock Loading Scheme (Tasmania) </w:t>
      </w:r>
      <w:r w:rsidR="009734CB" w:rsidRPr="00D44A60">
        <w:rPr>
          <w:i/>
          <w:sz w:val="24"/>
          <w:szCs w:val="24"/>
        </w:rPr>
        <w:t>maintained by the Tasmania Department of State Growth</w:t>
      </w:r>
    </w:p>
    <w:p w14:paraId="7836B8D2" w14:textId="77777777" w:rsidR="00A037BF" w:rsidRPr="00D44A60" w:rsidRDefault="00A037BF" w:rsidP="004A7827">
      <w:pPr>
        <w:pStyle w:val="ListParagraph"/>
        <w:ind w:left="2160"/>
        <w:jc w:val="both"/>
        <w:rPr>
          <w:i/>
          <w:sz w:val="24"/>
          <w:szCs w:val="24"/>
        </w:rPr>
      </w:pPr>
    </w:p>
    <w:p w14:paraId="7836B8D3" w14:textId="77777777" w:rsidR="003D3884" w:rsidRPr="00D44A60" w:rsidRDefault="00BD019B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Authorising Provision</w:t>
      </w:r>
    </w:p>
    <w:p w14:paraId="7836B8D4" w14:textId="77777777" w:rsidR="00BD019B" w:rsidRPr="00D44A60" w:rsidRDefault="00BD019B" w:rsidP="004A7827">
      <w:pPr>
        <w:pStyle w:val="ListParagraph"/>
        <w:jc w:val="both"/>
        <w:rPr>
          <w:b/>
          <w:sz w:val="24"/>
          <w:szCs w:val="24"/>
        </w:rPr>
      </w:pPr>
    </w:p>
    <w:p w14:paraId="7836B8D5" w14:textId="77777777" w:rsidR="0063620D" w:rsidRPr="00D44A60" w:rsidRDefault="0063620D" w:rsidP="004A7827">
      <w:pPr>
        <w:pStyle w:val="ListParagraph"/>
        <w:ind w:left="1080"/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This Notice is made under section 117 of the Heavy Vehicle National </w:t>
      </w:r>
      <w:r w:rsidR="00E66995" w:rsidRPr="00D44A60">
        <w:rPr>
          <w:sz w:val="24"/>
          <w:szCs w:val="24"/>
        </w:rPr>
        <w:t>Law</w:t>
      </w:r>
      <w:r w:rsidR="004C2683" w:rsidRPr="00D44A60">
        <w:rPr>
          <w:sz w:val="24"/>
          <w:szCs w:val="24"/>
        </w:rPr>
        <w:t xml:space="preserve"> (HVNL)</w:t>
      </w:r>
      <w:r w:rsidR="00E66995" w:rsidRPr="00D44A60">
        <w:rPr>
          <w:sz w:val="24"/>
          <w:szCs w:val="24"/>
        </w:rPr>
        <w:t>.</w:t>
      </w:r>
      <w:r w:rsidRPr="00D44A60">
        <w:rPr>
          <w:sz w:val="24"/>
          <w:szCs w:val="24"/>
        </w:rPr>
        <w:t xml:space="preserve"> </w:t>
      </w:r>
    </w:p>
    <w:p w14:paraId="7836B8D6" w14:textId="77777777" w:rsidR="0063620D" w:rsidRPr="00D44A60" w:rsidRDefault="0063620D" w:rsidP="004A7827">
      <w:pPr>
        <w:pStyle w:val="ListParagraph"/>
        <w:jc w:val="both"/>
        <w:rPr>
          <w:sz w:val="24"/>
          <w:szCs w:val="24"/>
        </w:rPr>
      </w:pPr>
    </w:p>
    <w:p w14:paraId="7836B8D7" w14:textId="77777777" w:rsidR="003D3884" w:rsidRPr="00D44A60" w:rsidRDefault="0063620D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Title</w:t>
      </w:r>
    </w:p>
    <w:p w14:paraId="7836B8D8" w14:textId="77777777" w:rsidR="00BD019B" w:rsidRPr="00D44A60" w:rsidRDefault="00BD019B" w:rsidP="004A7827">
      <w:pPr>
        <w:pStyle w:val="ListParagraph"/>
        <w:jc w:val="both"/>
        <w:rPr>
          <w:b/>
          <w:sz w:val="24"/>
          <w:szCs w:val="24"/>
        </w:rPr>
      </w:pPr>
    </w:p>
    <w:p w14:paraId="7836B8D9" w14:textId="35E88AD1" w:rsidR="0063620D" w:rsidRPr="00D44A60" w:rsidRDefault="0063620D" w:rsidP="004A7827">
      <w:pPr>
        <w:pStyle w:val="ListParagraph"/>
        <w:ind w:left="1080"/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This Notice may be cited as the </w:t>
      </w:r>
      <w:r w:rsidR="00D91F27" w:rsidRPr="00D44A60">
        <w:rPr>
          <w:sz w:val="24"/>
          <w:szCs w:val="24"/>
        </w:rPr>
        <w:t>Tasmania Class 3 Livestock Transportat</w:t>
      </w:r>
      <w:r w:rsidR="00AE7E30" w:rsidRPr="00D44A60">
        <w:rPr>
          <w:sz w:val="24"/>
          <w:szCs w:val="24"/>
        </w:rPr>
        <w:t>ion Exemption Notice 20</w:t>
      </w:r>
      <w:r w:rsidR="00DE1C4D">
        <w:rPr>
          <w:sz w:val="24"/>
          <w:szCs w:val="24"/>
        </w:rPr>
        <w:t>24 (No.1)</w:t>
      </w:r>
      <w:r w:rsidR="00A037BF" w:rsidRPr="00D44A60">
        <w:rPr>
          <w:sz w:val="24"/>
          <w:szCs w:val="24"/>
        </w:rPr>
        <w:t>.</w:t>
      </w:r>
    </w:p>
    <w:p w14:paraId="7836B8DA" w14:textId="77777777" w:rsidR="0063620D" w:rsidRPr="00D44A60" w:rsidRDefault="0063620D" w:rsidP="004A7827">
      <w:pPr>
        <w:pStyle w:val="ListParagraph"/>
        <w:jc w:val="both"/>
        <w:rPr>
          <w:sz w:val="24"/>
          <w:szCs w:val="24"/>
        </w:rPr>
      </w:pPr>
    </w:p>
    <w:p w14:paraId="7836B8DB" w14:textId="77777777" w:rsidR="003D3884" w:rsidRPr="00D44A60" w:rsidRDefault="0063620D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Commencement</w:t>
      </w:r>
    </w:p>
    <w:p w14:paraId="7836B8DC" w14:textId="77777777" w:rsidR="00BD019B" w:rsidRPr="00D44A60" w:rsidRDefault="00BD019B" w:rsidP="004A7827">
      <w:pPr>
        <w:pStyle w:val="ListParagraph"/>
        <w:jc w:val="both"/>
        <w:rPr>
          <w:b/>
          <w:sz w:val="24"/>
          <w:szCs w:val="24"/>
        </w:rPr>
      </w:pPr>
    </w:p>
    <w:p w14:paraId="7836B8DD" w14:textId="16D70671" w:rsidR="0063620D" w:rsidRPr="00D44A60" w:rsidRDefault="0063620D" w:rsidP="004A7827">
      <w:pPr>
        <w:pStyle w:val="ListParagraph"/>
        <w:ind w:left="1080"/>
        <w:jc w:val="both"/>
        <w:rPr>
          <w:sz w:val="24"/>
          <w:szCs w:val="24"/>
        </w:rPr>
      </w:pPr>
      <w:r w:rsidRPr="00D44A60">
        <w:rPr>
          <w:sz w:val="24"/>
          <w:szCs w:val="24"/>
        </w:rPr>
        <w:t>This notice commences on</w:t>
      </w:r>
      <w:r w:rsidR="00444889" w:rsidRPr="00D44A60">
        <w:rPr>
          <w:sz w:val="24"/>
          <w:szCs w:val="24"/>
        </w:rPr>
        <w:t xml:space="preserve"> 10 February 20</w:t>
      </w:r>
      <w:r w:rsidR="00DE1C4D">
        <w:rPr>
          <w:sz w:val="24"/>
          <w:szCs w:val="24"/>
        </w:rPr>
        <w:t>24</w:t>
      </w:r>
      <w:r w:rsidR="00444889" w:rsidRPr="00D44A60">
        <w:rPr>
          <w:sz w:val="24"/>
          <w:szCs w:val="24"/>
        </w:rPr>
        <w:t>.</w:t>
      </w:r>
    </w:p>
    <w:p w14:paraId="7836B8DE" w14:textId="77777777" w:rsidR="0063620D" w:rsidRPr="00D44A60" w:rsidRDefault="0063620D" w:rsidP="004A7827">
      <w:pPr>
        <w:pStyle w:val="ListParagraph"/>
        <w:jc w:val="both"/>
        <w:rPr>
          <w:sz w:val="24"/>
          <w:szCs w:val="24"/>
        </w:rPr>
      </w:pPr>
    </w:p>
    <w:p w14:paraId="7836B8DF" w14:textId="77777777" w:rsidR="003D3884" w:rsidRPr="00D44A60" w:rsidRDefault="003D3884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Expiry</w:t>
      </w:r>
    </w:p>
    <w:p w14:paraId="7836B8E0" w14:textId="77777777" w:rsidR="00BD019B" w:rsidRPr="00D44A60" w:rsidRDefault="00BD019B" w:rsidP="004A7827">
      <w:pPr>
        <w:pStyle w:val="ListParagraph"/>
        <w:jc w:val="both"/>
        <w:rPr>
          <w:b/>
          <w:sz w:val="24"/>
          <w:szCs w:val="24"/>
        </w:rPr>
      </w:pPr>
    </w:p>
    <w:p w14:paraId="7836B8E1" w14:textId="053810F1" w:rsidR="00E66995" w:rsidRPr="00D44A60" w:rsidRDefault="0063620D" w:rsidP="004A7827">
      <w:pPr>
        <w:pStyle w:val="ListParagraph"/>
        <w:ind w:left="1080"/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This notice expires </w:t>
      </w:r>
      <w:r w:rsidR="00444889" w:rsidRPr="00D44A60">
        <w:rPr>
          <w:sz w:val="24"/>
          <w:szCs w:val="24"/>
        </w:rPr>
        <w:t>on 9 February 202</w:t>
      </w:r>
      <w:r w:rsidR="00DE1C4D">
        <w:rPr>
          <w:sz w:val="24"/>
          <w:szCs w:val="24"/>
        </w:rPr>
        <w:t>9</w:t>
      </w:r>
      <w:r w:rsidR="00805C7E" w:rsidRPr="00D44A60">
        <w:rPr>
          <w:sz w:val="24"/>
          <w:szCs w:val="24"/>
        </w:rPr>
        <w:t>.</w:t>
      </w:r>
    </w:p>
    <w:p w14:paraId="7836B8E2" w14:textId="77777777" w:rsidR="00805C7E" w:rsidRPr="00D44A60" w:rsidRDefault="00805C7E" w:rsidP="004A7827">
      <w:pPr>
        <w:pStyle w:val="ListParagraph"/>
        <w:ind w:left="1080"/>
        <w:jc w:val="both"/>
        <w:rPr>
          <w:sz w:val="24"/>
          <w:szCs w:val="24"/>
        </w:rPr>
      </w:pPr>
    </w:p>
    <w:p w14:paraId="7836B8E3" w14:textId="77777777" w:rsidR="00805C7E" w:rsidRPr="00D44A60" w:rsidRDefault="00805C7E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Application</w:t>
      </w:r>
    </w:p>
    <w:p w14:paraId="7836B8E4" w14:textId="77777777" w:rsidR="00BD019B" w:rsidRPr="00D44A60" w:rsidRDefault="00BD019B" w:rsidP="004A7827">
      <w:pPr>
        <w:pStyle w:val="ListParagraph"/>
        <w:jc w:val="both"/>
        <w:rPr>
          <w:b/>
          <w:sz w:val="24"/>
          <w:szCs w:val="24"/>
        </w:rPr>
      </w:pPr>
    </w:p>
    <w:p w14:paraId="7836B8E5" w14:textId="77777777" w:rsidR="00E66995" w:rsidRPr="00D44A60" w:rsidRDefault="00805C7E" w:rsidP="004A7827">
      <w:pPr>
        <w:pStyle w:val="ListParagraph"/>
        <w:ind w:left="1080"/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This notice applies to eligible vehicles operating in </w:t>
      </w:r>
      <w:r w:rsidR="00444889" w:rsidRPr="00D44A60">
        <w:rPr>
          <w:sz w:val="24"/>
          <w:szCs w:val="24"/>
        </w:rPr>
        <w:t>Tasmania</w:t>
      </w:r>
      <w:r w:rsidRPr="00D44A60">
        <w:rPr>
          <w:sz w:val="24"/>
          <w:szCs w:val="24"/>
        </w:rPr>
        <w:t>.</w:t>
      </w:r>
    </w:p>
    <w:p w14:paraId="7836B8E6" w14:textId="77777777" w:rsidR="00C16D89" w:rsidRPr="00D44A60" w:rsidRDefault="00C16D89" w:rsidP="004A7827">
      <w:pPr>
        <w:pStyle w:val="ListParagraph"/>
        <w:ind w:left="1080"/>
        <w:jc w:val="both"/>
        <w:rPr>
          <w:sz w:val="24"/>
          <w:szCs w:val="24"/>
        </w:rPr>
      </w:pPr>
    </w:p>
    <w:p w14:paraId="7836B8E7" w14:textId="77777777" w:rsidR="00C16D89" w:rsidRDefault="00C16D89" w:rsidP="004A7827">
      <w:pPr>
        <w:pStyle w:val="ListParagraph"/>
        <w:ind w:left="1080"/>
        <w:jc w:val="both"/>
        <w:rPr>
          <w:sz w:val="24"/>
          <w:szCs w:val="24"/>
        </w:rPr>
      </w:pPr>
    </w:p>
    <w:p w14:paraId="29791958" w14:textId="77777777" w:rsidR="001B4C2E" w:rsidRPr="00D44A60" w:rsidRDefault="001B4C2E" w:rsidP="004A7827">
      <w:pPr>
        <w:pStyle w:val="ListParagraph"/>
        <w:ind w:left="1080"/>
        <w:jc w:val="both"/>
        <w:rPr>
          <w:sz w:val="24"/>
          <w:szCs w:val="24"/>
        </w:rPr>
      </w:pPr>
    </w:p>
    <w:p w14:paraId="7836B8E8" w14:textId="77777777" w:rsidR="00C16D89" w:rsidRPr="00D44A60" w:rsidRDefault="00C16D89" w:rsidP="004A7827">
      <w:pPr>
        <w:pStyle w:val="ListParagraph"/>
        <w:ind w:left="1080"/>
        <w:jc w:val="both"/>
        <w:rPr>
          <w:sz w:val="24"/>
          <w:szCs w:val="24"/>
        </w:rPr>
      </w:pPr>
    </w:p>
    <w:p w14:paraId="7836B8E9" w14:textId="77777777" w:rsidR="00E33506" w:rsidRPr="00D44A60" w:rsidRDefault="00E33506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lastRenderedPageBreak/>
        <w:t>Definition</w:t>
      </w:r>
    </w:p>
    <w:p w14:paraId="7836B8EA" w14:textId="77777777" w:rsidR="00E33506" w:rsidRPr="00D44A60" w:rsidRDefault="00E33506" w:rsidP="004A7827">
      <w:pPr>
        <w:pStyle w:val="ListParagraph"/>
        <w:jc w:val="both"/>
        <w:rPr>
          <w:b/>
          <w:sz w:val="24"/>
          <w:szCs w:val="24"/>
        </w:rPr>
      </w:pPr>
    </w:p>
    <w:p w14:paraId="7836B8EB" w14:textId="77777777" w:rsidR="00E33506" w:rsidRPr="00D44A60" w:rsidRDefault="00E33506" w:rsidP="004A782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Unless otherwise stated, words and expressions used in this notice have the same meanings as those defined in the HVNL.</w:t>
      </w:r>
    </w:p>
    <w:p w14:paraId="7836B8EC" w14:textId="77777777" w:rsidR="00F23615" w:rsidRPr="00D44A60" w:rsidRDefault="00F23615" w:rsidP="00F23615">
      <w:pPr>
        <w:pStyle w:val="ListParagraph"/>
        <w:ind w:left="1080"/>
        <w:jc w:val="both"/>
        <w:rPr>
          <w:sz w:val="24"/>
          <w:szCs w:val="24"/>
        </w:rPr>
      </w:pPr>
    </w:p>
    <w:p w14:paraId="7836B8ED" w14:textId="77777777" w:rsidR="00E33506" w:rsidRPr="00D44A60" w:rsidRDefault="00E33506" w:rsidP="004A782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In this Notice:</w:t>
      </w:r>
    </w:p>
    <w:p w14:paraId="7836B8EE" w14:textId="77777777" w:rsidR="00E33506" w:rsidRPr="00D44A60" w:rsidRDefault="00E33506" w:rsidP="004A7827">
      <w:pPr>
        <w:ind w:left="1080"/>
        <w:contextualSpacing/>
        <w:jc w:val="both"/>
        <w:rPr>
          <w:sz w:val="24"/>
          <w:szCs w:val="24"/>
        </w:rPr>
      </w:pPr>
      <w:r w:rsidRPr="00D44A60">
        <w:rPr>
          <w:b/>
          <w:i/>
          <w:sz w:val="24"/>
          <w:szCs w:val="24"/>
        </w:rPr>
        <w:t>Eligible vehicle</w:t>
      </w:r>
      <w:r w:rsidRPr="00D44A60">
        <w:rPr>
          <w:i/>
          <w:sz w:val="24"/>
          <w:szCs w:val="24"/>
        </w:rPr>
        <w:t xml:space="preserve"> </w:t>
      </w:r>
      <w:r w:rsidRPr="00D44A60">
        <w:rPr>
          <w:sz w:val="24"/>
          <w:szCs w:val="24"/>
        </w:rPr>
        <w:t xml:space="preserve">means a </w:t>
      </w:r>
      <w:r w:rsidR="00A037BF" w:rsidRPr="00D44A60">
        <w:rPr>
          <w:sz w:val="24"/>
          <w:szCs w:val="24"/>
        </w:rPr>
        <w:t>vehicle specified in s</w:t>
      </w:r>
      <w:r w:rsidR="00D05FE0" w:rsidRPr="00D44A60">
        <w:rPr>
          <w:sz w:val="24"/>
          <w:szCs w:val="24"/>
        </w:rPr>
        <w:t xml:space="preserve">ection </w:t>
      </w:r>
      <w:r w:rsidR="00A037BF" w:rsidRPr="00D44A60">
        <w:rPr>
          <w:sz w:val="24"/>
          <w:szCs w:val="24"/>
        </w:rPr>
        <w:t>8 of this Notice.</w:t>
      </w:r>
    </w:p>
    <w:p w14:paraId="7836B8EF" w14:textId="77777777" w:rsidR="006E7A93" w:rsidRPr="00D44A60" w:rsidRDefault="006E7A93" w:rsidP="004A7827">
      <w:pPr>
        <w:contextualSpacing/>
        <w:jc w:val="both"/>
        <w:rPr>
          <w:sz w:val="24"/>
          <w:szCs w:val="24"/>
        </w:rPr>
      </w:pPr>
    </w:p>
    <w:p w14:paraId="7836B8F0" w14:textId="77777777" w:rsidR="00B92805" w:rsidRPr="00D44A60" w:rsidRDefault="00B92805" w:rsidP="004A7827">
      <w:pPr>
        <w:ind w:left="1080"/>
        <w:contextualSpacing/>
        <w:jc w:val="both"/>
        <w:rPr>
          <w:sz w:val="24"/>
          <w:szCs w:val="24"/>
        </w:rPr>
      </w:pPr>
      <w:r w:rsidRPr="00D44A60">
        <w:rPr>
          <w:b/>
          <w:i/>
          <w:sz w:val="24"/>
          <w:szCs w:val="24"/>
        </w:rPr>
        <w:t>General Access</w:t>
      </w:r>
      <w:r w:rsidRPr="00D44A60">
        <w:rPr>
          <w:i/>
          <w:sz w:val="24"/>
          <w:szCs w:val="24"/>
        </w:rPr>
        <w:t xml:space="preserve"> </w:t>
      </w:r>
      <w:r w:rsidRPr="00D44A60">
        <w:rPr>
          <w:sz w:val="24"/>
          <w:szCs w:val="24"/>
        </w:rPr>
        <w:t xml:space="preserve">means access to all roads in </w:t>
      </w:r>
      <w:r w:rsidR="00444889" w:rsidRPr="00D44A60">
        <w:rPr>
          <w:sz w:val="24"/>
          <w:szCs w:val="24"/>
        </w:rPr>
        <w:t>Tasmania</w:t>
      </w:r>
      <w:r w:rsidRPr="00D44A60">
        <w:rPr>
          <w:sz w:val="24"/>
          <w:szCs w:val="24"/>
        </w:rPr>
        <w:t xml:space="preserve">, subject to the </w:t>
      </w:r>
      <w:r w:rsidR="00444889" w:rsidRPr="00D44A60">
        <w:rPr>
          <w:sz w:val="24"/>
          <w:szCs w:val="24"/>
        </w:rPr>
        <w:t>Tasmania</w:t>
      </w:r>
      <w:r w:rsidRPr="00D44A60">
        <w:rPr>
          <w:sz w:val="24"/>
          <w:szCs w:val="24"/>
        </w:rPr>
        <w:t xml:space="preserve"> Road Rules</w:t>
      </w:r>
      <w:r w:rsidR="00444889" w:rsidRPr="00D44A60">
        <w:rPr>
          <w:sz w:val="24"/>
          <w:szCs w:val="24"/>
        </w:rPr>
        <w:t xml:space="preserve"> and the HVNL.</w:t>
      </w:r>
    </w:p>
    <w:p w14:paraId="7836B8F1" w14:textId="77777777" w:rsidR="00F9737E" w:rsidRPr="00D44A60" w:rsidRDefault="00F9737E" w:rsidP="004A7827">
      <w:pPr>
        <w:ind w:left="1080"/>
        <w:contextualSpacing/>
        <w:jc w:val="both"/>
        <w:rPr>
          <w:sz w:val="24"/>
          <w:szCs w:val="24"/>
        </w:rPr>
      </w:pPr>
    </w:p>
    <w:p w14:paraId="7836B8F2" w14:textId="77777777" w:rsidR="00C14AB6" w:rsidRPr="00D44A60" w:rsidRDefault="00F9737E" w:rsidP="009802A4">
      <w:pPr>
        <w:ind w:left="1080"/>
        <w:contextualSpacing/>
        <w:jc w:val="both"/>
        <w:rPr>
          <w:b/>
          <w:i/>
          <w:sz w:val="24"/>
          <w:szCs w:val="24"/>
        </w:rPr>
      </w:pPr>
      <w:r w:rsidRPr="00D44A60">
        <w:rPr>
          <w:b/>
          <w:i/>
          <w:sz w:val="24"/>
          <w:szCs w:val="24"/>
        </w:rPr>
        <w:t xml:space="preserve">Loading space </w:t>
      </w:r>
      <w:r w:rsidRPr="00D44A60">
        <w:rPr>
          <w:sz w:val="24"/>
          <w:szCs w:val="24"/>
        </w:rPr>
        <w:t xml:space="preserve">means </w:t>
      </w:r>
      <w:r w:rsidR="00C14AB6" w:rsidRPr="00D44A60">
        <w:rPr>
          <w:sz w:val="24"/>
          <w:szCs w:val="24"/>
        </w:rPr>
        <w:t xml:space="preserve">the length available for the carriage of livestock on a trailer </w:t>
      </w:r>
      <w:r w:rsidR="009802A4" w:rsidRPr="00D44A60">
        <w:rPr>
          <w:sz w:val="24"/>
          <w:szCs w:val="24"/>
        </w:rPr>
        <w:t>a</w:t>
      </w:r>
      <w:r w:rsidR="00C14AB6" w:rsidRPr="00D44A60">
        <w:rPr>
          <w:sz w:val="24"/>
          <w:szCs w:val="24"/>
        </w:rPr>
        <w:t>s measured from the inside of the front wall or door of the trailer to the inside of the rear wall or door of the trailer, with any intervening partitions disregarded.</w:t>
      </w:r>
    </w:p>
    <w:p w14:paraId="7836B8F3" w14:textId="77777777" w:rsidR="00F9737E" w:rsidRPr="00D44A60" w:rsidRDefault="00C14AB6" w:rsidP="00C14AB6">
      <w:pPr>
        <w:pStyle w:val="ListParagraph"/>
        <w:ind w:left="2160" w:hanging="1080"/>
        <w:jc w:val="both"/>
        <w:rPr>
          <w:sz w:val="24"/>
          <w:szCs w:val="24"/>
        </w:rPr>
      </w:pPr>
      <w:r w:rsidRPr="00D44A60">
        <w:rPr>
          <w:i/>
          <w:sz w:val="24"/>
          <w:szCs w:val="24"/>
        </w:rPr>
        <w:t>Note:</w:t>
      </w:r>
      <w:r w:rsidRPr="00D44A60">
        <w:rPr>
          <w:i/>
          <w:sz w:val="24"/>
          <w:szCs w:val="24"/>
        </w:rPr>
        <w:tab/>
        <w:t>the definition of ‘loading space’ is the definition for the length available for carrying livestock set out in s</w:t>
      </w:r>
      <w:r w:rsidR="00D05FE0" w:rsidRPr="00D44A60">
        <w:rPr>
          <w:i/>
          <w:sz w:val="24"/>
          <w:szCs w:val="24"/>
        </w:rPr>
        <w:t xml:space="preserve">ection </w:t>
      </w:r>
      <w:r w:rsidRPr="00D44A60">
        <w:rPr>
          <w:i/>
          <w:sz w:val="24"/>
          <w:szCs w:val="24"/>
        </w:rPr>
        <w:t>4(8) of Schedule 6 of the MDL Regulation.</w:t>
      </w:r>
    </w:p>
    <w:p w14:paraId="7836B8F4" w14:textId="77777777" w:rsidR="00F9737E" w:rsidRPr="00D44A60" w:rsidRDefault="00F9737E" w:rsidP="004A7827">
      <w:pPr>
        <w:ind w:left="1080"/>
        <w:contextualSpacing/>
        <w:jc w:val="both"/>
        <w:rPr>
          <w:sz w:val="24"/>
          <w:szCs w:val="24"/>
        </w:rPr>
      </w:pPr>
      <w:r w:rsidRPr="00D44A60">
        <w:rPr>
          <w:b/>
          <w:i/>
          <w:sz w:val="24"/>
          <w:szCs w:val="24"/>
        </w:rPr>
        <w:t xml:space="preserve">Livestock </w:t>
      </w:r>
      <w:r w:rsidRPr="00D44A60">
        <w:rPr>
          <w:sz w:val="24"/>
          <w:szCs w:val="24"/>
        </w:rPr>
        <w:t xml:space="preserve">means </w:t>
      </w:r>
      <w:r w:rsidR="006436D4" w:rsidRPr="00D44A60">
        <w:rPr>
          <w:sz w:val="24"/>
          <w:szCs w:val="24"/>
        </w:rPr>
        <w:t>livestock as specified in the Scheme.</w:t>
      </w:r>
    </w:p>
    <w:p w14:paraId="7836B8F5" w14:textId="77777777" w:rsidR="004A5ED4" w:rsidRPr="00D44A60" w:rsidRDefault="004A5ED4" w:rsidP="004A7827">
      <w:pPr>
        <w:ind w:left="1080"/>
        <w:contextualSpacing/>
        <w:jc w:val="both"/>
        <w:rPr>
          <w:sz w:val="24"/>
          <w:szCs w:val="24"/>
        </w:rPr>
      </w:pPr>
    </w:p>
    <w:p w14:paraId="7836B8F6" w14:textId="77777777" w:rsidR="004A5ED4" w:rsidRPr="00D44A60" w:rsidRDefault="004A5ED4" w:rsidP="004A7827">
      <w:pPr>
        <w:ind w:left="1080"/>
        <w:contextualSpacing/>
        <w:jc w:val="both"/>
        <w:rPr>
          <w:sz w:val="24"/>
          <w:szCs w:val="24"/>
        </w:rPr>
      </w:pPr>
      <w:r w:rsidRPr="00D44A60">
        <w:rPr>
          <w:b/>
          <w:i/>
          <w:sz w:val="24"/>
          <w:szCs w:val="24"/>
        </w:rPr>
        <w:t>Livestock carrier</w:t>
      </w:r>
      <w:r w:rsidRPr="00D44A60">
        <w:rPr>
          <w:sz w:val="24"/>
          <w:szCs w:val="24"/>
        </w:rPr>
        <w:t xml:space="preserve"> means a heavy vehicle that is a heavy vehicle or combination that is higher than 4.3m but not higher than 4.6m and is built to carry livestock.</w:t>
      </w:r>
    </w:p>
    <w:p w14:paraId="7836B8F7" w14:textId="77777777" w:rsidR="006E7A93" w:rsidRPr="00D44A60" w:rsidRDefault="006E7A93" w:rsidP="004A7827">
      <w:pPr>
        <w:contextualSpacing/>
        <w:jc w:val="both"/>
        <w:rPr>
          <w:sz w:val="24"/>
          <w:szCs w:val="24"/>
        </w:rPr>
      </w:pPr>
    </w:p>
    <w:p w14:paraId="7836B8F8" w14:textId="77777777" w:rsidR="00B92805" w:rsidRPr="00D44A60" w:rsidRDefault="00B92805" w:rsidP="00284610">
      <w:pPr>
        <w:ind w:left="1080"/>
        <w:contextualSpacing/>
        <w:jc w:val="both"/>
        <w:rPr>
          <w:sz w:val="24"/>
          <w:szCs w:val="24"/>
        </w:rPr>
      </w:pPr>
      <w:r w:rsidRPr="00D44A60">
        <w:rPr>
          <w:b/>
          <w:i/>
          <w:sz w:val="24"/>
          <w:szCs w:val="24"/>
        </w:rPr>
        <w:t>Scheme</w:t>
      </w:r>
      <w:r w:rsidRPr="00D44A60">
        <w:rPr>
          <w:i/>
          <w:sz w:val="24"/>
          <w:szCs w:val="24"/>
        </w:rPr>
        <w:t xml:space="preserve"> </w:t>
      </w:r>
      <w:r w:rsidR="00284610" w:rsidRPr="00D44A60">
        <w:rPr>
          <w:sz w:val="24"/>
          <w:szCs w:val="24"/>
        </w:rPr>
        <w:t>m</w:t>
      </w:r>
      <w:r w:rsidRPr="00D44A60">
        <w:rPr>
          <w:sz w:val="24"/>
          <w:szCs w:val="24"/>
        </w:rPr>
        <w:t xml:space="preserve">eans the </w:t>
      </w:r>
      <w:r w:rsidR="009734CB" w:rsidRPr="00D44A60">
        <w:rPr>
          <w:i/>
          <w:sz w:val="24"/>
          <w:szCs w:val="24"/>
        </w:rPr>
        <w:t xml:space="preserve">Information Bulletin for the Livestock Loading Scheme (Tasmania) </w:t>
      </w:r>
      <w:r w:rsidRPr="00D44A60">
        <w:rPr>
          <w:sz w:val="24"/>
          <w:szCs w:val="24"/>
        </w:rPr>
        <w:t>published</w:t>
      </w:r>
      <w:r w:rsidR="00A61D12" w:rsidRPr="00D44A60">
        <w:rPr>
          <w:sz w:val="24"/>
          <w:szCs w:val="24"/>
        </w:rPr>
        <w:t xml:space="preserve"> and administered</w:t>
      </w:r>
      <w:r w:rsidRPr="00D44A60">
        <w:rPr>
          <w:sz w:val="24"/>
          <w:szCs w:val="24"/>
        </w:rPr>
        <w:t xml:space="preserve"> by </w:t>
      </w:r>
      <w:r w:rsidR="00444889" w:rsidRPr="00D44A60">
        <w:rPr>
          <w:sz w:val="24"/>
          <w:szCs w:val="24"/>
        </w:rPr>
        <w:t>the Tasmania</w:t>
      </w:r>
      <w:r w:rsidR="00607885" w:rsidRPr="00D44A60">
        <w:rPr>
          <w:sz w:val="24"/>
          <w:szCs w:val="24"/>
        </w:rPr>
        <w:t>n</w:t>
      </w:r>
      <w:r w:rsidR="00444889" w:rsidRPr="00D44A60">
        <w:rPr>
          <w:sz w:val="24"/>
          <w:szCs w:val="24"/>
        </w:rPr>
        <w:t xml:space="preserve"> Department of State Growth</w:t>
      </w:r>
      <w:r w:rsidR="009802A4" w:rsidRPr="00D44A60">
        <w:rPr>
          <w:sz w:val="24"/>
          <w:szCs w:val="24"/>
        </w:rPr>
        <w:t>, as amended from time to time.</w:t>
      </w:r>
    </w:p>
    <w:p w14:paraId="7836B8F9" w14:textId="77777777" w:rsidR="00284610" w:rsidRPr="00D44A60" w:rsidRDefault="00284610" w:rsidP="00284610">
      <w:pPr>
        <w:ind w:left="1080"/>
        <w:contextualSpacing/>
        <w:jc w:val="both"/>
        <w:rPr>
          <w:sz w:val="24"/>
          <w:szCs w:val="24"/>
        </w:rPr>
      </w:pPr>
    </w:p>
    <w:p w14:paraId="7836B8FA" w14:textId="77777777" w:rsidR="00284610" w:rsidRPr="00D44A60" w:rsidRDefault="00284610" w:rsidP="00284610">
      <w:pPr>
        <w:ind w:left="1080"/>
        <w:contextualSpacing/>
        <w:jc w:val="both"/>
        <w:rPr>
          <w:sz w:val="24"/>
          <w:szCs w:val="24"/>
        </w:rPr>
      </w:pPr>
      <w:r w:rsidRPr="00D44A60">
        <w:rPr>
          <w:b/>
          <w:i/>
          <w:sz w:val="24"/>
          <w:szCs w:val="24"/>
        </w:rPr>
        <w:t>Scheme certificate</w:t>
      </w:r>
      <w:r w:rsidRPr="00D44A60">
        <w:rPr>
          <w:sz w:val="24"/>
          <w:szCs w:val="24"/>
        </w:rPr>
        <w:t xml:space="preserve"> means a certificate showing vehicle ratings, tare weight and semi-trailer loading space issued under the Scheme.</w:t>
      </w:r>
    </w:p>
    <w:p w14:paraId="7836B8FB" w14:textId="77777777" w:rsidR="00A037BF" w:rsidRPr="00D44A60" w:rsidRDefault="00A037BF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Eligible Vehicles</w:t>
      </w:r>
    </w:p>
    <w:p w14:paraId="7836B8FC" w14:textId="77777777" w:rsidR="00A037BF" w:rsidRPr="00D44A60" w:rsidRDefault="00A037BF" w:rsidP="004A7827">
      <w:pPr>
        <w:pStyle w:val="ListParagraph"/>
        <w:jc w:val="both"/>
        <w:rPr>
          <w:b/>
          <w:sz w:val="24"/>
          <w:szCs w:val="24"/>
        </w:rPr>
      </w:pPr>
    </w:p>
    <w:p w14:paraId="7836B8FD" w14:textId="77777777" w:rsidR="00BE4F85" w:rsidRPr="00D44A60" w:rsidRDefault="00A037BF" w:rsidP="00BE4F8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An eligible </w:t>
      </w:r>
      <w:r w:rsidR="00BD019B" w:rsidRPr="00D44A60">
        <w:rPr>
          <w:sz w:val="24"/>
          <w:szCs w:val="24"/>
        </w:rPr>
        <w:t>vehicle is a heavy vehicle that</w:t>
      </w:r>
      <w:r w:rsidR="00094FFC" w:rsidRPr="00D44A60">
        <w:rPr>
          <w:sz w:val="24"/>
          <w:szCs w:val="24"/>
        </w:rPr>
        <w:t xml:space="preserve"> is</w:t>
      </w:r>
      <w:r w:rsidR="00BD019B" w:rsidRPr="00D44A60">
        <w:rPr>
          <w:sz w:val="24"/>
          <w:szCs w:val="24"/>
        </w:rPr>
        <w:t>:</w:t>
      </w:r>
    </w:p>
    <w:p w14:paraId="7836B8FE" w14:textId="77777777" w:rsidR="00444889" w:rsidRPr="00D44A60" w:rsidRDefault="00094FFC" w:rsidP="004A782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a </w:t>
      </w:r>
      <w:r w:rsidR="000C333C" w:rsidRPr="00D44A60">
        <w:rPr>
          <w:sz w:val="24"/>
          <w:szCs w:val="24"/>
        </w:rPr>
        <w:t xml:space="preserve">prime mover </w:t>
      </w:r>
      <w:r w:rsidR="00073430" w:rsidRPr="00D44A60">
        <w:rPr>
          <w:sz w:val="24"/>
          <w:szCs w:val="24"/>
        </w:rPr>
        <w:t>semi-trailer</w:t>
      </w:r>
      <w:r w:rsidR="000C333C" w:rsidRPr="00D44A60">
        <w:rPr>
          <w:sz w:val="24"/>
          <w:szCs w:val="24"/>
        </w:rPr>
        <w:t xml:space="preserve"> combination</w:t>
      </w:r>
      <w:r w:rsidR="00073430" w:rsidRPr="00D44A60">
        <w:rPr>
          <w:sz w:val="24"/>
          <w:szCs w:val="24"/>
        </w:rPr>
        <w:t xml:space="preserve"> </w:t>
      </w:r>
      <w:r w:rsidR="00552259" w:rsidRPr="00D44A60">
        <w:rPr>
          <w:sz w:val="24"/>
          <w:szCs w:val="24"/>
        </w:rPr>
        <w:t xml:space="preserve">not </w:t>
      </w:r>
      <w:r w:rsidR="00405F39" w:rsidRPr="00D44A60">
        <w:rPr>
          <w:sz w:val="24"/>
          <w:szCs w:val="24"/>
        </w:rPr>
        <w:t xml:space="preserve">longer </w:t>
      </w:r>
      <w:r w:rsidR="00552259" w:rsidRPr="00D44A60">
        <w:rPr>
          <w:sz w:val="24"/>
          <w:szCs w:val="24"/>
        </w:rPr>
        <w:t>than 19m</w:t>
      </w:r>
      <w:r w:rsidR="00444889" w:rsidRPr="00D44A60">
        <w:rPr>
          <w:sz w:val="24"/>
          <w:szCs w:val="24"/>
        </w:rPr>
        <w:t xml:space="preserve">, or </w:t>
      </w:r>
      <w:r w:rsidR="00073430" w:rsidRPr="00D44A60">
        <w:rPr>
          <w:sz w:val="24"/>
          <w:szCs w:val="24"/>
        </w:rPr>
        <w:t xml:space="preserve">a </w:t>
      </w:r>
      <w:r w:rsidR="00444889" w:rsidRPr="00D44A60">
        <w:rPr>
          <w:sz w:val="24"/>
          <w:szCs w:val="24"/>
        </w:rPr>
        <w:t>nine axle B-double</w:t>
      </w:r>
      <w:r w:rsidR="00073430" w:rsidRPr="00D44A60">
        <w:rPr>
          <w:sz w:val="24"/>
          <w:szCs w:val="24"/>
        </w:rPr>
        <w:t xml:space="preserve"> not </w:t>
      </w:r>
      <w:r w:rsidR="00405F39" w:rsidRPr="00D44A60">
        <w:rPr>
          <w:sz w:val="24"/>
          <w:szCs w:val="24"/>
        </w:rPr>
        <w:t xml:space="preserve">longer </w:t>
      </w:r>
      <w:r w:rsidR="00073430" w:rsidRPr="00D44A60">
        <w:rPr>
          <w:sz w:val="24"/>
          <w:szCs w:val="24"/>
        </w:rPr>
        <w:t>than 26m</w:t>
      </w:r>
      <w:r w:rsidR="00444889" w:rsidRPr="00D44A60">
        <w:rPr>
          <w:sz w:val="24"/>
          <w:szCs w:val="24"/>
        </w:rPr>
        <w:t>; and</w:t>
      </w:r>
    </w:p>
    <w:p w14:paraId="7836B8FF" w14:textId="77777777" w:rsidR="00181695" w:rsidRPr="00D44A60" w:rsidRDefault="00F9737E" w:rsidP="004C268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i</w:t>
      </w:r>
      <w:r w:rsidR="00444889" w:rsidRPr="00D44A60">
        <w:rPr>
          <w:sz w:val="24"/>
          <w:szCs w:val="24"/>
        </w:rPr>
        <w:t>s equipped with Road Friendly Suspension</w:t>
      </w:r>
      <w:r w:rsidR="00181695" w:rsidRPr="00D44A60">
        <w:rPr>
          <w:sz w:val="24"/>
          <w:szCs w:val="24"/>
        </w:rPr>
        <w:t>;</w:t>
      </w:r>
      <w:r w:rsidR="002F4C17" w:rsidRPr="00D44A60">
        <w:rPr>
          <w:sz w:val="24"/>
          <w:szCs w:val="24"/>
        </w:rPr>
        <w:t xml:space="preserve"> and</w:t>
      </w:r>
    </w:p>
    <w:p w14:paraId="7836B900" w14:textId="77777777" w:rsidR="007815CC" w:rsidRPr="00D44A60" w:rsidRDefault="00181695" w:rsidP="004C268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is equipped with dual tyres on all non-steering axles;</w:t>
      </w:r>
      <w:r w:rsidR="007815CC" w:rsidRPr="00D44A60">
        <w:rPr>
          <w:sz w:val="24"/>
          <w:szCs w:val="24"/>
        </w:rPr>
        <w:t xml:space="preserve"> and</w:t>
      </w:r>
    </w:p>
    <w:p w14:paraId="7836B901" w14:textId="77777777" w:rsidR="00181695" w:rsidRPr="00D44A60" w:rsidRDefault="007815CC" w:rsidP="004C268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is </w:t>
      </w:r>
      <w:r w:rsidR="007261CA" w:rsidRPr="00D44A60">
        <w:rPr>
          <w:sz w:val="24"/>
          <w:szCs w:val="24"/>
        </w:rPr>
        <w:t>a livestock carrier</w:t>
      </w:r>
      <w:r w:rsidR="00073430" w:rsidRPr="00D44A60">
        <w:rPr>
          <w:sz w:val="24"/>
          <w:szCs w:val="24"/>
        </w:rPr>
        <w:t>.</w:t>
      </w:r>
    </w:p>
    <w:p w14:paraId="7836B902" w14:textId="77777777" w:rsidR="00780F08" w:rsidRPr="00D44A60" w:rsidRDefault="00181695" w:rsidP="009B018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An eligible semi-trailer must have a tri-axle</w:t>
      </w:r>
      <w:r w:rsidR="00317C3C" w:rsidRPr="00D44A60">
        <w:rPr>
          <w:sz w:val="24"/>
          <w:szCs w:val="24"/>
        </w:rPr>
        <w:t xml:space="preserve"> group</w:t>
      </w:r>
      <w:r w:rsidRPr="00D44A60">
        <w:rPr>
          <w:sz w:val="24"/>
          <w:szCs w:val="24"/>
        </w:rPr>
        <w:t>.</w:t>
      </w:r>
    </w:p>
    <w:p w14:paraId="7836B903" w14:textId="77777777" w:rsidR="004C2683" w:rsidRDefault="00780F08" w:rsidP="00D44A6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An eligible B-double must have a tri-axle </w:t>
      </w:r>
      <w:r w:rsidR="00317C3C" w:rsidRPr="00D44A60">
        <w:rPr>
          <w:sz w:val="24"/>
          <w:szCs w:val="24"/>
        </w:rPr>
        <w:t xml:space="preserve">group </w:t>
      </w:r>
      <w:r w:rsidRPr="00D44A60">
        <w:rPr>
          <w:sz w:val="24"/>
          <w:szCs w:val="24"/>
        </w:rPr>
        <w:t>on each B-double trailer.</w:t>
      </w:r>
    </w:p>
    <w:p w14:paraId="7836B904" w14:textId="77777777" w:rsidR="0063620D" w:rsidRPr="00D44A60" w:rsidRDefault="00593EDE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lastRenderedPageBreak/>
        <w:t>Exemption – Mass</w:t>
      </w:r>
    </w:p>
    <w:p w14:paraId="7836B905" w14:textId="77777777" w:rsidR="00BD019B" w:rsidRPr="00D44A60" w:rsidRDefault="00BD019B" w:rsidP="004A7827">
      <w:pPr>
        <w:pStyle w:val="ListParagraph"/>
        <w:jc w:val="both"/>
        <w:rPr>
          <w:b/>
          <w:sz w:val="24"/>
          <w:szCs w:val="24"/>
        </w:rPr>
      </w:pPr>
    </w:p>
    <w:p w14:paraId="7836B906" w14:textId="77777777" w:rsidR="00593EDE" w:rsidRPr="00D44A60" w:rsidRDefault="00593EDE" w:rsidP="004A7827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Eligible vehicles operating under this Notice are exempt from the following mass requirements in Schedule 1 of the </w:t>
      </w:r>
      <w:r w:rsidRPr="00D44A60">
        <w:rPr>
          <w:i/>
          <w:sz w:val="24"/>
          <w:szCs w:val="24"/>
        </w:rPr>
        <w:t>Heavy Vehicle (Mass, Dimension &amp; Loading) National Regulation (MDL Regulation)</w:t>
      </w:r>
      <w:r w:rsidRPr="00D44A60">
        <w:rPr>
          <w:sz w:val="24"/>
          <w:szCs w:val="24"/>
        </w:rPr>
        <w:t>:</w:t>
      </w:r>
    </w:p>
    <w:p w14:paraId="7836B907" w14:textId="77777777" w:rsidR="00593EDE" w:rsidRPr="00D44A60" w:rsidRDefault="00593EDE" w:rsidP="004A782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section 2(1)(a)(iv) and 2</w:t>
      </w:r>
      <w:r w:rsidR="00A634DA" w:rsidRPr="00D44A60">
        <w:rPr>
          <w:sz w:val="24"/>
          <w:szCs w:val="24"/>
        </w:rPr>
        <w:t>(1)</w:t>
      </w:r>
      <w:r w:rsidRPr="00D44A60">
        <w:rPr>
          <w:sz w:val="24"/>
          <w:szCs w:val="24"/>
        </w:rPr>
        <w:t>(b</w:t>
      </w:r>
      <w:proofErr w:type="gramStart"/>
      <w:r w:rsidRPr="00D44A60">
        <w:rPr>
          <w:sz w:val="24"/>
          <w:szCs w:val="24"/>
        </w:rPr>
        <w:t>);</w:t>
      </w:r>
      <w:proofErr w:type="gramEnd"/>
    </w:p>
    <w:p w14:paraId="7836B908" w14:textId="77777777" w:rsidR="00593EDE" w:rsidRPr="00D44A60" w:rsidRDefault="00593EDE" w:rsidP="004A782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section 4 and Table 1 (Axle mass limits table); and</w:t>
      </w:r>
    </w:p>
    <w:p w14:paraId="7836B909" w14:textId="77777777" w:rsidR="006E7A93" w:rsidRPr="00D44A60" w:rsidRDefault="00593EDE" w:rsidP="004A7827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section 5(1) and Table 2 (Axle spacing mass limits general table).</w:t>
      </w:r>
    </w:p>
    <w:p w14:paraId="7836B90A" w14:textId="77777777" w:rsidR="009B018A" w:rsidRPr="00D44A60" w:rsidRDefault="009B018A" w:rsidP="009B018A">
      <w:pPr>
        <w:pStyle w:val="ListParagraph"/>
        <w:ind w:left="1440"/>
        <w:jc w:val="both"/>
        <w:rPr>
          <w:sz w:val="24"/>
          <w:szCs w:val="24"/>
        </w:rPr>
      </w:pPr>
    </w:p>
    <w:p w14:paraId="7836B90B" w14:textId="77777777" w:rsidR="00C72AF2" w:rsidRPr="00D44A60" w:rsidRDefault="009B018A" w:rsidP="009B018A">
      <w:pPr>
        <w:pStyle w:val="ListParagraph"/>
        <w:ind w:left="2160" w:hanging="1080"/>
        <w:jc w:val="both"/>
        <w:rPr>
          <w:i/>
          <w:sz w:val="24"/>
          <w:szCs w:val="24"/>
        </w:rPr>
      </w:pPr>
      <w:r w:rsidRPr="00D44A60">
        <w:rPr>
          <w:i/>
          <w:sz w:val="24"/>
          <w:szCs w:val="24"/>
        </w:rPr>
        <w:t>Note:</w:t>
      </w:r>
      <w:r w:rsidRPr="00D44A60">
        <w:rPr>
          <w:i/>
          <w:sz w:val="24"/>
          <w:szCs w:val="24"/>
        </w:rPr>
        <w:tab/>
      </w:r>
      <w:r w:rsidR="007A387C" w:rsidRPr="00D44A60">
        <w:rPr>
          <w:i/>
          <w:sz w:val="24"/>
          <w:szCs w:val="24"/>
        </w:rPr>
        <w:t>Eligible vehicles</w:t>
      </w:r>
      <w:r w:rsidR="00A04EE0" w:rsidRPr="00D44A60">
        <w:rPr>
          <w:i/>
          <w:sz w:val="24"/>
          <w:szCs w:val="24"/>
        </w:rPr>
        <w:t xml:space="preserve"> and their components (</w:t>
      </w:r>
      <w:r w:rsidR="006E6618" w:rsidRPr="00D44A60">
        <w:rPr>
          <w:i/>
          <w:sz w:val="24"/>
          <w:szCs w:val="24"/>
        </w:rPr>
        <w:t>including</w:t>
      </w:r>
      <w:r w:rsidR="00A04EE0" w:rsidRPr="00D44A60">
        <w:rPr>
          <w:i/>
          <w:sz w:val="24"/>
          <w:szCs w:val="24"/>
        </w:rPr>
        <w:t xml:space="preserve"> axles and tyres)</w:t>
      </w:r>
      <w:r w:rsidR="007A387C" w:rsidRPr="00D44A60">
        <w:rPr>
          <w:i/>
          <w:sz w:val="24"/>
          <w:szCs w:val="24"/>
        </w:rPr>
        <w:t xml:space="preserve"> are not exempt from exceeding manufacturer’s ratings</w:t>
      </w:r>
      <w:r w:rsidR="00F12F50" w:rsidRPr="00D44A60">
        <w:rPr>
          <w:i/>
          <w:sz w:val="24"/>
          <w:szCs w:val="24"/>
        </w:rPr>
        <w:t xml:space="preserve"> and limits</w:t>
      </w:r>
      <w:r w:rsidR="00A04EE0" w:rsidRPr="00D44A60">
        <w:rPr>
          <w:i/>
          <w:sz w:val="24"/>
          <w:szCs w:val="24"/>
        </w:rPr>
        <w:t>, including Gross Vehicle Mass (GVM), Gross Combination Mass (GCM) and Gross Trailer Mass (GTM).</w:t>
      </w:r>
    </w:p>
    <w:p w14:paraId="7836B90C" w14:textId="77777777" w:rsidR="00F9737E" w:rsidRPr="00D44A60" w:rsidRDefault="00F9737E" w:rsidP="00F9737E">
      <w:pPr>
        <w:pStyle w:val="ListParagraph"/>
        <w:ind w:left="1440"/>
        <w:jc w:val="both"/>
        <w:rPr>
          <w:sz w:val="24"/>
          <w:szCs w:val="24"/>
        </w:rPr>
      </w:pPr>
    </w:p>
    <w:p w14:paraId="7836B90D" w14:textId="77777777" w:rsidR="00BD019B" w:rsidRPr="00D44A60" w:rsidRDefault="00A037BF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Exemption – Dimension</w:t>
      </w:r>
    </w:p>
    <w:p w14:paraId="7836B90E" w14:textId="77777777" w:rsidR="00BD019B" w:rsidRPr="00D44A60" w:rsidRDefault="00BD019B" w:rsidP="004A7827">
      <w:pPr>
        <w:pStyle w:val="ListParagraph"/>
        <w:jc w:val="both"/>
        <w:rPr>
          <w:b/>
          <w:sz w:val="24"/>
          <w:szCs w:val="24"/>
        </w:rPr>
      </w:pPr>
    </w:p>
    <w:p w14:paraId="7836B90F" w14:textId="77777777" w:rsidR="00A037BF" w:rsidRPr="00D44A60" w:rsidRDefault="00A037BF" w:rsidP="004A782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Eligible vehicles operating under this Notice are exempt from the following dimension requirements in Schedule 6 of the MDL Regulation:</w:t>
      </w:r>
    </w:p>
    <w:p w14:paraId="7836B910" w14:textId="77777777" w:rsidR="00D71776" w:rsidRPr="00D44A60" w:rsidRDefault="00D71776" w:rsidP="004A782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Section 4(6) to </w:t>
      </w:r>
      <w:r w:rsidR="00C14AB6" w:rsidRPr="00D44A60">
        <w:rPr>
          <w:sz w:val="24"/>
          <w:szCs w:val="24"/>
        </w:rPr>
        <w:t>4</w:t>
      </w:r>
      <w:r w:rsidRPr="00D44A60">
        <w:rPr>
          <w:sz w:val="24"/>
          <w:szCs w:val="24"/>
        </w:rPr>
        <w:t xml:space="preserve">(8) - </w:t>
      </w:r>
      <w:r w:rsidR="00C14AB6" w:rsidRPr="00D44A60">
        <w:rPr>
          <w:sz w:val="24"/>
          <w:szCs w:val="24"/>
        </w:rPr>
        <w:t>Loading space for livestock</w:t>
      </w:r>
    </w:p>
    <w:p w14:paraId="7836B911" w14:textId="77777777" w:rsidR="00B92805" w:rsidRPr="00D44A60" w:rsidRDefault="00A037BF" w:rsidP="004A782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section </w:t>
      </w:r>
      <w:r w:rsidR="00BD019B" w:rsidRPr="00D44A60">
        <w:rPr>
          <w:sz w:val="24"/>
          <w:szCs w:val="24"/>
        </w:rPr>
        <w:t>8</w:t>
      </w:r>
      <w:r w:rsidRPr="00D44A60">
        <w:rPr>
          <w:sz w:val="24"/>
          <w:szCs w:val="24"/>
        </w:rPr>
        <w:t xml:space="preserve"> </w:t>
      </w:r>
      <w:r w:rsidR="00B21C4D" w:rsidRPr="00D44A60">
        <w:rPr>
          <w:sz w:val="24"/>
          <w:szCs w:val="24"/>
        </w:rPr>
        <w:t>–</w:t>
      </w:r>
      <w:r w:rsidRPr="00D44A60">
        <w:rPr>
          <w:sz w:val="24"/>
          <w:szCs w:val="24"/>
        </w:rPr>
        <w:t xml:space="preserve"> Height</w:t>
      </w:r>
    </w:p>
    <w:p w14:paraId="7836B912" w14:textId="77777777" w:rsidR="00C14AB6" w:rsidRPr="00D44A60" w:rsidRDefault="00C14AB6" w:rsidP="00C14AB6">
      <w:pPr>
        <w:pStyle w:val="ListParagraph"/>
        <w:ind w:left="1440"/>
        <w:jc w:val="both"/>
        <w:rPr>
          <w:sz w:val="24"/>
          <w:szCs w:val="24"/>
        </w:rPr>
      </w:pPr>
    </w:p>
    <w:p w14:paraId="7836B913" w14:textId="77777777" w:rsidR="00C14AB6" w:rsidRPr="00D44A60" w:rsidRDefault="00C14AB6" w:rsidP="00C14AB6">
      <w:pPr>
        <w:pStyle w:val="ListParagraph"/>
        <w:ind w:left="2160" w:hanging="1080"/>
        <w:jc w:val="both"/>
        <w:rPr>
          <w:i/>
          <w:sz w:val="24"/>
          <w:szCs w:val="24"/>
        </w:rPr>
      </w:pPr>
      <w:r w:rsidRPr="00D44A60">
        <w:rPr>
          <w:i/>
          <w:sz w:val="24"/>
          <w:szCs w:val="24"/>
        </w:rPr>
        <w:t>Note:</w:t>
      </w:r>
      <w:r w:rsidRPr="00D44A60">
        <w:rPr>
          <w:i/>
          <w:sz w:val="24"/>
          <w:szCs w:val="24"/>
        </w:rPr>
        <w:tab/>
        <w:t>The exemption for loading space is required because the dimension requirements in s</w:t>
      </w:r>
      <w:r w:rsidR="001A720C" w:rsidRPr="00D44A60">
        <w:rPr>
          <w:i/>
          <w:sz w:val="24"/>
          <w:szCs w:val="24"/>
        </w:rPr>
        <w:t xml:space="preserve">ection </w:t>
      </w:r>
      <w:r w:rsidRPr="00D44A60">
        <w:rPr>
          <w:i/>
          <w:sz w:val="24"/>
          <w:szCs w:val="24"/>
        </w:rPr>
        <w:t>4(6) and (7) in Schedule 6 of the MDL Regulation specify particular animals that may not cover the range of livestock allowed to be carried under this Notice. The concessional dimensions re-instated in this Notice are the same as those in the MDL Regulation.</w:t>
      </w:r>
    </w:p>
    <w:p w14:paraId="7836B914" w14:textId="77777777" w:rsidR="00B21C4D" w:rsidRPr="00D44A60" w:rsidRDefault="00B21C4D" w:rsidP="004A7827">
      <w:pPr>
        <w:pStyle w:val="ListParagraph"/>
        <w:ind w:left="1440"/>
        <w:jc w:val="both"/>
        <w:rPr>
          <w:sz w:val="24"/>
          <w:szCs w:val="24"/>
        </w:rPr>
      </w:pPr>
    </w:p>
    <w:p w14:paraId="7836B915" w14:textId="77777777" w:rsidR="000733CF" w:rsidRPr="00D44A60" w:rsidRDefault="000733CF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 xml:space="preserve">Conditions – </w:t>
      </w:r>
      <w:r w:rsidR="00B92805" w:rsidRPr="00D44A60">
        <w:rPr>
          <w:b/>
          <w:sz w:val="24"/>
          <w:szCs w:val="24"/>
        </w:rPr>
        <w:t>Stated Areas and Routes</w:t>
      </w:r>
    </w:p>
    <w:p w14:paraId="7836B916" w14:textId="77777777" w:rsidR="00B92805" w:rsidRPr="00D44A60" w:rsidRDefault="00B92805" w:rsidP="004A7827">
      <w:pPr>
        <w:pStyle w:val="ListParagraph"/>
        <w:jc w:val="both"/>
        <w:rPr>
          <w:b/>
          <w:sz w:val="24"/>
          <w:szCs w:val="24"/>
        </w:rPr>
      </w:pPr>
    </w:p>
    <w:p w14:paraId="7836B917" w14:textId="77777777" w:rsidR="00094FFC" w:rsidRPr="00D44A60" w:rsidRDefault="00D70E50" w:rsidP="00094FFC">
      <w:pPr>
        <w:pStyle w:val="ListParagraph"/>
        <w:numPr>
          <w:ilvl w:val="0"/>
          <w:numId w:val="46"/>
        </w:numPr>
        <w:spacing w:after="0" w:line="240" w:lineRule="auto"/>
        <w:outlineLvl w:val="0"/>
        <w:rPr>
          <w:sz w:val="24"/>
          <w:szCs w:val="24"/>
          <w:lang w:eastAsia="en-AU"/>
        </w:rPr>
      </w:pPr>
      <w:r w:rsidRPr="00D44A60">
        <w:rPr>
          <w:sz w:val="24"/>
          <w:szCs w:val="24"/>
        </w:rPr>
        <w:t xml:space="preserve">Subject to </w:t>
      </w:r>
      <w:r w:rsidR="00E86A84" w:rsidRPr="00D44A60">
        <w:rPr>
          <w:sz w:val="24"/>
          <w:szCs w:val="24"/>
        </w:rPr>
        <w:t>section</w:t>
      </w:r>
      <w:r w:rsidRPr="00D44A60">
        <w:rPr>
          <w:sz w:val="24"/>
          <w:szCs w:val="24"/>
        </w:rPr>
        <w:t xml:space="preserve"> 11(2), a</w:t>
      </w:r>
      <w:r w:rsidR="00B92805" w:rsidRPr="00D44A60">
        <w:rPr>
          <w:sz w:val="24"/>
          <w:szCs w:val="24"/>
        </w:rPr>
        <w:t xml:space="preserve">n eligible vehicle operating under this Notice </w:t>
      </w:r>
      <w:r w:rsidR="00094FFC" w:rsidRPr="00D44A60">
        <w:rPr>
          <w:sz w:val="24"/>
          <w:szCs w:val="24"/>
        </w:rPr>
        <w:t>may use all roads in Tasmania except for</w:t>
      </w:r>
      <w:r w:rsidR="00094FFC" w:rsidRPr="00D44A60">
        <w:rPr>
          <w:sz w:val="24"/>
          <w:szCs w:val="24"/>
          <w:lang w:eastAsia="en-AU"/>
        </w:rPr>
        <w:t xml:space="preserve"> </w:t>
      </w:r>
    </w:p>
    <w:p w14:paraId="7836B918" w14:textId="77777777" w:rsidR="00094FFC" w:rsidRPr="00D44A60" w:rsidRDefault="00094FFC" w:rsidP="00D44A60">
      <w:pPr>
        <w:pStyle w:val="ListParagraph"/>
        <w:spacing w:after="0" w:line="240" w:lineRule="auto"/>
        <w:ind w:left="1080"/>
        <w:outlineLvl w:val="0"/>
        <w:rPr>
          <w:sz w:val="24"/>
          <w:szCs w:val="24"/>
          <w:lang w:eastAsia="en-AU"/>
        </w:rPr>
      </w:pPr>
      <w:r w:rsidRPr="00D44A60">
        <w:rPr>
          <w:sz w:val="24"/>
          <w:szCs w:val="24"/>
          <w:lang w:eastAsia="en-AU"/>
        </w:rPr>
        <w:t xml:space="preserve">(a) Tasman Bridge; </w:t>
      </w:r>
      <w:r w:rsidRPr="00D44A60">
        <w:rPr>
          <w:sz w:val="24"/>
          <w:szCs w:val="24"/>
        </w:rPr>
        <w:t>and</w:t>
      </w:r>
    </w:p>
    <w:p w14:paraId="7836B919" w14:textId="77777777" w:rsidR="00D44A60" w:rsidRDefault="00094FFC" w:rsidP="00800BC0">
      <w:pPr>
        <w:pStyle w:val="ListParagraph"/>
        <w:spacing w:after="0" w:line="240" w:lineRule="auto"/>
        <w:ind w:left="1080"/>
        <w:outlineLvl w:val="0"/>
        <w:rPr>
          <w:rFonts w:cs="Times"/>
          <w:sz w:val="24"/>
          <w:szCs w:val="24"/>
        </w:rPr>
      </w:pPr>
      <w:r w:rsidRPr="00D44A60">
        <w:rPr>
          <w:sz w:val="24"/>
          <w:szCs w:val="24"/>
        </w:rPr>
        <w:t>(</w:t>
      </w:r>
      <w:r w:rsidR="00172771" w:rsidRPr="00D44A60">
        <w:rPr>
          <w:sz w:val="24"/>
          <w:szCs w:val="24"/>
        </w:rPr>
        <w:t>b</w:t>
      </w:r>
      <w:r w:rsidRPr="00D44A60">
        <w:rPr>
          <w:sz w:val="24"/>
          <w:szCs w:val="24"/>
        </w:rPr>
        <w:t xml:space="preserve">) </w:t>
      </w:r>
      <w:r w:rsidR="00172771" w:rsidRPr="00D44A60">
        <w:rPr>
          <w:rFonts w:cs="Times"/>
          <w:sz w:val="24"/>
          <w:szCs w:val="24"/>
        </w:rPr>
        <w:t>a</w:t>
      </w:r>
      <w:r w:rsidRPr="00D44A60">
        <w:rPr>
          <w:rFonts w:cs="Times"/>
          <w:sz w:val="24"/>
          <w:szCs w:val="24"/>
        </w:rPr>
        <w:t>ny other road where there is insufficient height clearance for the vehicle to pass without striking or damaging any road infrastructure</w:t>
      </w:r>
    </w:p>
    <w:p w14:paraId="7836B91A" w14:textId="77777777" w:rsidR="00800BC0" w:rsidRPr="00800BC0" w:rsidRDefault="00800BC0" w:rsidP="00800BC0">
      <w:pPr>
        <w:pStyle w:val="ListParagraph"/>
        <w:spacing w:after="0" w:line="240" w:lineRule="auto"/>
        <w:ind w:left="1080"/>
        <w:outlineLvl w:val="0"/>
        <w:rPr>
          <w:sz w:val="24"/>
          <w:szCs w:val="24"/>
          <w:lang w:eastAsia="en-AU"/>
        </w:rPr>
      </w:pPr>
    </w:p>
    <w:p w14:paraId="7836B91B" w14:textId="77777777" w:rsidR="00800BC0" w:rsidRPr="00800BC0" w:rsidRDefault="00D44A60" w:rsidP="00800BC0">
      <w:pPr>
        <w:pStyle w:val="ListParagraph"/>
        <w:ind w:left="2160" w:hanging="1080"/>
        <w:jc w:val="both"/>
        <w:rPr>
          <w:i/>
          <w:sz w:val="24"/>
          <w:szCs w:val="24"/>
        </w:rPr>
      </w:pPr>
      <w:r w:rsidRPr="00D44A60">
        <w:rPr>
          <w:i/>
          <w:sz w:val="24"/>
          <w:szCs w:val="24"/>
        </w:rPr>
        <w:t>Note:</w:t>
      </w:r>
      <w:r w:rsidRPr="00D44A60">
        <w:rPr>
          <w:i/>
          <w:sz w:val="24"/>
          <w:szCs w:val="24"/>
        </w:rPr>
        <w:tab/>
      </w:r>
      <w:r>
        <w:rPr>
          <w:i/>
          <w:sz w:val="24"/>
          <w:szCs w:val="24"/>
        </w:rPr>
        <w:t>T</w:t>
      </w:r>
      <w:r w:rsidR="00094FFC" w:rsidRPr="00D44A60">
        <w:rPr>
          <w:i/>
          <w:sz w:val="24"/>
          <w:szCs w:val="24"/>
        </w:rPr>
        <w:t>he driver of an eligible vehicle must assess the suitability of a road prior to operating the vehicle on that road using the maps specified in Appendix 1 to ensure sufficient clearance for the vehicle exists</w:t>
      </w:r>
      <w:r w:rsidR="00E86A84" w:rsidRPr="00D44A60">
        <w:rPr>
          <w:i/>
          <w:sz w:val="24"/>
          <w:szCs w:val="24"/>
        </w:rPr>
        <w:t>.</w:t>
      </w:r>
    </w:p>
    <w:p w14:paraId="7836B91C" w14:textId="77777777" w:rsidR="00800BC0" w:rsidRDefault="00800BC0" w:rsidP="00800BC0">
      <w:pPr>
        <w:pStyle w:val="ListParagraph"/>
        <w:ind w:left="1080"/>
        <w:rPr>
          <w:sz w:val="24"/>
          <w:szCs w:val="24"/>
        </w:rPr>
      </w:pPr>
    </w:p>
    <w:p w14:paraId="7836B91D" w14:textId="77777777" w:rsidR="009734CB" w:rsidRDefault="00094FFC" w:rsidP="00D44A60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D44A60">
        <w:rPr>
          <w:sz w:val="24"/>
          <w:szCs w:val="24"/>
        </w:rPr>
        <w:lastRenderedPageBreak/>
        <w:t xml:space="preserve">An eligible vehicle that is a B-double may only use a route if it is approved in the </w:t>
      </w:r>
      <w:r w:rsidRPr="00D44A60">
        <w:rPr>
          <w:i/>
          <w:sz w:val="24"/>
          <w:szCs w:val="24"/>
        </w:rPr>
        <w:t>National Class 2 Heavy Vehicle B-double Authorisation Notice</w:t>
      </w:r>
      <w:r w:rsidRPr="00D44A60">
        <w:rPr>
          <w:sz w:val="24"/>
          <w:szCs w:val="24"/>
        </w:rPr>
        <w:t xml:space="preserve"> (the B-double Notice).</w:t>
      </w:r>
    </w:p>
    <w:p w14:paraId="7836B91E" w14:textId="77777777" w:rsidR="00D44A60" w:rsidRPr="00D44A60" w:rsidRDefault="00D44A60" w:rsidP="00D44A60">
      <w:pPr>
        <w:pStyle w:val="ListParagraph"/>
        <w:ind w:left="1080"/>
        <w:rPr>
          <w:sz w:val="24"/>
          <w:szCs w:val="24"/>
        </w:rPr>
      </w:pPr>
    </w:p>
    <w:p w14:paraId="7836B91F" w14:textId="77777777" w:rsidR="000733CF" w:rsidRPr="00D44A60" w:rsidRDefault="000733CF" w:rsidP="004A782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 xml:space="preserve">Conditions – Mass </w:t>
      </w:r>
      <w:r w:rsidR="00E95C3D" w:rsidRPr="00D44A60">
        <w:rPr>
          <w:b/>
          <w:sz w:val="24"/>
          <w:szCs w:val="24"/>
        </w:rPr>
        <w:t>l</w:t>
      </w:r>
      <w:r w:rsidRPr="00D44A60">
        <w:rPr>
          <w:b/>
          <w:sz w:val="24"/>
          <w:szCs w:val="24"/>
        </w:rPr>
        <w:t xml:space="preserve">imits </w:t>
      </w:r>
      <w:r w:rsidR="006436D4" w:rsidRPr="00D44A60">
        <w:rPr>
          <w:b/>
          <w:sz w:val="24"/>
          <w:szCs w:val="24"/>
        </w:rPr>
        <w:t>(Prime Movers)</w:t>
      </w:r>
    </w:p>
    <w:p w14:paraId="7836B920" w14:textId="77777777" w:rsidR="006830F3" w:rsidRPr="00D44A60" w:rsidRDefault="006830F3" w:rsidP="004A7827">
      <w:pPr>
        <w:pStyle w:val="ListParagraph"/>
        <w:jc w:val="both"/>
        <w:rPr>
          <w:b/>
          <w:sz w:val="24"/>
          <w:szCs w:val="24"/>
        </w:rPr>
      </w:pPr>
    </w:p>
    <w:p w14:paraId="7836B921" w14:textId="77777777" w:rsidR="00F23615" w:rsidRPr="00D44A60" w:rsidRDefault="00F23615" w:rsidP="00F23615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The tare weight of a prime mover </w:t>
      </w:r>
      <w:r w:rsidR="00DA0D30" w:rsidRPr="00D44A60">
        <w:rPr>
          <w:sz w:val="24"/>
          <w:szCs w:val="24"/>
        </w:rPr>
        <w:t xml:space="preserve">(with fuel) </w:t>
      </w:r>
      <w:r w:rsidRPr="00D44A60">
        <w:rPr>
          <w:sz w:val="24"/>
          <w:szCs w:val="24"/>
        </w:rPr>
        <w:t>must not exceed 11 tonnes.</w:t>
      </w:r>
    </w:p>
    <w:p w14:paraId="7836B922" w14:textId="77777777" w:rsidR="00DA0D30" w:rsidRPr="00D44A60" w:rsidRDefault="00DA0D30" w:rsidP="00F23615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Manufacturer’s ratings for the prime mover and its components must not be </w:t>
      </w:r>
      <w:proofErr w:type="gramStart"/>
      <w:r w:rsidRPr="00D44A60">
        <w:rPr>
          <w:sz w:val="24"/>
          <w:szCs w:val="24"/>
        </w:rPr>
        <w:t>exceeded</w:t>
      </w:r>
      <w:proofErr w:type="gramEnd"/>
    </w:p>
    <w:p w14:paraId="7836B923" w14:textId="77777777" w:rsidR="00F23615" w:rsidRPr="00D44A60" w:rsidRDefault="00F23615" w:rsidP="00F23615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The prime mover must have manufacturers’ ratings of</w:t>
      </w:r>
      <w:r w:rsidR="00073430" w:rsidRPr="00D44A60">
        <w:rPr>
          <w:sz w:val="24"/>
          <w:szCs w:val="24"/>
        </w:rPr>
        <w:t xml:space="preserve"> at</w:t>
      </w:r>
      <w:r w:rsidRPr="00D44A60">
        <w:rPr>
          <w:sz w:val="24"/>
          <w:szCs w:val="24"/>
        </w:rPr>
        <w:t xml:space="preserve"> least:</w:t>
      </w:r>
    </w:p>
    <w:p w14:paraId="7836B924" w14:textId="77777777" w:rsidR="00F23615" w:rsidRPr="00D44A60" w:rsidRDefault="00F23615" w:rsidP="00F23615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steer axle </w:t>
      </w:r>
      <w:proofErr w:type="gramStart"/>
      <w:r w:rsidRPr="00D44A60">
        <w:rPr>
          <w:sz w:val="24"/>
          <w:szCs w:val="24"/>
        </w:rPr>
        <w:t>-  6.0</w:t>
      </w:r>
      <w:proofErr w:type="gramEnd"/>
      <w:r w:rsidRPr="00D44A60">
        <w:rPr>
          <w:sz w:val="24"/>
          <w:szCs w:val="24"/>
        </w:rPr>
        <w:t xml:space="preserve"> tonnes;</w:t>
      </w:r>
    </w:p>
    <w:p w14:paraId="7836B925" w14:textId="77777777" w:rsidR="00F23615" w:rsidRPr="00D44A60" w:rsidRDefault="00F23615" w:rsidP="00F23615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drive axle group - 17.3 </w:t>
      </w:r>
      <w:proofErr w:type="gramStart"/>
      <w:r w:rsidRPr="00D44A60">
        <w:rPr>
          <w:sz w:val="24"/>
          <w:szCs w:val="24"/>
        </w:rPr>
        <w:t>tonnes;</w:t>
      </w:r>
      <w:proofErr w:type="gramEnd"/>
    </w:p>
    <w:p w14:paraId="7836B926" w14:textId="77777777" w:rsidR="00F23615" w:rsidRPr="00D44A60" w:rsidRDefault="00F23615" w:rsidP="00F23615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GVM - 23.3 </w:t>
      </w:r>
      <w:proofErr w:type="gramStart"/>
      <w:r w:rsidRPr="00D44A60">
        <w:rPr>
          <w:sz w:val="24"/>
          <w:szCs w:val="24"/>
        </w:rPr>
        <w:t>tonnes;</w:t>
      </w:r>
      <w:proofErr w:type="gramEnd"/>
    </w:p>
    <w:p w14:paraId="7836B927" w14:textId="77777777" w:rsidR="00F23615" w:rsidRPr="00D44A60" w:rsidRDefault="00F23615" w:rsidP="00F23615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GCM (single articulated) - 46.3 tonnes; and</w:t>
      </w:r>
    </w:p>
    <w:p w14:paraId="7836B928" w14:textId="77777777" w:rsidR="00F23615" w:rsidRPr="00D44A60" w:rsidRDefault="00F23615" w:rsidP="00C14AB6">
      <w:pPr>
        <w:pStyle w:val="ListParagraph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D44A60">
        <w:rPr>
          <w:sz w:val="24"/>
          <w:szCs w:val="24"/>
        </w:rPr>
        <w:t>GCM (B-double) - 68.0 tonnes.</w:t>
      </w:r>
    </w:p>
    <w:p w14:paraId="7836B929" w14:textId="77777777" w:rsidR="00C14AB6" w:rsidRPr="00D44A60" w:rsidRDefault="00C14AB6" w:rsidP="00C14AB6">
      <w:pPr>
        <w:pStyle w:val="ListParagraph"/>
        <w:ind w:left="1440"/>
        <w:jc w:val="both"/>
        <w:rPr>
          <w:b/>
          <w:sz w:val="24"/>
          <w:szCs w:val="24"/>
        </w:rPr>
      </w:pPr>
    </w:p>
    <w:p w14:paraId="7836B92A" w14:textId="77777777" w:rsidR="00F23615" w:rsidRPr="00D44A60" w:rsidRDefault="00412FAA" w:rsidP="00F2361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 xml:space="preserve">Conditions – </w:t>
      </w:r>
      <w:r w:rsidR="00F23615" w:rsidRPr="00D44A60">
        <w:rPr>
          <w:b/>
          <w:sz w:val="24"/>
          <w:szCs w:val="24"/>
        </w:rPr>
        <w:t>Mass Limits (Semi-Trailers)</w:t>
      </w:r>
    </w:p>
    <w:p w14:paraId="7836B92B" w14:textId="77777777" w:rsidR="00412FAA" w:rsidRPr="00D44A60" w:rsidRDefault="00412FAA" w:rsidP="004A7827">
      <w:pPr>
        <w:pStyle w:val="ListParagraph"/>
        <w:rPr>
          <w:sz w:val="24"/>
          <w:szCs w:val="24"/>
        </w:rPr>
      </w:pPr>
    </w:p>
    <w:p w14:paraId="7836B92C" w14:textId="77777777" w:rsidR="00073430" w:rsidRPr="00D44A60" w:rsidRDefault="00F23615" w:rsidP="00F23615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The tare weight of a semi-trailer must not exceed 12 tonnes. </w:t>
      </w:r>
    </w:p>
    <w:p w14:paraId="7836B92D" w14:textId="77777777" w:rsidR="00F23615" w:rsidRDefault="00F23615" w:rsidP="00F23615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The total tare weight of the prime mover and semi-trailer must not exceed 22.0 tonnes.</w:t>
      </w:r>
    </w:p>
    <w:p w14:paraId="7836B92E" w14:textId="77777777" w:rsidR="00D44A60" w:rsidRP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2F" w14:textId="77777777" w:rsidR="00412FAA" w:rsidRDefault="00F23615" w:rsidP="00F23615">
      <w:pPr>
        <w:pStyle w:val="ListParagraph"/>
        <w:ind w:left="2160" w:hanging="1080"/>
        <w:jc w:val="both"/>
        <w:rPr>
          <w:i/>
          <w:sz w:val="24"/>
          <w:szCs w:val="24"/>
        </w:rPr>
      </w:pPr>
      <w:r w:rsidRPr="00D44A60">
        <w:rPr>
          <w:i/>
          <w:sz w:val="24"/>
          <w:szCs w:val="24"/>
        </w:rPr>
        <w:t>Note:</w:t>
      </w:r>
      <w:r w:rsidRPr="00D44A60">
        <w:rPr>
          <w:i/>
          <w:sz w:val="24"/>
          <w:szCs w:val="24"/>
        </w:rPr>
        <w:tab/>
        <w:t>this is less than the sum of the allowable tare weights of the prime mover and the semi-trailer.</w:t>
      </w:r>
    </w:p>
    <w:p w14:paraId="7836B930" w14:textId="77777777" w:rsidR="00D44A60" w:rsidRPr="00D44A60" w:rsidRDefault="00D44A60" w:rsidP="00F23615">
      <w:pPr>
        <w:pStyle w:val="ListParagraph"/>
        <w:ind w:left="2160" w:hanging="1080"/>
        <w:jc w:val="both"/>
        <w:rPr>
          <w:i/>
          <w:sz w:val="24"/>
          <w:szCs w:val="24"/>
        </w:rPr>
      </w:pPr>
    </w:p>
    <w:p w14:paraId="7836B931" w14:textId="77777777" w:rsidR="00F23615" w:rsidRPr="00D44A60" w:rsidRDefault="00181695" w:rsidP="00F23615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The s</w:t>
      </w:r>
      <w:r w:rsidR="00F23615" w:rsidRPr="00D44A60">
        <w:rPr>
          <w:sz w:val="24"/>
          <w:szCs w:val="24"/>
        </w:rPr>
        <w:t>emi-trailer must have a manufacturer’s rating of least 25.0 tonnes.</w:t>
      </w:r>
    </w:p>
    <w:p w14:paraId="7836B932" w14:textId="77777777" w:rsidR="00F23615" w:rsidRPr="00D44A60" w:rsidRDefault="00F23615" w:rsidP="00F23615">
      <w:pPr>
        <w:pStyle w:val="ListParagraph"/>
        <w:ind w:left="1080"/>
        <w:jc w:val="both"/>
        <w:rPr>
          <w:sz w:val="24"/>
          <w:szCs w:val="24"/>
        </w:rPr>
      </w:pPr>
    </w:p>
    <w:p w14:paraId="7836B933" w14:textId="77777777" w:rsidR="00F23615" w:rsidRPr="00D44A60" w:rsidRDefault="00F23615" w:rsidP="00F2361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 xml:space="preserve">Conditions – Mass </w:t>
      </w:r>
      <w:r w:rsidR="00317C3C" w:rsidRPr="00D44A60">
        <w:rPr>
          <w:b/>
          <w:sz w:val="24"/>
          <w:szCs w:val="24"/>
        </w:rPr>
        <w:t xml:space="preserve">Limits </w:t>
      </w:r>
      <w:r w:rsidRPr="00D44A60">
        <w:rPr>
          <w:b/>
          <w:sz w:val="24"/>
          <w:szCs w:val="24"/>
        </w:rPr>
        <w:t>(B-Doubles)</w:t>
      </w:r>
    </w:p>
    <w:p w14:paraId="7836B934" w14:textId="77777777" w:rsidR="00F23615" w:rsidRPr="00D44A60" w:rsidRDefault="00F23615" w:rsidP="00F23615">
      <w:pPr>
        <w:pStyle w:val="ListParagraph"/>
        <w:jc w:val="both"/>
        <w:rPr>
          <w:b/>
          <w:sz w:val="24"/>
          <w:szCs w:val="24"/>
        </w:rPr>
      </w:pPr>
    </w:p>
    <w:p w14:paraId="7836B935" w14:textId="77777777" w:rsidR="003A2BE1" w:rsidRPr="00D44A60" w:rsidRDefault="00F23615" w:rsidP="00D44A60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The to</w:t>
      </w:r>
      <w:r w:rsidR="00657C37" w:rsidRPr="00D44A60">
        <w:rPr>
          <w:sz w:val="24"/>
          <w:szCs w:val="24"/>
        </w:rPr>
        <w:t xml:space="preserve">tal tare weight of the two </w:t>
      </w:r>
      <w:r w:rsidRPr="00D44A60">
        <w:rPr>
          <w:sz w:val="24"/>
          <w:szCs w:val="24"/>
        </w:rPr>
        <w:t>trailers in a B-double combination must not exceed 21.0 tonnes.</w:t>
      </w:r>
    </w:p>
    <w:p w14:paraId="7836B936" w14:textId="77777777" w:rsidR="003A2BE1" w:rsidRDefault="00F23615" w:rsidP="00D44A60">
      <w:pPr>
        <w:pStyle w:val="ListParagraph"/>
        <w:numPr>
          <w:ilvl w:val="0"/>
          <w:numId w:val="34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The total tare weight of the combination must not exceed 32.0 tonnes.</w:t>
      </w:r>
    </w:p>
    <w:p w14:paraId="7836B937" w14:textId="77777777" w:rsidR="00D44A60" w:rsidRDefault="00D44A60" w:rsidP="00D44A60">
      <w:pPr>
        <w:pStyle w:val="ListParagraph"/>
        <w:jc w:val="both"/>
        <w:rPr>
          <w:b/>
          <w:sz w:val="24"/>
          <w:szCs w:val="24"/>
        </w:rPr>
      </w:pPr>
    </w:p>
    <w:p w14:paraId="7836B938" w14:textId="77777777" w:rsidR="00CD141E" w:rsidRPr="00D44A60" w:rsidRDefault="00CD141E" w:rsidP="00D7177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Condition – Height</w:t>
      </w:r>
    </w:p>
    <w:p w14:paraId="7836B939" w14:textId="77777777" w:rsidR="00CD141E" w:rsidRPr="00D44A60" w:rsidRDefault="00CD141E" w:rsidP="00CD141E">
      <w:pPr>
        <w:pStyle w:val="ListParagraph"/>
        <w:jc w:val="both"/>
        <w:rPr>
          <w:b/>
          <w:sz w:val="24"/>
          <w:szCs w:val="24"/>
        </w:rPr>
      </w:pPr>
    </w:p>
    <w:p w14:paraId="7836B93A" w14:textId="77777777" w:rsidR="00C16D89" w:rsidRPr="00D44A60" w:rsidRDefault="00CD141E" w:rsidP="00E5574A">
      <w:pPr>
        <w:pStyle w:val="ListParagraph"/>
        <w:numPr>
          <w:ilvl w:val="0"/>
          <w:numId w:val="37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An eligible vehicle operating under this notice must not exceed 4.6m in height</w:t>
      </w:r>
      <w:r w:rsidR="00D71776" w:rsidRPr="00D44A60">
        <w:rPr>
          <w:sz w:val="24"/>
          <w:szCs w:val="24"/>
        </w:rPr>
        <w:t xml:space="preserve"> by construction.</w:t>
      </w:r>
      <w:r w:rsidRPr="00D44A60">
        <w:rPr>
          <w:sz w:val="24"/>
          <w:szCs w:val="24"/>
        </w:rPr>
        <w:t xml:space="preserve"> </w:t>
      </w:r>
    </w:p>
    <w:p w14:paraId="7836B93B" w14:textId="77777777" w:rsidR="00C14AB6" w:rsidRDefault="00C14AB6" w:rsidP="00D44A60">
      <w:pPr>
        <w:pStyle w:val="ListParagraph"/>
        <w:rPr>
          <w:b/>
          <w:sz w:val="24"/>
          <w:szCs w:val="24"/>
        </w:rPr>
      </w:pPr>
    </w:p>
    <w:p w14:paraId="7836B93C" w14:textId="77777777" w:rsidR="00D44A60" w:rsidRDefault="00D44A60" w:rsidP="00D44A60">
      <w:pPr>
        <w:pStyle w:val="ListParagraph"/>
        <w:rPr>
          <w:b/>
          <w:sz w:val="24"/>
          <w:szCs w:val="24"/>
        </w:rPr>
      </w:pPr>
    </w:p>
    <w:p w14:paraId="7836B93D" w14:textId="77777777" w:rsidR="00D44A60" w:rsidRDefault="00D44A60" w:rsidP="00D44A60">
      <w:pPr>
        <w:pStyle w:val="ListParagraph"/>
        <w:rPr>
          <w:b/>
          <w:sz w:val="24"/>
          <w:szCs w:val="24"/>
        </w:rPr>
      </w:pPr>
    </w:p>
    <w:p w14:paraId="7836B93E" w14:textId="77777777" w:rsidR="00D44A60" w:rsidRPr="00D44A60" w:rsidRDefault="00D44A60" w:rsidP="00D44A60">
      <w:pPr>
        <w:pStyle w:val="ListParagraph"/>
        <w:rPr>
          <w:b/>
          <w:sz w:val="24"/>
          <w:szCs w:val="24"/>
        </w:rPr>
      </w:pPr>
    </w:p>
    <w:p w14:paraId="7836B93F" w14:textId="77777777" w:rsidR="00056C2A" w:rsidRPr="00D44A60" w:rsidRDefault="00056C2A" w:rsidP="00056C2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lastRenderedPageBreak/>
        <w:t>Condition –</w:t>
      </w:r>
      <w:r w:rsidR="0021280C" w:rsidRPr="00D44A60">
        <w:rPr>
          <w:b/>
          <w:sz w:val="24"/>
          <w:szCs w:val="24"/>
        </w:rPr>
        <w:t xml:space="preserve"> </w:t>
      </w:r>
      <w:r w:rsidRPr="00D44A60">
        <w:rPr>
          <w:b/>
          <w:sz w:val="24"/>
          <w:szCs w:val="24"/>
        </w:rPr>
        <w:t>Dimension</w:t>
      </w:r>
      <w:r w:rsidR="00D71776" w:rsidRPr="00D44A60">
        <w:rPr>
          <w:b/>
          <w:sz w:val="24"/>
          <w:szCs w:val="24"/>
        </w:rPr>
        <w:t xml:space="preserve"> (Loading Space)</w:t>
      </w:r>
      <w:r w:rsidRPr="00D44A60">
        <w:rPr>
          <w:b/>
          <w:sz w:val="24"/>
          <w:szCs w:val="24"/>
        </w:rPr>
        <w:t xml:space="preserve"> </w:t>
      </w:r>
    </w:p>
    <w:p w14:paraId="7836B940" w14:textId="77777777" w:rsidR="00E05F50" w:rsidRPr="00D44A60" w:rsidRDefault="00E05F50" w:rsidP="00D71776">
      <w:pPr>
        <w:pStyle w:val="ListParagraph"/>
        <w:jc w:val="both"/>
        <w:rPr>
          <w:b/>
          <w:sz w:val="24"/>
          <w:szCs w:val="24"/>
        </w:rPr>
      </w:pPr>
    </w:p>
    <w:p w14:paraId="7836B941" w14:textId="77777777" w:rsidR="00056C2A" w:rsidRPr="00D44A60" w:rsidRDefault="00D71776" w:rsidP="00D71776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The</w:t>
      </w:r>
      <w:r w:rsidR="00056C2A" w:rsidRPr="00D44A60">
        <w:rPr>
          <w:sz w:val="24"/>
          <w:szCs w:val="24"/>
        </w:rPr>
        <w:t xml:space="preserve"> maximum loading space for livestock carriers is</w:t>
      </w:r>
      <w:r w:rsidR="009802A4" w:rsidRPr="00D44A60">
        <w:rPr>
          <w:sz w:val="24"/>
          <w:szCs w:val="24"/>
        </w:rPr>
        <w:t>:</w:t>
      </w:r>
    </w:p>
    <w:p w14:paraId="7836B942" w14:textId="77777777" w:rsidR="00056C2A" w:rsidRPr="00D44A60" w:rsidRDefault="00056C2A" w:rsidP="00D7177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12.5 metres for semi-trailers; and</w:t>
      </w:r>
    </w:p>
    <w:p w14:paraId="7836B943" w14:textId="77777777" w:rsidR="00056C2A" w:rsidRDefault="00056C2A" w:rsidP="00D44A60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a total of 18.8 metres for B-double trailers.</w:t>
      </w:r>
    </w:p>
    <w:p w14:paraId="7836B944" w14:textId="77777777" w:rsidR="00800BC0" w:rsidRPr="00D44A60" w:rsidRDefault="00800BC0" w:rsidP="00800BC0">
      <w:pPr>
        <w:pStyle w:val="ListParagraph"/>
        <w:ind w:left="1800"/>
        <w:jc w:val="both"/>
        <w:rPr>
          <w:sz w:val="24"/>
          <w:szCs w:val="24"/>
        </w:rPr>
      </w:pPr>
    </w:p>
    <w:p w14:paraId="7836B945" w14:textId="77777777" w:rsidR="00E5574A" w:rsidRPr="00D44A60" w:rsidRDefault="00E5574A" w:rsidP="00E5574A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Condition –</w:t>
      </w:r>
      <w:r w:rsidR="0021280C" w:rsidRPr="00D44A60">
        <w:rPr>
          <w:b/>
          <w:sz w:val="24"/>
          <w:szCs w:val="24"/>
        </w:rPr>
        <w:t xml:space="preserve"> </w:t>
      </w:r>
      <w:r w:rsidRPr="00D44A60">
        <w:rPr>
          <w:b/>
          <w:sz w:val="24"/>
          <w:szCs w:val="24"/>
        </w:rPr>
        <w:t>Axle Spacing</w:t>
      </w:r>
    </w:p>
    <w:p w14:paraId="7836B946" w14:textId="77777777" w:rsidR="00E05F50" w:rsidRPr="00D44A60" w:rsidRDefault="00E05F50" w:rsidP="009802A4">
      <w:pPr>
        <w:pStyle w:val="ListParagraph"/>
        <w:jc w:val="both"/>
        <w:rPr>
          <w:b/>
          <w:sz w:val="24"/>
          <w:szCs w:val="24"/>
        </w:rPr>
      </w:pPr>
    </w:p>
    <w:p w14:paraId="7836B947" w14:textId="77777777" w:rsidR="00056C2A" w:rsidRPr="00D44A60" w:rsidRDefault="00056C2A" w:rsidP="009F2AC1">
      <w:pPr>
        <w:pStyle w:val="ListParagraph"/>
        <w:numPr>
          <w:ilvl w:val="0"/>
          <w:numId w:val="43"/>
        </w:numPr>
        <w:tabs>
          <w:tab w:val="left" w:pos="851"/>
        </w:tabs>
        <w:ind w:left="1134" w:hanging="425"/>
        <w:rPr>
          <w:sz w:val="24"/>
          <w:szCs w:val="24"/>
        </w:rPr>
      </w:pPr>
      <w:r w:rsidRPr="00D44A60">
        <w:rPr>
          <w:sz w:val="24"/>
          <w:szCs w:val="24"/>
        </w:rPr>
        <w:t>for prime mover and semi-trailer combinations</w:t>
      </w:r>
      <w:r w:rsidR="00172771" w:rsidRPr="00D44A60">
        <w:rPr>
          <w:sz w:val="24"/>
          <w:szCs w:val="24"/>
        </w:rPr>
        <w:t>, minimum axle spacing is</w:t>
      </w:r>
      <w:r w:rsidR="009802A4" w:rsidRPr="00D44A60">
        <w:rPr>
          <w:sz w:val="24"/>
          <w:szCs w:val="24"/>
        </w:rPr>
        <w:t>:</w:t>
      </w:r>
    </w:p>
    <w:p w14:paraId="7836B948" w14:textId="77777777" w:rsidR="00056C2A" w:rsidRPr="00D44A60" w:rsidRDefault="00056C2A" w:rsidP="00C16D89">
      <w:pPr>
        <w:pStyle w:val="ListParagraph"/>
        <w:numPr>
          <w:ilvl w:val="2"/>
          <w:numId w:val="43"/>
        </w:numPr>
        <w:tabs>
          <w:tab w:val="left" w:pos="1843"/>
        </w:tabs>
        <w:ind w:left="1701" w:hanging="283"/>
        <w:rPr>
          <w:sz w:val="24"/>
          <w:szCs w:val="24"/>
        </w:rPr>
      </w:pPr>
      <w:r w:rsidRPr="00D44A60">
        <w:rPr>
          <w:sz w:val="24"/>
          <w:szCs w:val="24"/>
        </w:rPr>
        <w:t xml:space="preserve">4.0 metres between the centre of the steering axle to the centre of the rear axle of the prime mover; and </w:t>
      </w:r>
    </w:p>
    <w:p w14:paraId="7836B949" w14:textId="77777777" w:rsidR="0057524E" w:rsidRPr="00D44A60" w:rsidRDefault="00056C2A" w:rsidP="00D44A60">
      <w:pPr>
        <w:pStyle w:val="ListParagraph"/>
        <w:numPr>
          <w:ilvl w:val="2"/>
          <w:numId w:val="43"/>
        </w:numPr>
        <w:tabs>
          <w:tab w:val="left" w:pos="1843"/>
        </w:tabs>
        <w:ind w:left="1701" w:hanging="283"/>
        <w:rPr>
          <w:sz w:val="24"/>
          <w:szCs w:val="24"/>
        </w:rPr>
      </w:pPr>
      <w:r w:rsidRPr="00D44A60">
        <w:rPr>
          <w:sz w:val="24"/>
          <w:szCs w:val="24"/>
        </w:rPr>
        <w:t>6.2 metres from the centre of the rear axle of the prime mover to the centre of the</w:t>
      </w:r>
      <w:r w:rsidR="009128B2" w:rsidRPr="00D44A60">
        <w:rPr>
          <w:sz w:val="24"/>
          <w:szCs w:val="24"/>
        </w:rPr>
        <w:t xml:space="preserve"> first axle of the semi-trailer.</w:t>
      </w:r>
    </w:p>
    <w:p w14:paraId="7836B94A" w14:textId="77777777" w:rsidR="003C4B1F" w:rsidRPr="00D44A60" w:rsidRDefault="00056C2A" w:rsidP="00D44A60">
      <w:pPr>
        <w:pStyle w:val="ListParagraph"/>
        <w:numPr>
          <w:ilvl w:val="0"/>
          <w:numId w:val="43"/>
        </w:numPr>
        <w:tabs>
          <w:tab w:val="left" w:pos="1134"/>
        </w:tabs>
        <w:ind w:left="1134" w:hanging="425"/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for B-doubles, the axle group spacings </w:t>
      </w:r>
      <w:r w:rsidR="00DA0D30" w:rsidRPr="00D44A60">
        <w:rPr>
          <w:sz w:val="24"/>
          <w:szCs w:val="24"/>
        </w:rPr>
        <w:t>must comply with</w:t>
      </w:r>
      <w:r w:rsidRPr="00D44A60">
        <w:rPr>
          <w:sz w:val="24"/>
          <w:szCs w:val="24"/>
        </w:rPr>
        <w:t xml:space="preserve"> Table 3 in</w:t>
      </w:r>
      <w:r w:rsidR="009F2AC1" w:rsidRPr="00D44A60">
        <w:rPr>
          <w:sz w:val="24"/>
          <w:szCs w:val="24"/>
        </w:rPr>
        <w:t xml:space="preserve"> </w:t>
      </w:r>
      <w:r w:rsidRPr="00D44A60">
        <w:rPr>
          <w:sz w:val="24"/>
          <w:szCs w:val="24"/>
        </w:rPr>
        <w:t xml:space="preserve">Schedule 1 of the MDL Regulation. </w:t>
      </w:r>
    </w:p>
    <w:p w14:paraId="7836B94B" w14:textId="77777777" w:rsidR="009802A4" w:rsidRPr="00D44A60" w:rsidRDefault="009802A4" w:rsidP="003C4B1F">
      <w:pPr>
        <w:pStyle w:val="ListParagraph"/>
        <w:ind w:left="1080"/>
        <w:jc w:val="both"/>
        <w:rPr>
          <w:sz w:val="24"/>
          <w:szCs w:val="24"/>
        </w:rPr>
      </w:pPr>
    </w:p>
    <w:p w14:paraId="7836B94C" w14:textId="77777777" w:rsidR="00E5574A" w:rsidRPr="00D44A60" w:rsidRDefault="00E5574A" w:rsidP="003C4B1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Condition - Carriage of Livestock</w:t>
      </w:r>
    </w:p>
    <w:p w14:paraId="7836B94D" w14:textId="77777777" w:rsidR="003C4B1F" w:rsidRPr="00D44A60" w:rsidRDefault="003C4B1F" w:rsidP="003C4B1F">
      <w:pPr>
        <w:pStyle w:val="ListParagraph"/>
        <w:ind w:left="1080"/>
        <w:jc w:val="both"/>
        <w:rPr>
          <w:sz w:val="24"/>
          <w:szCs w:val="24"/>
        </w:rPr>
      </w:pPr>
    </w:p>
    <w:p w14:paraId="7836B94E" w14:textId="77777777" w:rsidR="0010669A" w:rsidRPr="00D44A60" w:rsidRDefault="00E5574A" w:rsidP="00D44A60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Deck </w:t>
      </w:r>
      <w:r w:rsidR="00A07F2A" w:rsidRPr="00D44A60">
        <w:rPr>
          <w:sz w:val="24"/>
          <w:szCs w:val="24"/>
        </w:rPr>
        <w:t xml:space="preserve">level </w:t>
      </w:r>
      <w:r w:rsidRPr="00D44A60">
        <w:rPr>
          <w:sz w:val="24"/>
          <w:szCs w:val="24"/>
        </w:rPr>
        <w:t xml:space="preserve">arrangements on any </w:t>
      </w:r>
      <w:r w:rsidR="003A2BE1" w:rsidRPr="00D44A60">
        <w:rPr>
          <w:sz w:val="24"/>
          <w:szCs w:val="24"/>
        </w:rPr>
        <w:t xml:space="preserve">truck or </w:t>
      </w:r>
      <w:r w:rsidRPr="00D44A60">
        <w:rPr>
          <w:sz w:val="24"/>
          <w:szCs w:val="24"/>
        </w:rPr>
        <w:t>trailer operating under this Notice must comply with the Scheme requirements for a given animal.</w:t>
      </w:r>
    </w:p>
    <w:p w14:paraId="7836B94F" w14:textId="77777777" w:rsidR="00EF424F" w:rsidRPr="00D44A60" w:rsidRDefault="0010669A" w:rsidP="00D44A60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Livestock which does not completely fill a deck shall be securely restrained in position by full width barriers to prevent alteration to the stability of the vehicle whilst in motion.</w:t>
      </w:r>
    </w:p>
    <w:p w14:paraId="7836B950" w14:textId="77777777" w:rsidR="00EF424F" w:rsidRPr="00D44A60" w:rsidRDefault="00EF424F" w:rsidP="00D44A60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An eligible vehicle </w:t>
      </w:r>
      <w:r w:rsidR="00B13B31" w:rsidRPr="00D44A60">
        <w:rPr>
          <w:sz w:val="24"/>
          <w:szCs w:val="24"/>
        </w:rPr>
        <w:t xml:space="preserve">must </w:t>
      </w:r>
      <w:r w:rsidRPr="00D44A60">
        <w:rPr>
          <w:sz w:val="24"/>
          <w:szCs w:val="24"/>
        </w:rPr>
        <w:t xml:space="preserve">not carry livestock in </w:t>
      </w:r>
      <w:r w:rsidR="00B13B31" w:rsidRPr="00D44A60">
        <w:rPr>
          <w:sz w:val="24"/>
          <w:szCs w:val="24"/>
        </w:rPr>
        <w:t xml:space="preserve">any </w:t>
      </w:r>
      <w:r w:rsidRPr="00D44A60">
        <w:rPr>
          <w:sz w:val="24"/>
          <w:szCs w:val="24"/>
        </w:rPr>
        <w:t>upper deck unless the lower deck</w:t>
      </w:r>
      <w:r w:rsidR="009802A4" w:rsidRPr="00D44A60">
        <w:rPr>
          <w:sz w:val="24"/>
          <w:szCs w:val="24"/>
        </w:rPr>
        <w:t xml:space="preserve"> </w:t>
      </w:r>
      <w:r w:rsidRPr="00D44A60">
        <w:rPr>
          <w:sz w:val="24"/>
          <w:szCs w:val="24"/>
        </w:rPr>
        <w:t>of the vehicle is fully loaded with livestock.</w:t>
      </w:r>
    </w:p>
    <w:p w14:paraId="7836B951" w14:textId="77777777" w:rsidR="00EF424F" w:rsidRPr="00D44A60" w:rsidRDefault="00EF424F" w:rsidP="00EF424F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An eligible vehicle </w:t>
      </w:r>
      <w:r w:rsidR="00354F04" w:rsidRPr="00D44A60">
        <w:rPr>
          <w:sz w:val="24"/>
          <w:szCs w:val="24"/>
        </w:rPr>
        <w:t xml:space="preserve">must </w:t>
      </w:r>
      <w:r w:rsidRPr="00D44A60">
        <w:rPr>
          <w:sz w:val="24"/>
          <w:szCs w:val="24"/>
        </w:rPr>
        <w:t>not carry any freight other than livestock.</w:t>
      </w:r>
    </w:p>
    <w:p w14:paraId="7836B952" w14:textId="77777777" w:rsidR="003C4B1F" w:rsidRPr="00D44A60" w:rsidRDefault="003C4B1F" w:rsidP="003C4B1F">
      <w:pPr>
        <w:pStyle w:val="ListParagraph"/>
        <w:ind w:left="1080"/>
        <w:jc w:val="both"/>
        <w:rPr>
          <w:sz w:val="24"/>
          <w:szCs w:val="24"/>
        </w:rPr>
      </w:pPr>
    </w:p>
    <w:p w14:paraId="7836B953" w14:textId="77777777" w:rsidR="00F23615" w:rsidRPr="00D44A60" w:rsidRDefault="00F23615" w:rsidP="00F2361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Conditions – Carriage of Fuel and Water</w:t>
      </w:r>
    </w:p>
    <w:p w14:paraId="7836B954" w14:textId="77777777" w:rsidR="00F23615" w:rsidRPr="00D44A60" w:rsidRDefault="00F23615" w:rsidP="00F23615">
      <w:pPr>
        <w:pStyle w:val="ListParagraph"/>
        <w:jc w:val="both"/>
        <w:rPr>
          <w:b/>
          <w:sz w:val="24"/>
          <w:szCs w:val="24"/>
        </w:rPr>
      </w:pPr>
    </w:p>
    <w:p w14:paraId="7836B955" w14:textId="77777777" w:rsidR="00F23615" w:rsidRPr="00D44A60" w:rsidRDefault="00F23615" w:rsidP="00D44A60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Fuel tanks must not be fitted to </w:t>
      </w:r>
      <w:r w:rsidR="00E5574A" w:rsidRPr="00D44A60">
        <w:rPr>
          <w:sz w:val="24"/>
          <w:szCs w:val="24"/>
        </w:rPr>
        <w:t xml:space="preserve">a </w:t>
      </w:r>
      <w:r w:rsidRPr="00D44A60">
        <w:rPr>
          <w:sz w:val="24"/>
          <w:szCs w:val="24"/>
        </w:rPr>
        <w:t>semi-trailer</w:t>
      </w:r>
      <w:r w:rsidR="00E5574A" w:rsidRPr="00D44A60">
        <w:rPr>
          <w:sz w:val="24"/>
          <w:szCs w:val="24"/>
        </w:rPr>
        <w:t xml:space="preserve"> operating under this Notice</w:t>
      </w:r>
      <w:r w:rsidRPr="00D44A60">
        <w:rPr>
          <w:sz w:val="24"/>
          <w:szCs w:val="24"/>
        </w:rPr>
        <w:t>.</w:t>
      </w:r>
    </w:p>
    <w:p w14:paraId="7836B956" w14:textId="77777777" w:rsidR="00D44A60" w:rsidRDefault="00F23615" w:rsidP="00D44A60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Any water carried on the semi-trailer must be in quantities for personal use only.</w:t>
      </w:r>
    </w:p>
    <w:p w14:paraId="7836B957" w14:textId="77777777" w:rsid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58" w14:textId="77777777" w:rsid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59" w14:textId="77777777" w:rsid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5A" w14:textId="77777777" w:rsid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5B" w14:textId="77777777" w:rsid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5C" w14:textId="77777777" w:rsid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5D" w14:textId="77777777" w:rsid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5E" w14:textId="77777777" w:rsid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5F" w14:textId="77777777" w:rsid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60" w14:textId="77777777" w:rsid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61" w14:textId="77777777" w:rsidR="00D44A60" w:rsidRPr="00D44A60" w:rsidRDefault="00D44A60" w:rsidP="00D44A60">
      <w:pPr>
        <w:pStyle w:val="ListParagraph"/>
        <w:ind w:left="1080"/>
        <w:jc w:val="both"/>
        <w:rPr>
          <w:sz w:val="24"/>
          <w:szCs w:val="24"/>
        </w:rPr>
      </w:pPr>
    </w:p>
    <w:p w14:paraId="7836B962" w14:textId="77777777" w:rsidR="00172491" w:rsidRPr="00D44A60" w:rsidRDefault="00172491" w:rsidP="001724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44A60">
        <w:rPr>
          <w:b/>
          <w:sz w:val="24"/>
          <w:szCs w:val="24"/>
        </w:rPr>
        <w:t>Conditions- Tasmania Livestock Loading Scheme</w:t>
      </w:r>
    </w:p>
    <w:p w14:paraId="7836B963" w14:textId="77777777" w:rsidR="00172491" w:rsidRPr="00D44A60" w:rsidRDefault="00172491" w:rsidP="00172491">
      <w:pPr>
        <w:pStyle w:val="ListParagraph"/>
        <w:jc w:val="both"/>
        <w:rPr>
          <w:b/>
          <w:sz w:val="24"/>
          <w:szCs w:val="24"/>
        </w:rPr>
      </w:pPr>
    </w:p>
    <w:p w14:paraId="7836B964" w14:textId="77777777" w:rsidR="00172491" w:rsidRPr="00D44A60" w:rsidRDefault="00172491" w:rsidP="0017249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 xml:space="preserve">An eligible combination operating under this notice must comply with all of the requirements of the Tasmania Livestock Loading Scheme, </w:t>
      </w:r>
      <w:r w:rsidR="009734CB" w:rsidRPr="00D44A60">
        <w:rPr>
          <w:sz w:val="24"/>
          <w:szCs w:val="24"/>
        </w:rPr>
        <w:t xml:space="preserve">as set out in the </w:t>
      </w:r>
      <w:r w:rsidR="009734CB" w:rsidRPr="00D44A60">
        <w:rPr>
          <w:i/>
          <w:sz w:val="24"/>
          <w:szCs w:val="24"/>
        </w:rPr>
        <w:t xml:space="preserve">current Information Bulletin for the Livestock Loading Scheme (Tasmania) maintained by the Tasmania Department of State Growth, </w:t>
      </w:r>
      <w:r w:rsidRPr="00D44A60">
        <w:rPr>
          <w:sz w:val="24"/>
          <w:szCs w:val="24"/>
        </w:rPr>
        <w:t>including but not limited to:</w:t>
      </w:r>
    </w:p>
    <w:p w14:paraId="7836B965" w14:textId="77777777" w:rsidR="00172491" w:rsidRPr="00D44A60" w:rsidRDefault="00172491" w:rsidP="00172491">
      <w:pPr>
        <w:pStyle w:val="ListParagraph"/>
        <w:ind w:left="1080"/>
        <w:jc w:val="both"/>
        <w:rPr>
          <w:sz w:val="24"/>
          <w:szCs w:val="24"/>
        </w:rPr>
      </w:pPr>
    </w:p>
    <w:p w14:paraId="7836B966" w14:textId="77777777" w:rsidR="00172491" w:rsidRPr="00D44A60" w:rsidRDefault="00172491" w:rsidP="00172491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Eligible livestock; or</w:t>
      </w:r>
    </w:p>
    <w:p w14:paraId="7836B967" w14:textId="77777777" w:rsidR="00172491" w:rsidRPr="00D44A60" w:rsidRDefault="00172491" w:rsidP="00172491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Deck requirements; or</w:t>
      </w:r>
    </w:p>
    <w:p w14:paraId="7836B968" w14:textId="77777777" w:rsidR="00172491" w:rsidRPr="00D44A60" w:rsidRDefault="00172491" w:rsidP="00172491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Driver accreditation; or</w:t>
      </w:r>
    </w:p>
    <w:p w14:paraId="7836B969" w14:textId="77777777" w:rsidR="00C16D89" w:rsidRPr="00D44A60" w:rsidRDefault="00172491" w:rsidP="00D44A60">
      <w:pPr>
        <w:pStyle w:val="ListParagraph"/>
        <w:numPr>
          <w:ilvl w:val="0"/>
          <w:numId w:val="44"/>
        </w:numPr>
        <w:jc w:val="both"/>
        <w:rPr>
          <w:sz w:val="24"/>
          <w:szCs w:val="24"/>
        </w:rPr>
      </w:pPr>
      <w:r w:rsidRPr="00D44A60">
        <w:rPr>
          <w:sz w:val="24"/>
          <w:szCs w:val="24"/>
        </w:rPr>
        <w:t>Vehicle certification.</w:t>
      </w:r>
    </w:p>
    <w:p w14:paraId="7836B96A" w14:textId="77777777" w:rsidR="00D44A60" w:rsidRDefault="00D44A60" w:rsidP="009A2EA5">
      <w:pPr>
        <w:ind w:left="720"/>
        <w:contextualSpacing/>
        <w:rPr>
          <w:sz w:val="24"/>
          <w:szCs w:val="24"/>
          <w:lang w:eastAsia="en-AU"/>
        </w:rPr>
      </w:pPr>
    </w:p>
    <w:p w14:paraId="30B1E0F3" w14:textId="77777777" w:rsidR="000E7378" w:rsidRDefault="000E7378" w:rsidP="000E7378">
      <w:pPr>
        <w:ind w:left="720"/>
        <w:contextualSpacing/>
        <w:jc w:val="both"/>
      </w:pPr>
      <w:r>
        <w:t>Peter Austin</w:t>
      </w:r>
    </w:p>
    <w:p w14:paraId="330FA28B" w14:textId="77777777" w:rsidR="000E7378" w:rsidRPr="00912586" w:rsidRDefault="000E7378" w:rsidP="000E7378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79DB8748" w14:textId="77777777" w:rsidR="000E7378" w:rsidRPr="00912586" w:rsidRDefault="000E7378" w:rsidP="000E7378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1819CBF3" w14:textId="77777777" w:rsidR="000E7378" w:rsidRDefault="000E7378" w:rsidP="009A2EA5">
      <w:pPr>
        <w:ind w:left="720"/>
        <w:contextualSpacing/>
        <w:rPr>
          <w:sz w:val="24"/>
          <w:szCs w:val="24"/>
          <w:lang w:eastAsia="en-AU"/>
        </w:rPr>
      </w:pPr>
    </w:p>
    <w:p w14:paraId="7836B96B" w14:textId="77777777" w:rsidR="00D44A60" w:rsidRDefault="00D44A60" w:rsidP="009A2EA5">
      <w:pPr>
        <w:ind w:left="720"/>
        <w:contextualSpacing/>
        <w:rPr>
          <w:sz w:val="24"/>
          <w:szCs w:val="24"/>
          <w:lang w:eastAsia="en-AU"/>
        </w:rPr>
      </w:pPr>
    </w:p>
    <w:p w14:paraId="7836B96F" w14:textId="77777777" w:rsidR="006609FA" w:rsidRPr="00D44A60" w:rsidRDefault="006609FA" w:rsidP="00172491">
      <w:pPr>
        <w:rPr>
          <w:i/>
          <w:sz w:val="24"/>
          <w:szCs w:val="24"/>
        </w:rPr>
      </w:pPr>
    </w:p>
    <w:p w14:paraId="7836B970" w14:textId="77777777" w:rsidR="006609FA" w:rsidRPr="00D44A60" w:rsidRDefault="006609FA" w:rsidP="00D44A60">
      <w:pPr>
        <w:ind w:firstLine="720"/>
        <w:jc w:val="both"/>
        <w:rPr>
          <w:b/>
          <w:sz w:val="24"/>
          <w:szCs w:val="24"/>
          <w:u w:val="single"/>
        </w:rPr>
      </w:pPr>
      <w:r w:rsidRPr="00D44A60">
        <w:rPr>
          <w:b/>
          <w:sz w:val="24"/>
          <w:szCs w:val="24"/>
          <w:u w:val="single"/>
        </w:rPr>
        <w:t>Appendix 1</w:t>
      </w:r>
    </w:p>
    <w:p w14:paraId="7836B971" w14:textId="77777777" w:rsidR="006609FA" w:rsidRPr="00D44A60" w:rsidRDefault="006609FA" w:rsidP="006609FA">
      <w:pPr>
        <w:ind w:left="720"/>
        <w:jc w:val="both"/>
        <w:rPr>
          <w:sz w:val="24"/>
          <w:szCs w:val="24"/>
        </w:rPr>
      </w:pPr>
      <w:r w:rsidRPr="00D44A60">
        <w:rPr>
          <w:sz w:val="24"/>
          <w:szCs w:val="24"/>
        </w:rPr>
        <w:t>Height Clearance Under Overhead Structures Map</w:t>
      </w:r>
    </w:p>
    <w:p w14:paraId="7836B972" w14:textId="77777777" w:rsidR="006609FA" w:rsidRPr="00D44A60" w:rsidRDefault="006609FA" w:rsidP="006609FA">
      <w:pPr>
        <w:ind w:left="720"/>
        <w:jc w:val="both"/>
        <w:rPr>
          <w:i/>
          <w:sz w:val="24"/>
          <w:szCs w:val="24"/>
        </w:rPr>
      </w:pPr>
      <w:r w:rsidRPr="00D44A60">
        <w:rPr>
          <w:i/>
          <w:sz w:val="24"/>
          <w:szCs w:val="24"/>
        </w:rPr>
        <w:t>Note:</w:t>
      </w:r>
      <w:r w:rsidRPr="00D44A60">
        <w:rPr>
          <w:i/>
          <w:sz w:val="24"/>
          <w:szCs w:val="24"/>
        </w:rPr>
        <w:tab/>
        <w:t xml:space="preserve">The Height Clearance Under Overhead Structures Map identifies relevant height clearances that may be relevant depending on specific routes on the network. </w:t>
      </w:r>
    </w:p>
    <w:p w14:paraId="7836B973" w14:textId="77777777" w:rsidR="006609FA" w:rsidRPr="00D44A60" w:rsidRDefault="006609FA" w:rsidP="006609FA">
      <w:pPr>
        <w:ind w:left="720"/>
        <w:jc w:val="both"/>
        <w:rPr>
          <w:i/>
          <w:sz w:val="24"/>
          <w:szCs w:val="24"/>
        </w:rPr>
      </w:pPr>
      <w:r w:rsidRPr="00D44A60">
        <w:rPr>
          <w:i/>
          <w:sz w:val="24"/>
          <w:szCs w:val="24"/>
        </w:rPr>
        <w:t xml:space="preserve">The map mentioned in this appendix is published by the Tasmania Department of State </w:t>
      </w:r>
      <w:proofErr w:type="gramStart"/>
      <w:r w:rsidRPr="00D44A60">
        <w:rPr>
          <w:i/>
          <w:sz w:val="24"/>
          <w:szCs w:val="24"/>
        </w:rPr>
        <w:t>Growth, and</w:t>
      </w:r>
      <w:proofErr w:type="gramEnd"/>
      <w:r w:rsidRPr="00D44A60">
        <w:rPr>
          <w:i/>
          <w:sz w:val="24"/>
          <w:szCs w:val="24"/>
        </w:rPr>
        <w:t xml:space="preserve"> is available on its website.</w:t>
      </w:r>
    </w:p>
    <w:p w14:paraId="7836B974" w14:textId="77777777" w:rsidR="006609FA" w:rsidRPr="00D44A60" w:rsidRDefault="006609FA" w:rsidP="00172491">
      <w:pPr>
        <w:rPr>
          <w:i/>
          <w:sz w:val="24"/>
          <w:szCs w:val="24"/>
        </w:rPr>
      </w:pPr>
    </w:p>
    <w:sectPr w:rsidR="006609FA" w:rsidRPr="00D44A60" w:rsidSect="009A2EA5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B977" w14:textId="77777777" w:rsidR="00193124" w:rsidRDefault="00193124" w:rsidP="00A037BF">
      <w:pPr>
        <w:spacing w:after="0" w:line="240" w:lineRule="auto"/>
      </w:pPr>
      <w:r>
        <w:separator/>
      </w:r>
    </w:p>
  </w:endnote>
  <w:endnote w:type="continuationSeparator" w:id="0">
    <w:p w14:paraId="7836B978" w14:textId="77777777" w:rsidR="00193124" w:rsidRDefault="00193124" w:rsidP="00A0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979" w14:textId="77777777" w:rsidR="00F66F20" w:rsidRDefault="00F66F20">
    <w:pPr>
      <w:pStyle w:val="Footer"/>
      <w:jc w:val="right"/>
    </w:pPr>
  </w:p>
  <w:p w14:paraId="7836B97A" w14:textId="0B57C3A8" w:rsidR="00F66F20" w:rsidRDefault="00F66F20">
    <w:pPr>
      <w:pStyle w:val="Footer"/>
      <w:jc w:val="right"/>
    </w:pPr>
    <w:r w:rsidRPr="00D91F27">
      <w:t>Tasmania Class 3 Livestock Transportation Exemption Notice 20</w:t>
    </w:r>
    <w:r w:rsidR="00B71C07">
      <w:t>24</w:t>
    </w:r>
    <w:r w:rsidRPr="00D91F27">
      <w:t xml:space="preserve"> (No.1)</w:t>
    </w:r>
  </w:p>
  <w:p w14:paraId="7836B97B" w14:textId="77777777" w:rsidR="00F66F20" w:rsidRDefault="006809F3" w:rsidP="00D91F27">
    <w:pPr>
      <w:pStyle w:val="Footer"/>
      <w:jc w:val="right"/>
    </w:pPr>
    <w:sdt>
      <w:sdtPr>
        <w:id w:val="806204945"/>
        <w:docPartObj>
          <w:docPartGallery w:val="Page Numbers (Bottom of Page)"/>
          <w:docPartUnique/>
        </w:docPartObj>
      </w:sdtPr>
      <w:sdtEndPr/>
      <w:sdtContent>
        <w:sdt>
          <w:sdtPr>
            <w:id w:val="158973072"/>
            <w:docPartObj>
              <w:docPartGallery w:val="Page Numbers (Top of Page)"/>
              <w:docPartUnique/>
            </w:docPartObj>
          </w:sdtPr>
          <w:sdtEndPr/>
          <w:sdtContent>
            <w:r w:rsidR="00F66F20">
              <w:t xml:space="preserve">Page </w:t>
            </w:r>
            <w:r w:rsidR="00F66F20">
              <w:rPr>
                <w:b/>
                <w:bCs/>
                <w:sz w:val="24"/>
                <w:szCs w:val="24"/>
              </w:rPr>
              <w:fldChar w:fldCharType="begin"/>
            </w:r>
            <w:r w:rsidR="00F66F20">
              <w:rPr>
                <w:b/>
                <w:bCs/>
              </w:rPr>
              <w:instrText xml:space="preserve"> PAGE </w:instrText>
            </w:r>
            <w:r w:rsidR="00F66F20">
              <w:rPr>
                <w:b/>
                <w:bCs/>
                <w:sz w:val="24"/>
                <w:szCs w:val="24"/>
              </w:rPr>
              <w:fldChar w:fldCharType="separate"/>
            </w:r>
            <w:r w:rsidR="00800BC0">
              <w:rPr>
                <w:b/>
                <w:bCs/>
                <w:noProof/>
              </w:rPr>
              <w:t>6</w:t>
            </w:r>
            <w:r w:rsidR="00F66F20">
              <w:rPr>
                <w:b/>
                <w:bCs/>
                <w:sz w:val="24"/>
                <w:szCs w:val="24"/>
              </w:rPr>
              <w:fldChar w:fldCharType="end"/>
            </w:r>
            <w:r w:rsidR="00F66F20">
              <w:t xml:space="preserve"> of </w:t>
            </w:r>
            <w:r w:rsidR="00F66F20">
              <w:rPr>
                <w:b/>
                <w:bCs/>
                <w:sz w:val="24"/>
                <w:szCs w:val="24"/>
              </w:rPr>
              <w:fldChar w:fldCharType="begin"/>
            </w:r>
            <w:r w:rsidR="00F66F20">
              <w:rPr>
                <w:b/>
                <w:bCs/>
              </w:rPr>
              <w:instrText xml:space="preserve"> NUMPAGES  </w:instrText>
            </w:r>
            <w:r w:rsidR="00F66F20">
              <w:rPr>
                <w:b/>
                <w:bCs/>
                <w:sz w:val="24"/>
                <w:szCs w:val="24"/>
              </w:rPr>
              <w:fldChar w:fldCharType="separate"/>
            </w:r>
            <w:r w:rsidR="00800BC0">
              <w:rPr>
                <w:b/>
                <w:bCs/>
                <w:noProof/>
              </w:rPr>
              <w:t>6</w:t>
            </w:r>
            <w:r w:rsidR="00F66F2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984" w14:textId="77777777" w:rsidR="00F66F20" w:rsidRDefault="00F66F20" w:rsidP="009A2EA5">
    <w:pPr>
      <w:pStyle w:val="Footer"/>
      <w:jc w:val="right"/>
    </w:pPr>
  </w:p>
  <w:p w14:paraId="7836B985" w14:textId="21868538" w:rsidR="00F66F20" w:rsidRDefault="00F66F20" w:rsidP="009A2EA5">
    <w:pPr>
      <w:pStyle w:val="Footer"/>
      <w:jc w:val="right"/>
    </w:pPr>
    <w:r w:rsidRPr="00D91F27">
      <w:t>Tasmania Class 3 Livestock Transportation Exemption Notice 20</w:t>
    </w:r>
    <w:r w:rsidR="00DE1C4D">
      <w:t>24</w:t>
    </w:r>
    <w:r w:rsidRPr="00D91F27">
      <w:t xml:space="preserve"> (No.1)</w:t>
    </w:r>
  </w:p>
  <w:p w14:paraId="7836B986" w14:textId="77777777" w:rsidR="00F66F20" w:rsidRDefault="006809F3" w:rsidP="009A2EA5">
    <w:pPr>
      <w:pStyle w:val="Footer"/>
      <w:jc w:val="right"/>
    </w:pPr>
    <w:sdt>
      <w:sdtPr>
        <w:id w:val="1176302519"/>
        <w:docPartObj>
          <w:docPartGallery w:val="Page Numbers (Bottom of Page)"/>
          <w:docPartUnique/>
        </w:docPartObj>
      </w:sdtPr>
      <w:sdtEndPr/>
      <w:sdtContent>
        <w:sdt>
          <w:sdtPr>
            <w:id w:val="854466954"/>
            <w:docPartObj>
              <w:docPartGallery w:val="Page Numbers (Top of Page)"/>
              <w:docPartUnique/>
            </w:docPartObj>
          </w:sdtPr>
          <w:sdtEndPr/>
          <w:sdtContent>
            <w:r w:rsidR="00F66F20">
              <w:t xml:space="preserve">Page </w:t>
            </w:r>
            <w:r w:rsidR="00F66F20">
              <w:rPr>
                <w:b/>
                <w:bCs/>
                <w:sz w:val="24"/>
                <w:szCs w:val="24"/>
              </w:rPr>
              <w:fldChar w:fldCharType="begin"/>
            </w:r>
            <w:r w:rsidR="00F66F20">
              <w:rPr>
                <w:b/>
                <w:bCs/>
              </w:rPr>
              <w:instrText xml:space="preserve"> PAGE </w:instrText>
            </w:r>
            <w:r w:rsidR="00F66F20">
              <w:rPr>
                <w:b/>
                <w:bCs/>
                <w:sz w:val="24"/>
                <w:szCs w:val="24"/>
              </w:rPr>
              <w:fldChar w:fldCharType="separate"/>
            </w:r>
            <w:r w:rsidR="00800BC0">
              <w:rPr>
                <w:b/>
                <w:bCs/>
                <w:noProof/>
              </w:rPr>
              <w:t>1</w:t>
            </w:r>
            <w:r w:rsidR="00F66F20">
              <w:rPr>
                <w:b/>
                <w:bCs/>
                <w:sz w:val="24"/>
                <w:szCs w:val="24"/>
              </w:rPr>
              <w:fldChar w:fldCharType="end"/>
            </w:r>
            <w:r w:rsidR="00F66F20">
              <w:t xml:space="preserve"> of </w:t>
            </w:r>
            <w:r w:rsidR="00F66F20">
              <w:rPr>
                <w:b/>
                <w:bCs/>
                <w:sz w:val="24"/>
                <w:szCs w:val="24"/>
              </w:rPr>
              <w:fldChar w:fldCharType="begin"/>
            </w:r>
            <w:r w:rsidR="00F66F20">
              <w:rPr>
                <w:b/>
                <w:bCs/>
              </w:rPr>
              <w:instrText xml:space="preserve"> NUMPAGES  </w:instrText>
            </w:r>
            <w:r w:rsidR="00F66F20">
              <w:rPr>
                <w:b/>
                <w:bCs/>
                <w:sz w:val="24"/>
                <w:szCs w:val="24"/>
              </w:rPr>
              <w:fldChar w:fldCharType="separate"/>
            </w:r>
            <w:r w:rsidR="00800BC0">
              <w:rPr>
                <w:b/>
                <w:bCs/>
                <w:noProof/>
              </w:rPr>
              <w:t>6</w:t>
            </w:r>
            <w:r w:rsidR="00F66F2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B975" w14:textId="77777777" w:rsidR="00193124" w:rsidRDefault="00193124" w:rsidP="00A037BF">
      <w:pPr>
        <w:spacing w:after="0" w:line="240" w:lineRule="auto"/>
      </w:pPr>
      <w:r>
        <w:separator/>
      </w:r>
    </w:p>
  </w:footnote>
  <w:footnote w:type="continuationSeparator" w:id="0">
    <w:p w14:paraId="7836B976" w14:textId="77777777" w:rsidR="00193124" w:rsidRDefault="00193124" w:rsidP="00A0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B4C2E" w:rsidRPr="00CE796A" w14:paraId="51C9B2CF" w14:textId="77777777" w:rsidTr="00B21B8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9BAB125" w14:textId="77777777" w:rsidR="001B4C2E" w:rsidRPr="00CE796A" w:rsidRDefault="001B4C2E" w:rsidP="001B4C2E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1DDE7E1" wp14:editId="0915571E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A2ACCBC" w14:textId="77777777" w:rsidR="001B4C2E" w:rsidRPr="00CE796A" w:rsidRDefault="001B4C2E" w:rsidP="001B4C2E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6FCF82E" w14:textId="77777777" w:rsidR="001B4C2E" w:rsidRPr="00CE796A" w:rsidRDefault="001B4C2E" w:rsidP="001B4C2E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B4C2E" w:rsidRPr="00CE796A" w14:paraId="6BC223A2" w14:textId="77777777" w:rsidTr="00B21B8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1DD8E95" w14:textId="77777777" w:rsidR="001B4C2E" w:rsidRPr="00CE796A" w:rsidRDefault="001B4C2E" w:rsidP="001B4C2E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BB3CCBB" w14:textId="77777777" w:rsidR="001B4C2E" w:rsidRPr="00840A06" w:rsidRDefault="001B4C2E" w:rsidP="001B4C2E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DFB7532" w14:textId="77777777" w:rsidR="001B4C2E" w:rsidRDefault="001B4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7A"/>
    <w:multiLevelType w:val="hybridMultilevel"/>
    <w:tmpl w:val="01DA4E8C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E240D"/>
    <w:multiLevelType w:val="hybridMultilevel"/>
    <w:tmpl w:val="01DA4E8C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45C73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A41D2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14BBB"/>
    <w:multiLevelType w:val="hybridMultilevel"/>
    <w:tmpl w:val="A68269B2"/>
    <w:lvl w:ilvl="0" w:tplc="41B8A9AC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A5547"/>
    <w:multiLevelType w:val="hybridMultilevel"/>
    <w:tmpl w:val="89920A84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51904C1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6F3FA8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1B5D3B"/>
    <w:multiLevelType w:val="hybridMultilevel"/>
    <w:tmpl w:val="7354E356"/>
    <w:lvl w:ilvl="0" w:tplc="00C608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C63FF"/>
    <w:multiLevelType w:val="hybridMultilevel"/>
    <w:tmpl w:val="F45E7050"/>
    <w:lvl w:ilvl="0" w:tplc="3B521E0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45C83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E281C"/>
    <w:multiLevelType w:val="hybridMultilevel"/>
    <w:tmpl w:val="01DA4E8C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F7C46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B54B49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71637C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6A751D"/>
    <w:multiLevelType w:val="hybridMultilevel"/>
    <w:tmpl w:val="AE22EE4C"/>
    <w:lvl w:ilvl="0" w:tplc="95B48120">
      <w:start w:val="1"/>
      <w:numFmt w:val="decimal"/>
      <w:lvlText w:val="(%1)"/>
      <w:lvlJc w:val="left"/>
      <w:pPr>
        <w:ind w:left="360" w:firstLine="0"/>
      </w:pPr>
      <w:rPr>
        <w:rFonts w:hint="default"/>
        <w:b w:val="0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7">
      <w:start w:val="1"/>
      <w:numFmt w:val="lowerLetter"/>
      <w:lvlText w:val="%3)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B68F4"/>
    <w:multiLevelType w:val="hybridMultilevel"/>
    <w:tmpl w:val="677EA99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1B7E193E">
      <w:start w:val="1"/>
      <w:numFmt w:val="lowerRoman"/>
      <w:lvlText w:val="(%2)"/>
      <w:lvlJc w:val="left"/>
      <w:pPr>
        <w:ind w:left="2160" w:hanging="360"/>
      </w:pPr>
      <w:rPr>
        <w:rFonts w:ascii="Calibri" w:eastAsia="Times New Roman" w:hAnsi="Calibri" w:hint="default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C94951"/>
    <w:multiLevelType w:val="hybridMultilevel"/>
    <w:tmpl w:val="C0B0D588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F6C96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64E78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60204E"/>
    <w:multiLevelType w:val="hybridMultilevel"/>
    <w:tmpl w:val="27BA4E5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C0FFB"/>
    <w:multiLevelType w:val="hybridMultilevel"/>
    <w:tmpl w:val="FAA89916"/>
    <w:lvl w:ilvl="0" w:tplc="8688B1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DC1031"/>
    <w:multiLevelType w:val="hybridMultilevel"/>
    <w:tmpl w:val="D026F7D0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A62518C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207001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3078DC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CC520C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7B0005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8F1BB8"/>
    <w:multiLevelType w:val="hybridMultilevel"/>
    <w:tmpl w:val="926812BC"/>
    <w:lvl w:ilvl="0" w:tplc="0824AD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73142"/>
    <w:multiLevelType w:val="hybridMultilevel"/>
    <w:tmpl w:val="285CA97C"/>
    <w:lvl w:ilvl="0" w:tplc="D22A16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9637C4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905FE5"/>
    <w:multiLevelType w:val="hybridMultilevel"/>
    <w:tmpl w:val="DE306890"/>
    <w:lvl w:ilvl="0" w:tplc="E2B6F4FC">
      <w:start w:val="1"/>
      <w:numFmt w:val="decimal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C23E82"/>
    <w:multiLevelType w:val="hybridMultilevel"/>
    <w:tmpl w:val="5EDED994"/>
    <w:lvl w:ilvl="0" w:tplc="9D8CA9D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4F375B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AB188D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0B7168"/>
    <w:multiLevelType w:val="hybridMultilevel"/>
    <w:tmpl w:val="ED28A7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23D5A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3D4C89"/>
    <w:multiLevelType w:val="hybridMultilevel"/>
    <w:tmpl w:val="ED28A7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B677E"/>
    <w:multiLevelType w:val="hybridMultilevel"/>
    <w:tmpl w:val="50844FA4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EEA43F7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FA2F57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8A7E4E"/>
    <w:multiLevelType w:val="hybridMultilevel"/>
    <w:tmpl w:val="9184E110"/>
    <w:lvl w:ilvl="0" w:tplc="281054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D250CE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A317111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092867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7A087D"/>
    <w:multiLevelType w:val="hybridMultilevel"/>
    <w:tmpl w:val="345E5C5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3F6F7D"/>
    <w:multiLevelType w:val="hybridMultilevel"/>
    <w:tmpl w:val="9FE0D8A4"/>
    <w:lvl w:ilvl="0" w:tplc="0824AD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563247">
    <w:abstractNumId w:val="35"/>
  </w:num>
  <w:num w:numId="2" w16cid:durableId="1882671224">
    <w:abstractNumId w:val="10"/>
  </w:num>
  <w:num w:numId="3" w16cid:durableId="197200942">
    <w:abstractNumId w:val="44"/>
  </w:num>
  <w:num w:numId="4" w16cid:durableId="1012032912">
    <w:abstractNumId w:val="24"/>
  </w:num>
  <w:num w:numId="5" w16cid:durableId="709692606">
    <w:abstractNumId w:val="25"/>
  </w:num>
  <w:num w:numId="6" w16cid:durableId="1863014586">
    <w:abstractNumId w:val="36"/>
  </w:num>
  <w:num w:numId="7" w16cid:durableId="1791128709">
    <w:abstractNumId w:val="42"/>
  </w:num>
  <w:num w:numId="8" w16cid:durableId="244075295">
    <w:abstractNumId w:val="18"/>
  </w:num>
  <w:num w:numId="9" w16cid:durableId="168638006">
    <w:abstractNumId w:val="16"/>
  </w:num>
  <w:num w:numId="10" w16cid:durableId="632635387">
    <w:abstractNumId w:val="45"/>
  </w:num>
  <w:num w:numId="11" w16cid:durableId="363529203">
    <w:abstractNumId w:val="46"/>
  </w:num>
  <w:num w:numId="12" w16cid:durableId="1145243749">
    <w:abstractNumId w:val="39"/>
  </w:num>
  <w:num w:numId="13" w16cid:durableId="1894196252">
    <w:abstractNumId w:val="34"/>
  </w:num>
  <w:num w:numId="14" w16cid:durableId="1735159902">
    <w:abstractNumId w:val="2"/>
  </w:num>
  <w:num w:numId="15" w16cid:durableId="282688533">
    <w:abstractNumId w:val="13"/>
  </w:num>
  <w:num w:numId="16" w16cid:durableId="111171208">
    <w:abstractNumId w:val="28"/>
  </w:num>
  <w:num w:numId="17" w16cid:durableId="1157645751">
    <w:abstractNumId w:val="4"/>
  </w:num>
  <w:num w:numId="18" w16cid:durableId="917011767">
    <w:abstractNumId w:val="37"/>
  </w:num>
  <w:num w:numId="19" w16cid:durableId="1043673120">
    <w:abstractNumId w:val="30"/>
  </w:num>
  <w:num w:numId="20" w16cid:durableId="460420199">
    <w:abstractNumId w:val="43"/>
  </w:num>
  <w:num w:numId="21" w16cid:durableId="828331386">
    <w:abstractNumId w:val="22"/>
  </w:num>
  <w:num w:numId="22" w16cid:durableId="601374743">
    <w:abstractNumId w:val="19"/>
  </w:num>
  <w:num w:numId="23" w16cid:durableId="1002777052">
    <w:abstractNumId w:val="12"/>
  </w:num>
  <w:num w:numId="24" w16cid:durableId="1625381035">
    <w:abstractNumId w:val="26"/>
  </w:num>
  <w:num w:numId="25" w16cid:durableId="1503815211">
    <w:abstractNumId w:val="40"/>
  </w:num>
  <w:num w:numId="26" w16cid:durableId="570967515">
    <w:abstractNumId w:val="14"/>
  </w:num>
  <w:num w:numId="27" w16cid:durableId="519783826">
    <w:abstractNumId w:val="3"/>
  </w:num>
  <w:num w:numId="28" w16cid:durableId="672756756">
    <w:abstractNumId w:val="33"/>
  </w:num>
  <w:num w:numId="29" w16cid:durableId="313608422">
    <w:abstractNumId w:val="27"/>
  </w:num>
  <w:num w:numId="30" w16cid:durableId="823544069">
    <w:abstractNumId w:val="20"/>
  </w:num>
  <w:num w:numId="31" w16cid:durableId="119685657">
    <w:abstractNumId w:val="17"/>
  </w:num>
  <w:num w:numId="32" w16cid:durableId="1021203523">
    <w:abstractNumId w:val="32"/>
  </w:num>
  <w:num w:numId="33" w16cid:durableId="2054185874">
    <w:abstractNumId w:val="23"/>
  </w:num>
  <w:num w:numId="34" w16cid:durableId="1823504829">
    <w:abstractNumId w:val="6"/>
  </w:num>
  <w:num w:numId="35" w16cid:durableId="1634557752">
    <w:abstractNumId w:val="9"/>
  </w:num>
  <w:num w:numId="36" w16cid:durableId="275067922">
    <w:abstractNumId w:val="11"/>
  </w:num>
  <w:num w:numId="37" w16cid:durableId="2125533424">
    <w:abstractNumId w:val="0"/>
  </w:num>
  <w:num w:numId="38" w16cid:durableId="1859149494">
    <w:abstractNumId w:val="1"/>
  </w:num>
  <w:num w:numId="39" w16cid:durableId="62653848">
    <w:abstractNumId w:val="38"/>
  </w:num>
  <w:num w:numId="40" w16cid:durableId="1627543932">
    <w:abstractNumId w:val="8"/>
  </w:num>
  <w:num w:numId="41" w16cid:durableId="1119884172">
    <w:abstractNumId w:val="29"/>
  </w:num>
  <w:num w:numId="42" w16cid:durableId="1939175307">
    <w:abstractNumId w:val="21"/>
  </w:num>
  <w:num w:numId="43" w16cid:durableId="231089566">
    <w:abstractNumId w:val="15"/>
  </w:num>
  <w:num w:numId="44" w16cid:durableId="792868510">
    <w:abstractNumId w:val="7"/>
  </w:num>
  <w:num w:numId="45" w16cid:durableId="1313603661">
    <w:abstractNumId w:val="5"/>
  </w:num>
  <w:num w:numId="46" w16cid:durableId="1607234073">
    <w:abstractNumId w:val="31"/>
  </w:num>
  <w:num w:numId="47" w16cid:durableId="657464753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01D"/>
    <w:rsid w:val="00006D04"/>
    <w:rsid w:val="00007E41"/>
    <w:rsid w:val="00056C2A"/>
    <w:rsid w:val="0007326E"/>
    <w:rsid w:val="000733CF"/>
    <w:rsid w:val="00073430"/>
    <w:rsid w:val="000946BF"/>
    <w:rsid w:val="00094FFC"/>
    <w:rsid w:val="000B3FAB"/>
    <w:rsid w:val="000C333C"/>
    <w:rsid w:val="000C3D7A"/>
    <w:rsid w:val="000E127E"/>
    <w:rsid w:val="000E7378"/>
    <w:rsid w:val="0010669A"/>
    <w:rsid w:val="00116806"/>
    <w:rsid w:val="001246FE"/>
    <w:rsid w:val="00136D68"/>
    <w:rsid w:val="0015398B"/>
    <w:rsid w:val="00172491"/>
    <w:rsid w:val="00172771"/>
    <w:rsid w:val="00180107"/>
    <w:rsid w:val="00181695"/>
    <w:rsid w:val="00193124"/>
    <w:rsid w:val="001A720C"/>
    <w:rsid w:val="001B4C2E"/>
    <w:rsid w:val="001B5DF5"/>
    <w:rsid w:val="001C10AB"/>
    <w:rsid w:val="001F0C2F"/>
    <w:rsid w:val="002047FA"/>
    <w:rsid w:val="0021280C"/>
    <w:rsid w:val="00261BA2"/>
    <w:rsid w:val="00274587"/>
    <w:rsid w:val="00284610"/>
    <w:rsid w:val="002961D0"/>
    <w:rsid w:val="002B66E0"/>
    <w:rsid w:val="002E0E5A"/>
    <w:rsid w:val="002F4C17"/>
    <w:rsid w:val="00317C3C"/>
    <w:rsid w:val="00330FCD"/>
    <w:rsid w:val="0033133F"/>
    <w:rsid w:val="00341B7F"/>
    <w:rsid w:val="003462BB"/>
    <w:rsid w:val="00354F04"/>
    <w:rsid w:val="00360664"/>
    <w:rsid w:val="00370439"/>
    <w:rsid w:val="00370621"/>
    <w:rsid w:val="003779E1"/>
    <w:rsid w:val="00383B8E"/>
    <w:rsid w:val="003922E6"/>
    <w:rsid w:val="00392D61"/>
    <w:rsid w:val="00394ABD"/>
    <w:rsid w:val="003A2BE1"/>
    <w:rsid w:val="003B090A"/>
    <w:rsid w:val="003C4B1F"/>
    <w:rsid w:val="003C65BE"/>
    <w:rsid w:val="003D3884"/>
    <w:rsid w:val="003F3148"/>
    <w:rsid w:val="00405F39"/>
    <w:rsid w:val="0040771A"/>
    <w:rsid w:val="004104AE"/>
    <w:rsid w:val="00412FAA"/>
    <w:rsid w:val="00417BDA"/>
    <w:rsid w:val="00430EB3"/>
    <w:rsid w:val="00434A29"/>
    <w:rsid w:val="00444889"/>
    <w:rsid w:val="0047327B"/>
    <w:rsid w:val="00493344"/>
    <w:rsid w:val="004A5ED4"/>
    <w:rsid w:val="004A7827"/>
    <w:rsid w:val="004C2683"/>
    <w:rsid w:val="004C5EA0"/>
    <w:rsid w:val="005276E5"/>
    <w:rsid w:val="005403FF"/>
    <w:rsid w:val="005431F4"/>
    <w:rsid w:val="00552259"/>
    <w:rsid w:val="00561A3D"/>
    <w:rsid w:val="00567DA2"/>
    <w:rsid w:val="0057524E"/>
    <w:rsid w:val="0058757C"/>
    <w:rsid w:val="00593EDE"/>
    <w:rsid w:val="00596C6C"/>
    <w:rsid w:val="005A76EF"/>
    <w:rsid w:val="005C3533"/>
    <w:rsid w:val="005F3FC9"/>
    <w:rsid w:val="00607885"/>
    <w:rsid w:val="0063620D"/>
    <w:rsid w:val="006436D4"/>
    <w:rsid w:val="00657C37"/>
    <w:rsid w:val="006609FA"/>
    <w:rsid w:val="00673B67"/>
    <w:rsid w:val="006809F3"/>
    <w:rsid w:val="006830F3"/>
    <w:rsid w:val="006A4021"/>
    <w:rsid w:val="006D5646"/>
    <w:rsid w:val="006E382D"/>
    <w:rsid w:val="006E6618"/>
    <w:rsid w:val="006E7A93"/>
    <w:rsid w:val="007261CA"/>
    <w:rsid w:val="00743C1E"/>
    <w:rsid w:val="00780F08"/>
    <w:rsid w:val="007815CC"/>
    <w:rsid w:val="00782F00"/>
    <w:rsid w:val="007A0227"/>
    <w:rsid w:val="007A387C"/>
    <w:rsid w:val="007D0083"/>
    <w:rsid w:val="007E394C"/>
    <w:rsid w:val="007F246A"/>
    <w:rsid w:val="00800BC0"/>
    <w:rsid w:val="00805C7E"/>
    <w:rsid w:val="008653B3"/>
    <w:rsid w:val="00867AF0"/>
    <w:rsid w:val="008719F9"/>
    <w:rsid w:val="00885220"/>
    <w:rsid w:val="008A1D59"/>
    <w:rsid w:val="008C383C"/>
    <w:rsid w:val="008C6065"/>
    <w:rsid w:val="008E27F2"/>
    <w:rsid w:val="008F479E"/>
    <w:rsid w:val="00903D81"/>
    <w:rsid w:val="009128B2"/>
    <w:rsid w:val="009219ED"/>
    <w:rsid w:val="00940028"/>
    <w:rsid w:val="00942252"/>
    <w:rsid w:val="009734CB"/>
    <w:rsid w:val="009802A4"/>
    <w:rsid w:val="009A2EA5"/>
    <w:rsid w:val="009B018A"/>
    <w:rsid w:val="009F2AC1"/>
    <w:rsid w:val="00A037BF"/>
    <w:rsid w:val="00A04EE0"/>
    <w:rsid w:val="00A07F2A"/>
    <w:rsid w:val="00A2425A"/>
    <w:rsid w:val="00A33E95"/>
    <w:rsid w:val="00A372CC"/>
    <w:rsid w:val="00A44F34"/>
    <w:rsid w:val="00A50118"/>
    <w:rsid w:val="00A557BF"/>
    <w:rsid w:val="00A57271"/>
    <w:rsid w:val="00A61D12"/>
    <w:rsid w:val="00A634DA"/>
    <w:rsid w:val="00A70729"/>
    <w:rsid w:val="00A80B36"/>
    <w:rsid w:val="00AB3DBD"/>
    <w:rsid w:val="00AC77D3"/>
    <w:rsid w:val="00AD71A9"/>
    <w:rsid w:val="00AE14FF"/>
    <w:rsid w:val="00AE302D"/>
    <w:rsid w:val="00AE7E30"/>
    <w:rsid w:val="00AF599F"/>
    <w:rsid w:val="00B00860"/>
    <w:rsid w:val="00B10873"/>
    <w:rsid w:val="00B13B31"/>
    <w:rsid w:val="00B21C4D"/>
    <w:rsid w:val="00B261C1"/>
    <w:rsid w:val="00B71C07"/>
    <w:rsid w:val="00B92805"/>
    <w:rsid w:val="00B96665"/>
    <w:rsid w:val="00BA161A"/>
    <w:rsid w:val="00BD019B"/>
    <w:rsid w:val="00BE301D"/>
    <w:rsid w:val="00BE4F85"/>
    <w:rsid w:val="00BF2D3B"/>
    <w:rsid w:val="00C14AB6"/>
    <w:rsid w:val="00C16D89"/>
    <w:rsid w:val="00C3620E"/>
    <w:rsid w:val="00C55678"/>
    <w:rsid w:val="00C570C3"/>
    <w:rsid w:val="00C63D80"/>
    <w:rsid w:val="00C72AF2"/>
    <w:rsid w:val="00CA2189"/>
    <w:rsid w:val="00CA6216"/>
    <w:rsid w:val="00CD141E"/>
    <w:rsid w:val="00CE22C2"/>
    <w:rsid w:val="00D05FE0"/>
    <w:rsid w:val="00D0696E"/>
    <w:rsid w:val="00D27EEC"/>
    <w:rsid w:val="00D44A60"/>
    <w:rsid w:val="00D47D35"/>
    <w:rsid w:val="00D67E52"/>
    <w:rsid w:val="00D70E50"/>
    <w:rsid w:val="00D71776"/>
    <w:rsid w:val="00D91F27"/>
    <w:rsid w:val="00DA0D30"/>
    <w:rsid w:val="00DA22F9"/>
    <w:rsid w:val="00DE1C4D"/>
    <w:rsid w:val="00E03697"/>
    <w:rsid w:val="00E05F50"/>
    <w:rsid w:val="00E16BDA"/>
    <w:rsid w:val="00E33506"/>
    <w:rsid w:val="00E41832"/>
    <w:rsid w:val="00E524E9"/>
    <w:rsid w:val="00E5574A"/>
    <w:rsid w:val="00E66995"/>
    <w:rsid w:val="00E86089"/>
    <w:rsid w:val="00E86A84"/>
    <w:rsid w:val="00E95C3D"/>
    <w:rsid w:val="00EE7E37"/>
    <w:rsid w:val="00EF424F"/>
    <w:rsid w:val="00F002F8"/>
    <w:rsid w:val="00F12F50"/>
    <w:rsid w:val="00F14959"/>
    <w:rsid w:val="00F23615"/>
    <w:rsid w:val="00F27B53"/>
    <w:rsid w:val="00F53F81"/>
    <w:rsid w:val="00F66F20"/>
    <w:rsid w:val="00F90934"/>
    <w:rsid w:val="00F9737E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36B8CB"/>
  <w15:docId w15:val="{7AAEDFEA-EA0F-4909-91CA-D58D9F87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36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2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7BF"/>
  </w:style>
  <w:style w:type="paragraph" w:styleId="Footer">
    <w:name w:val="footer"/>
    <w:basedOn w:val="Normal"/>
    <w:link w:val="FooterChar"/>
    <w:uiPriority w:val="99"/>
    <w:unhideWhenUsed/>
    <w:rsid w:val="00A0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7BF"/>
  </w:style>
  <w:style w:type="table" w:customStyle="1" w:styleId="TableGrid1">
    <w:name w:val="Table Grid1"/>
    <w:basedOn w:val="TableNormal"/>
    <w:next w:val="TableGrid"/>
    <w:uiPriority w:val="59"/>
    <w:rsid w:val="00B0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431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2F4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F67EEAD-C81F-4A37-92AF-A39CBB1E3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74DFF-E280-4466-91A9-EA9EF6188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F5A4D-E059-4856-BC4C-31F8CD8587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DDEE2B-65C5-446D-8D5F-4175ADD7A4D6}">
  <ds:schemaRefs>
    <ds:schemaRef ds:uri="5ad2cbeb-fc51-4b49-87dc-42300fe4d1dd"/>
    <ds:schemaRef ds:uri="73f7d1ba-ac27-4bcb-a5b6-37981e86af6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5ab7314-6ee2-4801-b2cf-a27306d55ce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163C9B9-5B05-4C50-B89A-F332769EB6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Crapnell</dc:creator>
  <cp:lastModifiedBy>Robert Crapnell</cp:lastModifiedBy>
  <cp:revision>10</cp:revision>
  <dcterms:created xsi:type="dcterms:W3CDTF">2019-01-31T06:04:00Z</dcterms:created>
  <dcterms:modified xsi:type="dcterms:W3CDTF">2024-01-16T05:08:00Z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