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72358891" w:rsidR="00DD1752" w:rsidRPr="001D73C9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 xml:space="preserve">National Class </w:t>
      </w:r>
      <w:r w:rsidR="00A708FC">
        <w:rPr>
          <w:b/>
          <w:bCs/>
          <w:sz w:val="28"/>
          <w:szCs w:val="28"/>
        </w:rPr>
        <w:t>2</w:t>
      </w:r>
      <w:r w:rsidR="00573356">
        <w:rPr>
          <w:b/>
          <w:bCs/>
          <w:sz w:val="28"/>
          <w:szCs w:val="28"/>
        </w:rPr>
        <w:t xml:space="preserve"> B-double </w:t>
      </w:r>
      <w:r w:rsidR="000C499B">
        <w:rPr>
          <w:b/>
          <w:bCs/>
          <w:sz w:val="28"/>
          <w:szCs w:val="28"/>
        </w:rPr>
        <w:t>Authorisation Notice 202</w:t>
      </w:r>
      <w:r w:rsidR="00241F19">
        <w:rPr>
          <w:b/>
          <w:bCs/>
          <w:sz w:val="28"/>
          <w:szCs w:val="28"/>
        </w:rPr>
        <w:t>4</w:t>
      </w:r>
      <w:r w:rsidR="009614B8">
        <w:rPr>
          <w:b/>
          <w:bCs/>
          <w:sz w:val="28"/>
          <w:szCs w:val="28"/>
        </w:rPr>
        <w:t xml:space="preserve"> </w:t>
      </w:r>
      <w:r w:rsidR="00F624CC">
        <w:rPr>
          <w:b/>
          <w:bCs/>
          <w:sz w:val="28"/>
          <w:szCs w:val="28"/>
        </w:rPr>
        <w:t>(No.1)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149A564C" w14:textId="05C5E66E" w:rsidR="00DD1752" w:rsidRDefault="00DD1752" w:rsidP="008C2ADE">
      <w:pPr>
        <w:pStyle w:val="ListParagraph"/>
        <w:ind w:left="1080"/>
        <w:jc w:val="both"/>
      </w:pPr>
      <w:r>
        <w:t xml:space="preserve">This </w:t>
      </w:r>
      <w:r w:rsidR="003A2F7D">
        <w:t>n</w:t>
      </w:r>
      <w:r>
        <w:t xml:space="preserve">otice </w:t>
      </w:r>
      <w:r w:rsidR="00A708FC">
        <w:t xml:space="preserve">authorises </w:t>
      </w:r>
      <w:r w:rsidR="00C95572">
        <w:t>the use of</w:t>
      </w:r>
      <w:r w:rsidR="005E71A2">
        <w:t xml:space="preserve"> class 2</w:t>
      </w:r>
      <w:r w:rsidR="00F945ED">
        <w:t xml:space="preserve"> heavy </w:t>
      </w:r>
      <w:r w:rsidR="009614B8">
        <w:t>vehicle</w:t>
      </w:r>
      <w:r w:rsidR="005E71A2">
        <w:t>s</w:t>
      </w:r>
      <w:r w:rsidR="009614B8">
        <w:t xml:space="preserve"> tha</w:t>
      </w:r>
      <w:r w:rsidR="00FC440F">
        <w:t>t are</w:t>
      </w:r>
      <w:r w:rsidR="00BF33A0">
        <w:t xml:space="preserve"> b-doubles</w:t>
      </w:r>
      <w:r w:rsidR="00E1703B">
        <w:t>.</w:t>
      </w:r>
    </w:p>
    <w:p w14:paraId="6923ADEB" w14:textId="77777777" w:rsidR="008C2ADE" w:rsidRDefault="008C2ADE" w:rsidP="008C2ADE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54C4FDDC" w:rsidR="00DD1752" w:rsidRDefault="00DD1752" w:rsidP="005D7BE6">
      <w:pPr>
        <w:pStyle w:val="ListParagraph"/>
        <w:numPr>
          <w:ilvl w:val="0"/>
          <w:numId w:val="11"/>
        </w:numPr>
        <w:jc w:val="both"/>
      </w:pPr>
      <w:r>
        <w:t xml:space="preserve">This </w:t>
      </w:r>
      <w:r w:rsidR="003A2F7D">
        <w:t>n</w:t>
      </w:r>
      <w:r>
        <w:t>otice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3B6ADA99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>section 1</w:t>
      </w:r>
      <w:r w:rsidR="00BB3100">
        <w:t>38</w:t>
      </w:r>
      <w:r>
        <w:t xml:space="preserve"> – </w:t>
      </w:r>
      <w:r w:rsidR="00C95572" w:rsidRPr="00C95572">
        <w:rPr>
          <w:i/>
          <w:iCs/>
        </w:rPr>
        <w:t xml:space="preserve">Regulator’s power to authorise use of all or stated categories of class 2 heavy </w:t>
      </w:r>
      <w:proofErr w:type="gramStart"/>
      <w:r w:rsidR="00C95572" w:rsidRPr="00C95572">
        <w:rPr>
          <w:i/>
          <w:iCs/>
        </w:rPr>
        <w:t>vehicles</w:t>
      </w:r>
      <w:proofErr w:type="gramEnd"/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1750CE53" w:rsidR="00DD1752" w:rsidRDefault="00DD1752" w:rsidP="00F945ED">
      <w:pPr>
        <w:pStyle w:val="ListParagraph"/>
        <w:ind w:left="1080"/>
        <w:jc w:val="both"/>
      </w:pPr>
      <w:r>
        <w:t xml:space="preserve">This exemption </w:t>
      </w:r>
      <w:r w:rsidR="003A2F7D">
        <w:t>n</w:t>
      </w:r>
      <w:r>
        <w:t>otice may be cited as the</w:t>
      </w:r>
      <w:r w:rsidR="00373E4D" w:rsidRPr="00373E4D">
        <w:t xml:space="preserve"> </w:t>
      </w:r>
      <w:r w:rsidR="000C499B" w:rsidRPr="000C499B">
        <w:rPr>
          <w:i/>
          <w:iCs/>
        </w:rPr>
        <w:t>National Class 2 B-double Authorisation Notice 202</w:t>
      </w:r>
      <w:r w:rsidR="00062ACA">
        <w:rPr>
          <w:i/>
          <w:iCs/>
        </w:rPr>
        <w:t>4</w:t>
      </w:r>
      <w:r w:rsidR="000C499B" w:rsidRPr="000C499B">
        <w:rPr>
          <w:i/>
          <w:iCs/>
        </w:rPr>
        <w:t xml:space="preserve"> (No.1</w:t>
      </w:r>
      <w:r w:rsidRPr="00373E4D">
        <w:rPr>
          <w:i/>
          <w:iCs/>
        </w:rPr>
        <w:t>).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6A03B141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3A2F7D">
        <w:t>n</w:t>
      </w:r>
      <w:r>
        <w:t xml:space="preserve">otice commences on </w:t>
      </w:r>
      <w:r w:rsidR="007A0E0A">
        <w:t>1 February 2024</w:t>
      </w:r>
      <w:r w:rsidR="00B14F34">
        <w:t>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028221F4" w14:textId="58A62126" w:rsidR="007A0E0A" w:rsidRDefault="00DD1752" w:rsidP="007A0E0A">
      <w:pPr>
        <w:pStyle w:val="ListParagraph"/>
        <w:ind w:left="1080"/>
        <w:jc w:val="both"/>
      </w:pPr>
      <w:r>
        <w:t xml:space="preserve">This </w:t>
      </w:r>
      <w:r w:rsidR="003A2F7D">
        <w:t>n</w:t>
      </w:r>
      <w:r>
        <w:t xml:space="preserve">otice expires on </w:t>
      </w:r>
      <w:r w:rsidR="007A0E0A">
        <w:t>31 January 2029.</w:t>
      </w:r>
    </w:p>
    <w:p w14:paraId="1053FEFF" w14:textId="77777777" w:rsidR="007A0E0A" w:rsidRPr="007A0E0A" w:rsidRDefault="007A0E0A" w:rsidP="007A0E0A">
      <w:pPr>
        <w:pStyle w:val="ListParagraph"/>
        <w:ind w:left="1080"/>
        <w:jc w:val="both"/>
      </w:pPr>
    </w:p>
    <w:p w14:paraId="2DA8D8F2" w14:textId="220A5C42" w:rsidR="00581C6C" w:rsidRPr="002C4555" w:rsidRDefault="00581C6C" w:rsidP="007A0E0A">
      <w:pPr>
        <w:jc w:val="both"/>
      </w:pPr>
      <w:r w:rsidRPr="007A0E0A">
        <w:rPr>
          <w:b/>
          <w:bCs/>
        </w:rPr>
        <w:br w:type="page"/>
      </w:r>
    </w:p>
    <w:p w14:paraId="252D90F4" w14:textId="77777777" w:rsidR="009F43F0" w:rsidRPr="00811BF4" w:rsidRDefault="009F43F0" w:rsidP="009F43F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lastRenderedPageBreak/>
        <w:t>Definitions</w:t>
      </w:r>
    </w:p>
    <w:p w14:paraId="601E9E4E" w14:textId="77777777" w:rsidR="009F43F0" w:rsidRDefault="009F43F0" w:rsidP="009F43F0">
      <w:pPr>
        <w:pStyle w:val="ListParagraph"/>
        <w:ind w:left="1080"/>
        <w:jc w:val="both"/>
      </w:pPr>
    </w:p>
    <w:p w14:paraId="11AC02FC" w14:textId="77777777" w:rsidR="009F43F0" w:rsidRDefault="009F43F0" w:rsidP="009F43F0">
      <w:pPr>
        <w:pStyle w:val="ListParagraph"/>
        <w:numPr>
          <w:ilvl w:val="0"/>
          <w:numId w:val="4"/>
        </w:numPr>
        <w:jc w:val="both"/>
      </w:pPr>
      <w:r>
        <w:t>Unless otherwise stated, words and expressions used in this notice have the same meanings as those in the HVNL and its regulations.</w:t>
      </w:r>
    </w:p>
    <w:p w14:paraId="0EFB3F90" w14:textId="77777777" w:rsidR="009F43F0" w:rsidRDefault="009F43F0" w:rsidP="009F43F0">
      <w:pPr>
        <w:pStyle w:val="ListParagraph"/>
        <w:ind w:left="1080"/>
        <w:jc w:val="both"/>
      </w:pPr>
    </w:p>
    <w:p w14:paraId="57C22BC3" w14:textId="77777777" w:rsidR="009F43F0" w:rsidRDefault="009F43F0" w:rsidP="009F43F0">
      <w:pPr>
        <w:pStyle w:val="ListParagraph"/>
        <w:numPr>
          <w:ilvl w:val="0"/>
          <w:numId w:val="4"/>
        </w:numPr>
        <w:jc w:val="both"/>
      </w:pPr>
      <w:r>
        <w:t>In this notice:</w:t>
      </w:r>
    </w:p>
    <w:p w14:paraId="4F15B75F" w14:textId="77777777" w:rsidR="009F43F0" w:rsidRPr="00110123" w:rsidRDefault="009F43F0" w:rsidP="009F43F0">
      <w:pPr>
        <w:ind w:left="1440"/>
        <w:jc w:val="both"/>
        <w:rPr>
          <w:b/>
          <w:bCs/>
          <w:i/>
          <w:iCs/>
        </w:rPr>
      </w:pPr>
      <w:r w:rsidRPr="00110123">
        <w:rPr>
          <w:b/>
          <w:bCs/>
          <w:i/>
          <w:iCs/>
        </w:rPr>
        <w:t xml:space="preserve">General access </w:t>
      </w:r>
      <w:r w:rsidRPr="00110123">
        <w:t>means access to all roads, subject to the operation of the road rules of the relevant participating jurisdiction.</w:t>
      </w:r>
    </w:p>
    <w:p w14:paraId="0F28A80F" w14:textId="77777777" w:rsidR="009F43F0" w:rsidRPr="00110123" w:rsidRDefault="009F43F0" w:rsidP="009F43F0">
      <w:pPr>
        <w:ind w:left="1440"/>
        <w:jc w:val="both"/>
        <w:rPr>
          <w:b/>
          <w:bCs/>
          <w:i/>
          <w:iCs/>
        </w:rPr>
      </w:pPr>
      <w:r w:rsidRPr="00110123">
        <w:rPr>
          <w:b/>
          <w:bCs/>
          <w:i/>
          <w:iCs/>
        </w:rPr>
        <w:t xml:space="preserve">Guide </w:t>
      </w:r>
      <w:r w:rsidRPr="00110123">
        <w:t>means the National Class 2 B-double Operator’s Guide published by the National Heavy Vehicle Regulator.</w:t>
      </w:r>
    </w:p>
    <w:p w14:paraId="76F80D92" w14:textId="77777777" w:rsidR="009F43F0" w:rsidRDefault="009F43F0" w:rsidP="009F43F0">
      <w:pPr>
        <w:pStyle w:val="ListParagraph"/>
        <w:jc w:val="both"/>
        <w:rPr>
          <w:b/>
          <w:bCs/>
        </w:rPr>
      </w:pPr>
    </w:p>
    <w:p w14:paraId="01A78285" w14:textId="6088B0EB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4438625B" w14:textId="3537C0F8" w:rsidR="00520FC4" w:rsidRDefault="00DD7263" w:rsidP="005D7BE6">
      <w:pPr>
        <w:pStyle w:val="ListParagraph"/>
        <w:numPr>
          <w:ilvl w:val="0"/>
          <w:numId w:val="5"/>
        </w:numPr>
        <w:jc w:val="both"/>
      </w:pPr>
      <w:r w:rsidRPr="00B779F0">
        <w:t xml:space="preserve">This </w:t>
      </w:r>
      <w:r w:rsidR="00E27CB5">
        <w:t>authorisation</w:t>
      </w:r>
      <w:r w:rsidRPr="00B779F0">
        <w:t xml:space="preserve"> </w:t>
      </w:r>
      <w:r>
        <w:t>n</w:t>
      </w:r>
      <w:r w:rsidRPr="00B779F0">
        <w:t xml:space="preserve">otice applies to a </w:t>
      </w:r>
      <w:r w:rsidR="00AD5E41">
        <w:t>c</w:t>
      </w:r>
      <w:r w:rsidRPr="00B779F0">
        <w:t xml:space="preserve">lass </w:t>
      </w:r>
      <w:r w:rsidR="00E27CB5">
        <w:t>2</w:t>
      </w:r>
      <w:r w:rsidRPr="00B779F0">
        <w:t xml:space="preserve"> </w:t>
      </w:r>
      <w:r w:rsidR="00CA3083">
        <w:t>B</w:t>
      </w:r>
      <w:r w:rsidR="00E27CB5">
        <w:t>-double.</w:t>
      </w:r>
    </w:p>
    <w:p w14:paraId="448BEE29" w14:textId="77777777" w:rsidR="00E27CB5" w:rsidRDefault="00E27CB5" w:rsidP="00E27CB5">
      <w:pPr>
        <w:pStyle w:val="ListParagraph"/>
        <w:ind w:left="1080"/>
        <w:jc w:val="both"/>
      </w:pPr>
    </w:p>
    <w:p w14:paraId="49C3D8C3" w14:textId="0F044584" w:rsidR="00A63265" w:rsidRDefault="00BA5AD0" w:rsidP="00AD5E41">
      <w:pPr>
        <w:pStyle w:val="ListParagraph"/>
        <w:numPr>
          <w:ilvl w:val="0"/>
          <w:numId w:val="5"/>
        </w:numPr>
        <w:jc w:val="both"/>
      </w:pPr>
      <w:r>
        <w:t xml:space="preserve">This Notice applies in </w:t>
      </w:r>
      <w:r w:rsidR="00AD5E41">
        <w:t>all participating jurisdictions.</w:t>
      </w:r>
    </w:p>
    <w:p w14:paraId="050026B4" w14:textId="77777777" w:rsidR="00B05075" w:rsidRDefault="00B05075" w:rsidP="00F945ED">
      <w:pPr>
        <w:pStyle w:val="ListParagraph"/>
        <w:ind w:left="1080"/>
        <w:jc w:val="both"/>
      </w:pPr>
    </w:p>
    <w:p w14:paraId="0657EBA4" w14:textId="2A77FD50" w:rsidR="00B05075" w:rsidRPr="00B05075" w:rsidRDefault="00B05075" w:rsidP="005D7BE6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This Notice applies in </w:t>
      </w:r>
      <w:r w:rsidR="00D116AF">
        <w:rPr>
          <w:lang w:val="en-US"/>
        </w:rPr>
        <w:t>a participating</w:t>
      </w:r>
      <w:r w:rsidR="001F3F6C">
        <w:rPr>
          <w:lang w:val="en-US"/>
        </w:rPr>
        <w:t xml:space="preserve"> jurisdiction</w:t>
      </w:r>
      <w:r>
        <w:rPr>
          <w:lang w:val="en-US"/>
        </w:rPr>
        <w:t xml:space="preserve"> subject to the conditions provided </w:t>
      </w:r>
      <w:r w:rsidR="007C0E22">
        <w:rPr>
          <w:lang w:val="en-US"/>
        </w:rPr>
        <w:t xml:space="preserve">in the body of this </w:t>
      </w:r>
      <w:r w:rsidR="003A2F7D">
        <w:rPr>
          <w:lang w:val="en-US"/>
        </w:rPr>
        <w:t>n</w:t>
      </w:r>
      <w:r w:rsidR="007C0E22">
        <w:rPr>
          <w:lang w:val="en-US"/>
        </w:rPr>
        <w:t>otice</w:t>
      </w:r>
      <w:r w:rsidR="00A73810">
        <w:rPr>
          <w:lang w:val="en-US"/>
        </w:rPr>
        <w:t xml:space="preserve"> </w:t>
      </w:r>
      <w:r w:rsidR="00C839BE">
        <w:rPr>
          <w:lang w:val="en-US"/>
        </w:rPr>
        <w:t>and</w:t>
      </w:r>
      <w:r w:rsidR="001F3F6C">
        <w:rPr>
          <w:lang w:val="en-US"/>
        </w:rPr>
        <w:t xml:space="preserve"> the conditions of the Schedule relevant to that jurisdiction.</w:t>
      </w:r>
    </w:p>
    <w:p w14:paraId="767E8FC9" w14:textId="77777777" w:rsidR="00DD1752" w:rsidRDefault="00DD1752" w:rsidP="00F945ED">
      <w:pPr>
        <w:pStyle w:val="ListParagraph"/>
        <w:ind w:left="1080"/>
        <w:jc w:val="both"/>
      </w:pPr>
    </w:p>
    <w:p w14:paraId="612F31FD" w14:textId="77777777" w:rsidR="005A6499" w:rsidRDefault="005A6499" w:rsidP="005D7BE6">
      <w:pPr>
        <w:pStyle w:val="ListParagraph"/>
        <w:numPr>
          <w:ilvl w:val="0"/>
          <w:numId w:val="5"/>
        </w:numPr>
        <w:jc w:val="both"/>
      </w:pPr>
      <w:r>
        <w:t>A heavy vehicle to which this section applies and that complies with the conditions of this notice is an eligible vehicle.</w:t>
      </w:r>
    </w:p>
    <w:p w14:paraId="075CB3AD" w14:textId="77777777" w:rsidR="00DD1752" w:rsidRPr="00B95255" w:rsidRDefault="00DD1752" w:rsidP="00F945ED">
      <w:pPr>
        <w:pStyle w:val="ListParagraph"/>
        <w:ind w:left="1080"/>
        <w:jc w:val="both"/>
      </w:pPr>
    </w:p>
    <w:p w14:paraId="14DA3459" w14:textId="77777777" w:rsidR="00F73D14" w:rsidRDefault="00F73D14">
      <w:pPr>
        <w:rPr>
          <w:b/>
          <w:bCs/>
        </w:rPr>
      </w:pPr>
      <w:r>
        <w:rPr>
          <w:b/>
          <w:bCs/>
        </w:rPr>
        <w:br w:type="page"/>
      </w:r>
    </w:p>
    <w:p w14:paraId="229F8C59" w14:textId="2982279A" w:rsidR="002143F8" w:rsidRPr="00F73D14" w:rsidRDefault="007C4AB0" w:rsidP="00F73D1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F73D14">
        <w:rPr>
          <w:b/>
          <w:bCs/>
        </w:rPr>
        <w:lastRenderedPageBreak/>
        <w:t xml:space="preserve">Conditions – </w:t>
      </w:r>
      <w:r w:rsidR="00F11F1D" w:rsidRPr="00F73D14">
        <w:rPr>
          <w:b/>
          <w:bCs/>
        </w:rPr>
        <w:t xml:space="preserve">Axle spacing mass limits for </w:t>
      </w:r>
      <w:r w:rsidR="00735058">
        <w:rPr>
          <w:b/>
          <w:bCs/>
        </w:rPr>
        <w:t xml:space="preserve">eligible vehicles </w:t>
      </w:r>
      <w:r w:rsidR="00D51CEE">
        <w:rPr>
          <w:b/>
          <w:bCs/>
        </w:rPr>
        <w:t>up to 50.0t</w:t>
      </w:r>
    </w:p>
    <w:p w14:paraId="5B6D5B07" w14:textId="77777777" w:rsidR="00F73D14" w:rsidRDefault="00F73D14" w:rsidP="002143F8">
      <w:pPr>
        <w:pStyle w:val="ListParagraph"/>
        <w:ind w:left="1080"/>
        <w:jc w:val="both"/>
        <w:rPr>
          <w:lang w:val="en-US"/>
        </w:rPr>
      </w:pPr>
    </w:p>
    <w:p w14:paraId="6BE404EA" w14:textId="0EE951E7" w:rsidR="00F73D14" w:rsidRDefault="00F73D14" w:rsidP="005D7BE6">
      <w:pPr>
        <w:pStyle w:val="ListParagraph"/>
        <w:numPr>
          <w:ilvl w:val="0"/>
          <w:numId w:val="12"/>
        </w:numPr>
        <w:jc w:val="both"/>
        <w:rPr>
          <w:lang w:val="en-US"/>
        </w:rPr>
      </w:pPr>
      <w:r w:rsidRPr="00F73D14">
        <w:rPr>
          <w:lang w:val="en-US"/>
        </w:rPr>
        <w:t xml:space="preserve">An </w:t>
      </w:r>
      <w:r w:rsidR="00B31DB8" w:rsidRPr="00B31DB8">
        <w:rPr>
          <w:lang w:val="en-US"/>
        </w:rPr>
        <w:t xml:space="preserve">eligible vehicle on which all axle groups meet the mass limits specified in Table 1 </w:t>
      </w:r>
      <w:r w:rsidR="00917EBB">
        <w:rPr>
          <w:lang w:val="en-US"/>
        </w:rPr>
        <w:t>may</w:t>
      </w:r>
      <w:r w:rsidR="00201DAE">
        <w:rPr>
          <w:lang w:val="en-US"/>
        </w:rPr>
        <w:t xml:space="preserve"> qualify for</w:t>
      </w:r>
      <w:r w:rsidR="00B31DB8" w:rsidRPr="00B31DB8">
        <w:rPr>
          <w:lang w:val="en-US"/>
        </w:rPr>
        <w:t xml:space="preserve"> general access subject to any further conditions in the relevant </w:t>
      </w:r>
      <w:r w:rsidR="00201DAE">
        <w:rPr>
          <w:lang w:val="en-US"/>
        </w:rPr>
        <w:t>s</w:t>
      </w:r>
      <w:r w:rsidR="00B31DB8" w:rsidRPr="00B31DB8">
        <w:rPr>
          <w:lang w:val="en-US"/>
        </w:rPr>
        <w:t xml:space="preserve">chedule for each participating </w:t>
      </w:r>
      <w:r w:rsidRPr="00F73D14">
        <w:rPr>
          <w:lang w:val="en-US"/>
        </w:rPr>
        <w:t>jurisdiction.</w:t>
      </w:r>
    </w:p>
    <w:p w14:paraId="29DE7EB1" w14:textId="77777777" w:rsidR="00F73D14" w:rsidRDefault="00F73D14" w:rsidP="00F73D14">
      <w:pPr>
        <w:pStyle w:val="ListParagraph"/>
        <w:ind w:left="1080"/>
        <w:jc w:val="both"/>
        <w:rPr>
          <w:lang w:val="en-US"/>
        </w:rPr>
      </w:pPr>
    </w:p>
    <w:p w14:paraId="71CAAD9D" w14:textId="448FC6F9" w:rsidR="00F73D14" w:rsidRPr="0025617F" w:rsidRDefault="00F73D14" w:rsidP="00F73D14">
      <w:pPr>
        <w:pStyle w:val="ListParagraph"/>
        <w:ind w:left="1080"/>
        <w:jc w:val="both"/>
        <w:rPr>
          <w:b/>
          <w:bCs/>
          <w:lang w:val="en-US"/>
        </w:rPr>
      </w:pPr>
      <w:r w:rsidRPr="0025617F">
        <w:rPr>
          <w:b/>
          <w:bCs/>
          <w:lang w:val="en-US"/>
        </w:rPr>
        <w:t>Table 1: Axle Spacing mass</w:t>
      </w:r>
      <w:r w:rsidR="00A2512E" w:rsidRPr="0025617F">
        <w:rPr>
          <w:b/>
          <w:bCs/>
          <w:lang w:val="en-US"/>
        </w:rPr>
        <w:t xml:space="preserve"> limits for general access</w:t>
      </w:r>
      <w:r w:rsidR="00D51CEE" w:rsidRPr="0025617F">
        <w:rPr>
          <w:b/>
          <w:bCs/>
          <w:lang w:val="en-US"/>
        </w:rPr>
        <w:t xml:space="preserve"> (up to 50.0t)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  <w:tblCaption w:val="Table 1: Axle Spacing mass limits for general access (up to 50.0t)"/>
        <w:tblDescription w:val="A table of axle spacing masses for eligible vehicles."/>
      </w:tblPr>
      <w:tblGrid>
        <w:gridCol w:w="1322"/>
        <w:gridCol w:w="1322"/>
        <w:gridCol w:w="1323"/>
        <w:gridCol w:w="1323"/>
        <w:gridCol w:w="1323"/>
        <w:gridCol w:w="1323"/>
      </w:tblGrid>
      <w:tr w:rsidR="0025617F" w14:paraId="74E708B9" w14:textId="77777777" w:rsidTr="0025617F">
        <w:tc>
          <w:tcPr>
            <w:tcW w:w="2644" w:type="dxa"/>
            <w:gridSpan w:val="2"/>
            <w:vAlign w:val="center"/>
          </w:tcPr>
          <w:p w14:paraId="139AF790" w14:textId="1AD0C41E" w:rsidR="0025617F" w:rsidRPr="0025617F" w:rsidRDefault="0025617F" w:rsidP="0025617F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25617F">
              <w:rPr>
                <w:b/>
                <w:bCs/>
                <w:lang w:val="en-US"/>
              </w:rPr>
              <w:t>Length of axle spacing (m)</w:t>
            </w:r>
          </w:p>
        </w:tc>
        <w:tc>
          <w:tcPr>
            <w:tcW w:w="1323" w:type="dxa"/>
            <w:vMerge w:val="restart"/>
            <w:vAlign w:val="center"/>
          </w:tcPr>
          <w:p w14:paraId="3B180ABB" w14:textId="1D486A87" w:rsidR="0025617F" w:rsidRPr="0025617F" w:rsidRDefault="0025617F" w:rsidP="0025617F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25617F">
              <w:rPr>
                <w:b/>
                <w:bCs/>
                <w:lang w:val="en-US"/>
              </w:rPr>
              <w:t>Mass Limit (t)</w:t>
            </w:r>
          </w:p>
        </w:tc>
        <w:tc>
          <w:tcPr>
            <w:tcW w:w="2646" w:type="dxa"/>
            <w:gridSpan w:val="2"/>
            <w:vAlign w:val="center"/>
          </w:tcPr>
          <w:p w14:paraId="259BB7E3" w14:textId="2D9E93FB" w:rsidR="0025617F" w:rsidRPr="0025617F" w:rsidRDefault="0025617F" w:rsidP="0025617F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25617F">
              <w:rPr>
                <w:b/>
                <w:bCs/>
                <w:lang w:val="en-US"/>
              </w:rPr>
              <w:t>Length of axle spacing (m)</w:t>
            </w:r>
          </w:p>
        </w:tc>
        <w:tc>
          <w:tcPr>
            <w:tcW w:w="1323" w:type="dxa"/>
            <w:vMerge w:val="restart"/>
            <w:vAlign w:val="center"/>
          </w:tcPr>
          <w:p w14:paraId="61EA4F09" w14:textId="6877A19D" w:rsidR="0025617F" w:rsidRPr="0025617F" w:rsidRDefault="0025617F" w:rsidP="0025617F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25617F">
              <w:rPr>
                <w:b/>
                <w:bCs/>
                <w:lang w:val="en-US"/>
              </w:rPr>
              <w:t>Mass Limit (t)</w:t>
            </w:r>
          </w:p>
        </w:tc>
      </w:tr>
      <w:tr w:rsidR="0025617F" w14:paraId="2568F99E" w14:textId="77777777" w:rsidTr="0025617F">
        <w:tc>
          <w:tcPr>
            <w:tcW w:w="1322" w:type="dxa"/>
            <w:vAlign w:val="center"/>
          </w:tcPr>
          <w:p w14:paraId="524678EF" w14:textId="25747378" w:rsidR="0025617F" w:rsidRPr="0025617F" w:rsidRDefault="0025617F" w:rsidP="0025617F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25617F">
              <w:rPr>
                <w:b/>
                <w:bCs/>
                <w:lang w:val="en-US"/>
              </w:rPr>
              <w:t>At least</w:t>
            </w:r>
          </w:p>
        </w:tc>
        <w:tc>
          <w:tcPr>
            <w:tcW w:w="1322" w:type="dxa"/>
            <w:vAlign w:val="center"/>
          </w:tcPr>
          <w:p w14:paraId="749A5910" w14:textId="2907A740" w:rsidR="0025617F" w:rsidRPr="0025617F" w:rsidRDefault="0025617F" w:rsidP="0025617F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25617F">
              <w:rPr>
                <w:b/>
                <w:bCs/>
                <w:lang w:val="en-US"/>
              </w:rPr>
              <w:t>Less than</w:t>
            </w:r>
          </w:p>
        </w:tc>
        <w:tc>
          <w:tcPr>
            <w:tcW w:w="1323" w:type="dxa"/>
            <w:vMerge/>
            <w:vAlign w:val="center"/>
          </w:tcPr>
          <w:p w14:paraId="6057BEC2" w14:textId="29087D41" w:rsidR="0025617F" w:rsidRPr="0025617F" w:rsidRDefault="0025617F" w:rsidP="0025617F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14:paraId="213E13BC" w14:textId="6D77A746" w:rsidR="0025617F" w:rsidRPr="0025617F" w:rsidRDefault="0025617F" w:rsidP="0025617F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25617F">
              <w:rPr>
                <w:b/>
                <w:bCs/>
                <w:lang w:val="en-US"/>
              </w:rPr>
              <w:t>At least</w:t>
            </w:r>
          </w:p>
        </w:tc>
        <w:tc>
          <w:tcPr>
            <w:tcW w:w="1323" w:type="dxa"/>
            <w:vAlign w:val="center"/>
          </w:tcPr>
          <w:p w14:paraId="6587E56B" w14:textId="672AB8CD" w:rsidR="0025617F" w:rsidRPr="0025617F" w:rsidRDefault="0025617F" w:rsidP="0025617F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25617F">
              <w:rPr>
                <w:b/>
                <w:bCs/>
                <w:lang w:val="en-US"/>
              </w:rPr>
              <w:t>Less than</w:t>
            </w:r>
          </w:p>
        </w:tc>
        <w:tc>
          <w:tcPr>
            <w:tcW w:w="1323" w:type="dxa"/>
            <w:vMerge/>
            <w:vAlign w:val="center"/>
          </w:tcPr>
          <w:p w14:paraId="297916B5" w14:textId="77777777" w:rsidR="0025617F" w:rsidRPr="0025617F" w:rsidRDefault="0025617F" w:rsidP="0025617F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</w:p>
        </w:tc>
      </w:tr>
      <w:tr w:rsidR="00706840" w14:paraId="25BE6FF1" w14:textId="77777777" w:rsidTr="00794492">
        <w:tc>
          <w:tcPr>
            <w:tcW w:w="1322" w:type="dxa"/>
          </w:tcPr>
          <w:p w14:paraId="7EB2039C" w14:textId="568F7588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3.5</w:t>
            </w:r>
          </w:p>
        </w:tc>
        <w:tc>
          <w:tcPr>
            <w:tcW w:w="1322" w:type="dxa"/>
          </w:tcPr>
          <w:p w14:paraId="0E416F09" w14:textId="4FBECBF5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3.7</w:t>
            </w:r>
          </w:p>
        </w:tc>
        <w:tc>
          <w:tcPr>
            <w:tcW w:w="1323" w:type="dxa"/>
          </w:tcPr>
          <w:p w14:paraId="7F4D6D61" w14:textId="441438C2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23.0</w:t>
            </w:r>
          </w:p>
        </w:tc>
        <w:tc>
          <w:tcPr>
            <w:tcW w:w="1323" w:type="dxa"/>
          </w:tcPr>
          <w:p w14:paraId="586A1C85" w14:textId="083E17F2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8.2</w:t>
            </w:r>
          </w:p>
        </w:tc>
        <w:tc>
          <w:tcPr>
            <w:tcW w:w="1323" w:type="dxa"/>
          </w:tcPr>
          <w:p w14:paraId="79D504F0" w14:textId="3C5BC207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8.3</w:t>
            </w:r>
          </w:p>
        </w:tc>
        <w:tc>
          <w:tcPr>
            <w:tcW w:w="1323" w:type="dxa"/>
          </w:tcPr>
          <w:p w14:paraId="7C2B573B" w14:textId="7BE00858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37.0</w:t>
            </w:r>
          </w:p>
        </w:tc>
      </w:tr>
      <w:tr w:rsidR="00706840" w14:paraId="115050B4" w14:textId="77777777" w:rsidTr="00794492">
        <w:tc>
          <w:tcPr>
            <w:tcW w:w="1322" w:type="dxa"/>
          </w:tcPr>
          <w:p w14:paraId="15D92D9F" w14:textId="589CC769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3.7</w:t>
            </w:r>
          </w:p>
        </w:tc>
        <w:tc>
          <w:tcPr>
            <w:tcW w:w="1322" w:type="dxa"/>
          </w:tcPr>
          <w:p w14:paraId="47B7E1A9" w14:textId="65A34B1F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3.8</w:t>
            </w:r>
          </w:p>
        </w:tc>
        <w:tc>
          <w:tcPr>
            <w:tcW w:w="1323" w:type="dxa"/>
          </w:tcPr>
          <w:p w14:paraId="7458F35F" w14:textId="56D251F4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23.5</w:t>
            </w:r>
          </w:p>
        </w:tc>
        <w:tc>
          <w:tcPr>
            <w:tcW w:w="1323" w:type="dxa"/>
          </w:tcPr>
          <w:p w14:paraId="137D81B2" w14:textId="5129511E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8.3</w:t>
            </w:r>
          </w:p>
        </w:tc>
        <w:tc>
          <w:tcPr>
            <w:tcW w:w="1323" w:type="dxa"/>
          </w:tcPr>
          <w:p w14:paraId="50E538A5" w14:textId="272F4A5B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8.5</w:t>
            </w:r>
          </w:p>
        </w:tc>
        <w:tc>
          <w:tcPr>
            <w:tcW w:w="1323" w:type="dxa"/>
          </w:tcPr>
          <w:p w14:paraId="04BAE783" w14:textId="5CAD012B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37.5</w:t>
            </w:r>
          </w:p>
        </w:tc>
      </w:tr>
      <w:tr w:rsidR="00706840" w14:paraId="690102F3" w14:textId="77777777" w:rsidTr="00794492">
        <w:tc>
          <w:tcPr>
            <w:tcW w:w="1322" w:type="dxa"/>
          </w:tcPr>
          <w:p w14:paraId="5134C123" w14:textId="119ADB4B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3.8</w:t>
            </w:r>
          </w:p>
        </w:tc>
        <w:tc>
          <w:tcPr>
            <w:tcW w:w="1322" w:type="dxa"/>
          </w:tcPr>
          <w:p w14:paraId="6FE23AF2" w14:textId="4485CB4A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4.0</w:t>
            </w:r>
          </w:p>
        </w:tc>
        <w:tc>
          <w:tcPr>
            <w:tcW w:w="1323" w:type="dxa"/>
          </w:tcPr>
          <w:p w14:paraId="54FC50F2" w14:textId="5D9ED18F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24.0</w:t>
            </w:r>
          </w:p>
        </w:tc>
        <w:tc>
          <w:tcPr>
            <w:tcW w:w="1323" w:type="dxa"/>
          </w:tcPr>
          <w:p w14:paraId="6EBA37A4" w14:textId="3919BA33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8.5</w:t>
            </w:r>
          </w:p>
        </w:tc>
        <w:tc>
          <w:tcPr>
            <w:tcW w:w="1323" w:type="dxa"/>
          </w:tcPr>
          <w:p w14:paraId="78F585B6" w14:textId="5C44474B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8.7</w:t>
            </w:r>
          </w:p>
        </w:tc>
        <w:tc>
          <w:tcPr>
            <w:tcW w:w="1323" w:type="dxa"/>
          </w:tcPr>
          <w:p w14:paraId="7E17901F" w14:textId="7412A95B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38.0</w:t>
            </w:r>
          </w:p>
        </w:tc>
      </w:tr>
      <w:tr w:rsidR="00706840" w14:paraId="52AAAFAF" w14:textId="77777777" w:rsidTr="00794492">
        <w:tc>
          <w:tcPr>
            <w:tcW w:w="1322" w:type="dxa"/>
          </w:tcPr>
          <w:p w14:paraId="66DB10B2" w14:textId="7CDB7F0B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4.0</w:t>
            </w:r>
          </w:p>
        </w:tc>
        <w:tc>
          <w:tcPr>
            <w:tcW w:w="1322" w:type="dxa"/>
          </w:tcPr>
          <w:p w14:paraId="7D1C767E" w14:textId="5BD4A65B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4.2</w:t>
            </w:r>
          </w:p>
        </w:tc>
        <w:tc>
          <w:tcPr>
            <w:tcW w:w="1323" w:type="dxa"/>
          </w:tcPr>
          <w:p w14:paraId="47FACD50" w14:textId="30DA4593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24.5</w:t>
            </w:r>
          </w:p>
        </w:tc>
        <w:tc>
          <w:tcPr>
            <w:tcW w:w="1323" w:type="dxa"/>
          </w:tcPr>
          <w:p w14:paraId="7BA3548B" w14:textId="2B090940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8.7</w:t>
            </w:r>
          </w:p>
        </w:tc>
        <w:tc>
          <w:tcPr>
            <w:tcW w:w="1323" w:type="dxa"/>
          </w:tcPr>
          <w:p w14:paraId="43EF5A92" w14:textId="426FF7F7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8.8</w:t>
            </w:r>
          </w:p>
        </w:tc>
        <w:tc>
          <w:tcPr>
            <w:tcW w:w="1323" w:type="dxa"/>
          </w:tcPr>
          <w:p w14:paraId="50727977" w14:textId="0AF806FE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38.5</w:t>
            </w:r>
          </w:p>
        </w:tc>
      </w:tr>
      <w:tr w:rsidR="00706840" w14:paraId="280EE3F7" w14:textId="77777777" w:rsidTr="00794492">
        <w:tc>
          <w:tcPr>
            <w:tcW w:w="1322" w:type="dxa"/>
          </w:tcPr>
          <w:p w14:paraId="7922A42A" w14:textId="0BA5CF0C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4.2</w:t>
            </w:r>
          </w:p>
        </w:tc>
        <w:tc>
          <w:tcPr>
            <w:tcW w:w="1322" w:type="dxa"/>
          </w:tcPr>
          <w:p w14:paraId="4100C60F" w14:textId="07FECE0C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4.3</w:t>
            </w:r>
          </w:p>
        </w:tc>
        <w:tc>
          <w:tcPr>
            <w:tcW w:w="1323" w:type="dxa"/>
          </w:tcPr>
          <w:p w14:paraId="55BB0F61" w14:textId="40ABDE16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25.0</w:t>
            </w:r>
          </w:p>
        </w:tc>
        <w:tc>
          <w:tcPr>
            <w:tcW w:w="1323" w:type="dxa"/>
          </w:tcPr>
          <w:p w14:paraId="0449E597" w14:textId="14B4A41C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8.8</w:t>
            </w:r>
          </w:p>
        </w:tc>
        <w:tc>
          <w:tcPr>
            <w:tcW w:w="1323" w:type="dxa"/>
          </w:tcPr>
          <w:p w14:paraId="21F9942B" w14:textId="5C8891E6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9.0</w:t>
            </w:r>
          </w:p>
        </w:tc>
        <w:tc>
          <w:tcPr>
            <w:tcW w:w="1323" w:type="dxa"/>
          </w:tcPr>
          <w:p w14:paraId="7EB605F1" w14:textId="6830E65C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39.0</w:t>
            </w:r>
          </w:p>
        </w:tc>
      </w:tr>
      <w:tr w:rsidR="00706840" w14:paraId="4A9DAD69" w14:textId="77777777" w:rsidTr="00794492">
        <w:tc>
          <w:tcPr>
            <w:tcW w:w="1322" w:type="dxa"/>
          </w:tcPr>
          <w:p w14:paraId="5E4C467B" w14:textId="7304B12F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4.3</w:t>
            </w:r>
          </w:p>
        </w:tc>
        <w:tc>
          <w:tcPr>
            <w:tcW w:w="1322" w:type="dxa"/>
          </w:tcPr>
          <w:p w14:paraId="2F38CF07" w14:textId="553365CB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4.5</w:t>
            </w:r>
          </w:p>
        </w:tc>
        <w:tc>
          <w:tcPr>
            <w:tcW w:w="1323" w:type="dxa"/>
          </w:tcPr>
          <w:p w14:paraId="316AFA10" w14:textId="1C73C8FD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25.5</w:t>
            </w:r>
          </w:p>
        </w:tc>
        <w:tc>
          <w:tcPr>
            <w:tcW w:w="1323" w:type="dxa"/>
          </w:tcPr>
          <w:p w14:paraId="70080C54" w14:textId="71088110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9.0</w:t>
            </w:r>
          </w:p>
        </w:tc>
        <w:tc>
          <w:tcPr>
            <w:tcW w:w="1323" w:type="dxa"/>
          </w:tcPr>
          <w:p w14:paraId="7FCDEE85" w14:textId="7E521638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9.2</w:t>
            </w:r>
          </w:p>
        </w:tc>
        <w:tc>
          <w:tcPr>
            <w:tcW w:w="1323" w:type="dxa"/>
          </w:tcPr>
          <w:p w14:paraId="1A4455D6" w14:textId="37023815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39.5</w:t>
            </w:r>
          </w:p>
        </w:tc>
      </w:tr>
      <w:tr w:rsidR="00706840" w14:paraId="590AF09E" w14:textId="77777777" w:rsidTr="00794492">
        <w:tc>
          <w:tcPr>
            <w:tcW w:w="1322" w:type="dxa"/>
          </w:tcPr>
          <w:p w14:paraId="1E12779A" w14:textId="160E5043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4.5</w:t>
            </w:r>
          </w:p>
        </w:tc>
        <w:tc>
          <w:tcPr>
            <w:tcW w:w="1322" w:type="dxa"/>
          </w:tcPr>
          <w:p w14:paraId="45831C59" w14:textId="2FD508DE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4.7</w:t>
            </w:r>
          </w:p>
        </w:tc>
        <w:tc>
          <w:tcPr>
            <w:tcW w:w="1323" w:type="dxa"/>
          </w:tcPr>
          <w:p w14:paraId="51E34E29" w14:textId="20F240F8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26.0</w:t>
            </w:r>
          </w:p>
        </w:tc>
        <w:tc>
          <w:tcPr>
            <w:tcW w:w="1323" w:type="dxa"/>
          </w:tcPr>
          <w:p w14:paraId="183A4DD8" w14:textId="6E4C3A2C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9.2</w:t>
            </w:r>
          </w:p>
        </w:tc>
        <w:tc>
          <w:tcPr>
            <w:tcW w:w="1323" w:type="dxa"/>
          </w:tcPr>
          <w:p w14:paraId="0FC90DDF" w14:textId="2E2B513D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9.3</w:t>
            </w:r>
          </w:p>
        </w:tc>
        <w:tc>
          <w:tcPr>
            <w:tcW w:w="1323" w:type="dxa"/>
          </w:tcPr>
          <w:p w14:paraId="2F25D28B" w14:textId="6B2E3D3E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40.0</w:t>
            </w:r>
          </w:p>
        </w:tc>
      </w:tr>
      <w:tr w:rsidR="00706840" w14:paraId="7632E0B0" w14:textId="77777777" w:rsidTr="00794492">
        <w:tc>
          <w:tcPr>
            <w:tcW w:w="1322" w:type="dxa"/>
          </w:tcPr>
          <w:p w14:paraId="4B76D395" w14:textId="3E29DB4E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4.7</w:t>
            </w:r>
          </w:p>
        </w:tc>
        <w:tc>
          <w:tcPr>
            <w:tcW w:w="1322" w:type="dxa"/>
          </w:tcPr>
          <w:p w14:paraId="289FE4B4" w14:textId="1AC20A9C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4.8</w:t>
            </w:r>
          </w:p>
        </w:tc>
        <w:tc>
          <w:tcPr>
            <w:tcW w:w="1323" w:type="dxa"/>
          </w:tcPr>
          <w:p w14:paraId="1915A49C" w14:textId="08B32045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26.5</w:t>
            </w:r>
          </w:p>
        </w:tc>
        <w:tc>
          <w:tcPr>
            <w:tcW w:w="1323" w:type="dxa"/>
          </w:tcPr>
          <w:p w14:paraId="6E58B8A1" w14:textId="7D609175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9.3</w:t>
            </w:r>
          </w:p>
        </w:tc>
        <w:tc>
          <w:tcPr>
            <w:tcW w:w="1323" w:type="dxa"/>
          </w:tcPr>
          <w:p w14:paraId="5CAFEF06" w14:textId="4ED86468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9.5</w:t>
            </w:r>
          </w:p>
        </w:tc>
        <w:tc>
          <w:tcPr>
            <w:tcW w:w="1323" w:type="dxa"/>
          </w:tcPr>
          <w:p w14:paraId="6471A0CE" w14:textId="67F05587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40.5</w:t>
            </w:r>
          </w:p>
        </w:tc>
      </w:tr>
      <w:tr w:rsidR="00706840" w14:paraId="08A5CC5B" w14:textId="77777777" w:rsidTr="00794492">
        <w:tc>
          <w:tcPr>
            <w:tcW w:w="1322" w:type="dxa"/>
          </w:tcPr>
          <w:p w14:paraId="5EB62A09" w14:textId="66CF0551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4.8</w:t>
            </w:r>
          </w:p>
        </w:tc>
        <w:tc>
          <w:tcPr>
            <w:tcW w:w="1322" w:type="dxa"/>
          </w:tcPr>
          <w:p w14:paraId="0D7787FE" w14:textId="211DD3F9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5.0</w:t>
            </w:r>
          </w:p>
        </w:tc>
        <w:tc>
          <w:tcPr>
            <w:tcW w:w="1323" w:type="dxa"/>
          </w:tcPr>
          <w:p w14:paraId="3DA8E441" w14:textId="5AE9B70E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27.0</w:t>
            </w:r>
          </w:p>
        </w:tc>
        <w:tc>
          <w:tcPr>
            <w:tcW w:w="1323" w:type="dxa"/>
          </w:tcPr>
          <w:p w14:paraId="1349684F" w14:textId="7CB92FDC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9.5</w:t>
            </w:r>
          </w:p>
        </w:tc>
        <w:tc>
          <w:tcPr>
            <w:tcW w:w="1323" w:type="dxa"/>
          </w:tcPr>
          <w:p w14:paraId="02335840" w14:textId="5E90BC0D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9.7</w:t>
            </w:r>
          </w:p>
        </w:tc>
        <w:tc>
          <w:tcPr>
            <w:tcW w:w="1323" w:type="dxa"/>
          </w:tcPr>
          <w:p w14:paraId="06CD2F8C" w14:textId="0A0E0C5D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41.0</w:t>
            </w:r>
          </w:p>
        </w:tc>
      </w:tr>
      <w:tr w:rsidR="00706840" w14:paraId="25E4C580" w14:textId="77777777" w:rsidTr="00794492">
        <w:tc>
          <w:tcPr>
            <w:tcW w:w="1322" w:type="dxa"/>
          </w:tcPr>
          <w:p w14:paraId="6C86D179" w14:textId="2F0BE74B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5.0</w:t>
            </w:r>
          </w:p>
        </w:tc>
        <w:tc>
          <w:tcPr>
            <w:tcW w:w="1322" w:type="dxa"/>
          </w:tcPr>
          <w:p w14:paraId="0B1F11EF" w14:textId="1059AE02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5.2</w:t>
            </w:r>
          </w:p>
        </w:tc>
        <w:tc>
          <w:tcPr>
            <w:tcW w:w="1323" w:type="dxa"/>
          </w:tcPr>
          <w:p w14:paraId="41FFC4C8" w14:textId="53207292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27.5</w:t>
            </w:r>
          </w:p>
        </w:tc>
        <w:tc>
          <w:tcPr>
            <w:tcW w:w="1323" w:type="dxa"/>
          </w:tcPr>
          <w:p w14:paraId="0C2D0706" w14:textId="676DFC96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9.7</w:t>
            </w:r>
          </w:p>
        </w:tc>
        <w:tc>
          <w:tcPr>
            <w:tcW w:w="1323" w:type="dxa"/>
          </w:tcPr>
          <w:p w14:paraId="367326E7" w14:textId="718B297E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9.8</w:t>
            </w:r>
          </w:p>
        </w:tc>
        <w:tc>
          <w:tcPr>
            <w:tcW w:w="1323" w:type="dxa"/>
          </w:tcPr>
          <w:p w14:paraId="7AA84ED2" w14:textId="57FD09F9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41.5</w:t>
            </w:r>
          </w:p>
        </w:tc>
      </w:tr>
      <w:tr w:rsidR="00706840" w14:paraId="4D0F4EAC" w14:textId="77777777" w:rsidTr="00794492">
        <w:tc>
          <w:tcPr>
            <w:tcW w:w="1322" w:type="dxa"/>
          </w:tcPr>
          <w:p w14:paraId="4A29B120" w14:textId="76B4ED2D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5.2</w:t>
            </w:r>
          </w:p>
        </w:tc>
        <w:tc>
          <w:tcPr>
            <w:tcW w:w="1322" w:type="dxa"/>
          </w:tcPr>
          <w:p w14:paraId="3C7CE6DA" w14:textId="5B753F31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5.3</w:t>
            </w:r>
          </w:p>
        </w:tc>
        <w:tc>
          <w:tcPr>
            <w:tcW w:w="1323" w:type="dxa"/>
          </w:tcPr>
          <w:p w14:paraId="1EB104F3" w14:textId="1ED826C1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28.0</w:t>
            </w:r>
          </w:p>
        </w:tc>
        <w:tc>
          <w:tcPr>
            <w:tcW w:w="1323" w:type="dxa"/>
          </w:tcPr>
          <w:p w14:paraId="0817AA42" w14:textId="017FF577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9.8</w:t>
            </w:r>
          </w:p>
        </w:tc>
        <w:tc>
          <w:tcPr>
            <w:tcW w:w="1323" w:type="dxa"/>
          </w:tcPr>
          <w:p w14:paraId="0EEB6080" w14:textId="02C3C0C3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10.0</w:t>
            </w:r>
          </w:p>
        </w:tc>
        <w:tc>
          <w:tcPr>
            <w:tcW w:w="1323" w:type="dxa"/>
          </w:tcPr>
          <w:p w14:paraId="76E1BCA7" w14:textId="21748C85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42.0</w:t>
            </w:r>
          </w:p>
        </w:tc>
      </w:tr>
      <w:tr w:rsidR="00706840" w14:paraId="3A369C7D" w14:textId="77777777" w:rsidTr="00794492">
        <w:tc>
          <w:tcPr>
            <w:tcW w:w="1322" w:type="dxa"/>
          </w:tcPr>
          <w:p w14:paraId="1CEE9708" w14:textId="15FBDBC0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5.3</w:t>
            </w:r>
          </w:p>
        </w:tc>
        <w:tc>
          <w:tcPr>
            <w:tcW w:w="1322" w:type="dxa"/>
          </w:tcPr>
          <w:p w14:paraId="0824DCCF" w14:textId="3C062B0B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5.5</w:t>
            </w:r>
          </w:p>
        </w:tc>
        <w:tc>
          <w:tcPr>
            <w:tcW w:w="1323" w:type="dxa"/>
          </w:tcPr>
          <w:p w14:paraId="0937AEF2" w14:textId="65537A2D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28.5</w:t>
            </w:r>
          </w:p>
        </w:tc>
        <w:tc>
          <w:tcPr>
            <w:tcW w:w="1323" w:type="dxa"/>
          </w:tcPr>
          <w:p w14:paraId="383F20CD" w14:textId="24F88A15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10.0</w:t>
            </w:r>
          </w:p>
        </w:tc>
        <w:tc>
          <w:tcPr>
            <w:tcW w:w="1323" w:type="dxa"/>
          </w:tcPr>
          <w:p w14:paraId="68DA3CB9" w14:textId="2AC6A13A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10.5</w:t>
            </w:r>
          </w:p>
        </w:tc>
        <w:tc>
          <w:tcPr>
            <w:tcW w:w="1323" w:type="dxa"/>
          </w:tcPr>
          <w:p w14:paraId="175886C3" w14:textId="0F3F95D9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42.5</w:t>
            </w:r>
          </w:p>
        </w:tc>
      </w:tr>
      <w:tr w:rsidR="00706840" w14:paraId="35460394" w14:textId="77777777" w:rsidTr="00794492">
        <w:tc>
          <w:tcPr>
            <w:tcW w:w="1322" w:type="dxa"/>
          </w:tcPr>
          <w:p w14:paraId="1C506BD3" w14:textId="7A2A06B9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5.5</w:t>
            </w:r>
          </w:p>
        </w:tc>
        <w:tc>
          <w:tcPr>
            <w:tcW w:w="1322" w:type="dxa"/>
          </w:tcPr>
          <w:p w14:paraId="54454881" w14:textId="53AE2295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5.7</w:t>
            </w:r>
          </w:p>
        </w:tc>
        <w:tc>
          <w:tcPr>
            <w:tcW w:w="1323" w:type="dxa"/>
          </w:tcPr>
          <w:p w14:paraId="00FB6851" w14:textId="4E82F5CD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29.0</w:t>
            </w:r>
          </w:p>
        </w:tc>
        <w:tc>
          <w:tcPr>
            <w:tcW w:w="1323" w:type="dxa"/>
          </w:tcPr>
          <w:p w14:paraId="47DD8AAC" w14:textId="6DD615C7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10.5</w:t>
            </w:r>
          </w:p>
        </w:tc>
        <w:tc>
          <w:tcPr>
            <w:tcW w:w="1323" w:type="dxa"/>
          </w:tcPr>
          <w:p w14:paraId="191DB883" w14:textId="2124043E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11.0</w:t>
            </w:r>
          </w:p>
        </w:tc>
        <w:tc>
          <w:tcPr>
            <w:tcW w:w="1323" w:type="dxa"/>
          </w:tcPr>
          <w:p w14:paraId="243C383B" w14:textId="15645CE8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43.0</w:t>
            </w:r>
          </w:p>
        </w:tc>
      </w:tr>
      <w:tr w:rsidR="00706840" w14:paraId="2CDA8DA2" w14:textId="77777777" w:rsidTr="00794492">
        <w:tc>
          <w:tcPr>
            <w:tcW w:w="1322" w:type="dxa"/>
          </w:tcPr>
          <w:p w14:paraId="65E433FD" w14:textId="3950ED54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5.7</w:t>
            </w:r>
          </w:p>
        </w:tc>
        <w:tc>
          <w:tcPr>
            <w:tcW w:w="1322" w:type="dxa"/>
          </w:tcPr>
          <w:p w14:paraId="7EAB70CF" w14:textId="5A7182F2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5.8</w:t>
            </w:r>
          </w:p>
        </w:tc>
        <w:tc>
          <w:tcPr>
            <w:tcW w:w="1323" w:type="dxa"/>
          </w:tcPr>
          <w:p w14:paraId="1213B7BA" w14:textId="111C9111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29.5</w:t>
            </w:r>
          </w:p>
        </w:tc>
        <w:tc>
          <w:tcPr>
            <w:tcW w:w="1323" w:type="dxa"/>
          </w:tcPr>
          <w:p w14:paraId="197C1E3C" w14:textId="490E69F1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11.0</w:t>
            </w:r>
          </w:p>
        </w:tc>
        <w:tc>
          <w:tcPr>
            <w:tcW w:w="1323" w:type="dxa"/>
          </w:tcPr>
          <w:p w14:paraId="49A09819" w14:textId="7DC384A7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11.5</w:t>
            </w:r>
          </w:p>
        </w:tc>
        <w:tc>
          <w:tcPr>
            <w:tcW w:w="1323" w:type="dxa"/>
          </w:tcPr>
          <w:p w14:paraId="30F7C8AE" w14:textId="464CF72A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43.5</w:t>
            </w:r>
          </w:p>
        </w:tc>
      </w:tr>
      <w:tr w:rsidR="00706840" w14:paraId="651DB54F" w14:textId="77777777" w:rsidTr="00794492">
        <w:tc>
          <w:tcPr>
            <w:tcW w:w="1322" w:type="dxa"/>
          </w:tcPr>
          <w:p w14:paraId="104D9696" w14:textId="70AD8EBF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5.8</w:t>
            </w:r>
          </w:p>
        </w:tc>
        <w:tc>
          <w:tcPr>
            <w:tcW w:w="1322" w:type="dxa"/>
          </w:tcPr>
          <w:p w14:paraId="0B96A9CC" w14:textId="4FB96F6E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6.0</w:t>
            </w:r>
          </w:p>
        </w:tc>
        <w:tc>
          <w:tcPr>
            <w:tcW w:w="1323" w:type="dxa"/>
          </w:tcPr>
          <w:p w14:paraId="2DFCBE84" w14:textId="0FF5F99E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30.0</w:t>
            </w:r>
          </w:p>
        </w:tc>
        <w:tc>
          <w:tcPr>
            <w:tcW w:w="1323" w:type="dxa"/>
          </w:tcPr>
          <w:p w14:paraId="5425ABC3" w14:textId="49032156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11.5</w:t>
            </w:r>
          </w:p>
        </w:tc>
        <w:tc>
          <w:tcPr>
            <w:tcW w:w="1323" w:type="dxa"/>
          </w:tcPr>
          <w:p w14:paraId="443B4190" w14:textId="50C4FB78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12.0</w:t>
            </w:r>
          </w:p>
        </w:tc>
        <w:tc>
          <w:tcPr>
            <w:tcW w:w="1323" w:type="dxa"/>
          </w:tcPr>
          <w:p w14:paraId="304F1678" w14:textId="11B2D9A8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44.0</w:t>
            </w:r>
          </w:p>
        </w:tc>
      </w:tr>
      <w:tr w:rsidR="00706840" w14:paraId="0FE31D8A" w14:textId="77777777" w:rsidTr="00794492">
        <w:tc>
          <w:tcPr>
            <w:tcW w:w="1322" w:type="dxa"/>
          </w:tcPr>
          <w:p w14:paraId="001CDBD5" w14:textId="4D4A306B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6.0</w:t>
            </w:r>
          </w:p>
        </w:tc>
        <w:tc>
          <w:tcPr>
            <w:tcW w:w="1322" w:type="dxa"/>
          </w:tcPr>
          <w:p w14:paraId="6E2A393E" w14:textId="17F4AFEC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6.2</w:t>
            </w:r>
          </w:p>
        </w:tc>
        <w:tc>
          <w:tcPr>
            <w:tcW w:w="1323" w:type="dxa"/>
          </w:tcPr>
          <w:p w14:paraId="64E2E893" w14:textId="6A75DDF7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30.5</w:t>
            </w:r>
          </w:p>
        </w:tc>
        <w:tc>
          <w:tcPr>
            <w:tcW w:w="1323" w:type="dxa"/>
          </w:tcPr>
          <w:p w14:paraId="70012A96" w14:textId="1822B178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12.0</w:t>
            </w:r>
          </w:p>
        </w:tc>
        <w:tc>
          <w:tcPr>
            <w:tcW w:w="1323" w:type="dxa"/>
          </w:tcPr>
          <w:p w14:paraId="77CBBEDD" w14:textId="2FF00DBA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12.5</w:t>
            </w:r>
          </w:p>
        </w:tc>
        <w:tc>
          <w:tcPr>
            <w:tcW w:w="1323" w:type="dxa"/>
          </w:tcPr>
          <w:p w14:paraId="5E662695" w14:textId="1554BBE1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44.5</w:t>
            </w:r>
          </w:p>
        </w:tc>
      </w:tr>
      <w:tr w:rsidR="00706840" w14:paraId="2AFAF7B0" w14:textId="77777777" w:rsidTr="00794492">
        <w:tc>
          <w:tcPr>
            <w:tcW w:w="1322" w:type="dxa"/>
          </w:tcPr>
          <w:p w14:paraId="42BEFE4D" w14:textId="32305C9A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6.2</w:t>
            </w:r>
          </w:p>
        </w:tc>
        <w:tc>
          <w:tcPr>
            <w:tcW w:w="1322" w:type="dxa"/>
          </w:tcPr>
          <w:p w14:paraId="342EA0D2" w14:textId="210DA5DC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6.3</w:t>
            </w:r>
          </w:p>
        </w:tc>
        <w:tc>
          <w:tcPr>
            <w:tcW w:w="1323" w:type="dxa"/>
          </w:tcPr>
          <w:p w14:paraId="7BDC71C0" w14:textId="46D13614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31.0</w:t>
            </w:r>
          </w:p>
        </w:tc>
        <w:tc>
          <w:tcPr>
            <w:tcW w:w="1323" w:type="dxa"/>
          </w:tcPr>
          <w:p w14:paraId="5304CE4E" w14:textId="05FEF82D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12.5</w:t>
            </w:r>
          </w:p>
        </w:tc>
        <w:tc>
          <w:tcPr>
            <w:tcW w:w="1323" w:type="dxa"/>
          </w:tcPr>
          <w:p w14:paraId="7A6B7467" w14:textId="274B57F6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13.0</w:t>
            </w:r>
          </w:p>
        </w:tc>
        <w:tc>
          <w:tcPr>
            <w:tcW w:w="1323" w:type="dxa"/>
          </w:tcPr>
          <w:p w14:paraId="075D8D1B" w14:textId="6EB862E7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45.0</w:t>
            </w:r>
          </w:p>
        </w:tc>
      </w:tr>
      <w:tr w:rsidR="00706840" w14:paraId="07158EDD" w14:textId="77777777" w:rsidTr="00794492">
        <w:tc>
          <w:tcPr>
            <w:tcW w:w="1322" w:type="dxa"/>
          </w:tcPr>
          <w:p w14:paraId="56C89975" w14:textId="045D50B9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6.3</w:t>
            </w:r>
          </w:p>
        </w:tc>
        <w:tc>
          <w:tcPr>
            <w:tcW w:w="1322" w:type="dxa"/>
          </w:tcPr>
          <w:p w14:paraId="68B3EF06" w14:textId="23A0BA72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6.5</w:t>
            </w:r>
          </w:p>
        </w:tc>
        <w:tc>
          <w:tcPr>
            <w:tcW w:w="1323" w:type="dxa"/>
          </w:tcPr>
          <w:p w14:paraId="59E5AAFF" w14:textId="631485F0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31.5</w:t>
            </w:r>
          </w:p>
        </w:tc>
        <w:tc>
          <w:tcPr>
            <w:tcW w:w="1323" w:type="dxa"/>
          </w:tcPr>
          <w:p w14:paraId="5ADDCF1A" w14:textId="218396F0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13.0</w:t>
            </w:r>
          </w:p>
        </w:tc>
        <w:tc>
          <w:tcPr>
            <w:tcW w:w="1323" w:type="dxa"/>
          </w:tcPr>
          <w:p w14:paraId="0A5F09D1" w14:textId="107A4579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13.5</w:t>
            </w:r>
          </w:p>
        </w:tc>
        <w:tc>
          <w:tcPr>
            <w:tcW w:w="1323" w:type="dxa"/>
          </w:tcPr>
          <w:p w14:paraId="7B084394" w14:textId="32B732A7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45.5</w:t>
            </w:r>
          </w:p>
        </w:tc>
      </w:tr>
      <w:tr w:rsidR="00706840" w14:paraId="637BABD7" w14:textId="77777777" w:rsidTr="00794492">
        <w:tc>
          <w:tcPr>
            <w:tcW w:w="1322" w:type="dxa"/>
          </w:tcPr>
          <w:p w14:paraId="75E687E7" w14:textId="0AEE7558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6.5</w:t>
            </w:r>
          </w:p>
        </w:tc>
        <w:tc>
          <w:tcPr>
            <w:tcW w:w="1322" w:type="dxa"/>
          </w:tcPr>
          <w:p w14:paraId="27F88E5F" w14:textId="681D72DD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6.7</w:t>
            </w:r>
          </w:p>
        </w:tc>
        <w:tc>
          <w:tcPr>
            <w:tcW w:w="1323" w:type="dxa"/>
          </w:tcPr>
          <w:p w14:paraId="057AAA42" w14:textId="25633EE0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32.0</w:t>
            </w:r>
          </w:p>
        </w:tc>
        <w:tc>
          <w:tcPr>
            <w:tcW w:w="1323" w:type="dxa"/>
          </w:tcPr>
          <w:p w14:paraId="4DE24DFD" w14:textId="50423EB1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13.5</w:t>
            </w:r>
          </w:p>
        </w:tc>
        <w:tc>
          <w:tcPr>
            <w:tcW w:w="1323" w:type="dxa"/>
          </w:tcPr>
          <w:p w14:paraId="7DD6BC99" w14:textId="3DC7E2E9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14.0</w:t>
            </w:r>
          </w:p>
        </w:tc>
        <w:tc>
          <w:tcPr>
            <w:tcW w:w="1323" w:type="dxa"/>
          </w:tcPr>
          <w:p w14:paraId="320E23AF" w14:textId="391EF886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46.0</w:t>
            </w:r>
          </w:p>
        </w:tc>
      </w:tr>
      <w:tr w:rsidR="00706840" w14:paraId="6CEFB47B" w14:textId="77777777" w:rsidTr="00794492">
        <w:tc>
          <w:tcPr>
            <w:tcW w:w="1322" w:type="dxa"/>
          </w:tcPr>
          <w:p w14:paraId="4492E58D" w14:textId="791863EB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6.7</w:t>
            </w:r>
          </w:p>
        </w:tc>
        <w:tc>
          <w:tcPr>
            <w:tcW w:w="1322" w:type="dxa"/>
          </w:tcPr>
          <w:p w14:paraId="527D2385" w14:textId="4CCC851D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6.8</w:t>
            </w:r>
          </w:p>
        </w:tc>
        <w:tc>
          <w:tcPr>
            <w:tcW w:w="1323" w:type="dxa"/>
          </w:tcPr>
          <w:p w14:paraId="25C8823B" w14:textId="6B6FE66C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32.5</w:t>
            </w:r>
          </w:p>
        </w:tc>
        <w:tc>
          <w:tcPr>
            <w:tcW w:w="1323" w:type="dxa"/>
          </w:tcPr>
          <w:p w14:paraId="1838CDE7" w14:textId="186BED69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14.0</w:t>
            </w:r>
          </w:p>
        </w:tc>
        <w:tc>
          <w:tcPr>
            <w:tcW w:w="1323" w:type="dxa"/>
          </w:tcPr>
          <w:p w14:paraId="563FE0CC" w14:textId="3858E813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14.5</w:t>
            </w:r>
          </w:p>
        </w:tc>
        <w:tc>
          <w:tcPr>
            <w:tcW w:w="1323" w:type="dxa"/>
          </w:tcPr>
          <w:p w14:paraId="6B9FCFB1" w14:textId="74310DEF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46.5</w:t>
            </w:r>
          </w:p>
        </w:tc>
      </w:tr>
      <w:tr w:rsidR="00706840" w14:paraId="7DBE9D48" w14:textId="77777777" w:rsidTr="00794492">
        <w:tc>
          <w:tcPr>
            <w:tcW w:w="1322" w:type="dxa"/>
          </w:tcPr>
          <w:p w14:paraId="50A5350C" w14:textId="37BE1BFE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6.8</w:t>
            </w:r>
          </w:p>
        </w:tc>
        <w:tc>
          <w:tcPr>
            <w:tcW w:w="1322" w:type="dxa"/>
          </w:tcPr>
          <w:p w14:paraId="6CF0E240" w14:textId="5D1B9AE6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7.0</w:t>
            </w:r>
          </w:p>
        </w:tc>
        <w:tc>
          <w:tcPr>
            <w:tcW w:w="1323" w:type="dxa"/>
          </w:tcPr>
          <w:p w14:paraId="7024A9BB" w14:textId="3EE7AF47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33.0</w:t>
            </w:r>
          </w:p>
        </w:tc>
        <w:tc>
          <w:tcPr>
            <w:tcW w:w="1323" w:type="dxa"/>
          </w:tcPr>
          <w:p w14:paraId="49906E22" w14:textId="7F7F9834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14.5</w:t>
            </w:r>
          </w:p>
        </w:tc>
        <w:tc>
          <w:tcPr>
            <w:tcW w:w="1323" w:type="dxa"/>
          </w:tcPr>
          <w:p w14:paraId="44DDEA4A" w14:textId="45CBFC2A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15.0</w:t>
            </w:r>
          </w:p>
        </w:tc>
        <w:tc>
          <w:tcPr>
            <w:tcW w:w="1323" w:type="dxa"/>
          </w:tcPr>
          <w:p w14:paraId="1071EDDB" w14:textId="18F08130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47.0</w:t>
            </w:r>
          </w:p>
        </w:tc>
      </w:tr>
      <w:tr w:rsidR="00706840" w14:paraId="75D6C30F" w14:textId="77777777" w:rsidTr="00794492">
        <w:tc>
          <w:tcPr>
            <w:tcW w:w="1322" w:type="dxa"/>
          </w:tcPr>
          <w:p w14:paraId="043B29EB" w14:textId="1344AF3A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7.0</w:t>
            </w:r>
          </w:p>
        </w:tc>
        <w:tc>
          <w:tcPr>
            <w:tcW w:w="1322" w:type="dxa"/>
          </w:tcPr>
          <w:p w14:paraId="6CC3C61B" w14:textId="071262F1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7.2</w:t>
            </w:r>
          </w:p>
        </w:tc>
        <w:tc>
          <w:tcPr>
            <w:tcW w:w="1323" w:type="dxa"/>
          </w:tcPr>
          <w:p w14:paraId="2D93DA51" w14:textId="593BFBF3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33.5</w:t>
            </w:r>
          </w:p>
        </w:tc>
        <w:tc>
          <w:tcPr>
            <w:tcW w:w="1323" w:type="dxa"/>
          </w:tcPr>
          <w:p w14:paraId="1C2B2D78" w14:textId="5CFEF288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15.0</w:t>
            </w:r>
          </w:p>
        </w:tc>
        <w:tc>
          <w:tcPr>
            <w:tcW w:w="1323" w:type="dxa"/>
          </w:tcPr>
          <w:p w14:paraId="3F7C187B" w14:textId="3D95BA3D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15.5</w:t>
            </w:r>
          </w:p>
        </w:tc>
        <w:tc>
          <w:tcPr>
            <w:tcW w:w="1323" w:type="dxa"/>
          </w:tcPr>
          <w:p w14:paraId="16C3EFE4" w14:textId="5D98CF8C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47.5</w:t>
            </w:r>
          </w:p>
        </w:tc>
      </w:tr>
      <w:tr w:rsidR="00706840" w14:paraId="6FFDC90B" w14:textId="77777777" w:rsidTr="00794492">
        <w:tc>
          <w:tcPr>
            <w:tcW w:w="1322" w:type="dxa"/>
          </w:tcPr>
          <w:p w14:paraId="302D2490" w14:textId="4D02F047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7.2</w:t>
            </w:r>
          </w:p>
        </w:tc>
        <w:tc>
          <w:tcPr>
            <w:tcW w:w="1322" w:type="dxa"/>
          </w:tcPr>
          <w:p w14:paraId="4EE07497" w14:textId="676A74EA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7.3</w:t>
            </w:r>
          </w:p>
        </w:tc>
        <w:tc>
          <w:tcPr>
            <w:tcW w:w="1323" w:type="dxa"/>
          </w:tcPr>
          <w:p w14:paraId="13E59B40" w14:textId="6D3D8C37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34.0</w:t>
            </w:r>
          </w:p>
        </w:tc>
        <w:tc>
          <w:tcPr>
            <w:tcW w:w="1323" w:type="dxa"/>
          </w:tcPr>
          <w:p w14:paraId="6A81AA48" w14:textId="3BAB3E1F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15.5</w:t>
            </w:r>
          </w:p>
        </w:tc>
        <w:tc>
          <w:tcPr>
            <w:tcW w:w="1323" w:type="dxa"/>
          </w:tcPr>
          <w:p w14:paraId="0B6E89AA" w14:textId="34168DFA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16.0</w:t>
            </w:r>
          </w:p>
        </w:tc>
        <w:tc>
          <w:tcPr>
            <w:tcW w:w="1323" w:type="dxa"/>
          </w:tcPr>
          <w:p w14:paraId="2AA3FBC0" w14:textId="4A5F2824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48.0</w:t>
            </w:r>
          </w:p>
        </w:tc>
      </w:tr>
      <w:tr w:rsidR="00706840" w14:paraId="17059539" w14:textId="77777777" w:rsidTr="00794492">
        <w:tc>
          <w:tcPr>
            <w:tcW w:w="1322" w:type="dxa"/>
          </w:tcPr>
          <w:p w14:paraId="2B1B93DA" w14:textId="04C8B414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7.3</w:t>
            </w:r>
          </w:p>
        </w:tc>
        <w:tc>
          <w:tcPr>
            <w:tcW w:w="1322" w:type="dxa"/>
          </w:tcPr>
          <w:p w14:paraId="5C03EF54" w14:textId="7A142C24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7.5</w:t>
            </w:r>
          </w:p>
        </w:tc>
        <w:tc>
          <w:tcPr>
            <w:tcW w:w="1323" w:type="dxa"/>
          </w:tcPr>
          <w:p w14:paraId="1E016141" w14:textId="6D390C3E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34.5</w:t>
            </w:r>
          </w:p>
        </w:tc>
        <w:tc>
          <w:tcPr>
            <w:tcW w:w="1323" w:type="dxa"/>
          </w:tcPr>
          <w:p w14:paraId="35FCB821" w14:textId="337B08A0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16.0</w:t>
            </w:r>
          </w:p>
        </w:tc>
        <w:tc>
          <w:tcPr>
            <w:tcW w:w="1323" w:type="dxa"/>
          </w:tcPr>
          <w:p w14:paraId="3B30A8B3" w14:textId="60518529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16.5</w:t>
            </w:r>
          </w:p>
        </w:tc>
        <w:tc>
          <w:tcPr>
            <w:tcW w:w="1323" w:type="dxa"/>
          </w:tcPr>
          <w:p w14:paraId="54C4A548" w14:textId="3F93D7B4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48.5</w:t>
            </w:r>
          </w:p>
        </w:tc>
      </w:tr>
      <w:tr w:rsidR="00706840" w14:paraId="046DCA88" w14:textId="77777777" w:rsidTr="00794492">
        <w:tc>
          <w:tcPr>
            <w:tcW w:w="1322" w:type="dxa"/>
          </w:tcPr>
          <w:p w14:paraId="1FA1D830" w14:textId="22B12667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7.5</w:t>
            </w:r>
          </w:p>
        </w:tc>
        <w:tc>
          <w:tcPr>
            <w:tcW w:w="1322" w:type="dxa"/>
          </w:tcPr>
          <w:p w14:paraId="1EEF79D7" w14:textId="72EE59EF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7.7</w:t>
            </w:r>
          </w:p>
        </w:tc>
        <w:tc>
          <w:tcPr>
            <w:tcW w:w="1323" w:type="dxa"/>
          </w:tcPr>
          <w:p w14:paraId="6421DCC2" w14:textId="4097A6E0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35.0</w:t>
            </w:r>
          </w:p>
        </w:tc>
        <w:tc>
          <w:tcPr>
            <w:tcW w:w="1323" w:type="dxa"/>
          </w:tcPr>
          <w:p w14:paraId="021EEC67" w14:textId="1206A20B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16.5</w:t>
            </w:r>
          </w:p>
        </w:tc>
        <w:tc>
          <w:tcPr>
            <w:tcW w:w="1323" w:type="dxa"/>
          </w:tcPr>
          <w:p w14:paraId="775FCA6F" w14:textId="326E71D4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17.0</w:t>
            </w:r>
          </w:p>
        </w:tc>
        <w:tc>
          <w:tcPr>
            <w:tcW w:w="1323" w:type="dxa"/>
          </w:tcPr>
          <w:p w14:paraId="30E60C2C" w14:textId="25C6DA13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49.0</w:t>
            </w:r>
          </w:p>
        </w:tc>
      </w:tr>
      <w:tr w:rsidR="00706840" w14:paraId="2489F5BB" w14:textId="77777777" w:rsidTr="00794492">
        <w:tc>
          <w:tcPr>
            <w:tcW w:w="1322" w:type="dxa"/>
          </w:tcPr>
          <w:p w14:paraId="5BC8A259" w14:textId="011B0DAC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7.7</w:t>
            </w:r>
          </w:p>
        </w:tc>
        <w:tc>
          <w:tcPr>
            <w:tcW w:w="1322" w:type="dxa"/>
          </w:tcPr>
          <w:p w14:paraId="3B090560" w14:textId="3CFD2594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7.8</w:t>
            </w:r>
          </w:p>
        </w:tc>
        <w:tc>
          <w:tcPr>
            <w:tcW w:w="1323" w:type="dxa"/>
          </w:tcPr>
          <w:p w14:paraId="642013EE" w14:textId="14E9BF10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35.5</w:t>
            </w:r>
          </w:p>
        </w:tc>
        <w:tc>
          <w:tcPr>
            <w:tcW w:w="1323" w:type="dxa"/>
          </w:tcPr>
          <w:p w14:paraId="3DA98C6B" w14:textId="23833127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17.0</w:t>
            </w:r>
          </w:p>
        </w:tc>
        <w:tc>
          <w:tcPr>
            <w:tcW w:w="1323" w:type="dxa"/>
          </w:tcPr>
          <w:p w14:paraId="2C7CC17C" w14:textId="52119620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11772">
              <w:t>17.5</w:t>
            </w:r>
          </w:p>
        </w:tc>
        <w:tc>
          <w:tcPr>
            <w:tcW w:w="1323" w:type="dxa"/>
          </w:tcPr>
          <w:p w14:paraId="49177901" w14:textId="58A8E1E5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49.5</w:t>
            </w:r>
          </w:p>
        </w:tc>
      </w:tr>
      <w:tr w:rsidR="00706840" w14:paraId="1BCBB95A" w14:textId="77777777" w:rsidTr="00794492">
        <w:tc>
          <w:tcPr>
            <w:tcW w:w="1322" w:type="dxa"/>
          </w:tcPr>
          <w:p w14:paraId="43E6E4EA" w14:textId="05E82135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7.8</w:t>
            </w:r>
          </w:p>
        </w:tc>
        <w:tc>
          <w:tcPr>
            <w:tcW w:w="1322" w:type="dxa"/>
          </w:tcPr>
          <w:p w14:paraId="0BE8C31F" w14:textId="56976D11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8.0</w:t>
            </w:r>
          </w:p>
        </w:tc>
        <w:tc>
          <w:tcPr>
            <w:tcW w:w="1323" w:type="dxa"/>
          </w:tcPr>
          <w:p w14:paraId="7B923521" w14:textId="66537A90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36.0</w:t>
            </w:r>
          </w:p>
        </w:tc>
        <w:tc>
          <w:tcPr>
            <w:tcW w:w="1323" w:type="dxa"/>
          </w:tcPr>
          <w:p w14:paraId="330D2E06" w14:textId="7B015EA2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9B500E">
              <w:t>17.5</w:t>
            </w:r>
          </w:p>
        </w:tc>
        <w:tc>
          <w:tcPr>
            <w:tcW w:w="1323" w:type="dxa"/>
          </w:tcPr>
          <w:p w14:paraId="1BAB598C" w14:textId="139472D5" w:rsidR="00706840" w:rsidRDefault="00E55E84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t>--</w:t>
            </w:r>
          </w:p>
        </w:tc>
        <w:tc>
          <w:tcPr>
            <w:tcW w:w="1323" w:type="dxa"/>
          </w:tcPr>
          <w:p w14:paraId="179720A3" w14:textId="61EEE39C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EE6246">
              <w:t>50.0</w:t>
            </w:r>
          </w:p>
        </w:tc>
      </w:tr>
      <w:tr w:rsidR="00706840" w14:paraId="1552FA4D" w14:textId="77777777" w:rsidTr="00794492">
        <w:tc>
          <w:tcPr>
            <w:tcW w:w="1322" w:type="dxa"/>
          </w:tcPr>
          <w:p w14:paraId="7E3E3FD4" w14:textId="354E97B1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B92263">
              <w:t>8.0</w:t>
            </w:r>
          </w:p>
        </w:tc>
        <w:tc>
          <w:tcPr>
            <w:tcW w:w="1322" w:type="dxa"/>
          </w:tcPr>
          <w:p w14:paraId="35239689" w14:textId="0A3FF7E6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8B5BC8">
              <w:t>8.2</w:t>
            </w:r>
          </w:p>
        </w:tc>
        <w:tc>
          <w:tcPr>
            <w:tcW w:w="1323" w:type="dxa"/>
          </w:tcPr>
          <w:p w14:paraId="3152DC9D" w14:textId="2B91D788" w:rsidR="00706840" w:rsidRDefault="00706840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 w:rsidRPr="00710090">
              <w:t>36.5</w:t>
            </w:r>
          </w:p>
        </w:tc>
        <w:tc>
          <w:tcPr>
            <w:tcW w:w="1323" w:type="dxa"/>
          </w:tcPr>
          <w:p w14:paraId="52E63A84" w14:textId="057F32E9" w:rsidR="00706840" w:rsidRDefault="00DD015C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1323" w:type="dxa"/>
          </w:tcPr>
          <w:p w14:paraId="655FBEBB" w14:textId="15C4E5FA" w:rsidR="00706840" w:rsidRDefault="00DD015C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1323" w:type="dxa"/>
          </w:tcPr>
          <w:p w14:paraId="2524F18A" w14:textId="3FB1B336" w:rsidR="00706840" w:rsidRDefault="00DD015C" w:rsidP="00906578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</w:tr>
    </w:tbl>
    <w:p w14:paraId="005CB35B" w14:textId="77777777" w:rsidR="00A2512E" w:rsidRDefault="00A2512E" w:rsidP="00F73D14">
      <w:pPr>
        <w:pStyle w:val="ListParagraph"/>
        <w:ind w:left="1080"/>
        <w:jc w:val="both"/>
        <w:rPr>
          <w:lang w:val="en-US"/>
        </w:rPr>
      </w:pPr>
    </w:p>
    <w:p w14:paraId="5124FD9C" w14:textId="7E0DAC4D" w:rsidR="00ED7F83" w:rsidRPr="00ED7F83" w:rsidRDefault="00ED7F83" w:rsidP="005D7BE6">
      <w:pPr>
        <w:pStyle w:val="ListParagraph"/>
        <w:numPr>
          <w:ilvl w:val="0"/>
          <w:numId w:val="12"/>
        </w:numPr>
        <w:jc w:val="both"/>
        <w:rPr>
          <w:lang w:val="en-US"/>
        </w:rPr>
      </w:pPr>
      <w:r w:rsidRPr="00ED7F83">
        <w:rPr>
          <w:lang w:val="en-US"/>
        </w:rPr>
        <w:t>If the eligible vehicle is a complying steer axle vehicle, 0.5</w:t>
      </w:r>
      <w:r>
        <w:rPr>
          <w:lang w:val="en-US"/>
        </w:rPr>
        <w:t>t</w:t>
      </w:r>
      <w:r w:rsidRPr="00ED7F83">
        <w:rPr>
          <w:lang w:val="en-US"/>
        </w:rPr>
        <w:t xml:space="preserve"> may be added to the mass limit prescribed in Table 1 if the steer axle is part of the axle group being considered.</w:t>
      </w:r>
    </w:p>
    <w:p w14:paraId="1322198C" w14:textId="77777777" w:rsidR="00ED7F83" w:rsidRPr="00ED7F83" w:rsidRDefault="00ED7F83" w:rsidP="00ED7F83">
      <w:pPr>
        <w:pStyle w:val="ListParagraph"/>
        <w:ind w:left="1080"/>
        <w:jc w:val="both"/>
        <w:rPr>
          <w:lang w:val="en-US"/>
        </w:rPr>
      </w:pPr>
    </w:p>
    <w:p w14:paraId="1E3ADB77" w14:textId="77777777" w:rsidR="00ED7F83" w:rsidRPr="00ED7F83" w:rsidRDefault="00ED7F83" w:rsidP="00ED7F83">
      <w:pPr>
        <w:pStyle w:val="ListParagraph"/>
        <w:ind w:left="2160" w:hanging="1080"/>
        <w:jc w:val="both"/>
        <w:rPr>
          <w:i/>
          <w:iCs/>
          <w:lang w:val="en-US"/>
        </w:rPr>
      </w:pPr>
      <w:r w:rsidRPr="00ED7F83">
        <w:rPr>
          <w:i/>
          <w:iCs/>
          <w:lang w:val="en-US"/>
        </w:rPr>
        <w:t>Note:</w:t>
      </w:r>
      <w:r w:rsidRPr="00ED7F83">
        <w:rPr>
          <w:i/>
          <w:iCs/>
          <w:lang w:val="en-US"/>
        </w:rPr>
        <w:tab/>
        <w:t>Complying steer axle vehicle is defined in section 3 of the Heavy Vehicle (Mass, Dimension and Loading) National Regulation.</w:t>
      </w:r>
    </w:p>
    <w:p w14:paraId="53022245" w14:textId="77777777" w:rsidR="00ED7F83" w:rsidRPr="00ED7F83" w:rsidRDefault="00ED7F83" w:rsidP="00ED7F83">
      <w:pPr>
        <w:pStyle w:val="ListParagraph"/>
        <w:ind w:left="1080"/>
        <w:jc w:val="both"/>
        <w:rPr>
          <w:lang w:val="en-US"/>
        </w:rPr>
      </w:pPr>
    </w:p>
    <w:p w14:paraId="2420CE87" w14:textId="45074D0D" w:rsidR="00A2512E" w:rsidRPr="002143F8" w:rsidRDefault="00ED7F83" w:rsidP="005D7BE6">
      <w:pPr>
        <w:pStyle w:val="ListParagraph"/>
        <w:numPr>
          <w:ilvl w:val="0"/>
          <w:numId w:val="12"/>
        </w:numPr>
        <w:jc w:val="both"/>
        <w:rPr>
          <w:lang w:val="en-US"/>
        </w:rPr>
      </w:pPr>
      <w:r w:rsidRPr="00ED7F83">
        <w:rPr>
          <w:lang w:val="en-US"/>
        </w:rPr>
        <w:t xml:space="preserve">An eligible vehicle operating under this section and complies with the conditions of Schedule 2 of the </w:t>
      </w:r>
      <w:r w:rsidRPr="009F3A9D">
        <w:rPr>
          <w:i/>
          <w:iCs/>
          <w:lang w:val="en-US"/>
        </w:rPr>
        <w:t>Heavy Vehicle (Mass, Dimension and Loading) National Regulation</w:t>
      </w:r>
      <w:r w:rsidRPr="00ED7F83">
        <w:rPr>
          <w:lang w:val="en-US"/>
        </w:rPr>
        <w:t xml:space="preserve"> may apply Concessional Mass Limits (CML) to the mass limits prescribed in Table 1.</w:t>
      </w:r>
    </w:p>
    <w:p w14:paraId="647B1EAE" w14:textId="75983060" w:rsidR="001E550E" w:rsidRDefault="001E550E">
      <w:pPr>
        <w:rPr>
          <w:b/>
          <w:bCs/>
        </w:rPr>
      </w:pPr>
    </w:p>
    <w:p w14:paraId="20BA0358" w14:textId="350FF5D0" w:rsidR="009B1C6D" w:rsidRPr="009B1C6D" w:rsidRDefault="00F73D14" w:rsidP="009B1C6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br w:type="page"/>
      </w:r>
      <w:r w:rsidR="009B1C6D" w:rsidRPr="009B1C6D">
        <w:rPr>
          <w:b/>
          <w:bCs/>
        </w:rPr>
        <w:lastRenderedPageBreak/>
        <w:t xml:space="preserve">Conditions – Stated hours of stated </w:t>
      </w:r>
      <w:proofErr w:type="gramStart"/>
      <w:r w:rsidR="009B1C6D" w:rsidRPr="009B1C6D">
        <w:rPr>
          <w:b/>
          <w:bCs/>
        </w:rPr>
        <w:t>days</w:t>
      </w:r>
      <w:proofErr w:type="gramEnd"/>
    </w:p>
    <w:p w14:paraId="51EB1202" w14:textId="77777777" w:rsidR="009B1C6D" w:rsidRDefault="009B1C6D" w:rsidP="009B1C6D">
      <w:pPr>
        <w:pStyle w:val="ListParagraph"/>
        <w:ind w:left="1080"/>
        <w:jc w:val="both"/>
      </w:pPr>
    </w:p>
    <w:p w14:paraId="132C4308" w14:textId="3B79FCFC" w:rsidR="009B1C6D" w:rsidRDefault="009B1C6D" w:rsidP="009B1C6D">
      <w:pPr>
        <w:pStyle w:val="ListParagraph"/>
        <w:ind w:left="1080"/>
        <w:jc w:val="both"/>
      </w:pPr>
      <w:r w:rsidRPr="009B1C6D">
        <w:t>An eligible vehicle may use areas or routes at any time unless specified otherwise as a travel condition on the stated map or stated list.</w:t>
      </w:r>
    </w:p>
    <w:p w14:paraId="400C85E8" w14:textId="77777777" w:rsidR="009B1C6D" w:rsidRPr="009B1C6D" w:rsidRDefault="009B1C6D" w:rsidP="009B1C6D">
      <w:pPr>
        <w:pStyle w:val="ListParagraph"/>
        <w:ind w:left="1080"/>
        <w:jc w:val="both"/>
      </w:pPr>
    </w:p>
    <w:p w14:paraId="600F2D6D" w14:textId="77777777" w:rsidR="008A128B" w:rsidRPr="008A128B" w:rsidRDefault="008A128B" w:rsidP="008A128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A128B">
        <w:rPr>
          <w:b/>
          <w:bCs/>
        </w:rPr>
        <w:t>Conditions – drive group restriction</w:t>
      </w:r>
    </w:p>
    <w:p w14:paraId="414E9AF2" w14:textId="77777777" w:rsidR="008A128B" w:rsidRPr="008A128B" w:rsidRDefault="008A128B" w:rsidP="008A128B">
      <w:pPr>
        <w:pStyle w:val="ListParagraph"/>
        <w:ind w:left="1080"/>
        <w:jc w:val="both"/>
        <w:rPr>
          <w:b/>
          <w:bCs/>
        </w:rPr>
      </w:pPr>
    </w:p>
    <w:p w14:paraId="7F9B026A" w14:textId="3996D7F5" w:rsidR="008A128B" w:rsidRPr="008A128B" w:rsidRDefault="008A128B" w:rsidP="008A128B">
      <w:pPr>
        <w:pStyle w:val="ListParagraph"/>
        <w:numPr>
          <w:ilvl w:val="0"/>
          <w:numId w:val="27"/>
        </w:numPr>
        <w:ind w:left="1080"/>
        <w:jc w:val="both"/>
      </w:pPr>
      <w:r w:rsidRPr="008A128B">
        <w:t>An eligible vehicle must not have a drive axle group with more than two axles in contact with the ground.</w:t>
      </w:r>
    </w:p>
    <w:p w14:paraId="78B887CD" w14:textId="77777777" w:rsidR="008A128B" w:rsidRPr="008A128B" w:rsidRDefault="008A128B" w:rsidP="008A128B">
      <w:pPr>
        <w:pStyle w:val="ListParagraph"/>
        <w:ind w:left="360"/>
        <w:jc w:val="both"/>
      </w:pPr>
    </w:p>
    <w:p w14:paraId="2F1214B8" w14:textId="5CAC7369" w:rsidR="009B1C6D" w:rsidRPr="008A128B" w:rsidRDefault="008A128B" w:rsidP="008A128B">
      <w:pPr>
        <w:pStyle w:val="ListParagraph"/>
        <w:numPr>
          <w:ilvl w:val="0"/>
          <w:numId w:val="27"/>
        </w:numPr>
        <w:ind w:left="1080"/>
        <w:jc w:val="both"/>
      </w:pPr>
      <w:r w:rsidRPr="008A128B">
        <w:t>In this section</w:t>
      </w:r>
      <w:r w:rsidR="009F68B8">
        <w:t>,</w:t>
      </w:r>
      <w:r w:rsidRPr="008A128B">
        <w:t xml:space="preserve"> drive axle group means an axle group that has one or more driving axles.</w:t>
      </w:r>
    </w:p>
    <w:p w14:paraId="34C1FFB2" w14:textId="77777777" w:rsidR="008A128B" w:rsidRPr="009B1C6D" w:rsidRDefault="008A128B" w:rsidP="008A128B">
      <w:pPr>
        <w:pStyle w:val="ListParagraph"/>
        <w:ind w:left="1080"/>
        <w:jc w:val="both"/>
      </w:pPr>
    </w:p>
    <w:p w14:paraId="64BCA8A0" w14:textId="2EFB8775" w:rsidR="00B5081E" w:rsidRDefault="00B5081E" w:rsidP="00DE448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t xml:space="preserve">Condition – </w:t>
      </w:r>
      <w:r w:rsidR="0008594D">
        <w:rPr>
          <w:b/>
          <w:bCs/>
        </w:rPr>
        <w:t xml:space="preserve">Authorisation to access </w:t>
      </w:r>
      <w:r w:rsidRPr="00DE448B">
        <w:rPr>
          <w:b/>
          <w:bCs/>
        </w:rPr>
        <w:t xml:space="preserve">stated areas </w:t>
      </w:r>
      <w:r w:rsidR="000F4EF3" w:rsidRPr="00DE448B">
        <w:rPr>
          <w:b/>
          <w:bCs/>
        </w:rPr>
        <w:t xml:space="preserve">or </w:t>
      </w:r>
      <w:proofErr w:type="gramStart"/>
      <w:r w:rsidR="000F4EF3" w:rsidRPr="00DE448B">
        <w:rPr>
          <w:b/>
          <w:bCs/>
        </w:rPr>
        <w:t>routes</w:t>
      </w:r>
      <w:proofErr w:type="gramEnd"/>
    </w:p>
    <w:p w14:paraId="6D036C72" w14:textId="77777777" w:rsidR="00DE448B" w:rsidRPr="00DE448B" w:rsidRDefault="00DE448B" w:rsidP="00DE448B">
      <w:pPr>
        <w:pStyle w:val="ListParagraph"/>
        <w:jc w:val="both"/>
        <w:rPr>
          <w:b/>
          <w:bCs/>
        </w:rPr>
      </w:pPr>
    </w:p>
    <w:p w14:paraId="486B6729" w14:textId="20A8903C" w:rsidR="002143F8" w:rsidRDefault="002143F8" w:rsidP="005D7BE6">
      <w:pPr>
        <w:pStyle w:val="ListParagraph"/>
        <w:numPr>
          <w:ilvl w:val="0"/>
          <w:numId w:val="13"/>
        </w:numPr>
        <w:jc w:val="both"/>
      </w:pPr>
      <w:r>
        <w:t xml:space="preserve">An eligible vehicle complying with the conditions of this notice is authorised to operate on the areas and routes specified in </w:t>
      </w:r>
      <w:r w:rsidR="005C403A">
        <w:t xml:space="preserve">a schedule </w:t>
      </w:r>
      <w:r w:rsidR="00217F06">
        <w:t>of this notice.</w:t>
      </w:r>
    </w:p>
    <w:p w14:paraId="5F046E22" w14:textId="77777777" w:rsidR="005C403A" w:rsidRDefault="005C403A" w:rsidP="005C403A">
      <w:pPr>
        <w:pStyle w:val="ListParagraph"/>
        <w:ind w:left="1080"/>
        <w:jc w:val="both"/>
      </w:pPr>
    </w:p>
    <w:p w14:paraId="5B616204" w14:textId="1FB03DEB" w:rsidR="002143F8" w:rsidRDefault="002143F8" w:rsidP="005D7BE6">
      <w:pPr>
        <w:pStyle w:val="ListParagraph"/>
        <w:numPr>
          <w:ilvl w:val="0"/>
          <w:numId w:val="13"/>
        </w:numPr>
        <w:jc w:val="both"/>
      </w:pPr>
      <w:r>
        <w:t>For the purposes of section 1</w:t>
      </w:r>
      <w:r w:rsidR="00C43746">
        <w:t>38</w:t>
      </w:r>
      <w:r>
        <w:t xml:space="preserve">(1)(a) of the HVNL, an area or route specified in </w:t>
      </w:r>
      <w:r w:rsidR="00886B25">
        <w:t>this section, or a schedule to this notice,</w:t>
      </w:r>
      <w:r>
        <w:t xml:space="preserve"> is a stated area or route to which this notice applies.</w:t>
      </w:r>
    </w:p>
    <w:p w14:paraId="41FA104A" w14:textId="77777777" w:rsidR="002143F8" w:rsidRDefault="002143F8" w:rsidP="002143F8">
      <w:pPr>
        <w:pStyle w:val="ListParagraph"/>
        <w:ind w:left="1080"/>
        <w:jc w:val="both"/>
      </w:pPr>
    </w:p>
    <w:p w14:paraId="314FC2BF" w14:textId="77777777" w:rsidR="002143F8" w:rsidRDefault="002143F8" w:rsidP="005D7BE6">
      <w:pPr>
        <w:pStyle w:val="ListParagraph"/>
        <w:numPr>
          <w:ilvl w:val="0"/>
          <w:numId w:val="13"/>
        </w:numPr>
        <w:jc w:val="both"/>
      </w:pPr>
      <w:r>
        <w:t>An eligible vehicle operating on an area or route specified in this section must comply with the following conditions as specified for routes and areas set out on that map:</w:t>
      </w:r>
    </w:p>
    <w:p w14:paraId="5BEEE763" w14:textId="77777777" w:rsidR="002143F8" w:rsidRDefault="002143F8" w:rsidP="002143F8">
      <w:pPr>
        <w:pStyle w:val="ListParagraph"/>
        <w:ind w:left="1080"/>
        <w:jc w:val="both"/>
      </w:pPr>
    </w:p>
    <w:p w14:paraId="772F9E2C" w14:textId="77777777" w:rsidR="002143F8" w:rsidRDefault="002143F8" w:rsidP="005D7BE6">
      <w:pPr>
        <w:pStyle w:val="ListParagraph"/>
        <w:numPr>
          <w:ilvl w:val="0"/>
          <w:numId w:val="7"/>
        </w:numPr>
        <w:jc w:val="both"/>
      </w:pPr>
      <w:r>
        <w:t>Road conditions pursuant to section 160 of the HVNL; and</w:t>
      </w:r>
    </w:p>
    <w:p w14:paraId="78D3FCAF" w14:textId="77777777" w:rsidR="002143F8" w:rsidRDefault="002143F8" w:rsidP="005D7BE6">
      <w:pPr>
        <w:pStyle w:val="ListParagraph"/>
        <w:numPr>
          <w:ilvl w:val="0"/>
          <w:numId w:val="7"/>
        </w:numPr>
        <w:jc w:val="both"/>
      </w:pPr>
      <w:r>
        <w:t>Travel conditions pursuant to section 161 of the HVNL; and</w:t>
      </w:r>
    </w:p>
    <w:p w14:paraId="7791CBC5" w14:textId="77777777" w:rsidR="002143F8" w:rsidRDefault="002143F8" w:rsidP="005D7BE6">
      <w:pPr>
        <w:pStyle w:val="ListParagraph"/>
        <w:numPr>
          <w:ilvl w:val="0"/>
          <w:numId w:val="7"/>
        </w:numPr>
        <w:jc w:val="both"/>
      </w:pPr>
      <w:r>
        <w:t>Vehicle conditions pursuant to section 162 of the HVNL.</w:t>
      </w:r>
    </w:p>
    <w:p w14:paraId="79A099DC" w14:textId="77777777" w:rsidR="00C1029D" w:rsidRDefault="00C1029D" w:rsidP="001B24E7">
      <w:pPr>
        <w:jc w:val="both"/>
      </w:pPr>
    </w:p>
    <w:p w14:paraId="0C59F063" w14:textId="77777777" w:rsidR="001B24E7" w:rsidRDefault="001B24E7" w:rsidP="001B24E7">
      <w:pPr>
        <w:ind w:left="720"/>
        <w:contextualSpacing/>
        <w:jc w:val="both"/>
      </w:pPr>
      <w:r>
        <w:t>Peter Austin</w:t>
      </w:r>
    </w:p>
    <w:p w14:paraId="7167B026" w14:textId="77777777" w:rsidR="001B24E7" w:rsidRPr="00912586" w:rsidRDefault="001B24E7" w:rsidP="001B24E7">
      <w:pPr>
        <w:ind w:left="720"/>
        <w:contextualSpacing/>
        <w:jc w:val="both"/>
        <w:rPr>
          <w:i/>
          <w:iCs/>
        </w:rPr>
      </w:pPr>
      <w:r w:rsidRPr="00912586">
        <w:rPr>
          <w:i/>
          <w:iCs/>
        </w:rPr>
        <w:t>Director</w:t>
      </w:r>
      <w:r>
        <w:rPr>
          <w:i/>
          <w:iCs/>
        </w:rPr>
        <w:t>,</w:t>
      </w:r>
      <w:r w:rsidRPr="00912586">
        <w:rPr>
          <w:i/>
          <w:iCs/>
        </w:rPr>
        <w:t xml:space="preserve"> </w:t>
      </w:r>
      <w:r>
        <w:rPr>
          <w:i/>
          <w:iCs/>
        </w:rPr>
        <w:t>Policy Implementation</w:t>
      </w:r>
    </w:p>
    <w:p w14:paraId="31DD85C3" w14:textId="77777777" w:rsidR="001B24E7" w:rsidRPr="00912586" w:rsidRDefault="001B24E7" w:rsidP="001B24E7">
      <w:pPr>
        <w:ind w:left="720"/>
        <w:contextualSpacing/>
        <w:jc w:val="both"/>
        <w:rPr>
          <w:b/>
          <w:bCs/>
        </w:rPr>
      </w:pPr>
      <w:r w:rsidRPr="00912586">
        <w:rPr>
          <w:b/>
          <w:bCs/>
        </w:rPr>
        <w:t>National Heavy Vehicle Regulator</w:t>
      </w:r>
    </w:p>
    <w:p w14:paraId="7E7C9480" w14:textId="77777777" w:rsidR="001B24E7" w:rsidRPr="00C1029D" w:rsidRDefault="001B24E7" w:rsidP="001B24E7">
      <w:pPr>
        <w:jc w:val="both"/>
      </w:pPr>
    </w:p>
    <w:p w14:paraId="19FAF3A6" w14:textId="6332CA53" w:rsidR="00AF7A9F" w:rsidRDefault="00AF7A9F">
      <w:r>
        <w:br w:type="page"/>
      </w:r>
    </w:p>
    <w:p w14:paraId="4F209F94" w14:textId="42A66EC9" w:rsidR="00AF7A9F" w:rsidRPr="004B10BF" w:rsidRDefault="00AF7A9F" w:rsidP="00AF7A9F">
      <w:pPr>
        <w:contextualSpacing/>
        <w:jc w:val="both"/>
        <w:rPr>
          <w:b/>
          <w:bCs/>
          <w:sz w:val="28"/>
          <w:szCs w:val="28"/>
          <w:lang w:val="en-US"/>
        </w:rPr>
      </w:pPr>
      <w:r w:rsidRPr="005E37F2">
        <w:rPr>
          <w:b/>
          <w:bCs/>
          <w:sz w:val="28"/>
          <w:szCs w:val="28"/>
          <w:lang w:val="en-US"/>
        </w:rPr>
        <w:lastRenderedPageBreak/>
        <w:t xml:space="preserve">Schedule </w:t>
      </w:r>
      <w:r>
        <w:rPr>
          <w:b/>
          <w:bCs/>
          <w:sz w:val="28"/>
          <w:szCs w:val="28"/>
          <w:lang w:val="en-US"/>
        </w:rPr>
        <w:t>1</w:t>
      </w:r>
      <w:r w:rsidRPr="005E37F2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Australian Capital Territory</w:t>
      </w:r>
    </w:p>
    <w:p w14:paraId="3196D519" w14:textId="77777777" w:rsidR="00AF7A9F" w:rsidRDefault="00AF7A9F" w:rsidP="005D7BE6">
      <w:pPr>
        <w:pStyle w:val="ListParagraph"/>
        <w:numPr>
          <w:ilvl w:val="0"/>
          <w:numId w:val="14"/>
        </w:numPr>
        <w:jc w:val="both"/>
        <w:rPr>
          <w:b/>
          <w:bCs/>
          <w:lang w:val="en-US"/>
        </w:rPr>
      </w:pPr>
      <w:r w:rsidRPr="005E37F2">
        <w:rPr>
          <w:b/>
          <w:bCs/>
          <w:lang w:val="en-US"/>
        </w:rPr>
        <w:t>Application</w:t>
      </w:r>
    </w:p>
    <w:p w14:paraId="0279DBE1" w14:textId="77777777" w:rsidR="00AF7A9F" w:rsidRPr="005E37F2" w:rsidRDefault="00AF7A9F" w:rsidP="00AF7A9F">
      <w:pPr>
        <w:pStyle w:val="ListParagraph"/>
        <w:jc w:val="both"/>
        <w:rPr>
          <w:b/>
          <w:bCs/>
          <w:lang w:val="en-US"/>
        </w:rPr>
      </w:pPr>
    </w:p>
    <w:p w14:paraId="17F4F845" w14:textId="27D99080" w:rsidR="00AF7A9F" w:rsidRDefault="00AF7A9F" w:rsidP="00AF7A9F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This Schedule applies in the Australian Capital Territory.</w:t>
      </w:r>
    </w:p>
    <w:p w14:paraId="2BE52505" w14:textId="77777777" w:rsidR="00AF7A9F" w:rsidRPr="0056457D" w:rsidRDefault="00AF7A9F" w:rsidP="00AF7A9F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10C9F2E8" w14:textId="77777777" w:rsidR="00AF7A9F" w:rsidRPr="0056457D" w:rsidRDefault="00AF7A9F" w:rsidP="005D7BE6">
      <w:pPr>
        <w:pStyle w:val="ListParagraph"/>
        <w:numPr>
          <w:ilvl w:val="0"/>
          <w:numId w:val="14"/>
        </w:numPr>
        <w:jc w:val="both"/>
        <w:rPr>
          <w:b/>
          <w:bCs/>
          <w:color w:val="000000" w:themeColor="text1"/>
          <w:lang w:val="en-US"/>
        </w:rPr>
      </w:pPr>
      <w:r w:rsidRPr="0056457D">
        <w:rPr>
          <w:b/>
          <w:bCs/>
          <w:color w:val="000000" w:themeColor="text1"/>
          <w:lang w:val="en-US"/>
        </w:rPr>
        <w:t>Condition – Stated routes and areas (Networks)</w:t>
      </w:r>
    </w:p>
    <w:p w14:paraId="2E7869B3" w14:textId="77777777" w:rsidR="00AF7A9F" w:rsidRPr="0056457D" w:rsidRDefault="00AF7A9F" w:rsidP="00AF7A9F">
      <w:pPr>
        <w:pStyle w:val="ListParagraph"/>
        <w:jc w:val="both"/>
        <w:rPr>
          <w:b/>
          <w:bCs/>
          <w:color w:val="000000" w:themeColor="text1"/>
          <w:lang w:val="en-US"/>
        </w:rPr>
      </w:pPr>
    </w:p>
    <w:p w14:paraId="19C4D4B4" w14:textId="4CA6B15E" w:rsidR="00E9739D" w:rsidRPr="0056457D" w:rsidRDefault="00AF7A9F" w:rsidP="005D7BE6">
      <w:pPr>
        <w:pStyle w:val="ListParagraph"/>
        <w:numPr>
          <w:ilvl w:val="0"/>
          <w:numId w:val="16"/>
        </w:numPr>
        <w:jc w:val="both"/>
        <w:rPr>
          <w:color w:val="000000" w:themeColor="text1"/>
          <w:lang w:val="en-US"/>
        </w:rPr>
      </w:pPr>
      <w:r w:rsidRPr="0056457D">
        <w:rPr>
          <w:color w:val="000000" w:themeColor="text1"/>
          <w:lang w:val="en-US"/>
        </w:rPr>
        <w:t xml:space="preserve">Pursuant to the </w:t>
      </w:r>
      <w:proofErr w:type="spellStart"/>
      <w:r w:rsidRPr="0056457D">
        <w:rPr>
          <w:color w:val="000000" w:themeColor="text1"/>
          <w:lang w:val="en-US"/>
        </w:rPr>
        <w:t>authorisation</w:t>
      </w:r>
      <w:proofErr w:type="spellEnd"/>
      <w:r w:rsidRPr="0056457D">
        <w:rPr>
          <w:color w:val="000000" w:themeColor="text1"/>
          <w:lang w:val="en-US"/>
        </w:rPr>
        <w:t xml:space="preserve"> granted in section </w:t>
      </w:r>
      <w:r w:rsidR="0008594D" w:rsidRPr="0056457D">
        <w:rPr>
          <w:color w:val="000000" w:themeColor="text1"/>
          <w:lang w:val="en-US"/>
        </w:rPr>
        <w:t>11</w:t>
      </w:r>
      <w:r w:rsidRPr="0056457D">
        <w:rPr>
          <w:color w:val="000000" w:themeColor="text1"/>
          <w:lang w:val="en-US"/>
        </w:rPr>
        <w:t xml:space="preserve"> of this Notice, </w:t>
      </w:r>
      <w:r w:rsidR="00E9739D" w:rsidRPr="0056457D">
        <w:rPr>
          <w:color w:val="000000" w:themeColor="text1"/>
          <w:lang w:val="en-US"/>
        </w:rPr>
        <w:t>a</w:t>
      </w:r>
      <w:r w:rsidR="007D1BBD" w:rsidRPr="0056457D">
        <w:rPr>
          <w:color w:val="000000" w:themeColor="text1"/>
          <w:lang w:val="en-US"/>
        </w:rPr>
        <w:t xml:space="preserve">n eligible vehicle </w:t>
      </w:r>
      <w:r w:rsidR="00E9739D" w:rsidRPr="0056457D">
        <w:rPr>
          <w:color w:val="000000" w:themeColor="text1"/>
          <w:lang w:val="en-US"/>
        </w:rPr>
        <w:t xml:space="preserve">has access to networks in the </w:t>
      </w:r>
      <w:r w:rsidR="00C62B33" w:rsidRPr="0056457D">
        <w:rPr>
          <w:color w:val="000000" w:themeColor="text1"/>
          <w:lang w:val="en-US"/>
        </w:rPr>
        <w:t>Australian</w:t>
      </w:r>
      <w:r w:rsidR="00E9739D" w:rsidRPr="0056457D">
        <w:rPr>
          <w:color w:val="000000" w:themeColor="text1"/>
          <w:lang w:val="en-US"/>
        </w:rPr>
        <w:t xml:space="preserve"> Capital Territory as set out in this section.</w:t>
      </w:r>
    </w:p>
    <w:p w14:paraId="52A00FAE" w14:textId="77777777" w:rsidR="00E9739D" w:rsidRPr="0056457D" w:rsidRDefault="00E9739D" w:rsidP="00E9739D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3289C96B" w14:textId="3CECF150" w:rsidR="00630B75" w:rsidRPr="0056457D" w:rsidRDefault="00E9739D" w:rsidP="005D7BE6">
      <w:pPr>
        <w:pStyle w:val="ListParagraph"/>
        <w:numPr>
          <w:ilvl w:val="0"/>
          <w:numId w:val="16"/>
        </w:numPr>
        <w:jc w:val="both"/>
        <w:rPr>
          <w:color w:val="000000" w:themeColor="text1"/>
          <w:lang w:val="en-US"/>
        </w:rPr>
      </w:pPr>
      <w:r w:rsidRPr="0056457D">
        <w:rPr>
          <w:color w:val="000000" w:themeColor="text1"/>
          <w:lang w:val="en-US"/>
        </w:rPr>
        <w:t xml:space="preserve">An eligible vehicle </w:t>
      </w:r>
      <w:r w:rsidR="007D1BBD" w:rsidRPr="0056457D">
        <w:rPr>
          <w:color w:val="000000" w:themeColor="text1"/>
          <w:lang w:val="en-US"/>
        </w:rPr>
        <w:t xml:space="preserve">up to 19.0m in length that complies with the requirements in section 8 of the </w:t>
      </w:r>
      <w:r w:rsidR="00341167" w:rsidRPr="0056457D">
        <w:rPr>
          <w:color w:val="000000" w:themeColor="text1"/>
          <w:lang w:val="en-US"/>
        </w:rPr>
        <w:t>n</w:t>
      </w:r>
      <w:r w:rsidR="007D1BBD" w:rsidRPr="0056457D">
        <w:rPr>
          <w:color w:val="000000" w:themeColor="text1"/>
          <w:lang w:val="en-US"/>
        </w:rPr>
        <w:t xml:space="preserve">otice has </w:t>
      </w:r>
      <w:r w:rsidR="00BB6D83">
        <w:rPr>
          <w:color w:val="000000" w:themeColor="text1"/>
          <w:lang w:val="en-US"/>
        </w:rPr>
        <w:t>general access</w:t>
      </w:r>
      <w:r w:rsidR="00004696">
        <w:rPr>
          <w:color w:val="000000" w:themeColor="text1"/>
          <w:lang w:val="en-US"/>
        </w:rPr>
        <w:t xml:space="preserve"> </w:t>
      </w:r>
      <w:r w:rsidR="00153D5C">
        <w:rPr>
          <w:color w:val="000000" w:themeColor="text1"/>
          <w:lang w:val="en-US"/>
        </w:rPr>
        <w:t>in the Australian Capital Territory, subject to the conditions in 4)</w:t>
      </w:r>
      <w:r w:rsidR="007D1BBD" w:rsidRPr="0056457D">
        <w:rPr>
          <w:color w:val="000000" w:themeColor="text1"/>
          <w:lang w:val="en-US"/>
        </w:rPr>
        <w:t>.</w:t>
      </w:r>
    </w:p>
    <w:p w14:paraId="1ACC198E" w14:textId="77777777" w:rsidR="00630B75" w:rsidRPr="0056457D" w:rsidRDefault="00630B75" w:rsidP="00630B75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335CD12B" w14:textId="660404A1" w:rsidR="00630B75" w:rsidRPr="0056457D" w:rsidRDefault="00E9739D" w:rsidP="005D7BE6">
      <w:pPr>
        <w:pStyle w:val="ListParagraph"/>
        <w:numPr>
          <w:ilvl w:val="0"/>
          <w:numId w:val="16"/>
        </w:numPr>
        <w:jc w:val="both"/>
        <w:rPr>
          <w:color w:val="000000" w:themeColor="text1"/>
          <w:lang w:val="en-US"/>
        </w:rPr>
      </w:pPr>
      <w:r w:rsidRPr="0056457D">
        <w:rPr>
          <w:color w:val="000000" w:themeColor="text1"/>
          <w:lang w:val="en-US"/>
        </w:rPr>
        <w:t xml:space="preserve">An eligible vehicle </w:t>
      </w:r>
      <w:r w:rsidR="00630B75" w:rsidRPr="0056457D">
        <w:rPr>
          <w:color w:val="000000" w:themeColor="text1"/>
          <w:lang w:val="en-US"/>
        </w:rPr>
        <w:t>up to</w:t>
      </w:r>
      <w:r w:rsidRPr="0056457D">
        <w:rPr>
          <w:color w:val="000000" w:themeColor="text1"/>
          <w:lang w:val="en-US"/>
        </w:rPr>
        <w:t xml:space="preserve"> 26</w:t>
      </w:r>
      <w:r w:rsidR="00C62B33" w:rsidRPr="0056457D">
        <w:rPr>
          <w:color w:val="000000" w:themeColor="text1"/>
          <w:lang w:val="en-US"/>
        </w:rPr>
        <w:t>.0</w:t>
      </w:r>
      <w:r w:rsidRPr="0056457D">
        <w:rPr>
          <w:color w:val="000000" w:themeColor="text1"/>
          <w:lang w:val="en-US"/>
        </w:rPr>
        <w:t xml:space="preserve"> in length</w:t>
      </w:r>
      <w:r w:rsidR="00630B75" w:rsidRPr="0056457D">
        <w:rPr>
          <w:color w:val="000000" w:themeColor="text1"/>
          <w:lang w:val="en-US"/>
        </w:rPr>
        <w:t xml:space="preserve"> may access the following network:</w:t>
      </w:r>
    </w:p>
    <w:p w14:paraId="0B53EB38" w14:textId="77777777" w:rsidR="00630B75" w:rsidRPr="0056457D" w:rsidRDefault="00630B75" w:rsidP="00630B75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1979991F" w14:textId="2BA3133F" w:rsidR="00AF7A9F" w:rsidRPr="0056457D" w:rsidRDefault="00E9739D" w:rsidP="00630B75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  <w:r w:rsidRPr="0056457D">
        <w:rPr>
          <w:i/>
          <w:iCs/>
          <w:color w:val="000000" w:themeColor="text1"/>
          <w:lang w:val="en-US"/>
        </w:rPr>
        <w:t>Australian Capital Territory B-double Network</w:t>
      </w:r>
    </w:p>
    <w:p w14:paraId="15010D3F" w14:textId="77777777" w:rsidR="00630B75" w:rsidRPr="0056457D" w:rsidRDefault="00630B75" w:rsidP="00630B75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</w:p>
    <w:p w14:paraId="74FEEBB6" w14:textId="2049D7A9" w:rsidR="0056457D" w:rsidRPr="0056457D" w:rsidRDefault="0056457D" w:rsidP="00A22291">
      <w:pPr>
        <w:pStyle w:val="ListParagraph"/>
        <w:numPr>
          <w:ilvl w:val="0"/>
          <w:numId w:val="16"/>
        </w:numPr>
        <w:tabs>
          <w:tab w:val="left" w:pos="834"/>
        </w:tabs>
        <w:spacing w:line="276" w:lineRule="auto"/>
        <w:ind w:right="109"/>
        <w:rPr>
          <w:color w:val="000000" w:themeColor="text1"/>
        </w:rPr>
      </w:pPr>
      <w:r w:rsidRPr="0056457D">
        <w:rPr>
          <w:color w:val="000000" w:themeColor="text1"/>
        </w:rPr>
        <w:t xml:space="preserve">Regardless of the access granted in (2) and (3), an eligible vehicle operating under this Notice must also comply with restrictions set out in the </w:t>
      </w:r>
      <w:r w:rsidRPr="0056457D">
        <w:rPr>
          <w:i/>
          <w:color w:val="000000" w:themeColor="text1"/>
        </w:rPr>
        <w:t xml:space="preserve">Specified Road Manager Network Requirements, </w:t>
      </w:r>
      <w:r w:rsidRPr="0056457D">
        <w:rPr>
          <w:color w:val="000000" w:themeColor="text1"/>
        </w:rPr>
        <w:t xml:space="preserve">published in the Guide. </w:t>
      </w:r>
    </w:p>
    <w:p w14:paraId="72A5A65E" w14:textId="77777777" w:rsidR="0056457D" w:rsidRPr="0056457D" w:rsidRDefault="0056457D" w:rsidP="0056457D">
      <w:pPr>
        <w:pStyle w:val="ListParagraph"/>
        <w:tabs>
          <w:tab w:val="left" w:pos="834"/>
        </w:tabs>
        <w:spacing w:line="276" w:lineRule="auto"/>
        <w:ind w:left="1080" w:right="109"/>
        <w:rPr>
          <w:color w:val="000000" w:themeColor="text1"/>
        </w:rPr>
      </w:pPr>
    </w:p>
    <w:p w14:paraId="57EC4AB9" w14:textId="77777777" w:rsidR="0056457D" w:rsidRPr="0056457D" w:rsidRDefault="0056457D" w:rsidP="0056457D">
      <w:pPr>
        <w:pStyle w:val="ListParagraph"/>
        <w:tabs>
          <w:tab w:val="left" w:pos="834"/>
        </w:tabs>
        <w:spacing w:line="276" w:lineRule="auto"/>
        <w:ind w:left="2160" w:right="109" w:hanging="1080"/>
        <w:rPr>
          <w:i/>
          <w:color w:val="000000" w:themeColor="text1"/>
        </w:rPr>
      </w:pPr>
      <w:r w:rsidRPr="0056457D">
        <w:rPr>
          <w:i/>
          <w:color w:val="000000" w:themeColor="text1"/>
        </w:rPr>
        <w:t>Note:</w:t>
      </w:r>
      <w:r w:rsidRPr="0056457D">
        <w:rPr>
          <w:i/>
          <w:color w:val="000000" w:themeColor="text1"/>
        </w:rPr>
        <w:tab/>
        <w:t xml:space="preserve">the restrictions in the Specified Road Manager Network Requirements generally provide restrictions on access </w:t>
      </w:r>
      <w:proofErr w:type="gramStart"/>
      <w:r w:rsidRPr="0056457D">
        <w:rPr>
          <w:i/>
          <w:color w:val="000000" w:themeColor="text1"/>
        </w:rPr>
        <w:t>in particular</w:t>
      </w:r>
      <w:proofErr w:type="gramEnd"/>
      <w:r w:rsidRPr="0056457D">
        <w:rPr>
          <w:i/>
          <w:color w:val="000000" w:themeColor="text1"/>
        </w:rPr>
        <w:t xml:space="preserve"> Road Manager areas.</w:t>
      </w:r>
    </w:p>
    <w:p w14:paraId="1EFB8EAD" w14:textId="77777777" w:rsidR="0056457D" w:rsidRPr="0056457D" w:rsidRDefault="0056457D" w:rsidP="0056457D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339D32CE" w14:textId="77777777" w:rsidR="0056457D" w:rsidRPr="0056457D" w:rsidRDefault="0056457D" w:rsidP="00A22291">
      <w:pPr>
        <w:pStyle w:val="ListParagraph"/>
        <w:numPr>
          <w:ilvl w:val="0"/>
          <w:numId w:val="16"/>
        </w:numPr>
        <w:jc w:val="both"/>
        <w:rPr>
          <w:color w:val="000000" w:themeColor="text1"/>
          <w:lang w:val="en-US"/>
        </w:rPr>
      </w:pPr>
      <w:r w:rsidRPr="0056457D">
        <w:rPr>
          <w:color w:val="000000" w:themeColor="text1"/>
          <w:lang w:val="en-US"/>
        </w:rPr>
        <w:t xml:space="preserve">An eligible vehicle operating on a network under this section must comply with all </w:t>
      </w:r>
      <w:proofErr w:type="gramStart"/>
      <w:r w:rsidRPr="0056457D">
        <w:rPr>
          <w:color w:val="000000" w:themeColor="text1"/>
          <w:lang w:val="en-US"/>
        </w:rPr>
        <w:t>road</w:t>
      </w:r>
      <w:proofErr w:type="gramEnd"/>
      <w:r w:rsidRPr="0056457D">
        <w:rPr>
          <w:color w:val="000000" w:themeColor="text1"/>
          <w:lang w:val="en-US"/>
        </w:rPr>
        <w:t>, vehicle and travel conditions that apply to that network at the time of travel.</w:t>
      </w:r>
    </w:p>
    <w:p w14:paraId="2E88BF53" w14:textId="696A2AC1" w:rsidR="007E5C41" w:rsidRDefault="007E5C41">
      <w:r>
        <w:br w:type="page"/>
      </w:r>
    </w:p>
    <w:p w14:paraId="2CF25406" w14:textId="48945DDC" w:rsidR="007E5C41" w:rsidRPr="00785028" w:rsidRDefault="007E5C41" w:rsidP="007E5C41">
      <w:pPr>
        <w:contextualSpacing/>
        <w:jc w:val="both"/>
        <w:rPr>
          <w:b/>
          <w:bCs/>
          <w:color w:val="000000" w:themeColor="text1"/>
          <w:sz w:val="28"/>
          <w:szCs w:val="28"/>
          <w:lang w:val="en-US"/>
        </w:rPr>
      </w:pPr>
      <w:r w:rsidRPr="00785028">
        <w:rPr>
          <w:b/>
          <w:bCs/>
          <w:color w:val="000000" w:themeColor="text1"/>
          <w:sz w:val="28"/>
          <w:szCs w:val="28"/>
          <w:lang w:val="en-US"/>
        </w:rPr>
        <w:lastRenderedPageBreak/>
        <w:t xml:space="preserve">Schedule 2 </w:t>
      </w:r>
      <w:r w:rsidR="00951F61" w:rsidRPr="00785028">
        <w:rPr>
          <w:b/>
          <w:bCs/>
          <w:color w:val="000000" w:themeColor="text1"/>
          <w:sz w:val="28"/>
          <w:szCs w:val="28"/>
          <w:lang w:val="en-US"/>
        </w:rPr>
        <w:t>New South Wales</w:t>
      </w:r>
    </w:p>
    <w:p w14:paraId="678E2D03" w14:textId="77777777" w:rsidR="007E5C41" w:rsidRPr="00785028" w:rsidRDefault="007E5C41" w:rsidP="007E5C41">
      <w:pPr>
        <w:pStyle w:val="ListParagraph"/>
        <w:numPr>
          <w:ilvl w:val="0"/>
          <w:numId w:val="17"/>
        </w:numPr>
        <w:jc w:val="both"/>
        <w:rPr>
          <w:b/>
          <w:bCs/>
          <w:color w:val="000000" w:themeColor="text1"/>
          <w:lang w:val="en-US"/>
        </w:rPr>
      </w:pPr>
      <w:r w:rsidRPr="00785028">
        <w:rPr>
          <w:b/>
          <w:bCs/>
          <w:color w:val="000000" w:themeColor="text1"/>
          <w:lang w:val="en-US"/>
        </w:rPr>
        <w:t>Application</w:t>
      </w:r>
    </w:p>
    <w:p w14:paraId="5461CD31" w14:textId="77777777" w:rsidR="007E5C41" w:rsidRPr="00785028" w:rsidRDefault="007E5C41" w:rsidP="007E5C41">
      <w:pPr>
        <w:pStyle w:val="ListParagraph"/>
        <w:jc w:val="both"/>
        <w:rPr>
          <w:b/>
          <w:bCs/>
          <w:color w:val="000000" w:themeColor="text1"/>
          <w:lang w:val="en-US"/>
        </w:rPr>
      </w:pPr>
    </w:p>
    <w:p w14:paraId="4709A95E" w14:textId="2D61AC41" w:rsidR="007E5C41" w:rsidRPr="00785028" w:rsidRDefault="007E5C41" w:rsidP="007E5C41">
      <w:pPr>
        <w:pStyle w:val="ListParagraph"/>
        <w:ind w:left="1080"/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This Schedule applies in </w:t>
      </w:r>
      <w:r w:rsidR="00951F61" w:rsidRPr="00785028">
        <w:rPr>
          <w:color w:val="000000" w:themeColor="text1"/>
          <w:lang w:val="en-US"/>
        </w:rPr>
        <w:t>New South Wales</w:t>
      </w:r>
      <w:r w:rsidRPr="00785028">
        <w:rPr>
          <w:color w:val="000000" w:themeColor="text1"/>
          <w:lang w:val="en-US"/>
        </w:rPr>
        <w:t>.</w:t>
      </w:r>
    </w:p>
    <w:p w14:paraId="58B34973" w14:textId="77777777" w:rsidR="007E5C41" w:rsidRPr="00785028" w:rsidRDefault="007E5C41" w:rsidP="007E5C41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7115937F" w14:textId="77777777" w:rsidR="007E5C41" w:rsidRPr="00785028" w:rsidRDefault="007E5C41" w:rsidP="007E5C41">
      <w:pPr>
        <w:pStyle w:val="ListParagraph"/>
        <w:numPr>
          <w:ilvl w:val="0"/>
          <w:numId w:val="17"/>
        </w:numPr>
        <w:jc w:val="both"/>
        <w:rPr>
          <w:b/>
          <w:bCs/>
          <w:color w:val="000000" w:themeColor="text1"/>
          <w:lang w:val="en-US"/>
        </w:rPr>
      </w:pPr>
      <w:r w:rsidRPr="00785028">
        <w:rPr>
          <w:b/>
          <w:bCs/>
          <w:color w:val="000000" w:themeColor="text1"/>
          <w:lang w:val="en-US"/>
        </w:rPr>
        <w:t>Condition – Stated routes and areas (Networks)</w:t>
      </w:r>
    </w:p>
    <w:p w14:paraId="63C85D5B" w14:textId="77777777" w:rsidR="007E5C41" w:rsidRPr="00785028" w:rsidRDefault="007E5C41" w:rsidP="007E5C41">
      <w:pPr>
        <w:pStyle w:val="ListParagraph"/>
        <w:jc w:val="both"/>
        <w:rPr>
          <w:b/>
          <w:bCs/>
          <w:color w:val="000000" w:themeColor="text1"/>
          <w:lang w:val="en-US"/>
        </w:rPr>
      </w:pPr>
    </w:p>
    <w:p w14:paraId="18B24D65" w14:textId="4C5272BC" w:rsidR="007E5C41" w:rsidRPr="00785028" w:rsidRDefault="007E5C41" w:rsidP="007E5C41">
      <w:pPr>
        <w:pStyle w:val="ListParagraph"/>
        <w:numPr>
          <w:ilvl w:val="0"/>
          <w:numId w:val="18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Pursuant to the </w:t>
      </w:r>
      <w:proofErr w:type="spellStart"/>
      <w:r w:rsidRPr="00785028">
        <w:rPr>
          <w:color w:val="000000" w:themeColor="text1"/>
          <w:lang w:val="en-US"/>
        </w:rPr>
        <w:t>authorisation</w:t>
      </w:r>
      <w:proofErr w:type="spellEnd"/>
      <w:r w:rsidRPr="00785028">
        <w:rPr>
          <w:color w:val="000000" w:themeColor="text1"/>
          <w:lang w:val="en-US"/>
        </w:rPr>
        <w:t xml:space="preserve"> granted in section 11 of this Notice, an eligible vehicle has access to networks in </w:t>
      </w:r>
      <w:r w:rsidR="00951F61" w:rsidRPr="00785028">
        <w:rPr>
          <w:color w:val="000000" w:themeColor="text1"/>
          <w:lang w:val="en-US"/>
        </w:rPr>
        <w:t>New South Wales</w:t>
      </w:r>
      <w:r w:rsidRPr="00785028">
        <w:rPr>
          <w:color w:val="000000" w:themeColor="text1"/>
          <w:lang w:val="en-US"/>
        </w:rPr>
        <w:t xml:space="preserve"> as set out in this section.</w:t>
      </w:r>
    </w:p>
    <w:p w14:paraId="0B4FCD4C" w14:textId="77777777" w:rsidR="007E5C41" w:rsidRPr="00785028" w:rsidRDefault="007E5C41" w:rsidP="007E5C41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0F839988" w14:textId="471711E5" w:rsidR="007E5C41" w:rsidRPr="00785028" w:rsidRDefault="007E5C41" w:rsidP="007E5C41">
      <w:pPr>
        <w:pStyle w:val="ListParagraph"/>
        <w:numPr>
          <w:ilvl w:val="0"/>
          <w:numId w:val="18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>An eligible vehicle up to 19.0m in length that complies with the requirements in section 8 of the notice has</w:t>
      </w:r>
      <w:r w:rsidR="00EE5B45">
        <w:rPr>
          <w:color w:val="000000" w:themeColor="text1"/>
          <w:lang w:val="en-US"/>
        </w:rPr>
        <w:t xml:space="preserve"> </w:t>
      </w:r>
      <w:r w:rsidR="00BB6D83">
        <w:rPr>
          <w:color w:val="000000" w:themeColor="text1"/>
          <w:lang w:val="en-US"/>
        </w:rPr>
        <w:t>general access</w:t>
      </w:r>
      <w:r w:rsidR="00EE5B45">
        <w:rPr>
          <w:color w:val="000000" w:themeColor="text1"/>
          <w:lang w:val="en-US"/>
        </w:rPr>
        <w:t xml:space="preserve"> in New South Wales, subject to the conditions in </w:t>
      </w:r>
      <w:r w:rsidR="002E2660">
        <w:rPr>
          <w:color w:val="000000" w:themeColor="text1"/>
          <w:lang w:val="en-US"/>
        </w:rPr>
        <w:t>6</w:t>
      </w:r>
      <w:r w:rsidR="00EE5B45">
        <w:rPr>
          <w:color w:val="000000" w:themeColor="text1"/>
          <w:lang w:val="en-US"/>
        </w:rPr>
        <w:t>)</w:t>
      </w:r>
      <w:r w:rsidRPr="00785028">
        <w:rPr>
          <w:color w:val="000000" w:themeColor="text1"/>
          <w:lang w:val="en-US"/>
        </w:rPr>
        <w:t>.</w:t>
      </w:r>
    </w:p>
    <w:p w14:paraId="46A59D5E" w14:textId="77777777" w:rsidR="007E5C41" w:rsidRPr="00785028" w:rsidRDefault="007E5C41" w:rsidP="007E5C41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5A930A5F" w14:textId="561A8EB7" w:rsidR="007E5C41" w:rsidRPr="00785028" w:rsidRDefault="007E5C41" w:rsidP="007E5C41">
      <w:pPr>
        <w:pStyle w:val="ListParagraph"/>
        <w:numPr>
          <w:ilvl w:val="0"/>
          <w:numId w:val="18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An eligible vehicle up to </w:t>
      </w:r>
      <w:r w:rsidR="00EC49F7" w:rsidRPr="00785028">
        <w:rPr>
          <w:color w:val="000000" w:themeColor="text1"/>
          <w:lang w:val="en-US"/>
        </w:rPr>
        <w:t>19</w:t>
      </w:r>
      <w:r w:rsidRPr="00785028">
        <w:rPr>
          <w:color w:val="000000" w:themeColor="text1"/>
          <w:lang w:val="en-US"/>
        </w:rPr>
        <w:t>.0</w:t>
      </w:r>
      <w:r w:rsidR="00CA07ED">
        <w:rPr>
          <w:color w:val="000000" w:themeColor="text1"/>
          <w:lang w:val="en-US"/>
        </w:rPr>
        <w:t>m</w:t>
      </w:r>
      <w:r w:rsidRPr="00785028">
        <w:rPr>
          <w:color w:val="000000" w:themeColor="text1"/>
          <w:lang w:val="en-US"/>
        </w:rPr>
        <w:t xml:space="preserve"> in length</w:t>
      </w:r>
      <w:r w:rsidR="00886909" w:rsidRPr="00785028">
        <w:rPr>
          <w:color w:val="000000" w:themeColor="text1"/>
          <w:lang w:val="en-US"/>
        </w:rPr>
        <w:t xml:space="preserve"> </w:t>
      </w:r>
      <w:r w:rsidR="00EC49F7" w:rsidRPr="00785028">
        <w:rPr>
          <w:color w:val="000000" w:themeColor="text1"/>
          <w:lang w:val="en-US"/>
        </w:rPr>
        <w:t xml:space="preserve">that does not comply with the requirements in section </w:t>
      </w:r>
      <w:r w:rsidR="0085677F" w:rsidRPr="00785028">
        <w:rPr>
          <w:color w:val="000000" w:themeColor="text1"/>
          <w:lang w:val="en-US"/>
        </w:rPr>
        <w:t xml:space="preserve">8 of the notice </w:t>
      </w:r>
      <w:r w:rsidRPr="00785028">
        <w:rPr>
          <w:color w:val="000000" w:themeColor="text1"/>
          <w:lang w:val="en-US"/>
        </w:rPr>
        <w:t>may access the following network:</w:t>
      </w:r>
    </w:p>
    <w:p w14:paraId="5601B594" w14:textId="77777777" w:rsidR="007E5C41" w:rsidRPr="00785028" w:rsidRDefault="007E5C41" w:rsidP="007E5C41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7282FC19" w14:textId="3E388CD3" w:rsidR="0085677F" w:rsidRPr="00785028" w:rsidRDefault="0085677F" w:rsidP="0085677F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  <w:r w:rsidRPr="00785028">
        <w:rPr>
          <w:i/>
          <w:iCs/>
          <w:color w:val="000000" w:themeColor="text1"/>
          <w:lang w:val="en-US"/>
        </w:rPr>
        <w:t xml:space="preserve">New South Wales 19 </w:t>
      </w:r>
      <w:proofErr w:type="spellStart"/>
      <w:r w:rsidRPr="00785028">
        <w:rPr>
          <w:i/>
          <w:iCs/>
          <w:color w:val="000000" w:themeColor="text1"/>
          <w:lang w:val="en-US"/>
        </w:rPr>
        <w:t>metre</w:t>
      </w:r>
      <w:proofErr w:type="spellEnd"/>
      <w:r w:rsidRPr="00785028">
        <w:rPr>
          <w:i/>
          <w:iCs/>
          <w:color w:val="000000" w:themeColor="text1"/>
          <w:lang w:val="en-US"/>
        </w:rPr>
        <w:t xml:space="preserve"> B-double (over 50.0 </w:t>
      </w:r>
      <w:proofErr w:type="spellStart"/>
      <w:r w:rsidRPr="00785028">
        <w:rPr>
          <w:i/>
          <w:iCs/>
          <w:color w:val="000000" w:themeColor="text1"/>
          <w:lang w:val="en-US"/>
        </w:rPr>
        <w:t>tonnes</w:t>
      </w:r>
      <w:proofErr w:type="spellEnd"/>
      <w:r w:rsidRPr="00785028">
        <w:rPr>
          <w:i/>
          <w:iCs/>
          <w:color w:val="000000" w:themeColor="text1"/>
          <w:lang w:val="en-US"/>
        </w:rPr>
        <w:t>) Network</w:t>
      </w:r>
    </w:p>
    <w:p w14:paraId="202A0AD9" w14:textId="77777777" w:rsidR="0085677F" w:rsidRPr="00785028" w:rsidRDefault="0085677F" w:rsidP="0085677F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5930131F" w14:textId="2248F48E" w:rsidR="0085677F" w:rsidRPr="00785028" w:rsidRDefault="0085677F" w:rsidP="0085677F">
      <w:pPr>
        <w:pStyle w:val="ListParagraph"/>
        <w:numPr>
          <w:ilvl w:val="0"/>
          <w:numId w:val="18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>An eligible vehicle up to 23.0</w:t>
      </w:r>
      <w:r w:rsidR="00CA07ED">
        <w:rPr>
          <w:color w:val="000000" w:themeColor="text1"/>
          <w:lang w:val="en-US"/>
        </w:rPr>
        <w:t>m</w:t>
      </w:r>
      <w:r w:rsidRPr="00785028">
        <w:rPr>
          <w:color w:val="000000" w:themeColor="text1"/>
          <w:lang w:val="en-US"/>
        </w:rPr>
        <w:t xml:space="preserve"> in length may access the following network:</w:t>
      </w:r>
    </w:p>
    <w:p w14:paraId="245A7A8F" w14:textId="77777777" w:rsidR="0085677F" w:rsidRPr="00785028" w:rsidRDefault="0085677F" w:rsidP="0085677F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3E1C81D0" w14:textId="7C62A9EB" w:rsidR="0085677F" w:rsidRPr="00785028" w:rsidRDefault="0085677F" w:rsidP="0085677F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  <w:r w:rsidRPr="00785028">
        <w:rPr>
          <w:i/>
          <w:iCs/>
          <w:color w:val="000000" w:themeColor="text1"/>
          <w:lang w:val="en-US"/>
        </w:rPr>
        <w:t xml:space="preserve">New South Wales </w:t>
      </w:r>
      <w:r w:rsidR="00016FB4" w:rsidRPr="00785028">
        <w:rPr>
          <w:i/>
          <w:iCs/>
          <w:color w:val="000000" w:themeColor="text1"/>
          <w:lang w:val="en-US"/>
        </w:rPr>
        <w:t>23</w:t>
      </w:r>
      <w:r w:rsidRPr="00785028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785028">
        <w:rPr>
          <w:i/>
          <w:iCs/>
          <w:color w:val="000000" w:themeColor="text1"/>
          <w:lang w:val="en-US"/>
        </w:rPr>
        <w:t>metre</w:t>
      </w:r>
      <w:proofErr w:type="spellEnd"/>
      <w:r w:rsidRPr="00785028">
        <w:rPr>
          <w:i/>
          <w:iCs/>
          <w:color w:val="000000" w:themeColor="text1"/>
          <w:lang w:val="en-US"/>
        </w:rPr>
        <w:t xml:space="preserve"> B-double Network</w:t>
      </w:r>
    </w:p>
    <w:p w14:paraId="4550A8A6" w14:textId="77777777" w:rsidR="0085677F" w:rsidRPr="00785028" w:rsidRDefault="0085677F" w:rsidP="00016FB4">
      <w:pPr>
        <w:pStyle w:val="ListParagraph"/>
        <w:tabs>
          <w:tab w:val="left" w:pos="834"/>
        </w:tabs>
        <w:spacing w:line="276" w:lineRule="auto"/>
        <w:ind w:left="1080" w:right="109"/>
        <w:rPr>
          <w:color w:val="000000" w:themeColor="text1"/>
        </w:rPr>
      </w:pPr>
    </w:p>
    <w:p w14:paraId="3BE99C80" w14:textId="63DAA5E1" w:rsidR="00016FB4" w:rsidRPr="00785028" w:rsidRDefault="00016FB4" w:rsidP="00016FB4">
      <w:pPr>
        <w:pStyle w:val="ListParagraph"/>
        <w:numPr>
          <w:ilvl w:val="0"/>
          <w:numId w:val="18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>An eligible vehicle up to 26.0</w:t>
      </w:r>
      <w:r w:rsidR="00CA07ED">
        <w:rPr>
          <w:color w:val="000000" w:themeColor="text1"/>
          <w:lang w:val="en-US"/>
        </w:rPr>
        <w:t>m</w:t>
      </w:r>
      <w:r w:rsidRPr="00785028">
        <w:rPr>
          <w:color w:val="000000" w:themeColor="text1"/>
          <w:lang w:val="en-US"/>
        </w:rPr>
        <w:t xml:space="preserve"> in length may access the following network:</w:t>
      </w:r>
    </w:p>
    <w:p w14:paraId="0C25BC23" w14:textId="77777777" w:rsidR="00016FB4" w:rsidRPr="00785028" w:rsidRDefault="00016FB4" w:rsidP="00016FB4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1EAF31D4" w14:textId="02E6F21E" w:rsidR="00016FB4" w:rsidRPr="00785028" w:rsidRDefault="00016FB4" w:rsidP="00016FB4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  <w:r w:rsidRPr="00785028">
        <w:rPr>
          <w:i/>
          <w:iCs/>
          <w:color w:val="000000" w:themeColor="text1"/>
          <w:lang w:val="en-US"/>
        </w:rPr>
        <w:t xml:space="preserve">New South Wales 26 </w:t>
      </w:r>
      <w:proofErr w:type="spellStart"/>
      <w:r w:rsidRPr="00785028">
        <w:rPr>
          <w:i/>
          <w:iCs/>
          <w:color w:val="000000" w:themeColor="text1"/>
          <w:lang w:val="en-US"/>
        </w:rPr>
        <w:t>metre</w:t>
      </w:r>
      <w:proofErr w:type="spellEnd"/>
      <w:r w:rsidRPr="00785028">
        <w:rPr>
          <w:i/>
          <w:iCs/>
          <w:color w:val="000000" w:themeColor="text1"/>
          <w:lang w:val="en-US"/>
        </w:rPr>
        <w:t xml:space="preserve"> B-double Network</w:t>
      </w:r>
    </w:p>
    <w:p w14:paraId="2AC0A794" w14:textId="77777777" w:rsidR="00016FB4" w:rsidRPr="00785028" w:rsidRDefault="00016FB4" w:rsidP="00016FB4">
      <w:pPr>
        <w:pStyle w:val="ListParagraph"/>
        <w:tabs>
          <w:tab w:val="left" w:pos="834"/>
        </w:tabs>
        <w:spacing w:line="276" w:lineRule="auto"/>
        <w:ind w:left="1080" w:right="109"/>
        <w:rPr>
          <w:color w:val="000000" w:themeColor="text1"/>
        </w:rPr>
      </w:pPr>
    </w:p>
    <w:p w14:paraId="0C628DDC" w14:textId="263D7F50" w:rsidR="007E5C41" w:rsidRPr="00785028" w:rsidRDefault="007E5C41" w:rsidP="007E5C41">
      <w:pPr>
        <w:pStyle w:val="ListParagraph"/>
        <w:numPr>
          <w:ilvl w:val="0"/>
          <w:numId w:val="18"/>
        </w:numPr>
        <w:tabs>
          <w:tab w:val="left" w:pos="834"/>
        </w:tabs>
        <w:spacing w:line="276" w:lineRule="auto"/>
        <w:ind w:right="109"/>
        <w:rPr>
          <w:color w:val="000000" w:themeColor="text1"/>
        </w:rPr>
      </w:pPr>
      <w:r w:rsidRPr="00785028">
        <w:rPr>
          <w:color w:val="000000" w:themeColor="text1"/>
        </w:rPr>
        <w:t xml:space="preserve">Regardless of the access granted in (2) </w:t>
      </w:r>
      <w:r w:rsidR="00016FB4" w:rsidRPr="00785028">
        <w:rPr>
          <w:color w:val="000000" w:themeColor="text1"/>
        </w:rPr>
        <w:t>to (5)</w:t>
      </w:r>
      <w:r w:rsidRPr="00785028">
        <w:rPr>
          <w:color w:val="000000" w:themeColor="text1"/>
        </w:rPr>
        <w:t xml:space="preserve"> an eligible vehicle operating under this Notice must also comply with restrictions set out in the </w:t>
      </w:r>
      <w:r w:rsidRPr="00785028">
        <w:rPr>
          <w:i/>
          <w:color w:val="000000" w:themeColor="text1"/>
        </w:rPr>
        <w:t xml:space="preserve">Specified Road Manager Network Requirements, </w:t>
      </w:r>
      <w:r w:rsidRPr="00785028">
        <w:rPr>
          <w:color w:val="000000" w:themeColor="text1"/>
        </w:rPr>
        <w:t xml:space="preserve">published in the Guide. </w:t>
      </w:r>
    </w:p>
    <w:p w14:paraId="3BE8E599" w14:textId="77777777" w:rsidR="007E5C41" w:rsidRPr="00785028" w:rsidRDefault="007E5C41" w:rsidP="007E5C41">
      <w:pPr>
        <w:pStyle w:val="ListParagraph"/>
        <w:tabs>
          <w:tab w:val="left" w:pos="834"/>
        </w:tabs>
        <w:spacing w:line="276" w:lineRule="auto"/>
        <w:ind w:left="1080" w:right="109"/>
        <w:rPr>
          <w:color w:val="000000" w:themeColor="text1"/>
        </w:rPr>
      </w:pPr>
    </w:p>
    <w:p w14:paraId="70BCECA8" w14:textId="77777777" w:rsidR="007E5C41" w:rsidRPr="00785028" w:rsidRDefault="007E5C41" w:rsidP="007E5C41">
      <w:pPr>
        <w:pStyle w:val="ListParagraph"/>
        <w:tabs>
          <w:tab w:val="left" w:pos="834"/>
        </w:tabs>
        <w:spacing w:line="276" w:lineRule="auto"/>
        <w:ind w:left="2160" w:right="109" w:hanging="1080"/>
        <w:rPr>
          <w:i/>
          <w:color w:val="000000" w:themeColor="text1"/>
        </w:rPr>
      </w:pPr>
      <w:r w:rsidRPr="00785028">
        <w:rPr>
          <w:i/>
          <w:color w:val="000000" w:themeColor="text1"/>
        </w:rPr>
        <w:t>Note:</w:t>
      </w:r>
      <w:r w:rsidRPr="00785028">
        <w:rPr>
          <w:i/>
          <w:color w:val="000000" w:themeColor="text1"/>
        </w:rPr>
        <w:tab/>
        <w:t xml:space="preserve">the restrictions in the Specified Road Manager Network Requirements generally provide restrictions on access </w:t>
      </w:r>
      <w:proofErr w:type="gramStart"/>
      <w:r w:rsidRPr="00785028">
        <w:rPr>
          <w:i/>
          <w:color w:val="000000" w:themeColor="text1"/>
        </w:rPr>
        <w:t>in particular</w:t>
      </w:r>
      <w:proofErr w:type="gramEnd"/>
      <w:r w:rsidRPr="00785028">
        <w:rPr>
          <w:i/>
          <w:color w:val="000000" w:themeColor="text1"/>
        </w:rPr>
        <w:t xml:space="preserve"> Road Manager areas.</w:t>
      </w:r>
    </w:p>
    <w:p w14:paraId="1ACFCD37" w14:textId="77777777" w:rsidR="007E5C41" w:rsidRPr="00785028" w:rsidRDefault="007E5C41" w:rsidP="007E5C41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310064EA" w14:textId="77777777" w:rsidR="007E5C41" w:rsidRPr="00785028" w:rsidRDefault="007E5C41" w:rsidP="007E5C41">
      <w:pPr>
        <w:pStyle w:val="ListParagraph"/>
        <w:numPr>
          <w:ilvl w:val="0"/>
          <w:numId w:val="18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An eligible vehicle operating on a network under this section must comply with all </w:t>
      </w:r>
      <w:proofErr w:type="gramStart"/>
      <w:r w:rsidRPr="00785028">
        <w:rPr>
          <w:color w:val="000000" w:themeColor="text1"/>
          <w:lang w:val="en-US"/>
        </w:rPr>
        <w:t>road</w:t>
      </w:r>
      <w:proofErr w:type="gramEnd"/>
      <w:r w:rsidRPr="00785028">
        <w:rPr>
          <w:color w:val="000000" w:themeColor="text1"/>
          <w:lang w:val="en-US"/>
        </w:rPr>
        <w:t>, vehicle and travel conditions that apply to that network at the time of travel.</w:t>
      </w:r>
    </w:p>
    <w:p w14:paraId="3F299843" w14:textId="77777777" w:rsidR="00785028" w:rsidRDefault="00785028" w:rsidP="00413AC7">
      <w:pPr>
        <w:ind w:left="2160" w:hanging="1080"/>
        <w:jc w:val="both"/>
        <w:rPr>
          <w:i/>
          <w:iCs/>
          <w:color w:val="000000" w:themeColor="text1"/>
          <w:lang w:val="en-US"/>
        </w:rPr>
      </w:pPr>
    </w:p>
    <w:p w14:paraId="0AFD9AD4" w14:textId="27085F5A" w:rsidR="008A4899" w:rsidRDefault="008A4899">
      <w:pPr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br w:type="page"/>
      </w:r>
    </w:p>
    <w:p w14:paraId="0C412717" w14:textId="63DE9DEB" w:rsidR="008A4899" w:rsidRPr="00785028" w:rsidRDefault="008A4899" w:rsidP="008A4899">
      <w:pPr>
        <w:contextualSpacing/>
        <w:jc w:val="both"/>
        <w:rPr>
          <w:b/>
          <w:bCs/>
          <w:color w:val="000000" w:themeColor="text1"/>
          <w:sz w:val="28"/>
          <w:szCs w:val="28"/>
          <w:lang w:val="en-US"/>
        </w:rPr>
      </w:pPr>
      <w:r w:rsidRPr="00785028">
        <w:rPr>
          <w:b/>
          <w:bCs/>
          <w:color w:val="000000" w:themeColor="text1"/>
          <w:sz w:val="28"/>
          <w:szCs w:val="28"/>
          <w:lang w:val="en-US"/>
        </w:rPr>
        <w:lastRenderedPageBreak/>
        <w:t xml:space="preserve">Schedule </w:t>
      </w:r>
      <w:r>
        <w:rPr>
          <w:b/>
          <w:bCs/>
          <w:color w:val="000000" w:themeColor="text1"/>
          <w:sz w:val="28"/>
          <w:szCs w:val="28"/>
          <w:lang w:val="en-US"/>
        </w:rPr>
        <w:t>3 Queensland</w:t>
      </w:r>
    </w:p>
    <w:p w14:paraId="3A855255" w14:textId="77777777" w:rsidR="008A4899" w:rsidRPr="00785028" w:rsidRDefault="008A4899" w:rsidP="008A4899">
      <w:pPr>
        <w:pStyle w:val="ListParagraph"/>
        <w:numPr>
          <w:ilvl w:val="0"/>
          <w:numId w:val="19"/>
        </w:numPr>
        <w:jc w:val="both"/>
        <w:rPr>
          <w:b/>
          <w:bCs/>
          <w:color w:val="000000" w:themeColor="text1"/>
          <w:lang w:val="en-US"/>
        </w:rPr>
      </w:pPr>
      <w:r w:rsidRPr="00785028">
        <w:rPr>
          <w:b/>
          <w:bCs/>
          <w:color w:val="000000" w:themeColor="text1"/>
          <w:lang w:val="en-US"/>
        </w:rPr>
        <w:t>Application</w:t>
      </w:r>
    </w:p>
    <w:p w14:paraId="27B44A77" w14:textId="77777777" w:rsidR="008A4899" w:rsidRPr="00785028" w:rsidRDefault="008A4899" w:rsidP="008A4899">
      <w:pPr>
        <w:pStyle w:val="ListParagraph"/>
        <w:jc w:val="both"/>
        <w:rPr>
          <w:b/>
          <w:bCs/>
          <w:color w:val="000000" w:themeColor="text1"/>
          <w:lang w:val="en-US"/>
        </w:rPr>
      </w:pPr>
    </w:p>
    <w:p w14:paraId="4A998AED" w14:textId="1C057AC3" w:rsidR="008A4899" w:rsidRPr="00785028" w:rsidRDefault="008A4899" w:rsidP="008A4899">
      <w:pPr>
        <w:pStyle w:val="ListParagraph"/>
        <w:ind w:left="1080"/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This Schedule applies in </w:t>
      </w:r>
      <w:r>
        <w:rPr>
          <w:color w:val="000000" w:themeColor="text1"/>
          <w:lang w:val="en-US"/>
        </w:rPr>
        <w:t>Queensland</w:t>
      </w:r>
      <w:r w:rsidRPr="00785028">
        <w:rPr>
          <w:color w:val="000000" w:themeColor="text1"/>
          <w:lang w:val="en-US"/>
        </w:rPr>
        <w:t>.</w:t>
      </w:r>
    </w:p>
    <w:p w14:paraId="7F737BD0" w14:textId="77777777" w:rsidR="008A4899" w:rsidRPr="00785028" w:rsidRDefault="008A4899" w:rsidP="008A4899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0C61D2FA" w14:textId="77777777" w:rsidR="008A4899" w:rsidRPr="00785028" w:rsidRDefault="008A4899" w:rsidP="008A4899">
      <w:pPr>
        <w:pStyle w:val="ListParagraph"/>
        <w:numPr>
          <w:ilvl w:val="0"/>
          <w:numId w:val="19"/>
        </w:numPr>
        <w:jc w:val="both"/>
        <w:rPr>
          <w:b/>
          <w:bCs/>
          <w:color w:val="000000" w:themeColor="text1"/>
          <w:lang w:val="en-US"/>
        </w:rPr>
      </w:pPr>
      <w:r w:rsidRPr="00785028">
        <w:rPr>
          <w:b/>
          <w:bCs/>
          <w:color w:val="000000" w:themeColor="text1"/>
          <w:lang w:val="en-US"/>
        </w:rPr>
        <w:t>Condition – Stated routes and areas (Networks)</w:t>
      </w:r>
    </w:p>
    <w:p w14:paraId="1FE77067" w14:textId="77777777" w:rsidR="008A4899" w:rsidRPr="00785028" w:rsidRDefault="008A4899" w:rsidP="008A4899">
      <w:pPr>
        <w:pStyle w:val="ListParagraph"/>
        <w:jc w:val="both"/>
        <w:rPr>
          <w:b/>
          <w:bCs/>
          <w:color w:val="000000" w:themeColor="text1"/>
          <w:lang w:val="en-US"/>
        </w:rPr>
      </w:pPr>
    </w:p>
    <w:p w14:paraId="0CCFE002" w14:textId="5C8097F5" w:rsidR="008A4899" w:rsidRPr="00785028" w:rsidRDefault="008A4899" w:rsidP="008A4899">
      <w:pPr>
        <w:pStyle w:val="ListParagraph"/>
        <w:numPr>
          <w:ilvl w:val="0"/>
          <w:numId w:val="20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Pursuant to the </w:t>
      </w:r>
      <w:proofErr w:type="spellStart"/>
      <w:r w:rsidRPr="00785028">
        <w:rPr>
          <w:color w:val="000000" w:themeColor="text1"/>
          <w:lang w:val="en-US"/>
        </w:rPr>
        <w:t>authorisation</w:t>
      </w:r>
      <w:proofErr w:type="spellEnd"/>
      <w:r w:rsidRPr="00785028">
        <w:rPr>
          <w:color w:val="000000" w:themeColor="text1"/>
          <w:lang w:val="en-US"/>
        </w:rPr>
        <w:t xml:space="preserve"> granted in section 11 of this Notice, an eligible vehicle has access to networks in </w:t>
      </w:r>
      <w:r w:rsidR="006B2323">
        <w:rPr>
          <w:color w:val="000000" w:themeColor="text1"/>
          <w:lang w:val="en-US"/>
        </w:rPr>
        <w:t>Queensland</w:t>
      </w:r>
      <w:r w:rsidRPr="00785028">
        <w:rPr>
          <w:color w:val="000000" w:themeColor="text1"/>
          <w:lang w:val="en-US"/>
        </w:rPr>
        <w:t xml:space="preserve"> as set out in this section.</w:t>
      </w:r>
    </w:p>
    <w:p w14:paraId="1DD1763C" w14:textId="77777777" w:rsidR="008A4899" w:rsidRPr="00785028" w:rsidRDefault="008A4899" w:rsidP="008A4899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07B1968B" w14:textId="1A2825DE" w:rsidR="008A4899" w:rsidRPr="00785028" w:rsidRDefault="008A4899" w:rsidP="008A4899">
      <w:pPr>
        <w:pStyle w:val="ListParagraph"/>
        <w:numPr>
          <w:ilvl w:val="0"/>
          <w:numId w:val="20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An eligible vehicle up to 19.0m in length that complies with the requirements in section 8 of the notice has </w:t>
      </w:r>
      <w:r w:rsidR="00BB6D83">
        <w:rPr>
          <w:color w:val="000000" w:themeColor="text1"/>
          <w:lang w:val="en-US"/>
        </w:rPr>
        <w:t>general access</w:t>
      </w:r>
      <w:r w:rsidR="002E2660">
        <w:rPr>
          <w:color w:val="000000" w:themeColor="text1"/>
          <w:lang w:val="en-US"/>
        </w:rPr>
        <w:t xml:space="preserve"> in Queensland, subject to the conditions in </w:t>
      </w:r>
      <w:r w:rsidR="001071B3">
        <w:rPr>
          <w:color w:val="000000" w:themeColor="text1"/>
          <w:lang w:val="en-US"/>
        </w:rPr>
        <w:t>5</w:t>
      </w:r>
      <w:r w:rsidR="002E2660">
        <w:rPr>
          <w:color w:val="000000" w:themeColor="text1"/>
          <w:lang w:val="en-US"/>
        </w:rPr>
        <w:t>)</w:t>
      </w:r>
      <w:r w:rsidRPr="00785028">
        <w:rPr>
          <w:color w:val="000000" w:themeColor="text1"/>
          <w:lang w:val="en-US"/>
        </w:rPr>
        <w:t>.</w:t>
      </w:r>
    </w:p>
    <w:p w14:paraId="784871BC" w14:textId="77777777" w:rsidR="008A4899" w:rsidRPr="00785028" w:rsidRDefault="008A4899" w:rsidP="008A4899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0E402D84" w14:textId="64D46C62" w:rsidR="008A4899" w:rsidRPr="00785028" w:rsidRDefault="008A4899" w:rsidP="008A4899">
      <w:pPr>
        <w:pStyle w:val="ListParagraph"/>
        <w:numPr>
          <w:ilvl w:val="0"/>
          <w:numId w:val="20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>An eligible vehicle up to 23.0</w:t>
      </w:r>
      <w:r w:rsidR="00CA07ED">
        <w:rPr>
          <w:color w:val="000000" w:themeColor="text1"/>
          <w:lang w:val="en-US"/>
        </w:rPr>
        <w:t>m</w:t>
      </w:r>
      <w:r w:rsidRPr="00785028">
        <w:rPr>
          <w:color w:val="000000" w:themeColor="text1"/>
          <w:lang w:val="en-US"/>
        </w:rPr>
        <w:t xml:space="preserve"> in length may access the following network:</w:t>
      </w:r>
    </w:p>
    <w:p w14:paraId="4F1EC9F0" w14:textId="77777777" w:rsidR="008A4899" w:rsidRPr="00785028" w:rsidRDefault="008A4899" w:rsidP="008A4899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6B35E3BC" w14:textId="1F3D26A5" w:rsidR="008A4899" w:rsidRDefault="008A4899" w:rsidP="008A4899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  <w:r w:rsidRPr="00785028">
        <w:rPr>
          <w:i/>
          <w:iCs/>
          <w:color w:val="000000" w:themeColor="text1"/>
          <w:lang w:val="en-US"/>
        </w:rPr>
        <w:t xml:space="preserve">23 </w:t>
      </w:r>
      <w:proofErr w:type="spellStart"/>
      <w:r w:rsidRPr="00785028">
        <w:rPr>
          <w:i/>
          <w:iCs/>
          <w:color w:val="000000" w:themeColor="text1"/>
          <w:lang w:val="en-US"/>
        </w:rPr>
        <w:t>metre</w:t>
      </w:r>
      <w:proofErr w:type="spellEnd"/>
      <w:r w:rsidRPr="00785028">
        <w:rPr>
          <w:i/>
          <w:iCs/>
          <w:color w:val="000000" w:themeColor="text1"/>
          <w:lang w:val="en-US"/>
        </w:rPr>
        <w:t xml:space="preserve"> B-double </w:t>
      </w:r>
      <w:r w:rsidR="005C308B">
        <w:rPr>
          <w:i/>
          <w:iCs/>
          <w:color w:val="000000" w:themeColor="text1"/>
          <w:lang w:val="en-US"/>
        </w:rPr>
        <w:t>Route</w:t>
      </w:r>
    </w:p>
    <w:p w14:paraId="48BD648D" w14:textId="7DD24DC2" w:rsidR="0006320E" w:rsidRDefault="0006320E" w:rsidP="0006320E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t>25/</w:t>
      </w:r>
      <w:r w:rsidRPr="00785028">
        <w:rPr>
          <w:i/>
          <w:iCs/>
          <w:color w:val="000000" w:themeColor="text1"/>
          <w:lang w:val="en-US"/>
        </w:rPr>
        <w:t xml:space="preserve">26 </w:t>
      </w:r>
      <w:proofErr w:type="spellStart"/>
      <w:r w:rsidRPr="00785028">
        <w:rPr>
          <w:i/>
          <w:iCs/>
          <w:color w:val="000000" w:themeColor="text1"/>
          <w:lang w:val="en-US"/>
        </w:rPr>
        <w:t>metre</w:t>
      </w:r>
      <w:proofErr w:type="spellEnd"/>
      <w:r w:rsidRPr="00785028">
        <w:rPr>
          <w:i/>
          <w:iCs/>
          <w:color w:val="000000" w:themeColor="text1"/>
          <w:lang w:val="en-US"/>
        </w:rPr>
        <w:t xml:space="preserve"> B-double </w:t>
      </w:r>
      <w:r w:rsidR="00D7309B">
        <w:rPr>
          <w:i/>
          <w:iCs/>
          <w:color w:val="000000" w:themeColor="text1"/>
          <w:lang w:val="en-US"/>
        </w:rPr>
        <w:t>and PBS</w:t>
      </w:r>
      <w:r w:rsidR="0025783A">
        <w:rPr>
          <w:i/>
          <w:iCs/>
          <w:color w:val="000000" w:themeColor="text1"/>
          <w:lang w:val="en-US"/>
        </w:rPr>
        <w:t xml:space="preserve"> </w:t>
      </w:r>
      <w:r w:rsidR="00D7309B">
        <w:rPr>
          <w:i/>
          <w:iCs/>
          <w:color w:val="000000" w:themeColor="text1"/>
          <w:lang w:val="en-US"/>
        </w:rPr>
        <w:t xml:space="preserve">2A </w:t>
      </w:r>
      <w:r>
        <w:rPr>
          <w:i/>
          <w:iCs/>
          <w:color w:val="000000" w:themeColor="text1"/>
          <w:lang w:val="en-US"/>
        </w:rPr>
        <w:t>Route</w:t>
      </w:r>
    </w:p>
    <w:p w14:paraId="7E0EED10" w14:textId="77777777" w:rsidR="00614BEA" w:rsidRDefault="00614BEA" w:rsidP="00614BEA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t>Type 1 Road Train and PBS 3A Route</w:t>
      </w:r>
    </w:p>
    <w:p w14:paraId="46CB3DCE" w14:textId="304532D4" w:rsidR="00614BEA" w:rsidRPr="00614BEA" w:rsidRDefault="00614BEA" w:rsidP="00614BEA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t>Type 2 Road Train and PBS 4A Route</w:t>
      </w:r>
    </w:p>
    <w:p w14:paraId="0D6EA48D" w14:textId="77777777" w:rsidR="008A4899" w:rsidRPr="00785028" w:rsidRDefault="008A4899" w:rsidP="008A4899">
      <w:pPr>
        <w:pStyle w:val="ListParagraph"/>
        <w:tabs>
          <w:tab w:val="left" w:pos="834"/>
        </w:tabs>
        <w:spacing w:line="276" w:lineRule="auto"/>
        <w:ind w:left="1080" w:right="109"/>
        <w:rPr>
          <w:color w:val="000000" w:themeColor="text1"/>
        </w:rPr>
      </w:pPr>
    </w:p>
    <w:p w14:paraId="68AB756F" w14:textId="444EE8E2" w:rsidR="008A4899" w:rsidRPr="00785028" w:rsidRDefault="008A4899" w:rsidP="008A4899">
      <w:pPr>
        <w:pStyle w:val="ListParagraph"/>
        <w:numPr>
          <w:ilvl w:val="0"/>
          <w:numId w:val="20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>An eligible vehicle up to 26.0</w:t>
      </w:r>
      <w:r w:rsidR="00CA07ED">
        <w:rPr>
          <w:color w:val="000000" w:themeColor="text1"/>
          <w:lang w:val="en-US"/>
        </w:rPr>
        <w:t>m</w:t>
      </w:r>
      <w:r w:rsidRPr="00785028">
        <w:rPr>
          <w:color w:val="000000" w:themeColor="text1"/>
          <w:lang w:val="en-US"/>
        </w:rPr>
        <w:t xml:space="preserve"> in length may access the following network:</w:t>
      </w:r>
    </w:p>
    <w:p w14:paraId="14C516B7" w14:textId="77777777" w:rsidR="008A4899" w:rsidRPr="00785028" w:rsidRDefault="008A4899" w:rsidP="008A4899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680539D4" w14:textId="5773A34D" w:rsidR="008A4899" w:rsidRDefault="001C1E8D" w:rsidP="008A4899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t>25/</w:t>
      </w:r>
      <w:r w:rsidR="008A4899" w:rsidRPr="00785028">
        <w:rPr>
          <w:i/>
          <w:iCs/>
          <w:color w:val="000000" w:themeColor="text1"/>
          <w:lang w:val="en-US"/>
        </w:rPr>
        <w:t xml:space="preserve">26 </w:t>
      </w:r>
      <w:proofErr w:type="spellStart"/>
      <w:r w:rsidR="008A4899" w:rsidRPr="00785028">
        <w:rPr>
          <w:i/>
          <w:iCs/>
          <w:color w:val="000000" w:themeColor="text1"/>
          <w:lang w:val="en-US"/>
        </w:rPr>
        <w:t>metre</w:t>
      </w:r>
      <w:proofErr w:type="spellEnd"/>
      <w:r w:rsidR="008A4899" w:rsidRPr="00785028">
        <w:rPr>
          <w:i/>
          <w:iCs/>
          <w:color w:val="000000" w:themeColor="text1"/>
          <w:lang w:val="en-US"/>
        </w:rPr>
        <w:t xml:space="preserve"> B-double </w:t>
      </w:r>
      <w:r w:rsidR="005C308B">
        <w:rPr>
          <w:i/>
          <w:iCs/>
          <w:color w:val="000000" w:themeColor="text1"/>
          <w:lang w:val="en-US"/>
        </w:rPr>
        <w:t>Route</w:t>
      </w:r>
      <w:r w:rsidR="00C1455B">
        <w:rPr>
          <w:i/>
          <w:iCs/>
          <w:color w:val="000000" w:themeColor="text1"/>
          <w:lang w:val="en-US"/>
        </w:rPr>
        <w:t xml:space="preserve"> and PBS</w:t>
      </w:r>
      <w:r w:rsidR="0025783A">
        <w:rPr>
          <w:i/>
          <w:iCs/>
          <w:color w:val="000000" w:themeColor="text1"/>
          <w:lang w:val="en-US"/>
        </w:rPr>
        <w:t xml:space="preserve"> </w:t>
      </w:r>
      <w:r w:rsidR="00C1455B">
        <w:rPr>
          <w:i/>
          <w:iCs/>
          <w:color w:val="000000" w:themeColor="text1"/>
          <w:lang w:val="en-US"/>
        </w:rPr>
        <w:t>2A Route</w:t>
      </w:r>
    </w:p>
    <w:p w14:paraId="23A38E72" w14:textId="4D2D7EAE" w:rsidR="00C1455B" w:rsidRDefault="00C1455B" w:rsidP="008A4899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t>Type 1 Road Train and PBS</w:t>
      </w:r>
      <w:r w:rsidR="0025783A">
        <w:rPr>
          <w:i/>
          <w:iCs/>
          <w:color w:val="000000" w:themeColor="text1"/>
          <w:lang w:val="en-US"/>
        </w:rPr>
        <w:t xml:space="preserve"> 3A Route</w:t>
      </w:r>
    </w:p>
    <w:p w14:paraId="11DC8E1A" w14:textId="6CC0CF8B" w:rsidR="00C1455B" w:rsidRPr="00785028" w:rsidRDefault="004E58D5" w:rsidP="008A4899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t>Typ</w:t>
      </w:r>
      <w:r w:rsidR="00614BEA">
        <w:rPr>
          <w:i/>
          <w:iCs/>
          <w:color w:val="000000" w:themeColor="text1"/>
          <w:lang w:val="en-US"/>
        </w:rPr>
        <w:t>e</w:t>
      </w:r>
      <w:r>
        <w:rPr>
          <w:i/>
          <w:iCs/>
          <w:color w:val="000000" w:themeColor="text1"/>
          <w:lang w:val="en-US"/>
        </w:rPr>
        <w:t xml:space="preserve"> 2 Road Train and PBS </w:t>
      </w:r>
      <w:r w:rsidR="00614BEA">
        <w:rPr>
          <w:i/>
          <w:iCs/>
          <w:color w:val="000000" w:themeColor="text1"/>
          <w:lang w:val="en-US"/>
        </w:rPr>
        <w:t>4A Route</w:t>
      </w:r>
    </w:p>
    <w:p w14:paraId="2B886191" w14:textId="77777777" w:rsidR="008A4899" w:rsidRPr="00785028" w:rsidRDefault="008A4899" w:rsidP="008A4899">
      <w:pPr>
        <w:pStyle w:val="ListParagraph"/>
        <w:tabs>
          <w:tab w:val="left" w:pos="834"/>
        </w:tabs>
        <w:spacing w:line="276" w:lineRule="auto"/>
        <w:ind w:left="1080" w:right="109"/>
        <w:rPr>
          <w:color w:val="000000" w:themeColor="text1"/>
        </w:rPr>
      </w:pPr>
    </w:p>
    <w:p w14:paraId="2A13D291" w14:textId="4BE33FB1" w:rsidR="008A4899" w:rsidRPr="00785028" w:rsidRDefault="008A4899" w:rsidP="008A4899">
      <w:pPr>
        <w:pStyle w:val="ListParagraph"/>
        <w:numPr>
          <w:ilvl w:val="0"/>
          <w:numId w:val="20"/>
        </w:numPr>
        <w:tabs>
          <w:tab w:val="left" w:pos="834"/>
        </w:tabs>
        <w:spacing w:line="276" w:lineRule="auto"/>
        <w:ind w:right="109"/>
        <w:rPr>
          <w:color w:val="000000" w:themeColor="text1"/>
        </w:rPr>
      </w:pPr>
      <w:r w:rsidRPr="00785028">
        <w:rPr>
          <w:color w:val="000000" w:themeColor="text1"/>
        </w:rPr>
        <w:t>Regardless of the access granted in (2) to (</w:t>
      </w:r>
      <w:r w:rsidR="001071B3">
        <w:rPr>
          <w:color w:val="000000" w:themeColor="text1"/>
        </w:rPr>
        <w:t>4</w:t>
      </w:r>
      <w:r w:rsidRPr="00785028">
        <w:rPr>
          <w:color w:val="000000" w:themeColor="text1"/>
        </w:rPr>
        <w:t xml:space="preserve">) an eligible vehicle operating under this Notice must also comply with restrictions set out in the </w:t>
      </w:r>
      <w:r w:rsidRPr="00785028">
        <w:rPr>
          <w:i/>
          <w:color w:val="000000" w:themeColor="text1"/>
        </w:rPr>
        <w:t xml:space="preserve">Specified Road Manager Network Requirements, </w:t>
      </w:r>
      <w:r w:rsidRPr="00785028">
        <w:rPr>
          <w:color w:val="000000" w:themeColor="text1"/>
        </w:rPr>
        <w:t xml:space="preserve">published in the Guide. </w:t>
      </w:r>
    </w:p>
    <w:p w14:paraId="5581C4D0" w14:textId="77777777" w:rsidR="008A4899" w:rsidRPr="00785028" w:rsidRDefault="008A4899" w:rsidP="008A4899">
      <w:pPr>
        <w:pStyle w:val="ListParagraph"/>
        <w:tabs>
          <w:tab w:val="left" w:pos="834"/>
        </w:tabs>
        <w:spacing w:line="276" w:lineRule="auto"/>
        <w:ind w:left="1080" w:right="109"/>
        <w:rPr>
          <w:color w:val="000000" w:themeColor="text1"/>
        </w:rPr>
      </w:pPr>
    </w:p>
    <w:p w14:paraId="6E684BFB" w14:textId="77777777" w:rsidR="008A4899" w:rsidRPr="00785028" w:rsidRDefault="008A4899" w:rsidP="008A4899">
      <w:pPr>
        <w:pStyle w:val="ListParagraph"/>
        <w:tabs>
          <w:tab w:val="left" w:pos="834"/>
        </w:tabs>
        <w:spacing w:line="276" w:lineRule="auto"/>
        <w:ind w:left="2160" w:right="109" w:hanging="1080"/>
        <w:rPr>
          <w:i/>
          <w:color w:val="000000" w:themeColor="text1"/>
        </w:rPr>
      </w:pPr>
      <w:r w:rsidRPr="00785028">
        <w:rPr>
          <w:i/>
          <w:color w:val="000000" w:themeColor="text1"/>
        </w:rPr>
        <w:t>Note:</w:t>
      </w:r>
      <w:r w:rsidRPr="00785028">
        <w:rPr>
          <w:i/>
          <w:color w:val="000000" w:themeColor="text1"/>
        </w:rPr>
        <w:tab/>
        <w:t xml:space="preserve">the restrictions in the Specified Road Manager Network Requirements generally provide restrictions on access </w:t>
      </w:r>
      <w:proofErr w:type="gramStart"/>
      <w:r w:rsidRPr="00785028">
        <w:rPr>
          <w:i/>
          <w:color w:val="000000" w:themeColor="text1"/>
        </w:rPr>
        <w:t>in particular</w:t>
      </w:r>
      <w:proofErr w:type="gramEnd"/>
      <w:r w:rsidRPr="00785028">
        <w:rPr>
          <w:i/>
          <w:color w:val="000000" w:themeColor="text1"/>
        </w:rPr>
        <w:t xml:space="preserve"> Road Manager areas.</w:t>
      </w:r>
    </w:p>
    <w:p w14:paraId="3237D605" w14:textId="77777777" w:rsidR="008A4899" w:rsidRPr="00785028" w:rsidRDefault="008A4899" w:rsidP="008A4899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231A3EC8" w14:textId="77777777" w:rsidR="008A4899" w:rsidRDefault="008A4899" w:rsidP="008A4899">
      <w:pPr>
        <w:pStyle w:val="ListParagraph"/>
        <w:numPr>
          <w:ilvl w:val="0"/>
          <w:numId w:val="20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An eligible vehicle operating on a network under this section must comply with all </w:t>
      </w:r>
      <w:proofErr w:type="gramStart"/>
      <w:r w:rsidRPr="00785028">
        <w:rPr>
          <w:color w:val="000000" w:themeColor="text1"/>
          <w:lang w:val="en-US"/>
        </w:rPr>
        <w:t>road</w:t>
      </w:r>
      <w:proofErr w:type="gramEnd"/>
      <w:r w:rsidRPr="00785028">
        <w:rPr>
          <w:color w:val="000000" w:themeColor="text1"/>
          <w:lang w:val="en-US"/>
        </w:rPr>
        <w:t>, vehicle and travel conditions that apply to that network at the time of travel.</w:t>
      </w:r>
    </w:p>
    <w:p w14:paraId="1E8DD846" w14:textId="77777777" w:rsidR="00F20B24" w:rsidRPr="00785028" w:rsidRDefault="00F20B24" w:rsidP="00F20B24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178736D7" w14:textId="482289B8" w:rsidR="00AF6044" w:rsidRDefault="00AF6044" w:rsidP="00AF6044">
      <w:pPr>
        <w:pStyle w:val="ListParagraph"/>
        <w:numPr>
          <w:ilvl w:val="0"/>
          <w:numId w:val="19"/>
        </w:numPr>
        <w:jc w:val="both"/>
        <w:rPr>
          <w:b/>
          <w:bCs/>
          <w:color w:val="000000" w:themeColor="text1"/>
          <w:lang w:val="en-US"/>
        </w:rPr>
      </w:pPr>
      <w:r w:rsidRPr="00AF6044">
        <w:rPr>
          <w:b/>
          <w:bCs/>
          <w:color w:val="000000" w:themeColor="text1"/>
          <w:lang w:val="en-US"/>
        </w:rPr>
        <w:t>Conditions – Quad axle group restriction</w:t>
      </w:r>
    </w:p>
    <w:p w14:paraId="53826857" w14:textId="77777777" w:rsidR="00AF6044" w:rsidRPr="00AF6044" w:rsidRDefault="00AF6044" w:rsidP="00AF6044">
      <w:pPr>
        <w:pStyle w:val="ListParagraph"/>
        <w:jc w:val="both"/>
        <w:rPr>
          <w:b/>
          <w:bCs/>
          <w:color w:val="000000" w:themeColor="text1"/>
          <w:lang w:val="en-US"/>
        </w:rPr>
      </w:pPr>
    </w:p>
    <w:p w14:paraId="073EB8B8" w14:textId="627E6854" w:rsidR="00785028" w:rsidRDefault="00AF6044" w:rsidP="00AF6044">
      <w:pPr>
        <w:pStyle w:val="ListParagraph"/>
        <w:ind w:left="1080"/>
        <w:jc w:val="both"/>
        <w:rPr>
          <w:color w:val="000000" w:themeColor="text1"/>
          <w:lang w:val="en-US"/>
        </w:rPr>
      </w:pPr>
      <w:r w:rsidRPr="00AF6044">
        <w:rPr>
          <w:color w:val="000000" w:themeColor="text1"/>
          <w:lang w:val="en-US"/>
        </w:rPr>
        <w:t xml:space="preserve">An eligible vehicle operating under this Schedule may not have a quad axle group on any </w:t>
      </w:r>
      <w:r w:rsidR="00241000">
        <w:rPr>
          <w:color w:val="000000" w:themeColor="text1"/>
          <w:lang w:val="en-US"/>
        </w:rPr>
        <w:t xml:space="preserve">of </w:t>
      </w:r>
      <w:r w:rsidRPr="00AF6044">
        <w:rPr>
          <w:color w:val="000000" w:themeColor="text1"/>
          <w:lang w:val="en-US"/>
        </w:rPr>
        <w:t>its components when operating on a State controlled road.</w:t>
      </w:r>
    </w:p>
    <w:p w14:paraId="7F69B21C" w14:textId="77777777" w:rsidR="002430F5" w:rsidRDefault="002430F5" w:rsidP="00AF6044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60214A1E" w14:textId="78254D17" w:rsidR="002430F5" w:rsidRDefault="002430F5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70229681" w14:textId="35F30201" w:rsidR="002430F5" w:rsidRPr="00785028" w:rsidRDefault="002430F5" w:rsidP="002430F5">
      <w:pPr>
        <w:contextualSpacing/>
        <w:jc w:val="both"/>
        <w:rPr>
          <w:b/>
          <w:bCs/>
          <w:color w:val="000000" w:themeColor="text1"/>
          <w:sz w:val="28"/>
          <w:szCs w:val="28"/>
          <w:lang w:val="en-US"/>
        </w:rPr>
      </w:pPr>
      <w:r w:rsidRPr="00785028">
        <w:rPr>
          <w:b/>
          <w:bCs/>
          <w:color w:val="000000" w:themeColor="text1"/>
          <w:sz w:val="28"/>
          <w:szCs w:val="28"/>
          <w:lang w:val="en-US"/>
        </w:rPr>
        <w:lastRenderedPageBreak/>
        <w:t xml:space="preserve">Schedule </w:t>
      </w:r>
      <w:r>
        <w:rPr>
          <w:b/>
          <w:bCs/>
          <w:color w:val="000000" w:themeColor="text1"/>
          <w:sz w:val="28"/>
          <w:szCs w:val="28"/>
          <w:lang w:val="en-US"/>
        </w:rPr>
        <w:t>4 South Australia</w:t>
      </w:r>
    </w:p>
    <w:p w14:paraId="79F4C6A0" w14:textId="77777777" w:rsidR="002430F5" w:rsidRPr="00785028" w:rsidRDefault="002430F5" w:rsidP="00B57B32">
      <w:pPr>
        <w:pStyle w:val="ListParagraph"/>
        <w:numPr>
          <w:ilvl w:val="0"/>
          <w:numId w:val="21"/>
        </w:numPr>
        <w:jc w:val="both"/>
        <w:rPr>
          <w:b/>
          <w:bCs/>
          <w:color w:val="000000" w:themeColor="text1"/>
          <w:lang w:val="en-US"/>
        </w:rPr>
      </w:pPr>
      <w:r w:rsidRPr="00785028">
        <w:rPr>
          <w:b/>
          <w:bCs/>
          <w:color w:val="000000" w:themeColor="text1"/>
          <w:lang w:val="en-US"/>
        </w:rPr>
        <w:t>Application</w:t>
      </w:r>
    </w:p>
    <w:p w14:paraId="3E74DA64" w14:textId="77777777" w:rsidR="002430F5" w:rsidRPr="00785028" w:rsidRDefault="002430F5" w:rsidP="002430F5">
      <w:pPr>
        <w:pStyle w:val="ListParagraph"/>
        <w:jc w:val="both"/>
        <w:rPr>
          <w:b/>
          <w:bCs/>
          <w:color w:val="000000" w:themeColor="text1"/>
          <w:lang w:val="en-US"/>
        </w:rPr>
      </w:pPr>
    </w:p>
    <w:p w14:paraId="23EB0852" w14:textId="612DA4BF" w:rsidR="002430F5" w:rsidRPr="00785028" w:rsidRDefault="002430F5" w:rsidP="002430F5">
      <w:pPr>
        <w:pStyle w:val="ListParagraph"/>
        <w:ind w:left="1080"/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This Schedule applies in </w:t>
      </w:r>
      <w:r>
        <w:rPr>
          <w:color w:val="000000" w:themeColor="text1"/>
          <w:lang w:val="en-US"/>
        </w:rPr>
        <w:t>South Australia</w:t>
      </w:r>
      <w:r w:rsidRPr="00785028">
        <w:rPr>
          <w:color w:val="000000" w:themeColor="text1"/>
          <w:lang w:val="en-US"/>
        </w:rPr>
        <w:t>.</w:t>
      </w:r>
    </w:p>
    <w:p w14:paraId="0AAAEB0A" w14:textId="77777777" w:rsidR="002430F5" w:rsidRPr="00785028" w:rsidRDefault="002430F5" w:rsidP="002430F5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5A07896A" w14:textId="77777777" w:rsidR="002430F5" w:rsidRPr="00785028" w:rsidRDefault="002430F5" w:rsidP="00B57B32">
      <w:pPr>
        <w:pStyle w:val="ListParagraph"/>
        <w:numPr>
          <w:ilvl w:val="0"/>
          <w:numId w:val="21"/>
        </w:numPr>
        <w:jc w:val="both"/>
        <w:rPr>
          <w:b/>
          <w:bCs/>
          <w:color w:val="000000" w:themeColor="text1"/>
          <w:lang w:val="en-US"/>
        </w:rPr>
      </w:pPr>
      <w:r w:rsidRPr="00785028">
        <w:rPr>
          <w:b/>
          <w:bCs/>
          <w:color w:val="000000" w:themeColor="text1"/>
          <w:lang w:val="en-US"/>
        </w:rPr>
        <w:t>Condition – Stated routes and areas (Networks)</w:t>
      </w:r>
    </w:p>
    <w:p w14:paraId="6E2F9CD8" w14:textId="77777777" w:rsidR="002430F5" w:rsidRPr="00785028" w:rsidRDefault="002430F5" w:rsidP="002430F5">
      <w:pPr>
        <w:pStyle w:val="ListParagraph"/>
        <w:jc w:val="both"/>
        <w:rPr>
          <w:b/>
          <w:bCs/>
          <w:color w:val="000000" w:themeColor="text1"/>
          <w:lang w:val="en-US"/>
        </w:rPr>
      </w:pPr>
    </w:p>
    <w:p w14:paraId="33A0F58B" w14:textId="0C7A3310" w:rsidR="002430F5" w:rsidRPr="00785028" w:rsidRDefault="002430F5" w:rsidP="00B57B32">
      <w:pPr>
        <w:pStyle w:val="ListParagraph"/>
        <w:numPr>
          <w:ilvl w:val="0"/>
          <w:numId w:val="22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Pursuant to the </w:t>
      </w:r>
      <w:proofErr w:type="spellStart"/>
      <w:r w:rsidRPr="00785028">
        <w:rPr>
          <w:color w:val="000000" w:themeColor="text1"/>
          <w:lang w:val="en-US"/>
        </w:rPr>
        <w:t>authorisation</w:t>
      </w:r>
      <w:proofErr w:type="spellEnd"/>
      <w:r w:rsidRPr="00785028">
        <w:rPr>
          <w:color w:val="000000" w:themeColor="text1"/>
          <w:lang w:val="en-US"/>
        </w:rPr>
        <w:t xml:space="preserve"> granted in section 11 of this Notice, an eligible vehicle has access to networks in </w:t>
      </w:r>
      <w:r>
        <w:rPr>
          <w:color w:val="000000" w:themeColor="text1"/>
          <w:lang w:val="en-US"/>
        </w:rPr>
        <w:t>South Australia</w:t>
      </w:r>
      <w:r w:rsidRPr="00785028">
        <w:rPr>
          <w:color w:val="000000" w:themeColor="text1"/>
          <w:lang w:val="en-US"/>
        </w:rPr>
        <w:t xml:space="preserve"> as set out in this section.</w:t>
      </w:r>
    </w:p>
    <w:p w14:paraId="40F89EB4" w14:textId="77777777" w:rsidR="002430F5" w:rsidRPr="00785028" w:rsidRDefault="002430F5" w:rsidP="002430F5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1CED24A0" w14:textId="584CECE0" w:rsidR="002430F5" w:rsidRPr="00785028" w:rsidRDefault="002430F5" w:rsidP="00B57B32">
      <w:pPr>
        <w:pStyle w:val="ListParagraph"/>
        <w:numPr>
          <w:ilvl w:val="0"/>
          <w:numId w:val="22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An eligible vehicle up to 19.0m in length that complies with the requirements in section 8 of the notice </w:t>
      </w:r>
      <w:r w:rsidR="00645444">
        <w:rPr>
          <w:color w:val="000000" w:themeColor="text1"/>
          <w:lang w:val="en-US"/>
        </w:rPr>
        <w:t xml:space="preserve">has </w:t>
      </w:r>
      <w:r w:rsidR="00BB6D83">
        <w:rPr>
          <w:color w:val="000000" w:themeColor="text1"/>
          <w:lang w:val="en-US"/>
        </w:rPr>
        <w:t>general access</w:t>
      </w:r>
      <w:r w:rsidR="001071B3">
        <w:rPr>
          <w:color w:val="000000" w:themeColor="text1"/>
          <w:lang w:val="en-US"/>
        </w:rPr>
        <w:t xml:space="preserve"> in </w:t>
      </w:r>
      <w:r w:rsidR="00645444">
        <w:rPr>
          <w:color w:val="000000" w:themeColor="text1"/>
          <w:lang w:val="en-US"/>
        </w:rPr>
        <w:t>South Australia</w:t>
      </w:r>
      <w:r w:rsidR="001071B3">
        <w:rPr>
          <w:color w:val="000000" w:themeColor="text1"/>
          <w:lang w:val="en-US"/>
        </w:rPr>
        <w:t xml:space="preserve">, subject to the conditions in </w:t>
      </w:r>
      <w:r w:rsidR="00645444">
        <w:rPr>
          <w:color w:val="000000" w:themeColor="text1"/>
          <w:lang w:val="en-US"/>
        </w:rPr>
        <w:t>6</w:t>
      </w:r>
      <w:r w:rsidR="001071B3">
        <w:rPr>
          <w:color w:val="000000" w:themeColor="text1"/>
          <w:lang w:val="en-US"/>
        </w:rPr>
        <w:t>)</w:t>
      </w:r>
      <w:r w:rsidRPr="00785028">
        <w:rPr>
          <w:color w:val="000000" w:themeColor="text1"/>
          <w:lang w:val="en-US"/>
        </w:rPr>
        <w:t>.</w:t>
      </w:r>
    </w:p>
    <w:p w14:paraId="50A2E1AB" w14:textId="77777777" w:rsidR="002430F5" w:rsidRPr="00785028" w:rsidRDefault="002430F5" w:rsidP="002430F5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13B84B45" w14:textId="4E043446" w:rsidR="002430F5" w:rsidRPr="00785028" w:rsidRDefault="002430F5" w:rsidP="00B57B32">
      <w:pPr>
        <w:pStyle w:val="ListParagraph"/>
        <w:numPr>
          <w:ilvl w:val="0"/>
          <w:numId w:val="22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>An eligible vehicle up to 23.0</w:t>
      </w:r>
      <w:r w:rsidR="00CA07ED">
        <w:rPr>
          <w:color w:val="000000" w:themeColor="text1"/>
          <w:lang w:val="en-US"/>
        </w:rPr>
        <w:t>m</w:t>
      </w:r>
      <w:r w:rsidRPr="00785028">
        <w:rPr>
          <w:color w:val="000000" w:themeColor="text1"/>
          <w:lang w:val="en-US"/>
        </w:rPr>
        <w:t xml:space="preserve"> in length may access the following network:</w:t>
      </w:r>
    </w:p>
    <w:p w14:paraId="202C49FE" w14:textId="77777777" w:rsidR="002430F5" w:rsidRPr="00785028" w:rsidRDefault="002430F5" w:rsidP="002430F5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5E1F6A64" w14:textId="24110F36" w:rsidR="002430F5" w:rsidRPr="00785028" w:rsidRDefault="00534BAE" w:rsidP="002430F5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t>South Australia</w:t>
      </w:r>
      <w:r w:rsidR="002430F5" w:rsidRPr="00785028">
        <w:rPr>
          <w:i/>
          <w:iCs/>
          <w:color w:val="000000" w:themeColor="text1"/>
          <w:lang w:val="en-US"/>
        </w:rPr>
        <w:t xml:space="preserve"> 23 </w:t>
      </w:r>
      <w:proofErr w:type="spellStart"/>
      <w:r w:rsidR="002430F5" w:rsidRPr="00785028">
        <w:rPr>
          <w:i/>
          <w:iCs/>
          <w:color w:val="000000" w:themeColor="text1"/>
          <w:lang w:val="en-US"/>
        </w:rPr>
        <w:t>metre</w:t>
      </w:r>
      <w:proofErr w:type="spellEnd"/>
      <w:r w:rsidR="002430F5" w:rsidRPr="00785028">
        <w:rPr>
          <w:i/>
          <w:iCs/>
          <w:color w:val="000000" w:themeColor="text1"/>
          <w:lang w:val="en-US"/>
        </w:rPr>
        <w:t xml:space="preserve"> B-double Network</w:t>
      </w:r>
      <w:r w:rsidR="00E20211">
        <w:rPr>
          <w:i/>
          <w:iCs/>
          <w:color w:val="000000" w:themeColor="text1"/>
          <w:lang w:val="en-US"/>
        </w:rPr>
        <w:t xml:space="preserve"> (GML)</w:t>
      </w:r>
    </w:p>
    <w:p w14:paraId="7641655A" w14:textId="77777777" w:rsidR="002430F5" w:rsidRPr="00785028" w:rsidRDefault="002430F5" w:rsidP="002430F5">
      <w:pPr>
        <w:pStyle w:val="ListParagraph"/>
        <w:tabs>
          <w:tab w:val="left" w:pos="834"/>
        </w:tabs>
        <w:spacing w:line="276" w:lineRule="auto"/>
        <w:ind w:left="1080" w:right="109"/>
        <w:rPr>
          <w:color w:val="000000" w:themeColor="text1"/>
        </w:rPr>
      </w:pPr>
    </w:p>
    <w:p w14:paraId="45DA2488" w14:textId="0378D807" w:rsidR="002430F5" w:rsidRPr="00785028" w:rsidRDefault="002430F5" w:rsidP="00B57B32">
      <w:pPr>
        <w:pStyle w:val="ListParagraph"/>
        <w:numPr>
          <w:ilvl w:val="0"/>
          <w:numId w:val="22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>An eligible vehicle up to 26.0</w:t>
      </w:r>
      <w:r w:rsidR="00CA07ED">
        <w:rPr>
          <w:color w:val="000000" w:themeColor="text1"/>
          <w:lang w:val="en-US"/>
        </w:rPr>
        <w:t>m</w:t>
      </w:r>
      <w:r w:rsidRPr="00785028">
        <w:rPr>
          <w:color w:val="000000" w:themeColor="text1"/>
          <w:lang w:val="en-US"/>
        </w:rPr>
        <w:t xml:space="preserve"> in length may access the following network:</w:t>
      </w:r>
    </w:p>
    <w:p w14:paraId="5CB8528A" w14:textId="77777777" w:rsidR="002430F5" w:rsidRPr="00785028" w:rsidRDefault="002430F5" w:rsidP="002430F5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26436FDF" w14:textId="02B587A4" w:rsidR="002430F5" w:rsidRPr="00785028" w:rsidRDefault="00534BAE" w:rsidP="002430F5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t>South Australia</w:t>
      </w:r>
      <w:r w:rsidR="002430F5" w:rsidRPr="00785028">
        <w:rPr>
          <w:i/>
          <w:iCs/>
          <w:color w:val="000000" w:themeColor="text1"/>
          <w:lang w:val="en-US"/>
        </w:rPr>
        <w:t xml:space="preserve"> 26 </w:t>
      </w:r>
      <w:proofErr w:type="spellStart"/>
      <w:r w:rsidR="002430F5" w:rsidRPr="00785028">
        <w:rPr>
          <w:i/>
          <w:iCs/>
          <w:color w:val="000000" w:themeColor="text1"/>
          <w:lang w:val="en-US"/>
        </w:rPr>
        <w:t>metre</w:t>
      </w:r>
      <w:proofErr w:type="spellEnd"/>
      <w:r w:rsidR="002430F5" w:rsidRPr="00785028">
        <w:rPr>
          <w:i/>
          <w:iCs/>
          <w:color w:val="000000" w:themeColor="text1"/>
          <w:lang w:val="en-US"/>
        </w:rPr>
        <w:t xml:space="preserve"> B-double Network</w:t>
      </w:r>
      <w:r w:rsidR="00E20211">
        <w:rPr>
          <w:i/>
          <w:iCs/>
          <w:color w:val="000000" w:themeColor="text1"/>
          <w:lang w:val="en-US"/>
        </w:rPr>
        <w:t xml:space="preserve"> (GML)</w:t>
      </w:r>
    </w:p>
    <w:p w14:paraId="3F67AE7D" w14:textId="77777777" w:rsidR="002E6B8D" w:rsidRDefault="002E6B8D" w:rsidP="002E6B8D">
      <w:pPr>
        <w:pStyle w:val="ListParagraph"/>
        <w:tabs>
          <w:tab w:val="left" w:pos="834"/>
        </w:tabs>
        <w:spacing w:line="276" w:lineRule="auto"/>
        <w:ind w:left="1080" w:right="109"/>
        <w:rPr>
          <w:color w:val="000000" w:themeColor="text1"/>
        </w:rPr>
      </w:pPr>
    </w:p>
    <w:p w14:paraId="55DE6774" w14:textId="3405FD55" w:rsidR="002E6B8D" w:rsidRPr="002E6B8D" w:rsidRDefault="002E6B8D" w:rsidP="00B57B32">
      <w:pPr>
        <w:pStyle w:val="ListParagraph"/>
        <w:numPr>
          <w:ilvl w:val="0"/>
          <w:numId w:val="22"/>
        </w:numPr>
        <w:jc w:val="both"/>
        <w:rPr>
          <w:color w:val="000000" w:themeColor="text1"/>
          <w:lang w:val="en-US"/>
        </w:rPr>
      </w:pPr>
      <w:r w:rsidRPr="002E6B8D">
        <w:rPr>
          <w:color w:val="000000" w:themeColor="text1"/>
          <w:lang w:val="en-US"/>
        </w:rPr>
        <w:t>An eligible vehicle that is transporting commodities and is</w:t>
      </w:r>
      <w:r>
        <w:rPr>
          <w:color w:val="000000" w:themeColor="text1"/>
          <w:lang w:val="en-US"/>
        </w:rPr>
        <w:t xml:space="preserve"> </w:t>
      </w:r>
      <w:r w:rsidRPr="002E6B8D">
        <w:rPr>
          <w:color w:val="000000" w:themeColor="text1"/>
          <w:lang w:val="en-US"/>
        </w:rPr>
        <w:t>not more than 26</w:t>
      </w:r>
      <w:r w:rsidR="00CA07ED">
        <w:rPr>
          <w:color w:val="000000" w:themeColor="text1"/>
          <w:lang w:val="en-US"/>
        </w:rPr>
        <w:t>.0m</w:t>
      </w:r>
      <w:r w:rsidRPr="002E6B8D">
        <w:rPr>
          <w:color w:val="000000" w:themeColor="text1"/>
          <w:lang w:val="en-US"/>
        </w:rPr>
        <w:t xml:space="preserve"> in length may access the following network:</w:t>
      </w:r>
    </w:p>
    <w:p w14:paraId="5033A2A2" w14:textId="77777777" w:rsidR="002E6B8D" w:rsidRPr="002E6B8D" w:rsidRDefault="002E6B8D" w:rsidP="002E6B8D">
      <w:pPr>
        <w:pStyle w:val="ListParagraph"/>
        <w:tabs>
          <w:tab w:val="left" w:pos="834"/>
        </w:tabs>
        <w:spacing w:line="276" w:lineRule="auto"/>
        <w:ind w:left="1080" w:right="109"/>
        <w:rPr>
          <w:color w:val="000000" w:themeColor="text1"/>
        </w:rPr>
      </w:pPr>
    </w:p>
    <w:p w14:paraId="04277B88" w14:textId="694082D4" w:rsidR="002430F5" w:rsidRPr="002E6B8D" w:rsidRDefault="002E6B8D" w:rsidP="002E6B8D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  <w:r w:rsidRPr="002E6B8D">
        <w:rPr>
          <w:i/>
          <w:iCs/>
          <w:color w:val="000000" w:themeColor="text1"/>
          <w:lang w:val="en-US"/>
        </w:rPr>
        <w:t>South Australia Commodity Routes</w:t>
      </w:r>
      <w:r w:rsidR="0044702B">
        <w:rPr>
          <w:i/>
          <w:iCs/>
          <w:color w:val="000000" w:themeColor="text1"/>
          <w:lang w:val="en-US"/>
        </w:rPr>
        <w:t xml:space="preserve"> – All B-double (GML)</w:t>
      </w:r>
      <w:r w:rsidR="00587BB6">
        <w:rPr>
          <w:i/>
          <w:iCs/>
          <w:color w:val="000000" w:themeColor="text1"/>
          <w:lang w:val="en-US"/>
        </w:rPr>
        <w:t xml:space="preserve"> </w:t>
      </w:r>
      <w:r w:rsidR="0044702B">
        <w:rPr>
          <w:i/>
          <w:iCs/>
          <w:color w:val="000000" w:themeColor="text1"/>
          <w:lang w:val="en-US"/>
        </w:rPr>
        <w:t>Routes</w:t>
      </w:r>
    </w:p>
    <w:p w14:paraId="50472094" w14:textId="77777777" w:rsidR="002E6B8D" w:rsidRPr="00785028" w:rsidRDefault="002E6B8D" w:rsidP="002430F5">
      <w:pPr>
        <w:pStyle w:val="ListParagraph"/>
        <w:tabs>
          <w:tab w:val="left" w:pos="834"/>
        </w:tabs>
        <w:spacing w:line="276" w:lineRule="auto"/>
        <w:ind w:left="1080" w:right="109"/>
        <w:rPr>
          <w:color w:val="000000" w:themeColor="text1"/>
        </w:rPr>
      </w:pPr>
    </w:p>
    <w:p w14:paraId="79BAC8C0" w14:textId="680F4636" w:rsidR="002430F5" w:rsidRPr="00785028" w:rsidRDefault="002430F5" w:rsidP="00B57B32">
      <w:pPr>
        <w:pStyle w:val="ListParagraph"/>
        <w:numPr>
          <w:ilvl w:val="0"/>
          <w:numId w:val="22"/>
        </w:numPr>
        <w:tabs>
          <w:tab w:val="left" w:pos="834"/>
        </w:tabs>
        <w:spacing w:line="276" w:lineRule="auto"/>
        <w:ind w:right="109"/>
        <w:rPr>
          <w:color w:val="000000" w:themeColor="text1"/>
        </w:rPr>
      </w:pPr>
      <w:r w:rsidRPr="00785028">
        <w:rPr>
          <w:color w:val="000000" w:themeColor="text1"/>
        </w:rPr>
        <w:t xml:space="preserve">Regardless of the access granted in (2) to (5) an eligible vehicle operating under this Notice must also comply with restrictions set out in the </w:t>
      </w:r>
      <w:r w:rsidRPr="00785028">
        <w:rPr>
          <w:i/>
          <w:color w:val="000000" w:themeColor="text1"/>
        </w:rPr>
        <w:t xml:space="preserve">Specified Road Manager Network Requirements, </w:t>
      </w:r>
      <w:r w:rsidRPr="00785028">
        <w:rPr>
          <w:color w:val="000000" w:themeColor="text1"/>
        </w:rPr>
        <w:t xml:space="preserve">published in the Guide. </w:t>
      </w:r>
    </w:p>
    <w:p w14:paraId="0DB45E5F" w14:textId="77777777" w:rsidR="002430F5" w:rsidRPr="00785028" w:rsidRDefault="002430F5" w:rsidP="002430F5">
      <w:pPr>
        <w:pStyle w:val="ListParagraph"/>
        <w:tabs>
          <w:tab w:val="left" w:pos="834"/>
        </w:tabs>
        <w:spacing w:line="276" w:lineRule="auto"/>
        <w:ind w:left="1080" w:right="109"/>
        <w:rPr>
          <w:color w:val="000000" w:themeColor="text1"/>
        </w:rPr>
      </w:pPr>
    </w:p>
    <w:p w14:paraId="5B951649" w14:textId="4DC99AD4" w:rsidR="002430F5" w:rsidRPr="00785028" w:rsidRDefault="002430F5" w:rsidP="002430F5">
      <w:pPr>
        <w:pStyle w:val="ListParagraph"/>
        <w:tabs>
          <w:tab w:val="left" w:pos="834"/>
        </w:tabs>
        <w:spacing w:line="276" w:lineRule="auto"/>
        <w:ind w:left="2160" w:right="109" w:hanging="1080"/>
        <w:rPr>
          <w:i/>
          <w:color w:val="000000" w:themeColor="text1"/>
        </w:rPr>
      </w:pPr>
      <w:r w:rsidRPr="00785028">
        <w:rPr>
          <w:i/>
          <w:color w:val="000000" w:themeColor="text1"/>
        </w:rPr>
        <w:t>Note:</w:t>
      </w:r>
      <w:r w:rsidRPr="00785028">
        <w:rPr>
          <w:i/>
          <w:color w:val="000000" w:themeColor="text1"/>
        </w:rPr>
        <w:tab/>
      </w:r>
      <w:r w:rsidR="00EE3B86">
        <w:rPr>
          <w:i/>
          <w:color w:val="000000" w:themeColor="text1"/>
        </w:rPr>
        <w:t>T</w:t>
      </w:r>
      <w:r w:rsidRPr="00785028">
        <w:rPr>
          <w:i/>
          <w:color w:val="000000" w:themeColor="text1"/>
        </w:rPr>
        <w:t xml:space="preserve">he restrictions in the Specified Road Manager Network Requirements generally provide restrictions on access </w:t>
      </w:r>
      <w:proofErr w:type="gramStart"/>
      <w:r w:rsidRPr="00785028">
        <w:rPr>
          <w:i/>
          <w:color w:val="000000" w:themeColor="text1"/>
        </w:rPr>
        <w:t>in particular</w:t>
      </w:r>
      <w:proofErr w:type="gramEnd"/>
      <w:r w:rsidRPr="00785028">
        <w:rPr>
          <w:i/>
          <w:color w:val="000000" w:themeColor="text1"/>
        </w:rPr>
        <w:t xml:space="preserve"> Road Manager areas.</w:t>
      </w:r>
    </w:p>
    <w:p w14:paraId="0184DC12" w14:textId="77777777" w:rsidR="002430F5" w:rsidRPr="00785028" w:rsidRDefault="002430F5" w:rsidP="002430F5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60FB4114" w14:textId="77777777" w:rsidR="002430F5" w:rsidRPr="00785028" w:rsidRDefault="002430F5" w:rsidP="00B57B32">
      <w:pPr>
        <w:pStyle w:val="ListParagraph"/>
        <w:numPr>
          <w:ilvl w:val="0"/>
          <w:numId w:val="22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An eligible vehicle operating on a network under this section must comply with all </w:t>
      </w:r>
      <w:proofErr w:type="gramStart"/>
      <w:r w:rsidRPr="00785028">
        <w:rPr>
          <w:color w:val="000000" w:themeColor="text1"/>
          <w:lang w:val="en-US"/>
        </w:rPr>
        <w:t>road</w:t>
      </w:r>
      <w:proofErr w:type="gramEnd"/>
      <w:r w:rsidRPr="00785028">
        <w:rPr>
          <w:color w:val="000000" w:themeColor="text1"/>
          <w:lang w:val="en-US"/>
        </w:rPr>
        <w:t>, vehicle and travel conditions that apply to that network at the time of travel.</w:t>
      </w:r>
    </w:p>
    <w:p w14:paraId="4A0B76A6" w14:textId="23FA925F" w:rsidR="00544C6D" w:rsidRDefault="00544C6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6F02C3EF" w14:textId="27BEC696" w:rsidR="002E29D0" w:rsidRPr="00785028" w:rsidRDefault="002E29D0" w:rsidP="002E29D0">
      <w:pPr>
        <w:contextualSpacing/>
        <w:jc w:val="both"/>
        <w:rPr>
          <w:b/>
          <w:bCs/>
          <w:color w:val="000000" w:themeColor="text1"/>
          <w:sz w:val="28"/>
          <w:szCs w:val="28"/>
          <w:lang w:val="en-US"/>
        </w:rPr>
      </w:pPr>
      <w:r w:rsidRPr="00785028">
        <w:rPr>
          <w:b/>
          <w:bCs/>
          <w:color w:val="000000" w:themeColor="text1"/>
          <w:sz w:val="28"/>
          <w:szCs w:val="28"/>
          <w:lang w:val="en-US"/>
        </w:rPr>
        <w:lastRenderedPageBreak/>
        <w:t xml:space="preserve">Schedule </w:t>
      </w:r>
      <w:r>
        <w:rPr>
          <w:b/>
          <w:bCs/>
          <w:color w:val="000000" w:themeColor="text1"/>
          <w:sz w:val="28"/>
          <w:szCs w:val="28"/>
          <w:lang w:val="en-US"/>
        </w:rPr>
        <w:t>5 Tasmania</w:t>
      </w:r>
    </w:p>
    <w:p w14:paraId="582395BE" w14:textId="77777777" w:rsidR="002E29D0" w:rsidRPr="00785028" w:rsidRDefault="002E29D0" w:rsidP="00F50243">
      <w:pPr>
        <w:pStyle w:val="ListParagraph"/>
        <w:numPr>
          <w:ilvl w:val="0"/>
          <w:numId w:val="24"/>
        </w:numPr>
        <w:jc w:val="both"/>
        <w:rPr>
          <w:b/>
          <w:bCs/>
          <w:color w:val="000000" w:themeColor="text1"/>
          <w:lang w:val="en-US"/>
        </w:rPr>
      </w:pPr>
      <w:r w:rsidRPr="00785028">
        <w:rPr>
          <w:b/>
          <w:bCs/>
          <w:color w:val="000000" w:themeColor="text1"/>
          <w:lang w:val="en-US"/>
        </w:rPr>
        <w:t>Application</w:t>
      </w:r>
    </w:p>
    <w:p w14:paraId="683485D8" w14:textId="77777777" w:rsidR="002E29D0" w:rsidRPr="00785028" w:rsidRDefault="002E29D0" w:rsidP="002E29D0">
      <w:pPr>
        <w:pStyle w:val="ListParagraph"/>
        <w:jc w:val="both"/>
        <w:rPr>
          <w:b/>
          <w:bCs/>
          <w:color w:val="000000" w:themeColor="text1"/>
          <w:lang w:val="en-US"/>
        </w:rPr>
      </w:pPr>
    </w:p>
    <w:p w14:paraId="41FF97EB" w14:textId="76482D3A" w:rsidR="002E29D0" w:rsidRPr="00785028" w:rsidRDefault="002E29D0" w:rsidP="002E29D0">
      <w:pPr>
        <w:pStyle w:val="ListParagraph"/>
        <w:ind w:left="1080"/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This Schedule applies in </w:t>
      </w:r>
      <w:r>
        <w:rPr>
          <w:color w:val="000000" w:themeColor="text1"/>
          <w:lang w:val="en-US"/>
        </w:rPr>
        <w:t>Tasmania</w:t>
      </w:r>
      <w:r w:rsidRPr="00785028">
        <w:rPr>
          <w:color w:val="000000" w:themeColor="text1"/>
          <w:lang w:val="en-US"/>
        </w:rPr>
        <w:t>.</w:t>
      </w:r>
    </w:p>
    <w:p w14:paraId="0573F428" w14:textId="77777777" w:rsidR="002E29D0" w:rsidRPr="00785028" w:rsidRDefault="002E29D0" w:rsidP="002E29D0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4C6A5794" w14:textId="77777777" w:rsidR="002E29D0" w:rsidRPr="00785028" w:rsidRDefault="002E29D0" w:rsidP="00F50243">
      <w:pPr>
        <w:pStyle w:val="ListParagraph"/>
        <w:numPr>
          <w:ilvl w:val="0"/>
          <w:numId w:val="24"/>
        </w:numPr>
        <w:jc w:val="both"/>
        <w:rPr>
          <w:b/>
          <w:bCs/>
          <w:color w:val="000000" w:themeColor="text1"/>
          <w:lang w:val="en-US"/>
        </w:rPr>
      </w:pPr>
      <w:r w:rsidRPr="00785028">
        <w:rPr>
          <w:b/>
          <w:bCs/>
          <w:color w:val="000000" w:themeColor="text1"/>
          <w:lang w:val="en-US"/>
        </w:rPr>
        <w:t>Condition – Stated routes and areas (Networks)</w:t>
      </w:r>
    </w:p>
    <w:p w14:paraId="26AEB9AF" w14:textId="77777777" w:rsidR="002E29D0" w:rsidRPr="00785028" w:rsidRDefault="002E29D0" w:rsidP="002E29D0">
      <w:pPr>
        <w:pStyle w:val="ListParagraph"/>
        <w:jc w:val="both"/>
        <w:rPr>
          <w:b/>
          <w:bCs/>
          <w:color w:val="000000" w:themeColor="text1"/>
          <w:lang w:val="en-US"/>
        </w:rPr>
      </w:pPr>
    </w:p>
    <w:p w14:paraId="18163E27" w14:textId="7D2826A9" w:rsidR="002E29D0" w:rsidRPr="00785028" w:rsidRDefault="002E29D0" w:rsidP="00DF6E74">
      <w:pPr>
        <w:pStyle w:val="ListParagraph"/>
        <w:numPr>
          <w:ilvl w:val="0"/>
          <w:numId w:val="23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Pursuant to the </w:t>
      </w:r>
      <w:proofErr w:type="spellStart"/>
      <w:r w:rsidRPr="00785028">
        <w:rPr>
          <w:color w:val="000000" w:themeColor="text1"/>
          <w:lang w:val="en-US"/>
        </w:rPr>
        <w:t>authorisation</w:t>
      </w:r>
      <w:proofErr w:type="spellEnd"/>
      <w:r w:rsidRPr="00785028">
        <w:rPr>
          <w:color w:val="000000" w:themeColor="text1"/>
          <w:lang w:val="en-US"/>
        </w:rPr>
        <w:t xml:space="preserve"> granted in section 11 of this Notice, an eligible vehicle has access to networks in</w:t>
      </w:r>
      <w:r w:rsidR="00C2482B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Tasmania</w:t>
      </w:r>
      <w:r w:rsidRPr="00785028">
        <w:rPr>
          <w:color w:val="000000" w:themeColor="text1"/>
          <w:lang w:val="en-US"/>
        </w:rPr>
        <w:t xml:space="preserve"> as set out in this section.</w:t>
      </w:r>
    </w:p>
    <w:p w14:paraId="285B0DE6" w14:textId="77777777" w:rsidR="002E29D0" w:rsidRPr="00785028" w:rsidRDefault="002E29D0" w:rsidP="002E29D0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4830FF14" w14:textId="086B9766" w:rsidR="002E29D0" w:rsidRDefault="002E29D0" w:rsidP="00DF6E74">
      <w:pPr>
        <w:pStyle w:val="ListParagraph"/>
        <w:numPr>
          <w:ilvl w:val="0"/>
          <w:numId w:val="23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An eligible vehicle up to </w:t>
      </w:r>
      <w:r w:rsidR="00C86BCC">
        <w:rPr>
          <w:color w:val="000000" w:themeColor="text1"/>
          <w:lang w:val="en-US"/>
        </w:rPr>
        <w:t>21</w:t>
      </w:r>
      <w:r w:rsidRPr="00785028">
        <w:rPr>
          <w:color w:val="000000" w:themeColor="text1"/>
          <w:lang w:val="en-US"/>
        </w:rPr>
        <w:t xml:space="preserve">.0m in length that complies with the requirements in section 8 of the notice </w:t>
      </w:r>
      <w:r w:rsidR="008B32DA">
        <w:rPr>
          <w:color w:val="000000" w:themeColor="text1"/>
          <w:lang w:val="en-US"/>
        </w:rPr>
        <w:t xml:space="preserve">has </w:t>
      </w:r>
      <w:r w:rsidR="00BB6D83">
        <w:rPr>
          <w:color w:val="000000" w:themeColor="text1"/>
          <w:lang w:val="en-US"/>
        </w:rPr>
        <w:t>general access</w:t>
      </w:r>
      <w:r w:rsidR="008B32DA">
        <w:rPr>
          <w:color w:val="000000" w:themeColor="text1"/>
          <w:lang w:val="en-US"/>
        </w:rPr>
        <w:t xml:space="preserve"> in Tasmania, subject to the conditions in 6)</w:t>
      </w:r>
      <w:r w:rsidRPr="00785028">
        <w:rPr>
          <w:color w:val="000000" w:themeColor="text1"/>
          <w:lang w:val="en-US"/>
        </w:rPr>
        <w:t>.</w:t>
      </w:r>
    </w:p>
    <w:p w14:paraId="002952CE" w14:textId="77777777" w:rsidR="00FA1348" w:rsidRDefault="00FA1348" w:rsidP="00FA1348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47448180" w14:textId="26A9E85C" w:rsidR="00FA1348" w:rsidRPr="00785028" w:rsidRDefault="00FA1348" w:rsidP="00DF6E74">
      <w:pPr>
        <w:pStyle w:val="ListParagraph"/>
        <w:numPr>
          <w:ilvl w:val="0"/>
          <w:numId w:val="23"/>
        </w:numPr>
        <w:jc w:val="both"/>
        <w:rPr>
          <w:color w:val="000000" w:themeColor="text1"/>
          <w:lang w:val="en-US"/>
        </w:rPr>
      </w:pPr>
      <w:r w:rsidRPr="00FA1348">
        <w:rPr>
          <w:color w:val="000000" w:themeColor="text1"/>
          <w:lang w:val="en-US"/>
        </w:rPr>
        <w:t>An eligible vehicle up to 21.3</w:t>
      </w:r>
      <w:r>
        <w:rPr>
          <w:color w:val="000000" w:themeColor="text1"/>
          <w:lang w:val="en-US"/>
        </w:rPr>
        <w:t>m</w:t>
      </w:r>
      <w:r w:rsidRPr="00FA1348">
        <w:rPr>
          <w:color w:val="000000" w:themeColor="text1"/>
          <w:lang w:val="en-US"/>
        </w:rPr>
        <w:t xml:space="preserve"> in length </w:t>
      </w:r>
      <w:r w:rsidR="007E21CF">
        <w:rPr>
          <w:color w:val="000000" w:themeColor="text1"/>
          <w:lang w:val="en-US"/>
        </w:rPr>
        <w:t>complies with the</w:t>
      </w:r>
      <w:r w:rsidRPr="00FA1348">
        <w:rPr>
          <w:color w:val="000000" w:themeColor="text1"/>
          <w:lang w:val="en-US"/>
        </w:rPr>
        <w:t xml:space="preserve"> </w:t>
      </w:r>
      <w:r w:rsidR="007E21CF">
        <w:rPr>
          <w:color w:val="000000" w:themeColor="text1"/>
          <w:lang w:val="en-US"/>
        </w:rPr>
        <w:t xml:space="preserve">requirements </w:t>
      </w:r>
      <w:r w:rsidRPr="00FA1348">
        <w:rPr>
          <w:color w:val="000000" w:themeColor="text1"/>
          <w:lang w:val="en-US"/>
        </w:rPr>
        <w:t xml:space="preserve">in section 8 of the Notice </w:t>
      </w:r>
      <w:r w:rsidR="0019293C">
        <w:rPr>
          <w:color w:val="000000" w:themeColor="text1"/>
          <w:lang w:val="en-US"/>
        </w:rPr>
        <w:t>and is fitted with a rear log guard</w:t>
      </w:r>
      <w:r w:rsidR="007919A8">
        <w:rPr>
          <w:color w:val="000000" w:themeColor="text1"/>
          <w:lang w:val="en-US"/>
        </w:rPr>
        <w:t xml:space="preserve">, </w:t>
      </w:r>
      <w:r w:rsidRPr="00FA1348">
        <w:rPr>
          <w:color w:val="000000" w:themeColor="text1"/>
          <w:lang w:val="en-US"/>
        </w:rPr>
        <w:t>has general access</w:t>
      </w:r>
      <w:r w:rsidR="007919A8">
        <w:rPr>
          <w:color w:val="000000" w:themeColor="text1"/>
          <w:lang w:val="en-US"/>
        </w:rPr>
        <w:t xml:space="preserve"> subject to the conditions in 6)</w:t>
      </w:r>
      <w:r w:rsidR="00EC30A1">
        <w:rPr>
          <w:color w:val="000000" w:themeColor="text1"/>
          <w:lang w:val="en-US"/>
        </w:rPr>
        <w:t>.</w:t>
      </w:r>
    </w:p>
    <w:p w14:paraId="1AB689E5" w14:textId="77777777" w:rsidR="002E29D0" w:rsidRPr="00785028" w:rsidRDefault="002E29D0" w:rsidP="002E29D0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67D4D1AF" w14:textId="349F9275" w:rsidR="002E29D0" w:rsidRPr="00785028" w:rsidRDefault="002E29D0" w:rsidP="00DF6E74">
      <w:pPr>
        <w:pStyle w:val="ListParagraph"/>
        <w:numPr>
          <w:ilvl w:val="0"/>
          <w:numId w:val="23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>An eligible vehicle up to 23.0</w:t>
      </w:r>
      <w:r w:rsidR="00CA07ED">
        <w:rPr>
          <w:color w:val="000000" w:themeColor="text1"/>
          <w:lang w:val="en-US"/>
        </w:rPr>
        <w:t>m</w:t>
      </w:r>
      <w:r w:rsidRPr="00785028">
        <w:rPr>
          <w:color w:val="000000" w:themeColor="text1"/>
          <w:lang w:val="en-US"/>
        </w:rPr>
        <w:t xml:space="preserve"> in length may access the following network:</w:t>
      </w:r>
    </w:p>
    <w:p w14:paraId="6A7D08F4" w14:textId="77777777" w:rsidR="002E29D0" w:rsidRPr="00785028" w:rsidRDefault="002E29D0" w:rsidP="002E29D0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59CD656F" w14:textId="51C6231A" w:rsidR="002E29D0" w:rsidRPr="00785028" w:rsidRDefault="00DF6E74" w:rsidP="002E29D0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t>Tasmania</w:t>
      </w:r>
      <w:r w:rsidR="000C59D9">
        <w:rPr>
          <w:i/>
          <w:iCs/>
          <w:color w:val="000000" w:themeColor="text1"/>
          <w:lang w:val="en-US"/>
        </w:rPr>
        <w:t>n</w:t>
      </w:r>
      <w:r w:rsidR="002E29D0" w:rsidRPr="00785028">
        <w:rPr>
          <w:i/>
          <w:iCs/>
          <w:color w:val="000000" w:themeColor="text1"/>
          <w:lang w:val="en-US"/>
        </w:rPr>
        <w:t xml:space="preserve"> 23</w:t>
      </w:r>
      <w:r w:rsidR="002E302D">
        <w:rPr>
          <w:i/>
          <w:iCs/>
          <w:color w:val="000000" w:themeColor="text1"/>
          <w:lang w:val="en-US"/>
        </w:rPr>
        <w:t>m</w:t>
      </w:r>
      <w:r w:rsidR="002E29D0" w:rsidRPr="00785028">
        <w:rPr>
          <w:i/>
          <w:iCs/>
          <w:color w:val="000000" w:themeColor="text1"/>
          <w:lang w:val="en-US"/>
        </w:rPr>
        <w:t xml:space="preserve"> B-double Network</w:t>
      </w:r>
    </w:p>
    <w:p w14:paraId="37B949A3" w14:textId="77777777" w:rsidR="002E29D0" w:rsidRPr="00785028" w:rsidRDefault="002E29D0" w:rsidP="002E29D0">
      <w:pPr>
        <w:pStyle w:val="ListParagraph"/>
        <w:tabs>
          <w:tab w:val="left" w:pos="834"/>
        </w:tabs>
        <w:spacing w:line="276" w:lineRule="auto"/>
        <w:ind w:left="1080" w:right="109"/>
        <w:rPr>
          <w:color w:val="000000" w:themeColor="text1"/>
        </w:rPr>
      </w:pPr>
    </w:p>
    <w:p w14:paraId="5A4AC4C9" w14:textId="68C25D0E" w:rsidR="002E29D0" w:rsidRPr="00785028" w:rsidRDefault="002E29D0" w:rsidP="00DF6E74">
      <w:pPr>
        <w:pStyle w:val="ListParagraph"/>
        <w:numPr>
          <w:ilvl w:val="0"/>
          <w:numId w:val="23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>An eligible vehicle up to 26.0</w:t>
      </w:r>
      <w:r w:rsidR="00CA07ED">
        <w:rPr>
          <w:color w:val="000000" w:themeColor="text1"/>
          <w:lang w:val="en-US"/>
        </w:rPr>
        <w:t>m</w:t>
      </w:r>
      <w:r w:rsidRPr="00785028">
        <w:rPr>
          <w:color w:val="000000" w:themeColor="text1"/>
          <w:lang w:val="en-US"/>
        </w:rPr>
        <w:t xml:space="preserve"> in length may access the following network:</w:t>
      </w:r>
    </w:p>
    <w:p w14:paraId="016C334E" w14:textId="77777777" w:rsidR="002E29D0" w:rsidRPr="00785028" w:rsidRDefault="002E29D0" w:rsidP="002E29D0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655E3E12" w14:textId="04CA6D63" w:rsidR="002E29D0" w:rsidRDefault="00DF6E74" w:rsidP="00DF6E74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t>Tasmania</w:t>
      </w:r>
      <w:r w:rsidR="000C59D9">
        <w:rPr>
          <w:i/>
          <w:iCs/>
          <w:color w:val="000000" w:themeColor="text1"/>
          <w:lang w:val="en-US"/>
        </w:rPr>
        <w:t>n</w:t>
      </w:r>
      <w:r w:rsidR="002E29D0" w:rsidRPr="00785028">
        <w:rPr>
          <w:i/>
          <w:iCs/>
          <w:color w:val="000000" w:themeColor="text1"/>
          <w:lang w:val="en-US"/>
        </w:rPr>
        <w:t xml:space="preserve"> 26</w:t>
      </w:r>
      <w:r w:rsidR="002E302D">
        <w:rPr>
          <w:i/>
          <w:iCs/>
          <w:color w:val="000000" w:themeColor="text1"/>
          <w:lang w:val="en-US"/>
        </w:rPr>
        <w:t>m</w:t>
      </w:r>
      <w:r w:rsidR="002E29D0" w:rsidRPr="00785028">
        <w:rPr>
          <w:i/>
          <w:iCs/>
          <w:color w:val="000000" w:themeColor="text1"/>
          <w:lang w:val="en-US"/>
        </w:rPr>
        <w:t xml:space="preserve"> B-double Network</w:t>
      </w:r>
    </w:p>
    <w:p w14:paraId="7F066182" w14:textId="77777777" w:rsidR="00DF6E74" w:rsidRPr="00DF6E74" w:rsidRDefault="00DF6E74" w:rsidP="00DF6E74">
      <w:pPr>
        <w:pStyle w:val="ListParagraph"/>
        <w:ind w:left="1080"/>
        <w:rPr>
          <w:i/>
          <w:iCs/>
          <w:color w:val="000000" w:themeColor="text1"/>
          <w:lang w:val="en-US"/>
        </w:rPr>
      </w:pPr>
    </w:p>
    <w:p w14:paraId="6B802EEC" w14:textId="2D056873" w:rsidR="002E29D0" w:rsidRPr="00785028" w:rsidRDefault="002E29D0" w:rsidP="00DF6E74">
      <w:pPr>
        <w:pStyle w:val="ListParagraph"/>
        <w:numPr>
          <w:ilvl w:val="0"/>
          <w:numId w:val="23"/>
        </w:numPr>
        <w:tabs>
          <w:tab w:val="left" w:pos="834"/>
        </w:tabs>
        <w:spacing w:line="276" w:lineRule="auto"/>
        <w:ind w:right="109"/>
        <w:rPr>
          <w:color w:val="000000" w:themeColor="text1"/>
        </w:rPr>
      </w:pPr>
      <w:r w:rsidRPr="00785028">
        <w:rPr>
          <w:color w:val="000000" w:themeColor="text1"/>
        </w:rPr>
        <w:t xml:space="preserve">Regardless of the access granted in (2) to (5) an eligible vehicle operating under this Notice must also comply with restrictions set out in the </w:t>
      </w:r>
      <w:r w:rsidRPr="00785028">
        <w:rPr>
          <w:i/>
          <w:color w:val="000000" w:themeColor="text1"/>
        </w:rPr>
        <w:t xml:space="preserve">Specified Road Manager Network Requirements, </w:t>
      </w:r>
      <w:r w:rsidRPr="00785028">
        <w:rPr>
          <w:color w:val="000000" w:themeColor="text1"/>
        </w:rPr>
        <w:t xml:space="preserve">published in the Guide. </w:t>
      </w:r>
    </w:p>
    <w:p w14:paraId="2F9513A3" w14:textId="77777777" w:rsidR="002E29D0" w:rsidRPr="00785028" w:rsidRDefault="002E29D0" w:rsidP="002E29D0">
      <w:pPr>
        <w:pStyle w:val="ListParagraph"/>
        <w:tabs>
          <w:tab w:val="left" w:pos="834"/>
        </w:tabs>
        <w:spacing w:line="276" w:lineRule="auto"/>
        <w:ind w:left="1080" w:right="109"/>
        <w:rPr>
          <w:color w:val="000000" w:themeColor="text1"/>
        </w:rPr>
      </w:pPr>
    </w:p>
    <w:p w14:paraId="051F3075" w14:textId="77777777" w:rsidR="002E29D0" w:rsidRPr="00785028" w:rsidRDefault="002E29D0" w:rsidP="002E29D0">
      <w:pPr>
        <w:pStyle w:val="ListParagraph"/>
        <w:tabs>
          <w:tab w:val="left" w:pos="834"/>
        </w:tabs>
        <w:spacing w:line="276" w:lineRule="auto"/>
        <w:ind w:left="2160" w:right="109" w:hanging="1080"/>
        <w:rPr>
          <w:i/>
          <w:color w:val="000000" w:themeColor="text1"/>
        </w:rPr>
      </w:pPr>
      <w:r w:rsidRPr="00785028">
        <w:rPr>
          <w:i/>
          <w:color w:val="000000" w:themeColor="text1"/>
        </w:rPr>
        <w:t>Note:</w:t>
      </w:r>
      <w:r w:rsidRPr="00785028">
        <w:rPr>
          <w:i/>
          <w:color w:val="000000" w:themeColor="text1"/>
        </w:rPr>
        <w:tab/>
        <w:t xml:space="preserve">the restrictions in the Specified Road Manager Network Requirements generally provide restrictions on access </w:t>
      </w:r>
      <w:proofErr w:type="gramStart"/>
      <w:r w:rsidRPr="00785028">
        <w:rPr>
          <w:i/>
          <w:color w:val="000000" w:themeColor="text1"/>
        </w:rPr>
        <w:t>in particular</w:t>
      </w:r>
      <w:proofErr w:type="gramEnd"/>
      <w:r w:rsidRPr="00785028">
        <w:rPr>
          <w:i/>
          <w:color w:val="000000" w:themeColor="text1"/>
        </w:rPr>
        <w:t xml:space="preserve"> Road Manager areas.</w:t>
      </w:r>
    </w:p>
    <w:p w14:paraId="18929C9F" w14:textId="77777777" w:rsidR="002E29D0" w:rsidRPr="00785028" w:rsidRDefault="002E29D0" w:rsidP="002E29D0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4B8F485E" w14:textId="77777777" w:rsidR="002E29D0" w:rsidRDefault="002E29D0" w:rsidP="00DF6E74">
      <w:pPr>
        <w:pStyle w:val="ListParagraph"/>
        <w:numPr>
          <w:ilvl w:val="0"/>
          <w:numId w:val="23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An eligible vehicle operating on a network under this section must comply with all </w:t>
      </w:r>
      <w:proofErr w:type="gramStart"/>
      <w:r w:rsidRPr="00785028">
        <w:rPr>
          <w:color w:val="000000" w:themeColor="text1"/>
          <w:lang w:val="en-US"/>
        </w:rPr>
        <w:t>road</w:t>
      </w:r>
      <w:proofErr w:type="gramEnd"/>
      <w:r w:rsidRPr="00785028">
        <w:rPr>
          <w:color w:val="000000" w:themeColor="text1"/>
          <w:lang w:val="en-US"/>
        </w:rPr>
        <w:t>, vehicle and travel conditions that apply to that network at the time of travel.</w:t>
      </w:r>
    </w:p>
    <w:p w14:paraId="359587D5" w14:textId="77777777" w:rsidR="004E4E55" w:rsidRPr="00785028" w:rsidRDefault="004E4E55" w:rsidP="004E4E55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5ECDFB69" w14:textId="55885CCC" w:rsidR="001D1A68" w:rsidRDefault="00C8199A" w:rsidP="00EC5E75">
      <w:pPr>
        <w:pStyle w:val="ListParagraph"/>
        <w:numPr>
          <w:ilvl w:val="0"/>
          <w:numId w:val="23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In this section, </w:t>
      </w:r>
      <w:r w:rsidRPr="004E23B2">
        <w:rPr>
          <w:b/>
          <w:bCs/>
          <w:i/>
          <w:iCs/>
          <w:color w:val="000000" w:themeColor="text1"/>
          <w:lang w:val="en-US"/>
        </w:rPr>
        <w:t>rear log guard</w:t>
      </w:r>
      <w:r>
        <w:rPr>
          <w:color w:val="000000" w:themeColor="text1"/>
          <w:lang w:val="en-US"/>
        </w:rPr>
        <w:t xml:space="preserve"> means </w:t>
      </w:r>
      <w:r w:rsidR="004E23B2">
        <w:rPr>
          <w:color w:val="000000" w:themeColor="text1"/>
          <w:lang w:val="en-US"/>
        </w:rPr>
        <w:t>a mechanism or fixture installed to the rear of the trailer for the purpose of restraining logs.</w:t>
      </w:r>
      <w:r w:rsidR="001D1A68" w:rsidRPr="00EC5E75">
        <w:rPr>
          <w:color w:val="000000" w:themeColor="text1"/>
          <w:lang w:val="en-US"/>
        </w:rPr>
        <w:br w:type="page"/>
      </w:r>
    </w:p>
    <w:p w14:paraId="4E958780" w14:textId="0C58421B" w:rsidR="001D1A68" w:rsidRPr="00785028" w:rsidRDefault="001D1A68" w:rsidP="001D1A68">
      <w:pPr>
        <w:contextualSpacing/>
        <w:jc w:val="both"/>
        <w:rPr>
          <w:b/>
          <w:bCs/>
          <w:color w:val="000000" w:themeColor="text1"/>
          <w:sz w:val="28"/>
          <w:szCs w:val="28"/>
          <w:lang w:val="en-US"/>
        </w:rPr>
      </w:pPr>
      <w:r w:rsidRPr="00785028">
        <w:rPr>
          <w:b/>
          <w:bCs/>
          <w:color w:val="000000" w:themeColor="text1"/>
          <w:sz w:val="28"/>
          <w:szCs w:val="28"/>
          <w:lang w:val="en-US"/>
        </w:rPr>
        <w:lastRenderedPageBreak/>
        <w:t xml:space="preserve">Schedule </w:t>
      </w:r>
      <w:r>
        <w:rPr>
          <w:b/>
          <w:bCs/>
          <w:color w:val="000000" w:themeColor="text1"/>
          <w:sz w:val="28"/>
          <w:szCs w:val="28"/>
          <w:lang w:val="en-US"/>
        </w:rPr>
        <w:t>6 Victoria</w:t>
      </w:r>
    </w:p>
    <w:p w14:paraId="597C2B51" w14:textId="77777777" w:rsidR="001D1A68" w:rsidRPr="00785028" w:rsidRDefault="001D1A68" w:rsidP="00E97681">
      <w:pPr>
        <w:pStyle w:val="ListParagraph"/>
        <w:numPr>
          <w:ilvl w:val="0"/>
          <w:numId w:val="26"/>
        </w:numPr>
        <w:jc w:val="both"/>
        <w:rPr>
          <w:b/>
          <w:bCs/>
          <w:color w:val="000000" w:themeColor="text1"/>
          <w:lang w:val="en-US"/>
        </w:rPr>
      </w:pPr>
      <w:r w:rsidRPr="00785028">
        <w:rPr>
          <w:b/>
          <w:bCs/>
          <w:color w:val="000000" w:themeColor="text1"/>
          <w:lang w:val="en-US"/>
        </w:rPr>
        <w:t>Application</w:t>
      </w:r>
    </w:p>
    <w:p w14:paraId="0B9698E6" w14:textId="77777777" w:rsidR="001D1A68" w:rsidRPr="00785028" w:rsidRDefault="001D1A68" w:rsidP="001D1A68">
      <w:pPr>
        <w:pStyle w:val="ListParagraph"/>
        <w:jc w:val="both"/>
        <w:rPr>
          <w:b/>
          <w:bCs/>
          <w:color w:val="000000" w:themeColor="text1"/>
          <w:lang w:val="en-US"/>
        </w:rPr>
      </w:pPr>
    </w:p>
    <w:p w14:paraId="2B745432" w14:textId="3885C4D8" w:rsidR="001D1A68" w:rsidRPr="00785028" w:rsidRDefault="001D1A68" w:rsidP="001D1A68">
      <w:pPr>
        <w:pStyle w:val="ListParagraph"/>
        <w:ind w:left="1080"/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This Schedule applies in </w:t>
      </w:r>
      <w:r>
        <w:rPr>
          <w:color w:val="000000" w:themeColor="text1"/>
          <w:lang w:val="en-US"/>
        </w:rPr>
        <w:t>Victoria</w:t>
      </w:r>
      <w:r w:rsidRPr="00785028">
        <w:rPr>
          <w:color w:val="000000" w:themeColor="text1"/>
          <w:lang w:val="en-US"/>
        </w:rPr>
        <w:t>.</w:t>
      </w:r>
    </w:p>
    <w:p w14:paraId="28CED530" w14:textId="77777777" w:rsidR="001D1A68" w:rsidRPr="00785028" w:rsidRDefault="001D1A68" w:rsidP="001D1A68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21D54FCE" w14:textId="77777777" w:rsidR="001D1A68" w:rsidRPr="00785028" w:rsidRDefault="001D1A68" w:rsidP="00E97681">
      <w:pPr>
        <w:pStyle w:val="ListParagraph"/>
        <w:numPr>
          <w:ilvl w:val="0"/>
          <w:numId w:val="26"/>
        </w:numPr>
        <w:jc w:val="both"/>
        <w:rPr>
          <w:b/>
          <w:bCs/>
          <w:color w:val="000000" w:themeColor="text1"/>
          <w:lang w:val="en-US"/>
        </w:rPr>
      </w:pPr>
      <w:r w:rsidRPr="00785028">
        <w:rPr>
          <w:b/>
          <w:bCs/>
          <w:color w:val="000000" w:themeColor="text1"/>
          <w:lang w:val="en-US"/>
        </w:rPr>
        <w:t>Condition – Stated routes and areas (Networks)</w:t>
      </w:r>
    </w:p>
    <w:p w14:paraId="0F63629D" w14:textId="77777777" w:rsidR="001D1A68" w:rsidRPr="00785028" w:rsidRDefault="001D1A68" w:rsidP="001D1A68">
      <w:pPr>
        <w:pStyle w:val="ListParagraph"/>
        <w:jc w:val="both"/>
        <w:rPr>
          <w:b/>
          <w:bCs/>
          <w:color w:val="000000" w:themeColor="text1"/>
          <w:lang w:val="en-US"/>
        </w:rPr>
      </w:pPr>
    </w:p>
    <w:p w14:paraId="72CACD2A" w14:textId="13F408D8" w:rsidR="001D1A68" w:rsidRPr="00785028" w:rsidRDefault="001D1A68" w:rsidP="001D1A68">
      <w:pPr>
        <w:pStyle w:val="ListParagraph"/>
        <w:numPr>
          <w:ilvl w:val="0"/>
          <w:numId w:val="25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Pursuant to the </w:t>
      </w:r>
      <w:proofErr w:type="spellStart"/>
      <w:r w:rsidRPr="00785028">
        <w:rPr>
          <w:color w:val="000000" w:themeColor="text1"/>
          <w:lang w:val="en-US"/>
        </w:rPr>
        <w:t>authorisation</w:t>
      </w:r>
      <w:proofErr w:type="spellEnd"/>
      <w:r w:rsidRPr="00785028">
        <w:rPr>
          <w:color w:val="000000" w:themeColor="text1"/>
          <w:lang w:val="en-US"/>
        </w:rPr>
        <w:t xml:space="preserve"> granted in section 11 of this Notice, an eligible vehicle has access to networks in the </w:t>
      </w:r>
      <w:r>
        <w:rPr>
          <w:color w:val="000000" w:themeColor="text1"/>
          <w:lang w:val="en-US"/>
        </w:rPr>
        <w:t>Victoria</w:t>
      </w:r>
      <w:r w:rsidRPr="00785028">
        <w:rPr>
          <w:color w:val="000000" w:themeColor="text1"/>
          <w:lang w:val="en-US"/>
        </w:rPr>
        <w:t xml:space="preserve"> as set out in this section.</w:t>
      </w:r>
    </w:p>
    <w:p w14:paraId="692DC3EF" w14:textId="77777777" w:rsidR="001D1A68" w:rsidRPr="00785028" w:rsidRDefault="001D1A68" w:rsidP="001D1A68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1BC29572" w14:textId="3B0807F4" w:rsidR="001D1A68" w:rsidRPr="00785028" w:rsidRDefault="001D1A68" w:rsidP="001D1A68">
      <w:pPr>
        <w:pStyle w:val="ListParagraph"/>
        <w:numPr>
          <w:ilvl w:val="0"/>
          <w:numId w:val="25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An eligible vehicle up to 19.0m in length that complies with the requirements in section 8 of the notice has </w:t>
      </w:r>
      <w:r w:rsidR="00BB6D83">
        <w:rPr>
          <w:color w:val="000000" w:themeColor="text1"/>
          <w:lang w:val="en-US"/>
        </w:rPr>
        <w:t>general access</w:t>
      </w:r>
      <w:r w:rsidR="00DF4719">
        <w:rPr>
          <w:color w:val="000000" w:themeColor="text1"/>
          <w:lang w:val="en-US"/>
        </w:rPr>
        <w:t xml:space="preserve"> in Victoria, subject to the conditions in 4)</w:t>
      </w:r>
      <w:r w:rsidRPr="00785028">
        <w:rPr>
          <w:color w:val="000000" w:themeColor="text1"/>
          <w:lang w:val="en-US"/>
        </w:rPr>
        <w:t>.</w:t>
      </w:r>
    </w:p>
    <w:p w14:paraId="5CA7D6B0" w14:textId="77777777" w:rsidR="001D1A68" w:rsidRPr="00785028" w:rsidRDefault="001D1A68" w:rsidP="001D1A68">
      <w:pPr>
        <w:pStyle w:val="ListParagraph"/>
        <w:tabs>
          <w:tab w:val="left" w:pos="834"/>
        </w:tabs>
        <w:spacing w:line="276" w:lineRule="auto"/>
        <w:ind w:left="1080" w:right="109"/>
        <w:rPr>
          <w:color w:val="000000" w:themeColor="text1"/>
        </w:rPr>
      </w:pPr>
    </w:p>
    <w:p w14:paraId="2DE3FAA0" w14:textId="1318AC88" w:rsidR="001D1A68" w:rsidRPr="00785028" w:rsidRDefault="001D1A68" w:rsidP="001D1A68">
      <w:pPr>
        <w:pStyle w:val="ListParagraph"/>
        <w:numPr>
          <w:ilvl w:val="0"/>
          <w:numId w:val="25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>An eligible vehicle up to 26.0</w:t>
      </w:r>
      <w:r w:rsidR="00CA07ED">
        <w:rPr>
          <w:color w:val="000000" w:themeColor="text1"/>
          <w:lang w:val="en-US"/>
        </w:rPr>
        <w:t>m</w:t>
      </w:r>
      <w:r w:rsidRPr="00785028">
        <w:rPr>
          <w:color w:val="000000" w:themeColor="text1"/>
          <w:lang w:val="en-US"/>
        </w:rPr>
        <w:t xml:space="preserve"> in length may access the following network:</w:t>
      </w:r>
    </w:p>
    <w:p w14:paraId="1E129A0E" w14:textId="77777777" w:rsidR="001D1A68" w:rsidRPr="00785028" w:rsidRDefault="001D1A68" w:rsidP="001D1A68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4AACBAF7" w14:textId="67FFD268" w:rsidR="001D1A68" w:rsidRPr="00785028" w:rsidRDefault="00755617" w:rsidP="001D1A68">
      <w:pPr>
        <w:pStyle w:val="ListParagraph"/>
        <w:ind w:left="1080"/>
        <w:jc w:val="center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t>Victoria</w:t>
      </w:r>
      <w:r w:rsidR="001D1A68" w:rsidRPr="00785028">
        <w:rPr>
          <w:i/>
          <w:iCs/>
          <w:color w:val="000000" w:themeColor="text1"/>
          <w:lang w:val="en-US"/>
        </w:rPr>
        <w:t xml:space="preserve"> 26 </w:t>
      </w:r>
      <w:proofErr w:type="spellStart"/>
      <w:r w:rsidR="001D1A68" w:rsidRPr="00785028">
        <w:rPr>
          <w:i/>
          <w:iCs/>
          <w:color w:val="000000" w:themeColor="text1"/>
          <w:lang w:val="en-US"/>
        </w:rPr>
        <w:t>metre</w:t>
      </w:r>
      <w:proofErr w:type="spellEnd"/>
      <w:r w:rsidR="001D1A68" w:rsidRPr="00785028">
        <w:rPr>
          <w:i/>
          <w:iCs/>
          <w:color w:val="000000" w:themeColor="text1"/>
          <w:lang w:val="en-US"/>
        </w:rPr>
        <w:t xml:space="preserve"> B-double Network</w:t>
      </w:r>
    </w:p>
    <w:p w14:paraId="5DED94E2" w14:textId="77777777" w:rsidR="001D1A68" w:rsidRPr="00785028" w:rsidRDefault="001D1A68" w:rsidP="001D1A68">
      <w:pPr>
        <w:pStyle w:val="ListParagraph"/>
        <w:tabs>
          <w:tab w:val="left" w:pos="834"/>
        </w:tabs>
        <w:spacing w:line="276" w:lineRule="auto"/>
        <w:ind w:left="1080" w:right="109"/>
        <w:rPr>
          <w:color w:val="000000" w:themeColor="text1"/>
        </w:rPr>
      </w:pPr>
    </w:p>
    <w:p w14:paraId="7E757CD6" w14:textId="1ABC763E" w:rsidR="001D1A68" w:rsidRPr="00785028" w:rsidRDefault="001D1A68" w:rsidP="001D1A68">
      <w:pPr>
        <w:pStyle w:val="ListParagraph"/>
        <w:numPr>
          <w:ilvl w:val="0"/>
          <w:numId w:val="25"/>
        </w:numPr>
        <w:tabs>
          <w:tab w:val="left" w:pos="834"/>
        </w:tabs>
        <w:spacing w:line="276" w:lineRule="auto"/>
        <w:ind w:right="109"/>
        <w:rPr>
          <w:color w:val="000000" w:themeColor="text1"/>
        </w:rPr>
      </w:pPr>
      <w:r w:rsidRPr="00785028">
        <w:rPr>
          <w:color w:val="000000" w:themeColor="text1"/>
        </w:rPr>
        <w:t xml:space="preserve">Regardless of the access granted in </w:t>
      </w:r>
      <w:r w:rsidR="000C05A9">
        <w:rPr>
          <w:color w:val="000000" w:themeColor="text1"/>
        </w:rPr>
        <w:t xml:space="preserve">(2) and </w:t>
      </w:r>
      <w:r w:rsidR="009F23EC">
        <w:rPr>
          <w:color w:val="000000" w:themeColor="text1"/>
        </w:rPr>
        <w:t>(3)</w:t>
      </w:r>
      <w:r w:rsidRPr="00785028">
        <w:rPr>
          <w:color w:val="000000" w:themeColor="text1"/>
        </w:rPr>
        <w:t xml:space="preserve"> an eligible vehicle operating under this Notice must also comply with restrictions set out in the </w:t>
      </w:r>
      <w:r w:rsidRPr="00785028">
        <w:rPr>
          <w:i/>
          <w:color w:val="000000" w:themeColor="text1"/>
        </w:rPr>
        <w:t xml:space="preserve">Specified Road Manager Network Requirements, </w:t>
      </w:r>
      <w:r w:rsidRPr="00785028">
        <w:rPr>
          <w:color w:val="000000" w:themeColor="text1"/>
        </w:rPr>
        <w:t xml:space="preserve">published in the Guide. </w:t>
      </w:r>
    </w:p>
    <w:p w14:paraId="7C431CAB" w14:textId="77777777" w:rsidR="001D1A68" w:rsidRPr="00785028" w:rsidRDefault="001D1A68" w:rsidP="001D1A68">
      <w:pPr>
        <w:pStyle w:val="ListParagraph"/>
        <w:tabs>
          <w:tab w:val="left" w:pos="834"/>
        </w:tabs>
        <w:spacing w:line="276" w:lineRule="auto"/>
        <w:ind w:left="1080" w:right="109"/>
        <w:rPr>
          <w:color w:val="000000" w:themeColor="text1"/>
        </w:rPr>
      </w:pPr>
    </w:p>
    <w:p w14:paraId="35AFC0EF" w14:textId="77777777" w:rsidR="001D1A68" w:rsidRPr="00785028" w:rsidRDefault="001D1A68" w:rsidP="001D1A68">
      <w:pPr>
        <w:pStyle w:val="ListParagraph"/>
        <w:tabs>
          <w:tab w:val="left" w:pos="834"/>
        </w:tabs>
        <w:spacing w:line="276" w:lineRule="auto"/>
        <w:ind w:left="2160" w:right="109" w:hanging="1080"/>
        <w:rPr>
          <w:i/>
          <w:color w:val="000000" w:themeColor="text1"/>
        </w:rPr>
      </w:pPr>
      <w:r w:rsidRPr="00785028">
        <w:rPr>
          <w:i/>
          <w:color w:val="000000" w:themeColor="text1"/>
        </w:rPr>
        <w:t>Note:</w:t>
      </w:r>
      <w:r w:rsidRPr="00785028">
        <w:rPr>
          <w:i/>
          <w:color w:val="000000" w:themeColor="text1"/>
        </w:rPr>
        <w:tab/>
        <w:t xml:space="preserve">the restrictions in the Specified Road Manager Network Requirements generally provide restrictions on access </w:t>
      </w:r>
      <w:proofErr w:type="gramStart"/>
      <w:r w:rsidRPr="00785028">
        <w:rPr>
          <w:i/>
          <w:color w:val="000000" w:themeColor="text1"/>
        </w:rPr>
        <w:t>in particular</w:t>
      </w:r>
      <w:proofErr w:type="gramEnd"/>
      <w:r w:rsidRPr="00785028">
        <w:rPr>
          <w:i/>
          <w:color w:val="000000" w:themeColor="text1"/>
        </w:rPr>
        <w:t xml:space="preserve"> Road Manager areas.</w:t>
      </w:r>
    </w:p>
    <w:p w14:paraId="3289718F" w14:textId="77777777" w:rsidR="001D1A68" w:rsidRPr="00785028" w:rsidRDefault="001D1A68" w:rsidP="001D1A68">
      <w:pPr>
        <w:pStyle w:val="ListParagraph"/>
        <w:ind w:left="1080"/>
        <w:jc w:val="both"/>
        <w:rPr>
          <w:color w:val="000000" w:themeColor="text1"/>
          <w:lang w:val="en-US"/>
        </w:rPr>
      </w:pPr>
    </w:p>
    <w:p w14:paraId="5DD64188" w14:textId="77777777" w:rsidR="001D1A68" w:rsidRPr="00785028" w:rsidRDefault="001D1A68" w:rsidP="001D1A68">
      <w:pPr>
        <w:pStyle w:val="ListParagraph"/>
        <w:numPr>
          <w:ilvl w:val="0"/>
          <w:numId w:val="25"/>
        </w:numPr>
        <w:jc w:val="both"/>
        <w:rPr>
          <w:color w:val="000000" w:themeColor="text1"/>
          <w:lang w:val="en-US"/>
        </w:rPr>
      </w:pPr>
      <w:r w:rsidRPr="00785028">
        <w:rPr>
          <w:color w:val="000000" w:themeColor="text1"/>
          <w:lang w:val="en-US"/>
        </w:rPr>
        <w:t xml:space="preserve">An eligible vehicle operating on a network under this section must comply with all </w:t>
      </w:r>
      <w:proofErr w:type="gramStart"/>
      <w:r w:rsidRPr="00785028">
        <w:rPr>
          <w:color w:val="000000" w:themeColor="text1"/>
          <w:lang w:val="en-US"/>
        </w:rPr>
        <w:t>road</w:t>
      </w:r>
      <w:proofErr w:type="gramEnd"/>
      <w:r w:rsidRPr="00785028">
        <w:rPr>
          <w:color w:val="000000" w:themeColor="text1"/>
          <w:lang w:val="en-US"/>
        </w:rPr>
        <w:t>, vehicle and travel conditions that apply to that network at the time of travel.</w:t>
      </w:r>
    </w:p>
    <w:p w14:paraId="298AD837" w14:textId="77777777" w:rsidR="002430F5" w:rsidRPr="00AF6044" w:rsidRDefault="002430F5" w:rsidP="00AF6044">
      <w:pPr>
        <w:pStyle w:val="ListParagraph"/>
        <w:ind w:left="1080"/>
        <w:jc w:val="both"/>
        <w:rPr>
          <w:color w:val="000000" w:themeColor="text1"/>
          <w:lang w:val="en-US"/>
        </w:rPr>
      </w:pPr>
    </w:p>
    <w:sectPr w:rsidR="002430F5" w:rsidRPr="00AF6044" w:rsidSect="00241F19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6C6E" w14:textId="77777777" w:rsidR="00540A9F" w:rsidRDefault="00540A9F" w:rsidP="00FF165E">
      <w:pPr>
        <w:spacing w:after="0" w:line="240" w:lineRule="auto"/>
      </w:pPr>
      <w:r>
        <w:separator/>
      </w:r>
    </w:p>
  </w:endnote>
  <w:endnote w:type="continuationSeparator" w:id="0">
    <w:p w14:paraId="2C7275B4" w14:textId="77777777" w:rsidR="00540A9F" w:rsidRDefault="00540A9F" w:rsidP="00FF165E">
      <w:pPr>
        <w:spacing w:after="0" w:line="240" w:lineRule="auto"/>
      </w:pPr>
      <w:r>
        <w:continuationSeparator/>
      </w:r>
    </w:p>
  </w:endnote>
  <w:endnote w:type="continuationNotice" w:id="1">
    <w:p w14:paraId="12E78F91" w14:textId="77777777" w:rsidR="00540A9F" w:rsidRDefault="00540A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00DE31EC" w14:textId="09BD5234" w:rsidR="000C499B" w:rsidRDefault="000C499B" w:rsidP="00FF165E">
    <w:pPr>
      <w:pStyle w:val="Footer"/>
      <w:jc w:val="right"/>
    </w:pPr>
    <w:r w:rsidRPr="000C499B">
      <w:t>National Class 2 B-double Authorisation Notice 202</w:t>
    </w:r>
    <w:r w:rsidR="00241F19">
      <w:t>4</w:t>
    </w:r>
    <w:r w:rsidRPr="000C499B">
      <w:t xml:space="preserve"> (No.1)</w:t>
    </w:r>
  </w:p>
  <w:p w14:paraId="7C4797CB" w14:textId="7AE6BC99" w:rsidR="00FF165E" w:rsidRDefault="00A662D2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6A33" w14:textId="77777777" w:rsidR="00241F19" w:rsidRDefault="00241F19" w:rsidP="00241F19">
    <w:pPr>
      <w:pStyle w:val="Footer"/>
      <w:jc w:val="right"/>
    </w:pPr>
  </w:p>
  <w:p w14:paraId="3EF2EC83" w14:textId="77777777" w:rsidR="00241F19" w:rsidRDefault="00241F19" w:rsidP="00241F19">
    <w:pPr>
      <w:pStyle w:val="Footer"/>
      <w:jc w:val="right"/>
    </w:pPr>
    <w:r w:rsidRPr="000C499B">
      <w:t>National Class 2 B-double Authorisation Notice 202</w:t>
    </w:r>
    <w:r>
      <w:t>4</w:t>
    </w:r>
    <w:r w:rsidRPr="000C499B">
      <w:t xml:space="preserve"> (No.1)</w:t>
    </w:r>
  </w:p>
  <w:p w14:paraId="73A34F54" w14:textId="781E7CA7" w:rsidR="00241F19" w:rsidRDefault="00A662D2" w:rsidP="00241F19">
    <w:pPr>
      <w:pStyle w:val="Footer"/>
      <w:jc w:val="right"/>
    </w:pPr>
    <w:sdt>
      <w:sdtPr>
        <w:id w:val="-663004548"/>
        <w:docPartObj>
          <w:docPartGallery w:val="Page Numbers (Bottom of Page)"/>
          <w:docPartUnique/>
        </w:docPartObj>
      </w:sdtPr>
      <w:sdtEndPr/>
      <w:sdtContent>
        <w:sdt>
          <w:sdtPr>
            <w:id w:val="-1469131710"/>
            <w:docPartObj>
              <w:docPartGallery w:val="Page Numbers (Top of Page)"/>
              <w:docPartUnique/>
            </w:docPartObj>
          </w:sdtPr>
          <w:sdtEndPr/>
          <w:sdtContent>
            <w:r w:rsidR="00241F19">
              <w:t xml:space="preserve">Page </w:t>
            </w:r>
            <w:r w:rsidR="00241F19">
              <w:rPr>
                <w:b/>
                <w:bCs/>
                <w:sz w:val="24"/>
                <w:szCs w:val="24"/>
              </w:rPr>
              <w:fldChar w:fldCharType="begin"/>
            </w:r>
            <w:r w:rsidR="00241F19">
              <w:rPr>
                <w:b/>
                <w:bCs/>
              </w:rPr>
              <w:instrText xml:space="preserve"> PAGE </w:instrText>
            </w:r>
            <w:r w:rsidR="00241F19">
              <w:rPr>
                <w:b/>
                <w:bCs/>
                <w:sz w:val="24"/>
                <w:szCs w:val="24"/>
              </w:rPr>
              <w:fldChar w:fldCharType="separate"/>
            </w:r>
            <w:r w:rsidR="00241F19">
              <w:rPr>
                <w:b/>
                <w:bCs/>
                <w:sz w:val="24"/>
                <w:szCs w:val="24"/>
              </w:rPr>
              <w:t>2</w:t>
            </w:r>
            <w:r w:rsidR="00241F19">
              <w:rPr>
                <w:b/>
                <w:bCs/>
                <w:sz w:val="24"/>
                <w:szCs w:val="24"/>
              </w:rPr>
              <w:fldChar w:fldCharType="end"/>
            </w:r>
            <w:r w:rsidR="00241F19">
              <w:t xml:space="preserve"> of </w:t>
            </w:r>
            <w:r w:rsidR="00241F19">
              <w:rPr>
                <w:b/>
                <w:bCs/>
                <w:sz w:val="24"/>
                <w:szCs w:val="24"/>
              </w:rPr>
              <w:fldChar w:fldCharType="begin"/>
            </w:r>
            <w:r w:rsidR="00241F19">
              <w:rPr>
                <w:b/>
                <w:bCs/>
              </w:rPr>
              <w:instrText xml:space="preserve"> NUMPAGES  </w:instrText>
            </w:r>
            <w:r w:rsidR="00241F19">
              <w:rPr>
                <w:b/>
                <w:bCs/>
                <w:sz w:val="24"/>
                <w:szCs w:val="24"/>
              </w:rPr>
              <w:fldChar w:fldCharType="separate"/>
            </w:r>
            <w:r w:rsidR="00241F19">
              <w:rPr>
                <w:b/>
                <w:bCs/>
                <w:sz w:val="24"/>
                <w:szCs w:val="24"/>
              </w:rPr>
              <w:t>10</w:t>
            </w:r>
            <w:r w:rsidR="00241F1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5A4F" w14:textId="77777777" w:rsidR="00540A9F" w:rsidRDefault="00540A9F" w:rsidP="00FF165E">
      <w:pPr>
        <w:spacing w:after="0" w:line="240" w:lineRule="auto"/>
      </w:pPr>
      <w:r>
        <w:separator/>
      </w:r>
    </w:p>
  </w:footnote>
  <w:footnote w:type="continuationSeparator" w:id="0">
    <w:p w14:paraId="1AE6F270" w14:textId="77777777" w:rsidR="00540A9F" w:rsidRDefault="00540A9F" w:rsidP="00FF165E">
      <w:pPr>
        <w:spacing w:after="0" w:line="240" w:lineRule="auto"/>
      </w:pPr>
      <w:r>
        <w:continuationSeparator/>
      </w:r>
    </w:p>
  </w:footnote>
  <w:footnote w:type="continuationNotice" w:id="1">
    <w:p w14:paraId="0268D3DB" w14:textId="77777777" w:rsidR="00540A9F" w:rsidRDefault="00540A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41F19" w:rsidRPr="00CE796A" w14:paraId="530C83F1" w14:textId="77777777" w:rsidTr="00E85B7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6B52EE2" w14:textId="77777777" w:rsidR="00241F19" w:rsidRPr="00CE796A" w:rsidRDefault="00241F19" w:rsidP="00241F1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02F1AA6" wp14:editId="0A1E3C42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FD470CA" w14:textId="77777777" w:rsidR="00241F19" w:rsidRPr="00CE796A" w:rsidRDefault="00241F19" w:rsidP="00241F1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3F7C350" w14:textId="77777777" w:rsidR="00241F19" w:rsidRPr="00CE796A" w:rsidRDefault="00241F19" w:rsidP="00241F1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41F19" w:rsidRPr="00CE796A" w14:paraId="4FBEA790" w14:textId="77777777" w:rsidTr="00E85B78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22E9104" w14:textId="77777777" w:rsidR="00241F19" w:rsidRPr="00CE796A" w:rsidRDefault="00241F19" w:rsidP="00241F1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F7DFF79" w14:textId="77777777" w:rsidR="00241F19" w:rsidRPr="00840A06" w:rsidRDefault="00241F19" w:rsidP="00241F1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06B3D7A5" w14:textId="77777777" w:rsidR="00241F19" w:rsidRDefault="00241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F531A"/>
    <w:multiLevelType w:val="hybridMultilevel"/>
    <w:tmpl w:val="B178C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A1171"/>
    <w:multiLevelType w:val="hybridMultilevel"/>
    <w:tmpl w:val="B178C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7A58"/>
    <w:multiLevelType w:val="hybridMultilevel"/>
    <w:tmpl w:val="B178C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064BA"/>
    <w:multiLevelType w:val="hybridMultilevel"/>
    <w:tmpl w:val="B178C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0325D"/>
    <w:multiLevelType w:val="hybridMultilevel"/>
    <w:tmpl w:val="B178C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317E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E7FAB"/>
    <w:multiLevelType w:val="hybridMultilevel"/>
    <w:tmpl w:val="382A07F8"/>
    <w:lvl w:ilvl="0" w:tplc="0C090011">
      <w:start w:val="1"/>
      <w:numFmt w:val="decimal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B29E5"/>
    <w:multiLevelType w:val="hybridMultilevel"/>
    <w:tmpl w:val="31B088F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F42A2"/>
    <w:multiLevelType w:val="hybridMultilevel"/>
    <w:tmpl w:val="B178C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21172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7B51B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CD7DC5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4F51BF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A2B36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0075A8"/>
    <w:multiLevelType w:val="hybridMultilevel"/>
    <w:tmpl w:val="68CCCE5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944216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F0FDC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5319466">
    <w:abstractNumId w:val="4"/>
  </w:num>
  <w:num w:numId="2" w16cid:durableId="1627196350">
    <w:abstractNumId w:val="10"/>
  </w:num>
  <w:num w:numId="3" w16cid:durableId="25251383">
    <w:abstractNumId w:val="26"/>
  </w:num>
  <w:num w:numId="4" w16cid:durableId="1986203439">
    <w:abstractNumId w:val="20"/>
  </w:num>
  <w:num w:numId="5" w16cid:durableId="2089380026">
    <w:abstractNumId w:val="25"/>
  </w:num>
  <w:num w:numId="6" w16cid:durableId="1853569039">
    <w:abstractNumId w:val="13"/>
  </w:num>
  <w:num w:numId="7" w16cid:durableId="291373502">
    <w:abstractNumId w:val="11"/>
  </w:num>
  <w:num w:numId="8" w16cid:durableId="1624576599">
    <w:abstractNumId w:val="5"/>
  </w:num>
  <w:num w:numId="9" w16cid:durableId="783771083">
    <w:abstractNumId w:val="22"/>
  </w:num>
  <w:num w:numId="10" w16cid:durableId="475604698">
    <w:abstractNumId w:val="0"/>
  </w:num>
  <w:num w:numId="11" w16cid:durableId="788937709">
    <w:abstractNumId w:val="12"/>
  </w:num>
  <w:num w:numId="12" w16cid:durableId="1876384957">
    <w:abstractNumId w:val="15"/>
  </w:num>
  <w:num w:numId="13" w16cid:durableId="1647196032">
    <w:abstractNumId w:val="16"/>
  </w:num>
  <w:num w:numId="14" w16cid:durableId="1687244190">
    <w:abstractNumId w:val="3"/>
  </w:num>
  <w:num w:numId="15" w16cid:durableId="206988932">
    <w:abstractNumId w:val="23"/>
  </w:num>
  <w:num w:numId="16" w16cid:durableId="1987782934">
    <w:abstractNumId w:val="21"/>
  </w:num>
  <w:num w:numId="17" w16cid:durableId="259147321">
    <w:abstractNumId w:val="6"/>
  </w:num>
  <w:num w:numId="18" w16cid:durableId="2109499466">
    <w:abstractNumId w:val="8"/>
  </w:num>
  <w:num w:numId="19" w16cid:durableId="1955866751">
    <w:abstractNumId w:val="14"/>
  </w:num>
  <w:num w:numId="20" w16cid:durableId="610629196">
    <w:abstractNumId w:val="24"/>
  </w:num>
  <w:num w:numId="21" w16cid:durableId="1267808337">
    <w:abstractNumId w:val="1"/>
  </w:num>
  <w:num w:numId="22" w16cid:durableId="7952999">
    <w:abstractNumId w:val="19"/>
  </w:num>
  <w:num w:numId="23" w16cid:durableId="1300302754">
    <w:abstractNumId w:val="18"/>
  </w:num>
  <w:num w:numId="24" w16cid:durableId="1052191919">
    <w:abstractNumId w:val="2"/>
  </w:num>
  <w:num w:numId="25" w16cid:durableId="1253012061">
    <w:abstractNumId w:val="17"/>
  </w:num>
  <w:num w:numId="26" w16cid:durableId="1695769927">
    <w:abstractNumId w:val="7"/>
  </w:num>
  <w:num w:numId="27" w16cid:durableId="187099117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4696"/>
    <w:rsid w:val="00006E84"/>
    <w:rsid w:val="000119A9"/>
    <w:rsid w:val="00016A76"/>
    <w:rsid w:val="00016FB4"/>
    <w:rsid w:val="000312CB"/>
    <w:rsid w:val="00031358"/>
    <w:rsid w:val="00040E9F"/>
    <w:rsid w:val="00042A7F"/>
    <w:rsid w:val="0004474D"/>
    <w:rsid w:val="00045AA9"/>
    <w:rsid w:val="00046888"/>
    <w:rsid w:val="00047B4C"/>
    <w:rsid w:val="00051E15"/>
    <w:rsid w:val="00053C44"/>
    <w:rsid w:val="00056FFA"/>
    <w:rsid w:val="00062ACA"/>
    <w:rsid w:val="0006320E"/>
    <w:rsid w:val="000634F8"/>
    <w:rsid w:val="00066965"/>
    <w:rsid w:val="00072713"/>
    <w:rsid w:val="00074E88"/>
    <w:rsid w:val="000759DD"/>
    <w:rsid w:val="00077780"/>
    <w:rsid w:val="000805E0"/>
    <w:rsid w:val="00081E0C"/>
    <w:rsid w:val="00082BA6"/>
    <w:rsid w:val="00083821"/>
    <w:rsid w:val="00084506"/>
    <w:rsid w:val="0008594D"/>
    <w:rsid w:val="0009211A"/>
    <w:rsid w:val="0009766F"/>
    <w:rsid w:val="000A25A8"/>
    <w:rsid w:val="000B1F3E"/>
    <w:rsid w:val="000B2987"/>
    <w:rsid w:val="000B4737"/>
    <w:rsid w:val="000B4854"/>
    <w:rsid w:val="000B7FD6"/>
    <w:rsid w:val="000C05A9"/>
    <w:rsid w:val="000C499B"/>
    <w:rsid w:val="000C59D9"/>
    <w:rsid w:val="000E1232"/>
    <w:rsid w:val="000E2F18"/>
    <w:rsid w:val="000E2F26"/>
    <w:rsid w:val="000F148B"/>
    <w:rsid w:val="000F35D5"/>
    <w:rsid w:val="000F4C6F"/>
    <w:rsid w:val="000F4EC3"/>
    <w:rsid w:val="000F4EF3"/>
    <w:rsid w:val="00103F54"/>
    <w:rsid w:val="001071B3"/>
    <w:rsid w:val="00107A7E"/>
    <w:rsid w:val="00110123"/>
    <w:rsid w:val="00114BA9"/>
    <w:rsid w:val="00130229"/>
    <w:rsid w:val="0013550E"/>
    <w:rsid w:val="0014128B"/>
    <w:rsid w:val="00145226"/>
    <w:rsid w:val="00152EBF"/>
    <w:rsid w:val="00153D5C"/>
    <w:rsid w:val="00154E5A"/>
    <w:rsid w:val="00172BD7"/>
    <w:rsid w:val="00172D56"/>
    <w:rsid w:val="0018328D"/>
    <w:rsid w:val="00186F5C"/>
    <w:rsid w:val="0019293C"/>
    <w:rsid w:val="001945F9"/>
    <w:rsid w:val="00196050"/>
    <w:rsid w:val="001A2D23"/>
    <w:rsid w:val="001A4E52"/>
    <w:rsid w:val="001A63EE"/>
    <w:rsid w:val="001B00A4"/>
    <w:rsid w:val="001B24E7"/>
    <w:rsid w:val="001B4313"/>
    <w:rsid w:val="001B60E9"/>
    <w:rsid w:val="001B636D"/>
    <w:rsid w:val="001C1E8D"/>
    <w:rsid w:val="001C2020"/>
    <w:rsid w:val="001C4AC6"/>
    <w:rsid w:val="001C6FC0"/>
    <w:rsid w:val="001D1A68"/>
    <w:rsid w:val="001D2D9D"/>
    <w:rsid w:val="001D7E9E"/>
    <w:rsid w:val="001E4266"/>
    <w:rsid w:val="001E550E"/>
    <w:rsid w:val="001E7D63"/>
    <w:rsid w:val="001F3F6C"/>
    <w:rsid w:val="001F7150"/>
    <w:rsid w:val="00201DAE"/>
    <w:rsid w:val="00203990"/>
    <w:rsid w:val="00205C52"/>
    <w:rsid w:val="00213EEB"/>
    <w:rsid w:val="002143F8"/>
    <w:rsid w:val="002177D4"/>
    <w:rsid w:val="00217F06"/>
    <w:rsid w:val="002225E5"/>
    <w:rsid w:val="002236D8"/>
    <w:rsid w:val="0022624C"/>
    <w:rsid w:val="0023388D"/>
    <w:rsid w:val="00241000"/>
    <w:rsid w:val="00241F19"/>
    <w:rsid w:val="002423CF"/>
    <w:rsid w:val="0024249B"/>
    <w:rsid w:val="002430F5"/>
    <w:rsid w:val="00245719"/>
    <w:rsid w:val="0025617F"/>
    <w:rsid w:val="0025783A"/>
    <w:rsid w:val="002604C7"/>
    <w:rsid w:val="00273F38"/>
    <w:rsid w:val="00275DD1"/>
    <w:rsid w:val="002776DB"/>
    <w:rsid w:val="00277B89"/>
    <w:rsid w:val="00281BD0"/>
    <w:rsid w:val="002820BF"/>
    <w:rsid w:val="00283D0F"/>
    <w:rsid w:val="002864FD"/>
    <w:rsid w:val="00293049"/>
    <w:rsid w:val="00293FEB"/>
    <w:rsid w:val="002969FF"/>
    <w:rsid w:val="00296A93"/>
    <w:rsid w:val="002A057C"/>
    <w:rsid w:val="002A4337"/>
    <w:rsid w:val="002A662C"/>
    <w:rsid w:val="002A7271"/>
    <w:rsid w:val="002B748F"/>
    <w:rsid w:val="002C0360"/>
    <w:rsid w:val="002C4555"/>
    <w:rsid w:val="002C7057"/>
    <w:rsid w:val="002D4D69"/>
    <w:rsid w:val="002E2660"/>
    <w:rsid w:val="002E29D0"/>
    <w:rsid w:val="002E302D"/>
    <w:rsid w:val="002E505B"/>
    <w:rsid w:val="002E5A20"/>
    <w:rsid w:val="002E6B8D"/>
    <w:rsid w:val="002E7C09"/>
    <w:rsid w:val="00306A61"/>
    <w:rsid w:val="00312F56"/>
    <w:rsid w:val="00317DB8"/>
    <w:rsid w:val="00317E2B"/>
    <w:rsid w:val="00325A52"/>
    <w:rsid w:val="00330D46"/>
    <w:rsid w:val="00337505"/>
    <w:rsid w:val="00341167"/>
    <w:rsid w:val="00343193"/>
    <w:rsid w:val="00350D5D"/>
    <w:rsid w:val="00352311"/>
    <w:rsid w:val="00352F89"/>
    <w:rsid w:val="003535F6"/>
    <w:rsid w:val="00355D69"/>
    <w:rsid w:val="00363B13"/>
    <w:rsid w:val="00363EA1"/>
    <w:rsid w:val="003711BD"/>
    <w:rsid w:val="0037159B"/>
    <w:rsid w:val="00371D42"/>
    <w:rsid w:val="00373E4D"/>
    <w:rsid w:val="003740ED"/>
    <w:rsid w:val="00375DE3"/>
    <w:rsid w:val="00383392"/>
    <w:rsid w:val="003A25EC"/>
    <w:rsid w:val="003A2F7D"/>
    <w:rsid w:val="003A78D8"/>
    <w:rsid w:val="003B1289"/>
    <w:rsid w:val="003B5443"/>
    <w:rsid w:val="003C5DDC"/>
    <w:rsid w:val="003D0A4C"/>
    <w:rsid w:val="003D1A6E"/>
    <w:rsid w:val="003D71E6"/>
    <w:rsid w:val="003D7FDA"/>
    <w:rsid w:val="003E5862"/>
    <w:rsid w:val="003F015A"/>
    <w:rsid w:val="003F2FFA"/>
    <w:rsid w:val="003F6913"/>
    <w:rsid w:val="00401224"/>
    <w:rsid w:val="004111ED"/>
    <w:rsid w:val="00413AC7"/>
    <w:rsid w:val="00420610"/>
    <w:rsid w:val="0042103F"/>
    <w:rsid w:val="004305C4"/>
    <w:rsid w:val="00435A42"/>
    <w:rsid w:val="00445FC5"/>
    <w:rsid w:val="00446F73"/>
    <w:rsid w:val="0044702B"/>
    <w:rsid w:val="00447FD8"/>
    <w:rsid w:val="0046505A"/>
    <w:rsid w:val="00466EEA"/>
    <w:rsid w:val="00474C13"/>
    <w:rsid w:val="004824C4"/>
    <w:rsid w:val="0048383D"/>
    <w:rsid w:val="00490EBC"/>
    <w:rsid w:val="00492B70"/>
    <w:rsid w:val="004A6E4F"/>
    <w:rsid w:val="004B0E5E"/>
    <w:rsid w:val="004B739F"/>
    <w:rsid w:val="004C45CE"/>
    <w:rsid w:val="004D2423"/>
    <w:rsid w:val="004D71B3"/>
    <w:rsid w:val="004D75DF"/>
    <w:rsid w:val="004E23B2"/>
    <w:rsid w:val="004E2EA4"/>
    <w:rsid w:val="004E3A78"/>
    <w:rsid w:val="004E4E55"/>
    <w:rsid w:val="004E58D5"/>
    <w:rsid w:val="004F49C2"/>
    <w:rsid w:val="005054A8"/>
    <w:rsid w:val="00506E5A"/>
    <w:rsid w:val="00520FC4"/>
    <w:rsid w:val="005222B1"/>
    <w:rsid w:val="00522941"/>
    <w:rsid w:val="00526F60"/>
    <w:rsid w:val="005328BF"/>
    <w:rsid w:val="00533335"/>
    <w:rsid w:val="00534BAE"/>
    <w:rsid w:val="00540A9F"/>
    <w:rsid w:val="00542A02"/>
    <w:rsid w:val="00544C6D"/>
    <w:rsid w:val="00546484"/>
    <w:rsid w:val="00550396"/>
    <w:rsid w:val="00554B50"/>
    <w:rsid w:val="00554B71"/>
    <w:rsid w:val="0056457D"/>
    <w:rsid w:val="00565E39"/>
    <w:rsid w:val="005708C5"/>
    <w:rsid w:val="00573356"/>
    <w:rsid w:val="005779B1"/>
    <w:rsid w:val="00581C6C"/>
    <w:rsid w:val="00587BB6"/>
    <w:rsid w:val="00592910"/>
    <w:rsid w:val="00595439"/>
    <w:rsid w:val="005A4B22"/>
    <w:rsid w:val="005A588C"/>
    <w:rsid w:val="005A58C2"/>
    <w:rsid w:val="005A6499"/>
    <w:rsid w:val="005C1132"/>
    <w:rsid w:val="005C160B"/>
    <w:rsid w:val="005C308B"/>
    <w:rsid w:val="005C3E3E"/>
    <w:rsid w:val="005C403A"/>
    <w:rsid w:val="005D2D1C"/>
    <w:rsid w:val="005D7BE6"/>
    <w:rsid w:val="005E71A2"/>
    <w:rsid w:val="005F2969"/>
    <w:rsid w:val="00601570"/>
    <w:rsid w:val="00604398"/>
    <w:rsid w:val="006053F3"/>
    <w:rsid w:val="00605BDA"/>
    <w:rsid w:val="00606E7B"/>
    <w:rsid w:val="00607349"/>
    <w:rsid w:val="00611295"/>
    <w:rsid w:val="00612E8C"/>
    <w:rsid w:val="00613347"/>
    <w:rsid w:val="00614BEA"/>
    <w:rsid w:val="006171AF"/>
    <w:rsid w:val="0062426F"/>
    <w:rsid w:val="00630B75"/>
    <w:rsid w:val="006318B6"/>
    <w:rsid w:val="00641E43"/>
    <w:rsid w:val="00644600"/>
    <w:rsid w:val="00645444"/>
    <w:rsid w:val="006459A2"/>
    <w:rsid w:val="006554DA"/>
    <w:rsid w:val="0065663B"/>
    <w:rsid w:val="00661892"/>
    <w:rsid w:val="0066334E"/>
    <w:rsid w:val="0066511C"/>
    <w:rsid w:val="00675921"/>
    <w:rsid w:val="00690AA3"/>
    <w:rsid w:val="006944E7"/>
    <w:rsid w:val="006A58F8"/>
    <w:rsid w:val="006A5B66"/>
    <w:rsid w:val="006B2323"/>
    <w:rsid w:val="006B5947"/>
    <w:rsid w:val="006C6A22"/>
    <w:rsid w:val="006D34F8"/>
    <w:rsid w:val="006E3C5A"/>
    <w:rsid w:val="006E4E35"/>
    <w:rsid w:val="006E583D"/>
    <w:rsid w:val="006F3882"/>
    <w:rsid w:val="006F785C"/>
    <w:rsid w:val="00706840"/>
    <w:rsid w:val="00710040"/>
    <w:rsid w:val="00712407"/>
    <w:rsid w:val="00724050"/>
    <w:rsid w:val="0073004D"/>
    <w:rsid w:val="00732807"/>
    <w:rsid w:val="00732C7E"/>
    <w:rsid w:val="00735058"/>
    <w:rsid w:val="007365B6"/>
    <w:rsid w:val="007408C3"/>
    <w:rsid w:val="007428B8"/>
    <w:rsid w:val="00745E6F"/>
    <w:rsid w:val="007505FB"/>
    <w:rsid w:val="00750BFA"/>
    <w:rsid w:val="00751DBD"/>
    <w:rsid w:val="00755617"/>
    <w:rsid w:val="0075762C"/>
    <w:rsid w:val="00765095"/>
    <w:rsid w:val="007736D2"/>
    <w:rsid w:val="007745BC"/>
    <w:rsid w:val="0078102B"/>
    <w:rsid w:val="00781B60"/>
    <w:rsid w:val="00785028"/>
    <w:rsid w:val="00786201"/>
    <w:rsid w:val="0078723F"/>
    <w:rsid w:val="00787E3B"/>
    <w:rsid w:val="007919A8"/>
    <w:rsid w:val="00794492"/>
    <w:rsid w:val="00797867"/>
    <w:rsid w:val="007A0E0A"/>
    <w:rsid w:val="007A22A2"/>
    <w:rsid w:val="007B0CB2"/>
    <w:rsid w:val="007B55F9"/>
    <w:rsid w:val="007B5F7B"/>
    <w:rsid w:val="007B74CB"/>
    <w:rsid w:val="007B7D13"/>
    <w:rsid w:val="007C0E22"/>
    <w:rsid w:val="007C4AB0"/>
    <w:rsid w:val="007D1BBD"/>
    <w:rsid w:val="007E11A7"/>
    <w:rsid w:val="007E21CF"/>
    <w:rsid w:val="007E31CD"/>
    <w:rsid w:val="007E39FD"/>
    <w:rsid w:val="007E4105"/>
    <w:rsid w:val="007E5C41"/>
    <w:rsid w:val="007E613A"/>
    <w:rsid w:val="007F3BA3"/>
    <w:rsid w:val="0080292F"/>
    <w:rsid w:val="00802D1C"/>
    <w:rsid w:val="0080436D"/>
    <w:rsid w:val="0081366C"/>
    <w:rsid w:val="00815E33"/>
    <w:rsid w:val="008235C7"/>
    <w:rsid w:val="008235D8"/>
    <w:rsid w:val="0084411E"/>
    <w:rsid w:val="00850AB1"/>
    <w:rsid w:val="00853F53"/>
    <w:rsid w:val="00854A58"/>
    <w:rsid w:val="0085524C"/>
    <w:rsid w:val="008556EF"/>
    <w:rsid w:val="0085677F"/>
    <w:rsid w:val="00874F37"/>
    <w:rsid w:val="00886909"/>
    <w:rsid w:val="00886B25"/>
    <w:rsid w:val="00893A9D"/>
    <w:rsid w:val="00896D18"/>
    <w:rsid w:val="008972DC"/>
    <w:rsid w:val="00897614"/>
    <w:rsid w:val="008A128B"/>
    <w:rsid w:val="008A1CC8"/>
    <w:rsid w:val="008A1F84"/>
    <w:rsid w:val="008A446B"/>
    <w:rsid w:val="008A4899"/>
    <w:rsid w:val="008A6114"/>
    <w:rsid w:val="008B32DA"/>
    <w:rsid w:val="008B5B6E"/>
    <w:rsid w:val="008C03DE"/>
    <w:rsid w:val="008C2ADE"/>
    <w:rsid w:val="008C56BD"/>
    <w:rsid w:val="008D195A"/>
    <w:rsid w:val="008E1E63"/>
    <w:rsid w:val="008E3780"/>
    <w:rsid w:val="008E4A92"/>
    <w:rsid w:val="008F4654"/>
    <w:rsid w:val="008F4BF5"/>
    <w:rsid w:val="008F4C2F"/>
    <w:rsid w:val="00903FBC"/>
    <w:rsid w:val="00906578"/>
    <w:rsid w:val="009128B2"/>
    <w:rsid w:val="00912A03"/>
    <w:rsid w:val="00914825"/>
    <w:rsid w:val="00917D1D"/>
    <w:rsid w:val="00917EBB"/>
    <w:rsid w:val="0092117F"/>
    <w:rsid w:val="00921F82"/>
    <w:rsid w:val="009222C1"/>
    <w:rsid w:val="00926CD5"/>
    <w:rsid w:val="0092722A"/>
    <w:rsid w:val="00930540"/>
    <w:rsid w:val="00935A22"/>
    <w:rsid w:val="00951F61"/>
    <w:rsid w:val="0095292F"/>
    <w:rsid w:val="00956438"/>
    <w:rsid w:val="009602FC"/>
    <w:rsid w:val="009614B8"/>
    <w:rsid w:val="00964AF6"/>
    <w:rsid w:val="00971756"/>
    <w:rsid w:val="009756DF"/>
    <w:rsid w:val="009837BD"/>
    <w:rsid w:val="009905E0"/>
    <w:rsid w:val="00990669"/>
    <w:rsid w:val="00994722"/>
    <w:rsid w:val="009A2419"/>
    <w:rsid w:val="009A306F"/>
    <w:rsid w:val="009A64A5"/>
    <w:rsid w:val="009B1C6D"/>
    <w:rsid w:val="009B4B0C"/>
    <w:rsid w:val="009B50A4"/>
    <w:rsid w:val="009C3534"/>
    <w:rsid w:val="009D03FF"/>
    <w:rsid w:val="009F23EC"/>
    <w:rsid w:val="009F2793"/>
    <w:rsid w:val="009F3A9D"/>
    <w:rsid w:val="009F43F0"/>
    <w:rsid w:val="009F68B8"/>
    <w:rsid w:val="009F7A12"/>
    <w:rsid w:val="009F7BA8"/>
    <w:rsid w:val="00A03384"/>
    <w:rsid w:val="00A03EC8"/>
    <w:rsid w:val="00A1628F"/>
    <w:rsid w:val="00A16C40"/>
    <w:rsid w:val="00A17838"/>
    <w:rsid w:val="00A211C8"/>
    <w:rsid w:val="00A22291"/>
    <w:rsid w:val="00A22AA7"/>
    <w:rsid w:val="00A2512E"/>
    <w:rsid w:val="00A276ED"/>
    <w:rsid w:val="00A369C8"/>
    <w:rsid w:val="00A4038E"/>
    <w:rsid w:val="00A4455B"/>
    <w:rsid w:val="00A5080C"/>
    <w:rsid w:val="00A52A10"/>
    <w:rsid w:val="00A61E43"/>
    <w:rsid w:val="00A63265"/>
    <w:rsid w:val="00A662D2"/>
    <w:rsid w:val="00A708FC"/>
    <w:rsid w:val="00A71032"/>
    <w:rsid w:val="00A7223A"/>
    <w:rsid w:val="00A72F0D"/>
    <w:rsid w:val="00A73810"/>
    <w:rsid w:val="00A75118"/>
    <w:rsid w:val="00A85F19"/>
    <w:rsid w:val="00A8780E"/>
    <w:rsid w:val="00A90BAB"/>
    <w:rsid w:val="00A95BD3"/>
    <w:rsid w:val="00AA5425"/>
    <w:rsid w:val="00AB52C7"/>
    <w:rsid w:val="00AC5F59"/>
    <w:rsid w:val="00AC663B"/>
    <w:rsid w:val="00AC6DE5"/>
    <w:rsid w:val="00AD4748"/>
    <w:rsid w:val="00AD5E41"/>
    <w:rsid w:val="00AD60AD"/>
    <w:rsid w:val="00AD7511"/>
    <w:rsid w:val="00AE500B"/>
    <w:rsid w:val="00AE5E27"/>
    <w:rsid w:val="00AE6DD6"/>
    <w:rsid w:val="00AF229A"/>
    <w:rsid w:val="00AF6044"/>
    <w:rsid w:val="00AF7A9F"/>
    <w:rsid w:val="00B029CE"/>
    <w:rsid w:val="00B02EE0"/>
    <w:rsid w:val="00B05075"/>
    <w:rsid w:val="00B06794"/>
    <w:rsid w:val="00B06A2F"/>
    <w:rsid w:val="00B06D58"/>
    <w:rsid w:val="00B12546"/>
    <w:rsid w:val="00B14D11"/>
    <w:rsid w:val="00B14F34"/>
    <w:rsid w:val="00B160DC"/>
    <w:rsid w:val="00B253C6"/>
    <w:rsid w:val="00B31DB8"/>
    <w:rsid w:val="00B35C61"/>
    <w:rsid w:val="00B374A7"/>
    <w:rsid w:val="00B5081E"/>
    <w:rsid w:val="00B556BC"/>
    <w:rsid w:val="00B57536"/>
    <w:rsid w:val="00B57B32"/>
    <w:rsid w:val="00B65620"/>
    <w:rsid w:val="00B82584"/>
    <w:rsid w:val="00B8548B"/>
    <w:rsid w:val="00B950A9"/>
    <w:rsid w:val="00BA169F"/>
    <w:rsid w:val="00BA2D18"/>
    <w:rsid w:val="00BA556D"/>
    <w:rsid w:val="00BA5AD0"/>
    <w:rsid w:val="00BB3100"/>
    <w:rsid w:val="00BB58A5"/>
    <w:rsid w:val="00BB6D83"/>
    <w:rsid w:val="00BC04C0"/>
    <w:rsid w:val="00BC1C88"/>
    <w:rsid w:val="00BD0CBF"/>
    <w:rsid w:val="00BD4E0A"/>
    <w:rsid w:val="00BE07A0"/>
    <w:rsid w:val="00BE1FC5"/>
    <w:rsid w:val="00BF0270"/>
    <w:rsid w:val="00BF16FC"/>
    <w:rsid w:val="00BF2C6F"/>
    <w:rsid w:val="00BF33A0"/>
    <w:rsid w:val="00C02B48"/>
    <w:rsid w:val="00C040B7"/>
    <w:rsid w:val="00C1029D"/>
    <w:rsid w:val="00C10868"/>
    <w:rsid w:val="00C1455B"/>
    <w:rsid w:val="00C21B4A"/>
    <w:rsid w:val="00C2482B"/>
    <w:rsid w:val="00C31DE2"/>
    <w:rsid w:val="00C35C78"/>
    <w:rsid w:val="00C41C84"/>
    <w:rsid w:val="00C43746"/>
    <w:rsid w:val="00C44237"/>
    <w:rsid w:val="00C46149"/>
    <w:rsid w:val="00C46EF9"/>
    <w:rsid w:val="00C4730D"/>
    <w:rsid w:val="00C60491"/>
    <w:rsid w:val="00C62B33"/>
    <w:rsid w:val="00C6347D"/>
    <w:rsid w:val="00C71F77"/>
    <w:rsid w:val="00C8199A"/>
    <w:rsid w:val="00C839BE"/>
    <w:rsid w:val="00C86BCC"/>
    <w:rsid w:val="00C95572"/>
    <w:rsid w:val="00C963C0"/>
    <w:rsid w:val="00C97089"/>
    <w:rsid w:val="00CA07ED"/>
    <w:rsid w:val="00CA3083"/>
    <w:rsid w:val="00CA35FB"/>
    <w:rsid w:val="00CA3CC3"/>
    <w:rsid w:val="00CA764B"/>
    <w:rsid w:val="00CA7F4C"/>
    <w:rsid w:val="00CB08FF"/>
    <w:rsid w:val="00CB25F3"/>
    <w:rsid w:val="00CB2B11"/>
    <w:rsid w:val="00CB4275"/>
    <w:rsid w:val="00CB4CE5"/>
    <w:rsid w:val="00CD7BE7"/>
    <w:rsid w:val="00CE48EC"/>
    <w:rsid w:val="00CF07FD"/>
    <w:rsid w:val="00CF112A"/>
    <w:rsid w:val="00CF3D38"/>
    <w:rsid w:val="00CF6A7A"/>
    <w:rsid w:val="00D11309"/>
    <w:rsid w:val="00D116AF"/>
    <w:rsid w:val="00D121B8"/>
    <w:rsid w:val="00D13FBF"/>
    <w:rsid w:val="00D17879"/>
    <w:rsid w:val="00D23538"/>
    <w:rsid w:val="00D2716B"/>
    <w:rsid w:val="00D2770A"/>
    <w:rsid w:val="00D34AD0"/>
    <w:rsid w:val="00D363BE"/>
    <w:rsid w:val="00D46C1D"/>
    <w:rsid w:val="00D51CEE"/>
    <w:rsid w:val="00D57CF2"/>
    <w:rsid w:val="00D6095A"/>
    <w:rsid w:val="00D61F9E"/>
    <w:rsid w:val="00D631EB"/>
    <w:rsid w:val="00D64E75"/>
    <w:rsid w:val="00D64F82"/>
    <w:rsid w:val="00D720B6"/>
    <w:rsid w:val="00D7309B"/>
    <w:rsid w:val="00D824D7"/>
    <w:rsid w:val="00D8531A"/>
    <w:rsid w:val="00D8733D"/>
    <w:rsid w:val="00D945E6"/>
    <w:rsid w:val="00DA0478"/>
    <w:rsid w:val="00DA13A1"/>
    <w:rsid w:val="00DA6716"/>
    <w:rsid w:val="00DB04B3"/>
    <w:rsid w:val="00DB052F"/>
    <w:rsid w:val="00DB3C4C"/>
    <w:rsid w:val="00DB797B"/>
    <w:rsid w:val="00DC19FA"/>
    <w:rsid w:val="00DC6DBF"/>
    <w:rsid w:val="00DD015C"/>
    <w:rsid w:val="00DD1752"/>
    <w:rsid w:val="00DD6131"/>
    <w:rsid w:val="00DD7263"/>
    <w:rsid w:val="00DE3271"/>
    <w:rsid w:val="00DE448B"/>
    <w:rsid w:val="00DF4719"/>
    <w:rsid w:val="00DF493D"/>
    <w:rsid w:val="00DF572B"/>
    <w:rsid w:val="00DF6D2B"/>
    <w:rsid w:val="00DF6E74"/>
    <w:rsid w:val="00E06C03"/>
    <w:rsid w:val="00E1703B"/>
    <w:rsid w:val="00E20211"/>
    <w:rsid w:val="00E214FE"/>
    <w:rsid w:val="00E27CB5"/>
    <w:rsid w:val="00E313D1"/>
    <w:rsid w:val="00E328C8"/>
    <w:rsid w:val="00E3345D"/>
    <w:rsid w:val="00E35608"/>
    <w:rsid w:val="00E35A97"/>
    <w:rsid w:val="00E42467"/>
    <w:rsid w:val="00E43330"/>
    <w:rsid w:val="00E43AE2"/>
    <w:rsid w:val="00E55E84"/>
    <w:rsid w:val="00E721FC"/>
    <w:rsid w:val="00E821C6"/>
    <w:rsid w:val="00E82C70"/>
    <w:rsid w:val="00E84515"/>
    <w:rsid w:val="00E863AE"/>
    <w:rsid w:val="00E87B58"/>
    <w:rsid w:val="00E923A1"/>
    <w:rsid w:val="00E93C96"/>
    <w:rsid w:val="00E9739D"/>
    <w:rsid w:val="00E97681"/>
    <w:rsid w:val="00EA009A"/>
    <w:rsid w:val="00EA0308"/>
    <w:rsid w:val="00EB765C"/>
    <w:rsid w:val="00EC30A1"/>
    <w:rsid w:val="00EC49F7"/>
    <w:rsid w:val="00EC5E75"/>
    <w:rsid w:val="00EC6D9D"/>
    <w:rsid w:val="00ED050F"/>
    <w:rsid w:val="00ED2D4F"/>
    <w:rsid w:val="00ED48A6"/>
    <w:rsid w:val="00ED60A9"/>
    <w:rsid w:val="00ED7F83"/>
    <w:rsid w:val="00EE0EEE"/>
    <w:rsid w:val="00EE230E"/>
    <w:rsid w:val="00EE2AC3"/>
    <w:rsid w:val="00EE3B86"/>
    <w:rsid w:val="00EE3E70"/>
    <w:rsid w:val="00EE5B45"/>
    <w:rsid w:val="00EF6BAB"/>
    <w:rsid w:val="00F024BB"/>
    <w:rsid w:val="00F05006"/>
    <w:rsid w:val="00F0512E"/>
    <w:rsid w:val="00F055C8"/>
    <w:rsid w:val="00F06D3F"/>
    <w:rsid w:val="00F11F1D"/>
    <w:rsid w:val="00F20B24"/>
    <w:rsid w:val="00F350EF"/>
    <w:rsid w:val="00F50243"/>
    <w:rsid w:val="00F53D6F"/>
    <w:rsid w:val="00F624CC"/>
    <w:rsid w:val="00F72A1E"/>
    <w:rsid w:val="00F73D14"/>
    <w:rsid w:val="00F75578"/>
    <w:rsid w:val="00F768EC"/>
    <w:rsid w:val="00F83593"/>
    <w:rsid w:val="00F945ED"/>
    <w:rsid w:val="00FA0DB6"/>
    <w:rsid w:val="00FA1348"/>
    <w:rsid w:val="00FA1F8E"/>
    <w:rsid w:val="00FA264F"/>
    <w:rsid w:val="00FA4817"/>
    <w:rsid w:val="00FB22CC"/>
    <w:rsid w:val="00FB24CD"/>
    <w:rsid w:val="00FB2ED3"/>
    <w:rsid w:val="00FB2FB0"/>
    <w:rsid w:val="00FC440F"/>
    <w:rsid w:val="00FC6B47"/>
    <w:rsid w:val="00FC73C7"/>
    <w:rsid w:val="00FD2649"/>
    <w:rsid w:val="00FD654C"/>
    <w:rsid w:val="00FE3F86"/>
    <w:rsid w:val="00FE5995"/>
    <w:rsid w:val="00FE64BE"/>
    <w:rsid w:val="00FE7C85"/>
    <w:rsid w:val="00FF165E"/>
    <w:rsid w:val="00FF4A12"/>
    <w:rsid w:val="00FF5154"/>
    <w:rsid w:val="00FF56ED"/>
    <w:rsid w:val="00FF631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6" ma:contentTypeDescription="Create a new document." ma:contentTypeScope="" ma:versionID="0685a43473c6929c24eb093657a7c0b8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32e7e88a6c1d93f24a015486f6bd624f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FFEAE40-20A7-41EA-85E8-2893D57B1AEC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3f7d1ba-ac27-4bcb-a5b6-37981e86af6e"/>
    <ds:schemaRef ds:uri="http://schemas.openxmlformats.org/package/2006/metadata/core-properties"/>
    <ds:schemaRef ds:uri="45ab7314-6ee2-4801-b2cf-a27306d55ce5"/>
    <ds:schemaRef ds:uri="5ad2cbeb-fc51-4b49-87dc-42300fe4d1d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92C68-78D4-48F2-B70E-0D33F4C7E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68C23D-010C-41EA-BFA6-4AAC9F39844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180</cp:revision>
  <dcterms:created xsi:type="dcterms:W3CDTF">2023-05-04T00:28:00Z</dcterms:created>
  <dcterms:modified xsi:type="dcterms:W3CDTF">2024-01-22T04:57:00Z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