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0F554" w14:textId="0B08BE15" w:rsidR="000B21D3" w:rsidRDefault="000B21D3" w:rsidP="000625C7">
      <w:pPr>
        <w:autoSpaceDE w:val="0"/>
        <w:autoSpaceDN w:val="0"/>
        <w:adjustRightInd w:val="0"/>
      </w:pPr>
    </w:p>
    <w:p w14:paraId="01C0825E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,BoldItalic"/>
          <w:b/>
          <w:bCs/>
          <w:i/>
          <w:iCs/>
          <w:sz w:val="24"/>
          <w:szCs w:val="24"/>
        </w:rPr>
      </w:pPr>
      <w:r w:rsidRPr="00055CEE">
        <w:rPr>
          <w:rFonts w:ascii="Bookman Old Style" w:hAnsi="Bookman Old Style" w:cs="Bookman Old Style,BoldItalic"/>
          <w:b/>
          <w:bCs/>
          <w:i/>
          <w:iCs/>
          <w:sz w:val="24"/>
          <w:szCs w:val="24"/>
        </w:rPr>
        <w:t>Customs Act 1901</w:t>
      </w:r>
    </w:p>
    <w:p w14:paraId="5156045F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,BoldItalic"/>
          <w:b/>
          <w:bCs/>
          <w:i/>
          <w:iCs/>
          <w:sz w:val="24"/>
          <w:szCs w:val="24"/>
        </w:rPr>
      </w:pPr>
    </w:p>
    <w:p w14:paraId="6BF2A181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,Bold"/>
          <w:b/>
          <w:bCs/>
          <w:sz w:val="24"/>
          <w:szCs w:val="24"/>
        </w:rPr>
      </w:pPr>
      <w:r w:rsidRPr="00055CEE">
        <w:rPr>
          <w:rFonts w:ascii="Bookman Old Style" w:hAnsi="Bookman Old Style" w:cs="Bookman Old Style,Bold"/>
          <w:b/>
          <w:bCs/>
          <w:sz w:val="24"/>
          <w:szCs w:val="24"/>
        </w:rPr>
        <w:t xml:space="preserve">Notice under </w:t>
      </w:r>
      <w:r>
        <w:rPr>
          <w:rFonts w:ascii="Bookman Old Style" w:hAnsi="Bookman Old Style" w:cs="Bookman Old Style,Bold"/>
          <w:b/>
          <w:bCs/>
          <w:sz w:val="24"/>
          <w:szCs w:val="24"/>
        </w:rPr>
        <w:t>paragraph</w:t>
      </w:r>
      <w:r w:rsidRPr="00055CEE">
        <w:rPr>
          <w:rFonts w:ascii="Bookman Old Style" w:hAnsi="Bookman Old Style" w:cs="Bookman Old Style,Bold"/>
          <w:b/>
          <w:bCs/>
          <w:sz w:val="24"/>
          <w:szCs w:val="24"/>
        </w:rPr>
        <w:t xml:space="preserve"> 15</w:t>
      </w:r>
      <w:r>
        <w:rPr>
          <w:rFonts w:ascii="Bookman Old Style" w:hAnsi="Bookman Old Style" w:cs="Bookman Old Style,Bold"/>
          <w:b/>
          <w:bCs/>
          <w:sz w:val="24"/>
          <w:szCs w:val="24"/>
        </w:rPr>
        <w:t>(2</w:t>
      </w:r>
      <w:proofErr w:type="gramStart"/>
      <w:r>
        <w:rPr>
          <w:rFonts w:ascii="Bookman Old Style" w:hAnsi="Bookman Old Style" w:cs="Bookman Old Style,Bold"/>
          <w:b/>
          <w:bCs/>
          <w:sz w:val="24"/>
          <w:szCs w:val="24"/>
        </w:rPr>
        <w:t>)(</w:t>
      </w:r>
      <w:proofErr w:type="gramEnd"/>
      <w:r>
        <w:rPr>
          <w:rFonts w:ascii="Bookman Old Style" w:hAnsi="Bookman Old Style" w:cs="Bookman Old Style,Bold"/>
          <w:b/>
          <w:bCs/>
          <w:sz w:val="24"/>
          <w:szCs w:val="24"/>
        </w:rPr>
        <w:t>a)</w:t>
      </w:r>
    </w:p>
    <w:p w14:paraId="562ABF68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,Bold"/>
          <w:b/>
          <w:bCs/>
          <w:sz w:val="24"/>
          <w:szCs w:val="24"/>
        </w:rPr>
      </w:pPr>
    </w:p>
    <w:p w14:paraId="40FDE833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,Bold"/>
          <w:b/>
          <w:bCs/>
          <w:sz w:val="24"/>
          <w:szCs w:val="24"/>
        </w:rPr>
      </w:pPr>
      <w:r w:rsidRPr="00AD5928">
        <w:rPr>
          <w:rFonts w:ascii="Bookman Old Style" w:hAnsi="Bookman Old Style" w:cs="Bookman Old Style,Bold"/>
          <w:b/>
          <w:bCs/>
          <w:sz w:val="24"/>
          <w:szCs w:val="24"/>
        </w:rPr>
        <w:t xml:space="preserve">Wharf Notice of Appointment </w:t>
      </w:r>
      <w:r>
        <w:rPr>
          <w:rFonts w:ascii="Bookman Old Style" w:hAnsi="Bookman Old Style" w:cs="Bookman Old Style,Bold"/>
          <w:b/>
          <w:bCs/>
          <w:sz w:val="24"/>
          <w:szCs w:val="24"/>
        </w:rPr>
        <w:t>(</w:t>
      </w:r>
      <w:r w:rsidRPr="00AD5928">
        <w:rPr>
          <w:rFonts w:ascii="Bookman Old Style" w:hAnsi="Bookman Old Style" w:cs="Bookman Old Style,Bold"/>
          <w:b/>
          <w:bCs/>
          <w:sz w:val="24"/>
          <w:szCs w:val="24"/>
        </w:rPr>
        <w:t>No. 2</w:t>
      </w:r>
      <w:r>
        <w:rPr>
          <w:rFonts w:ascii="Bookman Old Style" w:hAnsi="Bookman Old Style" w:cs="Bookman Old Style,Bold"/>
          <w:b/>
          <w:bCs/>
          <w:sz w:val="24"/>
          <w:szCs w:val="24"/>
        </w:rPr>
        <w:t xml:space="preserve">3/9) – </w:t>
      </w:r>
    </w:p>
    <w:p w14:paraId="67C1CA30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,Bold"/>
          <w:b/>
          <w:bCs/>
          <w:sz w:val="24"/>
          <w:szCs w:val="24"/>
        </w:rPr>
      </w:pPr>
      <w:r w:rsidRPr="00055CEE">
        <w:rPr>
          <w:rFonts w:ascii="Bookman Old Style" w:hAnsi="Bookman Old Style" w:cs="Bookman Old Style,Bold"/>
          <w:b/>
          <w:bCs/>
          <w:sz w:val="24"/>
          <w:szCs w:val="24"/>
        </w:rPr>
        <w:t xml:space="preserve">Port of </w:t>
      </w:r>
      <w:r>
        <w:rPr>
          <w:rFonts w:ascii="Bookman Old Style" w:hAnsi="Bookman Old Style" w:cs="Bookman Old Style,Bold"/>
          <w:b/>
          <w:bCs/>
          <w:sz w:val="24"/>
          <w:szCs w:val="24"/>
        </w:rPr>
        <w:t xml:space="preserve">Dampier </w:t>
      </w:r>
      <w:r w:rsidRPr="00055CEE">
        <w:rPr>
          <w:rFonts w:ascii="Bookman Old Style" w:hAnsi="Bookman Old Style" w:cs="Bookman Old Style,Bold"/>
          <w:b/>
          <w:bCs/>
          <w:sz w:val="24"/>
          <w:szCs w:val="24"/>
        </w:rPr>
        <w:t xml:space="preserve">– </w:t>
      </w:r>
      <w:r>
        <w:rPr>
          <w:rFonts w:ascii="Bookman Old Style" w:hAnsi="Bookman Old Style" w:cs="Bookman Old Style,Bold"/>
          <w:b/>
          <w:bCs/>
          <w:sz w:val="24"/>
          <w:szCs w:val="24"/>
        </w:rPr>
        <w:t>Dampier and King Bay Wharf Area</w:t>
      </w:r>
    </w:p>
    <w:p w14:paraId="10766F3A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,Bold"/>
          <w:b/>
          <w:bCs/>
          <w:sz w:val="24"/>
          <w:szCs w:val="24"/>
        </w:rPr>
      </w:pPr>
    </w:p>
    <w:p w14:paraId="2A95CB1B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 w:rsidRPr="00055CEE">
        <w:rPr>
          <w:rFonts w:ascii="Bookman Old Style" w:hAnsi="Bookman Old Style" w:cs="Bookman Old Style"/>
          <w:sz w:val="24"/>
          <w:szCs w:val="24"/>
        </w:rPr>
        <w:t xml:space="preserve">I, </w:t>
      </w:r>
      <w:r>
        <w:rPr>
          <w:rFonts w:ascii="Bookman Old Style" w:hAnsi="Bookman Old Style" w:cs="Bookman Old Style"/>
          <w:sz w:val="24"/>
          <w:szCs w:val="24"/>
        </w:rPr>
        <w:t>Phil Emerson</w:t>
      </w:r>
      <w:r w:rsidRPr="00055CEE">
        <w:rPr>
          <w:rFonts w:ascii="Bookman Old Style" w:hAnsi="Bookman Old Style" w:cs="Bookman Old Style"/>
          <w:sz w:val="24"/>
          <w:szCs w:val="24"/>
        </w:rPr>
        <w:t xml:space="preserve">, delegate of the Comptroller-General of Customs, under </w:t>
      </w:r>
      <w:r>
        <w:rPr>
          <w:rFonts w:ascii="Bookman Old Style" w:hAnsi="Bookman Old Style" w:cs="Bookman Old Style"/>
          <w:sz w:val="24"/>
          <w:szCs w:val="24"/>
        </w:rPr>
        <w:t>paragraph </w:t>
      </w:r>
      <w:r w:rsidRPr="00055CEE">
        <w:rPr>
          <w:rFonts w:ascii="Bookman Old Style" w:hAnsi="Bookman Old Style" w:cs="Bookman Old Style"/>
          <w:sz w:val="24"/>
          <w:szCs w:val="24"/>
        </w:rPr>
        <w:t>15</w:t>
      </w:r>
      <w:r>
        <w:rPr>
          <w:rFonts w:ascii="Bookman Old Style" w:hAnsi="Bookman Old Style" w:cs="Bookman Old Style"/>
          <w:sz w:val="24"/>
          <w:szCs w:val="24"/>
        </w:rPr>
        <w:t>(2</w:t>
      </w:r>
      <w:proofErr w:type="gramStart"/>
      <w:r>
        <w:rPr>
          <w:rFonts w:ascii="Bookman Old Style" w:hAnsi="Bookman Old Style" w:cs="Bookman Old Style"/>
          <w:sz w:val="24"/>
          <w:szCs w:val="24"/>
        </w:rPr>
        <w:t>)(</w:t>
      </w:r>
      <w:proofErr w:type="gramEnd"/>
      <w:r>
        <w:rPr>
          <w:rFonts w:ascii="Bookman Old Style" w:hAnsi="Bookman Old Style" w:cs="Bookman Old Style"/>
          <w:sz w:val="24"/>
          <w:szCs w:val="24"/>
        </w:rPr>
        <w:t>a)</w:t>
      </w:r>
      <w:r w:rsidRPr="00055CEE">
        <w:rPr>
          <w:rFonts w:ascii="Bookman Old Style" w:hAnsi="Bookman Old Style" w:cs="Bookman Old Style"/>
          <w:sz w:val="24"/>
          <w:szCs w:val="24"/>
        </w:rPr>
        <w:t xml:space="preserve"> of the </w:t>
      </w:r>
      <w:r w:rsidRPr="00055CEE">
        <w:rPr>
          <w:rFonts w:ascii="Bookman Old Style" w:hAnsi="Bookman Old Style" w:cs="Bookman Old Style,Italic"/>
          <w:i/>
          <w:iCs/>
          <w:sz w:val="24"/>
          <w:szCs w:val="24"/>
        </w:rPr>
        <w:t>Customs Act 1901</w:t>
      </w:r>
      <w:r w:rsidRPr="00055CEE">
        <w:rPr>
          <w:rFonts w:ascii="Bookman Old Style" w:hAnsi="Bookman Old Style" w:cs="Bookman Old Style"/>
          <w:sz w:val="24"/>
          <w:szCs w:val="24"/>
        </w:rPr>
        <w:t>:</w:t>
      </w:r>
    </w:p>
    <w:p w14:paraId="4F9D85C7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</w:p>
    <w:p w14:paraId="6921FB42" w14:textId="2AF7F74D" w:rsidR="004E5F41" w:rsidRPr="004E5F41" w:rsidRDefault="004E5F41" w:rsidP="004F3B38">
      <w:pPr>
        <w:pStyle w:val="Default"/>
        <w:numPr>
          <w:ilvl w:val="0"/>
          <w:numId w:val="1"/>
        </w:numPr>
        <w:tabs>
          <w:tab w:val="left" w:pos="851"/>
        </w:tabs>
        <w:spacing w:after="308"/>
        <w:rPr>
          <w:lang w:val="en-US"/>
        </w:rPr>
      </w:pPr>
      <w:r>
        <w:t xml:space="preserve">REVOKE the notice titled “Wharf Appointment, Appointment No. 2521” published in the </w:t>
      </w:r>
      <w:r w:rsidRPr="000625C7">
        <w:rPr>
          <w:i/>
        </w:rPr>
        <w:t>Commonwealth of Australia Gazette</w:t>
      </w:r>
      <w:r w:rsidRPr="000B21D3">
        <w:t xml:space="preserve"> </w:t>
      </w:r>
      <w:r>
        <w:t xml:space="preserve">No. 27 on 11 July 2012, appointing </w:t>
      </w:r>
      <w:r w:rsidR="000B21D3">
        <w:t xml:space="preserve">as </w:t>
      </w:r>
      <w:r>
        <w:t xml:space="preserve">a wharf </w:t>
      </w:r>
      <w:r w:rsidR="004F3B38" w:rsidRPr="004F3B38">
        <w:t xml:space="preserve">the </w:t>
      </w:r>
      <w:r w:rsidR="000B21D3">
        <w:t>area</w:t>
      </w:r>
      <w:r w:rsidR="004F3B38" w:rsidRPr="004F3B38">
        <w:t xml:space="preserve"> known as </w:t>
      </w:r>
      <w:r w:rsidR="004F3B38">
        <w:t xml:space="preserve">King Bay Wharf area </w:t>
      </w:r>
      <w:r>
        <w:t>in the Port of Dampier;</w:t>
      </w:r>
    </w:p>
    <w:p w14:paraId="57B0F641" w14:textId="6C1B9F27" w:rsidR="004E5F41" w:rsidRPr="0089198A" w:rsidRDefault="004E5F41" w:rsidP="0089198A">
      <w:pPr>
        <w:pStyle w:val="Default"/>
        <w:numPr>
          <w:ilvl w:val="0"/>
          <w:numId w:val="1"/>
        </w:numPr>
        <w:tabs>
          <w:tab w:val="left" w:pos="851"/>
        </w:tabs>
        <w:spacing w:after="308"/>
      </w:pPr>
      <w:r>
        <w:t>REVOKE the notice titled “Wharf Notice of Appointment (2588)” published in the Government Notices Gazette, No. C2107G00265 on 7 March 2017, appointing a wharf</w:t>
      </w:r>
      <w:r w:rsidR="004F3B38">
        <w:t xml:space="preserve"> as </w:t>
      </w:r>
      <w:r w:rsidR="004F3B38" w:rsidRPr="004F3B38">
        <w:t xml:space="preserve">the </w:t>
      </w:r>
      <w:r w:rsidR="000B21D3">
        <w:t>area</w:t>
      </w:r>
      <w:r w:rsidR="004F3B38" w:rsidRPr="004F3B38">
        <w:t xml:space="preserve"> known as </w:t>
      </w:r>
      <w:r w:rsidR="004F3B38">
        <w:t>Pilbara Ports Authorities Facilities</w:t>
      </w:r>
      <w:r>
        <w:t xml:space="preserve"> in the Port of Dampier;</w:t>
      </w:r>
    </w:p>
    <w:p w14:paraId="3AE40F4E" w14:textId="06E7A51C" w:rsidR="004E5F41" w:rsidRPr="0089198A" w:rsidRDefault="00367EF1" w:rsidP="0089198A">
      <w:pPr>
        <w:pStyle w:val="Default"/>
        <w:numPr>
          <w:ilvl w:val="0"/>
          <w:numId w:val="1"/>
        </w:numPr>
        <w:tabs>
          <w:tab w:val="left" w:pos="851"/>
        </w:tabs>
        <w:spacing w:after="308"/>
      </w:pPr>
      <w:r>
        <w:t>APPOINT</w:t>
      </w:r>
      <w:r w:rsidRPr="00055CEE">
        <w:t xml:space="preserve"> </w:t>
      </w:r>
      <w:r w:rsidR="004E5F41" w:rsidRPr="0089198A">
        <w:t xml:space="preserve">as a wharf </w:t>
      </w:r>
      <w:r w:rsidR="000B21D3" w:rsidRPr="0089198A">
        <w:t xml:space="preserve">the area known as Dampier and King Bay Wharf Area </w:t>
      </w:r>
      <w:r w:rsidR="004E5F41" w:rsidRPr="0089198A">
        <w:t>in the Port of Dampier in Western Australia; and</w:t>
      </w:r>
    </w:p>
    <w:p w14:paraId="5A2BE832" w14:textId="7FA4BCB4" w:rsidR="004E5F41" w:rsidRPr="00055CEE" w:rsidRDefault="00367EF1" w:rsidP="0089198A">
      <w:pPr>
        <w:pStyle w:val="Default"/>
        <w:numPr>
          <w:ilvl w:val="0"/>
          <w:numId w:val="1"/>
        </w:numPr>
        <w:tabs>
          <w:tab w:val="left" w:pos="851"/>
        </w:tabs>
        <w:spacing w:after="308"/>
      </w:pPr>
      <w:r>
        <w:t xml:space="preserve">FIX </w:t>
      </w:r>
      <w:r w:rsidR="004E5F41">
        <w:t xml:space="preserve">as the limits of that wharf </w:t>
      </w:r>
      <w:r w:rsidR="004E5F41" w:rsidRPr="00055CEE">
        <w:t xml:space="preserve">the area within </w:t>
      </w:r>
      <w:r w:rsidR="004E5F41">
        <w:t>and covered by the</w:t>
      </w:r>
      <w:r w:rsidR="004E5F41" w:rsidRPr="00055CEE">
        <w:t xml:space="preserve"> red boundary line as indicated in </w:t>
      </w:r>
      <w:r w:rsidR="004E5F41" w:rsidRPr="0089198A">
        <w:t xml:space="preserve">Attachment A </w:t>
      </w:r>
      <w:r w:rsidR="004E5F41" w:rsidRPr="00055CEE">
        <w:t>to this notice.</w:t>
      </w:r>
    </w:p>
    <w:p w14:paraId="61779D3B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</w:p>
    <w:p w14:paraId="44D7BCD2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</w:p>
    <w:p w14:paraId="23739CB5" w14:textId="60B81B63" w:rsidR="004E5F41" w:rsidRDefault="000415F2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Dated the 19</w:t>
      </w:r>
      <w:r w:rsidRPr="000415F2">
        <w:rPr>
          <w:rFonts w:ascii="Bookman Old Style" w:hAnsi="Bookman Old Style" w:cs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 w:cs="Bookman Old Style"/>
          <w:sz w:val="24"/>
          <w:szCs w:val="24"/>
        </w:rPr>
        <w:t xml:space="preserve"> </w:t>
      </w:r>
      <w:r w:rsidR="004E5F41">
        <w:rPr>
          <w:rFonts w:ascii="Bookman Old Style" w:hAnsi="Bookman Old Style" w:cs="Bookman Old Style"/>
          <w:sz w:val="24"/>
          <w:szCs w:val="24"/>
        </w:rPr>
        <w:t xml:space="preserve">day of </w:t>
      </w:r>
      <w:r>
        <w:rPr>
          <w:rFonts w:ascii="Bookman Old Style" w:hAnsi="Bookman Old Style" w:cs="Bookman Old Style"/>
          <w:sz w:val="24"/>
          <w:szCs w:val="24"/>
        </w:rPr>
        <w:t xml:space="preserve">December </w:t>
      </w:r>
      <w:r w:rsidR="004E5F41">
        <w:rPr>
          <w:rFonts w:ascii="Bookman Old Style" w:hAnsi="Bookman Old Style" w:cs="Bookman Old Style"/>
          <w:sz w:val="24"/>
          <w:szCs w:val="24"/>
        </w:rPr>
        <w:t>2023</w:t>
      </w:r>
      <w:r w:rsidR="004E5F41" w:rsidRPr="00055CEE">
        <w:rPr>
          <w:rFonts w:ascii="Bookman Old Style" w:hAnsi="Bookman Old Style" w:cs="Bookman Old Style"/>
          <w:sz w:val="24"/>
          <w:szCs w:val="24"/>
        </w:rPr>
        <w:t>.</w:t>
      </w:r>
    </w:p>
    <w:p w14:paraId="254F8C1F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</w:p>
    <w:p w14:paraId="77BF35DC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</w:p>
    <w:p w14:paraId="7D822664" w14:textId="78B02CA1" w:rsidR="004E5F41" w:rsidRDefault="000415F2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Signed.</w:t>
      </w:r>
    </w:p>
    <w:p w14:paraId="0507B2B5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</w:p>
    <w:p w14:paraId="135F7E48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</w:p>
    <w:p w14:paraId="517C504B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Phil Emerson</w:t>
      </w:r>
    </w:p>
    <w:p w14:paraId="292139AB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 w:rsidRPr="00055CEE">
        <w:rPr>
          <w:rFonts w:ascii="Bookman Old Style" w:hAnsi="Bookman Old Style" w:cs="Bookman Old Style"/>
          <w:sz w:val="24"/>
          <w:szCs w:val="24"/>
        </w:rPr>
        <w:t>Director Ports Policy</w:t>
      </w:r>
    </w:p>
    <w:p w14:paraId="7AAE2897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 w:rsidRPr="00055CEE">
        <w:rPr>
          <w:rFonts w:ascii="Bookman Old Style" w:hAnsi="Bookman Old Style" w:cs="Bookman Old Style"/>
          <w:sz w:val="24"/>
          <w:szCs w:val="24"/>
        </w:rPr>
        <w:t>Traveller Policy and Industry Engagement</w:t>
      </w:r>
    </w:p>
    <w:p w14:paraId="06581009" w14:textId="77777777" w:rsidR="004E5F41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 w:rsidRPr="00055CEE">
        <w:rPr>
          <w:rFonts w:ascii="Bookman Old Style" w:hAnsi="Bookman Old Style" w:cs="Bookman Old Style"/>
          <w:sz w:val="24"/>
          <w:szCs w:val="24"/>
        </w:rPr>
        <w:t xml:space="preserve">Industry and Border Systems </w:t>
      </w:r>
      <w:r>
        <w:rPr>
          <w:rFonts w:ascii="Bookman Old Style" w:hAnsi="Bookman Old Style" w:cs="Bookman Old Style"/>
          <w:sz w:val="24"/>
          <w:szCs w:val="24"/>
        </w:rPr>
        <w:t>Division</w:t>
      </w:r>
    </w:p>
    <w:p w14:paraId="7B6BE163" w14:textId="77777777" w:rsidR="004E5F41" w:rsidRPr="00055CEE" w:rsidRDefault="004E5F41" w:rsidP="004E5F4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sz w:val="24"/>
          <w:szCs w:val="24"/>
        </w:rPr>
      </w:pPr>
      <w:r w:rsidRPr="00055CEE">
        <w:rPr>
          <w:rFonts w:ascii="Bookman Old Style" w:hAnsi="Bookman Old Style" w:cs="Bookman Old Style"/>
          <w:sz w:val="24"/>
          <w:szCs w:val="24"/>
        </w:rPr>
        <w:t>Australian Border Force</w:t>
      </w:r>
    </w:p>
    <w:p w14:paraId="48D0730E" w14:textId="5DB984E4" w:rsidR="00DF6A95" w:rsidRDefault="00DF6A95" w:rsidP="004E5F41">
      <w:pPr>
        <w:tabs>
          <w:tab w:val="left" w:pos="3675"/>
        </w:tabs>
      </w:pPr>
    </w:p>
    <w:p w14:paraId="5ECCA15B" w14:textId="083478E8" w:rsidR="00DF6A95" w:rsidRDefault="00DF6A95" w:rsidP="004E5F41">
      <w:pPr>
        <w:tabs>
          <w:tab w:val="left" w:pos="3675"/>
        </w:tabs>
      </w:pPr>
    </w:p>
    <w:p w14:paraId="05FF58BA" w14:textId="2AB4B1AD" w:rsidR="00DF6A95" w:rsidRPr="00424B97" w:rsidRDefault="00DF6A95" w:rsidP="004E5F41">
      <w:pPr>
        <w:tabs>
          <w:tab w:val="left" w:pos="3675"/>
        </w:tabs>
      </w:pPr>
      <w:bookmarkStart w:id="0" w:name="_GoBack"/>
      <w:r w:rsidRPr="00DF6A95">
        <w:rPr>
          <w:noProof/>
          <w:lang w:eastAsia="en-AU"/>
        </w:rPr>
        <w:lastRenderedPageBreak/>
        <w:drawing>
          <wp:inline distT="0" distB="0" distL="0" distR="0" wp14:anchorId="689AB3DA" wp14:editId="360EB49D">
            <wp:extent cx="6120130" cy="8656053"/>
            <wp:effectExtent l="0" t="0" r="0" b="0"/>
            <wp:docPr id="3" name="Picture 3" descr="Map showing the boundary area for a wharf in the area known as Dampier and King Bay Wharf in the Port of Dampier in Western Australia" title="Attachment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N.BCZ.GOV.AU\USERS\CBR09\QS86RA\Home\Desktop\Ports Policy\Gazettals\Seaports\Dampier\Package for approval\Port of Dampier s15(2) Wharf Appoint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6A95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4F65E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01F9B37F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7B1A1C4E-6627-4396-BCD8-45C929917C0B}"/>
    <w:embedBold r:id="rId2" w:fontKey="{A240990D-943C-4BE3-93B1-BF59F505CE02}"/>
    <w:embedItalic r:id="rId3" w:fontKey="{D78F08DE-B521-48C1-A4F7-C109EB3BDE05}"/>
    <w:embedBoldItalic r:id="rId4" w:fontKey="{026F7065-1183-47CF-AB0B-2C31A6A42215}"/>
  </w:font>
  <w:font w:name="Bookman Old Style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2D92B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14F399C3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536CD7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CB08916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FB76099" wp14:editId="0901949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B87CB10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385F5E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30BF7DE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27563CA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C820524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D30C58E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317C47B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83BE1"/>
    <w:multiLevelType w:val="hybridMultilevel"/>
    <w:tmpl w:val="7FD8FF4E"/>
    <w:lvl w:ilvl="0" w:tplc="AF1084EA">
      <w:start w:val="1"/>
      <w:numFmt w:val="lowerLetter"/>
      <w:lvlText w:val="(%1)"/>
      <w:lvlJc w:val="left"/>
      <w:pPr>
        <w:ind w:left="73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55" w:hanging="360"/>
      </w:pPr>
    </w:lvl>
    <w:lvl w:ilvl="2" w:tplc="0C09001B" w:tentative="1">
      <w:start w:val="1"/>
      <w:numFmt w:val="lowerRoman"/>
      <w:lvlText w:val="%3."/>
      <w:lvlJc w:val="right"/>
      <w:pPr>
        <w:ind w:left="2175" w:hanging="180"/>
      </w:pPr>
    </w:lvl>
    <w:lvl w:ilvl="3" w:tplc="0C09000F" w:tentative="1">
      <w:start w:val="1"/>
      <w:numFmt w:val="decimal"/>
      <w:lvlText w:val="%4."/>
      <w:lvlJc w:val="left"/>
      <w:pPr>
        <w:ind w:left="2895" w:hanging="360"/>
      </w:pPr>
    </w:lvl>
    <w:lvl w:ilvl="4" w:tplc="0C090019" w:tentative="1">
      <w:start w:val="1"/>
      <w:numFmt w:val="lowerLetter"/>
      <w:lvlText w:val="%5."/>
      <w:lvlJc w:val="left"/>
      <w:pPr>
        <w:ind w:left="3615" w:hanging="360"/>
      </w:pPr>
    </w:lvl>
    <w:lvl w:ilvl="5" w:tplc="0C09001B" w:tentative="1">
      <w:start w:val="1"/>
      <w:numFmt w:val="lowerRoman"/>
      <w:lvlText w:val="%6."/>
      <w:lvlJc w:val="right"/>
      <w:pPr>
        <w:ind w:left="4335" w:hanging="180"/>
      </w:pPr>
    </w:lvl>
    <w:lvl w:ilvl="6" w:tplc="0C09000F" w:tentative="1">
      <w:start w:val="1"/>
      <w:numFmt w:val="decimal"/>
      <w:lvlText w:val="%7."/>
      <w:lvlJc w:val="left"/>
      <w:pPr>
        <w:ind w:left="5055" w:hanging="360"/>
      </w:pPr>
    </w:lvl>
    <w:lvl w:ilvl="7" w:tplc="0C090019" w:tentative="1">
      <w:start w:val="1"/>
      <w:numFmt w:val="lowerLetter"/>
      <w:lvlText w:val="%8."/>
      <w:lvlJc w:val="left"/>
      <w:pPr>
        <w:ind w:left="5775" w:hanging="360"/>
      </w:pPr>
    </w:lvl>
    <w:lvl w:ilvl="8" w:tplc="0C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trackRevisions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415F2"/>
    <w:rsid w:val="000625C7"/>
    <w:rsid w:val="000B21D3"/>
    <w:rsid w:val="000E1F2B"/>
    <w:rsid w:val="001C2AAD"/>
    <w:rsid w:val="001F6E54"/>
    <w:rsid w:val="00280BCD"/>
    <w:rsid w:val="00367EF1"/>
    <w:rsid w:val="003A13CA"/>
    <w:rsid w:val="003A707F"/>
    <w:rsid w:val="003B0EC1"/>
    <w:rsid w:val="003B573B"/>
    <w:rsid w:val="003F2CBD"/>
    <w:rsid w:val="00424B97"/>
    <w:rsid w:val="00474843"/>
    <w:rsid w:val="004B1D74"/>
    <w:rsid w:val="004B2753"/>
    <w:rsid w:val="004E5F41"/>
    <w:rsid w:val="004F3B38"/>
    <w:rsid w:val="00520873"/>
    <w:rsid w:val="00573D44"/>
    <w:rsid w:val="00796D0D"/>
    <w:rsid w:val="00840A06"/>
    <w:rsid w:val="008439B7"/>
    <w:rsid w:val="0087253F"/>
    <w:rsid w:val="0089198A"/>
    <w:rsid w:val="008E4F6C"/>
    <w:rsid w:val="009539C7"/>
    <w:rsid w:val="00A00F21"/>
    <w:rsid w:val="00B71C90"/>
    <w:rsid w:val="00B84226"/>
    <w:rsid w:val="00BE7780"/>
    <w:rsid w:val="00C63C4E"/>
    <w:rsid w:val="00C72C30"/>
    <w:rsid w:val="00D229E5"/>
    <w:rsid w:val="00D77A88"/>
    <w:rsid w:val="00DF6A95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745E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Default">
    <w:name w:val="Default"/>
    <w:rsid w:val="004E5F4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67E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E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E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E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B30F3-42FC-477B-B9BC-E02EA1977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994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2024-01-12T00:59:00Z</dcterms:created>
  <dcterms:modified xsi:type="dcterms:W3CDTF">2024-01-12T00:59:00Z</dcterms:modified>
  <cp:category/>
  <cp:contentStatus/>
  <dc:language/>
  <cp:version/>
</cp:coreProperties>
</file>