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6360383"/>
    <w:p w14:paraId="44CE3C3C" w14:textId="5503F665" w:rsidR="0073040D" w:rsidRDefault="0073040D" w:rsidP="0073040D">
      <w:r>
        <w:object w:dxaOrig="2146" w:dyaOrig="1561" w14:anchorId="47D0D1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796457927" r:id="rId8"/>
        </w:object>
      </w:r>
    </w:p>
    <w:p w14:paraId="3D28898D" w14:textId="77777777" w:rsidR="0073040D" w:rsidRDefault="0073040D" w:rsidP="0073040D"/>
    <w:p w14:paraId="297619BC" w14:textId="77777777" w:rsidR="0073040D" w:rsidRDefault="0073040D" w:rsidP="0073040D"/>
    <w:p w14:paraId="180197D1" w14:textId="77777777" w:rsidR="0073040D" w:rsidRDefault="0073040D" w:rsidP="0073040D"/>
    <w:p w14:paraId="35908CC6" w14:textId="77777777" w:rsidR="0073040D" w:rsidRDefault="0073040D" w:rsidP="0073040D"/>
    <w:p w14:paraId="0BFBDD54" w14:textId="77777777" w:rsidR="0073040D" w:rsidRDefault="0073040D" w:rsidP="0073040D"/>
    <w:p w14:paraId="6BB0E032" w14:textId="77777777" w:rsidR="0073040D" w:rsidRDefault="0073040D" w:rsidP="0073040D"/>
    <w:bookmarkEnd w:id="0"/>
    <w:p w14:paraId="66322BD1" w14:textId="74D0EF9F" w:rsidR="0048364F" w:rsidRPr="006B5C47" w:rsidRDefault="0073040D" w:rsidP="0073040D">
      <w:pPr>
        <w:pStyle w:val="ShortT"/>
      </w:pPr>
      <w:r>
        <w:t>Customs Tariff Amendment (Comprehensive and Progressive Agreement for Trans</w:t>
      </w:r>
      <w:r>
        <w:noBreakHyphen/>
        <w:t>Pacific Partnership Expansion) Act 2024</w:t>
      </w:r>
    </w:p>
    <w:p w14:paraId="2DC7EB6F" w14:textId="0F86ABE2" w:rsidR="0048364F" w:rsidRPr="006B5C47" w:rsidRDefault="00C164CA" w:rsidP="0073040D">
      <w:pPr>
        <w:pStyle w:val="Actno"/>
        <w:spacing w:before="400"/>
      </w:pPr>
      <w:r w:rsidRPr="006B5C47">
        <w:t>No.</w:t>
      </w:r>
      <w:r w:rsidR="008A1716">
        <w:t xml:space="preserve"> 94</w:t>
      </w:r>
      <w:r w:rsidRPr="006B5C47">
        <w:t xml:space="preserve">, </w:t>
      </w:r>
      <w:r w:rsidR="00B92576" w:rsidRPr="006B5C47">
        <w:t>2024</w:t>
      </w:r>
    </w:p>
    <w:p w14:paraId="699FDA7D" w14:textId="77777777" w:rsidR="0048364F" w:rsidRPr="006B5C47" w:rsidRDefault="0048364F" w:rsidP="0048364F"/>
    <w:p w14:paraId="01D5B331" w14:textId="77777777" w:rsidR="004F4A72" w:rsidRDefault="004F4A72" w:rsidP="004F4A72">
      <w:pPr>
        <w:rPr>
          <w:lang w:eastAsia="en-AU"/>
        </w:rPr>
      </w:pPr>
    </w:p>
    <w:p w14:paraId="3F01E9D6" w14:textId="0C06F445" w:rsidR="0048364F" w:rsidRPr="006B5C47" w:rsidRDefault="0048364F" w:rsidP="0048364F"/>
    <w:p w14:paraId="47748198" w14:textId="77777777" w:rsidR="0048364F" w:rsidRPr="006B5C47" w:rsidRDefault="0048364F" w:rsidP="0048364F"/>
    <w:p w14:paraId="5B9C8FAA" w14:textId="77777777" w:rsidR="0048364F" w:rsidRPr="006B5C47" w:rsidRDefault="0048364F" w:rsidP="0048364F"/>
    <w:p w14:paraId="1B1101CF" w14:textId="77777777" w:rsidR="0073040D" w:rsidRDefault="0073040D" w:rsidP="0073040D">
      <w:pPr>
        <w:pStyle w:val="LongT"/>
      </w:pPr>
      <w:r>
        <w:t xml:space="preserve">An Act to amend the </w:t>
      </w:r>
      <w:r w:rsidRPr="0073040D">
        <w:rPr>
          <w:i/>
        </w:rPr>
        <w:t>Customs Tariff Act 1995</w:t>
      </w:r>
      <w:r>
        <w:t>, and for related purposes</w:t>
      </w:r>
    </w:p>
    <w:p w14:paraId="5F98CDF5" w14:textId="0BC4E1A4" w:rsidR="0048364F" w:rsidRPr="006B5C47" w:rsidRDefault="0048364F" w:rsidP="0048364F">
      <w:pPr>
        <w:pStyle w:val="Header"/>
        <w:tabs>
          <w:tab w:val="clear" w:pos="4150"/>
          <w:tab w:val="clear" w:pos="8307"/>
        </w:tabs>
      </w:pPr>
      <w:r w:rsidRPr="006B5C47">
        <w:rPr>
          <w:rStyle w:val="CharAmSchNo"/>
        </w:rPr>
        <w:t xml:space="preserve"> </w:t>
      </w:r>
      <w:r w:rsidRPr="006B5C47">
        <w:rPr>
          <w:rStyle w:val="CharAmSchText"/>
        </w:rPr>
        <w:t xml:space="preserve"> </w:t>
      </w:r>
    </w:p>
    <w:p w14:paraId="0422098C" w14:textId="77777777" w:rsidR="0048364F" w:rsidRPr="006B5C47" w:rsidRDefault="0048364F" w:rsidP="0048364F">
      <w:pPr>
        <w:pStyle w:val="Header"/>
        <w:tabs>
          <w:tab w:val="clear" w:pos="4150"/>
          <w:tab w:val="clear" w:pos="8307"/>
        </w:tabs>
      </w:pPr>
      <w:r w:rsidRPr="006B5C47">
        <w:rPr>
          <w:rStyle w:val="CharAmPartNo"/>
        </w:rPr>
        <w:t xml:space="preserve"> </w:t>
      </w:r>
      <w:r w:rsidRPr="006B5C47">
        <w:rPr>
          <w:rStyle w:val="CharAmPartText"/>
        </w:rPr>
        <w:t xml:space="preserve"> </w:t>
      </w:r>
    </w:p>
    <w:p w14:paraId="28D4F5A9" w14:textId="77777777" w:rsidR="0048364F" w:rsidRPr="006B5C47" w:rsidRDefault="0048364F" w:rsidP="0048364F">
      <w:pPr>
        <w:sectPr w:rsidR="0048364F" w:rsidRPr="006B5C47" w:rsidSect="007304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0CE117E9" w14:textId="77777777" w:rsidR="0048364F" w:rsidRPr="006B5C47" w:rsidRDefault="0048364F" w:rsidP="0048364F">
      <w:pPr>
        <w:outlineLvl w:val="0"/>
        <w:rPr>
          <w:sz w:val="36"/>
        </w:rPr>
      </w:pPr>
      <w:r w:rsidRPr="006B5C47">
        <w:rPr>
          <w:sz w:val="36"/>
        </w:rPr>
        <w:lastRenderedPageBreak/>
        <w:t>Contents</w:t>
      </w:r>
    </w:p>
    <w:p w14:paraId="2B65321E" w14:textId="2DEEAD43" w:rsidR="007A08E6" w:rsidRDefault="007A08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A08E6">
        <w:rPr>
          <w:noProof/>
        </w:rPr>
        <w:tab/>
      </w:r>
      <w:r w:rsidRPr="007A08E6">
        <w:rPr>
          <w:noProof/>
        </w:rPr>
        <w:fldChar w:fldCharType="begin"/>
      </w:r>
      <w:r w:rsidRPr="007A08E6">
        <w:rPr>
          <w:noProof/>
        </w:rPr>
        <w:instrText xml:space="preserve"> PAGEREF _Toc180682332 \h </w:instrText>
      </w:r>
      <w:r w:rsidRPr="007A08E6">
        <w:rPr>
          <w:noProof/>
        </w:rPr>
      </w:r>
      <w:r w:rsidRPr="007A08E6">
        <w:rPr>
          <w:noProof/>
        </w:rPr>
        <w:fldChar w:fldCharType="separate"/>
      </w:r>
      <w:r w:rsidR="00370243">
        <w:rPr>
          <w:noProof/>
        </w:rPr>
        <w:t>2</w:t>
      </w:r>
      <w:r w:rsidRPr="007A08E6">
        <w:rPr>
          <w:noProof/>
        </w:rPr>
        <w:fldChar w:fldCharType="end"/>
      </w:r>
    </w:p>
    <w:p w14:paraId="644084FC" w14:textId="2CBDF48A" w:rsidR="007A08E6" w:rsidRDefault="007A08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A08E6">
        <w:rPr>
          <w:noProof/>
        </w:rPr>
        <w:tab/>
      </w:r>
      <w:r w:rsidRPr="007A08E6">
        <w:rPr>
          <w:noProof/>
        </w:rPr>
        <w:fldChar w:fldCharType="begin"/>
      </w:r>
      <w:r w:rsidRPr="007A08E6">
        <w:rPr>
          <w:noProof/>
        </w:rPr>
        <w:instrText xml:space="preserve"> PAGEREF _Toc180682333 \h </w:instrText>
      </w:r>
      <w:r w:rsidRPr="007A08E6">
        <w:rPr>
          <w:noProof/>
        </w:rPr>
      </w:r>
      <w:r w:rsidRPr="007A08E6">
        <w:rPr>
          <w:noProof/>
        </w:rPr>
        <w:fldChar w:fldCharType="separate"/>
      </w:r>
      <w:r w:rsidR="00370243">
        <w:rPr>
          <w:noProof/>
        </w:rPr>
        <w:t>2</w:t>
      </w:r>
      <w:r w:rsidRPr="007A08E6">
        <w:rPr>
          <w:noProof/>
        </w:rPr>
        <w:fldChar w:fldCharType="end"/>
      </w:r>
    </w:p>
    <w:p w14:paraId="1A3A9A74" w14:textId="55BF1A29" w:rsidR="007A08E6" w:rsidRDefault="007A08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7A08E6">
        <w:rPr>
          <w:noProof/>
        </w:rPr>
        <w:tab/>
      </w:r>
      <w:r w:rsidRPr="007A08E6">
        <w:rPr>
          <w:noProof/>
        </w:rPr>
        <w:fldChar w:fldCharType="begin"/>
      </w:r>
      <w:r w:rsidRPr="007A08E6">
        <w:rPr>
          <w:noProof/>
        </w:rPr>
        <w:instrText xml:space="preserve"> PAGEREF _Toc180682334 \h </w:instrText>
      </w:r>
      <w:r w:rsidRPr="007A08E6">
        <w:rPr>
          <w:noProof/>
        </w:rPr>
      </w:r>
      <w:r w:rsidRPr="007A08E6">
        <w:rPr>
          <w:noProof/>
        </w:rPr>
        <w:fldChar w:fldCharType="separate"/>
      </w:r>
      <w:r w:rsidR="00370243">
        <w:rPr>
          <w:noProof/>
        </w:rPr>
        <w:t>3</w:t>
      </w:r>
      <w:r w:rsidRPr="007A08E6">
        <w:rPr>
          <w:noProof/>
        </w:rPr>
        <w:fldChar w:fldCharType="end"/>
      </w:r>
    </w:p>
    <w:p w14:paraId="554424FD" w14:textId="1414760C" w:rsidR="007A08E6" w:rsidRDefault="007A08E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A08E6">
        <w:rPr>
          <w:b w:val="0"/>
          <w:noProof/>
          <w:sz w:val="18"/>
        </w:rPr>
        <w:tab/>
      </w:r>
      <w:r w:rsidRPr="007A08E6">
        <w:rPr>
          <w:b w:val="0"/>
          <w:noProof/>
          <w:sz w:val="18"/>
        </w:rPr>
        <w:fldChar w:fldCharType="begin"/>
      </w:r>
      <w:r w:rsidRPr="007A08E6">
        <w:rPr>
          <w:b w:val="0"/>
          <w:noProof/>
          <w:sz w:val="18"/>
        </w:rPr>
        <w:instrText xml:space="preserve"> PAGEREF _Toc180682335 \h </w:instrText>
      </w:r>
      <w:r w:rsidRPr="007A08E6">
        <w:rPr>
          <w:b w:val="0"/>
          <w:noProof/>
          <w:sz w:val="18"/>
        </w:rPr>
      </w:r>
      <w:r w:rsidRPr="007A08E6">
        <w:rPr>
          <w:b w:val="0"/>
          <w:noProof/>
          <w:sz w:val="18"/>
        </w:rPr>
        <w:fldChar w:fldCharType="separate"/>
      </w:r>
      <w:r w:rsidR="00370243">
        <w:rPr>
          <w:b w:val="0"/>
          <w:noProof/>
          <w:sz w:val="18"/>
        </w:rPr>
        <w:t>4</w:t>
      </w:r>
      <w:r w:rsidRPr="007A08E6">
        <w:rPr>
          <w:b w:val="0"/>
          <w:noProof/>
          <w:sz w:val="18"/>
        </w:rPr>
        <w:fldChar w:fldCharType="end"/>
      </w:r>
    </w:p>
    <w:p w14:paraId="324BD760" w14:textId="002344CA" w:rsidR="007A08E6" w:rsidRDefault="007A08E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Act 1995</w:t>
      </w:r>
      <w:r w:rsidRPr="007A08E6">
        <w:rPr>
          <w:i w:val="0"/>
          <w:noProof/>
          <w:sz w:val="18"/>
        </w:rPr>
        <w:tab/>
      </w:r>
      <w:r w:rsidRPr="007A08E6">
        <w:rPr>
          <w:i w:val="0"/>
          <w:noProof/>
          <w:sz w:val="18"/>
        </w:rPr>
        <w:fldChar w:fldCharType="begin"/>
      </w:r>
      <w:r w:rsidRPr="007A08E6">
        <w:rPr>
          <w:i w:val="0"/>
          <w:noProof/>
          <w:sz w:val="18"/>
        </w:rPr>
        <w:instrText xml:space="preserve"> PAGEREF _Toc180682336 \h </w:instrText>
      </w:r>
      <w:r w:rsidRPr="007A08E6">
        <w:rPr>
          <w:i w:val="0"/>
          <w:noProof/>
          <w:sz w:val="18"/>
        </w:rPr>
      </w:r>
      <w:r w:rsidRPr="007A08E6">
        <w:rPr>
          <w:i w:val="0"/>
          <w:noProof/>
          <w:sz w:val="18"/>
        </w:rPr>
        <w:fldChar w:fldCharType="separate"/>
      </w:r>
      <w:r w:rsidR="00370243">
        <w:rPr>
          <w:i w:val="0"/>
          <w:noProof/>
          <w:sz w:val="18"/>
        </w:rPr>
        <w:t>4</w:t>
      </w:r>
      <w:r w:rsidRPr="007A08E6">
        <w:rPr>
          <w:i w:val="0"/>
          <w:noProof/>
          <w:sz w:val="18"/>
        </w:rPr>
        <w:fldChar w:fldCharType="end"/>
      </w:r>
    </w:p>
    <w:p w14:paraId="4606D1A6" w14:textId="1FC3EA75" w:rsidR="00060FF9" w:rsidRPr="006B5C47" w:rsidRDefault="007A08E6" w:rsidP="0048364F">
      <w:r>
        <w:fldChar w:fldCharType="end"/>
      </w:r>
    </w:p>
    <w:p w14:paraId="0EA5A726" w14:textId="77777777" w:rsidR="00FE7F93" w:rsidRPr="006B5C47" w:rsidRDefault="00FE7F93" w:rsidP="0048364F">
      <w:pPr>
        <w:sectPr w:rsidR="00FE7F93" w:rsidRPr="006B5C47" w:rsidSect="0073040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27CF26E" w14:textId="77777777" w:rsidR="0073040D" w:rsidRDefault="0073040D">
      <w:r>
        <w:object w:dxaOrig="2146" w:dyaOrig="1561" w14:anchorId="56F1BA17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796457928" r:id="rId20"/>
        </w:object>
      </w:r>
    </w:p>
    <w:p w14:paraId="5E6D12EB" w14:textId="77777777" w:rsidR="0073040D" w:rsidRDefault="0073040D"/>
    <w:p w14:paraId="197B9A9D" w14:textId="77777777" w:rsidR="0073040D" w:rsidRDefault="0073040D" w:rsidP="008A1716">
      <w:pPr>
        <w:spacing w:line="240" w:lineRule="auto"/>
      </w:pPr>
    </w:p>
    <w:p w14:paraId="35E73953" w14:textId="0C58DE95" w:rsidR="0073040D" w:rsidRDefault="00D67F97" w:rsidP="008A1716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370243">
        <w:rPr>
          <w:noProof/>
        </w:rPr>
        <w:t>Customs Tariff Amendment (Comprehensive and Progressive Agreement for Trans-Pacific Partnership Expansion) Act 2024</w:t>
      </w:r>
      <w:r>
        <w:rPr>
          <w:noProof/>
        </w:rPr>
        <w:fldChar w:fldCharType="end"/>
      </w:r>
    </w:p>
    <w:p w14:paraId="028EF927" w14:textId="1CEC7E72" w:rsidR="0073040D" w:rsidRDefault="00D67F97" w:rsidP="008A1716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370243">
        <w:rPr>
          <w:noProof/>
        </w:rPr>
        <w:t>No. 94, 2024</w:t>
      </w:r>
      <w:r>
        <w:rPr>
          <w:noProof/>
        </w:rPr>
        <w:fldChar w:fldCharType="end"/>
      </w:r>
    </w:p>
    <w:p w14:paraId="41F8F208" w14:textId="77777777" w:rsidR="0073040D" w:rsidRPr="009A0728" w:rsidRDefault="0073040D" w:rsidP="008A1716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066A04D7" w14:textId="77777777" w:rsidR="0073040D" w:rsidRPr="009A0728" w:rsidRDefault="0073040D" w:rsidP="008A1716">
      <w:pPr>
        <w:spacing w:line="40" w:lineRule="exact"/>
        <w:rPr>
          <w:rFonts w:eastAsia="Calibri"/>
          <w:b/>
          <w:sz w:val="28"/>
        </w:rPr>
      </w:pPr>
    </w:p>
    <w:p w14:paraId="2C484DC0" w14:textId="77777777" w:rsidR="0073040D" w:rsidRPr="009A0728" w:rsidRDefault="0073040D" w:rsidP="008A1716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D35B1A9" w14:textId="77777777" w:rsidR="0073040D" w:rsidRDefault="0073040D" w:rsidP="0073040D">
      <w:pPr>
        <w:pStyle w:val="Page1"/>
        <w:spacing w:before="400"/>
      </w:pPr>
      <w:r>
        <w:t xml:space="preserve">An Act to amend the </w:t>
      </w:r>
      <w:r w:rsidRPr="0073040D">
        <w:rPr>
          <w:i/>
        </w:rPr>
        <w:t>Customs Tariff Act 1995</w:t>
      </w:r>
      <w:r>
        <w:t>, and for related purposes</w:t>
      </w:r>
    </w:p>
    <w:p w14:paraId="1FB70B5A" w14:textId="35191346" w:rsidR="008A1716" w:rsidRDefault="008A1716" w:rsidP="008A1716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24 October 2024</w:t>
      </w:r>
      <w:r>
        <w:rPr>
          <w:sz w:val="24"/>
        </w:rPr>
        <w:t>]</w:t>
      </w:r>
    </w:p>
    <w:p w14:paraId="0FE619EE" w14:textId="7BE1C7B3" w:rsidR="0048364F" w:rsidRPr="006B5C47" w:rsidRDefault="0048364F" w:rsidP="000F5FD6">
      <w:pPr>
        <w:spacing w:before="240" w:line="240" w:lineRule="auto"/>
        <w:rPr>
          <w:sz w:val="32"/>
        </w:rPr>
      </w:pPr>
      <w:r w:rsidRPr="006B5C47">
        <w:rPr>
          <w:sz w:val="32"/>
        </w:rPr>
        <w:t>The Parliament of Australia enacts:</w:t>
      </w:r>
    </w:p>
    <w:p w14:paraId="097D6754" w14:textId="77777777" w:rsidR="0048364F" w:rsidRPr="006B5C47" w:rsidRDefault="0048364F" w:rsidP="000F5FD6">
      <w:pPr>
        <w:pStyle w:val="ActHead5"/>
      </w:pPr>
      <w:bookmarkStart w:id="1" w:name="_Toc180682332"/>
      <w:proofErr w:type="gramStart"/>
      <w:r w:rsidRPr="006B5C47">
        <w:rPr>
          <w:rStyle w:val="CharSectno"/>
        </w:rPr>
        <w:lastRenderedPageBreak/>
        <w:t>1</w:t>
      </w:r>
      <w:r w:rsidRPr="006B5C47">
        <w:t xml:space="preserve">  Short</w:t>
      </w:r>
      <w:proofErr w:type="gramEnd"/>
      <w:r w:rsidRPr="006B5C47">
        <w:t xml:space="preserve"> title</w:t>
      </w:r>
      <w:bookmarkEnd w:id="1"/>
    </w:p>
    <w:p w14:paraId="2AF1A6E8" w14:textId="77777777" w:rsidR="0048364F" w:rsidRPr="006B5C47" w:rsidRDefault="0048364F" w:rsidP="000F5FD6">
      <w:pPr>
        <w:pStyle w:val="subsection"/>
      </w:pPr>
      <w:r w:rsidRPr="006B5C47">
        <w:tab/>
      </w:r>
      <w:r w:rsidRPr="006B5C47">
        <w:tab/>
        <w:t xml:space="preserve">This Act </w:t>
      </w:r>
      <w:r w:rsidR="00275197" w:rsidRPr="006B5C47">
        <w:t xml:space="preserve">is </w:t>
      </w:r>
      <w:r w:rsidRPr="006B5C47">
        <w:t xml:space="preserve">the </w:t>
      </w:r>
      <w:r w:rsidR="002770D0" w:rsidRPr="006B5C47">
        <w:rPr>
          <w:i/>
        </w:rPr>
        <w:t>Customs Tariff Amendment (Comprehensive and Progressive Agreement for Trans</w:t>
      </w:r>
      <w:r w:rsidR="006B5C47">
        <w:rPr>
          <w:i/>
        </w:rPr>
        <w:noBreakHyphen/>
      </w:r>
      <w:r w:rsidR="002770D0" w:rsidRPr="006B5C47">
        <w:rPr>
          <w:i/>
        </w:rPr>
        <w:t>Pacific Partnership Expansion) Act 2024</w:t>
      </w:r>
      <w:r w:rsidRPr="006B5C47">
        <w:t>.</w:t>
      </w:r>
    </w:p>
    <w:p w14:paraId="139CDE43" w14:textId="77777777" w:rsidR="0048364F" w:rsidRPr="006B5C47" w:rsidRDefault="0048364F" w:rsidP="000F5FD6">
      <w:pPr>
        <w:pStyle w:val="ActHead5"/>
      </w:pPr>
      <w:bookmarkStart w:id="2" w:name="_Toc180682333"/>
      <w:proofErr w:type="gramStart"/>
      <w:r w:rsidRPr="006B5C47">
        <w:rPr>
          <w:rStyle w:val="CharSectno"/>
        </w:rPr>
        <w:t>2</w:t>
      </w:r>
      <w:r w:rsidRPr="006B5C47">
        <w:t xml:space="preserve">  Commencement</w:t>
      </w:r>
      <w:bookmarkEnd w:id="2"/>
      <w:proofErr w:type="gramEnd"/>
    </w:p>
    <w:p w14:paraId="04076ADD" w14:textId="77777777" w:rsidR="0048364F" w:rsidRPr="006B5C47" w:rsidRDefault="0048364F" w:rsidP="000F5FD6">
      <w:pPr>
        <w:pStyle w:val="subsection"/>
      </w:pPr>
      <w:r w:rsidRPr="006B5C47">
        <w:tab/>
        <w:t>(1)</w:t>
      </w:r>
      <w:r w:rsidRPr="006B5C4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2B9B4E71" w14:textId="77777777" w:rsidR="0048364F" w:rsidRPr="006B5C47" w:rsidRDefault="0048364F" w:rsidP="000F5FD6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6B5C47" w14:paraId="7795E9BD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1D1AB3" w14:textId="77777777" w:rsidR="0048364F" w:rsidRPr="006B5C47" w:rsidRDefault="0048364F" w:rsidP="000F5FD6">
            <w:pPr>
              <w:pStyle w:val="TableHeading"/>
            </w:pPr>
            <w:r w:rsidRPr="006B5C47">
              <w:t>Commencement information</w:t>
            </w:r>
          </w:p>
        </w:tc>
      </w:tr>
      <w:tr w:rsidR="0048364F" w:rsidRPr="006B5C47" w14:paraId="0AB03039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4F803" w14:textId="77777777" w:rsidR="0048364F" w:rsidRPr="006B5C47" w:rsidRDefault="0048364F" w:rsidP="000F5FD6">
            <w:pPr>
              <w:pStyle w:val="TableHeading"/>
            </w:pPr>
            <w:r w:rsidRPr="006B5C4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B792A" w14:textId="77777777" w:rsidR="0048364F" w:rsidRPr="006B5C47" w:rsidRDefault="0048364F" w:rsidP="000F5FD6">
            <w:pPr>
              <w:pStyle w:val="TableHeading"/>
            </w:pPr>
            <w:r w:rsidRPr="006B5C4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3ED37" w14:textId="77777777" w:rsidR="0048364F" w:rsidRPr="006B5C47" w:rsidRDefault="0048364F" w:rsidP="000F5FD6">
            <w:pPr>
              <w:pStyle w:val="TableHeading"/>
            </w:pPr>
            <w:r w:rsidRPr="006B5C47">
              <w:t>Column 3</w:t>
            </w:r>
          </w:p>
        </w:tc>
      </w:tr>
      <w:tr w:rsidR="0048364F" w:rsidRPr="006B5C47" w14:paraId="3C09ED31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36BAFF" w14:textId="77777777" w:rsidR="0048364F" w:rsidRPr="006B5C47" w:rsidRDefault="0048364F" w:rsidP="000F5FD6">
            <w:pPr>
              <w:pStyle w:val="TableHeading"/>
            </w:pPr>
            <w:r w:rsidRPr="006B5C47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B09CA1" w14:textId="77777777" w:rsidR="0048364F" w:rsidRPr="006B5C47" w:rsidRDefault="0048364F" w:rsidP="000F5FD6">
            <w:pPr>
              <w:pStyle w:val="TableHeading"/>
            </w:pPr>
            <w:r w:rsidRPr="006B5C4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C75BE15" w14:textId="77777777" w:rsidR="0048364F" w:rsidRPr="006B5C47" w:rsidRDefault="0048364F" w:rsidP="000F5FD6">
            <w:pPr>
              <w:pStyle w:val="TableHeading"/>
            </w:pPr>
            <w:r w:rsidRPr="006B5C47">
              <w:t>Date/Details</w:t>
            </w:r>
          </w:p>
        </w:tc>
      </w:tr>
      <w:tr w:rsidR="0048364F" w:rsidRPr="006B5C47" w14:paraId="74257A1C" w14:textId="77777777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63DD482A" w14:textId="77777777" w:rsidR="0048364F" w:rsidRPr="006B5C47" w:rsidRDefault="0048364F" w:rsidP="000F5FD6">
            <w:pPr>
              <w:pStyle w:val="Tabletext"/>
            </w:pPr>
            <w:r w:rsidRPr="006B5C47">
              <w:t xml:space="preserve">1.  </w:t>
            </w:r>
            <w:r w:rsidR="00850374" w:rsidRPr="006B5C47">
              <w:t>Sections 1</w:t>
            </w:r>
            <w:r w:rsidRPr="006B5C47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3B266B85" w14:textId="77777777" w:rsidR="0048364F" w:rsidRPr="006B5C47" w:rsidRDefault="0048364F" w:rsidP="000F5FD6">
            <w:pPr>
              <w:pStyle w:val="Tabletext"/>
            </w:pPr>
            <w:r w:rsidRPr="006B5C47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4BF7953F" w14:textId="4D6FA14A" w:rsidR="0048364F" w:rsidRPr="006B5C47" w:rsidRDefault="008A1716" w:rsidP="000F5FD6">
            <w:pPr>
              <w:pStyle w:val="Tabletext"/>
            </w:pPr>
            <w:r>
              <w:t>24 October 2024</w:t>
            </w:r>
          </w:p>
        </w:tc>
      </w:tr>
      <w:tr w:rsidR="009266D1" w:rsidRPr="006B5C47" w14:paraId="1F3E338C" w14:textId="77777777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5CCA7769" w14:textId="77777777" w:rsidR="009266D1" w:rsidRPr="006B5C47" w:rsidRDefault="009266D1" w:rsidP="000F5FD6">
            <w:pPr>
              <w:pStyle w:val="Tabletext"/>
            </w:pPr>
            <w:r w:rsidRPr="006B5C47">
              <w:t xml:space="preserve">2.  </w:t>
            </w:r>
            <w:r w:rsidR="000F5FD6" w:rsidRPr="006B5C47">
              <w:t>Schedule 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5E53DF12" w14:textId="77777777" w:rsidR="009266D1" w:rsidRPr="006B5C47" w:rsidRDefault="009266D1" w:rsidP="000F5FD6">
            <w:pPr>
              <w:pStyle w:val="Tabletext"/>
            </w:pPr>
            <w:r w:rsidRPr="006B5C47">
              <w:t>The later of:</w:t>
            </w:r>
          </w:p>
          <w:p w14:paraId="52A18CE8" w14:textId="77777777" w:rsidR="009266D1" w:rsidRPr="006B5C47" w:rsidRDefault="009266D1" w:rsidP="000F5FD6">
            <w:pPr>
              <w:pStyle w:val="Tablea"/>
            </w:pPr>
            <w:r w:rsidRPr="006B5C47">
              <w:t>(a) the day this Act receives the Royal Assent; and</w:t>
            </w:r>
          </w:p>
          <w:p w14:paraId="1AA7722E" w14:textId="77777777" w:rsidR="009266D1" w:rsidRPr="006B5C47" w:rsidRDefault="009266D1" w:rsidP="000F5FD6">
            <w:pPr>
              <w:pStyle w:val="Tablea"/>
            </w:pPr>
            <w:r w:rsidRPr="006B5C47">
              <w:t>(b) the day the Protocol:</w:t>
            </w:r>
          </w:p>
          <w:p w14:paraId="24D416A5" w14:textId="77777777" w:rsidR="009266D1" w:rsidRPr="006B5C47" w:rsidRDefault="009266D1" w:rsidP="000F5FD6">
            <w:pPr>
              <w:pStyle w:val="Tablei"/>
            </w:pPr>
            <w:r w:rsidRPr="006B5C47">
              <w:t>(</w:t>
            </w:r>
            <w:proofErr w:type="spellStart"/>
            <w:r w:rsidRPr="006B5C47">
              <w:t>i</w:t>
            </w:r>
            <w:proofErr w:type="spellEnd"/>
            <w:r w:rsidRPr="006B5C47">
              <w:t xml:space="preserve">) </w:t>
            </w:r>
            <w:r w:rsidR="00C80F48" w:rsidRPr="006B5C47">
              <w:t xml:space="preserve">on the Accession of the United Kingdom of Great Britain and </w:t>
            </w:r>
            <w:r w:rsidR="002533EF" w:rsidRPr="006B5C47">
              <w:t>N</w:t>
            </w:r>
            <w:r w:rsidR="00C80F48" w:rsidRPr="006B5C47">
              <w:t xml:space="preserve">orthern </w:t>
            </w:r>
            <w:r w:rsidR="002533EF" w:rsidRPr="006B5C47">
              <w:t>I</w:t>
            </w:r>
            <w:r w:rsidR="00C80F48" w:rsidRPr="006B5C47">
              <w:t>reland to the Comprehensive and Progressive Agreement for Trans</w:t>
            </w:r>
            <w:r w:rsidR="006B5C47">
              <w:noBreakHyphen/>
            </w:r>
            <w:r w:rsidR="00C80F48" w:rsidRPr="006B5C47">
              <w:t>Pacific Partnership</w:t>
            </w:r>
            <w:r w:rsidRPr="006B5C47">
              <w:t>; and</w:t>
            </w:r>
          </w:p>
          <w:p w14:paraId="777579CD" w14:textId="77777777" w:rsidR="009266D1" w:rsidRPr="006B5C47" w:rsidRDefault="009266D1" w:rsidP="000F5FD6">
            <w:pPr>
              <w:pStyle w:val="Tablei"/>
            </w:pPr>
            <w:r w:rsidRPr="006B5C47">
              <w:t xml:space="preserve">(ii) done on </w:t>
            </w:r>
            <w:r w:rsidR="000F5FD6" w:rsidRPr="006B5C47">
              <w:t>16 July</w:t>
            </w:r>
            <w:r w:rsidR="009F27E5" w:rsidRPr="006B5C47">
              <w:t xml:space="preserve"> </w:t>
            </w:r>
            <w:r w:rsidRPr="006B5C47">
              <w:t>202</w:t>
            </w:r>
            <w:r w:rsidR="00630347" w:rsidRPr="006B5C47">
              <w:t>3</w:t>
            </w:r>
            <w:r w:rsidRPr="006B5C47">
              <w:t xml:space="preserve"> at </w:t>
            </w:r>
            <w:r w:rsidR="009F27E5" w:rsidRPr="006B5C47">
              <w:t>Auckland</w:t>
            </w:r>
            <w:r w:rsidRPr="006B5C47">
              <w:t xml:space="preserve">, </w:t>
            </w:r>
            <w:r w:rsidR="009F27E5" w:rsidRPr="006B5C47">
              <w:t>New Zealand</w:t>
            </w:r>
            <w:r w:rsidR="00015E13" w:rsidRPr="006B5C47">
              <w:t xml:space="preserve"> and Bandar Seri Begawan, </w:t>
            </w:r>
            <w:proofErr w:type="gramStart"/>
            <w:r w:rsidR="00015E13" w:rsidRPr="006B5C47">
              <w:t>Brunei</w:t>
            </w:r>
            <w:r w:rsidRPr="006B5C47">
              <w:t>;</w:t>
            </w:r>
            <w:proofErr w:type="gramEnd"/>
          </w:p>
          <w:p w14:paraId="70CEA0B6" w14:textId="77777777" w:rsidR="009266D1" w:rsidRPr="006B5C47" w:rsidRDefault="002D7B66" w:rsidP="000F5FD6">
            <w:pPr>
              <w:pStyle w:val="Tablea"/>
            </w:pPr>
            <w:r w:rsidRPr="006B5C47">
              <w:tab/>
            </w:r>
            <w:r w:rsidR="009266D1" w:rsidRPr="006B5C47">
              <w:t>enters into force for Australia.</w:t>
            </w:r>
          </w:p>
          <w:p w14:paraId="41F84E0B" w14:textId="77777777" w:rsidR="009266D1" w:rsidRPr="006B5C47" w:rsidRDefault="009266D1" w:rsidP="000F5FD6">
            <w:pPr>
              <w:pStyle w:val="Tabletext"/>
            </w:pPr>
            <w:r w:rsidRPr="006B5C47">
              <w:t xml:space="preserve">However, the provisions do not commence at all if the event mentioned in </w:t>
            </w:r>
            <w:r w:rsidR="000F5FD6" w:rsidRPr="006B5C47">
              <w:t>paragraph (</w:t>
            </w:r>
            <w:r w:rsidRPr="006B5C47">
              <w:t>b) does not occur.</w:t>
            </w:r>
          </w:p>
          <w:p w14:paraId="6DD6D36F" w14:textId="77777777" w:rsidR="009266D1" w:rsidRPr="006B5C47" w:rsidRDefault="009266D1" w:rsidP="000F5FD6">
            <w:pPr>
              <w:pStyle w:val="Tabletext"/>
            </w:pPr>
            <w:r w:rsidRPr="006B5C47">
              <w:t xml:space="preserve">The Minister must announce, by notifiable </w:t>
            </w:r>
            <w:r w:rsidRPr="006B5C47">
              <w:lastRenderedPageBreak/>
              <w:t>instrument, the day the Protocol enters into force for Australia.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55646835" w14:textId="77777777" w:rsidR="009266D1" w:rsidRDefault="00CE4E12" w:rsidP="000F5FD6">
            <w:pPr>
              <w:pStyle w:val="Tabletext"/>
            </w:pPr>
            <w:r>
              <w:lastRenderedPageBreak/>
              <w:t>24 December 2024</w:t>
            </w:r>
          </w:p>
          <w:p w14:paraId="498BAB71" w14:textId="0E3CE3B2" w:rsidR="00370243" w:rsidRDefault="00370243" w:rsidP="000F5FD6">
            <w:pPr>
              <w:pStyle w:val="Tabletext"/>
            </w:pPr>
            <w:r>
              <w:t>(F2024N01153)</w:t>
            </w:r>
          </w:p>
          <w:p w14:paraId="657A488D" w14:textId="7B8C5BC5" w:rsidR="00620CA6" w:rsidRPr="006B5C47" w:rsidRDefault="00CE4E12" w:rsidP="00370243">
            <w:pPr>
              <w:pStyle w:val="Tabletext"/>
            </w:pPr>
            <w:r>
              <w:t>(paragraph (b) applies)</w:t>
            </w:r>
          </w:p>
        </w:tc>
      </w:tr>
    </w:tbl>
    <w:p w14:paraId="304C5209" w14:textId="77777777" w:rsidR="0048364F" w:rsidRPr="006B5C47" w:rsidRDefault="00201D27" w:rsidP="000F5FD6">
      <w:pPr>
        <w:pStyle w:val="notetext"/>
      </w:pPr>
      <w:r w:rsidRPr="006B5C47">
        <w:t>Note:</w:t>
      </w:r>
      <w:r w:rsidRPr="006B5C47">
        <w:tab/>
        <w:t>This table relates only to the provisions of this Act as originally enacted. It will not be amended to deal with any later amendments of this Act.</w:t>
      </w:r>
    </w:p>
    <w:p w14:paraId="7AF3E461" w14:textId="77777777" w:rsidR="0048364F" w:rsidRPr="006B5C47" w:rsidRDefault="0048364F" w:rsidP="000F5FD6">
      <w:pPr>
        <w:pStyle w:val="subsection"/>
      </w:pPr>
      <w:r w:rsidRPr="006B5C47">
        <w:tab/>
        <w:t>(2)</w:t>
      </w:r>
      <w:r w:rsidRPr="006B5C47">
        <w:tab/>
      </w:r>
      <w:r w:rsidR="00201D27" w:rsidRPr="006B5C47">
        <w:t xml:space="preserve">Any information in </w:t>
      </w:r>
      <w:r w:rsidR="00877D48" w:rsidRPr="006B5C47">
        <w:t>c</w:t>
      </w:r>
      <w:r w:rsidR="00201D27" w:rsidRPr="006B5C47">
        <w:t>olumn 3 of the table is not part of this Act. Information may be inserted in this column, or information in it may be edited, in any published version of this Act.</w:t>
      </w:r>
    </w:p>
    <w:p w14:paraId="798D5785" w14:textId="77777777" w:rsidR="0048364F" w:rsidRPr="006B5C47" w:rsidRDefault="0048364F" w:rsidP="000F5FD6">
      <w:pPr>
        <w:pStyle w:val="ActHead5"/>
      </w:pPr>
      <w:bookmarkStart w:id="3" w:name="_Toc180682334"/>
      <w:proofErr w:type="gramStart"/>
      <w:r w:rsidRPr="006B5C47">
        <w:rPr>
          <w:rStyle w:val="CharSectno"/>
        </w:rPr>
        <w:t>3</w:t>
      </w:r>
      <w:r w:rsidRPr="006B5C47">
        <w:t xml:space="preserve">  Schedules</w:t>
      </w:r>
      <w:bookmarkEnd w:id="3"/>
      <w:proofErr w:type="gramEnd"/>
    </w:p>
    <w:p w14:paraId="3E6373F1" w14:textId="77777777" w:rsidR="0048364F" w:rsidRPr="006B5C47" w:rsidRDefault="0048364F" w:rsidP="000F5FD6">
      <w:pPr>
        <w:pStyle w:val="subsection"/>
      </w:pPr>
      <w:r w:rsidRPr="006B5C47">
        <w:tab/>
      </w:r>
      <w:r w:rsidRPr="006B5C47">
        <w:tab/>
      </w:r>
      <w:r w:rsidR="00202618" w:rsidRPr="006B5C47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0863AA50" w14:textId="77777777" w:rsidR="008D3E94" w:rsidRPr="006B5C47" w:rsidRDefault="000F5FD6" w:rsidP="000F5FD6">
      <w:pPr>
        <w:pStyle w:val="ActHead6"/>
        <w:pageBreakBefore/>
      </w:pPr>
      <w:bookmarkStart w:id="4" w:name="_Toc180682335"/>
      <w:r w:rsidRPr="006B5C47">
        <w:rPr>
          <w:rStyle w:val="CharAmSchNo"/>
        </w:rPr>
        <w:lastRenderedPageBreak/>
        <w:t>Schedule 1</w:t>
      </w:r>
      <w:r w:rsidR="0048364F" w:rsidRPr="006B5C47">
        <w:t>—</w:t>
      </w:r>
      <w:r w:rsidR="002770D0" w:rsidRPr="006B5C47">
        <w:rPr>
          <w:rStyle w:val="CharAmSchText"/>
        </w:rPr>
        <w:t>Amendments</w:t>
      </w:r>
      <w:bookmarkEnd w:id="4"/>
    </w:p>
    <w:p w14:paraId="728976A8" w14:textId="77777777" w:rsidR="008D3E94" w:rsidRPr="006B5C47" w:rsidRDefault="002770D0" w:rsidP="000F5FD6">
      <w:pPr>
        <w:pStyle w:val="Header"/>
      </w:pPr>
      <w:r w:rsidRPr="006B5C47">
        <w:rPr>
          <w:rStyle w:val="CharAmPartNo"/>
        </w:rPr>
        <w:t xml:space="preserve"> </w:t>
      </w:r>
      <w:r w:rsidRPr="006B5C47">
        <w:rPr>
          <w:rStyle w:val="CharAmPartText"/>
        </w:rPr>
        <w:t xml:space="preserve"> </w:t>
      </w:r>
    </w:p>
    <w:p w14:paraId="1E9A02B2" w14:textId="77777777" w:rsidR="002770D0" w:rsidRPr="006B5C47" w:rsidRDefault="002770D0" w:rsidP="000F5FD6">
      <w:pPr>
        <w:pStyle w:val="ActHead9"/>
      </w:pPr>
      <w:bookmarkStart w:id="5" w:name="_Toc180682336"/>
      <w:r w:rsidRPr="006B5C47">
        <w:t>Customs Tariff Act 1995</w:t>
      </w:r>
      <w:bookmarkEnd w:id="5"/>
    </w:p>
    <w:p w14:paraId="15661D4A" w14:textId="77777777" w:rsidR="00850374" w:rsidRPr="006B5C47" w:rsidRDefault="00E273B7" w:rsidP="000F5FD6">
      <w:pPr>
        <w:pStyle w:val="ItemHead"/>
      </w:pPr>
      <w:proofErr w:type="gramStart"/>
      <w:r w:rsidRPr="006B5C47">
        <w:t>1</w:t>
      </w:r>
      <w:r w:rsidR="00850374" w:rsidRPr="006B5C47">
        <w:t xml:space="preserve">  Paragraph</w:t>
      </w:r>
      <w:proofErr w:type="gramEnd"/>
      <w:r w:rsidR="00850374" w:rsidRPr="006B5C47">
        <w:t> 16(1)(</w:t>
      </w:r>
      <w:proofErr w:type="spellStart"/>
      <w:r w:rsidR="00850374" w:rsidRPr="006B5C47">
        <w:t>nb</w:t>
      </w:r>
      <w:proofErr w:type="spellEnd"/>
      <w:r w:rsidR="00850374" w:rsidRPr="006B5C47">
        <w:t>) (note)</w:t>
      </w:r>
    </w:p>
    <w:p w14:paraId="097E6352" w14:textId="77777777" w:rsidR="00850374" w:rsidRPr="006B5C47" w:rsidRDefault="00850374" w:rsidP="000F5FD6">
      <w:pPr>
        <w:pStyle w:val="Item"/>
      </w:pPr>
      <w:r w:rsidRPr="006B5C47">
        <w:t>Omit “and (4AB)”, substitute “</w:t>
      </w:r>
      <w:r w:rsidR="00003370" w:rsidRPr="006B5C47">
        <w:t>to</w:t>
      </w:r>
      <w:r w:rsidRPr="006B5C47">
        <w:t xml:space="preserve"> (4AB</w:t>
      </w:r>
      <w:r w:rsidR="00003370" w:rsidRPr="006B5C47">
        <w:t>B</w:t>
      </w:r>
      <w:r w:rsidRPr="006B5C47">
        <w:t>)”.</w:t>
      </w:r>
    </w:p>
    <w:p w14:paraId="50B5068C" w14:textId="77777777" w:rsidR="00850374" w:rsidRPr="006B5C47" w:rsidRDefault="00E273B7" w:rsidP="000F5FD6">
      <w:pPr>
        <w:pStyle w:val="ItemHead"/>
      </w:pPr>
      <w:proofErr w:type="gramStart"/>
      <w:r w:rsidRPr="006B5C47">
        <w:t>2</w:t>
      </w:r>
      <w:r w:rsidR="00850374" w:rsidRPr="006B5C47">
        <w:t xml:space="preserve">  At</w:t>
      </w:r>
      <w:proofErr w:type="gramEnd"/>
      <w:r w:rsidR="00850374" w:rsidRPr="006B5C47">
        <w:t xml:space="preserve"> the end of </w:t>
      </w:r>
      <w:r w:rsidR="000F5FD6" w:rsidRPr="006B5C47">
        <w:t>subsection 1</w:t>
      </w:r>
      <w:r w:rsidR="00850374" w:rsidRPr="006B5C47">
        <w:t>6(4AA)</w:t>
      </w:r>
    </w:p>
    <w:p w14:paraId="4BC906D2" w14:textId="77777777" w:rsidR="00850374" w:rsidRPr="006B5C47" w:rsidRDefault="00850374" w:rsidP="000F5FD6">
      <w:pPr>
        <w:pStyle w:val="Item"/>
      </w:pPr>
      <w:r w:rsidRPr="006B5C47">
        <w:t>Add:</w:t>
      </w:r>
    </w:p>
    <w:p w14:paraId="7A177795" w14:textId="77777777" w:rsidR="00850374" w:rsidRPr="006B5C47" w:rsidRDefault="00850374" w:rsidP="000F5FD6">
      <w:pPr>
        <w:pStyle w:val="paragraph"/>
      </w:pPr>
      <w:r w:rsidRPr="006B5C47">
        <w:tab/>
        <w:t>; and (d)</w:t>
      </w:r>
      <w:r w:rsidRPr="006B5C47">
        <w:tab/>
        <w:t>a reference in that Schedule to year 6 is a reference to the fifth calendar year beginning after the commencement of this subsection; and</w:t>
      </w:r>
    </w:p>
    <w:p w14:paraId="71539267" w14:textId="77777777" w:rsidR="00850374" w:rsidRPr="006B5C47" w:rsidRDefault="00850374" w:rsidP="000F5FD6">
      <w:pPr>
        <w:pStyle w:val="paragraph"/>
      </w:pPr>
      <w:r w:rsidRPr="006B5C47">
        <w:tab/>
        <w:t>(e)</w:t>
      </w:r>
      <w:r w:rsidRPr="006B5C47">
        <w:tab/>
        <w:t>a reference in that Schedule to year 7 is a reference to the sixth calendar year beginning after the commencement of this subsection; and</w:t>
      </w:r>
    </w:p>
    <w:p w14:paraId="2E245C40" w14:textId="77777777" w:rsidR="00850374" w:rsidRPr="006B5C47" w:rsidRDefault="00850374" w:rsidP="000F5FD6">
      <w:pPr>
        <w:pStyle w:val="paragraph"/>
      </w:pPr>
      <w:r w:rsidRPr="006B5C47">
        <w:tab/>
        <w:t>(f)</w:t>
      </w:r>
      <w:r w:rsidRPr="006B5C47">
        <w:tab/>
        <w:t>a reference in that Schedule to year 8 is a reference to the seventh calendar year beginning after the commencement of this subsection; and</w:t>
      </w:r>
    </w:p>
    <w:p w14:paraId="43F3CD34" w14:textId="77777777" w:rsidR="00850374" w:rsidRPr="006B5C47" w:rsidRDefault="00850374" w:rsidP="000F5FD6">
      <w:pPr>
        <w:pStyle w:val="paragraph"/>
      </w:pPr>
      <w:r w:rsidRPr="006B5C47">
        <w:tab/>
        <w:t>(g)</w:t>
      </w:r>
      <w:r w:rsidRPr="006B5C47">
        <w:tab/>
        <w:t>a reference in that Schedule to year 9 is a reference to the eighth calendar year beginning after the commencement of this subsection; and</w:t>
      </w:r>
    </w:p>
    <w:p w14:paraId="7B142871" w14:textId="77777777" w:rsidR="00850374" w:rsidRPr="006B5C47" w:rsidRDefault="00850374" w:rsidP="000F5FD6">
      <w:pPr>
        <w:pStyle w:val="paragraph"/>
      </w:pPr>
      <w:r w:rsidRPr="006B5C47">
        <w:tab/>
        <w:t>(h)</w:t>
      </w:r>
      <w:r w:rsidRPr="006B5C47">
        <w:tab/>
        <w:t>a reference in that Schedule to year 10 is a reference to the ninth calendar year beginning after the commencement of this subsection; and</w:t>
      </w:r>
    </w:p>
    <w:p w14:paraId="4F606E1C" w14:textId="77777777" w:rsidR="00850374" w:rsidRPr="006B5C47" w:rsidRDefault="00850374" w:rsidP="000F5FD6">
      <w:pPr>
        <w:pStyle w:val="paragraph"/>
      </w:pPr>
      <w:r w:rsidRPr="006B5C47">
        <w:tab/>
        <w:t>(</w:t>
      </w:r>
      <w:proofErr w:type="spellStart"/>
      <w:r w:rsidRPr="006B5C47">
        <w:t>i</w:t>
      </w:r>
      <w:proofErr w:type="spellEnd"/>
      <w:r w:rsidRPr="006B5C47">
        <w:t>)</w:t>
      </w:r>
      <w:r w:rsidRPr="006B5C47">
        <w:tab/>
        <w:t xml:space="preserve">a reference in that Schedule to year 11 is a reference to the </w:t>
      </w:r>
      <w:r w:rsidR="00974013" w:rsidRPr="006B5C47">
        <w:t>tenth</w:t>
      </w:r>
      <w:r w:rsidRPr="006B5C47">
        <w:t xml:space="preserve"> calendar year beginning after the commencement of this subsection; and</w:t>
      </w:r>
    </w:p>
    <w:p w14:paraId="416D1A23" w14:textId="77777777" w:rsidR="00850374" w:rsidRPr="006B5C47" w:rsidRDefault="00850374" w:rsidP="000F5FD6">
      <w:pPr>
        <w:pStyle w:val="paragraph"/>
      </w:pPr>
      <w:r w:rsidRPr="006B5C47">
        <w:tab/>
        <w:t>(j)</w:t>
      </w:r>
      <w:r w:rsidRPr="006B5C47">
        <w:tab/>
        <w:t>a reference in that Schedule to year 12 is a reference to the 11th calendar year beginning after the commencement of this subsection; and</w:t>
      </w:r>
    </w:p>
    <w:p w14:paraId="1190951F" w14:textId="77777777" w:rsidR="00850374" w:rsidRPr="006B5C47" w:rsidRDefault="00850374" w:rsidP="000F5FD6">
      <w:pPr>
        <w:pStyle w:val="paragraph"/>
      </w:pPr>
      <w:r w:rsidRPr="006B5C47">
        <w:tab/>
        <w:t>(k)</w:t>
      </w:r>
      <w:r w:rsidRPr="006B5C47">
        <w:tab/>
        <w:t>a reference in that Schedule to year 13 is a reference to the 12th calendar year beginning after the commencement of this subsection; and</w:t>
      </w:r>
    </w:p>
    <w:p w14:paraId="72B58905" w14:textId="77777777" w:rsidR="00850374" w:rsidRPr="006B5C47" w:rsidRDefault="00850374" w:rsidP="000F5FD6">
      <w:pPr>
        <w:pStyle w:val="paragraph"/>
      </w:pPr>
      <w:r w:rsidRPr="006B5C47">
        <w:tab/>
        <w:t>(l)</w:t>
      </w:r>
      <w:r w:rsidRPr="006B5C47">
        <w:tab/>
        <w:t>a reference in that Schedule to year 14 is a reference to the 13th calendar year beginning after the commencement of this subsection; and</w:t>
      </w:r>
    </w:p>
    <w:p w14:paraId="39567EF3" w14:textId="77777777" w:rsidR="00850374" w:rsidRPr="006B5C47" w:rsidRDefault="00850374" w:rsidP="000F5FD6">
      <w:pPr>
        <w:pStyle w:val="paragraph"/>
      </w:pPr>
      <w:r w:rsidRPr="006B5C47">
        <w:lastRenderedPageBreak/>
        <w:tab/>
        <w:t>(m)</w:t>
      </w:r>
      <w:r w:rsidRPr="006B5C47">
        <w:tab/>
        <w:t>a reference in that Schedule to year 15 is a reference to the 14th calendar year beginning after the commencement of this subsection</w:t>
      </w:r>
      <w:r w:rsidR="004773CC" w:rsidRPr="006B5C47">
        <w:t>; and</w:t>
      </w:r>
    </w:p>
    <w:p w14:paraId="46510D1D" w14:textId="77777777" w:rsidR="004773CC" w:rsidRPr="006B5C47" w:rsidRDefault="004773CC" w:rsidP="000F5FD6">
      <w:pPr>
        <w:pStyle w:val="paragraph"/>
      </w:pPr>
      <w:r w:rsidRPr="006B5C47">
        <w:tab/>
        <w:t>(n)</w:t>
      </w:r>
      <w:r w:rsidRPr="006B5C47">
        <w:tab/>
        <w:t>a reference in that Schedule to year 16 is a reference to the 15th calendar year beginning after the commencement of this subsection.</w:t>
      </w:r>
    </w:p>
    <w:p w14:paraId="2E70ED66" w14:textId="77777777" w:rsidR="00850374" w:rsidRPr="006B5C47" w:rsidRDefault="00E273B7" w:rsidP="000F5FD6">
      <w:pPr>
        <w:pStyle w:val="ItemHead"/>
      </w:pPr>
      <w:proofErr w:type="gramStart"/>
      <w:r w:rsidRPr="006B5C47">
        <w:t>3</w:t>
      </w:r>
      <w:r w:rsidR="00850374" w:rsidRPr="006B5C47">
        <w:t xml:space="preserve">  After</w:t>
      </w:r>
      <w:proofErr w:type="gramEnd"/>
      <w:r w:rsidR="00850374" w:rsidRPr="006B5C47">
        <w:t xml:space="preserve"> </w:t>
      </w:r>
      <w:r w:rsidR="000F5FD6" w:rsidRPr="006B5C47">
        <w:t>subsection 1</w:t>
      </w:r>
      <w:r w:rsidR="00850374" w:rsidRPr="006B5C47">
        <w:t>6(4AB)</w:t>
      </w:r>
    </w:p>
    <w:p w14:paraId="3D50300E" w14:textId="77777777" w:rsidR="00850374" w:rsidRPr="006B5C47" w:rsidRDefault="00850374" w:rsidP="000F5FD6">
      <w:pPr>
        <w:pStyle w:val="Item"/>
      </w:pPr>
      <w:r w:rsidRPr="006B5C47">
        <w:t>Insert:</w:t>
      </w:r>
    </w:p>
    <w:p w14:paraId="4850664C" w14:textId="77777777" w:rsidR="006652B9" w:rsidRPr="006B5C47" w:rsidRDefault="006652B9" w:rsidP="000F5FD6">
      <w:pPr>
        <w:pStyle w:val="subsection"/>
      </w:pPr>
      <w:r w:rsidRPr="006B5C47">
        <w:tab/>
        <w:t>(4</w:t>
      </w:r>
      <w:r w:rsidR="00B41753" w:rsidRPr="006B5C47">
        <w:t>ABA</w:t>
      </w:r>
      <w:r w:rsidRPr="006B5C47">
        <w:t>)</w:t>
      </w:r>
      <w:r w:rsidRPr="006B5C47">
        <w:tab/>
      </w:r>
      <w:r w:rsidR="00E273B7" w:rsidRPr="006B5C47">
        <w:t xml:space="preserve">Subject to </w:t>
      </w:r>
      <w:r w:rsidR="000F5FD6" w:rsidRPr="006B5C47">
        <w:t>section 1</w:t>
      </w:r>
      <w:r w:rsidR="00E273B7" w:rsidRPr="006B5C47">
        <w:t>6B, f</w:t>
      </w:r>
      <w:r w:rsidRPr="006B5C47">
        <w:t>or the purposes of Schedule 8B, if:</w:t>
      </w:r>
    </w:p>
    <w:p w14:paraId="4F7149F3" w14:textId="77777777" w:rsidR="006652B9" w:rsidRPr="006B5C47" w:rsidRDefault="006652B9" w:rsidP="000F5FD6">
      <w:pPr>
        <w:pStyle w:val="paragraph"/>
      </w:pPr>
      <w:r w:rsidRPr="006B5C47">
        <w:tab/>
        <w:t>(a)</w:t>
      </w:r>
      <w:r w:rsidRPr="006B5C47">
        <w:tab/>
        <w:t>the goods are Trans</w:t>
      </w:r>
      <w:r w:rsidR="006B5C47">
        <w:noBreakHyphen/>
      </w:r>
      <w:r w:rsidRPr="006B5C47">
        <w:t>Pacific Partnership originating goods; and</w:t>
      </w:r>
    </w:p>
    <w:p w14:paraId="482ECF09" w14:textId="77777777" w:rsidR="006652B9" w:rsidRPr="006B5C47" w:rsidRDefault="006652B9" w:rsidP="000F5FD6">
      <w:pPr>
        <w:pStyle w:val="paragraph"/>
      </w:pPr>
      <w:r w:rsidRPr="006B5C47">
        <w:tab/>
        <w:t>(b)</w:t>
      </w:r>
      <w:r w:rsidRPr="006B5C47">
        <w:tab/>
        <w:t xml:space="preserve">the goods are </w:t>
      </w:r>
      <w:r w:rsidR="00675AD4" w:rsidRPr="006B5C47">
        <w:t>classified to a heading or subheading</w:t>
      </w:r>
      <w:r w:rsidRPr="006B5C47">
        <w:t xml:space="preserve"> in Schedule 3 that is specified in </w:t>
      </w:r>
      <w:r w:rsidR="00A1554A" w:rsidRPr="006B5C47">
        <w:t>column 2 of any of items </w:t>
      </w:r>
      <w:r w:rsidR="00961E22" w:rsidRPr="006B5C47">
        <w:t xml:space="preserve">1A to 1E, 396A to 396J, </w:t>
      </w:r>
      <w:r w:rsidR="006B1C7B" w:rsidRPr="006B5C47">
        <w:t xml:space="preserve">397 to 408, 410 to 419, 421 to 423, </w:t>
      </w:r>
      <w:r w:rsidR="001A0291" w:rsidRPr="006B5C47">
        <w:t>424A to 424L, 425 to 432ZC,</w:t>
      </w:r>
      <w:r w:rsidR="003E7DD1" w:rsidRPr="006B5C47">
        <w:t xml:space="preserve"> 446 or 448 to </w:t>
      </w:r>
      <w:r w:rsidR="00411868" w:rsidRPr="006B5C47">
        <w:t>4</w:t>
      </w:r>
      <w:r w:rsidR="003E7DD1" w:rsidRPr="006B5C47">
        <w:t>51</w:t>
      </w:r>
      <w:r w:rsidR="001A0291" w:rsidRPr="006B5C47">
        <w:t xml:space="preserve"> </w:t>
      </w:r>
      <w:r w:rsidR="00A1554A" w:rsidRPr="006B5C47">
        <w:t>in the table in Schedule </w:t>
      </w:r>
      <w:proofErr w:type="gramStart"/>
      <w:r w:rsidR="00A1554A" w:rsidRPr="006B5C47">
        <w:t>8</w:t>
      </w:r>
      <w:r w:rsidR="009803B3" w:rsidRPr="006B5C47">
        <w:t>B</w:t>
      </w:r>
      <w:r w:rsidRPr="006B5C47">
        <w:t>;</w:t>
      </w:r>
      <w:proofErr w:type="gramEnd"/>
    </w:p>
    <w:p w14:paraId="46C96B5A" w14:textId="77777777" w:rsidR="006652B9" w:rsidRPr="006B5C47" w:rsidRDefault="006652B9" w:rsidP="000F5FD6">
      <w:pPr>
        <w:pStyle w:val="subsection2"/>
      </w:pPr>
      <w:r w:rsidRPr="006B5C47">
        <w:t>then:</w:t>
      </w:r>
    </w:p>
    <w:p w14:paraId="382848CB" w14:textId="77777777" w:rsidR="006652B9" w:rsidRPr="006B5C47" w:rsidRDefault="006652B9" w:rsidP="000F5FD6">
      <w:pPr>
        <w:pStyle w:val="paragraph"/>
      </w:pPr>
      <w:r w:rsidRPr="006B5C47">
        <w:tab/>
        <w:t>(c)</w:t>
      </w:r>
      <w:r w:rsidRPr="006B5C47">
        <w:tab/>
        <w:t>sub</w:t>
      </w:r>
      <w:r w:rsidR="000F5FD6" w:rsidRPr="006B5C47">
        <w:t>paragraph (</w:t>
      </w:r>
      <w:proofErr w:type="gramStart"/>
      <w:r w:rsidRPr="006B5C47">
        <w:t>1)(</w:t>
      </w:r>
      <w:proofErr w:type="spellStart"/>
      <w:proofErr w:type="gramEnd"/>
      <w:r w:rsidRPr="006B5C47">
        <w:t>n</w:t>
      </w:r>
      <w:r w:rsidR="00944935" w:rsidRPr="006B5C47">
        <w:t>b</w:t>
      </w:r>
      <w:proofErr w:type="spellEnd"/>
      <w:r w:rsidRPr="006B5C47">
        <w:t>)(</w:t>
      </w:r>
      <w:proofErr w:type="spellStart"/>
      <w:r w:rsidRPr="006B5C47">
        <w:t>i</w:t>
      </w:r>
      <w:proofErr w:type="spellEnd"/>
      <w:r w:rsidRPr="006B5C47">
        <w:t xml:space="preserve">) does not apply to the goods unless the </w:t>
      </w:r>
      <w:r w:rsidR="007357EB" w:rsidRPr="006B5C47">
        <w:t xml:space="preserve">last </w:t>
      </w:r>
      <w:r w:rsidR="00D62A45" w:rsidRPr="006B5C47">
        <w:t>production process</w:t>
      </w:r>
      <w:r w:rsidR="00116D73" w:rsidRPr="006B5C47">
        <w:t>, other than minimal operations,</w:t>
      </w:r>
      <w:r w:rsidR="00D62A45" w:rsidRPr="006B5C47">
        <w:t xml:space="preserve"> occurred in the </w:t>
      </w:r>
      <w:r w:rsidR="00944935" w:rsidRPr="006B5C47">
        <w:t>United Kingdom</w:t>
      </w:r>
      <w:r w:rsidRPr="006B5C47">
        <w:t>; and</w:t>
      </w:r>
    </w:p>
    <w:p w14:paraId="7C7D5934" w14:textId="77777777" w:rsidR="006652B9" w:rsidRPr="006B5C47" w:rsidRDefault="006652B9" w:rsidP="000F5FD6">
      <w:pPr>
        <w:pStyle w:val="paragraph"/>
      </w:pPr>
      <w:r w:rsidRPr="006B5C47">
        <w:tab/>
        <w:t>(d)</w:t>
      </w:r>
      <w:r w:rsidRPr="006B5C47">
        <w:tab/>
        <w:t xml:space="preserve">if that subparagraph does apply—the rate of duty in relation to the goods is the rate set out in column 3 of the item concerned in relation to </w:t>
      </w:r>
      <w:r w:rsidR="00A859A6" w:rsidRPr="006B5C47">
        <w:t>the United Kingdom</w:t>
      </w:r>
      <w:r w:rsidR="00944935" w:rsidRPr="006B5C47">
        <w:t>.</w:t>
      </w:r>
    </w:p>
    <w:p w14:paraId="6FD40857" w14:textId="77777777" w:rsidR="000137B2" w:rsidRPr="006B5C47" w:rsidRDefault="000137B2" w:rsidP="000F5FD6">
      <w:pPr>
        <w:pStyle w:val="subsection"/>
      </w:pPr>
      <w:r w:rsidRPr="006B5C47">
        <w:tab/>
        <w:t>(</w:t>
      </w:r>
      <w:r w:rsidR="006F0DED" w:rsidRPr="006B5C47">
        <w:t>4ABB</w:t>
      </w:r>
      <w:r w:rsidRPr="006B5C47">
        <w:t>)</w:t>
      </w:r>
      <w:r w:rsidRPr="006B5C47">
        <w:tab/>
      </w:r>
      <w:r w:rsidR="006F0DED" w:rsidRPr="006B5C47">
        <w:t xml:space="preserve">For the purposes of </w:t>
      </w:r>
      <w:r w:rsidR="000F5FD6" w:rsidRPr="006B5C47">
        <w:t>paragraph (</w:t>
      </w:r>
      <w:r w:rsidR="006F0DED" w:rsidRPr="006B5C47">
        <w:t>4</w:t>
      </w:r>
      <w:proofErr w:type="gramStart"/>
      <w:r w:rsidR="006F0DED" w:rsidRPr="006B5C47">
        <w:t>ABA)(</w:t>
      </w:r>
      <w:proofErr w:type="gramEnd"/>
      <w:r w:rsidR="006F0DED" w:rsidRPr="006B5C47">
        <w:t>c)</w:t>
      </w:r>
      <w:r w:rsidRPr="006B5C47">
        <w:t>, the following are minimal operations:</w:t>
      </w:r>
    </w:p>
    <w:p w14:paraId="3450D38A" w14:textId="77777777" w:rsidR="000137B2" w:rsidRPr="006B5C47" w:rsidRDefault="000137B2" w:rsidP="000F5FD6">
      <w:pPr>
        <w:pStyle w:val="paragraph"/>
      </w:pPr>
      <w:r w:rsidRPr="006B5C47">
        <w:tab/>
        <w:t>(a)</w:t>
      </w:r>
      <w:r w:rsidRPr="006B5C47">
        <w:tab/>
        <w:t xml:space="preserve">operations to preserve goods in good condition for the purposes of transport or </w:t>
      </w:r>
      <w:proofErr w:type="gramStart"/>
      <w:r w:rsidRPr="006B5C47">
        <w:t>storage;</w:t>
      </w:r>
      <w:proofErr w:type="gramEnd"/>
    </w:p>
    <w:p w14:paraId="1BD01832" w14:textId="77777777" w:rsidR="005246E6" w:rsidRPr="006B5C47" w:rsidRDefault="008B72E8" w:rsidP="000F5FD6">
      <w:pPr>
        <w:pStyle w:val="paragraph"/>
      </w:pPr>
      <w:r w:rsidRPr="006B5C47">
        <w:tab/>
        <w:t>(b)</w:t>
      </w:r>
      <w:r w:rsidRPr="006B5C47">
        <w:tab/>
      </w:r>
      <w:r w:rsidR="005246E6" w:rsidRPr="006B5C47">
        <w:t>packaging, re</w:t>
      </w:r>
      <w:r w:rsidR="006B5C47">
        <w:noBreakHyphen/>
      </w:r>
      <w:r w:rsidR="005246E6" w:rsidRPr="006B5C47">
        <w:t>packaging, breaking up of consignments or putting up good</w:t>
      </w:r>
      <w:r w:rsidRPr="006B5C47">
        <w:t>s</w:t>
      </w:r>
      <w:r w:rsidR="005246E6" w:rsidRPr="006B5C47">
        <w:t xml:space="preserve"> for retail sale, including placing good</w:t>
      </w:r>
      <w:r w:rsidRPr="006B5C47">
        <w:t>s</w:t>
      </w:r>
      <w:r w:rsidR="005246E6" w:rsidRPr="006B5C47">
        <w:t xml:space="preserve"> in bottles, cans, flasks, bags, cases or </w:t>
      </w:r>
      <w:proofErr w:type="gramStart"/>
      <w:r w:rsidR="005246E6" w:rsidRPr="006B5C47">
        <w:t>boxes</w:t>
      </w:r>
      <w:r w:rsidR="00E60FCA" w:rsidRPr="006B5C47">
        <w:t>;</w:t>
      </w:r>
      <w:proofErr w:type="gramEnd"/>
    </w:p>
    <w:p w14:paraId="193CFF72" w14:textId="77777777" w:rsidR="005246E6" w:rsidRPr="006B5C47" w:rsidRDefault="000162B8" w:rsidP="000F5FD6">
      <w:pPr>
        <w:pStyle w:val="paragraph"/>
      </w:pPr>
      <w:r w:rsidRPr="006B5C47">
        <w:tab/>
        <w:t>(c)</w:t>
      </w:r>
      <w:r w:rsidRPr="006B5C47">
        <w:tab/>
        <w:t xml:space="preserve">mere dilution with water or another substance that does not materially alter the characteristics of </w:t>
      </w:r>
      <w:proofErr w:type="gramStart"/>
      <w:r w:rsidRPr="006B5C47">
        <w:t>goods</w:t>
      </w:r>
      <w:r w:rsidR="00E60FCA" w:rsidRPr="006B5C47">
        <w:t>;</w:t>
      </w:r>
      <w:proofErr w:type="gramEnd"/>
    </w:p>
    <w:p w14:paraId="5420849D" w14:textId="77777777" w:rsidR="000137B2" w:rsidRPr="006B5C47" w:rsidRDefault="000137B2" w:rsidP="000F5FD6">
      <w:pPr>
        <w:pStyle w:val="paragraph"/>
      </w:pPr>
      <w:r w:rsidRPr="006B5C47">
        <w:tab/>
        <w:t>(</w:t>
      </w:r>
      <w:r w:rsidR="00336104" w:rsidRPr="006B5C47">
        <w:t>d</w:t>
      </w:r>
      <w:r w:rsidRPr="006B5C47">
        <w:t>)</w:t>
      </w:r>
      <w:r w:rsidRPr="006B5C47">
        <w:tab/>
      </w:r>
      <w:r w:rsidR="00336104" w:rsidRPr="006B5C47">
        <w:t xml:space="preserve">collection of goods intended to form sets, assortments, kits or composite </w:t>
      </w:r>
      <w:proofErr w:type="gramStart"/>
      <w:r w:rsidR="00336104" w:rsidRPr="006B5C47">
        <w:t>good</w:t>
      </w:r>
      <w:r w:rsidR="00E60FCA" w:rsidRPr="006B5C47">
        <w:t>s</w:t>
      </w:r>
      <w:r w:rsidRPr="006B5C47">
        <w:t>;</w:t>
      </w:r>
      <w:proofErr w:type="gramEnd"/>
    </w:p>
    <w:p w14:paraId="7E8C70D2" w14:textId="77777777" w:rsidR="00336104" w:rsidRPr="006B5C47" w:rsidRDefault="00336104" w:rsidP="000F5FD6">
      <w:pPr>
        <w:pStyle w:val="paragraph"/>
      </w:pPr>
      <w:r w:rsidRPr="006B5C47">
        <w:tab/>
        <w:t>(e)</w:t>
      </w:r>
      <w:r w:rsidRPr="006B5C47">
        <w:tab/>
        <w:t xml:space="preserve">any combination of </w:t>
      </w:r>
      <w:r w:rsidR="006E5748" w:rsidRPr="006B5C47">
        <w:t>operations</w:t>
      </w:r>
      <w:r w:rsidRPr="006B5C47">
        <w:t xml:space="preserve"> </w:t>
      </w:r>
      <w:r w:rsidR="006E5748" w:rsidRPr="006B5C47">
        <w:t>covered by</w:t>
      </w:r>
      <w:r w:rsidRPr="006B5C47">
        <w:t xml:space="preserve"> paragraphs (a) to (d).</w:t>
      </w:r>
    </w:p>
    <w:p w14:paraId="6CD116CE" w14:textId="77777777" w:rsidR="00E273B7" w:rsidRPr="006B5C47" w:rsidRDefault="00E273B7" w:rsidP="000F5FD6">
      <w:pPr>
        <w:pStyle w:val="ItemHead"/>
      </w:pPr>
      <w:proofErr w:type="gramStart"/>
      <w:r w:rsidRPr="006B5C47">
        <w:lastRenderedPageBreak/>
        <w:t>4  After</w:t>
      </w:r>
      <w:proofErr w:type="gramEnd"/>
      <w:r w:rsidRPr="006B5C47">
        <w:t xml:space="preserve"> </w:t>
      </w:r>
      <w:r w:rsidR="000F5FD6" w:rsidRPr="006B5C47">
        <w:t>section 1</w:t>
      </w:r>
      <w:r w:rsidRPr="006B5C47">
        <w:t>6A</w:t>
      </w:r>
    </w:p>
    <w:p w14:paraId="2C64DA0B" w14:textId="77777777" w:rsidR="00E273B7" w:rsidRPr="006B5C47" w:rsidRDefault="00E273B7" w:rsidP="000F5FD6">
      <w:pPr>
        <w:pStyle w:val="Item"/>
      </w:pPr>
      <w:r w:rsidRPr="006B5C47">
        <w:t>Insert:</w:t>
      </w:r>
    </w:p>
    <w:p w14:paraId="340D9F8E" w14:textId="77777777" w:rsidR="00E273B7" w:rsidRPr="006B5C47" w:rsidRDefault="00E273B7" w:rsidP="000F5FD6">
      <w:pPr>
        <w:pStyle w:val="ActHead5"/>
      </w:pPr>
      <w:bookmarkStart w:id="6" w:name="_Toc180682337"/>
      <w:r w:rsidRPr="006B5C47">
        <w:rPr>
          <w:rStyle w:val="CharSectno"/>
        </w:rPr>
        <w:t>16</w:t>
      </w:r>
      <w:proofErr w:type="gramStart"/>
      <w:r w:rsidRPr="006B5C47">
        <w:rPr>
          <w:rStyle w:val="CharSectno"/>
        </w:rPr>
        <w:t>B</w:t>
      </w:r>
      <w:r w:rsidRPr="006B5C47">
        <w:t xml:space="preserve">  Suspension</w:t>
      </w:r>
      <w:proofErr w:type="gramEnd"/>
      <w:r w:rsidRPr="006B5C47">
        <w:t xml:space="preserve"> of preferential tariff for Trans</w:t>
      </w:r>
      <w:r w:rsidR="006B5C47">
        <w:noBreakHyphen/>
      </w:r>
      <w:r w:rsidRPr="006B5C47">
        <w:t>Pacific Partnership originating goods—safeguard goods</w:t>
      </w:r>
      <w:r w:rsidR="003D0BA7" w:rsidRPr="006B5C47">
        <w:t xml:space="preserve"> imported from the United Kingdom</w:t>
      </w:r>
      <w:bookmarkEnd w:id="6"/>
    </w:p>
    <w:p w14:paraId="09AECFF9" w14:textId="77777777" w:rsidR="00E273B7" w:rsidRPr="006B5C47" w:rsidRDefault="00E273B7" w:rsidP="000F5FD6">
      <w:pPr>
        <w:pStyle w:val="SubsectionHead"/>
      </w:pPr>
      <w:r w:rsidRPr="006B5C47">
        <w:t>Duty rates</w:t>
      </w:r>
    </w:p>
    <w:p w14:paraId="126D3E94" w14:textId="77777777" w:rsidR="00E273B7" w:rsidRPr="006B5C47" w:rsidRDefault="00E273B7" w:rsidP="000F5FD6">
      <w:pPr>
        <w:pStyle w:val="subsection"/>
      </w:pPr>
      <w:r w:rsidRPr="006B5C47">
        <w:tab/>
        <w:t>(1)</w:t>
      </w:r>
      <w:r w:rsidRPr="006B5C47">
        <w:tab/>
        <w:t xml:space="preserve">Despite </w:t>
      </w:r>
      <w:r w:rsidR="000F5FD6" w:rsidRPr="006B5C47">
        <w:t>subsection 1</w:t>
      </w:r>
      <w:r w:rsidRPr="006B5C47">
        <w:t>6(</w:t>
      </w:r>
      <w:r w:rsidR="005602EE" w:rsidRPr="006B5C47">
        <w:t>4ABA</w:t>
      </w:r>
      <w:r w:rsidRPr="006B5C47">
        <w:t>), the duty in respect of goods that are:</w:t>
      </w:r>
    </w:p>
    <w:p w14:paraId="0406734F" w14:textId="77777777" w:rsidR="00E273B7" w:rsidRPr="006B5C47" w:rsidRDefault="00E273B7" w:rsidP="000F5FD6">
      <w:pPr>
        <w:pStyle w:val="paragraph"/>
      </w:pPr>
      <w:r w:rsidRPr="006B5C47">
        <w:tab/>
        <w:t>(a)</w:t>
      </w:r>
      <w:r w:rsidRPr="006B5C47">
        <w:tab/>
        <w:t>safeguard goods specified in a notice made by the Minister under this section; and</w:t>
      </w:r>
    </w:p>
    <w:p w14:paraId="06825261" w14:textId="77777777" w:rsidR="00E273B7" w:rsidRPr="006B5C47" w:rsidRDefault="00E273B7" w:rsidP="000F5FD6">
      <w:pPr>
        <w:pStyle w:val="paragraph"/>
      </w:pPr>
      <w:r w:rsidRPr="006B5C47">
        <w:tab/>
        <w:t>(b)</w:t>
      </w:r>
      <w:r w:rsidRPr="006B5C47">
        <w:tab/>
        <w:t xml:space="preserve">imported into Australia </w:t>
      </w:r>
      <w:r w:rsidR="00523475" w:rsidRPr="006B5C47">
        <w:t xml:space="preserve">from the United Kingdom </w:t>
      </w:r>
      <w:r w:rsidRPr="006B5C47">
        <w:t xml:space="preserve">during the period specified in the </w:t>
      </w:r>
      <w:proofErr w:type="gramStart"/>
      <w:r w:rsidRPr="006B5C47">
        <w:t>notice;</w:t>
      </w:r>
      <w:proofErr w:type="gramEnd"/>
    </w:p>
    <w:p w14:paraId="509EFAF3" w14:textId="77777777" w:rsidR="00E273B7" w:rsidRPr="006B5C47" w:rsidRDefault="00E273B7" w:rsidP="000F5FD6">
      <w:pPr>
        <w:pStyle w:val="subsection2"/>
      </w:pPr>
      <w:r w:rsidRPr="006B5C47">
        <w:t>must be worked out by reference to the general rate set out in the third column of the tariff classification under which the goods are classified.</w:t>
      </w:r>
    </w:p>
    <w:p w14:paraId="7E0E2074" w14:textId="77777777" w:rsidR="00E273B7" w:rsidRPr="006B5C47" w:rsidRDefault="00E273B7" w:rsidP="000F5FD6">
      <w:pPr>
        <w:pStyle w:val="SubsectionHead"/>
      </w:pPr>
      <w:bookmarkStart w:id="7" w:name="_Hlk115877072"/>
      <w:r w:rsidRPr="006B5C47">
        <w:t>Notice</w:t>
      </w:r>
    </w:p>
    <w:bookmarkEnd w:id="7"/>
    <w:p w14:paraId="7EFFFCB8" w14:textId="77777777" w:rsidR="00E273B7" w:rsidRPr="006B5C47" w:rsidRDefault="00E273B7" w:rsidP="000F5FD6">
      <w:pPr>
        <w:pStyle w:val="subsection"/>
      </w:pPr>
      <w:r w:rsidRPr="006B5C47">
        <w:tab/>
        <w:t>(2)</w:t>
      </w:r>
      <w:r w:rsidRPr="006B5C47">
        <w:tab/>
        <w:t>The Minister may, by legislative instrument, make a notice specifying one or more safeguard goods, and a period, for the purposes of subsection (1).</w:t>
      </w:r>
    </w:p>
    <w:p w14:paraId="3D8F2557" w14:textId="77777777" w:rsidR="00E273B7" w:rsidRPr="006B5C47" w:rsidRDefault="00E273B7" w:rsidP="000F5FD6">
      <w:pPr>
        <w:pStyle w:val="subsection"/>
      </w:pPr>
      <w:r w:rsidRPr="006B5C47">
        <w:tab/>
        <w:t>(3)</w:t>
      </w:r>
      <w:r w:rsidRPr="006B5C47">
        <w:tab/>
        <w:t xml:space="preserve">The Minister may do so only if the Minister is satisfied that goods equivalent to those safeguard goods will, under a law of the United Kingdom, be subject to a safeguard measure </w:t>
      </w:r>
      <w:r w:rsidR="00590EB4" w:rsidRPr="006B5C47">
        <w:t xml:space="preserve">covered by </w:t>
      </w:r>
      <w:r w:rsidR="000F5FD6" w:rsidRPr="006B5C47">
        <w:t>paragraph 5</w:t>
      </w:r>
      <w:r w:rsidR="00D25BA0" w:rsidRPr="006B5C47">
        <w:t>(b)</w:t>
      </w:r>
      <w:r w:rsidR="007236D9" w:rsidRPr="006B5C47">
        <w:t xml:space="preserve"> of</w:t>
      </w:r>
      <w:r w:rsidRPr="006B5C47">
        <w:t xml:space="preserve"> </w:t>
      </w:r>
      <w:r w:rsidR="007A567F" w:rsidRPr="006B5C47">
        <w:t>Article 6.2 of</w:t>
      </w:r>
      <w:r w:rsidRPr="006B5C47">
        <w:t xml:space="preserve"> Chapter </w:t>
      </w:r>
      <w:r w:rsidR="007A567F" w:rsidRPr="006B5C47">
        <w:t>6</w:t>
      </w:r>
      <w:r w:rsidRPr="006B5C47">
        <w:t xml:space="preserve"> of the Agreement if imported into the United Kingdom from Australia during the period.</w:t>
      </w:r>
    </w:p>
    <w:p w14:paraId="3798563E" w14:textId="77777777" w:rsidR="00E273B7" w:rsidRPr="006B5C47" w:rsidRDefault="00E273B7" w:rsidP="000F5FD6">
      <w:pPr>
        <w:pStyle w:val="subsection"/>
      </w:pPr>
      <w:r w:rsidRPr="006B5C47">
        <w:tab/>
        <w:t>(4)</w:t>
      </w:r>
      <w:r w:rsidRPr="006B5C47">
        <w:tab/>
        <w:t>The Minister must not specify a period starting before the commencement of the notice.</w:t>
      </w:r>
    </w:p>
    <w:p w14:paraId="6A3167FB" w14:textId="77777777" w:rsidR="00E273B7" w:rsidRPr="006B5C47" w:rsidRDefault="00E273B7" w:rsidP="000F5FD6">
      <w:pPr>
        <w:pStyle w:val="SubsectionHead"/>
      </w:pPr>
      <w:r w:rsidRPr="006B5C47">
        <w:t>Definitions</w:t>
      </w:r>
    </w:p>
    <w:p w14:paraId="046EF1C3" w14:textId="77777777" w:rsidR="00E273B7" w:rsidRPr="006B5C47" w:rsidRDefault="00E273B7" w:rsidP="000F5FD6">
      <w:pPr>
        <w:pStyle w:val="subsection"/>
      </w:pPr>
      <w:r w:rsidRPr="006B5C47">
        <w:tab/>
        <w:t>(5)</w:t>
      </w:r>
      <w:r w:rsidRPr="006B5C47">
        <w:tab/>
        <w:t>In this section:</w:t>
      </w:r>
    </w:p>
    <w:p w14:paraId="2F3D76B2" w14:textId="77777777" w:rsidR="00E273B7" w:rsidRPr="006B5C47" w:rsidRDefault="00E273B7" w:rsidP="000F5FD6">
      <w:pPr>
        <w:pStyle w:val="Definition"/>
      </w:pPr>
      <w:r w:rsidRPr="006B5C47">
        <w:rPr>
          <w:b/>
          <w:i/>
        </w:rPr>
        <w:t>Agreement</w:t>
      </w:r>
      <w:r w:rsidRPr="006B5C47">
        <w:t xml:space="preserve"> has the same meaning as in </w:t>
      </w:r>
      <w:r w:rsidR="000F5FD6" w:rsidRPr="006B5C47">
        <w:t>subsection 1</w:t>
      </w:r>
      <w:r w:rsidR="005602EE" w:rsidRPr="006B5C47">
        <w:t>53</w:t>
      </w:r>
      <w:proofErr w:type="gramStart"/>
      <w:r w:rsidR="005602EE" w:rsidRPr="006B5C47">
        <w:t>ZKU</w:t>
      </w:r>
      <w:r w:rsidRPr="006B5C47">
        <w:t>(</w:t>
      </w:r>
      <w:proofErr w:type="gramEnd"/>
      <w:r w:rsidRPr="006B5C47">
        <w:t xml:space="preserve">1) of the </w:t>
      </w:r>
      <w:r w:rsidRPr="006B5C47">
        <w:rPr>
          <w:i/>
        </w:rPr>
        <w:t>Customs Act 1901</w:t>
      </w:r>
      <w:r w:rsidRPr="006B5C47">
        <w:t>.</w:t>
      </w:r>
    </w:p>
    <w:p w14:paraId="63FF4E9F" w14:textId="77777777" w:rsidR="00E273B7" w:rsidRPr="006B5C47" w:rsidRDefault="00E273B7" w:rsidP="000F5FD6">
      <w:pPr>
        <w:pStyle w:val="Definition"/>
      </w:pPr>
      <w:r w:rsidRPr="006B5C47">
        <w:rPr>
          <w:b/>
          <w:i/>
        </w:rPr>
        <w:lastRenderedPageBreak/>
        <w:t>safeguard goods</w:t>
      </w:r>
      <w:r w:rsidRPr="006B5C47">
        <w:t xml:space="preserve"> </w:t>
      </w:r>
      <w:proofErr w:type="gramStart"/>
      <w:r w:rsidRPr="006B5C47">
        <w:t>means</w:t>
      </w:r>
      <w:proofErr w:type="gramEnd"/>
      <w:r w:rsidRPr="006B5C47">
        <w:t xml:space="preserve"> </w:t>
      </w:r>
      <w:r w:rsidR="003D0BA7" w:rsidRPr="006B5C47">
        <w:t>Trans</w:t>
      </w:r>
      <w:r w:rsidR="006B5C47">
        <w:noBreakHyphen/>
      </w:r>
      <w:r w:rsidR="003D0BA7" w:rsidRPr="006B5C47">
        <w:t>Pacific Partnership originating goods</w:t>
      </w:r>
      <w:r w:rsidRPr="006B5C47">
        <w:t xml:space="preserve"> that are classified to a heading or subheading in Schedule 3 that is specified in column 2 of any of items </w:t>
      </w:r>
      <w:r w:rsidR="003C1203" w:rsidRPr="006B5C47">
        <w:t xml:space="preserve">396A to 408, 410 to 419, </w:t>
      </w:r>
      <w:r w:rsidR="007723F8" w:rsidRPr="006B5C47">
        <w:t>421 to 423, 424A to 432ZC, 446 or 448 to 451</w:t>
      </w:r>
      <w:r w:rsidRPr="006B5C47">
        <w:t xml:space="preserve"> in the table in Schedule </w:t>
      </w:r>
      <w:r w:rsidR="003C1203" w:rsidRPr="006B5C47">
        <w:t>8B</w:t>
      </w:r>
      <w:r w:rsidRPr="006B5C47">
        <w:t>.</w:t>
      </w:r>
    </w:p>
    <w:p w14:paraId="5478204C" w14:textId="77777777" w:rsidR="009320FD" w:rsidRPr="006B5C47" w:rsidRDefault="009320FD" w:rsidP="000F5FD6">
      <w:pPr>
        <w:pStyle w:val="ItemHead"/>
      </w:pPr>
      <w:proofErr w:type="gramStart"/>
      <w:r w:rsidRPr="006B5C47">
        <w:t>5  Schedule</w:t>
      </w:r>
      <w:proofErr w:type="gramEnd"/>
      <w:r w:rsidRPr="006B5C47">
        <w:t> 8B (before table item 1)</w:t>
      </w:r>
    </w:p>
    <w:p w14:paraId="1F7BEB16" w14:textId="77777777" w:rsidR="009320FD" w:rsidRPr="006B5C47" w:rsidRDefault="009320FD" w:rsidP="000F5FD6">
      <w:pPr>
        <w:pStyle w:val="Item"/>
      </w:pPr>
      <w:r w:rsidRPr="006B5C47">
        <w:t>Insert:</w:t>
      </w:r>
    </w:p>
    <w:tbl>
      <w:tblPr>
        <w:tblW w:w="0" w:type="auto"/>
        <w:tblInd w:w="113" w:type="dxa"/>
        <w:tblBorders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014"/>
        <w:gridCol w:w="4037"/>
      </w:tblGrid>
      <w:tr w:rsidR="009320FD" w:rsidRPr="006B5C47" w14:paraId="15D47FCF" w14:textId="77777777" w:rsidTr="003E6143">
        <w:tc>
          <w:tcPr>
            <w:tcW w:w="1100" w:type="dxa"/>
          </w:tcPr>
          <w:p w14:paraId="6FF67EE9" w14:textId="77777777" w:rsidR="009320FD" w:rsidRPr="006B5C47" w:rsidRDefault="009320FD" w:rsidP="000F5FD6">
            <w:pPr>
              <w:pStyle w:val="Tabletext"/>
            </w:pPr>
            <w:r w:rsidRPr="006B5C47">
              <w:t>1A</w:t>
            </w:r>
          </w:p>
        </w:tc>
        <w:tc>
          <w:tcPr>
            <w:tcW w:w="2014" w:type="dxa"/>
          </w:tcPr>
          <w:p w14:paraId="5E6F9B44" w14:textId="77777777" w:rsidR="009320FD" w:rsidRPr="006B5C47" w:rsidRDefault="009320FD" w:rsidP="000F5FD6">
            <w:pPr>
              <w:pStyle w:val="Tabletext"/>
            </w:pPr>
            <w:r w:rsidRPr="006B5C47">
              <w:t>0406.10.00</w:t>
            </w:r>
          </w:p>
        </w:tc>
        <w:tc>
          <w:tcPr>
            <w:tcW w:w="4037" w:type="dxa"/>
          </w:tcPr>
          <w:p w14:paraId="7AA46BD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$1.109/kg</w:t>
            </w:r>
          </w:p>
          <w:p w14:paraId="10C95B9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$0.998/kg</w:t>
            </w:r>
          </w:p>
          <w:p w14:paraId="17CC677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$0.887/kg</w:t>
            </w:r>
          </w:p>
          <w:p w14:paraId="17AAC48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$0.776/kg</w:t>
            </w:r>
          </w:p>
          <w:p w14:paraId="0D426FF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$0.665/kg</w:t>
            </w:r>
          </w:p>
          <w:p w14:paraId="48CF544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$0.555/kg</w:t>
            </w:r>
          </w:p>
          <w:p w14:paraId="54E08B3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$0.444/kg</w:t>
            </w:r>
          </w:p>
          <w:p w14:paraId="454AC1D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$0.333/kg</w:t>
            </w:r>
          </w:p>
          <w:p w14:paraId="5FFBE3D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$0.222/kg</w:t>
            </w:r>
          </w:p>
          <w:p w14:paraId="5D5FD36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$0.111/kg</w:t>
            </w:r>
          </w:p>
          <w:p w14:paraId="403D96F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16: Free</w:t>
            </w:r>
          </w:p>
        </w:tc>
      </w:tr>
      <w:tr w:rsidR="009320FD" w:rsidRPr="006B5C47" w14:paraId="63C9EFD3" w14:textId="77777777" w:rsidTr="003E6143">
        <w:tc>
          <w:tcPr>
            <w:tcW w:w="1100" w:type="dxa"/>
          </w:tcPr>
          <w:p w14:paraId="1437DD07" w14:textId="77777777" w:rsidR="009320FD" w:rsidRPr="006B5C47" w:rsidRDefault="009320FD" w:rsidP="000F5FD6">
            <w:pPr>
              <w:pStyle w:val="Tabletext"/>
            </w:pPr>
            <w:r w:rsidRPr="006B5C47">
              <w:t>1B</w:t>
            </w:r>
          </w:p>
        </w:tc>
        <w:tc>
          <w:tcPr>
            <w:tcW w:w="2014" w:type="dxa"/>
          </w:tcPr>
          <w:p w14:paraId="3E270B31" w14:textId="77777777" w:rsidR="009320FD" w:rsidRPr="006B5C47" w:rsidRDefault="009320FD" w:rsidP="000F5FD6">
            <w:pPr>
              <w:pStyle w:val="Tabletext"/>
            </w:pPr>
            <w:r w:rsidRPr="006B5C47">
              <w:t>0406.20.00</w:t>
            </w:r>
          </w:p>
        </w:tc>
        <w:tc>
          <w:tcPr>
            <w:tcW w:w="4037" w:type="dxa"/>
          </w:tcPr>
          <w:p w14:paraId="7AE532B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$1.109/kg</w:t>
            </w:r>
          </w:p>
          <w:p w14:paraId="45D851A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$0.998/kg</w:t>
            </w:r>
          </w:p>
          <w:p w14:paraId="16C066B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$0.887/kg</w:t>
            </w:r>
          </w:p>
          <w:p w14:paraId="6E31D43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$0.776/kg</w:t>
            </w:r>
          </w:p>
          <w:p w14:paraId="08A762B5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10: $0.665/kg</w:t>
            </w:r>
          </w:p>
          <w:p w14:paraId="18825EB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$0.555/kg</w:t>
            </w:r>
          </w:p>
          <w:p w14:paraId="5C779B3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$0.444/kg</w:t>
            </w:r>
          </w:p>
          <w:p w14:paraId="7389A06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$0.333/kg</w:t>
            </w:r>
          </w:p>
          <w:p w14:paraId="01DBAE6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$0.222/kg</w:t>
            </w:r>
          </w:p>
          <w:p w14:paraId="63BF036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$0.111/kg</w:t>
            </w:r>
          </w:p>
          <w:p w14:paraId="31F3748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16: Free</w:t>
            </w:r>
          </w:p>
        </w:tc>
      </w:tr>
      <w:tr w:rsidR="009320FD" w:rsidRPr="006B5C47" w14:paraId="275CF4D2" w14:textId="77777777" w:rsidTr="003E6143">
        <w:tc>
          <w:tcPr>
            <w:tcW w:w="1100" w:type="dxa"/>
          </w:tcPr>
          <w:p w14:paraId="550265DD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1C</w:t>
            </w:r>
          </w:p>
        </w:tc>
        <w:tc>
          <w:tcPr>
            <w:tcW w:w="2014" w:type="dxa"/>
          </w:tcPr>
          <w:p w14:paraId="580AC4EC" w14:textId="77777777" w:rsidR="009320FD" w:rsidRPr="006B5C47" w:rsidRDefault="009320FD" w:rsidP="000F5FD6">
            <w:pPr>
              <w:pStyle w:val="Tabletext"/>
            </w:pPr>
            <w:r w:rsidRPr="006B5C47">
              <w:t>0406.30.00</w:t>
            </w:r>
          </w:p>
        </w:tc>
        <w:tc>
          <w:tcPr>
            <w:tcW w:w="4037" w:type="dxa"/>
          </w:tcPr>
          <w:p w14:paraId="3031725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$1.109/kg</w:t>
            </w:r>
          </w:p>
          <w:p w14:paraId="73FB6C6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$0.998/kg</w:t>
            </w:r>
          </w:p>
          <w:p w14:paraId="0F7BC47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$0.887/kg</w:t>
            </w:r>
          </w:p>
          <w:p w14:paraId="1A2C5FC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$0.776/kg</w:t>
            </w:r>
          </w:p>
          <w:p w14:paraId="3363DDC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$0.665/kg</w:t>
            </w:r>
          </w:p>
          <w:p w14:paraId="19406F9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$0.555/kg</w:t>
            </w:r>
          </w:p>
          <w:p w14:paraId="5804D7B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$0.444/kg</w:t>
            </w:r>
          </w:p>
          <w:p w14:paraId="4CD3FFE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$0.333/kg</w:t>
            </w:r>
          </w:p>
          <w:p w14:paraId="7C0D809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$0.222/kg</w:t>
            </w:r>
          </w:p>
          <w:p w14:paraId="2D0AC66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$0.111/kg</w:t>
            </w:r>
          </w:p>
          <w:p w14:paraId="1169EAA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16: Free</w:t>
            </w:r>
          </w:p>
        </w:tc>
      </w:tr>
      <w:tr w:rsidR="009320FD" w:rsidRPr="006B5C47" w14:paraId="0E164FFF" w14:textId="77777777" w:rsidTr="003E6143">
        <w:tc>
          <w:tcPr>
            <w:tcW w:w="1100" w:type="dxa"/>
          </w:tcPr>
          <w:p w14:paraId="3428ED70" w14:textId="77777777" w:rsidR="009320FD" w:rsidRPr="006B5C47" w:rsidRDefault="009320FD" w:rsidP="000F5FD6">
            <w:pPr>
              <w:pStyle w:val="Tabletext"/>
            </w:pPr>
            <w:r w:rsidRPr="006B5C47">
              <w:t>1D</w:t>
            </w:r>
          </w:p>
        </w:tc>
        <w:tc>
          <w:tcPr>
            <w:tcW w:w="2014" w:type="dxa"/>
          </w:tcPr>
          <w:p w14:paraId="2129B0AA" w14:textId="77777777" w:rsidR="009320FD" w:rsidRPr="006B5C47" w:rsidRDefault="009320FD" w:rsidP="000F5FD6">
            <w:pPr>
              <w:pStyle w:val="Tabletext"/>
            </w:pPr>
            <w:r w:rsidRPr="006B5C47">
              <w:t>0406.40.90</w:t>
            </w:r>
          </w:p>
        </w:tc>
        <w:tc>
          <w:tcPr>
            <w:tcW w:w="4037" w:type="dxa"/>
          </w:tcPr>
          <w:p w14:paraId="576B2E7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$1.109/kg</w:t>
            </w:r>
          </w:p>
          <w:p w14:paraId="45E27AB9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7: $0.998/kg</w:t>
            </w:r>
          </w:p>
          <w:p w14:paraId="1C8AEFD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$0.887/kg</w:t>
            </w:r>
          </w:p>
          <w:p w14:paraId="191FBC6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$0.776/kg</w:t>
            </w:r>
          </w:p>
          <w:p w14:paraId="718BCF8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$0.665/kg</w:t>
            </w:r>
          </w:p>
          <w:p w14:paraId="1BA6320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$0.555/kg</w:t>
            </w:r>
          </w:p>
          <w:p w14:paraId="51DA46A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$0.444/kg</w:t>
            </w:r>
          </w:p>
          <w:p w14:paraId="3DD473A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$0.333/kg</w:t>
            </w:r>
          </w:p>
          <w:p w14:paraId="1A653CA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$0.222/kg</w:t>
            </w:r>
          </w:p>
          <w:p w14:paraId="38D4F05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$0.111/kg</w:t>
            </w:r>
          </w:p>
          <w:p w14:paraId="5C1433D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16: Free</w:t>
            </w:r>
          </w:p>
        </w:tc>
      </w:tr>
      <w:tr w:rsidR="009320FD" w:rsidRPr="006B5C47" w14:paraId="78E8AD4E" w14:textId="77777777" w:rsidTr="003E6143">
        <w:tc>
          <w:tcPr>
            <w:tcW w:w="1100" w:type="dxa"/>
          </w:tcPr>
          <w:p w14:paraId="0907B1A6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1E</w:t>
            </w:r>
          </w:p>
        </w:tc>
        <w:tc>
          <w:tcPr>
            <w:tcW w:w="2014" w:type="dxa"/>
          </w:tcPr>
          <w:p w14:paraId="0736CFC7" w14:textId="77777777" w:rsidR="009320FD" w:rsidRPr="006B5C47" w:rsidRDefault="009320FD" w:rsidP="000F5FD6">
            <w:pPr>
              <w:pStyle w:val="Tabletext"/>
            </w:pPr>
            <w:r w:rsidRPr="006B5C47">
              <w:t>0406.90.90</w:t>
            </w:r>
          </w:p>
        </w:tc>
        <w:tc>
          <w:tcPr>
            <w:tcW w:w="4037" w:type="dxa"/>
          </w:tcPr>
          <w:p w14:paraId="5CCDA7A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$1.109/kg</w:t>
            </w:r>
          </w:p>
          <w:p w14:paraId="58A6CCB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$0.998/kg</w:t>
            </w:r>
          </w:p>
          <w:p w14:paraId="1208C17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$0.887/kg</w:t>
            </w:r>
          </w:p>
          <w:p w14:paraId="74F3513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$0.776/kg</w:t>
            </w:r>
          </w:p>
          <w:p w14:paraId="357F9A6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$0.665/kg</w:t>
            </w:r>
          </w:p>
          <w:p w14:paraId="7B5318C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$0.555/kg</w:t>
            </w:r>
          </w:p>
          <w:p w14:paraId="3DEAE02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$0.444/kg</w:t>
            </w:r>
          </w:p>
          <w:p w14:paraId="76A5882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$0.333/kg</w:t>
            </w:r>
          </w:p>
          <w:p w14:paraId="4764965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$0.222/kg</w:t>
            </w:r>
          </w:p>
          <w:p w14:paraId="78E913C5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15: $0.111/kg</w:t>
            </w:r>
          </w:p>
          <w:p w14:paraId="20A8704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16: Free</w:t>
            </w:r>
          </w:p>
        </w:tc>
      </w:tr>
    </w:tbl>
    <w:p w14:paraId="114D9528" w14:textId="77777777" w:rsidR="009320FD" w:rsidRPr="006B5C47" w:rsidRDefault="009320FD" w:rsidP="000F5FD6">
      <w:pPr>
        <w:pStyle w:val="ItemHead"/>
      </w:pPr>
      <w:proofErr w:type="gramStart"/>
      <w:r w:rsidRPr="006B5C47">
        <w:lastRenderedPageBreak/>
        <w:t>6  Schedule</w:t>
      </w:r>
      <w:proofErr w:type="gramEnd"/>
      <w:r w:rsidRPr="006B5C47">
        <w:t> 8B (after table item 396)</w:t>
      </w:r>
    </w:p>
    <w:p w14:paraId="685FD0E8" w14:textId="77777777" w:rsidR="009320FD" w:rsidRPr="006B5C47" w:rsidRDefault="009320FD" w:rsidP="000F5FD6">
      <w:pPr>
        <w:pStyle w:val="Item"/>
      </w:pPr>
      <w:r w:rsidRPr="006B5C47">
        <w:t>Insert:</w:t>
      </w:r>
    </w:p>
    <w:tbl>
      <w:tblPr>
        <w:tblW w:w="0" w:type="auto"/>
        <w:tblInd w:w="113" w:type="dxa"/>
        <w:tblBorders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014"/>
        <w:gridCol w:w="4037"/>
      </w:tblGrid>
      <w:tr w:rsidR="009320FD" w:rsidRPr="006B5C47" w14:paraId="3AA41700" w14:textId="77777777" w:rsidTr="0037292D">
        <w:tc>
          <w:tcPr>
            <w:tcW w:w="1100" w:type="dxa"/>
          </w:tcPr>
          <w:p w14:paraId="3EDE4905" w14:textId="77777777" w:rsidR="009320FD" w:rsidRPr="006B5C47" w:rsidRDefault="009320FD" w:rsidP="000F5FD6">
            <w:pPr>
              <w:pStyle w:val="Tabletext"/>
            </w:pPr>
            <w:r w:rsidRPr="006B5C47">
              <w:t>396A</w:t>
            </w:r>
          </w:p>
        </w:tc>
        <w:tc>
          <w:tcPr>
            <w:tcW w:w="2014" w:type="dxa"/>
          </w:tcPr>
          <w:p w14:paraId="70A41E81" w14:textId="77777777" w:rsidR="009320FD" w:rsidRPr="006B5C47" w:rsidRDefault="009320FD" w:rsidP="000F5FD6">
            <w:pPr>
              <w:pStyle w:val="Tabletext"/>
            </w:pPr>
            <w:r w:rsidRPr="006B5C47">
              <w:t>7208.10.00</w:t>
            </w:r>
          </w:p>
        </w:tc>
        <w:tc>
          <w:tcPr>
            <w:tcW w:w="4037" w:type="dxa"/>
          </w:tcPr>
          <w:p w14:paraId="633324F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3C1DD30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5F34747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7A653F1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193330B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5BE1065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62BD2F5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0ECE007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0FF573C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5666A3B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19A3E4A8" w14:textId="77777777" w:rsidTr="0037292D">
        <w:tc>
          <w:tcPr>
            <w:tcW w:w="1100" w:type="dxa"/>
          </w:tcPr>
          <w:p w14:paraId="44131B37" w14:textId="77777777" w:rsidR="009320FD" w:rsidRPr="006B5C47" w:rsidRDefault="009320FD" w:rsidP="000F5FD6">
            <w:pPr>
              <w:pStyle w:val="Tabletext"/>
            </w:pPr>
            <w:r w:rsidRPr="006B5C47">
              <w:t>396B</w:t>
            </w:r>
          </w:p>
        </w:tc>
        <w:tc>
          <w:tcPr>
            <w:tcW w:w="2014" w:type="dxa"/>
          </w:tcPr>
          <w:p w14:paraId="2C07DA02" w14:textId="77777777" w:rsidR="009320FD" w:rsidRPr="006B5C47" w:rsidRDefault="009320FD" w:rsidP="000F5FD6">
            <w:pPr>
              <w:pStyle w:val="Tabletext"/>
            </w:pPr>
            <w:r w:rsidRPr="006B5C47">
              <w:t>7208.25.00</w:t>
            </w:r>
          </w:p>
        </w:tc>
        <w:tc>
          <w:tcPr>
            <w:tcW w:w="4037" w:type="dxa"/>
          </w:tcPr>
          <w:p w14:paraId="44434E1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6517167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41C53B0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4676620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469C2C6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7060D857" w14:textId="77777777" w:rsidR="009320FD" w:rsidRPr="006B5C47" w:rsidRDefault="009320FD" w:rsidP="000F5FD6">
            <w:pPr>
              <w:pStyle w:val="Tabletext"/>
            </w:pPr>
            <w:r w:rsidRPr="006B5C47">
              <w:t xml:space="preserve">United Kingdom: From 1 January of year 11: </w:t>
            </w:r>
            <w:r w:rsidRPr="006B5C47">
              <w:lastRenderedPageBreak/>
              <w:t>2%</w:t>
            </w:r>
          </w:p>
          <w:p w14:paraId="4E5868C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30B89F2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35BE03C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55A442C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3E947B72" w14:textId="77777777" w:rsidTr="0037292D">
        <w:tc>
          <w:tcPr>
            <w:tcW w:w="1100" w:type="dxa"/>
          </w:tcPr>
          <w:p w14:paraId="3F87B242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396C</w:t>
            </w:r>
          </w:p>
        </w:tc>
        <w:tc>
          <w:tcPr>
            <w:tcW w:w="2014" w:type="dxa"/>
          </w:tcPr>
          <w:p w14:paraId="53CE74C7" w14:textId="77777777" w:rsidR="009320FD" w:rsidRPr="006B5C47" w:rsidRDefault="009320FD" w:rsidP="000F5FD6">
            <w:pPr>
              <w:pStyle w:val="Tabletext"/>
            </w:pPr>
            <w:r w:rsidRPr="006B5C47">
              <w:t>7208.26.00</w:t>
            </w:r>
          </w:p>
        </w:tc>
        <w:tc>
          <w:tcPr>
            <w:tcW w:w="4037" w:type="dxa"/>
          </w:tcPr>
          <w:p w14:paraId="3262D83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150DEC0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5225BDC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0CEDB22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15D8C44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37EFD66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07000C4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27E2B1E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3ECF4BF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31A2689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7FC7CE1B" w14:textId="77777777" w:rsidTr="0037292D">
        <w:tc>
          <w:tcPr>
            <w:tcW w:w="1100" w:type="dxa"/>
          </w:tcPr>
          <w:p w14:paraId="61509C87" w14:textId="77777777" w:rsidR="009320FD" w:rsidRPr="006B5C47" w:rsidRDefault="009320FD" w:rsidP="000F5FD6">
            <w:pPr>
              <w:pStyle w:val="Tabletext"/>
            </w:pPr>
            <w:r w:rsidRPr="006B5C47">
              <w:t>396D</w:t>
            </w:r>
          </w:p>
        </w:tc>
        <w:tc>
          <w:tcPr>
            <w:tcW w:w="2014" w:type="dxa"/>
          </w:tcPr>
          <w:p w14:paraId="6C91D842" w14:textId="77777777" w:rsidR="009320FD" w:rsidRPr="006B5C47" w:rsidRDefault="009320FD" w:rsidP="000F5FD6">
            <w:pPr>
              <w:pStyle w:val="Tabletext"/>
            </w:pPr>
            <w:r w:rsidRPr="006B5C47">
              <w:t>7208.27.00</w:t>
            </w:r>
          </w:p>
        </w:tc>
        <w:tc>
          <w:tcPr>
            <w:tcW w:w="4037" w:type="dxa"/>
          </w:tcPr>
          <w:p w14:paraId="3222476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681AE65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6B040F0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15C1041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28C7A986" w14:textId="77777777" w:rsidR="009320FD" w:rsidRPr="006B5C47" w:rsidRDefault="009320FD" w:rsidP="000F5FD6">
            <w:pPr>
              <w:pStyle w:val="Tabletext"/>
            </w:pPr>
            <w:r w:rsidRPr="006B5C47">
              <w:t xml:space="preserve">United Kingdom: From 1 January of year 10: </w:t>
            </w:r>
            <w:r w:rsidRPr="006B5C47">
              <w:lastRenderedPageBreak/>
              <w:t>2.5%</w:t>
            </w:r>
          </w:p>
          <w:p w14:paraId="0EBF3D1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59986DA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47B3A3F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51A7189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126675F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4A1EB3B6" w14:textId="77777777" w:rsidTr="0037292D">
        <w:tc>
          <w:tcPr>
            <w:tcW w:w="1100" w:type="dxa"/>
          </w:tcPr>
          <w:p w14:paraId="2F3AD20D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396E</w:t>
            </w:r>
          </w:p>
        </w:tc>
        <w:tc>
          <w:tcPr>
            <w:tcW w:w="2014" w:type="dxa"/>
          </w:tcPr>
          <w:p w14:paraId="7E991A74" w14:textId="77777777" w:rsidR="009320FD" w:rsidRPr="006B5C47" w:rsidRDefault="009320FD" w:rsidP="000F5FD6">
            <w:pPr>
              <w:pStyle w:val="Tabletext"/>
            </w:pPr>
            <w:r w:rsidRPr="006B5C47">
              <w:t>7208.36.00</w:t>
            </w:r>
          </w:p>
        </w:tc>
        <w:tc>
          <w:tcPr>
            <w:tcW w:w="4037" w:type="dxa"/>
          </w:tcPr>
          <w:p w14:paraId="5298DD4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4D6D166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6D0136B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629C3D3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1EE5CFE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7166D2F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10B786E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6BBFF30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3DDC72C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4D2CC8C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1A4670EF" w14:textId="77777777" w:rsidTr="0037292D">
        <w:tc>
          <w:tcPr>
            <w:tcW w:w="1100" w:type="dxa"/>
          </w:tcPr>
          <w:p w14:paraId="16E122EA" w14:textId="77777777" w:rsidR="009320FD" w:rsidRPr="006B5C47" w:rsidRDefault="009320FD" w:rsidP="000F5FD6">
            <w:pPr>
              <w:pStyle w:val="Tabletext"/>
            </w:pPr>
            <w:r w:rsidRPr="006B5C47">
              <w:t>396F</w:t>
            </w:r>
          </w:p>
        </w:tc>
        <w:tc>
          <w:tcPr>
            <w:tcW w:w="2014" w:type="dxa"/>
          </w:tcPr>
          <w:p w14:paraId="56051DA9" w14:textId="77777777" w:rsidR="009320FD" w:rsidRPr="006B5C47" w:rsidRDefault="009320FD" w:rsidP="000F5FD6">
            <w:pPr>
              <w:pStyle w:val="Tabletext"/>
            </w:pPr>
            <w:r w:rsidRPr="006B5C47">
              <w:t>7208.37.00</w:t>
            </w:r>
          </w:p>
        </w:tc>
        <w:tc>
          <w:tcPr>
            <w:tcW w:w="4037" w:type="dxa"/>
          </w:tcPr>
          <w:p w14:paraId="1D4FAE2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14D87B7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500441C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4E5CD4DF" w14:textId="77777777" w:rsidR="009320FD" w:rsidRPr="006B5C47" w:rsidRDefault="009320FD" w:rsidP="000F5FD6">
            <w:pPr>
              <w:pStyle w:val="Tabletext"/>
            </w:pPr>
            <w:r w:rsidRPr="006B5C47">
              <w:t xml:space="preserve">United Kingdom: From 1 January of year 9: </w:t>
            </w:r>
            <w:r w:rsidRPr="006B5C47">
              <w:lastRenderedPageBreak/>
              <w:t>3%</w:t>
            </w:r>
          </w:p>
          <w:p w14:paraId="5A5F5DD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179F80A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5D17836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6A19B0A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769A0DF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0F17ACA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4DC136AC" w14:textId="77777777" w:rsidTr="0037292D">
        <w:tc>
          <w:tcPr>
            <w:tcW w:w="1100" w:type="dxa"/>
          </w:tcPr>
          <w:p w14:paraId="1B674F80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396G</w:t>
            </w:r>
          </w:p>
        </w:tc>
        <w:tc>
          <w:tcPr>
            <w:tcW w:w="2014" w:type="dxa"/>
          </w:tcPr>
          <w:p w14:paraId="6561B0B2" w14:textId="77777777" w:rsidR="009320FD" w:rsidRPr="006B5C47" w:rsidRDefault="009320FD" w:rsidP="000F5FD6">
            <w:pPr>
              <w:pStyle w:val="Tabletext"/>
            </w:pPr>
            <w:r w:rsidRPr="006B5C47">
              <w:t>7208.38.00</w:t>
            </w:r>
          </w:p>
        </w:tc>
        <w:tc>
          <w:tcPr>
            <w:tcW w:w="4037" w:type="dxa"/>
          </w:tcPr>
          <w:p w14:paraId="6FC49CA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64BA22B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53D25F9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48A9AB3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301995B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6091BE0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523350D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15B0C9C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3A38CAC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2FC9049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67B08C08" w14:textId="77777777" w:rsidTr="0037292D">
        <w:tc>
          <w:tcPr>
            <w:tcW w:w="1100" w:type="dxa"/>
          </w:tcPr>
          <w:p w14:paraId="085B31F7" w14:textId="77777777" w:rsidR="009320FD" w:rsidRPr="006B5C47" w:rsidRDefault="009320FD" w:rsidP="000F5FD6">
            <w:pPr>
              <w:pStyle w:val="Tabletext"/>
            </w:pPr>
            <w:r w:rsidRPr="006B5C47">
              <w:t>396H</w:t>
            </w:r>
          </w:p>
        </w:tc>
        <w:tc>
          <w:tcPr>
            <w:tcW w:w="2014" w:type="dxa"/>
          </w:tcPr>
          <w:p w14:paraId="2D987D2A" w14:textId="77777777" w:rsidR="009320FD" w:rsidRPr="006B5C47" w:rsidRDefault="009320FD" w:rsidP="000F5FD6">
            <w:pPr>
              <w:pStyle w:val="Tabletext"/>
            </w:pPr>
            <w:r w:rsidRPr="006B5C47">
              <w:t>7208.39.00</w:t>
            </w:r>
          </w:p>
        </w:tc>
        <w:tc>
          <w:tcPr>
            <w:tcW w:w="4037" w:type="dxa"/>
          </w:tcPr>
          <w:p w14:paraId="4E06831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6ADF99C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1F1AC594" w14:textId="77777777" w:rsidR="009320FD" w:rsidRPr="006B5C47" w:rsidRDefault="009320FD" w:rsidP="000F5FD6">
            <w:pPr>
              <w:pStyle w:val="Tabletext"/>
            </w:pPr>
            <w:r w:rsidRPr="006B5C47">
              <w:t xml:space="preserve">United Kingdom: From 1 January of year 8: </w:t>
            </w:r>
            <w:r w:rsidRPr="006B5C47">
              <w:lastRenderedPageBreak/>
              <w:t>3.5%</w:t>
            </w:r>
          </w:p>
          <w:p w14:paraId="611A7C6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5024749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219A46B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3696826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4714EF8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0934CBA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4976A54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42C3ED41" w14:textId="77777777" w:rsidTr="0037292D">
        <w:tc>
          <w:tcPr>
            <w:tcW w:w="1100" w:type="dxa"/>
          </w:tcPr>
          <w:p w14:paraId="7AF901EB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396J</w:t>
            </w:r>
          </w:p>
        </w:tc>
        <w:tc>
          <w:tcPr>
            <w:tcW w:w="2014" w:type="dxa"/>
          </w:tcPr>
          <w:p w14:paraId="3DCB8D9B" w14:textId="77777777" w:rsidR="009320FD" w:rsidRPr="006B5C47" w:rsidRDefault="009320FD" w:rsidP="000F5FD6">
            <w:pPr>
              <w:pStyle w:val="Tabletext"/>
            </w:pPr>
            <w:r w:rsidRPr="006B5C47">
              <w:t>7208.40.00</w:t>
            </w:r>
          </w:p>
        </w:tc>
        <w:tc>
          <w:tcPr>
            <w:tcW w:w="4037" w:type="dxa"/>
          </w:tcPr>
          <w:p w14:paraId="4504494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507B033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1A36AB6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3E5A22C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22F5D58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4C0DB20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447468E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40EA1B8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702EABD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4983078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</w:tbl>
    <w:p w14:paraId="7171A715" w14:textId="77777777" w:rsidR="009320FD" w:rsidRPr="006B5C47" w:rsidRDefault="009320FD" w:rsidP="000F5FD6">
      <w:pPr>
        <w:pStyle w:val="ItemHead"/>
      </w:pPr>
      <w:proofErr w:type="gramStart"/>
      <w:r w:rsidRPr="006B5C47">
        <w:t>7  Schedule</w:t>
      </w:r>
      <w:proofErr w:type="gramEnd"/>
      <w:r w:rsidRPr="006B5C47">
        <w:t> 8B (table items 397 to 408)</w:t>
      </w:r>
    </w:p>
    <w:p w14:paraId="3023D3FB" w14:textId="77777777" w:rsidR="009320FD" w:rsidRPr="006B5C47" w:rsidRDefault="009320FD" w:rsidP="000F5FD6">
      <w:pPr>
        <w:pStyle w:val="Item"/>
      </w:pPr>
      <w:r w:rsidRPr="006B5C47">
        <w:t>Repeal the items, substitute:</w:t>
      </w:r>
    </w:p>
    <w:tbl>
      <w:tblPr>
        <w:tblW w:w="0" w:type="auto"/>
        <w:tblInd w:w="113" w:type="dxa"/>
        <w:tblBorders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014"/>
        <w:gridCol w:w="4037"/>
      </w:tblGrid>
      <w:tr w:rsidR="009320FD" w:rsidRPr="006B5C47" w14:paraId="23D27E29" w14:textId="77777777" w:rsidTr="00891491">
        <w:tc>
          <w:tcPr>
            <w:tcW w:w="1100" w:type="dxa"/>
          </w:tcPr>
          <w:p w14:paraId="698807B1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397</w:t>
            </w:r>
          </w:p>
        </w:tc>
        <w:tc>
          <w:tcPr>
            <w:tcW w:w="2014" w:type="dxa"/>
          </w:tcPr>
          <w:p w14:paraId="229C0465" w14:textId="77777777" w:rsidR="009320FD" w:rsidRPr="006B5C47" w:rsidRDefault="009320FD" w:rsidP="000F5FD6">
            <w:pPr>
              <w:pStyle w:val="Tabletext"/>
            </w:pPr>
            <w:r w:rsidRPr="006B5C47">
              <w:t>7208.51.00</w:t>
            </w:r>
          </w:p>
        </w:tc>
        <w:tc>
          <w:tcPr>
            <w:tcW w:w="4037" w:type="dxa"/>
          </w:tcPr>
          <w:p w14:paraId="56614A2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6D67254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290E87A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2D76468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2D7C08A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0A659CB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773986A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74EF5F4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1E27F47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7DD9B3C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333DAF44" w14:textId="77777777" w:rsidTr="00891491">
        <w:tc>
          <w:tcPr>
            <w:tcW w:w="1100" w:type="dxa"/>
          </w:tcPr>
          <w:p w14:paraId="5D3EAC75" w14:textId="77777777" w:rsidR="009320FD" w:rsidRPr="006B5C47" w:rsidRDefault="009320FD" w:rsidP="000F5FD6">
            <w:pPr>
              <w:pStyle w:val="Tabletext"/>
            </w:pPr>
            <w:r w:rsidRPr="006B5C47">
              <w:t>398</w:t>
            </w:r>
          </w:p>
        </w:tc>
        <w:tc>
          <w:tcPr>
            <w:tcW w:w="2014" w:type="dxa"/>
          </w:tcPr>
          <w:p w14:paraId="486ADBDF" w14:textId="77777777" w:rsidR="009320FD" w:rsidRPr="006B5C47" w:rsidRDefault="009320FD" w:rsidP="000F5FD6">
            <w:pPr>
              <w:pStyle w:val="Tabletext"/>
            </w:pPr>
            <w:r w:rsidRPr="006B5C47">
              <w:t>7208.52.00</w:t>
            </w:r>
          </w:p>
        </w:tc>
        <w:tc>
          <w:tcPr>
            <w:tcW w:w="4037" w:type="dxa"/>
          </w:tcPr>
          <w:p w14:paraId="4681CBE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7C78719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33A9FCA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1B4D797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0638AC6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473BE3A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5F98985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7C1A11C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0F2A0CD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5B3C4C08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15: Free</w:t>
            </w:r>
          </w:p>
        </w:tc>
      </w:tr>
      <w:tr w:rsidR="009320FD" w:rsidRPr="006B5C47" w14:paraId="2247CCA5" w14:textId="77777777" w:rsidTr="00891491">
        <w:tc>
          <w:tcPr>
            <w:tcW w:w="1100" w:type="dxa"/>
          </w:tcPr>
          <w:p w14:paraId="60798DCE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398A</w:t>
            </w:r>
          </w:p>
        </w:tc>
        <w:tc>
          <w:tcPr>
            <w:tcW w:w="2014" w:type="dxa"/>
          </w:tcPr>
          <w:p w14:paraId="32420A54" w14:textId="77777777" w:rsidR="009320FD" w:rsidRPr="006B5C47" w:rsidRDefault="009320FD" w:rsidP="000F5FD6">
            <w:pPr>
              <w:pStyle w:val="Tabletext"/>
            </w:pPr>
            <w:r w:rsidRPr="006B5C47">
              <w:t>7208.53.00</w:t>
            </w:r>
          </w:p>
        </w:tc>
        <w:tc>
          <w:tcPr>
            <w:tcW w:w="4037" w:type="dxa"/>
          </w:tcPr>
          <w:p w14:paraId="2A9300F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64991CB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60F02EB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793C005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0DE5BA6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412C250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55957F2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633C779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21C526C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236CDC2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40F9AC27" w14:textId="77777777" w:rsidTr="00891491">
        <w:tc>
          <w:tcPr>
            <w:tcW w:w="1100" w:type="dxa"/>
          </w:tcPr>
          <w:p w14:paraId="37829A0D" w14:textId="77777777" w:rsidR="009320FD" w:rsidRPr="006B5C47" w:rsidRDefault="009320FD" w:rsidP="000F5FD6">
            <w:pPr>
              <w:pStyle w:val="Tabletext"/>
            </w:pPr>
            <w:r w:rsidRPr="006B5C47">
              <w:t>398B</w:t>
            </w:r>
          </w:p>
        </w:tc>
        <w:tc>
          <w:tcPr>
            <w:tcW w:w="2014" w:type="dxa"/>
          </w:tcPr>
          <w:p w14:paraId="285CC2D6" w14:textId="77777777" w:rsidR="009320FD" w:rsidRPr="006B5C47" w:rsidRDefault="009320FD" w:rsidP="000F5FD6">
            <w:pPr>
              <w:pStyle w:val="Tabletext"/>
            </w:pPr>
            <w:r w:rsidRPr="006B5C47">
              <w:t>7208.54.00</w:t>
            </w:r>
          </w:p>
        </w:tc>
        <w:tc>
          <w:tcPr>
            <w:tcW w:w="4037" w:type="dxa"/>
          </w:tcPr>
          <w:p w14:paraId="09AB449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0A740FB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218B4FF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7887C64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0BCF05F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20256D3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56DA9FB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1C2DB15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1FF9B84B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14: 0.5%</w:t>
            </w:r>
          </w:p>
          <w:p w14:paraId="4A1FCC9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2ADA96F9" w14:textId="77777777" w:rsidTr="00891491">
        <w:tc>
          <w:tcPr>
            <w:tcW w:w="1100" w:type="dxa"/>
          </w:tcPr>
          <w:p w14:paraId="454E3D71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399</w:t>
            </w:r>
          </w:p>
        </w:tc>
        <w:tc>
          <w:tcPr>
            <w:tcW w:w="2014" w:type="dxa"/>
          </w:tcPr>
          <w:p w14:paraId="6597F9C1" w14:textId="77777777" w:rsidR="009320FD" w:rsidRPr="006B5C47" w:rsidRDefault="009320FD" w:rsidP="000F5FD6">
            <w:pPr>
              <w:pStyle w:val="Tabletext"/>
            </w:pPr>
            <w:r w:rsidRPr="006B5C47">
              <w:t>7208.90.00</w:t>
            </w:r>
          </w:p>
        </w:tc>
        <w:tc>
          <w:tcPr>
            <w:tcW w:w="4037" w:type="dxa"/>
          </w:tcPr>
          <w:p w14:paraId="12555BE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6FB43B6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7057FA5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7A2BDBA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7F96A63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5173019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440FE81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3146F6E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0A7B834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3F6899A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1530F510" w14:textId="77777777" w:rsidTr="00891491">
        <w:tc>
          <w:tcPr>
            <w:tcW w:w="1100" w:type="dxa"/>
          </w:tcPr>
          <w:p w14:paraId="1EDE8E00" w14:textId="77777777" w:rsidR="009320FD" w:rsidRPr="006B5C47" w:rsidRDefault="009320FD" w:rsidP="000F5FD6">
            <w:pPr>
              <w:pStyle w:val="Tabletext"/>
            </w:pPr>
            <w:r w:rsidRPr="006B5C47">
              <w:t>400</w:t>
            </w:r>
          </w:p>
        </w:tc>
        <w:tc>
          <w:tcPr>
            <w:tcW w:w="2014" w:type="dxa"/>
          </w:tcPr>
          <w:p w14:paraId="5AFA4AAC" w14:textId="77777777" w:rsidR="009320FD" w:rsidRPr="006B5C47" w:rsidRDefault="009320FD" w:rsidP="000F5FD6">
            <w:pPr>
              <w:pStyle w:val="Tabletext"/>
            </w:pPr>
            <w:r w:rsidRPr="006B5C47">
              <w:t>7209.15.00</w:t>
            </w:r>
          </w:p>
        </w:tc>
        <w:tc>
          <w:tcPr>
            <w:tcW w:w="4037" w:type="dxa"/>
          </w:tcPr>
          <w:p w14:paraId="4F0F9CE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2503EDE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22CAFE3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6087D73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5657C17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7FA557A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051FA93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2AAA46EB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13: 1%</w:t>
            </w:r>
          </w:p>
          <w:p w14:paraId="616F6CD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0AAFCBF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5E98628B" w14:textId="77777777" w:rsidTr="00891491">
        <w:tc>
          <w:tcPr>
            <w:tcW w:w="1100" w:type="dxa"/>
          </w:tcPr>
          <w:p w14:paraId="123625FB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401</w:t>
            </w:r>
          </w:p>
        </w:tc>
        <w:tc>
          <w:tcPr>
            <w:tcW w:w="2014" w:type="dxa"/>
          </w:tcPr>
          <w:p w14:paraId="425BC661" w14:textId="77777777" w:rsidR="009320FD" w:rsidRPr="006B5C47" w:rsidRDefault="009320FD" w:rsidP="000F5FD6">
            <w:pPr>
              <w:pStyle w:val="Tabletext"/>
            </w:pPr>
            <w:r w:rsidRPr="006B5C47">
              <w:t>7209.16.00</w:t>
            </w:r>
          </w:p>
        </w:tc>
        <w:tc>
          <w:tcPr>
            <w:tcW w:w="4037" w:type="dxa"/>
          </w:tcPr>
          <w:p w14:paraId="55D659E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1B446EA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2B56C8A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3B5D68E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098ED19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470A8B7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7A95C56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5EC3B4F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15028E4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1E19CB4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653C4B4D" w14:textId="77777777" w:rsidTr="00891491">
        <w:tc>
          <w:tcPr>
            <w:tcW w:w="1100" w:type="dxa"/>
          </w:tcPr>
          <w:p w14:paraId="17096316" w14:textId="77777777" w:rsidR="009320FD" w:rsidRPr="006B5C47" w:rsidRDefault="009320FD" w:rsidP="000F5FD6">
            <w:pPr>
              <w:pStyle w:val="Tabletext"/>
            </w:pPr>
            <w:r w:rsidRPr="006B5C47">
              <w:t>402</w:t>
            </w:r>
          </w:p>
        </w:tc>
        <w:tc>
          <w:tcPr>
            <w:tcW w:w="2014" w:type="dxa"/>
          </w:tcPr>
          <w:p w14:paraId="5E2B0EBE" w14:textId="77777777" w:rsidR="009320FD" w:rsidRPr="006B5C47" w:rsidRDefault="009320FD" w:rsidP="000F5FD6">
            <w:pPr>
              <w:pStyle w:val="Tabletext"/>
            </w:pPr>
            <w:r w:rsidRPr="006B5C47">
              <w:t>7209.17.00</w:t>
            </w:r>
          </w:p>
        </w:tc>
        <w:tc>
          <w:tcPr>
            <w:tcW w:w="4037" w:type="dxa"/>
          </w:tcPr>
          <w:p w14:paraId="34E1815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4A2CADA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2F0F4DA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7922623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371EEFC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38E1CC2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49620813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12: 1.5%</w:t>
            </w:r>
          </w:p>
          <w:p w14:paraId="50DCB02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3D5F57B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0DB49EC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6BCF7E92" w14:textId="77777777" w:rsidTr="00891491">
        <w:tc>
          <w:tcPr>
            <w:tcW w:w="1100" w:type="dxa"/>
          </w:tcPr>
          <w:p w14:paraId="5521B159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403</w:t>
            </w:r>
          </w:p>
        </w:tc>
        <w:tc>
          <w:tcPr>
            <w:tcW w:w="2014" w:type="dxa"/>
          </w:tcPr>
          <w:p w14:paraId="089D7E26" w14:textId="77777777" w:rsidR="009320FD" w:rsidRPr="006B5C47" w:rsidRDefault="009320FD" w:rsidP="000F5FD6">
            <w:pPr>
              <w:pStyle w:val="Tabletext"/>
            </w:pPr>
            <w:r w:rsidRPr="006B5C47">
              <w:t>7209.18.00</w:t>
            </w:r>
          </w:p>
        </w:tc>
        <w:tc>
          <w:tcPr>
            <w:tcW w:w="4037" w:type="dxa"/>
          </w:tcPr>
          <w:p w14:paraId="1CFD30F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384CB10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712F201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37EF236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6C2E8C8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50D1C38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1A47CE2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4FBD083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21F0C92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2D608B5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635D612C" w14:textId="77777777" w:rsidTr="00891491">
        <w:tc>
          <w:tcPr>
            <w:tcW w:w="1100" w:type="dxa"/>
          </w:tcPr>
          <w:p w14:paraId="123796AF" w14:textId="77777777" w:rsidR="009320FD" w:rsidRPr="006B5C47" w:rsidRDefault="009320FD" w:rsidP="000F5FD6">
            <w:pPr>
              <w:pStyle w:val="Tabletext"/>
            </w:pPr>
            <w:r w:rsidRPr="006B5C47">
              <w:t>404</w:t>
            </w:r>
          </w:p>
        </w:tc>
        <w:tc>
          <w:tcPr>
            <w:tcW w:w="2014" w:type="dxa"/>
          </w:tcPr>
          <w:p w14:paraId="799C83EC" w14:textId="77777777" w:rsidR="009320FD" w:rsidRPr="006B5C47" w:rsidRDefault="009320FD" w:rsidP="000F5FD6">
            <w:pPr>
              <w:pStyle w:val="Tabletext"/>
            </w:pPr>
            <w:r w:rsidRPr="006B5C47">
              <w:t>7209.25.00</w:t>
            </w:r>
          </w:p>
        </w:tc>
        <w:tc>
          <w:tcPr>
            <w:tcW w:w="4037" w:type="dxa"/>
          </w:tcPr>
          <w:p w14:paraId="047DF87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6FB186E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08923DE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6D5E11B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4CDBC12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258CC277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11: 2%</w:t>
            </w:r>
          </w:p>
          <w:p w14:paraId="240D20E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26B4174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65EEFFE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1CDCF2D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5A6649E4" w14:textId="77777777" w:rsidTr="00891491">
        <w:tc>
          <w:tcPr>
            <w:tcW w:w="1100" w:type="dxa"/>
          </w:tcPr>
          <w:p w14:paraId="1065B5DF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405</w:t>
            </w:r>
          </w:p>
        </w:tc>
        <w:tc>
          <w:tcPr>
            <w:tcW w:w="2014" w:type="dxa"/>
          </w:tcPr>
          <w:p w14:paraId="28FEDA2B" w14:textId="77777777" w:rsidR="009320FD" w:rsidRPr="006B5C47" w:rsidRDefault="009320FD" w:rsidP="000F5FD6">
            <w:pPr>
              <w:pStyle w:val="Tabletext"/>
            </w:pPr>
            <w:r w:rsidRPr="006B5C47">
              <w:t>7209.26.00</w:t>
            </w:r>
          </w:p>
        </w:tc>
        <w:tc>
          <w:tcPr>
            <w:tcW w:w="4037" w:type="dxa"/>
          </w:tcPr>
          <w:p w14:paraId="5404794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4AACF0C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679E02A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33D8538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0D0A196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577C207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4FF7201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56980E6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226CF6F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494AECA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37597FF2" w14:textId="77777777" w:rsidTr="00891491">
        <w:tc>
          <w:tcPr>
            <w:tcW w:w="1100" w:type="dxa"/>
          </w:tcPr>
          <w:p w14:paraId="212D8DA4" w14:textId="77777777" w:rsidR="009320FD" w:rsidRPr="006B5C47" w:rsidRDefault="009320FD" w:rsidP="000F5FD6">
            <w:pPr>
              <w:pStyle w:val="Tabletext"/>
            </w:pPr>
            <w:r w:rsidRPr="006B5C47">
              <w:t>406</w:t>
            </w:r>
          </w:p>
        </w:tc>
        <w:tc>
          <w:tcPr>
            <w:tcW w:w="2014" w:type="dxa"/>
          </w:tcPr>
          <w:p w14:paraId="6B9F8FF0" w14:textId="77777777" w:rsidR="009320FD" w:rsidRPr="006B5C47" w:rsidRDefault="009320FD" w:rsidP="000F5FD6">
            <w:pPr>
              <w:pStyle w:val="Tabletext"/>
            </w:pPr>
            <w:r w:rsidRPr="006B5C47">
              <w:t>7209.27.00</w:t>
            </w:r>
          </w:p>
        </w:tc>
        <w:tc>
          <w:tcPr>
            <w:tcW w:w="4037" w:type="dxa"/>
          </w:tcPr>
          <w:p w14:paraId="6361CF5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3A5C1ED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7B17D69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5C90AA2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34DBD29D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10: 2.5%</w:t>
            </w:r>
          </w:p>
          <w:p w14:paraId="702B98F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539823F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0EA83AF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66EA916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4FD8484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498595F7" w14:textId="77777777" w:rsidTr="00891491">
        <w:tc>
          <w:tcPr>
            <w:tcW w:w="1100" w:type="dxa"/>
          </w:tcPr>
          <w:p w14:paraId="7F8E2A92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407</w:t>
            </w:r>
          </w:p>
        </w:tc>
        <w:tc>
          <w:tcPr>
            <w:tcW w:w="2014" w:type="dxa"/>
          </w:tcPr>
          <w:p w14:paraId="0C042412" w14:textId="77777777" w:rsidR="009320FD" w:rsidRPr="006B5C47" w:rsidRDefault="009320FD" w:rsidP="000F5FD6">
            <w:pPr>
              <w:pStyle w:val="Tabletext"/>
            </w:pPr>
            <w:r w:rsidRPr="006B5C47">
              <w:t>7209.28.00</w:t>
            </w:r>
          </w:p>
        </w:tc>
        <w:tc>
          <w:tcPr>
            <w:tcW w:w="4037" w:type="dxa"/>
          </w:tcPr>
          <w:p w14:paraId="15E871E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11674B1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42B8A1D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4024E7C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62DCAC1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46C3A0D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59FD21F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5F0C780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7C65EEC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6D86054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6596631D" w14:textId="77777777" w:rsidTr="00891491">
        <w:tc>
          <w:tcPr>
            <w:tcW w:w="1100" w:type="dxa"/>
          </w:tcPr>
          <w:p w14:paraId="24D6F37B" w14:textId="77777777" w:rsidR="009320FD" w:rsidRPr="006B5C47" w:rsidRDefault="009320FD" w:rsidP="000F5FD6">
            <w:pPr>
              <w:pStyle w:val="Tabletext"/>
            </w:pPr>
            <w:r w:rsidRPr="006B5C47">
              <w:t>408</w:t>
            </w:r>
          </w:p>
        </w:tc>
        <w:tc>
          <w:tcPr>
            <w:tcW w:w="2014" w:type="dxa"/>
          </w:tcPr>
          <w:p w14:paraId="65478BD9" w14:textId="77777777" w:rsidR="009320FD" w:rsidRPr="006B5C47" w:rsidRDefault="009320FD" w:rsidP="000F5FD6">
            <w:pPr>
              <w:pStyle w:val="Tabletext"/>
            </w:pPr>
            <w:r w:rsidRPr="006B5C47">
              <w:t>7209.90.00</w:t>
            </w:r>
          </w:p>
        </w:tc>
        <w:tc>
          <w:tcPr>
            <w:tcW w:w="4037" w:type="dxa"/>
          </w:tcPr>
          <w:p w14:paraId="04CCFFB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4779E67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2A8A5F4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19762C05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9: 3%</w:t>
            </w:r>
          </w:p>
          <w:p w14:paraId="65836DA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7E1224C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1919342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76F31BA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6779B5A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433BBB8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</w:tbl>
    <w:p w14:paraId="55654266" w14:textId="77777777" w:rsidR="009320FD" w:rsidRPr="006B5C47" w:rsidRDefault="009320FD" w:rsidP="000F5FD6">
      <w:pPr>
        <w:pStyle w:val="ItemHead"/>
      </w:pPr>
      <w:proofErr w:type="gramStart"/>
      <w:r w:rsidRPr="006B5C47">
        <w:lastRenderedPageBreak/>
        <w:t>8  Schedule</w:t>
      </w:r>
      <w:proofErr w:type="gramEnd"/>
      <w:r w:rsidRPr="006B5C47">
        <w:t> 8B (table items 410 to 419)</w:t>
      </w:r>
    </w:p>
    <w:p w14:paraId="28B12E5B" w14:textId="77777777" w:rsidR="009320FD" w:rsidRPr="006B5C47" w:rsidRDefault="009320FD" w:rsidP="000F5FD6">
      <w:pPr>
        <w:pStyle w:val="Item"/>
      </w:pPr>
      <w:r w:rsidRPr="006B5C47">
        <w:t>Repeal the items, substitute:</w:t>
      </w:r>
    </w:p>
    <w:tbl>
      <w:tblPr>
        <w:tblW w:w="0" w:type="auto"/>
        <w:tblInd w:w="113" w:type="dxa"/>
        <w:tblBorders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014"/>
        <w:gridCol w:w="4037"/>
      </w:tblGrid>
      <w:tr w:rsidR="009320FD" w:rsidRPr="006B5C47" w14:paraId="13759401" w14:textId="77777777" w:rsidTr="002A09F6">
        <w:tc>
          <w:tcPr>
            <w:tcW w:w="1100" w:type="dxa"/>
          </w:tcPr>
          <w:p w14:paraId="304C10BB" w14:textId="77777777" w:rsidR="009320FD" w:rsidRPr="006B5C47" w:rsidRDefault="009320FD" w:rsidP="000F5FD6">
            <w:pPr>
              <w:pStyle w:val="Tabletext"/>
            </w:pPr>
            <w:r w:rsidRPr="006B5C47">
              <w:t>410</w:t>
            </w:r>
          </w:p>
        </w:tc>
        <w:tc>
          <w:tcPr>
            <w:tcW w:w="2014" w:type="dxa"/>
          </w:tcPr>
          <w:p w14:paraId="712AAE32" w14:textId="77777777" w:rsidR="009320FD" w:rsidRPr="006B5C47" w:rsidRDefault="009320FD" w:rsidP="000F5FD6">
            <w:pPr>
              <w:pStyle w:val="Tabletext"/>
            </w:pPr>
            <w:r w:rsidRPr="006B5C47">
              <w:t>7210.41.00</w:t>
            </w:r>
          </w:p>
        </w:tc>
        <w:tc>
          <w:tcPr>
            <w:tcW w:w="4037" w:type="dxa"/>
          </w:tcPr>
          <w:p w14:paraId="0D69B35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2B110DB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4847A61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7FBB387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4C72EA7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6F9A26D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07D185E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0C0B1A4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20FBFF7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7E83703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48147091" w14:textId="77777777" w:rsidTr="002A09F6">
        <w:tc>
          <w:tcPr>
            <w:tcW w:w="1100" w:type="dxa"/>
          </w:tcPr>
          <w:p w14:paraId="20BB948D" w14:textId="77777777" w:rsidR="009320FD" w:rsidRPr="006B5C47" w:rsidRDefault="009320FD" w:rsidP="000F5FD6">
            <w:pPr>
              <w:pStyle w:val="Tabletext"/>
            </w:pPr>
            <w:r w:rsidRPr="006B5C47">
              <w:t>411</w:t>
            </w:r>
          </w:p>
        </w:tc>
        <w:tc>
          <w:tcPr>
            <w:tcW w:w="2014" w:type="dxa"/>
          </w:tcPr>
          <w:p w14:paraId="573EA2D0" w14:textId="77777777" w:rsidR="009320FD" w:rsidRPr="006B5C47" w:rsidRDefault="009320FD" w:rsidP="000F5FD6">
            <w:pPr>
              <w:pStyle w:val="Tabletext"/>
            </w:pPr>
            <w:r w:rsidRPr="006B5C47">
              <w:t>7210.49.00</w:t>
            </w:r>
          </w:p>
        </w:tc>
        <w:tc>
          <w:tcPr>
            <w:tcW w:w="4037" w:type="dxa"/>
          </w:tcPr>
          <w:p w14:paraId="18F8EB3E" w14:textId="77777777" w:rsidR="009320FD" w:rsidRPr="006B5C47" w:rsidRDefault="009320FD" w:rsidP="000F5FD6">
            <w:pPr>
              <w:pStyle w:val="Tabletext"/>
            </w:pPr>
            <w:r w:rsidRPr="006B5C47">
              <w:t xml:space="preserve">United Kingdom: From 1 January of year 6: </w:t>
            </w:r>
            <w:r w:rsidRPr="006B5C47">
              <w:lastRenderedPageBreak/>
              <w:t>4.5%</w:t>
            </w:r>
          </w:p>
          <w:p w14:paraId="20656FA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6E795A7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409090A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050A0F3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6DF7765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4982F57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4010A43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59778ED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5AB0B4C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7ED1213B" w14:textId="77777777" w:rsidTr="002A09F6">
        <w:tc>
          <w:tcPr>
            <w:tcW w:w="1100" w:type="dxa"/>
          </w:tcPr>
          <w:p w14:paraId="532F3395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412</w:t>
            </w:r>
          </w:p>
        </w:tc>
        <w:tc>
          <w:tcPr>
            <w:tcW w:w="2014" w:type="dxa"/>
          </w:tcPr>
          <w:p w14:paraId="54DAAADA" w14:textId="77777777" w:rsidR="009320FD" w:rsidRPr="006B5C47" w:rsidRDefault="009320FD" w:rsidP="000F5FD6">
            <w:pPr>
              <w:pStyle w:val="Tabletext"/>
            </w:pPr>
            <w:r w:rsidRPr="006B5C47">
              <w:t>7210.50.00</w:t>
            </w:r>
          </w:p>
        </w:tc>
        <w:tc>
          <w:tcPr>
            <w:tcW w:w="4037" w:type="dxa"/>
          </w:tcPr>
          <w:p w14:paraId="63D9513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230DE45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66FE391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41E0425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535E563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651EDF9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6C755D2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6D82A5A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481B1D9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534AFCCD" w14:textId="77777777" w:rsidR="009320FD" w:rsidRPr="006B5C47" w:rsidRDefault="009320FD" w:rsidP="000F5FD6">
            <w:pPr>
              <w:pStyle w:val="Tabletext"/>
            </w:pPr>
            <w:r w:rsidRPr="006B5C47">
              <w:t xml:space="preserve">United Kingdom: From 1 January of year 15: </w:t>
            </w:r>
            <w:r w:rsidRPr="006B5C47">
              <w:lastRenderedPageBreak/>
              <w:t>Free</w:t>
            </w:r>
          </w:p>
        </w:tc>
      </w:tr>
      <w:tr w:rsidR="009320FD" w:rsidRPr="006B5C47" w14:paraId="477682FD" w14:textId="77777777" w:rsidTr="002A09F6">
        <w:tc>
          <w:tcPr>
            <w:tcW w:w="1100" w:type="dxa"/>
          </w:tcPr>
          <w:p w14:paraId="37F4CFB1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413</w:t>
            </w:r>
          </w:p>
        </w:tc>
        <w:tc>
          <w:tcPr>
            <w:tcW w:w="2014" w:type="dxa"/>
          </w:tcPr>
          <w:p w14:paraId="45D08B7F" w14:textId="77777777" w:rsidR="009320FD" w:rsidRPr="006B5C47" w:rsidRDefault="009320FD" w:rsidP="000F5FD6">
            <w:pPr>
              <w:pStyle w:val="Tabletext"/>
            </w:pPr>
            <w:r w:rsidRPr="006B5C47">
              <w:t>7210.61.00</w:t>
            </w:r>
          </w:p>
        </w:tc>
        <w:tc>
          <w:tcPr>
            <w:tcW w:w="4037" w:type="dxa"/>
          </w:tcPr>
          <w:p w14:paraId="6C846AF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2F07774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4C7846B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3D3CFB5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67825EC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0F7A673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65D64C9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6944619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7F60D4E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40D506E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1C113FA5" w14:textId="77777777" w:rsidTr="00245CB9">
        <w:tc>
          <w:tcPr>
            <w:tcW w:w="1100" w:type="dxa"/>
          </w:tcPr>
          <w:p w14:paraId="288C1128" w14:textId="77777777" w:rsidR="009320FD" w:rsidRPr="006B5C47" w:rsidRDefault="009320FD" w:rsidP="000F5FD6">
            <w:pPr>
              <w:pStyle w:val="Tabletext"/>
            </w:pPr>
            <w:r w:rsidRPr="006B5C47">
              <w:t>414</w:t>
            </w:r>
          </w:p>
        </w:tc>
        <w:tc>
          <w:tcPr>
            <w:tcW w:w="2014" w:type="dxa"/>
          </w:tcPr>
          <w:p w14:paraId="207AFEEE" w14:textId="77777777" w:rsidR="009320FD" w:rsidRPr="006B5C47" w:rsidRDefault="009320FD" w:rsidP="000F5FD6">
            <w:pPr>
              <w:pStyle w:val="Tabletext"/>
            </w:pPr>
            <w:r w:rsidRPr="006B5C47">
              <w:t>7210.69.00</w:t>
            </w:r>
          </w:p>
        </w:tc>
        <w:tc>
          <w:tcPr>
            <w:tcW w:w="4037" w:type="dxa"/>
          </w:tcPr>
          <w:p w14:paraId="2992AA4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7A9C54D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5A709D0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2D4490A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3A6EF7B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4E23050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3084783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6504C94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03AB30FE" w14:textId="77777777" w:rsidR="009320FD" w:rsidRPr="006B5C47" w:rsidRDefault="009320FD" w:rsidP="000F5FD6">
            <w:pPr>
              <w:pStyle w:val="Tabletext"/>
            </w:pPr>
            <w:r w:rsidRPr="006B5C47">
              <w:t xml:space="preserve">United Kingdom: From 1 January of year 14: </w:t>
            </w:r>
            <w:r w:rsidRPr="006B5C47">
              <w:lastRenderedPageBreak/>
              <w:t>0.5%</w:t>
            </w:r>
          </w:p>
          <w:p w14:paraId="5983459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15BA2AE5" w14:textId="77777777" w:rsidTr="00245CB9">
        <w:tc>
          <w:tcPr>
            <w:tcW w:w="1100" w:type="dxa"/>
          </w:tcPr>
          <w:p w14:paraId="5CC3609A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415</w:t>
            </w:r>
          </w:p>
        </w:tc>
        <w:tc>
          <w:tcPr>
            <w:tcW w:w="2014" w:type="dxa"/>
          </w:tcPr>
          <w:p w14:paraId="4E5DCE9C" w14:textId="77777777" w:rsidR="009320FD" w:rsidRPr="006B5C47" w:rsidRDefault="009320FD" w:rsidP="000F5FD6">
            <w:pPr>
              <w:pStyle w:val="Tabletext"/>
            </w:pPr>
            <w:r w:rsidRPr="006B5C47">
              <w:t>7210.70.00</w:t>
            </w:r>
          </w:p>
        </w:tc>
        <w:tc>
          <w:tcPr>
            <w:tcW w:w="4037" w:type="dxa"/>
          </w:tcPr>
          <w:p w14:paraId="7FCC084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5166117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53B9BAC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173E6FD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5155F40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6980B29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094F840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4A89A79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1DEFF10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18FF505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2AE577A4" w14:textId="77777777" w:rsidTr="00245CB9">
        <w:tc>
          <w:tcPr>
            <w:tcW w:w="1100" w:type="dxa"/>
          </w:tcPr>
          <w:p w14:paraId="220C4E63" w14:textId="77777777" w:rsidR="009320FD" w:rsidRPr="006B5C47" w:rsidRDefault="009320FD" w:rsidP="000F5FD6">
            <w:pPr>
              <w:pStyle w:val="Tabletext"/>
            </w:pPr>
            <w:r w:rsidRPr="006B5C47">
              <w:t>416</w:t>
            </w:r>
          </w:p>
        </w:tc>
        <w:tc>
          <w:tcPr>
            <w:tcW w:w="2014" w:type="dxa"/>
          </w:tcPr>
          <w:p w14:paraId="4D27F279" w14:textId="77777777" w:rsidR="009320FD" w:rsidRPr="006B5C47" w:rsidRDefault="009320FD" w:rsidP="000F5FD6">
            <w:pPr>
              <w:pStyle w:val="Tabletext"/>
            </w:pPr>
            <w:r w:rsidRPr="006B5C47">
              <w:t>7210.90.00</w:t>
            </w:r>
          </w:p>
        </w:tc>
        <w:tc>
          <w:tcPr>
            <w:tcW w:w="4037" w:type="dxa"/>
          </w:tcPr>
          <w:p w14:paraId="108DE2E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2E4579D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3A5F744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7AFDE0A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78A12ED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5A8F518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4736F33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221D8303" w14:textId="77777777" w:rsidR="009320FD" w:rsidRPr="006B5C47" w:rsidRDefault="009320FD" w:rsidP="000F5FD6">
            <w:pPr>
              <w:pStyle w:val="Tabletext"/>
            </w:pPr>
            <w:r w:rsidRPr="006B5C47">
              <w:t xml:space="preserve">United Kingdom: From 1 January of year 13: </w:t>
            </w:r>
            <w:r w:rsidRPr="006B5C47">
              <w:lastRenderedPageBreak/>
              <w:t>1%</w:t>
            </w:r>
          </w:p>
          <w:p w14:paraId="6137D17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356CD2F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6AC127D0" w14:textId="77777777" w:rsidTr="002A09F6">
        <w:tc>
          <w:tcPr>
            <w:tcW w:w="1100" w:type="dxa"/>
          </w:tcPr>
          <w:p w14:paraId="402B8D5E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416A</w:t>
            </w:r>
          </w:p>
        </w:tc>
        <w:tc>
          <w:tcPr>
            <w:tcW w:w="2014" w:type="dxa"/>
          </w:tcPr>
          <w:p w14:paraId="61DB313A" w14:textId="77777777" w:rsidR="009320FD" w:rsidRPr="006B5C47" w:rsidRDefault="009320FD" w:rsidP="000F5FD6">
            <w:pPr>
              <w:pStyle w:val="Tabletext"/>
            </w:pPr>
            <w:r w:rsidRPr="006B5C47">
              <w:t>7211.14.00</w:t>
            </w:r>
          </w:p>
        </w:tc>
        <w:tc>
          <w:tcPr>
            <w:tcW w:w="4037" w:type="dxa"/>
          </w:tcPr>
          <w:p w14:paraId="30FC755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602F047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06CC26D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60FB1AD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1C4172F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15E329F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46CCEAB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3E54C14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54886C8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10B7804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7DDD5647" w14:textId="77777777" w:rsidTr="002A09F6">
        <w:tc>
          <w:tcPr>
            <w:tcW w:w="1100" w:type="dxa"/>
          </w:tcPr>
          <w:p w14:paraId="0F2158B7" w14:textId="77777777" w:rsidR="009320FD" w:rsidRPr="006B5C47" w:rsidRDefault="009320FD" w:rsidP="000F5FD6">
            <w:pPr>
              <w:pStyle w:val="Tabletext"/>
            </w:pPr>
            <w:r w:rsidRPr="006B5C47">
              <w:t>416B</w:t>
            </w:r>
          </w:p>
        </w:tc>
        <w:tc>
          <w:tcPr>
            <w:tcW w:w="2014" w:type="dxa"/>
          </w:tcPr>
          <w:p w14:paraId="0D552B84" w14:textId="77777777" w:rsidR="009320FD" w:rsidRPr="006B5C47" w:rsidRDefault="009320FD" w:rsidP="000F5FD6">
            <w:pPr>
              <w:pStyle w:val="Tabletext"/>
            </w:pPr>
            <w:r w:rsidRPr="006B5C47">
              <w:t>7211.19.00</w:t>
            </w:r>
          </w:p>
        </w:tc>
        <w:tc>
          <w:tcPr>
            <w:tcW w:w="4037" w:type="dxa"/>
          </w:tcPr>
          <w:p w14:paraId="177321E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36E932B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2B4AE04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728C040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0083456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470A578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72CDEC4D" w14:textId="77777777" w:rsidR="009320FD" w:rsidRPr="006B5C47" w:rsidRDefault="009320FD" w:rsidP="000F5FD6">
            <w:pPr>
              <w:pStyle w:val="Tabletext"/>
            </w:pPr>
            <w:r w:rsidRPr="006B5C47">
              <w:t xml:space="preserve">United Kingdom: From 1 January of year 12: </w:t>
            </w:r>
            <w:r w:rsidRPr="006B5C47">
              <w:lastRenderedPageBreak/>
              <w:t>1.5%</w:t>
            </w:r>
          </w:p>
          <w:p w14:paraId="60EF4C1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574713F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5CD54C4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5490B0BF" w14:textId="77777777" w:rsidTr="002A09F6">
        <w:tc>
          <w:tcPr>
            <w:tcW w:w="1100" w:type="dxa"/>
          </w:tcPr>
          <w:p w14:paraId="2F43CAFE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417</w:t>
            </w:r>
          </w:p>
        </w:tc>
        <w:tc>
          <w:tcPr>
            <w:tcW w:w="2014" w:type="dxa"/>
          </w:tcPr>
          <w:p w14:paraId="56CF4D03" w14:textId="77777777" w:rsidR="009320FD" w:rsidRPr="006B5C47" w:rsidRDefault="009320FD" w:rsidP="000F5FD6">
            <w:pPr>
              <w:pStyle w:val="Tabletext"/>
            </w:pPr>
            <w:r w:rsidRPr="006B5C47">
              <w:t>7211.23.00</w:t>
            </w:r>
          </w:p>
        </w:tc>
        <w:tc>
          <w:tcPr>
            <w:tcW w:w="4037" w:type="dxa"/>
          </w:tcPr>
          <w:p w14:paraId="69CA44A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0FB8AF5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3B2B229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00DB35C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74ABDAB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7FF308E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29AA857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0DCF6C4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6979497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6D042F1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75134F5A" w14:textId="77777777" w:rsidTr="002A09F6">
        <w:tc>
          <w:tcPr>
            <w:tcW w:w="1100" w:type="dxa"/>
          </w:tcPr>
          <w:p w14:paraId="4DD96C39" w14:textId="77777777" w:rsidR="009320FD" w:rsidRPr="006B5C47" w:rsidRDefault="009320FD" w:rsidP="000F5FD6">
            <w:pPr>
              <w:pStyle w:val="Tabletext"/>
            </w:pPr>
            <w:r w:rsidRPr="006B5C47">
              <w:t>418</w:t>
            </w:r>
          </w:p>
        </w:tc>
        <w:tc>
          <w:tcPr>
            <w:tcW w:w="2014" w:type="dxa"/>
          </w:tcPr>
          <w:p w14:paraId="2919A292" w14:textId="77777777" w:rsidR="009320FD" w:rsidRPr="006B5C47" w:rsidRDefault="009320FD" w:rsidP="000F5FD6">
            <w:pPr>
              <w:pStyle w:val="Tabletext"/>
            </w:pPr>
            <w:r w:rsidRPr="006B5C47">
              <w:t>7211.29.00</w:t>
            </w:r>
          </w:p>
        </w:tc>
        <w:tc>
          <w:tcPr>
            <w:tcW w:w="4037" w:type="dxa"/>
          </w:tcPr>
          <w:p w14:paraId="577E890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2C5C21D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658B33C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284F6BF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09ED751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75B1BA16" w14:textId="77777777" w:rsidR="009320FD" w:rsidRPr="006B5C47" w:rsidRDefault="009320FD" w:rsidP="000F5FD6">
            <w:pPr>
              <w:pStyle w:val="Tabletext"/>
            </w:pPr>
            <w:r w:rsidRPr="006B5C47">
              <w:t xml:space="preserve">United Kingdom: From 1 January of year 11: </w:t>
            </w:r>
            <w:r w:rsidRPr="006B5C47">
              <w:lastRenderedPageBreak/>
              <w:t>2%</w:t>
            </w:r>
          </w:p>
          <w:p w14:paraId="3E3CC9D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3D17191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3A2A49B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035BD55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1C9F0B0E" w14:textId="77777777" w:rsidTr="002A09F6">
        <w:tc>
          <w:tcPr>
            <w:tcW w:w="1100" w:type="dxa"/>
          </w:tcPr>
          <w:p w14:paraId="00D8221D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419</w:t>
            </w:r>
          </w:p>
        </w:tc>
        <w:tc>
          <w:tcPr>
            <w:tcW w:w="2014" w:type="dxa"/>
          </w:tcPr>
          <w:p w14:paraId="7EA17418" w14:textId="77777777" w:rsidR="009320FD" w:rsidRPr="006B5C47" w:rsidRDefault="009320FD" w:rsidP="000F5FD6">
            <w:pPr>
              <w:pStyle w:val="Tabletext"/>
            </w:pPr>
            <w:r w:rsidRPr="006B5C47">
              <w:t>7211.90.00</w:t>
            </w:r>
          </w:p>
        </w:tc>
        <w:tc>
          <w:tcPr>
            <w:tcW w:w="4037" w:type="dxa"/>
          </w:tcPr>
          <w:p w14:paraId="12EFBA7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11D0AB3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0D4523D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307DA8A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5FBCFB6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70061A6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352FB5C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025DCE3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63BDDB6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059768E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</w:tbl>
    <w:p w14:paraId="1C77DBF9" w14:textId="77777777" w:rsidR="009320FD" w:rsidRPr="006B5C47" w:rsidRDefault="009320FD" w:rsidP="000F5FD6">
      <w:pPr>
        <w:pStyle w:val="ItemHead"/>
      </w:pPr>
      <w:proofErr w:type="gramStart"/>
      <w:r w:rsidRPr="006B5C47">
        <w:t>9  Schedule</w:t>
      </w:r>
      <w:proofErr w:type="gramEnd"/>
      <w:r w:rsidRPr="006B5C47">
        <w:t> 8B (table items 421 to 423)</w:t>
      </w:r>
    </w:p>
    <w:p w14:paraId="3D3EA8AA" w14:textId="77777777" w:rsidR="009320FD" w:rsidRPr="006B5C47" w:rsidRDefault="009320FD" w:rsidP="000F5FD6">
      <w:pPr>
        <w:pStyle w:val="Item"/>
      </w:pPr>
      <w:r w:rsidRPr="006B5C47">
        <w:t>Repeal the items, substitute:</w:t>
      </w:r>
    </w:p>
    <w:tbl>
      <w:tblPr>
        <w:tblW w:w="0" w:type="auto"/>
        <w:tblInd w:w="113" w:type="dxa"/>
        <w:tblBorders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014"/>
        <w:gridCol w:w="4037"/>
      </w:tblGrid>
      <w:tr w:rsidR="009320FD" w:rsidRPr="006B5C47" w14:paraId="5D9C1DB0" w14:textId="77777777" w:rsidTr="00306535">
        <w:tc>
          <w:tcPr>
            <w:tcW w:w="1100" w:type="dxa"/>
          </w:tcPr>
          <w:p w14:paraId="27D946FE" w14:textId="77777777" w:rsidR="009320FD" w:rsidRPr="006B5C47" w:rsidRDefault="009320FD" w:rsidP="000F5FD6">
            <w:pPr>
              <w:pStyle w:val="Tabletext"/>
            </w:pPr>
            <w:r w:rsidRPr="006B5C47">
              <w:t>421</w:t>
            </w:r>
          </w:p>
        </w:tc>
        <w:tc>
          <w:tcPr>
            <w:tcW w:w="2014" w:type="dxa"/>
          </w:tcPr>
          <w:p w14:paraId="558551D1" w14:textId="77777777" w:rsidR="009320FD" w:rsidRPr="006B5C47" w:rsidRDefault="009320FD" w:rsidP="000F5FD6">
            <w:pPr>
              <w:pStyle w:val="Tabletext"/>
            </w:pPr>
            <w:r w:rsidRPr="006B5C47">
              <w:t>7212.30.00</w:t>
            </w:r>
          </w:p>
        </w:tc>
        <w:tc>
          <w:tcPr>
            <w:tcW w:w="4037" w:type="dxa"/>
          </w:tcPr>
          <w:p w14:paraId="76A0AD1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0D1C65D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157B4B3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36011E40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9: 3%</w:t>
            </w:r>
          </w:p>
          <w:p w14:paraId="63F2499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60FE764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1D0D749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283F828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27803B0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7D666E2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7955F533" w14:textId="77777777" w:rsidTr="00306535">
        <w:tc>
          <w:tcPr>
            <w:tcW w:w="1100" w:type="dxa"/>
          </w:tcPr>
          <w:p w14:paraId="492BD535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422</w:t>
            </w:r>
          </w:p>
        </w:tc>
        <w:tc>
          <w:tcPr>
            <w:tcW w:w="2014" w:type="dxa"/>
          </w:tcPr>
          <w:p w14:paraId="319F3E27" w14:textId="77777777" w:rsidR="009320FD" w:rsidRPr="006B5C47" w:rsidRDefault="009320FD" w:rsidP="000F5FD6">
            <w:pPr>
              <w:pStyle w:val="Tabletext"/>
            </w:pPr>
            <w:r w:rsidRPr="006B5C47">
              <w:t>7212.40.00</w:t>
            </w:r>
          </w:p>
        </w:tc>
        <w:tc>
          <w:tcPr>
            <w:tcW w:w="4037" w:type="dxa"/>
          </w:tcPr>
          <w:p w14:paraId="4520273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7D8D935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3B5B58F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3A6FB64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6AB1438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2D7925B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1BA84E0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22C6EC2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445EDDE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0672B35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7CD1AB77" w14:textId="77777777" w:rsidTr="00306535">
        <w:tc>
          <w:tcPr>
            <w:tcW w:w="1100" w:type="dxa"/>
          </w:tcPr>
          <w:p w14:paraId="71ACB05E" w14:textId="77777777" w:rsidR="009320FD" w:rsidRPr="006B5C47" w:rsidRDefault="009320FD" w:rsidP="000F5FD6">
            <w:pPr>
              <w:pStyle w:val="Tabletext"/>
            </w:pPr>
            <w:r w:rsidRPr="006B5C47">
              <w:t>423</w:t>
            </w:r>
          </w:p>
        </w:tc>
        <w:tc>
          <w:tcPr>
            <w:tcW w:w="2014" w:type="dxa"/>
          </w:tcPr>
          <w:p w14:paraId="08F6F652" w14:textId="77777777" w:rsidR="009320FD" w:rsidRPr="006B5C47" w:rsidRDefault="009320FD" w:rsidP="000F5FD6">
            <w:pPr>
              <w:pStyle w:val="Tabletext"/>
            </w:pPr>
            <w:r w:rsidRPr="006B5C47">
              <w:t>7212.50.00</w:t>
            </w:r>
          </w:p>
        </w:tc>
        <w:tc>
          <w:tcPr>
            <w:tcW w:w="4037" w:type="dxa"/>
          </w:tcPr>
          <w:p w14:paraId="0554581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0FC556C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20A009DC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8: 3.5%</w:t>
            </w:r>
          </w:p>
          <w:p w14:paraId="36A6FB6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3F07D7B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2AEB68E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2423AB6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0773473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6C7FD6A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7F5BB8E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</w:tbl>
    <w:p w14:paraId="12ABF8EE" w14:textId="77777777" w:rsidR="009320FD" w:rsidRPr="006B5C47" w:rsidRDefault="009320FD" w:rsidP="000F5FD6">
      <w:pPr>
        <w:pStyle w:val="ItemHead"/>
      </w:pPr>
      <w:proofErr w:type="gramStart"/>
      <w:r w:rsidRPr="006B5C47">
        <w:lastRenderedPageBreak/>
        <w:t>10  Schedule</w:t>
      </w:r>
      <w:proofErr w:type="gramEnd"/>
      <w:r w:rsidRPr="006B5C47">
        <w:t> 8B (after table item 424)</w:t>
      </w:r>
    </w:p>
    <w:p w14:paraId="6A79904F" w14:textId="77777777" w:rsidR="009320FD" w:rsidRPr="006B5C47" w:rsidRDefault="009320FD" w:rsidP="000F5FD6">
      <w:pPr>
        <w:pStyle w:val="Item"/>
      </w:pPr>
      <w:r w:rsidRPr="006B5C47">
        <w:t>Insert:</w:t>
      </w:r>
    </w:p>
    <w:tbl>
      <w:tblPr>
        <w:tblW w:w="0" w:type="auto"/>
        <w:tblInd w:w="113" w:type="dxa"/>
        <w:tblBorders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014"/>
        <w:gridCol w:w="4037"/>
      </w:tblGrid>
      <w:tr w:rsidR="009320FD" w:rsidRPr="006B5C47" w14:paraId="63C87958" w14:textId="77777777" w:rsidTr="00AD6EAA">
        <w:tc>
          <w:tcPr>
            <w:tcW w:w="1100" w:type="dxa"/>
          </w:tcPr>
          <w:p w14:paraId="54A21C56" w14:textId="77777777" w:rsidR="009320FD" w:rsidRPr="006B5C47" w:rsidRDefault="009320FD" w:rsidP="000F5FD6">
            <w:pPr>
              <w:pStyle w:val="Tabletext"/>
            </w:pPr>
            <w:r w:rsidRPr="006B5C47">
              <w:t>424A</w:t>
            </w:r>
          </w:p>
        </w:tc>
        <w:tc>
          <w:tcPr>
            <w:tcW w:w="2014" w:type="dxa"/>
          </w:tcPr>
          <w:p w14:paraId="6A25EFD3" w14:textId="77777777" w:rsidR="009320FD" w:rsidRPr="006B5C47" w:rsidRDefault="009320FD" w:rsidP="000F5FD6">
            <w:pPr>
              <w:pStyle w:val="Tabletext"/>
            </w:pPr>
            <w:r w:rsidRPr="006B5C47">
              <w:t>7213.10.00</w:t>
            </w:r>
          </w:p>
        </w:tc>
        <w:tc>
          <w:tcPr>
            <w:tcW w:w="4037" w:type="dxa"/>
          </w:tcPr>
          <w:p w14:paraId="4C6E50A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3F19498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4826634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03BAC30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2ED9AF0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701C693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0CFC923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5081DC9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20F83E7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6E80F1C8" w14:textId="77777777" w:rsidR="009320FD" w:rsidRPr="006B5C47" w:rsidRDefault="009320FD" w:rsidP="000F5FD6">
            <w:pPr>
              <w:pStyle w:val="Tabletext"/>
            </w:pPr>
            <w:r w:rsidRPr="006B5C47">
              <w:t xml:space="preserve">United Kingdom: From 1 January of year 15: </w:t>
            </w:r>
            <w:r w:rsidRPr="006B5C47">
              <w:lastRenderedPageBreak/>
              <w:t>Free</w:t>
            </w:r>
          </w:p>
        </w:tc>
      </w:tr>
      <w:tr w:rsidR="009320FD" w:rsidRPr="006B5C47" w14:paraId="087325E4" w14:textId="77777777" w:rsidTr="00AD6EAA">
        <w:tc>
          <w:tcPr>
            <w:tcW w:w="1100" w:type="dxa"/>
          </w:tcPr>
          <w:p w14:paraId="1CE41032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424B</w:t>
            </w:r>
          </w:p>
        </w:tc>
        <w:tc>
          <w:tcPr>
            <w:tcW w:w="2014" w:type="dxa"/>
          </w:tcPr>
          <w:p w14:paraId="744DFEDD" w14:textId="77777777" w:rsidR="009320FD" w:rsidRPr="006B5C47" w:rsidRDefault="009320FD" w:rsidP="000F5FD6">
            <w:pPr>
              <w:pStyle w:val="Tabletext"/>
            </w:pPr>
            <w:r w:rsidRPr="006B5C47">
              <w:t>7213.91.00</w:t>
            </w:r>
          </w:p>
        </w:tc>
        <w:tc>
          <w:tcPr>
            <w:tcW w:w="4037" w:type="dxa"/>
          </w:tcPr>
          <w:p w14:paraId="6F37670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3B789CC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1D22AC4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5636CAB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0F0AF86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32E7D31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029B07F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108DF91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319A613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0A916F9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7DFEB59D" w14:textId="77777777" w:rsidTr="00AD6EAA">
        <w:tc>
          <w:tcPr>
            <w:tcW w:w="1100" w:type="dxa"/>
          </w:tcPr>
          <w:p w14:paraId="44813F1F" w14:textId="77777777" w:rsidR="009320FD" w:rsidRPr="006B5C47" w:rsidRDefault="009320FD" w:rsidP="000F5FD6">
            <w:pPr>
              <w:pStyle w:val="Tabletext"/>
            </w:pPr>
            <w:r w:rsidRPr="006B5C47">
              <w:t>424C</w:t>
            </w:r>
          </w:p>
        </w:tc>
        <w:tc>
          <w:tcPr>
            <w:tcW w:w="2014" w:type="dxa"/>
          </w:tcPr>
          <w:p w14:paraId="2D5F50F2" w14:textId="77777777" w:rsidR="009320FD" w:rsidRPr="006B5C47" w:rsidRDefault="009320FD" w:rsidP="000F5FD6">
            <w:pPr>
              <w:pStyle w:val="Tabletext"/>
            </w:pPr>
            <w:r w:rsidRPr="006B5C47">
              <w:t>7213.99.00</w:t>
            </w:r>
          </w:p>
        </w:tc>
        <w:tc>
          <w:tcPr>
            <w:tcW w:w="4037" w:type="dxa"/>
          </w:tcPr>
          <w:p w14:paraId="3CB10EB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6F8F0C5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5DD8B7A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5E0B347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6EE9E55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1E11434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174FE06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6E618E4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2F9D6F4D" w14:textId="77777777" w:rsidR="009320FD" w:rsidRPr="006B5C47" w:rsidRDefault="009320FD" w:rsidP="000F5FD6">
            <w:pPr>
              <w:pStyle w:val="Tabletext"/>
            </w:pPr>
            <w:r w:rsidRPr="006B5C47">
              <w:t xml:space="preserve">United Kingdom: From 1 January of year 14: </w:t>
            </w:r>
            <w:r w:rsidRPr="006B5C47">
              <w:lastRenderedPageBreak/>
              <w:t>0.5%</w:t>
            </w:r>
          </w:p>
          <w:p w14:paraId="45C3A78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7ACA0BCC" w14:textId="77777777" w:rsidTr="00AD6EAA">
        <w:tc>
          <w:tcPr>
            <w:tcW w:w="1100" w:type="dxa"/>
          </w:tcPr>
          <w:p w14:paraId="2F8A447E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424D</w:t>
            </w:r>
          </w:p>
        </w:tc>
        <w:tc>
          <w:tcPr>
            <w:tcW w:w="2014" w:type="dxa"/>
          </w:tcPr>
          <w:p w14:paraId="6672645F" w14:textId="77777777" w:rsidR="009320FD" w:rsidRPr="006B5C47" w:rsidRDefault="009320FD" w:rsidP="000F5FD6">
            <w:pPr>
              <w:pStyle w:val="Tabletext"/>
            </w:pPr>
            <w:r w:rsidRPr="006B5C47">
              <w:t>7214.20.00</w:t>
            </w:r>
          </w:p>
        </w:tc>
        <w:tc>
          <w:tcPr>
            <w:tcW w:w="4037" w:type="dxa"/>
          </w:tcPr>
          <w:p w14:paraId="4D817F1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7BF60C8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294C134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668B67A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0D15212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7EA4BB3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10AE163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0197773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2AC5C2D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7FD0729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621F17D0" w14:textId="77777777" w:rsidTr="00AD6EAA">
        <w:tc>
          <w:tcPr>
            <w:tcW w:w="1100" w:type="dxa"/>
          </w:tcPr>
          <w:p w14:paraId="34338506" w14:textId="77777777" w:rsidR="009320FD" w:rsidRPr="006B5C47" w:rsidRDefault="009320FD" w:rsidP="000F5FD6">
            <w:pPr>
              <w:pStyle w:val="Tabletext"/>
            </w:pPr>
            <w:r w:rsidRPr="006B5C47">
              <w:t>424E</w:t>
            </w:r>
          </w:p>
        </w:tc>
        <w:tc>
          <w:tcPr>
            <w:tcW w:w="2014" w:type="dxa"/>
          </w:tcPr>
          <w:p w14:paraId="37831105" w14:textId="77777777" w:rsidR="009320FD" w:rsidRPr="006B5C47" w:rsidRDefault="009320FD" w:rsidP="000F5FD6">
            <w:pPr>
              <w:pStyle w:val="Tabletext"/>
            </w:pPr>
            <w:r w:rsidRPr="006B5C47">
              <w:t>7214.91.00</w:t>
            </w:r>
          </w:p>
        </w:tc>
        <w:tc>
          <w:tcPr>
            <w:tcW w:w="4037" w:type="dxa"/>
          </w:tcPr>
          <w:p w14:paraId="3A30BE7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7B089AC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142778B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494E36C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589862A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690CC1B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29711DD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7391B091" w14:textId="77777777" w:rsidR="009320FD" w:rsidRPr="006B5C47" w:rsidRDefault="009320FD" w:rsidP="000F5FD6">
            <w:pPr>
              <w:pStyle w:val="Tabletext"/>
            </w:pPr>
            <w:r w:rsidRPr="006B5C47">
              <w:t xml:space="preserve">United Kingdom: From 1 January of year 13: </w:t>
            </w:r>
            <w:r w:rsidRPr="006B5C47">
              <w:lastRenderedPageBreak/>
              <w:t>1%</w:t>
            </w:r>
          </w:p>
          <w:p w14:paraId="372F9C1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3885050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11E9FFC4" w14:textId="77777777" w:rsidTr="00AD6EAA">
        <w:tc>
          <w:tcPr>
            <w:tcW w:w="1100" w:type="dxa"/>
          </w:tcPr>
          <w:p w14:paraId="5DE175D4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424F</w:t>
            </w:r>
          </w:p>
        </w:tc>
        <w:tc>
          <w:tcPr>
            <w:tcW w:w="2014" w:type="dxa"/>
          </w:tcPr>
          <w:p w14:paraId="2D723C1B" w14:textId="77777777" w:rsidR="009320FD" w:rsidRPr="006B5C47" w:rsidRDefault="009320FD" w:rsidP="000F5FD6">
            <w:pPr>
              <w:pStyle w:val="Tabletext"/>
            </w:pPr>
            <w:r w:rsidRPr="006B5C47">
              <w:t>7214.99.00</w:t>
            </w:r>
          </w:p>
        </w:tc>
        <w:tc>
          <w:tcPr>
            <w:tcW w:w="4037" w:type="dxa"/>
          </w:tcPr>
          <w:p w14:paraId="1278957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370B2F9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432E0F5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590E979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1FDACE7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28300ED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56B7076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46A2FEF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761B09D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06554FF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32DA9739" w14:textId="77777777" w:rsidTr="00AD6EAA">
        <w:tc>
          <w:tcPr>
            <w:tcW w:w="1100" w:type="dxa"/>
          </w:tcPr>
          <w:p w14:paraId="5905C2CA" w14:textId="77777777" w:rsidR="009320FD" w:rsidRPr="006B5C47" w:rsidRDefault="009320FD" w:rsidP="000F5FD6">
            <w:pPr>
              <w:pStyle w:val="Tabletext"/>
            </w:pPr>
            <w:r w:rsidRPr="006B5C47">
              <w:t>424G</w:t>
            </w:r>
          </w:p>
        </w:tc>
        <w:tc>
          <w:tcPr>
            <w:tcW w:w="2014" w:type="dxa"/>
          </w:tcPr>
          <w:p w14:paraId="4D0EAF40" w14:textId="77777777" w:rsidR="009320FD" w:rsidRPr="006B5C47" w:rsidRDefault="009320FD" w:rsidP="000F5FD6">
            <w:pPr>
              <w:pStyle w:val="Tabletext"/>
            </w:pPr>
            <w:r w:rsidRPr="006B5C47">
              <w:t>7215.10.90</w:t>
            </w:r>
          </w:p>
        </w:tc>
        <w:tc>
          <w:tcPr>
            <w:tcW w:w="4037" w:type="dxa"/>
          </w:tcPr>
          <w:p w14:paraId="47660B5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30CE8B7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7EC9DD5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213CABB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2F94815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6F32DC1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0D32575E" w14:textId="77777777" w:rsidR="009320FD" w:rsidRPr="006B5C47" w:rsidRDefault="009320FD" w:rsidP="000F5FD6">
            <w:pPr>
              <w:pStyle w:val="Tabletext"/>
            </w:pPr>
            <w:r w:rsidRPr="006B5C47">
              <w:t xml:space="preserve">United Kingdom: From 1 January of year 12: </w:t>
            </w:r>
            <w:r w:rsidRPr="006B5C47">
              <w:lastRenderedPageBreak/>
              <w:t>1.5%</w:t>
            </w:r>
          </w:p>
          <w:p w14:paraId="5F4E721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5F7C888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478E22D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2F8739AB" w14:textId="77777777" w:rsidTr="00AD6EAA">
        <w:tc>
          <w:tcPr>
            <w:tcW w:w="1100" w:type="dxa"/>
          </w:tcPr>
          <w:p w14:paraId="06E843BF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424H</w:t>
            </w:r>
          </w:p>
        </w:tc>
        <w:tc>
          <w:tcPr>
            <w:tcW w:w="2014" w:type="dxa"/>
          </w:tcPr>
          <w:p w14:paraId="177BA84B" w14:textId="77777777" w:rsidR="009320FD" w:rsidRPr="006B5C47" w:rsidRDefault="009320FD" w:rsidP="000F5FD6">
            <w:pPr>
              <w:pStyle w:val="Tabletext"/>
            </w:pPr>
            <w:r w:rsidRPr="006B5C47">
              <w:t>7215.50.90</w:t>
            </w:r>
          </w:p>
        </w:tc>
        <w:tc>
          <w:tcPr>
            <w:tcW w:w="4037" w:type="dxa"/>
          </w:tcPr>
          <w:p w14:paraId="7DF3F7A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137164B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0030A0A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64903C5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0C69059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340779F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1DDF075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1028A1A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01CEDE8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783BF73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2F582DF1" w14:textId="77777777" w:rsidTr="00AD6EAA">
        <w:tc>
          <w:tcPr>
            <w:tcW w:w="1100" w:type="dxa"/>
          </w:tcPr>
          <w:p w14:paraId="71BC334E" w14:textId="77777777" w:rsidR="009320FD" w:rsidRPr="006B5C47" w:rsidRDefault="009320FD" w:rsidP="000F5FD6">
            <w:pPr>
              <w:pStyle w:val="Tabletext"/>
            </w:pPr>
            <w:r w:rsidRPr="006B5C47">
              <w:t>424J</w:t>
            </w:r>
          </w:p>
        </w:tc>
        <w:tc>
          <w:tcPr>
            <w:tcW w:w="2014" w:type="dxa"/>
          </w:tcPr>
          <w:p w14:paraId="5C091D89" w14:textId="77777777" w:rsidR="009320FD" w:rsidRPr="006B5C47" w:rsidRDefault="009320FD" w:rsidP="000F5FD6">
            <w:pPr>
              <w:pStyle w:val="Tabletext"/>
            </w:pPr>
            <w:r w:rsidRPr="006B5C47">
              <w:t>7215.90.00</w:t>
            </w:r>
          </w:p>
        </w:tc>
        <w:tc>
          <w:tcPr>
            <w:tcW w:w="4037" w:type="dxa"/>
          </w:tcPr>
          <w:p w14:paraId="64BF07A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0F96822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1C0C6AF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236F3F5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7DDD073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236B1F21" w14:textId="77777777" w:rsidR="009320FD" w:rsidRPr="006B5C47" w:rsidRDefault="009320FD" w:rsidP="000F5FD6">
            <w:pPr>
              <w:pStyle w:val="Tabletext"/>
            </w:pPr>
            <w:r w:rsidRPr="006B5C47">
              <w:t xml:space="preserve">United Kingdom: From 1 January of year 11: </w:t>
            </w:r>
            <w:r w:rsidRPr="006B5C47">
              <w:lastRenderedPageBreak/>
              <w:t>2%</w:t>
            </w:r>
          </w:p>
          <w:p w14:paraId="5F95ED8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15C7661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1DA50DE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60120BB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2DF3B5A7" w14:textId="77777777" w:rsidTr="00AD6EAA">
        <w:tc>
          <w:tcPr>
            <w:tcW w:w="1100" w:type="dxa"/>
          </w:tcPr>
          <w:p w14:paraId="64E754CF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424K</w:t>
            </w:r>
          </w:p>
        </w:tc>
        <w:tc>
          <w:tcPr>
            <w:tcW w:w="2014" w:type="dxa"/>
          </w:tcPr>
          <w:p w14:paraId="19AD765F" w14:textId="77777777" w:rsidR="009320FD" w:rsidRPr="006B5C47" w:rsidRDefault="009320FD" w:rsidP="000F5FD6">
            <w:pPr>
              <w:pStyle w:val="Tabletext"/>
            </w:pPr>
            <w:r w:rsidRPr="006B5C47">
              <w:t>7216.10.00</w:t>
            </w:r>
          </w:p>
        </w:tc>
        <w:tc>
          <w:tcPr>
            <w:tcW w:w="4037" w:type="dxa"/>
          </w:tcPr>
          <w:p w14:paraId="2EA2E6F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3A82698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3816CF1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5E143D1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49776B2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05557C1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3B85A96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11C0158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1107B33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6F731B8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4522E1B1" w14:textId="77777777" w:rsidTr="00AD6EAA">
        <w:tc>
          <w:tcPr>
            <w:tcW w:w="1100" w:type="dxa"/>
          </w:tcPr>
          <w:p w14:paraId="798C96B7" w14:textId="77777777" w:rsidR="009320FD" w:rsidRPr="006B5C47" w:rsidRDefault="009320FD" w:rsidP="000F5FD6">
            <w:pPr>
              <w:pStyle w:val="Tabletext"/>
            </w:pPr>
            <w:r w:rsidRPr="006B5C47">
              <w:t>424L</w:t>
            </w:r>
          </w:p>
        </w:tc>
        <w:tc>
          <w:tcPr>
            <w:tcW w:w="2014" w:type="dxa"/>
          </w:tcPr>
          <w:p w14:paraId="217EDC86" w14:textId="77777777" w:rsidR="009320FD" w:rsidRPr="006B5C47" w:rsidRDefault="009320FD" w:rsidP="000F5FD6">
            <w:pPr>
              <w:pStyle w:val="Tabletext"/>
            </w:pPr>
            <w:r w:rsidRPr="006B5C47">
              <w:t>7216.21.00</w:t>
            </w:r>
          </w:p>
        </w:tc>
        <w:tc>
          <w:tcPr>
            <w:tcW w:w="4037" w:type="dxa"/>
          </w:tcPr>
          <w:p w14:paraId="1ADEC5D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6F5895A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3473267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4097F04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1FEAE64F" w14:textId="77777777" w:rsidR="009320FD" w:rsidRPr="006B5C47" w:rsidRDefault="009320FD" w:rsidP="000F5FD6">
            <w:pPr>
              <w:pStyle w:val="Tabletext"/>
            </w:pPr>
            <w:r w:rsidRPr="006B5C47">
              <w:t xml:space="preserve">United Kingdom: From 1 January of year 10: </w:t>
            </w:r>
            <w:r w:rsidRPr="006B5C47">
              <w:lastRenderedPageBreak/>
              <w:t>2.5%</w:t>
            </w:r>
          </w:p>
          <w:p w14:paraId="119235D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312894C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7CE18DE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740DECC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55414C8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</w:tbl>
    <w:p w14:paraId="663911AC" w14:textId="77777777" w:rsidR="009320FD" w:rsidRPr="006B5C47" w:rsidRDefault="009320FD" w:rsidP="000F5FD6">
      <w:pPr>
        <w:pStyle w:val="ItemHead"/>
      </w:pPr>
      <w:proofErr w:type="gramStart"/>
      <w:r w:rsidRPr="006B5C47">
        <w:lastRenderedPageBreak/>
        <w:t>11  Schedule</w:t>
      </w:r>
      <w:proofErr w:type="gramEnd"/>
      <w:r w:rsidRPr="006B5C47">
        <w:t> 8B (table items 425 to 432)</w:t>
      </w:r>
    </w:p>
    <w:p w14:paraId="3667F38A" w14:textId="77777777" w:rsidR="009320FD" w:rsidRPr="006B5C47" w:rsidRDefault="009320FD" w:rsidP="000F5FD6">
      <w:pPr>
        <w:pStyle w:val="Item"/>
      </w:pPr>
      <w:r w:rsidRPr="006B5C47">
        <w:t>Repeal the items, substitute:</w:t>
      </w:r>
    </w:p>
    <w:tbl>
      <w:tblPr>
        <w:tblW w:w="0" w:type="auto"/>
        <w:tblInd w:w="113" w:type="dxa"/>
        <w:tblBorders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014"/>
        <w:gridCol w:w="4037"/>
      </w:tblGrid>
      <w:tr w:rsidR="009320FD" w:rsidRPr="006B5C47" w14:paraId="3BC4F37D" w14:textId="77777777" w:rsidTr="009042C9">
        <w:tc>
          <w:tcPr>
            <w:tcW w:w="1100" w:type="dxa"/>
          </w:tcPr>
          <w:p w14:paraId="4CF6B8DE" w14:textId="77777777" w:rsidR="009320FD" w:rsidRPr="006B5C47" w:rsidRDefault="009320FD" w:rsidP="000F5FD6">
            <w:pPr>
              <w:pStyle w:val="Tabletext"/>
            </w:pPr>
            <w:r w:rsidRPr="006B5C47">
              <w:t>425</w:t>
            </w:r>
          </w:p>
        </w:tc>
        <w:tc>
          <w:tcPr>
            <w:tcW w:w="2014" w:type="dxa"/>
          </w:tcPr>
          <w:p w14:paraId="301EFE48" w14:textId="77777777" w:rsidR="009320FD" w:rsidRPr="006B5C47" w:rsidRDefault="009320FD" w:rsidP="000F5FD6">
            <w:pPr>
              <w:pStyle w:val="Tabletext"/>
            </w:pPr>
            <w:r w:rsidRPr="006B5C47">
              <w:t>7216.31.00</w:t>
            </w:r>
          </w:p>
        </w:tc>
        <w:tc>
          <w:tcPr>
            <w:tcW w:w="4037" w:type="dxa"/>
          </w:tcPr>
          <w:p w14:paraId="300DDDA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1EFC62A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5361492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563F542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568B20F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327DBA8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1C6938A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0BAF9C0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6B00F92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1F6333B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79D69AE0" w14:textId="77777777" w:rsidTr="009042C9">
        <w:tc>
          <w:tcPr>
            <w:tcW w:w="1100" w:type="dxa"/>
          </w:tcPr>
          <w:p w14:paraId="0DBDD8BB" w14:textId="77777777" w:rsidR="009320FD" w:rsidRPr="006B5C47" w:rsidRDefault="009320FD" w:rsidP="000F5FD6">
            <w:pPr>
              <w:pStyle w:val="Tabletext"/>
            </w:pPr>
            <w:r w:rsidRPr="006B5C47">
              <w:t>426</w:t>
            </w:r>
          </w:p>
        </w:tc>
        <w:tc>
          <w:tcPr>
            <w:tcW w:w="2014" w:type="dxa"/>
          </w:tcPr>
          <w:p w14:paraId="47303B00" w14:textId="77777777" w:rsidR="009320FD" w:rsidRPr="006B5C47" w:rsidRDefault="009320FD" w:rsidP="000F5FD6">
            <w:pPr>
              <w:pStyle w:val="Tabletext"/>
            </w:pPr>
            <w:r w:rsidRPr="006B5C47">
              <w:t>7216.32.00</w:t>
            </w:r>
          </w:p>
        </w:tc>
        <w:tc>
          <w:tcPr>
            <w:tcW w:w="4037" w:type="dxa"/>
          </w:tcPr>
          <w:p w14:paraId="20544A4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5CB1CF5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2C6B549B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8: 3.5%</w:t>
            </w:r>
          </w:p>
          <w:p w14:paraId="2C9993A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1AC2433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299A3F4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1D7A182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6FFE559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0B2609C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4D52BAD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4D640B1B" w14:textId="77777777" w:rsidTr="009042C9">
        <w:tc>
          <w:tcPr>
            <w:tcW w:w="1100" w:type="dxa"/>
          </w:tcPr>
          <w:p w14:paraId="39007C3C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427</w:t>
            </w:r>
          </w:p>
        </w:tc>
        <w:tc>
          <w:tcPr>
            <w:tcW w:w="2014" w:type="dxa"/>
          </w:tcPr>
          <w:p w14:paraId="62AAE32F" w14:textId="77777777" w:rsidR="009320FD" w:rsidRPr="006B5C47" w:rsidRDefault="009320FD" w:rsidP="000F5FD6">
            <w:pPr>
              <w:pStyle w:val="Tabletext"/>
            </w:pPr>
            <w:r w:rsidRPr="006B5C47">
              <w:t>7216.33.00</w:t>
            </w:r>
          </w:p>
        </w:tc>
        <w:tc>
          <w:tcPr>
            <w:tcW w:w="4037" w:type="dxa"/>
          </w:tcPr>
          <w:p w14:paraId="50DA76A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6807238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74EA249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5589AF8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1E20D58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6CAD121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469C832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7D5F636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4F762FA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040EF89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30D2C126" w14:textId="77777777" w:rsidTr="009042C9">
        <w:tc>
          <w:tcPr>
            <w:tcW w:w="1100" w:type="dxa"/>
          </w:tcPr>
          <w:p w14:paraId="120AD883" w14:textId="77777777" w:rsidR="009320FD" w:rsidRPr="006B5C47" w:rsidRDefault="009320FD" w:rsidP="000F5FD6">
            <w:pPr>
              <w:pStyle w:val="Tabletext"/>
            </w:pPr>
            <w:r w:rsidRPr="006B5C47">
              <w:t>428</w:t>
            </w:r>
          </w:p>
        </w:tc>
        <w:tc>
          <w:tcPr>
            <w:tcW w:w="2014" w:type="dxa"/>
          </w:tcPr>
          <w:p w14:paraId="4520DAED" w14:textId="77777777" w:rsidR="009320FD" w:rsidRPr="006B5C47" w:rsidRDefault="009320FD" w:rsidP="000F5FD6">
            <w:pPr>
              <w:pStyle w:val="Tabletext"/>
            </w:pPr>
            <w:r w:rsidRPr="006B5C47">
              <w:t>7216.40.00</w:t>
            </w:r>
          </w:p>
        </w:tc>
        <w:tc>
          <w:tcPr>
            <w:tcW w:w="4037" w:type="dxa"/>
          </w:tcPr>
          <w:p w14:paraId="187B9EE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598CA1FE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7: 4%</w:t>
            </w:r>
          </w:p>
          <w:p w14:paraId="032F7A7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4F7933D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77C6A36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1A78D27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282FADF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4831010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1B00EA1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0D20726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6F8B618F" w14:textId="77777777" w:rsidTr="000F5FD6">
        <w:tc>
          <w:tcPr>
            <w:tcW w:w="1100" w:type="dxa"/>
          </w:tcPr>
          <w:p w14:paraId="2048AAD2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429</w:t>
            </w:r>
          </w:p>
        </w:tc>
        <w:tc>
          <w:tcPr>
            <w:tcW w:w="2014" w:type="dxa"/>
          </w:tcPr>
          <w:p w14:paraId="1ECDEFDD" w14:textId="77777777" w:rsidR="009320FD" w:rsidRPr="006B5C47" w:rsidRDefault="009320FD" w:rsidP="000F5FD6">
            <w:pPr>
              <w:pStyle w:val="Tabletext"/>
            </w:pPr>
            <w:r w:rsidRPr="006B5C47">
              <w:t>7217.10.00</w:t>
            </w:r>
          </w:p>
        </w:tc>
        <w:tc>
          <w:tcPr>
            <w:tcW w:w="4037" w:type="dxa"/>
          </w:tcPr>
          <w:p w14:paraId="5D77C64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56FD84B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56D8C61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5534D60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670454D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2C3784B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68EB145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1D77CF0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184E2AB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09C8986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5C0EA44E" w14:textId="77777777" w:rsidTr="009042C9">
        <w:tc>
          <w:tcPr>
            <w:tcW w:w="1100" w:type="dxa"/>
          </w:tcPr>
          <w:p w14:paraId="512AA95A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430</w:t>
            </w:r>
          </w:p>
        </w:tc>
        <w:tc>
          <w:tcPr>
            <w:tcW w:w="2014" w:type="dxa"/>
          </w:tcPr>
          <w:p w14:paraId="6CAFCC04" w14:textId="77777777" w:rsidR="009320FD" w:rsidRPr="006B5C47" w:rsidRDefault="009320FD" w:rsidP="000F5FD6">
            <w:pPr>
              <w:pStyle w:val="Tabletext"/>
            </w:pPr>
            <w:r w:rsidRPr="006B5C47">
              <w:t>7217.20.00</w:t>
            </w:r>
          </w:p>
        </w:tc>
        <w:tc>
          <w:tcPr>
            <w:tcW w:w="4037" w:type="dxa"/>
          </w:tcPr>
          <w:p w14:paraId="2F32ABF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45FCF08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13A499A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2CA6718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085D4EA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7E9F795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46FEF78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3E6B499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34F210C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45795DC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76D72EBC" w14:textId="77777777" w:rsidTr="000F5FD6">
        <w:tc>
          <w:tcPr>
            <w:tcW w:w="1100" w:type="dxa"/>
          </w:tcPr>
          <w:p w14:paraId="38C23375" w14:textId="77777777" w:rsidR="009320FD" w:rsidRPr="006B5C47" w:rsidRDefault="009320FD" w:rsidP="000F5FD6">
            <w:pPr>
              <w:pStyle w:val="Tabletext"/>
            </w:pPr>
            <w:r w:rsidRPr="006B5C47">
              <w:t>431</w:t>
            </w:r>
          </w:p>
        </w:tc>
        <w:tc>
          <w:tcPr>
            <w:tcW w:w="2014" w:type="dxa"/>
          </w:tcPr>
          <w:p w14:paraId="0D3CD14B" w14:textId="77777777" w:rsidR="009320FD" w:rsidRPr="006B5C47" w:rsidRDefault="009320FD" w:rsidP="000F5FD6">
            <w:pPr>
              <w:pStyle w:val="Tabletext"/>
            </w:pPr>
            <w:r w:rsidRPr="006B5C47">
              <w:t>7217.30.00</w:t>
            </w:r>
          </w:p>
        </w:tc>
        <w:tc>
          <w:tcPr>
            <w:tcW w:w="4037" w:type="dxa"/>
          </w:tcPr>
          <w:p w14:paraId="7135F02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3D4AF41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7F81F93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38432A1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03B2B6A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7A161FF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3DD6791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67F0402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06D9AEA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680DDCA9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15: Free</w:t>
            </w:r>
          </w:p>
        </w:tc>
      </w:tr>
      <w:tr w:rsidR="009320FD" w:rsidRPr="006B5C47" w14:paraId="4D8BF77C" w14:textId="77777777" w:rsidTr="009042C9">
        <w:trPr>
          <w:cantSplit/>
        </w:trPr>
        <w:tc>
          <w:tcPr>
            <w:tcW w:w="1100" w:type="dxa"/>
          </w:tcPr>
          <w:p w14:paraId="3828DF5A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432</w:t>
            </w:r>
          </w:p>
        </w:tc>
        <w:tc>
          <w:tcPr>
            <w:tcW w:w="2014" w:type="dxa"/>
          </w:tcPr>
          <w:p w14:paraId="130D5FAE" w14:textId="77777777" w:rsidR="009320FD" w:rsidRPr="006B5C47" w:rsidRDefault="009320FD" w:rsidP="000F5FD6">
            <w:pPr>
              <w:pStyle w:val="Tabletext"/>
            </w:pPr>
            <w:r w:rsidRPr="006B5C47">
              <w:t>7217.90.00</w:t>
            </w:r>
          </w:p>
        </w:tc>
        <w:tc>
          <w:tcPr>
            <w:tcW w:w="4037" w:type="dxa"/>
          </w:tcPr>
          <w:p w14:paraId="031C63D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732EE97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69BFB3E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7A6599E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26CD3B5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2A6A099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40FFAEC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2BE164A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00DF62B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14DBC11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51D261DF" w14:textId="77777777" w:rsidTr="009042C9">
        <w:tc>
          <w:tcPr>
            <w:tcW w:w="1100" w:type="dxa"/>
          </w:tcPr>
          <w:p w14:paraId="0DA22AC0" w14:textId="77777777" w:rsidR="009320FD" w:rsidRPr="006B5C47" w:rsidRDefault="009320FD" w:rsidP="000F5FD6">
            <w:pPr>
              <w:pStyle w:val="Tabletext"/>
            </w:pPr>
            <w:r w:rsidRPr="006B5C47">
              <w:t>432A</w:t>
            </w:r>
          </w:p>
        </w:tc>
        <w:tc>
          <w:tcPr>
            <w:tcW w:w="2014" w:type="dxa"/>
          </w:tcPr>
          <w:p w14:paraId="214EC9B0" w14:textId="77777777" w:rsidR="009320FD" w:rsidRPr="006B5C47" w:rsidRDefault="009320FD" w:rsidP="000F5FD6">
            <w:pPr>
              <w:pStyle w:val="Tabletext"/>
            </w:pPr>
            <w:r w:rsidRPr="006B5C47">
              <w:t>7222.20.00</w:t>
            </w:r>
          </w:p>
        </w:tc>
        <w:tc>
          <w:tcPr>
            <w:tcW w:w="4037" w:type="dxa"/>
          </w:tcPr>
          <w:p w14:paraId="669C38C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123B345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0452AAD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7271DD4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154252A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2C694EC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5F00AD3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38011CC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1DB9A7F5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14: 0.5%</w:t>
            </w:r>
          </w:p>
          <w:p w14:paraId="766D152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44343AE3" w14:textId="77777777" w:rsidTr="009042C9">
        <w:trPr>
          <w:cantSplit/>
        </w:trPr>
        <w:tc>
          <w:tcPr>
            <w:tcW w:w="1100" w:type="dxa"/>
          </w:tcPr>
          <w:p w14:paraId="0F01920A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432B</w:t>
            </w:r>
          </w:p>
        </w:tc>
        <w:tc>
          <w:tcPr>
            <w:tcW w:w="2014" w:type="dxa"/>
          </w:tcPr>
          <w:p w14:paraId="4A4C3DEF" w14:textId="77777777" w:rsidR="009320FD" w:rsidRPr="006B5C47" w:rsidRDefault="009320FD" w:rsidP="000F5FD6">
            <w:pPr>
              <w:pStyle w:val="Tabletext"/>
            </w:pPr>
            <w:r w:rsidRPr="006B5C47">
              <w:t>7225.30.00</w:t>
            </w:r>
          </w:p>
        </w:tc>
        <w:tc>
          <w:tcPr>
            <w:tcW w:w="4037" w:type="dxa"/>
          </w:tcPr>
          <w:p w14:paraId="69F0CB6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55B8C0A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2BC3BF6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0F91B79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643DF7E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385C01A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3CB942D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2A46B2D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7546949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2FBEC26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3C3F60CC" w14:textId="77777777" w:rsidTr="009042C9">
        <w:tc>
          <w:tcPr>
            <w:tcW w:w="1100" w:type="dxa"/>
          </w:tcPr>
          <w:p w14:paraId="22C3F806" w14:textId="77777777" w:rsidR="009320FD" w:rsidRPr="006B5C47" w:rsidRDefault="009320FD" w:rsidP="000F5FD6">
            <w:pPr>
              <w:pStyle w:val="Tabletext"/>
            </w:pPr>
            <w:r w:rsidRPr="006B5C47">
              <w:t>432C</w:t>
            </w:r>
          </w:p>
        </w:tc>
        <w:tc>
          <w:tcPr>
            <w:tcW w:w="2014" w:type="dxa"/>
          </w:tcPr>
          <w:p w14:paraId="530EC4B0" w14:textId="77777777" w:rsidR="009320FD" w:rsidRPr="006B5C47" w:rsidRDefault="009320FD" w:rsidP="000F5FD6">
            <w:pPr>
              <w:pStyle w:val="Tabletext"/>
            </w:pPr>
            <w:r w:rsidRPr="006B5C47">
              <w:t>7225.40.00</w:t>
            </w:r>
          </w:p>
        </w:tc>
        <w:tc>
          <w:tcPr>
            <w:tcW w:w="4037" w:type="dxa"/>
          </w:tcPr>
          <w:p w14:paraId="789C6AD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23BC220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0371877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3566807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385A99A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06C5D91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6F26020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202882A3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13: 1%</w:t>
            </w:r>
          </w:p>
          <w:p w14:paraId="4D2874C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24145CF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22BA41CF" w14:textId="77777777" w:rsidTr="009042C9">
        <w:trPr>
          <w:cantSplit/>
        </w:trPr>
        <w:tc>
          <w:tcPr>
            <w:tcW w:w="1100" w:type="dxa"/>
          </w:tcPr>
          <w:p w14:paraId="66714F9E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432D</w:t>
            </w:r>
          </w:p>
        </w:tc>
        <w:tc>
          <w:tcPr>
            <w:tcW w:w="2014" w:type="dxa"/>
          </w:tcPr>
          <w:p w14:paraId="2408549D" w14:textId="77777777" w:rsidR="009320FD" w:rsidRPr="006B5C47" w:rsidRDefault="009320FD" w:rsidP="000F5FD6">
            <w:pPr>
              <w:pStyle w:val="Tabletext"/>
            </w:pPr>
            <w:r w:rsidRPr="006B5C47">
              <w:t>7225.50.00</w:t>
            </w:r>
          </w:p>
        </w:tc>
        <w:tc>
          <w:tcPr>
            <w:tcW w:w="4037" w:type="dxa"/>
          </w:tcPr>
          <w:p w14:paraId="6EA2DA4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789DE94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5D0B4E3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15C5675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5119F44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6BBE38A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7B90B3E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7952F00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7DCFE6A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2BD197D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0705D7AF" w14:textId="77777777" w:rsidTr="009042C9">
        <w:tc>
          <w:tcPr>
            <w:tcW w:w="1100" w:type="dxa"/>
          </w:tcPr>
          <w:p w14:paraId="5E7B78F7" w14:textId="77777777" w:rsidR="009320FD" w:rsidRPr="006B5C47" w:rsidRDefault="009320FD" w:rsidP="000F5FD6">
            <w:pPr>
              <w:pStyle w:val="Tabletext"/>
            </w:pPr>
            <w:r w:rsidRPr="006B5C47">
              <w:t>432E</w:t>
            </w:r>
          </w:p>
        </w:tc>
        <w:tc>
          <w:tcPr>
            <w:tcW w:w="2014" w:type="dxa"/>
          </w:tcPr>
          <w:p w14:paraId="41DC829B" w14:textId="77777777" w:rsidR="009320FD" w:rsidRPr="006B5C47" w:rsidRDefault="009320FD" w:rsidP="000F5FD6">
            <w:pPr>
              <w:pStyle w:val="Tabletext"/>
            </w:pPr>
            <w:r w:rsidRPr="006B5C47">
              <w:t>7225.91.00</w:t>
            </w:r>
          </w:p>
        </w:tc>
        <w:tc>
          <w:tcPr>
            <w:tcW w:w="4037" w:type="dxa"/>
          </w:tcPr>
          <w:p w14:paraId="438B5D3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54839F7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588A1AB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45306B1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6D897EE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4ED5BE6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78F56913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12: 1.5%</w:t>
            </w:r>
          </w:p>
          <w:p w14:paraId="79CCF5E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4703D1B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7891A8C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6CCF5D99" w14:textId="77777777" w:rsidTr="009042C9">
        <w:trPr>
          <w:cantSplit/>
        </w:trPr>
        <w:tc>
          <w:tcPr>
            <w:tcW w:w="1100" w:type="dxa"/>
          </w:tcPr>
          <w:p w14:paraId="062FF6F8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432F</w:t>
            </w:r>
          </w:p>
        </w:tc>
        <w:tc>
          <w:tcPr>
            <w:tcW w:w="2014" w:type="dxa"/>
          </w:tcPr>
          <w:p w14:paraId="792249E1" w14:textId="77777777" w:rsidR="009320FD" w:rsidRPr="006B5C47" w:rsidRDefault="009320FD" w:rsidP="000F5FD6">
            <w:pPr>
              <w:pStyle w:val="Tabletext"/>
            </w:pPr>
            <w:r w:rsidRPr="006B5C47">
              <w:t>7225.92.00</w:t>
            </w:r>
          </w:p>
        </w:tc>
        <w:tc>
          <w:tcPr>
            <w:tcW w:w="4037" w:type="dxa"/>
          </w:tcPr>
          <w:p w14:paraId="3379290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4A271DB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59AB2C0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16C5C84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3CA08E8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7687AE5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4E39659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0AFB9EC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720756B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1E959DB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1C9FC82F" w14:textId="77777777" w:rsidTr="009042C9">
        <w:tc>
          <w:tcPr>
            <w:tcW w:w="1100" w:type="dxa"/>
          </w:tcPr>
          <w:p w14:paraId="6A46AFAA" w14:textId="77777777" w:rsidR="009320FD" w:rsidRPr="006B5C47" w:rsidRDefault="009320FD" w:rsidP="000F5FD6">
            <w:pPr>
              <w:pStyle w:val="Tabletext"/>
            </w:pPr>
            <w:r w:rsidRPr="006B5C47">
              <w:t>432G</w:t>
            </w:r>
          </w:p>
        </w:tc>
        <w:tc>
          <w:tcPr>
            <w:tcW w:w="2014" w:type="dxa"/>
          </w:tcPr>
          <w:p w14:paraId="34CDFAFA" w14:textId="77777777" w:rsidR="009320FD" w:rsidRPr="006B5C47" w:rsidRDefault="009320FD" w:rsidP="000F5FD6">
            <w:pPr>
              <w:pStyle w:val="Tabletext"/>
            </w:pPr>
            <w:r w:rsidRPr="006B5C47">
              <w:t>7225.99.00</w:t>
            </w:r>
          </w:p>
        </w:tc>
        <w:tc>
          <w:tcPr>
            <w:tcW w:w="4037" w:type="dxa"/>
          </w:tcPr>
          <w:p w14:paraId="5D222A1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02B5124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778A7BB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16B9F4F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76F7FA3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22467F80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11: 2%</w:t>
            </w:r>
          </w:p>
          <w:p w14:paraId="0596067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678339E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30514CF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3A02E88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565B1E7D" w14:textId="77777777" w:rsidTr="009042C9">
        <w:trPr>
          <w:cantSplit/>
        </w:trPr>
        <w:tc>
          <w:tcPr>
            <w:tcW w:w="1100" w:type="dxa"/>
          </w:tcPr>
          <w:p w14:paraId="38CF6294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432H</w:t>
            </w:r>
          </w:p>
        </w:tc>
        <w:tc>
          <w:tcPr>
            <w:tcW w:w="2014" w:type="dxa"/>
          </w:tcPr>
          <w:p w14:paraId="0705A7C1" w14:textId="77777777" w:rsidR="009320FD" w:rsidRPr="006B5C47" w:rsidRDefault="009320FD" w:rsidP="000F5FD6">
            <w:pPr>
              <w:pStyle w:val="Tabletext"/>
            </w:pPr>
            <w:r w:rsidRPr="006B5C47">
              <w:t>7226.91.00</w:t>
            </w:r>
          </w:p>
        </w:tc>
        <w:tc>
          <w:tcPr>
            <w:tcW w:w="4037" w:type="dxa"/>
          </w:tcPr>
          <w:p w14:paraId="7F013E5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6DC2C99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64BD2C5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485A777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51A51D9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466D072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5FB7CF6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299BE49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5C9DC76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2BF7A3F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3334CE5B" w14:textId="77777777" w:rsidTr="009042C9">
        <w:tc>
          <w:tcPr>
            <w:tcW w:w="1100" w:type="dxa"/>
          </w:tcPr>
          <w:p w14:paraId="00AD8BBD" w14:textId="77777777" w:rsidR="009320FD" w:rsidRPr="006B5C47" w:rsidRDefault="009320FD" w:rsidP="000F5FD6">
            <w:pPr>
              <w:pStyle w:val="Tabletext"/>
            </w:pPr>
            <w:r w:rsidRPr="006B5C47">
              <w:t>432J</w:t>
            </w:r>
          </w:p>
        </w:tc>
        <w:tc>
          <w:tcPr>
            <w:tcW w:w="2014" w:type="dxa"/>
          </w:tcPr>
          <w:p w14:paraId="1CD67B79" w14:textId="77777777" w:rsidR="009320FD" w:rsidRPr="006B5C47" w:rsidRDefault="009320FD" w:rsidP="000F5FD6">
            <w:pPr>
              <w:pStyle w:val="Tabletext"/>
            </w:pPr>
            <w:r w:rsidRPr="006B5C47">
              <w:t>7226.92.00</w:t>
            </w:r>
          </w:p>
        </w:tc>
        <w:tc>
          <w:tcPr>
            <w:tcW w:w="4037" w:type="dxa"/>
          </w:tcPr>
          <w:p w14:paraId="6B4B921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4D2F9BF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367EFF5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41157CD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70627F8B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10: 2.5%</w:t>
            </w:r>
          </w:p>
          <w:p w14:paraId="0DC3EFF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30DA4D0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41C994A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6D59A53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2323E5D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4206071C" w14:textId="77777777" w:rsidTr="000F5FD6">
        <w:tc>
          <w:tcPr>
            <w:tcW w:w="1100" w:type="dxa"/>
          </w:tcPr>
          <w:p w14:paraId="0BDD58D2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432K</w:t>
            </w:r>
          </w:p>
        </w:tc>
        <w:tc>
          <w:tcPr>
            <w:tcW w:w="2014" w:type="dxa"/>
          </w:tcPr>
          <w:p w14:paraId="45A52902" w14:textId="77777777" w:rsidR="009320FD" w:rsidRPr="006B5C47" w:rsidRDefault="009320FD" w:rsidP="000F5FD6">
            <w:pPr>
              <w:pStyle w:val="Tabletext"/>
            </w:pPr>
            <w:r w:rsidRPr="006B5C47">
              <w:t>7226.99.00</w:t>
            </w:r>
          </w:p>
        </w:tc>
        <w:tc>
          <w:tcPr>
            <w:tcW w:w="4037" w:type="dxa"/>
          </w:tcPr>
          <w:p w14:paraId="6C231ED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1A624A1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47C1FCB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7808216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6AF6B6C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15CFA17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5972986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1C4E053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782A8EE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13B92D2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4E48AC9C" w14:textId="77777777" w:rsidTr="009042C9">
        <w:tc>
          <w:tcPr>
            <w:tcW w:w="1100" w:type="dxa"/>
          </w:tcPr>
          <w:p w14:paraId="7C4BA41F" w14:textId="77777777" w:rsidR="009320FD" w:rsidRPr="006B5C47" w:rsidRDefault="009320FD" w:rsidP="000F5FD6">
            <w:pPr>
              <w:pStyle w:val="Tabletext"/>
            </w:pPr>
            <w:r w:rsidRPr="006B5C47">
              <w:t>432L</w:t>
            </w:r>
          </w:p>
        </w:tc>
        <w:tc>
          <w:tcPr>
            <w:tcW w:w="2014" w:type="dxa"/>
          </w:tcPr>
          <w:p w14:paraId="7CE42920" w14:textId="77777777" w:rsidR="009320FD" w:rsidRPr="006B5C47" w:rsidRDefault="009320FD" w:rsidP="000F5FD6">
            <w:pPr>
              <w:pStyle w:val="Tabletext"/>
            </w:pPr>
            <w:r w:rsidRPr="006B5C47">
              <w:t>7227.20.10</w:t>
            </w:r>
          </w:p>
        </w:tc>
        <w:tc>
          <w:tcPr>
            <w:tcW w:w="4037" w:type="dxa"/>
          </w:tcPr>
          <w:p w14:paraId="580AB82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2E483A1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23E9507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48C16D81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9: 3%</w:t>
            </w:r>
          </w:p>
          <w:p w14:paraId="3F92BA2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7AFBCD7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29065EF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74770D6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164A7ED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42F1B8B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227AE531" w14:textId="77777777" w:rsidTr="009042C9">
        <w:tc>
          <w:tcPr>
            <w:tcW w:w="1100" w:type="dxa"/>
          </w:tcPr>
          <w:p w14:paraId="5512ABDF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432M</w:t>
            </w:r>
          </w:p>
        </w:tc>
        <w:tc>
          <w:tcPr>
            <w:tcW w:w="2014" w:type="dxa"/>
          </w:tcPr>
          <w:p w14:paraId="485863A0" w14:textId="77777777" w:rsidR="009320FD" w:rsidRPr="006B5C47" w:rsidRDefault="009320FD" w:rsidP="000F5FD6">
            <w:pPr>
              <w:pStyle w:val="Tabletext"/>
            </w:pPr>
            <w:r w:rsidRPr="006B5C47">
              <w:t>7227.20.90</w:t>
            </w:r>
          </w:p>
        </w:tc>
        <w:tc>
          <w:tcPr>
            <w:tcW w:w="4037" w:type="dxa"/>
          </w:tcPr>
          <w:p w14:paraId="01F2D44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5BC5A75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48B28E4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05081A9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22F02D6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730AA48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7A55CBC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4877156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1B7D5D0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3367718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6D5C0303" w14:textId="77777777" w:rsidTr="009042C9">
        <w:tc>
          <w:tcPr>
            <w:tcW w:w="1100" w:type="dxa"/>
          </w:tcPr>
          <w:p w14:paraId="5FB75587" w14:textId="77777777" w:rsidR="009320FD" w:rsidRPr="006B5C47" w:rsidRDefault="009320FD" w:rsidP="000F5FD6">
            <w:pPr>
              <w:pStyle w:val="Tabletext"/>
            </w:pPr>
            <w:r w:rsidRPr="006B5C47">
              <w:t>432N</w:t>
            </w:r>
          </w:p>
        </w:tc>
        <w:tc>
          <w:tcPr>
            <w:tcW w:w="2014" w:type="dxa"/>
          </w:tcPr>
          <w:p w14:paraId="1758F5E3" w14:textId="77777777" w:rsidR="009320FD" w:rsidRPr="006B5C47" w:rsidRDefault="009320FD" w:rsidP="000F5FD6">
            <w:pPr>
              <w:pStyle w:val="Tabletext"/>
            </w:pPr>
            <w:r w:rsidRPr="006B5C47">
              <w:t>7227.90.10</w:t>
            </w:r>
          </w:p>
        </w:tc>
        <w:tc>
          <w:tcPr>
            <w:tcW w:w="4037" w:type="dxa"/>
          </w:tcPr>
          <w:p w14:paraId="4ADDB0C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35D3755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0C489905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8: 3.5%</w:t>
            </w:r>
          </w:p>
          <w:p w14:paraId="5822FA3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50E58F3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11B4AB5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5B1D16F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0606179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32C2940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6DB5AA8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77C9F041" w14:textId="77777777" w:rsidTr="009042C9">
        <w:tc>
          <w:tcPr>
            <w:tcW w:w="1100" w:type="dxa"/>
          </w:tcPr>
          <w:p w14:paraId="7DEC8199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432P</w:t>
            </w:r>
          </w:p>
        </w:tc>
        <w:tc>
          <w:tcPr>
            <w:tcW w:w="2014" w:type="dxa"/>
          </w:tcPr>
          <w:p w14:paraId="7534BFFE" w14:textId="77777777" w:rsidR="009320FD" w:rsidRPr="006B5C47" w:rsidRDefault="009320FD" w:rsidP="000F5FD6">
            <w:pPr>
              <w:pStyle w:val="Tabletext"/>
            </w:pPr>
            <w:r w:rsidRPr="006B5C47">
              <w:t>7227.90.90</w:t>
            </w:r>
          </w:p>
        </w:tc>
        <w:tc>
          <w:tcPr>
            <w:tcW w:w="4037" w:type="dxa"/>
          </w:tcPr>
          <w:p w14:paraId="03B6656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075C796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01A9661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5ABE50C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522CD22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1C86356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63BA613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0031584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00152E1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47969B2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754C0650" w14:textId="77777777" w:rsidTr="009042C9">
        <w:tc>
          <w:tcPr>
            <w:tcW w:w="1100" w:type="dxa"/>
          </w:tcPr>
          <w:p w14:paraId="1912D8B0" w14:textId="77777777" w:rsidR="009320FD" w:rsidRPr="006B5C47" w:rsidRDefault="009320FD" w:rsidP="000F5FD6">
            <w:pPr>
              <w:pStyle w:val="Tabletext"/>
            </w:pPr>
            <w:r w:rsidRPr="006B5C47">
              <w:t>432Q</w:t>
            </w:r>
          </w:p>
        </w:tc>
        <w:tc>
          <w:tcPr>
            <w:tcW w:w="2014" w:type="dxa"/>
          </w:tcPr>
          <w:p w14:paraId="030FA126" w14:textId="77777777" w:rsidR="009320FD" w:rsidRPr="006B5C47" w:rsidRDefault="009320FD" w:rsidP="000F5FD6">
            <w:pPr>
              <w:pStyle w:val="Tabletext"/>
            </w:pPr>
            <w:r w:rsidRPr="006B5C47">
              <w:t>7228.10.00</w:t>
            </w:r>
          </w:p>
        </w:tc>
        <w:tc>
          <w:tcPr>
            <w:tcW w:w="4037" w:type="dxa"/>
          </w:tcPr>
          <w:p w14:paraId="09A5CDA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38D03965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7: 4%</w:t>
            </w:r>
          </w:p>
          <w:p w14:paraId="2736B67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7902DB8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7DACC43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67F1AEF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3DD2A40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54EBA05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6E7431B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7AA3B46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203533B0" w14:textId="77777777" w:rsidTr="009042C9">
        <w:tc>
          <w:tcPr>
            <w:tcW w:w="1100" w:type="dxa"/>
          </w:tcPr>
          <w:p w14:paraId="009B2EDE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432R</w:t>
            </w:r>
          </w:p>
        </w:tc>
        <w:tc>
          <w:tcPr>
            <w:tcW w:w="2014" w:type="dxa"/>
          </w:tcPr>
          <w:p w14:paraId="5C619B3E" w14:textId="77777777" w:rsidR="009320FD" w:rsidRPr="006B5C47" w:rsidRDefault="009320FD" w:rsidP="000F5FD6">
            <w:pPr>
              <w:pStyle w:val="Tabletext"/>
            </w:pPr>
            <w:r w:rsidRPr="006B5C47">
              <w:t>7228.20.10</w:t>
            </w:r>
          </w:p>
        </w:tc>
        <w:tc>
          <w:tcPr>
            <w:tcW w:w="4037" w:type="dxa"/>
          </w:tcPr>
          <w:p w14:paraId="278D73E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78A3B30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3B177B5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0EE39F3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4D5E9B1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417103C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27AB6A4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7619C07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54FAAEA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300A8FA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0524CC21" w14:textId="77777777" w:rsidTr="009042C9">
        <w:tc>
          <w:tcPr>
            <w:tcW w:w="1100" w:type="dxa"/>
          </w:tcPr>
          <w:p w14:paraId="340CA7C0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432S</w:t>
            </w:r>
          </w:p>
        </w:tc>
        <w:tc>
          <w:tcPr>
            <w:tcW w:w="2014" w:type="dxa"/>
          </w:tcPr>
          <w:p w14:paraId="648C4F28" w14:textId="77777777" w:rsidR="009320FD" w:rsidRPr="006B5C47" w:rsidRDefault="009320FD" w:rsidP="000F5FD6">
            <w:pPr>
              <w:pStyle w:val="Tabletext"/>
            </w:pPr>
            <w:r w:rsidRPr="006B5C47">
              <w:t>7228.20.21</w:t>
            </w:r>
          </w:p>
        </w:tc>
        <w:tc>
          <w:tcPr>
            <w:tcW w:w="4037" w:type="dxa"/>
          </w:tcPr>
          <w:p w14:paraId="75C5ACA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3B7CD3C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3ED4C51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0399063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2090ABE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691E6AD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4EF4C7D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1FA35CD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592EA1B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6CFEC6F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4D9B6140" w14:textId="77777777" w:rsidTr="009042C9">
        <w:tc>
          <w:tcPr>
            <w:tcW w:w="1100" w:type="dxa"/>
          </w:tcPr>
          <w:p w14:paraId="6FB7B6F9" w14:textId="77777777" w:rsidR="009320FD" w:rsidRPr="006B5C47" w:rsidRDefault="009320FD" w:rsidP="000F5FD6">
            <w:pPr>
              <w:pStyle w:val="Tabletext"/>
            </w:pPr>
            <w:r w:rsidRPr="006B5C47">
              <w:t>432T</w:t>
            </w:r>
          </w:p>
        </w:tc>
        <w:tc>
          <w:tcPr>
            <w:tcW w:w="2014" w:type="dxa"/>
          </w:tcPr>
          <w:p w14:paraId="75F35601" w14:textId="77777777" w:rsidR="009320FD" w:rsidRPr="006B5C47" w:rsidRDefault="009320FD" w:rsidP="000F5FD6">
            <w:pPr>
              <w:pStyle w:val="Tabletext"/>
            </w:pPr>
            <w:r w:rsidRPr="006B5C47">
              <w:t>7228.20.90</w:t>
            </w:r>
          </w:p>
        </w:tc>
        <w:tc>
          <w:tcPr>
            <w:tcW w:w="4037" w:type="dxa"/>
          </w:tcPr>
          <w:p w14:paraId="133765C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4F47DE5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132A0DD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4F61E79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79FD862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0E11911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52F8EFD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33169B1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0548CF3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55418515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15: Free</w:t>
            </w:r>
          </w:p>
        </w:tc>
      </w:tr>
      <w:tr w:rsidR="009320FD" w:rsidRPr="006B5C47" w14:paraId="10A93BEB" w14:textId="77777777" w:rsidTr="009042C9">
        <w:trPr>
          <w:cantSplit/>
        </w:trPr>
        <w:tc>
          <w:tcPr>
            <w:tcW w:w="1100" w:type="dxa"/>
          </w:tcPr>
          <w:p w14:paraId="5CEEC04C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432U</w:t>
            </w:r>
          </w:p>
        </w:tc>
        <w:tc>
          <w:tcPr>
            <w:tcW w:w="2014" w:type="dxa"/>
          </w:tcPr>
          <w:p w14:paraId="4E53FA9A" w14:textId="77777777" w:rsidR="009320FD" w:rsidRPr="006B5C47" w:rsidRDefault="009320FD" w:rsidP="000F5FD6">
            <w:pPr>
              <w:pStyle w:val="Tabletext"/>
            </w:pPr>
            <w:r w:rsidRPr="006B5C47">
              <w:t>7228.30.10</w:t>
            </w:r>
          </w:p>
        </w:tc>
        <w:tc>
          <w:tcPr>
            <w:tcW w:w="4037" w:type="dxa"/>
          </w:tcPr>
          <w:p w14:paraId="06C1BB5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513DBB5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48481F2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11DF869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473A1E0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1B9EB29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3236C9C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7AE7156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0E2E03C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165331C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2C877BFA" w14:textId="77777777" w:rsidTr="009042C9">
        <w:tc>
          <w:tcPr>
            <w:tcW w:w="1100" w:type="dxa"/>
          </w:tcPr>
          <w:p w14:paraId="476C68AF" w14:textId="77777777" w:rsidR="009320FD" w:rsidRPr="006B5C47" w:rsidRDefault="009320FD" w:rsidP="000F5FD6">
            <w:pPr>
              <w:pStyle w:val="Tabletext"/>
            </w:pPr>
            <w:r w:rsidRPr="006B5C47">
              <w:t>432V</w:t>
            </w:r>
          </w:p>
        </w:tc>
        <w:tc>
          <w:tcPr>
            <w:tcW w:w="2014" w:type="dxa"/>
          </w:tcPr>
          <w:p w14:paraId="24F8D1E6" w14:textId="77777777" w:rsidR="009320FD" w:rsidRPr="006B5C47" w:rsidRDefault="009320FD" w:rsidP="000F5FD6">
            <w:pPr>
              <w:pStyle w:val="Tabletext"/>
            </w:pPr>
            <w:r w:rsidRPr="006B5C47">
              <w:t>7228.30.90</w:t>
            </w:r>
          </w:p>
        </w:tc>
        <w:tc>
          <w:tcPr>
            <w:tcW w:w="4037" w:type="dxa"/>
          </w:tcPr>
          <w:p w14:paraId="7899339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285D8CF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27F68B1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3841FE1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56BE90C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67C5E26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2D8AC89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403EB79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4115775E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14: 0.5%</w:t>
            </w:r>
          </w:p>
          <w:p w14:paraId="6F91196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331A02B1" w14:textId="77777777" w:rsidTr="000F5FD6">
        <w:tc>
          <w:tcPr>
            <w:tcW w:w="1100" w:type="dxa"/>
          </w:tcPr>
          <w:p w14:paraId="64ABE249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432W</w:t>
            </w:r>
          </w:p>
        </w:tc>
        <w:tc>
          <w:tcPr>
            <w:tcW w:w="2014" w:type="dxa"/>
          </w:tcPr>
          <w:p w14:paraId="3114FAC3" w14:textId="77777777" w:rsidR="009320FD" w:rsidRPr="006B5C47" w:rsidRDefault="009320FD" w:rsidP="000F5FD6">
            <w:pPr>
              <w:pStyle w:val="Tabletext"/>
            </w:pPr>
            <w:r w:rsidRPr="006B5C47">
              <w:t>7228.50.00</w:t>
            </w:r>
          </w:p>
        </w:tc>
        <w:tc>
          <w:tcPr>
            <w:tcW w:w="4037" w:type="dxa"/>
          </w:tcPr>
          <w:p w14:paraId="0CE4E86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44B5726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7FF33E0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319F4D2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475F135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2576432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44FB18B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6FF1083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0CD5F67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075DC34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3BA3BF1D" w14:textId="77777777" w:rsidTr="009042C9">
        <w:tc>
          <w:tcPr>
            <w:tcW w:w="1100" w:type="dxa"/>
          </w:tcPr>
          <w:p w14:paraId="07E6101A" w14:textId="77777777" w:rsidR="009320FD" w:rsidRPr="006B5C47" w:rsidRDefault="009320FD" w:rsidP="000F5FD6">
            <w:pPr>
              <w:pStyle w:val="Tabletext"/>
            </w:pPr>
            <w:r w:rsidRPr="006B5C47">
              <w:t>432X</w:t>
            </w:r>
          </w:p>
        </w:tc>
        <w:tc>
          <w:tcPr>
            <w:tcW w:w="2014" w:type="dxa"/>
          </w:tcPr>
          <w:p w14:paraId="20047A15" w14:textId="77777777" w:rsidR="009320FD" w:rsidRPr="006B5C47" w:rsidRDefault="009320FD" w:rsidP="000F5FD6">
            <w:pPr>
              <w:pStyle w:val="Tabletext"/>
            </w:pPr>
            <w:r w:rsidRPr="006B5C47">
              <w:t>7228.60.10</w:t>
            </w:r>
          </w:p>
        </w:tc>
        <w:tc>
          <w:tcPr>
            <w:tcW w:w="4037" w:type="dxa"/>
          </w:tcPr>
          <w:p w14:paraId="66CC39C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43D1E32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660366A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2B8592D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3E60411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0DACEAA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3DB34C2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227D708D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13: 1%</w:t>
            </w:r>
          </w:p>
          <w:p w14:paraId="415398C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3F18F60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1C820BF1" w14:textId="77777777" w:rsidTr="000F5FD6">
        <w:tc>
          <w:tcPr>
            <w:tcW w:w="1100" w:type="dxa"/>
          </w:tcPr>
          <w:p w14:paraId="13E7A171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432Y</w:t>
            </w:r>
          </w:p>
        </w:tc>
        <w:tc>
          <w:tcPr>
            <w:tcW w:w="2014" w:type="dxa"/>
          </w:tcPr>
          <w:p w14:paraId="382920BA" w14:textId="77777777" w:rsidR="009320FD" w:rsidRPr="006B5C47" w:rsidRDefault="009320FD" w:rsidP="000F5FD6">
            <w:pPr>
              <w:pStyle w:val="Tabletext"/>
            </w:pPr>
            <w:r w:rsidRPr="006B5C47">
              <w:t>7228.60.90</w:t>
            </w:r>
          </w:p>
        </w:tc>
        <w:tc>
          <w:tcPr>
            <w:tcW w:w="4037" w:type="dxa"/>
          </w:tcPr>
          <w:p w14:paraId="1CD94DA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5784971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14A6547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4C03D2D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49BB777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37E3CEE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39853B4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473EDD1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51B4A93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1ACBEE4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0E441B49" w14:textId="77777777" w:rsidTr="009042C9">
        <w:tc>
          <w:tcPr>
            <w:tcW w:w="1100" w:type="dxa"/>
          </w:tcPr>
          <w:p w14:paraId="4410DBB7" w14:textId="77777777" w:rsidR="009320FD" w:rsidRPr="006B5C47" w:rsidRDefault="009320FD" w:rsidP="000F5FD6">
            <w:pPr>
              <w:pStyle w:val="Tabletext"/>
            </w:pPr>
            <w:r w:rsidRPr="006B5C47">
              <w:t>432Z</w:t>
            </w:r>
          </w:p>
        </w:tc>
        <w:tc>
          <w:tcPr>
            <w:tcW w:w="2014" w:type="dxa"/>
          </w:tcPr>
          <w:p w14:paraId="55C9DA0A" w14:textId="77777777" w:rsidR="009320FD" w:rsidRPr="006B5C47" w:rsidRDefault="009320FD" w:rsidP="000F5FD6">
            <w:pPr>
              <w:pStyle w:val="Tabletext"/>
            </w:pPr>
            <w:r w:rsidRPr="006B5C47">
              <w:t>7228.70.00</w:t>
            </w:r>
          </w:p>
        </w:tc>
        <w:tc>
          <w:tcPr>
            <w:tcW w:w="4037" w:type="dxa"/>
          </w:tcPr>
          <w:p w14:paraId="3BBE945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194CA35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2C2432F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03C474E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22C5210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7F90C6F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702E8949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12: 1.5%</w:t>
            </w:r>
          </w:p>
          <w:p w14:paraId="4455AA5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25745F9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7C84D09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7F732227" w14:textId="77777777" w:rsidTr="009042C9">
        <w:tc>
          <w:tcPr>
            <w:tcW w:w="1100" w:type="dxa"/>
          </w:tcPr>
          <w:p w14:paraId="65D789EC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432ZA</w:t>
            </w:r>
          </w:p>
        </w:tc>
        <w:tc>
          <w:tcPr>
            <w:tcW w:w="2014" w:type="dxa"/>
          </w:tcPr>
          <w:p w14:paraId="18D30ABD" w14:textId="77777777" w:rsidR="009320FD" w:rsidRPr="006B5C47" w:rsidRDefault="009320FD" w:rsidP="000F5FD6">
            <w:pPr>
              <w:pStyle w:val="Tabletext"/>
            </w:pPr>
            <w:r w:rsidRPr="006B5C47">
              <w:t>7228.80.00</w:t>
            </w:r>
          </w:p>
        </w:tc>
        <w:tc>
          <w:tcPr>
            <w:tcW w:w="4037" w:type="dxa"/>
          </w:tcPr>
          <w:p w14:paraId="734FACA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529E90A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281F38F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50D8683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1921F63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46EEA03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4B849BA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3954D27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061B669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643C7C2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7F3E739B" w14:textId="77777777" w:rsidTr="009042C9">
        <w:trPr>
          <w:cantSplit/>
        </w:trPr>
        <w:tc>
          <w:tcPr>
            <w:tcW w:w="1100" w:type="dxa"/>
          </w:tcPr>
          <w:p w14:paraId="7EF23165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432ZB</w:t>
            </w:r>
          </w:p>
        </w:tc>
        <w:tc>
          <w:tcPr>
            <w:tcW w:w="2014" w:type="dxa"/>
          </w:tcPr>
          <w:p w14:paraId="2C5DDA04" w14:textId="77777777" w:rsidR="009320FD" w:rsidRPr="006B5C47" w:rsidRDefault="009320FD" w:rsidP="000F5FD6">
            <w:pPr>
              <w:pStyle w:val="Tabletext"/>
            </w:pPr>
            <w:r w:rsidRPr="006B5C47">
              <w:t>7229.20.00</w:t>
            </w:r>
          </w:p>
        </w:tc>
        <w:tc>
          <w:tcPr>
            <w:tcW w:w="4037" w:type="dxa"/>
          </w:tcPr>
          <w:p w14:paraId="27819BB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323F107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3867C1C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7F80F41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1121BEB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569D9B7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7762E8A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2884D54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0AF76AC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50C70CA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53A8E56F" w14:textId="77777777" w:rsidTr="009042C9">
        <w:tc>
          <w:tcPr>
            <w:tcW w:w="1100" w:type="dxa"/>
          </w:tcPr>
          <w:p w14:paraId="19E5FFF1" w14:textId="77777777" w:rsidR="009320FD" w:rsidRPr="006B5C47" w:rsidRDefault="009320FD" w:rsidP="000F5FD6">
            <w:pPr>
              <w:pStyle w:val="Tabletext"/>
            </w:pPr>
            <w:r w:rsidRPr="006B5C47">
              <w:t>432ZC</w:t>
            </w:r>
          </w:p>
        </w:tc>
        <w:tc>
          <w:tcPr>
            <w:tcW w:w="2014" w:type="dxa"/>
          </w:tcPr>
          <w:p w14:paraId="27987321" w14:textId="77777777" w:rsidR="009320FD" w:rsidRPr="006B5C47" w:rsidRDefault="009320FD" w:rsidP="000F5FD6">
            <w:pPr>
              <w:pStyle w:val="Tabletext"/>
            </w:pPr>
            <w:r w:rsidRPr="006B5C47">
              <w:t>7229.90.90</w:t>
            </w:r>
          </w:p>
        </w:tc>
        <w:tc>
          <w:tcPr>
            <w:tcW w:w="4037" w:type="dxa"/>
          </w:tcPr>
          <w:p w14:paraId="1E8583C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031CDAB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04FE354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274FC0F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39AB779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0218276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73AC4B1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33CAC0A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044D8FB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2E8F89DE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15: Free</w:t>
            </w:r>
          </w:p>
        </w:tc>
      </w:tr>
    </w:tbl>
    <w:p w14:paraId="1176C0B9" w14:textId="77777777" w:rsidR="009320FD" w:rsidRPr="006B5C47" w:rsidRDefault="009320FD" w:rsidP="000F5FD6">
      <w:pPr>
        <w:pStyle w:val="ItemHead"/>
      </w:pPr>
      <w:proofErr w:type="gramStart"/>
      <w:r w:rsidRPr="006B5C47">
        <w:lastRenderedPageBreak/>
        <w:t>12  Schedule</w:t>
      </w:r>
      <w:proofErr w:type="gramEnd"/>
      <w:r w:rsidRPr="006B5C47">
        <w:t> 8B (table item 446)</w:t>
      </w:r>
    </w:p>
    <w:p w14:paraId="13CC342E" w14:textId="77777777" w:rsidR="009320FD" w:rsidRPr="006B5C47" w:rsidRDefault="009320FD" w:rsidP="000F5FD6">
      <w:pPr>
        <w:pStyle w:val="Item"/>
      </w:pPr>
      <w:r w:rsidRPr="006B5C47">
        <w:t>Repeal the 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100"/>
        <w:gridCol w:w="2014"/>
        <w:gridCol w:w="4037"/>
      </w:tblGrid>
      <w:tr w:rsidR="009320FD" w:rsidRPr="006B5C47" w14:paraId="5D4C619A" w14:textId="77777777" w:rsidTr="009320FD">
        <w:trPr>
          <w:cantSplit/>
        </w:trPr>
        <w:tc>
          <w:tcPr>
            <w:tcW w:w="1100" w:type="dxa"/>
          </w:tcPr>
          <w:p w14:paraId="1BFA7A51" w14:textId="77777777" w:rsidR="009320FD" w:rsidRPr="006B5C47" w:rsidRDefault="009320FD" w:rsidP="000F5FD6">
            <w:pPr>
              <w:pStyle w:val="Tabletext"/>
            </w:pPr>
            <w:r w:rsidRPr="006B5C47">
              <w:t>446</w:t>
            </w:r>
          </w:p>
        </w:tc>
        <w:tc>
          <w:tcPr>
            <w:tcW w:w="2014" w:type="dxa"/>
          </w:tcPr>
          <w:p w14:paraId="73333257" w14:textId="77777777" w:rsidR="009320FD" w:rsidRPr="006B5C47" w:rsidRDefault="009320FD" w:rsidP="000F5FD6">
            <w:pPr>
              <w:pStyle w:val="Tabletext"/>
            </w:pPr>
            <w:r w:rsidRPr="006B5C47">
              <w:t>7306.30.00</w:t>
            </w:r>
          </w:p>
        </w:tc>
        <w:tc>
          <w:tcPr>
            <w:tcW w:w="4037" w:type="dxa"/>
          </w:tcPr>
          <w:p w14:paraId="0E1F274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5C33537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3815F9A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3E17A4C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2C19651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65474A44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7AF8EDA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3AC2803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52BE197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61E3053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</w:tbl>
    <w:p w14:paraId="5649417D" w14:textId="77777777" w:rsidR="009320FD" w:rsidRPr="006B5C47" w:rsidRDefault="009320FD" w:rsidP="000F5FD6">
      <w:pPr>
        <w:pStyle w:val="ItemHead"/>
      </w:pPr>
      <w:proofErr w:type="gramStart"/>
      <w:r w:rsidRPr="006B5C47">
        <w:t>13  Schedule</w:t>
      </w:r>
      <w:proofErr w:type="gramEnd"/>
      <w:r w:rsidRPr="006B5C47">
        <w:t> 8B (table items 448 to 451)</w:t>
      </w:r>
    </w:p>
    <w:p w14:paraId="53622B81" w14:textId="77777777" w:rsidR="009320FD" w:rsidRPr="006B5C47" w:rsidRDefault="009320FD" w:rsidP="000F5FD6">
      <w:pPr>
        <w:pStyle w:val="Item"/>
      </w:pPr>
      <w:r w:rsidRPr="006B5C47">
        <w:t>Repeal the items, substitute:</w:t>
      </w:r>
    </w:p>
    <w:tbl>
      <w:tblPr>
        <w:tblW w:w="0" w:type="auto"/>
        <w:tblInd w:w="113" w:type="dxa"/>
        <w:tblBorders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014"/>
        <w:gridCol w:w="4037"/>
      </w:tblGrid>
      <w:tr w:rsidR="009320FD" w:rsidRPr="006B5C47" w14:paraId="05B5B1A9" w14:textId="77777777" w:rsidTr="000E6E53">
        <w:tc>
          <w:tcPr>
            <w:tcW w:w="1100" w:type="dxa"/>
          </w:tcPr>
          <w:p w14:paraId="782BDE8F" w14:textId="77777777" w:rsidR="009320FD" w:rsidRPr="006B5C47" w:rsidRDefault="009320FD" w:rsidP="000F5FD6">
            <w:pPr>
              <w:pStyle w:val="Tabletext"/>
            </w:pPr>
            <w:r w:rsidRPr="006B5C47">
              <w:t>448</w:t>
            </w:r>
          </w:p>
        </w:tc>
        <w:tc>
          <w:tcPr>
            <w:tcW w:w="2014" w:type="dxa"/>
          </w:tcPr>
          <w:p w14:paraId="460606F7" w14:textId="77777777" w:rsidR="009320FD" w:rsidRPr="006B5C47" w:rsidRDefault="009320FD" w:rsidP="000F5FD6">
            <w:pPr>
              <w:pStyle w:val="Tabletext"/>
            </w:pPr>
            <w:r w:rsidRPr="006B5C47">
              <w:t>7306.50.00</w:t>
            </w:r>
          </w:p>
        </w:tc>
        <w:tc>
          <w:tcPr>
            <w:tcW w:w="4037" w:type="dxa"/>
          </w:tcPr>
          <w:p w14:paraId="704604A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492E3D9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0DFE5EB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7284728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5E2AECB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2FC87842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11: 2%</w:t>
            </w:r>
          </w:p>
          <w:p w14:paraId="38BA49E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5DB1F929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0FB0765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7FB9607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481D5069" w14:textId="77777777" w:rsidTr="000E6E53">
        <w:tc>
          <w:tcPr>
            <w:tcW w:w="1100" w:type="dxa"/>
          </w:tcPr>
          <w:p w14:paraId="266D555F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449</w:t>
            </w:r>
          </w:p>
        </w:tc>
        <w:tc>
          <w:tcPr>
            <w:tcW w:w="2014" w:type="dxa"/>
          </w:tcPr>
          <w:p w14:paraId="4B70E119" w14:textId="77777777" w:rsidR="009320FD" w:rsidRPr="006B5C47" w:rsidRDefault="009320FD" w:rsidP="000F5FD6">
            <w:pPr>
              <w:pStyle w:val="Tabletext"/>
            </w:pPr>
            <w:r w:rsidRPr="006B5C47">
              <w:t>7306.61.00</w:t>
            </w:r>
          </w:p>
        </w:tc>
        <w:tc>
          <w:tcPr>
            <w:tcW w:w="4037" w:type="dxa"/>
          </w:tcPr>
          <w:p w14:paraId="44784FC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56995B0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5445542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02B9989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251F6C1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4183622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6859B6A1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54C0225E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69F34EDB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3625182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5293C996" w14:textId="77777777" w:rsidTr="000E6E53">
        <w:tc>
          <w:tcPr>
            <w:tcW w:w="1100" w:type="dxa"/>
          </w:tcPr>
          <w:p w14:paraId="27A2B2B9" w14:textId="77777777" w:rsidR="009320FD" w:rsidRPr="006B5C47" w:rsidRDefault="009320FD" w:rsidP="000F5FD6">
            <w:pPr>
              <w:pStyle w:val="Tabletext"/>
            </w:pPr>
            <w:r w:rsidRPr="006B5C47">
              <w:t>450</w:t>
            </w:r>
          </w:p>
        </w:tc>
        <w:tc>
          <w:tcPr>
            <w:tcW w:w="2014" w:type="dxa"/>
          </w:tcPr>
          <w:p w14:paraId="27AF303C" w14:textId="77777777" w:rsidR="009320FD" w:rsidRPr="006B5C47" w:rsidRDefault="009320FD" w:rsidP="000F5FD6">
            <w:pPr>
              <w:pStyle w:val="Tabletext"/>
            </w:pPr>
            <w:r w:rsidRPr="006B5C47">
              <w:t>7306.69.00</w:t>
            </w:r>
          </w:p>
        </w:tc>
        <w:tc>
          <w:tcPr>
            <w:tcW w:w="4037" w:type="dxa"/>
          </w:tcPr>
          <w:p w14:paraId="06DA3D2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7D689BF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31353A2A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62051D7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794877FB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United Kingdom: From 1 January of year 10: 2.5%</w:t>
            </w:r>
          </w:p>
          <w:p w14:paraId="6C2FCDE5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00FAB1D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2C8480D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72503AE8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0AF0CA7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  <w:tr w:rsidR="009320FD" w:rsidRPr="006B5C47" w14:paraId="249AAAF0" w14:textId="77777777" w:rsidTr="000F5FD6">
        <w:tc>
          <w:tcPr>
            <w:tcW w:w="1100" w:type="dxa"/>
          </w:tcPr>
          <w:p w14:paraId="0AA96C97" w14:textId="77777777" w:rsidR="009320FD" w:rsidRPr="006B5C47" w:rsidRDefault="009320FD" w:rsidP="000F5FD6">
            <w:pPr>
              <w:pStyle w:val="Tabletext"/>
            </w:pPr>
            <w:r w:rsidRPr="006B5C47">
              <w:lastRenderedPageBreak/>
              <w:t>451</w:t>
            </w:r>
          </w:p>
        </w:tc>
        <w:tc>
          <w:tcPr>
            <w:tcW w:w="2014" w:type="dxa"/>
          </w:tcPr>
          <w:p w14:paraId="20B7A251" w14:textId="77777777" w:rsidR="009320FD" w:rsidRPr="006B5C47" w:rsidRDefault="009320FD" w:rsidP="000F5FD6">
            <w:pPr>
              <w:pStyle w:val="Tabletext"/>
            </w:pPr>
            <w:r w:rsidRPr="006B5C47">
              <w:t>7306.90.00</w:t>
            </w:r>
          </w:p>
        </w:tc>
        <w:tc>
          <w:tcPr>
            <w:tcW w:w="4037" w:type="dxa"/>
          </w:tcPr>
          <w:p w14:paraId="3FDABF83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6: 4.5%</w:t>
            </w:r>
          </w:p>
          <w:p w14:paraId="45F1E65F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7: 4%</w:t>
            </w:r>
          </w:p>
          <w:p w14:paraId="6C1FA5EC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8: 3.5%</w:t>
            </w:r>
          </w:p>
          <w:p w14:paraId="152D3FA7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9: 3%</w:t>
            </w:r>
          </w:p>
          <w:p w14:paraId="03EFB952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10: 2.5%</w:t>
            </w:r>
          </w:p>
          <w:p w14:paraId="1EA5357D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11: 2%</w:t>
            </w:r>
          </w:p>
          <w:p w14:paraId="4301C6D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12: 1.5%</w:t>
            </w:r>
          </w:p>
          <w:p w14:paraId="36350190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13: 1%</w:t>
            </w:r>
          </w:p>
          <w:p w14:paraId="2A89CFA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14: 0.5%</w:t>
            </w:r>
          </w:p>
          <w:p w14:paraId="03EFE116" w14:textId="77777777" w:rsidR="009320FD" w:rsidRPr="006B5C47" w:rsidRDefault="009320FD" w:rsidP="000F5FD6">
            <w:pPr>
              <w:pStyle w:val="Tabletext"/>
            </w:pPr>
            <w:r w:rsidRPr="006B5C47">
              <w:t>United Kingdom: From 1 January of year 15: Free</w:t>
            </w:r>
          </w:p>
        </w:tc>
      </w:tr>
    </w:tbl>
    <w:p w14:paraId="5C9C7787" w14:textId="77777777" w:rsidR="00850374" w:rsidRPr="006B5C47" w:rsidRDefault="00E273B7" w:rsidP="000F5FD6">
      <w:pPr>
        <w:pStyle w:val="Transitional"/>
      </w:pPr>
      <w:proofErr w:type="gramStart"/>
      <w:r w:rsidRPr="006B5C47">
        <w:t>14</w:t>
      </w:r>
      <w:r w:rsidR="00850374" w:rsidRPr="006B5C47">
        <w:t xml:space="preserve">  Application</w:t>
      </w:r>
      <w:proofErr w:type="gramEnd"/>
      <w:r w:rsidR="00850374" w:rsidRPr="006B5C47">
        <w:t xml:space="preserve"> provision</w:t>
      </w:r>
    </w:p>
    <w:p w14:paraId="79A254AD" w14:textId="77777777" w:rsidR="00850374" w:rsidRPr="006B5C47" w:rsidRDefault="00850374" w:rsidP="000F5FD6">
      <w:pPr>
        <w:pStyle w:val="Item"/>
      </w:pPr>
      <w:r w:rsidRPr="006B5C47">
        <w:t>The amendments made by this Schedule apply in relation to:</w:t>
      </w:r>
    </w:p>
    <w:p w14:paraId="63975A7F" w14:textId="77777777" w:rsidR="00850374" w:rsidRPr="006B5C47" w:rsidRDefault="00850374" w:rsidP="000F5FD6">
      <w:pPr>
        <w:pStyle w:val="paragraph"/>
      </w:pPr>
      <w:r w:rsidRPr="006B5C47">
        <w:tab/>
        <w:t>(a)</w:t>
      </w:r>
      <w:r w:rsidRPr="006B5C47">
        <w:tab/>
        <w:t>goods imported into Australia on or after the commencement of this Schedule; and</w:t>
      </w:r>
    </w:p>
    <w:p w14:paraId="40779879" w14:textId="77777777" w:rsidR="00850374" w:rsidRDefault="00850374" w:rsidP="000F5FD6">
      <w:pPr>
        <w:pStyle w:val="paragraph"/>
      </w:pPr>
      <w:r w:rsidRPr="006B5C47">
        <w:lastRenderedPageBreak/>
        <w:tab/>
        <w:t>(b)</w:t>
      </w:r>
      <w:r w:rsidRPr="006B5C47">
        <w:tab/>
        <w:t xml:space="preserve">goods imported into Australia before the commencement of this </w:t>
      </w:r>
      <w:r w:rsidR="00FB641B" w:rsidRPr="006B5C47">
        <w:t>Schedule</w:t>
      </w:r>
      <w:r w:rsidRPr="006B5C47">
        <w:t>, where the time for working out the rate of import duty on the goods had not occurred before the commencement of this Schedule.</w:t>
      </w:r>
    </w:p>
    <w:p w14:paraId="38A8FB3F" w14:textId="77777777" w:rsidR="008A1716" w:rsidRDefault="008A1716" w:rsidP="008A1716"/>
    <w:p w14:paraId="45BB6891" w14:textId="77777777" w:rsidR="008A1716" w:rsidRDefault="008A1716" w:rsidP="008A1716">
      <w:pPr>
        <w:pStyle w:val="AssentBk"/>
        <w:keepNext/>
      </w:pPr>
    </w:p>
    <w:p w14:paraId="41A763DC" w14:textId="77777777" w:rsidR="008A1716" w:rsidRDefault="008A1716" w:rsidP="008A1716">
      <w:pPr>
        <w:pStyle w:val="AssentBk"/>
        <w:keepNext/>
      </w:pPr>
    </w:p>
    <w:p w14:paraId="4DAEB8F3" w14:textId="77777777" w:rsidR="008A1716" w:rsidRDefault="008A1716" w:rsidP="008A1716">
      <w:pPr>
        <w:pStyle w:val="2ndRd"/>
        <w:keepNext/>
        <w:pBdr>
          <w:top w:val="single" w:sz="2" w:space="1" w:color="auto"/>
        </w:pBdr>
      </w:pPr>
    </w:p>
    <w:p w14:paraId="0E7D5206" w14:textId="77777777" w:rsidR="008A1716" w:rsidRDefault="008A1716" w:rsidP="008A1716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78C0732A" w14:textId="6BCBDABF" w:rsidR="008A1716" w:rsidRDefault="008A1716" w:rsidP="008A1716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11 September 2024</w:t>
      </w:r>
    </w:p>
    <w:p w14:paraId="0A0EFAF0" w14:textId="319EB3CD" w:rsidR="008A1716" w:rsidRDefault="008A1716" w:rsidP="008A1716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October 2024</w:t>
      </w:r>
      <w:r>
        <w:t>]</w:t>
      </w:r>
    </w:p>
    <w:p w14:paraId="7BBD7338" w14:textId="77777777" w:rsidR="008A1716" w:rsidRDefault="008A1716" w:rsidP="008A1716"/>
    <w:p w14:paraId="2C3ABC37" w14:textId="5ABFEF64" w:rsidR="0073040D" w:rsidRPr="008A1716" w:rsidRDefault="008A1716" w:rsidP="008A1716">
      <w:pPr>
        <w:framePr w:hSpace="181" w:wrap="around" w:vAnchor="page" w:hAnchor="page" w:x="2399" w:y="12061"/>
      </w:pPr>
      <w:r>
        <w:t>(107/24)</w:t>
      </w:r>
    </w:p>
    <w:p w14:paraId="485E0A5A" w14:textId="77777777" w:rsidR="008A1716" w:rsidRDefault="008A1716"/>
    <w:sectPr w:rsidR="008A1716" w:rsidSect="0073040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72BB4" w14:textId="77777777" w:rsidR="000451A8" w:rsidRDefault="000451A8" w:rsidP="0048364F">
      <w:pPr>
        <w:spacing w:line="240" w:lineRule="auto"/>
      </w:pPr>
      <w:r>
        <w:separator/>
      </w:r>
    </w:p>
  </w:endnote>
  <w:endnote w:type="continuationSeparator" w:id="0">
    <w:p w14:paraId="02673658" w14:textId="77777777" w:rsidR="000451A8" w:rsidRDefault="000451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C56E1" w14:textId="77777777" w:rsidR="008A1716" w:rsidRPr="005F1388" w:rsidRDefault="008A1716" w:rsidP="000F5FD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A92D2" w14:textId="639F943E" w:rsidR="008A1716" w:rsidRDefault="008A1716" w:rsidP="008A1716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6DBF6C03" w14:textId="77777777" w:rsidR="008A1716" w:rsidRDefault="008A1716" w:rsidP="008A1716"/>
  <w:p w14:paraId="085452B4" w14:textId="5944D2DF" w:rsidR="008A1716" w:rsidRDefault="008A1716" w:rsidP="000F5FD6">
    <w:pPr>
      <w:pStyle w:val="Footer"/>
      <w:spacing w:before="120"/>
    </w:pPr>
  </w:p>
  <w:p w14:paraId="25F56D0D" w14:textId="77777777" w:rsidR="008A1716" w:rsidRPr="005F1388" w:rsidRDefault="008A171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F76AE" w14:textId="77777777" w:rsidR="008A1716" w:rsidRPr="00ED79B6" w:rsidRDefault="008A1716" w:rsidP="000F5FD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0CE05" w14:textId="77777777" w:rsidR="008A1716" w:rsidRDefault="008A1716" w:rsidP="000F5FD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A1716" w14:paraId="2C620749" w14:textId="77777777" w:rsidTr="0018161B">
      <w:tc>
        <w:tcPr>
          <w:tcW w:w="646" w:type="dxa"/>
        </w:tcPr>
        <w:p w14:paraId="42FC8C34" w14:textId="77777777" w:rsidR="008A1716" w:rsidRDefault="008A1716" w:rsidP="0018161B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D9B806D" w14:textId="2E367D4E" w:rsidR="008A1716" w:rsidRDefault="008A1716" w:rsidP="0018161B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70243">
            <w:rPr>
              <w:i/>
              <w:sz w:val="18"/>
            </w:rPr>
            <w:t>Customs Tariff Amendment (Comprehensive and Progressive Agreement for Trans-Pacific Partnership Expansion)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19AD820" w14:textId="5C9961E2" w:rsidR="008A1716" w:rsidRDefault="008A1716" w:rsidP="0018161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70243">
            <w:rPr>
              <w:i/>
              <w:sz w:val="18"/>
            </w:rPr>
            <w:t>No. 94,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BE562F" w14:textId="77777777" w:rsidR="008A1716" w:rsidRDefault="008A171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E4717" w14:textId="77777777" w:rsidR="008A1716" w:rsidRDefault="008A1716" w:rsidP="000F5FD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A1716" w14:paraId="3215E9D4" w14:textId="77777777" w:rsidTr="0018161B">
      <w:tc>
        <w:tcPr>
          <w:tcW w:w="1247" w:type="dxa"/>
        </w:tcPr>
        <w:p w14:paraId="5DEA26C7" w14:textId="3A749230" w:rsidR="008A1716" w:rsidRDefault="008A1716" w:rsidP="0018161B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70243">
            <w:rPr>
              <w:i/>
              <w:sz w:val="18"/>
            </w:rPr>
            <w:t>No. 94,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ADE8FEF" w14:textId="4F0FE4EF" w:rsidR="008A1716" w:rsidRDefault="008A1716" w:rsidP="0018161B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70243">
            <w:rPr>
              <w:i/>
              <w:sz w:val="18"/>
            </w:rPr>
            <w:t>Customs Tariff Amendment (Comprehensive and Progressive Agreement for Trans-Pacific Partnership Expansion)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744B664" w14:textId="77777777" w:rsidR="008A1716" w:rsidRDefault="008A1716" w:rsidP="0018161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B83925" w14:textId="77777777" w:rsidR="008A1716" w:rsidRPr="00ED79B6" w:rsidRDefault="008A1716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E25CF" w14:textId="77777777" w:rsidR="008A1716" w:rsidRPr="00A961C4" w:rsidRDefault="008A1716" w:rsidP="000F5FD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A1716" w14:paraId="747D6B34" w14:textId="77777777" w:rsidTr="006B5C47">
      <w:tc>
        <w:tcPr>
          <w:tcW w:w="646" w:type="dxa"/>
        </w:tcPr>
        <w:p w14:paraId="5C2D55BB" w14:textId="77777777" w:rsidR="008A1716" w:rsidRDefault="008A1716" w:rsidP="0018161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23ED77A" w14:textId="3ED44CC5" w:rsidR="008A1716" w:rsidRDefault="008A1716" w:rsidP="0018161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70243">
            <w:rPr>
              <w:i/>
              <w:sz w:val="18"/>
            </w:rPr>
            <w:t>Customs Tariff Amendment (Comprehensive and Progressive Agreement for Trans-Pacific Partnership Expansion)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FDD366A" w14:textId="075B427C" w:rsidR="008A1716" w:rsidRDefault="008A1716" w:rsidP="0018161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70243">
            <w:rPr>
              <w:i/>
              <w:sz w:val="18"/>
            </w:rPr>
            <w:t>No. 94,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A869CE9" w14:textId="77777777" w:rsidR="008A1716" w:rsidRPr="00A961C4" w:rsidRDefault="008A1716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5E4D6" w14:textId="77777777" w:rsidR="008A1716" w:rsidRPr="00A961C4" w:rsidRDefault="008A1716" w:rsidP="000F5FD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A1716" w14:paraId="45C74C50" w14:textId="77777777" w:rsidTr="006B5C47">
      <w:tc>
        <w:tcPr>
          <w:tcW w:w="1247" w:type="dxa"/>
        </w:tcPr>
        <w:p w14:paraId="3B489446" w14:textId="7E7221A4" w:rsidR="008A1716" w:rsidRDefault="008A1716" w:rsidP="0018161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70243">
            <w:rPr>
              <w:i/>
              <w:sz w:val="18"/>
            </w:rPr>
            <w:t>No. 94,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A6D138D" w14:textId="34F81644" w:rsidR="008A1716" w:rsidRDefault="008A1716" w:rsidP="0018161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70243">
            <w:rPr>
              <w:i/>
              <w:sz w:val="18"/>
            </w:rPr>
            <w:t>Customs Tariff Amendment (Comprehensive and Progressive Agreement for Trans-Pacific Partnership Expansion)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593E50E" w14:textId="77777777" w:rsidR="008A1716" w:rsidRDefault="008A1716" w:rsidP="0018161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9C76737" w14:textId="77777777" w:rsidR="008A1716" w:rsidRPr="00055B5C" w:rsidRDefault="008A1716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0D0B9" w14:textId="77777777" w:rsidR="008A1716" w:rsidRPr="00A961C4" w:rsidRDefault="008A1716" w:rsidP="000F5FD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A1716" w14:paraId="701FE73D" w14:textId="77777777" w:rsidTr="006B5C47">
      <w:tc>
        <w:tcPr>
          <w:tcW w:w="1247" w:type="dxa"/>
        </w:tcPr>
        <w:p w14:paraId="05143376" w14:textId="057C9FC3" w:rsidR="008A1716" w:rsidRDefault="008A1716" w:rsidP="0018161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70243">
            <w:rPr>
              <w:i/>
              <w:sz w:val="18"/>
            </w:rPr>
            <w:t>No. 94,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306D8B5" w14:textId="214762BE" w:rsidR="008A1716" w:rsidRDefault="008A1716" w:rsidP="0018161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70243">
            <w:rPr>
              <w:i/>
              <w:sz w:val="18"/>
            </w:rPr>
            <w:t>Customs Tariff Amendment (Comprehensive and Progressive Agreement for Trans-Pacific Partnership Expansion)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8B48359" w14:textId="77777777" w:rsidR="008A1716" w:rsidRDefault="008A1716" w:rsidP="0018161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2F6FD4F" w14:textId="77777777" w:rsidR="008A1716" w:rsidRPr="00A961C4" w:rsidRDefault="008A1716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B6A0" w14:textId="77777777" w:rsidR="000451A8" w:rsidRDefault="000451A8" w:rsidP="0048364F">
      <w:pPr>
        <w:spacing w:line="240" w:lineRule="auto"/>
      </w:pPr>
      <w:r>
        <w:separator/>
      </w:r>
    </w:p>
  </w:footnote>
  <w:footnote w:type="continuationSeparator" w:id="0">
    <w:p w14:paraId="3CDE583F" w14:textId="77777777" w:rsidR="000451A8" w:rsidRDefault="000451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69A6" w14:textId="77777777" w:rsidR="008A1716" w:rsidRPr="005F1388" w:rsidRDefault="008A171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1FCAD" w14:textId="77777777" w:rsidR="008A1716" w:rsidRPr="005F1388" w:rsidRDefault="008A171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A9780" w14:textId="77777777" w:rsidR="008A1716" w:rsidRPr="005F1388" w:rsidRDefault="008A171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E1994" w14:textId="77777777" w:rsidR="008A1716" w:rsidRPr="00ED79B6" w:rsidRDefault="008A1716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160C" w14:textId="77777777" w:rsidR="008A1716" w:rsidRPr="00ED79B6" w:rsidRDefault="008A1716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5C75" w14:textId="77777777" w:rsidR="008A1716" w:rsidRPr="00ED79B6" w:rsidRDefault="008A171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E438B" w14:textId="62F52099" w:rsidR="008A1716" w:rsidRPr="00A961C4" w:rsidRDefault="008A171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70243">
      <w:rPr>
        <w:b/>
        <w:sz w:val="20"/>
      </w:rPr>
      <w:fldChar w:fldCharType="separate"/>
    </w:r>
    <w:r w:rsidR="0037024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70243">
      <w:rPr>
        <w:sz w:val="20"/>
      </w:rPr>
      <w:fldChar w:fldCharType="separate"/>
    </w:r>
    <w:r w:rsidR="00370243">
      <w:rPr>
        <w:noProof/>
        <w:sz w:val="20"/>
      </w:rPr>
      <w:t>Amendments</w:t>
    </w:r>
    <w:r>
      <w:rPr>
        <w:sz w:val="20"/>
      </w:rPr>
      <w:fldChar w:fldCharType="end"/>
    </w:r>
  </w:p>
  <w:p w14:paraId="0811EEC9" w14:textId="728B2B9F" w:rsidR="008A1716" w:rsidRPr="00A961C4" w:rsidRDefault="008A171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3024CD8" w14:textId="77777777" w:rsidR="008A1716" w:rsidRPr="00A961C4" w:rsidRDefault="008A1716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A3940" w14:textId="1CA60350" w:rsidR="008A1716" w:rsidRPr="00A961C4" w:rsidRDefault="008A171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70243">
      <w:rPr>
        <w:sz w:val="20"/>
      </w:rPr>
      <w:fldChar w:fldCharType="separate"/>
    </w:r>
    <w:r w:rsidR="0037024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70243">
      <w:rPr>
        <w:b/>
        <w:sz w:val="20"/>
      </w:rPr>
      <w:fldChar w:fldCharType="separate"/>
    </w:r>
    <w:r w:rsidR="0037024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1D309EB" w14:textId="3059B7E1" w:rsidR="008A1716" w:rsidRPr="00A961C4" w:rsidRDefault="008A171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83042A7" w14:textId="77777777" w:rsidR="008A1716" w:rsidRPr="00A961C4" w:rsidRDefault="008A1716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C84D" w14:textId="77777777" w:rsidR="008A1716" w:rsidRPr="00A961C4" w:rsidRDefault="008A171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28213482">
    <w:abstractNumId w:val="9"/>
  </w:num>
  <w:num w:numId="2" w16cid:durableId="118843287">
    <w:abstractNumId w:val="7"/>
  </w:num>
  <w:num w:numId="3" w16cid:durableId="2085956715">
    <w:abstractNumId w:val="6"/>
  </w:num>
  <w:num w:numId="4" w16cid:durableId="412894176">
    <w:abstractNumId w:val="5"/>
  </w:num>
  <w:num w:numId="5" w16cid:durableId="400178237">
    <w:abstractNumId w:val="4"/>
  </w:num>
  <w:num w:numId="6" w16cid:durableId="486749396">
    <w:abstractNumId w:val="8"/>
  </w:num>
  <w:num w:numId="7" w16cid:durableId="1257715255">
    <w:abstractNumId w:val="3"/>
  </w:num>
  <w:num w:numId="8" w16cid:durableId="633482867">
    <w:abstractNumId w:val="2"/>
  </w:num>
  <w:num w:numId="9" w16cid:durableId="1504708906">
    <w:abstractNumId w:val="1"/>
  </w:num>
  <w:num w:numId="10" w16cid:durableId="1402294310">
    <w:abstractNumId w:val="0"/>
  </w:num>
  <w:num w:numId="11" w16cid:durableId="1582447553">
    <w:abstractNumId w:val="11"/>
  </w:num>
  <w:num w:numId="12" w16cid:durableId="713315107">
    <w:abstractNumId w:val="10"/>
  </w:num>
  <w:num w:numId="13" w16cid:durableId="708338243">
    <w:abstractNumId w:val="13"/>
  </w:num>
  <w:num w:numId="14" w16cid:durableId="1458793635">
    <w:abstractNumId w:val="12"/>
  </w:num>
  <w:num w:numId="15" w16cid:durableId="8671350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7813"/>
    <w:rsid w:val="00003370"/>
    <w:rsid w:val="00005D25"/>
    <w:rsid w:val="000113BC"/>
    <w:rsid w:val="000136AF"/>
    <w:rsid w:val="000137B2"/>
    <w:rsid w:val="00015DA4"/>
    <w:rsid w:val="00015E13"/>
    <w:rsid w:val="000162B8"/>
    <w:rsid w:val="000417C9"/>
    <w:rsid w:val="000451A8"/>
    <w:rsid w:val="00055B5C"/>
    <w:rsid w:val="00056391"/>
    <w:rsid w:val="00060FF9"/>
    <w:rsid w:val="000614BF"/>
    <w:rsid w:val="00061574"/>
    <w:rsid w:val="000665AB"/>
    <w:rsid w:val="000838FC"/>
    <w:rsid w:val="000904F0"/>
    <w:rsid w:val="0009533D"/>
    <w:rsid w:val="000B1FD2"/>
    <w:rsid w:val="000B491C"/>
    <w:rsid w:val="000D05EF"/>
    <w:rsid w:val="000E415C"/>
    <w:rsid w:val="000E6E53"/>
    <w:rsid w:val="000F08CF"/>
    <w:rsid w:val="000F21C1"/>
    <w:rsid w:val="000F316E"/>
    <w:rsid w:val="000F5FD6"/>
    <w:rsid w:val="00101D90"/>
    <w:rsid w:val="0010745C"/>
    <w:rsid w:val="00113BD1"/>
    <w:rsid w:val="00116D73"/>
    <w:rsid w:val="00122206"/>
    <w:rsid w:val="001417B3"/>
    <w:rsid w:val="0015646E"/>
    <w:rsid w:val="001643C9"/>
    <w:rsid w:val="00165568"/>
    <w:rsid w:val="00166C2F"/>
    <w:rsid w:val="001716C9"/>
    <w:rsid w:val="001721FF"/>
    <w:rsid w:val="00173062"/>
    <w:rsid w:val="00173363"/>
    <w:rsid w:val="00173B94"/>
    <w:rsid w:val="0018161B"/>
    <w:rsid w:val="001854B4"/>
    <w:rsid w:val="001939E1"/>
    <w:rsid w:val="00195382"/>
    <w:rsid w:val="001A0291"/>
    <w:rsid w:val="001A3658"/>
    <w:rsid w:val="001A759A"/>
    <w:rsid w:val="001B5EB2"/>
    <w:rsid w:val="001B633C"/>
    <w:rsid w:val="001B7A5D"/>
    <w:rsid w:val="001C2418"/>
    <w:rsid w:val="001C295E"/>
    <w:rsid w:val="001C69C4"/>
    <w:rsid w:val="001E3590"/>
    <w:rsid w:val="001E7407"/>
    <w:rsid w:val="00201D27"/>
    <w:rsid w:val="00202618"/>
    <w:rsid w:val="00203282"/>
    <w:rsid w:val="00225735"/>
    <w:rsid w:val="0023257D"/>
    <w:rsid w:val="00240749"/>
    <w:rsid w:val="0024309E"/>
    <w:rsid w:val="00245CB9"/>
    <w:rsid w:val="002533EF"/>
    <w:rsid w:val="00263820"/>
    <w:rsid w:val="00275197"/>
    <w:rsid w:val="002770D0"/>
    <w:rsid w:val="00293B89"/>
    <w:rsid w:val="00297ECB"/>
    <w:rsid w:val="002A09F6"/>
    <w:rsid w:val="002A1228"/>
    <w:rsid w:val="002B3650"/>
    <w:rsid w:val="002B5A30"/>
    <w:rsid w:val="002D043A"/>
    <w:rsid w:val="002D395A"/>
    <w:rsid w:val="002D3F79"/>
    <w:rsid w:val="002D7B66"/>
    <w:rsid w:val="002E5BF9"/>
    <w:rsid w:val="002E7CB7"/>
    <w:rsid w:val="002F2E0D"/>
    <w:rsid w:val="002F5A80"/>
    <w:rsid w:val="002F6008"/>
    <w:rsid w:val="00303564"/>
    <w:rsid w:val="00306535"/>
    <w:rsid w:val="00321DB5"/>
    <w:rsid w:val="00330DBF"/>
    <w:rsid w:val="0033200B"/>
    <w:rsid w:val="00336104"/>
    <w:rsid w:val="0034127F"/>
    <w:rsid w:val="003415D3"/>
    <w:rsid w:val="00350417"/>
    <w:rsid w:val="00352B0F"/>
    <w:rsid w:val="00357B9C"/>
    <w:rsid w:val="00361EFF"/>
    <w:rsid w:val="00363EE7"/>
    <w:rsid w:val="00370243"/>
    <w:rsid w:val="0037292D"/>
    <w:rsid w:val="00373874"/>
    <w:rsid w:val="00375C6C"/>
    <w:rsid w:val="003872E2"/>
    <w:rsid w:val="003A7B3C"/>
    <w:rsid w:val="003B18E3"/>
    <w:rsid w:val="003B255F"/>
    <w:rsid w:val="003B4E3D"/>
    <w:rsid w:val="003B7218"/>
    <w:rsid w:val="003C1203"/>
    <w:rsid w:val="003C5F2B"/>
    <w:rsid w:val="003D0BA7"/>
    <w:rsid w:val="003D0BFE"/>
    <w:rsid w:val="003D5700"/>
    <w:rsid w:val="003E6143"/>
    <w:rsid w:val="003E7DD1"/>
    <w:rsid w:val="00405579"/>
    <w:rsid w:val="00410B8E"/>
    <w:rsid w:val="004116CD"/>
    <w:rsid w:val="00411868"/>
    <w:rsid w:val="00421FC1"/>
    <w:rsid w:val="004229C7"/>
    <w:rsid w:val="00424CA9"/>
    <w:rsid w:val="00436785"/>
    <w:rsid w:val="00436BD5"/>
    <w:rsid w:val="00437E4B"/>
    <w:rsid w:val="00441A53"/>
    <w:rsid w:val="0044291A"/>
    <w:rsid w:val="00460EEA"/>
    <w:rsid w:val="00465A2C"/>
    <w:rsid w:val="00472DA2"/>
    <w:rsid w:val="004773CC"/>
    <w:rsid w:val="0048196B"/>
    <w:rsid w:val="0048364F"/>
    <w:rsid w:val="00486D05"/>
    <w:rsid w:val="00496F97"/>
    <w:rsid w:val="004A58D2"/>
    <w:rsid w:val="004C7C8C"/>
    <w:rsid w:val="004E2A4A"/>
    <w:rsid w:val="004F0D23"/>
    <w:rsid w:val="004F1FAC"/>
    <w:rsid w:val="004F4A72"/>
    <w:rsid w:val="00516B8D"/>
    <w:rsid w:val="005178D0"/>
    <w:rsid w:val="00523475"/>
    <w:rsid w:val="005246E6"/>
    <w:rsid w:val="00537FBC"/>
    <w:rsid w:val="00543469"/>
    <w:rsid w:val="00545D52"/>
    <w:rsid w:val="00551B54"/>
    <w:rsid w:val="005602EE"/>
    <w:rsid w:val="0056750B"/>
    <w:rsid w:val="005738B8"/>
    <w:rsid w:val="00584811"/>
    <w:rsid w:val="00590EB4"/>
    <w:rsid w:val="00593AA6"/>
    <w:rsid w:val="00594161"/>
    <w:rsid w:val="00594749"/>
    <w:rsid w:val="005A0D92"/>
    <w:rsid w:val="005B4067"/>
    <w:rsid w:val="005B5164"/>
    <w:rsid w:val="005C3F41"/>
    <w:rsid w:val="005D386A"/>
    <w:rsid w:val="005D7DD9"/>
    <w:rsid w:val="005E152A"/>
    <w:rsid w:val="005F0088"/>
    <w:rsid w:val="005F11B1"/>
    <w:rsid w:val="00600219"/>
    <w:rsid w:val="006167FD"/>
    <w:rsid w:val="00620CA6"/>
    <w:rsid w:val="00624B36"/>
    <w:rsid w:val="00630347"/>
    <w:rsid w:val="00632F4D"/>
    <w:rsid w:val="00636726"/>
    <w:rsid w:val="00641DE5"/>
    <w:rsid w:val="00656F0C"/>
    <w:rsid w:val="006652B9"/>
    <w:rsid w:val="00675AD4"/>
    <w:rsid w:val="00675E9A"/>
    <w:rsid w:val="00677CC2"/>
    <w:rsid w:val="00681F92"/>
    <w:rsid w:val="006842C2"/>
    <w:rsid w:val="00685F42"/>
    <w:rsid w:val="00690F7B"/>
    <w:rsid w:val="0069207B"/>
    <w:rsid w:val="006A4B23"/>
    <w:rsid w:val="006B1C7B"/>
    <w:rsid w:val="006B2B82"/>
    <w:rsid w:val="006B44A2"/>
    <w:rsid w:val="006B5C47"/>
    <w:rsid w:val="006C2874"/>
    <w:rsid w:val="006C7F8C"/>
    <w:rsid w:val="006D380D"/>
    <w:rsid w:val="006E0135"/>
    <w:rsid w:val="006E303A"/>
    <w:rsid w:val="006E48A6"/>
    <w:rsid w:val="006E5748"/>
    <w:rsid w:val="006F0DED"/>
    <w:rsid w:val="006F4327"/>
    <w:rsid w:val="006F76BB"/>
    <w:rsid w:val="006F7E19"/>
    <w:rsid w:val="00700B2C"/>
    <w:rsid w:val="00711E8A"/>
    <w:rsid w:val="00712D8D"/>
    <w:rsid w:val="00713084"/>
    <w:rsid w:val="00714B26"/>
    <w:rsid w:val="00716333"/>
    <w:rsid w:val="007236D9"/>
    <w:rsid w:val="0073040D"/>
    <w:rsid w:val="00731E00"/>
    <w:rsid w:val="007357EB"/>
    <w:rsid w:val="00740DA5"/>
    <w:rsid w:val="007440B7"/>
    <w:rsid w:val="007526C5"/>
    <w:rsid w:val="007634AD"/>
    <w:rsid w:val="007715C9"/>
    <w:rsid w:val="007723F8"/>
    <w:rsid w:val="00772F77"/>
    <w:rsid w:val="0077326D"/>
    <w:rsid w:val="00774EDD"/>
    <w:rsid w:val="007757EC"/>
    <w:rsid w:val="00777813"/>
    <w:rsid w:val="00784EFA"/>
    <w:rsid w:val="007A08E6"/>
    <w:rsid w:val="007A567F"/>
    <w:rsid w:val="007B30AA"/>
    <w:rsid w:val="007D6DA3"/>
    <w:rsid w:val="007E7D4A"/>
    <w:rsid w:val="007F75A3"/>
    <w:rsid w:val="0080017D"/>
    <w:rsid w:val="008006CC"/>
    <w:rsid w:val="00807F18"/>
    <w:rsid w:val="00827DA4"/>
    <w:rsid w:val="00831E8D"/>
    <w:rsid w:val="00841E29"/>
    <w:rsid w:val="00850374"/>
    <w:rsid w:val="00856A31"/>
    <w:rsid w:val="00857D6B"/>
    <w:rsid w:val="00860CA2"/>
    <w:rsid w:val="008754D0"/>
    <w:rsid w:val="00876322"/>
    <w:rsid w:val="00877D48"/>
    <w:rsid w:val="00882178"/>
    <w:rsid w:val="00883781"/>
    <w:rsid w:val="00885570"/>
    <w:rsid w:val="00891491"/>
    <w:rsid w:val="00893958"/>
    <w:rsid w:val="008A1716"/>
    <w:rsid w:val="008A2C36"/>
    <w:rsid w:val="008A2E77"/>
    <w:rsid w:val="008A731A"/>
    <w:rsid w:val="008B72E8"/>
    <w:rsid w:val="008C6F6F"/>
    <w:rsid w:val="008D0EE0"/>
    <w:rsid w:val="008D3E94"/>
    <w:rsid w:val="008F3E98"/>
    <w:rsid w:val="008F4F1C"/>
    <w:rsid w:val="008F77C4"/>
    <w:rsid w:val="009042C9"/>
    <w:rsid w:val="009103F3"/>
    <w:rsid w:val="009266D1"/>
    <w:rsid w:val="009320FD"/>
    <w:rsid w:val="00932377"/>
    <w:rsid w:val="00933E46"/>
    <w:rsid w:val="00943221"/>
    <w:rsid w:val="00944935"/>
    <w:rsid w:val="00961E22"/>
    <w:rsid w:val="00966C15"/>
    <w:rsid w:val="00967042"/>
    <w:rsid w:val="00970B5D"/>
    <w:rsid w:val="00974013"/>
    <w:rsid w:val="009803B3"/>
    <w:rsid w:val="0098255A"/>
    <w:rsid w:val="009845BE"/>
    <w:rsid w:val="009969C9"/>
    <w:rsid w:val="00997EEE"/>
    <w:rsid w:val="009A610A"/>
    <w:rsid w:val="009A68B5"/>
    <w:rsid w:val="009C3174"/>
    <w:rsid w:val="009C658D"/>
    <w:rsid w:val="009D497C"/>
    <w:rsid w:val="009D58CA"/>
    <w:rsid w:val="009E186E"/>
    <w:rsid w:val="009F27E5"/>
    <w:rsid w:val="009F7BD0"/>
    <w:rsid w:val="00A048FF"/>
    <w:rsid w:val="00A10775"/>
    <w:rsid w:val="00A1554A"/>
    <w:rsid w:val="00A16F0D"/>
    <w:rsid w:val="00A231E2"/>
    <w:rsid w:val="00A356EA"/>
    <w:rsid w:val="00A36C48"/>
    <w:rsid w:val="00A37750"/>
    <w:rsid w:val="00A41E0B"/>
    <w:rsid w:val="00A46F82"/>
    <w:rsid w:val="00A55631"/>
    <w:rsid w:val="00A64912"/>
    <w:rsid w:val="00A70A74"/>
    <w:rsid w:val="00A77302"/>
    <w:rsid w:val="00A833E0"/>
    <w:rsid w:val="00A859A6"/>
    <w:rsid w:val="00A90465"/>
    <w:rsid w:val="00AA3795"/>
    <w:rsid w:val="00AC1E75"/>
    <w:rsid w:val="00AD5641"/>
    <w:rsid w:val="00AD6EAA"/>
    <w:rsid w:val="00AE1088"/>
    <w:rsid w:val="00AE3AFE"/>
    <w:rsid w:val="00AF1BA4"/>
    <w:rsid w:val="00B032D8"/>
    <w:rsid w:val="00B318B3"/>
    <w:rsid w:val="00B32BE2"/>
    <w:rsid w:val="00B33B3C"/>
    <w:rsid w:val="00B370C0"/>
    <w:rsid w:val="00B41753"/>
    <w:rsid w:val="00B43EA4"/>
    <w:rsid w:val="00B540C3"/>
    <w:rsid w:val="00B6382D"/>
    <w:rsid w:val="00B92576"/>
    <w:rsid w:val="00BA5026"/>
    <w:rsid w:val="00BB40BF"/>
    <w:rsid w:val="00BB69DC"/>
    <w:rsid w:val="00BC0CD1"/>
    <w:rsid w:val="00BC5D22"/>
    <w:rsid w:val="00BD477D"/>
    <w:rsid w:val="00BE719A"/>
    <w:rsid w:val="00BE720A"/>
    <w:rsid w:val="00BF0461"/>
    <w:rsid w:val="00BF242A"/>
    <w:rsid w:val="00BF4944"/>
    <w:rsid w:val="00BF56D4"/>
    <w:rsid w:val="00BF7894"/>
    <w:rsid w:val="00C04409"/>
    <w:rsid w:val="00C067E5"/>
    <w:rsid w:val="00C15939"/>
    <w:rsid w:val="00C15AF1"/>
    <w:rsid w:val="00C164CA"/>
    <w:rsid w:val="00C176CF"/>
    <w:rsid w:val="00C24EE9"/>
    <w:rsid w:val="00C42BF8"/>
    <w:rsid w:val="00C460AE"/>
    <w:rsid w:val="00C50043"/>
    <w:rsid w:val="00C54E84"/>
    <w:rsid w:val="00C60A88"/>
    <w:rsid w:val="00C623F2"/>
    <w:rsid w:val="00C71D24"/>
    <w:rsid w:val="00C7573B"/>
    <w:rsid w:val="00C76CF3"/>
    <w:rsid w:val="00C77450"/>
    <w:rsid w:val="00C80F48"/>
    <w:rsid w:val="00CC3AD6"/>
    <w:rsid w:val="00CE1E31"/>
    <w:rsid w:val="00CE4353"/>
    <w:rsid w:val="00CE4AA7"/>
    <w:rsid w:val="00CE4E12"/>
    <w:rsid w:val="00CE799A"/>
    <w:rsid w:val="00CF0BB2"/>
    <w:rsid w:val="00CF39A6"/>
    <w:rsid w:val="00D0043D"/>
    <w:rsid w:val="00D00EAA"/>
    <w:rsid w:val="00D043DC"/>
    <w:rsid w:val="00D13441"/>
    <w:rsid w:val="00D2436D"/>
    <w:rsid w:val="00D243A3"/>
    <w:rsid w:val="00D25BA0"/>
    <w:rsid w:val="00D35EF9"/>
    <w:rsid w:val="00D401F1"/>
    <w:rsid w:val="00D477C3"/>
    <w:rsid w:val="00D52EFE"/>
    <w:rsid w:val="00D53E7B"/>
    <w:rsid w:val="00D62A45"/>
    <w:rsid w:val="00D63EF6"/>
    <w:rsid w:val="00D67D6B"/>
    <w:rsid w:val="00D67F97"/>
    <w:rsid w:val="00D70DFB"/>
    <w:rsid w:val="00D73029"/>
    <w:rsid w:val="00D766DF"/>
    <w:rsid w:val="00D86ED2"/>
    <w:rsid w:val="00D9369E"/>
    <w:rsid w:val="00DD0F57"/>
    <w:rsid w:val="00DD681D"/>
    <w:rsid w:val="00DE2002"/>
    <w:rsid w:val="00DF7AE9"/>
    <w:rsid w:val="00E05704"/>
    <w:rsid w:val="00E24D66"/>
    <w:rsid w:val="00E263A1"/>
    <w:rsid w:val="00E273B7"/>
    <w:rsid w:val="00E37760"/>
    <w:rsid w:val="00E473CB"/>
    <w:rsid w:val="00E54292"/>
    <w:rsid w:val="00E56187"/>
    <w:rsid w:val="00E60FCA"/>
    <w:rsid w:val="00E65929"/>
    <w:rsid w:val="00E716FE"/>
    <w:rsid w:val="00E74DC7"/>
    <w:rsid w:val="00E81654"/>
    <w:rsid w:val="00E84ECA"/>
    <w:rsid w:val="00E87699"/>
    <w:rsid w:val="00E947C6"/>
    <w:rsid w:val="00EA227B"/>
    <w:rsid w:val="00EA28A8"/>
    <w:rsid w:val="00EB510C"/>
    <w:rsid w:val="00EC2581"/>
    <w:rsid w:val="00ED0F3A"/>
    <w:rsid w:val="00ED492F"/>
    <w:rsid w:val="00EE3E36"/>
    <w:rsid w:val="00EE6D81"/>
    <w:rsid w:val="00EE7BA1"/>
    <w:rsid w:val="00EF2E3A"/>
    <w:rsid w:val="00F047E2"/>
    <w:rsid w:val="00F078DC"/>
    <w:rsid w:val="00F121F6"/>
    <w:rsid w:val="00F13E86"/>
    <w:rsid w:val="00F17B00"/>
    <w:rsid w:val="00F443DE"/>
    <w:rsid w:val="00F50DFB"/>
    <w:rsid w:val="00F677A9"/>
    <w:rsid w:val="00F72AAF"/>
    <w:rsid w:val="00F8010C"/>
    <w:rsid w:val="00F84CF5"/>
    <w:rsid w:val="00F92D35"/>
    <w:rsid w:val="00F94578"/>
    <w:rsid w:val="00FA420B"/>
    <w:rsid w:val="00FB2AB5"/>
    <w:rsid w:val="00FB641B"/>
    <w:rsid w:val="00FC3B16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52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5FD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FD6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FD6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FD6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FD6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FD6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FD6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FD6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FD6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FD6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5FD6"/>
  </w:style>
  <w:style w:type="paragraph" w:customStyle="1" w:styleId="OPCParaBase">
    <w:name w:val="OPCParaBase"/>
    <w:qFormat/>
    <w:rsid w:val="000F5FD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F5FD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5FD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5FD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5FD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5FD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F5FD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5FD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F5FD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5FD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F5FD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F5FD6"/>
  </w:style>
  <w:style w:type="paragraph" w:customStyle="1" w:styleId="Blocks">
    <w:name w:val="Blocks"/>
    <w:aliases w:val="bb"/>
    <w:basedOn w:val="OPCParaBase"/>
    <w:qFormat/>
    <w:rsid w:val="000F5FD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5F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5FD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5FD6"/>
    <w:rPr>
      <w:i/>
    </w:rPr>
  </w:style>
  <w:style w:type="paragraph" w:customStyle="1" w:styleId="BoxList">
    <w:name w:val="BoxList"/>
    <w:aliases w:val="bl"/>
    <w:basedOn w:val="BoxText"/>
    <w:qFormat/>
    <w:rsid w:val="000F5FD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5FD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5FD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5FD6"/>
    <w:pPr>
      <w:ind w:left="1985" w:hanging="851"/>
    </w:pPr>
  </w:style>
  <w:style w:type="character" w:customStyle="1" w:styleId="CharAmPartNo">
    <w:name w:val="CharAmPartNo"/>
    <w:basedOn w:val="OPCCharBase"/>
    <w:qFormat/>
    <w:rsid w:val="000F5FD6"/>
  </w:style>
  <w:style w:type="character" w:customStyle="1" w:styleId="CharAmPartText">
    <w:name w:val="CharAmPartText"/>
    <w:basedOn w:val="OPCCharBase"/>
    <w:qFormat/>
    <w:rsid w:val="000F5FD6"/>
  </w:style>
  <w:style w:type="character" w:customStyle="1" w:styleId="CharAmSchNo">
    <w:name w:val="CharAmSchNo"/>
    <w:basedOn w:val="OPCCharBase"/>
    <w:qFormat/>
    <w:rsid w:val="000F5FD6"/>
  </w:style>
  <w:style w:type="character" w:customStyle="1" w:styleId="CharAmSchText">
    <w:name w:val="CharAmSchText"/>
    <w:basedOn w:val="OPCCharBase"/>
    <w:qFormat/>
    <w:rsid w:val="000F5FD6"/>
  </w:style>
  <w:style w:type="character" w:customStyle="1" w:styleId="CharBoldItalic">
    <w:name w:val="CharBoldItalic"/>
    <w:basedOn w:val="OPCCharBase"/>
    <w:uiPriority w:val="1"/>
    <w:qFormat/>
    <w:rsid w:val="000F5FD6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5FD6"/>
  </w:style>
  <w:style w:type="character" w:customStyle="1" w:styleId="CharChapText">
    <w:name w:val="CharChapText"/>
    <w:basedOn w:val="OPCCharBase"/>
    <w:uiPriority w:val="1"/>
    <w:qFormat/>
    <w:rsid w:val="000F5FD6"/>
  </w:style>
  <w:style w:type="character" w:customStyle="1" w:styleId="CharDivNo">
    <w:name w:val="CharDivNo"/>
    <w:basedOn w:val="OPCCharBase"/>
    <w:uiPriority w:val="1"/>
    <w:qFormat/>
    <w:rsid w:val="000F5FD6"/>
  </w:style>
  <w:style w:type="character" w:customStyle="1" w:styleId="CharDivText">
    <w:name w:val="CharDivText"/>
    <w:basedOn w:val="OPCCharBase"/>
    <w:uiPriority w:val="1"/>
    <w:qFormat/>
    <w:rsid w:val="000F5FD6"/>
  </w:style>
  <w:style w:type="character" w:customStyle="1" w:styleId="CharItalic">
    <w:name w:val="CharItalic"/>
    <w:basedOn w:val="OPCCharBase"/>
    <w:uiPriority w:val="1"/>
    <w:qFormat/>
    <w:rsid w:val="000F5FD6"/>
    <w:rPr>
      <w:i/>
    </w:rPr>
  </w:style>
  <w:style w:type="character" w:customStyle="1" w:styleId="CharPartNo">
    <w:name w:val="CharPartNo"/>
    <w:basedOn w:val="OPCCharBase"/>
    <w:uiPriority w:val="1"/>
    <w:qFormat/>
    <w:rsid w:val="000F5FD6"/>
  </w:style>
  <w:style w:type="character" w:customStyle="1" w:styleId="CharPartText">
    <w:name w:val="CharPartText"/>
    <w:basedOn w:val="OPCCharBase"/>
    <w:uiPriority w:val="1"/>
    <w:qFormat/>
    <w:rsid w:val="000F5FD6"/>
  </w:style>
  <w:style w:type="character" w:customStyle="1" w:styleId="CharSectno">
    <w:name w:val="CharSectno"/>
    <w:basedOn w:val="OPCCharBase"/>
    <w:qFormat/>
    <w:rsid w:val="000F5FD6"/>
  </w:style>
  <w:style w:type="character" w:customStyle="1" w:styleId="CharSubdNo">
    <w:name w:val="CharSubdNo"/>
    <w:basedOn w:val="OPCCharBase"/>
    <w:uiPriority w:val="1"/>
    <w:qFormat/>
    <w:rsid w:val="000F5FD6"/>
  </w:style>
  <w:style w:type="character" w:customStyle="1" w:styleId="CharSubdText">
    <w:name w:val="CharSubdText"/>
    <w:basedOn w:val="OPCCharBase"/>
    <w:uiPriority w:val="1"/>
    <w:qFormat/>
    <w:rsid w:val="000F5FD6"/>
  </w:style>
  <w:style w:type="paragraph" w:customStyle="1" w:styleId="CTA--">
    <w:name w:val="CTA --"/>
    <w:basedOn w:val="OPCParaBase"/>
    <w:next w:val="Normal"/>
    <w:rsid w:val="000F5FD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5FD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5FD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5FD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5FD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5FD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5FD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5FD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5FD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5FD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5FD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5FD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5FD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5FD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F5FD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0F5FD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F5F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5FD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5F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5F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5FD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5FD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5FD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5FD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5FD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F5FD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5FD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5FD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5FD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5FD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5FD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F5FD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5FD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5FD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5FD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F5FD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5FD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5FD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5FD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5FD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5FD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5FD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5FD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5FD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5FD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5FD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5FD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5FD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5FD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5FD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5FD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5F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5FD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5FD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5FD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F5FD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F5FD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F5FD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F5FD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F5FD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F5FD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F5FD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F5FD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F5FD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F5FD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5FD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5FD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5FD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5FD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5FD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5FD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5FD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F5FD6"/>
    <w:rPr>
      <w:sz w:val="16"/>
    </w:rPr>
  </w:style>
  <w:style w:type="table" w:customStyle="1" w:styleId="CFlag">
    <w:name w:val="CFlag"/>
    <w:basedOn w:val="TableNormal"/>
    <w:uiPriority w:val="99"/>
    <w:rsid w:val="000F5FD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F5FD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F5FD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F5FD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F5FD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F5FD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F5FD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F5F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F5F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F5F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F5FD6"/>
    <w:pPr>
      <w:spacing w:before="120"/>
    </w:pPr>
  </w:style>
  <w:style w:type="paragraph" w:customStyle="1" w:styleId="TableTextEndNotes">
    <w:name w:val="TableTextEndNotes"/>
    <w:aliases w:val="Tten"/>
    <w:basedOn w:val="Normal"/>
    <w:rsid w:val="000F5FD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F5FD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F5FD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F5FD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F5FD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F5FD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F5FD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F5FD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F5FD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F5FD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F5FD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F5FD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F5FD6"/>
  </w:style>
  <w:style w:type="character" w:customStyle="1" w:styleId="CharSubPartNoCASA">
    <w:name w:val="CharSubPartNo(CASA)"/>
    <w:basedOn w:val="OPCCharBase"/>
    <w:uiPriority w:val="1"/>
    <w:rsid w:val="000F5FD6"/>
  </w:style>
  <w:style w:type="paragraph" w:customStyle="1" w:styleId="ENoteTTIndentHeadingSub">
    <w:name w:val="ENoteTTIndentHeadingSub"/>
    <w:aliases w:val="enTTHis"/>
    <w:basedOn w:val="OPCParaBase"/>
    <w:rsid w:val="000F5FD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F5FD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F5FD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F5FD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F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0F5FD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F5FD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F5F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F5FD6"/>
    <w:rPr>
      <w:sz w:val="22"/>
    </w:rPr>
  </w:style>
  <w:style w:type="paragraph" w:customStyle="1" w:styleId="SOTextNote">
    <w:name w:val="SO TextNote"/>
    <w:aliases w:val="sont"/>
    <w:basedOn w:val="SOText"/>
    <w:qFormat/>
    <w:rsid w:val="000F5FD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F5FD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F5FD6"/>
    <w:rPr>
      <w:sz w:val="22"/>
    </w:rPr>
  </w:style>
  <w:style w:type="paragraph" w:customStyle="1" w:styleId="FileName">
    <w:name w:val="FileName"/>
    <w:basedOn w:val="Normal"/>
    <w:rsid w:val="000F5FD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F5FD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F5FD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F5FD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F5FD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F5FD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F5FD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F5FD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F5FD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F5F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F5FD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F5FD6"/>
  </w:style>
  <w:style w:type="numbering" w:styleId="111111">
    <w:name w:val="Outline List 2"/>
    <w:basedOn w:val="NoList"/>
    <w:uiPriority w:val="99"/>
    <w:semiHidden/>
    <w:unhideWhenUsed/>
    <w:rsid w:val="000F5FD6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0F5FD6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5F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F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F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FD6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FD6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FD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FD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F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F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0F5FD6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F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D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5FD6"/>
  </w:style>
  <w:style w:type="paragraph" w:styleId="BlockText">
    <w:name w:val="Block Text"/>
    <w:basedOn w:val="Normal"/>
    <w:uiPriority w:val="99"/>
    <w:semiHidden/>
    <w:unhideWhenUsed/>
    <w:rsid w:val="000F5FD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F5F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5FD6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F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5FD6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5F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5FD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5FD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5FD6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5F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5FD6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5FD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5FD6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5F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5FD6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5F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5FD6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0F5FD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5FD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5FD6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5FD6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5FD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5FD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5FD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5FD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5FD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5FD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5FD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FD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F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FD6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0F5FD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5FD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5FD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5FD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5FD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5FD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5FD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F5FD6"/>
  </w:style>
  <w:style w:type="character" w:customStyle="1" w:styleId="DateChar">
    <w:name w:val="Date Char"/>
    <w:basedOn w:val="DefaultParagraphFont"/>
    <w:link w:val="Date"/>
    <w:uiPriority w:val="99"/>
    <w:semiHidden/>
    <w:rsid w:val="000F5FD6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F5FD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5FD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F5FD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F5FD6"/>
    <w:rPr>
      <w:sz w:val="22"/>
    </w:rPr>
  </w:style>
  <w:style w:type="character" w:styleId="Emphasis">
    <w:name w:val="Emphasis"/>
    <w:basedOn w:val="DefaultParagraphFont"/>
    <w:uiPriority w:val="20"/>
    <w:qFormat/>
    <w:rsid w:val="000F5FD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5FD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F5FD6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5FD6"/>
  </w:style>
  <w:style w:type="paragraph" w:styleId="EnvelopeAddress">
    <w:name w:val="envelope address"/>
    <w:basedOn w:val="Normal"/>
    <w:uiPriority w:val="99"/>
    <w:semiHidden/>
    <w:unhideWhenUsed/>
    <w:rsid w:val="000F5FD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5FD6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F5FD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F5FD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FD6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FD6"/>
  </w:style>
  <w:style w:type="table" w:styleId="GridTable1Light">
    <w:name w:val="Grid Table 1 Light"/>
    <w:basedOn w:val="TableNormal"/>
    <w:uiPriority w:val="46"/>
    <w:rsid w:val="000F5FD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5FD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5FD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5FD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5FD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5FD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5FD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5F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5FD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5FD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5FD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5FD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5FD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5FD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F5F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5FD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5FD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5FD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5FD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5FD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5FD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5F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5FD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5FD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5FD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5FD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5FD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5FD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5F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5F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5F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5F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5F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5F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5F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5FD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5FD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5FD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5FD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5FD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5FD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5FD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5FD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5FD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5FD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5FD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5FD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5FD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5FD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F5FD6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F5FD6"/>
  </w:style>
  <w:style w:type="paragraph" w:styleId="HTMLAddress">
    <w:name w:val="HTML Address"/>
    <w:basedOn w:val="Normal"/>
    <w:link w:val="HTMLAddressChar"/>
    <w:uiPriority w:val="99"/>
    <w:semiHidden/>
    <w:unhideWhenUsed/>
    <w:rsid w:val="000F5FD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5FD6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0F5FD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5FD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5FD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5FD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5FD6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5FD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0F5FD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5FD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5FD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5FD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5FD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5FD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5FD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5FD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5FD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5FD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5FD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5FD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5FD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5FD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0F5FD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FD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FD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F5FD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5F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5FD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5FD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5FD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5FD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5FD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5F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5F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5FD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5FD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5FD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5FD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5FD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5F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5FD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5FD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5FD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5FD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5FD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5FD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5FD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0F5FD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F5FD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F5FD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F5FD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F5FD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F5FD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5FD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5FD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0F5FD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5FD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5FD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5FD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5FD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5FD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5FD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F5FD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5FD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5FD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5FD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5FD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F5FD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5F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5F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5F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5F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5F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5F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5F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F5FD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5FD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5FD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5FD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5FD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5FD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5FD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F5FD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5FD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5FD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5FD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5FD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5FD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5FD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5F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5FD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5FD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5FD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5FD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5FD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5FD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5FD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5FD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5FD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5FD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5FD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5FD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5FD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5FD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5FD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5FD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5FD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5FD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5FD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5FD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5FD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5FD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5FD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5FD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5FD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5FD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5FD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5F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5FD6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0F5FD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5FD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5FD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5FD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5FD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5FD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5FD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5F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5F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5F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5F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5F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5F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5F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5F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5F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5F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5F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5F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5F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5F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5FD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5F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5F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5F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5F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5F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5F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5F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5FD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5FD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5FD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5FD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5FD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5FD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5FD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5F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5F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5F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5F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5F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5F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5F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F5FD6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5F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5FD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F5FD6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0F5FD6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5FD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5FD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5FD6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F5FD6"/>
  </w:style>
  <w:style w:type="character" w:styleId="PlaceholderText">
    <w:name w:val="Placeholder Text"/>
    <w:basedOn w:val="DefaultParagraphFont"/>
    <w:uiPriority w:val="99"/>
    <w:semiHidden/>
    <w:rsid w:val="000F5FD6"/>
    <w:rPr>
      <w:color w:val="808080"/>
    </w:rPr>
  </w:style>
  <w:style w:type="table" w:styleId="PlainTable1">
    <w:name w:val="Plain Table 1"/>
    <w:basedOn w:val="TableNormal"/>
    <w:uiPriority w:val="41"/>
    <w:rsid w:val="000F5FD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5F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5FD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5FD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5FD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5FD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5FD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F5F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FD6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5FD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5FD6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F5FD6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5FD6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F5FD6"/>
    <w:rPr>
      <w:u w:val="dotted"/>
    </w:rPr>
  </w:style>
  <w:style w:type="character" w:styleId="Strong">
    <w:name w:val="Strong"/>
    <w:basedOn w:val="DefaultParagraphFont"/>
    <w:uiPriority w:val="22"/>
    <w:qFormat/>
    <w:rsid w:val="000F5FD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FD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F5FD6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F5FD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F5FD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5FD6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5FD6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5FD6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5FD6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5FD6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5FD6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5FD6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5FD6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5FD6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5FD6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5FD6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5FD6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5FD6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5FD6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5FD6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5FD6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5FD6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F5FD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5FD6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5FD6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5FD6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5FD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5FD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5FD6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5FD6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5F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5FD6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5FD6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5FD6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5FD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5FD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5FD6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5FD6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5FD6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5FD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5FD6"/>
  </w:style>
  <w:style w:type="table" w:styleId="TableProfessional">
    <w:name w:val="Table Professional"/>
    <w:basedOn w:val="TableNormal"/>
    <w:uiPriority w:val="99"/>
    <w:semiHidden/>
    <w:unhideWhenUsed/>
    <w:rsid w:val="000F5FD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5FD6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5FD6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5FD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5FD6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5FD6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5FD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5FD6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5FD6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5FD6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F5FD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F5FD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5FD6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F5FD6"/>
    <w:rPr>
      <w:color w:val="605E5C"/>
      <w:shd w:val="clear" w:color="auto" w:fill="E1DFDD"/>
    </w:rPr>
  </w:style>
  <w:style w:type="character" w:customStyle="1" w:styleId="DefinitionChar">
    <w:name w:val="Definition Char"/>
    <w:aliases w:val="dd Char"/>
    <w:link w:val="Definition"/>
    <w:rsid w:val="00E273B7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E273B7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rsid w:val="0085037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850374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73040D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73040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3040D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73040D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73040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A171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A171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A171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62</Pages>
  <Words>8833</Words>
  <Characters>45670</Characters>
  <Application>Microsoft Office Word</Application>
  <DocSecurity>0</DocSecurity>
  <PresentationFormat/>
  <Lines>971</Lines>
  <Paragraphs>504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2024-08-07T23:45:00Z</cp:lastPrinted>
  <dcterms:created xsi:type="dcterms:W3CDTF">2024-12-23T00:09:00Z</dcterms:created>
  <dcterms:modified xsi:type="dcterms:W3CDTF">2024-12-23T00:18:00Z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Customs Tariff Amendment (Comprehensive and Progressive Agreement for Trans-Pacific Partnership Expansion) Act 2024</vt:lpwstr>
  </property>
  <property fmtid="{D5CDD505-2E9C-101B-9397-08002B2CF9AE}" pid="3" name="ActNo">
    <vt:lpwstr>No. 94,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OPC8204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2024-10-10T20:53:06Z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af966c82-21b7-48d5-be0e-ec67ecd58016</vt:lpwstr>
  </property>
  <property fmtid="{D5CDD505-2E9C-101B-9397-08002B2CF9AE}" pid="18" name="MSIP_Label_234ea0fa-41da-4eb0-b95e-07c328641c0b_ContentBits">
    <vt:lpwstr>0</vt:lpwstr>
  </property>
</Properties>
</file>